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70E09">
      <w:pPr>
        <w:pStyle w:val="19"/>
        <w:shd w:val="clear" w:color="auto" w:fill="FFFFFF"/>
        <w:spacing w:before="0" w:beforeAutospacing="0" w:after="0" w:afterAutospacing="0" w:line="360" w:lineRule="auto"/>
        <w:ind w:firstLine="240"/>
        <w:jc w:val="both"/>
        <w:rPr>
          <w:rFonts w:hint="eastAsia" w:eastAsia="宋体" w:cs="宋体"/>
          <w:sz w:val="24"/>
          <w:szCs w:val="24"/>
          <w:highlight w:val="none"/>
          <w:shd w:val="clear" w:color="auto" w:fill="FFFFFF"/>
          <w:lang w:eastAsia="zh-CN"/>
        </w:rPr>
      </w:pPr>
      <w:r>
        <w:rPr>
          <w:rFonts w:hint="eastAsia" w:hAnsi="宋体" w:cs="宋体"/>
          <w:b/>
          <w:bCs/>
          <w:sz w:val="24"/>
          <w:szCs w:val="24"/>
          <w:highlight w:val="none"/>
        </w:rPr>
        <w:t>项目编号：</w:t>
      </w:r>
      <w:r>
        <w:rPr>
          <w:rFonts w:hint="eastAsia" w:hAnsi="宋体" w:cs="宋体"/>
          <w:b/>
          <w:sz w:val="24"/>
          <w:szCs w:val="24"/>
          <w:highlight w:val="none"/>
        </w:rPr>
        <w:t xml:space="preserve"> </w:t>
      </w:r>
      <w:r>
        <w:rPr>
          <w:rFonts w:hint="eastAsia" w:cs="宋体"/>
          <w:sz w:val="24"/>
          <w:szCs w:val="24"/>
          <w:highlight w:val="none"/>
          <w:shd w:val="clear" w:color="auto" w:fill="FFFFFF"/>
          <w:lang w:eastAsia="zh-CN"/>
        </w:rPr>
        <w:t>SXZCZB2025-ZCCS-1124</w:t>
      </w:r>
    </w:p>
    <w:p w14:paraId="3094AC23">
      <w:pPr>
        <w:rPr>
          <w:rFonts w:hAnsi="宋体" w:cs="宋体"/>
          <w:b/>
          <w:sz w:val="36"/>
          <w:highlight w:val="none"/>
        </w:rPr>
      </w:pPr>
    </w:p>
    <w:p w14:paraId="781E7AFF">
      <w:pPr>
        <w:rPr>
          <w:rFonts w:hAnsi="宋体" w:cs="宋体"/>
          <w:b/>
          <w:sz w:val="36"/>
          <w:highlight w:val="none"/>
        </w:rPr>
      </w:pPr>
    </w:p>
    <w:p w14:paraId="215FF6FB">
      <w:pPr>
        <w:rPr>
          <w:rFonts w:hAnsi="宋体" w:cs="宋体"/>
          <w:b/>
          <w:sz w:val="40"/>
          <w:szCs w:val="21"/>
          <w:highlight w:val="none"/>
        </w:rPr>
      </w:pPr>
    </w:p>
    <w:p w14:paraId="277BBF17">
      <w:pPr>
        <w:jc w:val="center"/>
        <w:rPr>
          <w:rFonts w:hAnsi="宋体" w:cs="宋体"/>
          <w:b/>
          <w:sz w:val="56"/>
          <w:szCs w:val="56"/>
          <w:highlight w:val="none"/>
        </w:rPr>
      </w:pPr>
    </w:p>
    <w:p w14:paraId="117467DF">
      <w:pPr>
        <w:spacing w:line="780" w:lineRule="auto"/>
        <w:jc w:val="center"/>
        <w:rPr>
          <w:rFonts w:hint="eastAsia" w:hAnsi="宋体" w:cs="宋体"/>
          <w:b/>
          <w:sz w:val="56"/>
          <w:szCs w:val="56"/>
          <w:highlight w:val="none"/>
        </w:rPr>
      </w:pPr>
      <w:r>
        <w:rPr>
          <w:rFonts w:hint="eastAsia" w:hAnsi="宋体" w:cs="宋体"/>
          <w:b/>
          <w:sz w:val="52"/>
          <w:szCs w:val="52"/>
          <w:highlight w:val="none"/>
          <w:lang w:eastAsia="zh-CN"/>
        </w:rPr>
        <w:t>Y304王阎镇大坪至延坪镇白龙公路靳家河段380米道路改造项目</w:t>
      </w:r>
    </w:p>
    <w:p w14:paraId="7803DADC">
      <w:pPr>
        <w:spacing w:line="780" w:lineRule="auto"/>
        <w:jc w:val="center"/>
        <w:rPr>
          <w:rFonts w:hint="eastAsia" w:hAnsi="宋体" w:cs="宋体"/>
          <w:b/>
          <w:sz w:val="56"/>
          <w:szCs w:val="56"/>
          <w:highlight w:val="none"/>
        </w:rPr>
      </w:pPr>
    </w:p>
    <w:p w14:paraId="0AE0FCB3">
      <w:pPr>
        <w:spacing w:line="780" w:lineRule="auto"/>
        <w:jc w:val="center"/>
        <w:rPr>
          <w:rFonts w:hint="eastAsia" w:hAnsi="宋体" w:cs="宋体"/>
          <w:b/>
          <w:sz w:val="56"/>
          <w:szCs w:val="56"/>
          <w:highlight w:val="none"/>
        </w:rPr>
      </w:pPr>
    </w:p>
    <w:p w14:paraId="73200285">
      <w:pPr>
        <w:spacing w:line="780" w:lineRule="auto"/>
        <w:jc w:val="center"/>
        <w:rPr>
          <w:rFonts w:hAnsi="宋体" w:cs="宋体"/>
          <w:b/>
          <w:sz w:val="56"/>
          <w:szCs w:val="56"/>
          <w:highlight w:val="none"/>
        </w:rPr>
      </w:pPr>
      <w:r>
        <w:rPr>
          <w:rFonts w:hint="eastAsia" w:hAnsi="宋体" w:cs="宋体"/>
          <w:b/>
          <w:sz w:val="56"/>
          <w:szCs w:val="56"/>
          <w:highlight w:val="none"/>
        </w:rPr>
        <w:t>竞争性磋商文件</w:t>
      </w:r>
    </w:p>
    <w:p w14:paraId="7B94856A">
      <w:pPr>
        <w:rPr>
          <w:rFonts w:hAnsi="宋体" w:cs="宋体"/>
          <w:highlight w:val="none"/>
        </w:rPr>
      </w:pPr>
      <w:bookmarkStart w:id="0" w:name="_Toc363463325"/>
    </w:p>
    <w:p w14:paraId="599666CB">
      <w:pPr>
        <w:rPr>
          <w:rFonts w:hAnsi="宋体" w:cs="宋体"/>
          <w:highlight w:val="none"/>
        </w:rPr>
      </w:pPr>
    </w:p>
    <w:p w14:paraId="2800399B">
      <w:pPr>
        <w:rPr>
          <w:rFonts w:hAnsi="宋体" w:cs="宋体"/>
          <w:highlight w:val="none"/>
        </w:rPr>
      </w:pPr>
    </w:p>
    <w:bookmarkEnd w:id="0"/>
    <w:p w14:paraId="14C17157">
      <w:pPr>
        <w:rPr>
          <w:rFonts w:hAnsi="宋体" w:cs="宋体"/>
          <w:sz w:val="18"/>
          <w:szCs w:val="18"/>
          <w:highlight w:val="none"/>
        </w:rPr>
      </w:pPr>
    </w:p>
    <w:p w14:paraId="56D9A39E">
      <w:pPr>
        <w:jc w:val="both"/>
        <w:rPr>
          <w:rFonts w:hAnsi="宋体" w:cs="宋体"/>
          <w:b/>
          <w:bCs/>
          <w:sz w:val="32"/>
          <w:szCs w:val="32"/>
          <w:highlight w:val="none"/>
        </w:rPr>
      </w:pPr>
    </w:p>
    <w:p w14:paraId="34F2462C">
      <w:pPr>
        <w:jc w:val="both"/>
        <w:rPr>
          <w:rFonts w:hAnsi="宋体" w:cs="宋体"/>
          <w:b/>
          <w:bCs/>
          <w:sz w:val="32"/>
          <w:szCs w:val="32"/>
          <w:highlight w:val="none"/>
        </w:rPr>
      </w:pPr>
    </w:p>
    <w:p w14:paraId="33204B89">
      <w:pPr>
        <w:jc w:val="center"/>
        <w:rPr>
          <w:rFonts w:hAnsi="宋体" w:cs="宋体"/>
          <w:b/>
          <w:bCs/>
          <w:sz w:val="32"/>
          <w:szCs w:val="32"/>
          <w:highlight w:val="none"/>
        </w:rPr>
      </w:pPr>
    </w:p>
    <w:p w14:paraId="4A2717EB">
      <w:pPr>
        <w:pStyle w:val="8"/>
        <w:rPr>
          <w:highlight w:val="none"/>
        </w:rPr>
      </w:pPr>
    </w:p>
    <w:p w14:paraId="7A4E6534">
      <w:pPr>
        <w:jc w:val="center"/>
        <w:rPr>
          <w:rFonts w:hAnsi="宋体" w:cs="宋体"/>
          <w:b/>
          <w:bCs/>
          <w:sz w:val="32"/>
          <w:szCs w:val="32"/>
          <w:highlight w:val="none"/>
        </w:rPr>
      </w:pPr>
      <w:r>
        <w:rPr>
          <w:rFonts w:hint="eastAsia" w:hAnsi="宋体" w:cs="宋体"/>
          <w:b/>
          <w:bCs/>
          <w:sz w:val="32"/>
          <w:szCs w:val="32"/>
          <w:highlight w:val="none"/>
        </w:rPr>
        <w:t>陕西至诚项目管理集团有限公司</w:t>
      </w:r>
    </w:p>
    <w:p w14:paraId="1A7F0676">
      <w:pPr>
        <w:pStyle w:val="9"/>
        <w:jc w:val="center"/>
        <w:rPr>
          <w:rFonts w:ascii="宋体" w:hAnsi="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十一</w:t>
      </w:r>
      <w:r>
        <w:rPr>
          <w:rFonts w:hint="eastAsia" w:ascii="宋体" w:hAnsi="宋体" w:cs="宋体"/>
          <w:b/>
          <w:bCs/>
          <w:sz w:val="32"/>
          <w:szCs w:val="32"/>
          <w:highlight w:val="none"/>
        </w:rPr>
        <w:t>月</w:t>
      </w:r>
    </w:p>
    <w:p w14:paraId="39ACFC0C">
      <w:pPr>
        <w:rPr>
          <w:rFonts w:hAnsi="宋体" w:cs="宋体"/>
          <w:highlight w:val="none"/>
        </w:rPr>
      </w:pPr>
    </w:p>
    <w:p w14:paraId="3CBD8646">
      <w:pPr>
        <w:jc w:val="center"/>
        <w:rPr>
          <w:rFonts w:hAnsi="宋体" w:cs="宋体"/>
          <w:b/>
          <w:sz w:val="44"/>
          <w:szCs w:val="44"/>
          <w:highlight w:val="none"/>
        </w:rPr>
      </w:pPr>
      <w:r>
        <w:rPr>
          <w:rFonts w:hint="eastAsia" w:hAnsi="宋体" w:cs="宋体"/>
          <w:b/>
          <w:sz w:val="44"/>
          <w:szCs w:val="44"/>
          <w:highlight w:val="none"/>
        </w:rPr>
        <w:t>目 录</w:t>
      </w:r>
    </w:p>
    <w:sdt>
      <w:sdtPr>
        <w:rPr>
          <w:rFonts w:hAnsi="宋体"/>
          <w:sz w:val="21"/>
          <w:highlight w:val="none"/>
        </w:rPr>
        <w:id w:val="147450925"/>
        <w15:color w:val="DBDBDB"/>
        <w:docPartObj>
          <w:docPartGallery w:val="Table of Contents"/>
          <w:docPartUnique/>
        </w:docPartObj>
      </w:sdtPr>
      <w:sdtEndPr>
        <w:rPr>
          <w:rFonts w:hint="eastAsia" w:hAnsi="宋体" w:cs="宋体"/>
          <w:bCs/>
          <w:sz w:val="24"/>
          <w:szCs w:val="36"/>
          <w:highlight w:val="none"/>
        </w:rPr>
      </w:sdtEndPr>
      <w:sdtContent>
        <w:p w14:paraId="4CC9F939">
          <w:pPr>
            <w:jc w:val="center"/>
            <w:rPr>
              <w:highlight w:val="none"/>
            </w:rPr>
          </w:pPr>
          <w:bookmarkStart w:id="1" w:name="_Toc389582033"/>
          <w:bookmarkStart w:id="2" w:name="_Toc19886"/>
          <w:bookmarkStart w:id="3" w:name="_Toc16218"/>
          <w:bookmarkStart w:id="4" w:name="_Toc20858"/>
          <w:bookmarkStart w:id="5" w:name="_Toc5293"/>
          <w:bookmarkStart w:id="6" w:name="_Toc20652"/>
          <w:bookmarkStart w:id="7" w:name="_Toc21518"/>
          <w:bookmarkStart w:id="8" w:name="_Toc27420"/>
          <w:bookmarkStart w:id="9" w:name="_Toc363473971"/>
          <w:bookmarkStart w:id="10" w:name="_Toc403077638"/>
          <w:bookmarkStart w:id="11" w:name="_Toc363474016"/>
        </w:p>
        <w:p w14:paraId="18AB4971">
          <w:pPr>
            <w:pStyle w:val="17"/>
            <w:tabs>
              <w:tab w:val="right" w:leader="dot" w:pos="8787"/>
            </w:tabs>
            <w:spacing w:line="360" w:lineRule="auto"/>
            <w:rPr>
              <w:sz w:val="28"/>
              <w:szCs w:val="21"/>
              <w:highlight w:val="none"/>
            </w:rPr>
          </w:pPr>
          <w:r>
            <w:rPr>
              <w:rFonts w:hint="eastAsia" w:hAnsi="宋体" w:cs="宋体"/>
              <w:bCs/>
              <w:sz w:val="40"/>
              <w:szCs w:val="40"/>
              <w:highlight w:val="none"/>
            </w:rPr>
            <w:fldChar w:fldCharType="begin"/>
          </w:r>
          <w:r>
            <w:rPr>
              <w:rFonts w:hint="eastAsia" w:hAnsi="宋体" w:cs="宋体"/>
              <w:bCs/>
              <w:sz w:val="40"/>
              <w:szCs w:val="40"/>
              <w:highlight w:val="none"/>
            </w:rPr>
            <w:instrText xml:space="preserve">TOC \o "1-3" \h \u </w:instrText>
          </w:r>
          <w:r>
            <w:rPr>
              <w:rFonts w:hint="eastAsia" w:hAnsi="宋体" w:cs="宋体"/>
              <w:bCs/>
              <w:sz w:val="40"/>
              <w:szCs w:val="40"/>
              <w:highlight w:val="none"/>
            </w:rPr>
            <w:fldChar w:fldCharType="separate"/>
          </w:r>
          <w:r>
            <w:rPr>
              <w:highlight w:val="none"/>
            </w:rPr>
            <w:fldChar w:fldCharType="begin"/>
          </w:r>
          <w:r>
            <w:rPr>
              <w:highlight w:val="none"/>
            </w:rPr>
            <w:instrText xml:space="preserve"> HYPERLINK \l "_Toc30717" </w:instrText>
          </w:r>
          <w:r>
            <w:rPr>
              <w:highlight w:val="none"/>
            </w:rPr>
            <w:fldChar w:fldCharType="separate"/>
          </w:r>
          <w:r>
            <w:rPr>
              <w:rFonts w:hint="eastAsia" w:hAnsi="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_Toc30717 \h </w:instrText>
          </w:r>
          <w:r>
            <w:rPr>
              <w:sz w:val="28"/>
              <w:szCs w:val="21"/>
              <w:highlight w:val="none"/>
            </w:rPr>
            <w:fldChar w:fldCharType="separate"/>
          </w:r>
          <w:r>
            <w:rPr>
              <w:sz w:val="28"/>
              <w:szCs w:val="21"/>
              <w:highlight w:val="none"/>
            </w:rPr>
            <w:t>2</w:t>
          </w:r>
          <w:r>
            <w:rPr>
              <w:sz w:val="28"/>
              <w:szCs w:val="21"/>
              <w:highlight w:val="none"/>
            </w:rPr>
            <w:fldChar w:fldCharType="end"/>
          </w:r>
          <w:r>
            <w:rPr>
              <w:sz w:val="28"/>
              <w:szCs w:val="21"/>
              <w:highlight w:val="none"/>
            </w:rPr>
            <w:fldChar w:fldCharType="end"/>
          </w:r>
        </w:p>
        <w:p w14:paraId="3D5B865F">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"_Toc4831" </w:instrText>
          </w:r>
          <w:r>
            <w:rPr>
              <w:highlight w:val="none"/>
            </w:rPr>
            <w:fldChar w:fldCharType="separate"/>
          </w:r>
          <w:r>
            <w:rPr>
              <w:rFonts w:hint="eastAsia" w:hAnsi="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_Toc4831 \h </w:instrText>
          </w:r>
          <w:r>
            <w:rPr>
              <w:sz w:val="28"/>
              <w:szCs w:val="21"/>
              <w:highlight w:val="none"/>
            </w:rPr>
            <w:fldChar w:fldCharType="separate"/>
          </w:r>
          <w:r>
            <w:rPr>
              <w:sz w:val="28"/>
              <w:szCs w:val="21"/>
              <w:highlight w:val="none"/>
            </w:rPr>
            <w:t>2</w:t>
          </w:r>
          <w:r>
            <w:rPr>
              <w:sz w:val="28"/>
              <w:szCs w:val="21"/>
              <w:highlight w:val="none"/>
            </w:rPr>
            <w:fldChar w:fldCharType="end"/>
          </w:r>
          <w:r>
            <w:rPr>
              <w:sz w:val="28"/>
              <w:szCs w:val="21"/>
              <w:highlight w:val="none"/>
            </w:rPr>
            <w:fldChar w:fldCharType="end"/>
          </w:r>
        </w:p>
        <w:p w14:paraId="5BCD8C88">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"_Toc22398" </w:instrText>
          </w:r>
          <w:r>
            <w:rPr>
              <w:highlight w:val="none"/>
            </w:rPr>
            <w:fldChar w:fldCharType="separate"/>
          </w:r>
          <w:r>
            <w:rPr>
              <w:rFonts w:hint="eastAsia" w:hAnsi="宋体" w:cs="宋体"/>
              <w:sz w:val="28"/>
              <w:szCs w:val="21"/>
              <w:highlight w:val="none"/>
            </w:rPr>
            <w:t xml:space="preserve">第三章  </w:t>
          </w:r>
          <w:r>
            <w:rPr>
              <w:rFonts w:hint="eastAsia" w:hAnsi="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_Toc22398 \h </w:instrText>
          </w:r>
          <w:r>
            <w:rPr>
              <w:sz w:val="28"/>
              <w:szCs w:val="21"/>
              <w:highlight w:val="none"/>
            </w:rPr>
            <w:fldChar w:fldCharType="separate"/>
          </w:r>
          <w:r>
            <w:rPr>
              <w:sz w:val="28"/>
              <w:szCs w:val="21"/>
              <w:highlight w:val="none"/>
            </w:rPr>
            <w:t>24</w:t>
          </w:r>
          <w:r>
            <w:rPr>
              <w:sz w:val="28"/>
              <w:szCs w:val="21"/>
              <w:highlight w:val="none"/>
            </w:rPr>
            <w:fldChar w:fldCharType="end"/>
          </w:r>
          <w:r>
            <w:rPr>
              <w:sz w:val="28"/>
              <w:szCs w:val="21"/>
              <w:highlight w:val="none"/>
            </w:rPr>
            <w:fldChar w:fldCharType="end"/>
          </w:r>
        </w:p>
        <w:p w14:paraId="646C8AF4">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"_Toc11680" </w:instrText>
          </w:r>
          <w:r>
            <w:rPr>
              <w:highlight w:val="none"/>
            </w:rPr>
            <w:fldChar w:fldCharType="separate"/>
          </w:r>
          <w:r>
            <w:rPr>
              <w:rFonts w:hint="eastAsia" w:hAnsi="宋体" w:cs="宋体"/>
              <w:bCs/>
              <w:sz w:val="28"/>
              <w:szCs w:val="40"/>
              <w:highlight w:val="none"/>
            </w:rPr>
            <w:t>第四章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_Toc11680 \h </w:instrText>
          </w:r>
          <w:r>
            <w:rPr>
              <w:sz w:val="28"/>
              <w:szCs w:val="21"/>
              <w:highlight w:val="none"/>
            </w:rPr>
            <w:fldChar w:fldCharType="separate"/>
          </w:r>
          <w:r>
            <w:rPr>
              <w:sz w:val="28"/>
              <w:szCs w:val="21"/>
              <w:highlight w:val="none"/>
            </w:rPr>
            <w:t>31</w:t>
          </w:r>
          <w:r>
            <w:rPr>
              <w:sz w:val="28"/>
              <w:szCs w:val="21"/>
              <w:highlight w:val="none"/>
            </w:rPr>
            <w:fldChar w:fldCharType="end"/>
          </w:r>
          <w:r>
            <w:rPr>
              <w:sz w:val="28"/>
              <w:szCs w:val="21"/>
              <w:highlight w:val="none"/>
            </w:rPr>
            <w:fldChar w:fldCharType="end"/>
          </w:r>
        </w:p>
        <w:p w14:paraId="0172E0F3">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"_Toc24914" </w:instrText>
          </w:r>
          <w:r>
            <w:rPr>
              <w:highlight w:val="none"/>
            </w:rPr>
            <w:fldChar w:fldCharType="separate"/>
          </w:r>
          <w:r>
            <w:rPr>
              <w:rFonts w:hint="eastAsia" w:hAnsi="宋体" w:cs="宋体"/>
              <w:bCs/>
              <w:sz w:val="28"/>
              <w:szCs w:val="40"/>
              <w:highlight w:val="none"/>
            </w:rPr>
            <w:t>第五章  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_Toc24914 \h </w:instrText>
          </w:r>
          <w:r>
            <w:rPr>
              <w:sz w:val="28"/>
              <w:szCs w:val="21"/>
              <w:highlight w:val="none"/>
            </w:rPr>
            <w:fldChar w:fldCharType="separate"/>
          </w:r>
          <w:r>
            <w:rPr>
              <w:sz w:val="28"/>
              <w:szCs w:val="21"/>
              <w:highlight w:val="none"/>
            </w:rPr>
            <w:t>35</w:t>
          </w:r>
          <w:r>
            <w:rPr>
              <w:sz w:val="28"/>
              <w:szCs w:val="21"/>
              <w:highlight w:val="none"/>
            </w:rPr>
            <w:fldChar w:fldCharType="end"/>
          </w:r>
          <w:r>
            <w:rPr>
              <w:sz w:val="28"/>
              <w:szCs w:val="21"/>
              <w:highlight w:val="none"/>
            </w:rPr>
            <w:fldChar w:fldCharType="end"/>
          </w:r>
        </w:p>
        <w:p w14:paraId="5BB9316B">
          <w:pPr>
            <w:pStyle w:val="17"/>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"_Toc2750" </w:instrText>
          </w:r>
          <w:r>
            <w:rPr>
              <w:highlight w:val="none"/>
            </w:rPr>
            <w:fldChar w:fldCharType="separate"/>
          </w:r>
          <w:r>
            <w:rPr>
              <w:rFonts w:hint="eastAsia" w:hAnsi="宋体" w:cs="宋体"/>
              <w:sz w:val="28"/>
              <w:szCs w:val="22"/>
              <w:highlight w:val="none"/>
            </w:rPr>
            <w:t xml:space="preserve">第六章 </w:t>
          </w:r>
          <w:r>
            <w:rPr>
              <w:rFonts w:hint="eastAsia" w:cs="宋体"/>
              <w:sz w:val="28"/>
              <w:szCs w:val="22"/>
              <w:highlight w:val="none"/>
            </w:rPr>
            <w:t xml:space="preserve"> </w:t>
          </w:r>
          <w:r>
            <w:rPr>
              <w:rFonts w:hint="eastAsia" w:hAnsi="宋体" w:cs="宋体"/>
              <w:sz w:val="28"/>
              <w:szCs w:val="22"/>
              <w:highlight w:val="none"/>
            </w:rPr>
            <w:t>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_Toc2750 \h </w:instrText>
          </w:r>
          <w:r>
            <w:rPr>
              <w:sz w:val="28"/>
              <w:szCs w:val="21"/>
              <w:highlight w:val="none"/>
            </w:rPr>
            <w:fldChar w:fldCharType="separate"/>
          </w:r>
          <w:r>
            <w:rPr>
              <w:sz w:val="28"/>
              <w:szCs w:val="21"/>
              <w:highlight w:val="none"/>
            </w:rPr>
            <w:t>39</w:t>
          </w:r>
          <w:r>
            <w:rPr>
              <w:sz w:val="28"/>
              <w:szCs w:val="21"/>
              <w:highlight w:val="none"/>
            </w:rPr>
            <w:fldChar w:fldCharType="end"/>
          </w:r>
          <w:r>
            <w:rPr>
              <w:sz w:val="28"/>
              <w:szCs w:val="21"/>
              <w:highlight w:val="none"/>
            </w:rPr>
            <w:fldChar w:fldCharType="end"/>
          </w:r>
        </w:p>
        <w:p w14:paraId="3DDDF984">
          <w:pPr>
            <w:pStyle w:val="17"/>
            <w:tabs>
              <w:tab w:val="right" w:leader="dot" w:pos="8302"/>
            </w:tabs>
            <w:spacing w:line="360" w:lineRule="auto"/>
            <w:rPr>
              <w:rFonts w:hAnsi="宋体" w:cs="宋体"/>
              <w:bCs/>
              <w:sz w:val="36"/>
              <w:szCs w:val="36"/>
              <w:highlight w:val="none"/>
            </w:rPr>
          </w:pPr>
          <w:r>
            <w:rPr>
              <w:rFonts w:hint="eastAsia" w:hAnsi="宋体" w:cs="宋体"/>
              <w:bCs/>
              <w:sz w:val="28"/>
              <w:szCs w:val="40"/>
              <w:highlight w:val="none"/>
            </w:rPr>
            <w:fldChar w:fldCharType="end"/>
          </w:r>
        </w:p>
      </w:sdtContent>
    </w:sdt>
    <w:p w14:paraId="3C754730">
      <w:pPr>
        <w:pStyle w:val="2"/>
        <w:spacing w:before="312" w:beforeLines="100"/>
        <w:jc w:val="center"/>
        <w:rPr>
          <w:rFonts w:asci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fmt="decimal" w:start="1"/>
          <w:cols w:space="720" w:num="1"/>
          <w:titlePg/>
          <w:docGrid w:type="lines" w:linePitch="312" w:charSpace="0"/>
        </w:sectPr>
      </w:pPr>
      <w:bookmarkStart w:id="170" w:name="_GoBack"/>
      <w:bookmarkEnd w:id="170"/>
    </w:p>
    <w:p w14:paraId="438B0B33">
      <w:pPr>
        <w:pStyle w:val="2"/>
        <w:keepNext w:val="0"/>
        <w:keepLines/>
        <w:pageBreakBefore/>
        <w:spacing w:before="156" w:beforeLines="50" w:after="156" w:afterLines="50" w:line="360" w:lineRule="auto"/>
        <w:jc w:val="center"/>
        <w:rPr>
          <w:rFonts w:ascii="宋体" w:eastAsia="宋体" w:cs="宋体"/>
          <w:bCs/>
          <w:sz w:val="36"/>
          <w:szCs w:val="36"/>
          <w:highlight w:val="none"/>
        </w:rPr>
      </w:pPr>
      <w:bookmarkStart w:id="12" w:name="_Toc2705"/>
      <w:bookmarkStart w:id="13" w:name="_Toc423973071"/>
      <w:bookmarkStart w:id="14" w:name="_Toc25782"/>
      <w:bookmarkStart w:id="15" w:name="_Toc30717"/>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bookmarkEnd w:id="14"/>
      <w:bookmarkEnd w:id="15"/>
    </w:p>
    <w:p w14:paraId="47FBE4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highlight w:val="none"/>
        </w:rPr>
      </w:pPr>
      <w:bookmarkStart w:id="16" w:name="_Toc2929"/>
      <w:bookmarkStart w:id="17" w:name="_Toc389582035"/>
      <w:bookmarkStart w:id="18" w:name="_Toc3334"/>
      <w:bookmarkStart w:id="19" w:name="_Toc423973072"/>
      <w:bookmarkStart w:id="20" w:name="_Toc14793"/>
      <w:bookmarkStart w:id="21" w:name="_Toc29249"/>
      <w:bookmarkStart w:id="22" w:name="_Toc4831"/>
      <w:r>
        <w:rPr>
          <w:rStyle w:val="25"/>
          <w:rFonts w:hint="eastAsia" w:ascii="宋体" w:hAnsi="宋体" w:eastAsia="宋体" w:cs="宋体"/>
          <w:b/>
          <w:bCs/>
          <w:i w:val="0"/>
          <w:iCs w:val="0"/>
          <w:caps w:val="0"/>
          <w:color w:val="333333"/>
          <w:spacing w:val="0"/>
          <w:sz w:val="24"/>
          <w:szCs w:val="24"/>
          <w:highlight w:val="none"/>
          <w:shd w:val="clear" w:fill="FFFFFF"/>
          <w:vertAlign w:val="baseline"/>
        </w:rPr>
        <w:t>项目概况</w:t>
      </w:r>
    </w:p>
    <w:p w14:paraId="5B5985E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eastAsia="zh-CN"/>
        </w:rPr>
        <w:t>Y304王阎镇大坪至延坪镇白龙公路靳家河段380米道路改造项目</w:t>
      </w:r>
      <w:r>
        <w:rPr>
          <w:rFonts w:hint="eastAsia" w:ascii="宋体" w:hAnsi="宋体" w:eastAsia="宋体" w:cs="宋体"/>
          <w:i w:val="0"/>
          <w:iCs w:val="0"/>
          <w:caps w:val="0"/>
          <w:color w:val="333333"/>
          <w:spacing w:val="0"/>
          <w:sz w:val="24"/>
          <w:szCs w:val="24"/>
          <w:highlight w:val="none"/>
          <w:shd w:val="clear" w:fill="FFFFFF"/>
          <w:vertAlign w:val="baseline"/>
        </w:rPr>
        <w:t>采购项目的潜在供应商应在</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陕西省西安市经济技术开发区未央路171-1号银池道拉斯财富中心21楼03室</w:t>
      </w:r>
      <w:r>
        <w:rPr>
          <w:rFonts w:hint="eastAsia" w:ascii="宋体" w:hAnsi="宋体" w:eastAsia="宋体" w:cs="宋体"/>
          <w:i w:val="0"/>
          <w:iCs w:val="0"/>
          <w:caps w:val="0"/>
          <w:color w:val="333333"/>
          <w:spacing w:val="0"/>
          <w:sz w:val="24"/>
          <w:szCs w:val="24"/>
          <w:highlight w:val="none"/>
          <w:shd w:val="clear" w:fill="FFFFFF"/>
          <w:vertAlign w:val="baseline"/>
        </w:rPr>
        <w:t>获取采购文件，并</w:t>
      </w:r>
      <w:r>
        <w:rPr>
          <w:rFonts w:hint="eastAsia" w:ascii="宋体" w:hAnsi="宋体" w:eastAsia="宋体" w:cs="宋体"/>
          <w:i w:val="0"/>
          <w:iCs w:val="0"/>
          <w:caps w:val="0"/>
          <w:color w:val="333333"/>
          <w:spacing w:val="0"/>
          <w:sz w:val="24"/>
          <w:szCs w:val="24"/>
          <w:highlight w:val="none"/>
          <w:shd w:val="clear" w:fill="FFFFFF"/>
          <w:vertAlign w:val="baseline"/>
        </w:rPr>
        <w:t>于20</w:t>
      </w:r>
      <w:r>
        <w:rPr>
          <w:rFonts w:hint="eastAsia" w:cs="宋体"/>
          <w:i w:val="0"/>
          <w:iCs w:val="0"/>
          <w:caps w:val="0"/>
          <w:color w:val="333333"/>
          <w:spacing w:val="0"/>
          <w:sz w:val="24"/>
          <w:szCs w:val="24"/>
          <w:highlight w:val="none"/>
          <w:shd w:val="clear" w:fill="FFFFFF"/>
          <w:vertAlign w:val="baseline"/>
          <w:lang w:val="en-US" w:eastAsia="zh-CN"/>
        </w:rPr>
        <w:t>25</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12</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04</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w:t>
      </w:r>
      <w:r>
        <w:rPr>
          <w:rFonts w:hint="eastAsia" w:ascii="宋体" w:hAnsi="宋体" w:eastAsia="宋体" w:cs="宋体"/>
          <w:i w:val="0"/>
          <w:iCs w:val="0"/>
          <w:caps w:val="0"/>
          <w:color w:val="333333"/>
          <w:spacing w:val="0"/>
          <w:sz w:val="24"/>
          <w:szCs w:val="24"/>
          <w:highlight w:val="none"/>
          <w:shd w:val="clear" w:fill="FFFFFF"/>
          <w:vertAlign w:val="baseline"/>
        </w:rPr>
        <w:t>（北京时间）前提交响应文件。</w:t>
      </w:r>
    </w:p>
    <w:p w14:paraId="2FA6F6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14:paraId="6F393B9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cs="宋体"/>
          <w:i w:val="0"/>
          <w:iCs w:val="0"/>
          <w:caps w:val="0"/>
          <w:color w:val="333333"/>
          <w:spacing w:val="0"/>
          <w:sz w:val="24"/>
          <w:szCs w:val="24"/>
          <w:highlight w:val="none"/>
          <w:shd w:val="clear" w:fill="FFFFFF"/>
          <w:vertAlign w:val="baseline"/>
          <w:lang w:eastAsia="zh-CN"/>
        </w:rPr>
        <w:t>SXZCZB2025-ZCCS-1124</w:t>
      </w:r>
    </w:p>
    <w:p w14:paraId="4A1A32C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cs="宋体"/>
          <w:i w:val="0"/>
          <w:iCs w:val="0"/>
          <w:caps w:val="0"/>
          <w:color w:val="333333"/>
          <w:spacing w:val="0"/>
          <w:sz w:val="24"/>
          <w:szCs w:val="24"/>
          <w:highlight w:val="none"/>
          <w:shd w:val="clear" w:fill="FFFFFF"/>
          <w:vertAlign w:val="baseline"/>
          <w:lang w:eastAsia="zh-CN"/>
        </w:rPr>
        <w:t>Y304王阎镇大坪至延坪镇白龙公路靳家河段380米道路改造项目</w:t>
      </w:r>
    </w:p>
    <w:p w14:paraId="546CAD7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采购方式：</w:t>
      </w:r>
      <w:r>
        <w:rPr>
          <w:rFonts w:hint="eastAsia" w:cs="宋体"/>
          <w:i w:val="0"/>
          <w:iCs w:val="0"/>
          <w:caps w:val="0"/>
          <w:color w:val="333333"/>
          <w:spacing w:val="0"/>
          <w:sz w:val="24"/>
          <w:szCs w:val="24"/>
          <w:highlight w:val="none"/>
          <w:shd w:val="clear" w:fill="FFFFFF"/>
          <w:vertAlign w:val="baseline"/>
          <w:lang w:val="en-US" w:eastAsia="zh-CN"/>
        </w:rPr>
        <w:t>竞争性磋商</w:t>
      </w:r>
    </w:p>
    <w:p w14:paraId="113B8A7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预算金额：</w:t>
      </w:r>
      <w:r>
        <w:rPr>
          <w:rFonts w:hint="eastAsia" w:cs="宋体"/>
          <w:i w:val="0"/>
          <w:iCs w:val="0"/>
          <w:caps w:val="0"/>
          <w:color w:val="333333"/>
          <w:spacing w:val="0"/>
          <w:sz w:val="24"/>
          <w:szCs w:val="24"/>
          <w:highlight w:val="none"/>
          <w:shd w:val="clear" w:fill="FFFFFF"/>
          <w:vertAlign w:val="baseline"/>
          <w:lang w:val="en-US" w:eastAsia="zh-CN"/>
        </w:rPr>
        <w:t>1967969.00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5245971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14:paraId="5A317E2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Y304王阎镇大坪至延坪镇白龙公路靳家河段380米道路改造项目</w:t>
      </w:r>
      <w:r>
        <w:rPr>
          <w:rFonts w:hint="eastAsia" w:ascii="宋体" w:hAnsi="宋体" w:eastAsia="宋体" w:cs="宋体"/>
          <w:i w:val="0"/>
          <w:iCs w:val="0"/>
          <w:caps w:val="0"/>
          <w:color w:val="333333"/>
          <w:spacing w:val="0"/>
          <w:sz w:val="24"/>
          <w:szCs w:val="24"/>
          <w:highlight w:val="none"/>
          <w:shd w:val="clear" w:fill="FFFFFF"/>
          <w:vertAlign w:val="baseline"/>
        </w:rPr>
        <w:t>):</w:t>
      </w:r>
    </w:p>
    <w:p w14:paraId="3AF1A11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w:t>
      </w:r>
      <w:r>
        <w:rPr>
          <w:rFonts w:hint="eastAsia" w:cs="宋体"/>
          <w:i w:val="0"/>
          <w:iCs w:val="0"/>
          <w:caps w:val="0"/>
          <w:color w:val="333333"/>
          <w:spacing w:val="0"/>
          <w:sz w:val="24"/>
          <w:szCs w:val="24"/>
          <w:highlight w:val="none"/>
          <w:shd w:val="clear" w:fill="FFFFFF"/>
          <w:vertAlign w:val="baseline"/>
          <w:lang w:val="en-US" w:eastAsia="zh-CN"/>
        </w:rPr>
        <w:t>1967969.00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33751D3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lang w:eastAsia="zh-CN"/>
        </w:rPr>
        <w:t>合同包最高限价：</w:t>
      </w:r>
      <w:r>
        <w:rPr>
          <w:rFonts w:hint="eastAsia" w:cs="宋体"/>
          <w:i w:val="0"/>
          <w:iCs w:val="0"/>
          <w:caps w:val="0"/>
          <w:color w:val="333333"/>
          <w:spacing w:val="0"/>
          <w:sz w:val="24"/>
          <w:szCs w:val="24"/>
          <w:highlight w:val="none"/>
          <w:shd w:val="clear" w:fill="FFFFFF"/>
          <w:vertAlign w:val="baseline"/>
          <w:lang w:val="en-US" w:eastAsia="zh-CN"/>
        </w:rPr>
        <w:t>1967969.00</w:t>
      </w:r>
      <w:r>
        <w:rPr>
          <w:rFonts w:hint="eastAsia" w:ascii="宋体" w:hAnsi="宋体" w:eastAsia="宋体" w:cs="宋体"/>
          <w:i w:val="0"/>
          <w:iCs w:val="0"/>
          <w:caps w:val="0"/>
          <w:color w:val="333333"/>
          <w:spacing w:val="0"/>
          <w:sz w:val="24"/>
          <w:szCs w:val="24"/>
          <w:highlight w:val="none"/>
          <w:shd w:val="clear" w:fill="FFFFFF"/>
          <w:vertAlign w:val="baseline"/>
        </w:rPr>
        <w:t>元</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2"/>
        <w:gridCol w:w="1564"/>
        <w:gridCol w:w="1301"/>
        <w:gridCol w:w="1126"/>
        <w:gridCol w:w="1556"/>
        <w:gridCol w:w="1599"/>
        <w:gridCol w:w="1600"/>
      </w:tblGrid>
      <w:tr w14:paraId="7BE9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F7E2A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03FA2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1C7AC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11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D5A5E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CE005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85DAD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F1A2F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最高限价(元)</w:t>
            </w:r>
          </w:p>
        </w:tc>
      </w:tr>
      <w:tr w14:paraId="799C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3EF9B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71AFC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城市道路工程施工</w:t>
            </w:r>
          </w:p>
        </w:tc>
        <w:tc>
          <w:tcPr>
            <w:tcW w:w="1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57236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eastAsia="zh-CN"/>
              </w:rPr>
              <w:t>Y304王阎镇大坪至延坪镇白龙公路靳家河段380米道路改造项目</w:t>
            </w:r>
          </w:p>
        </w:tc>
        <w:tc>
          <w:tcPr>
            <w:tcW w:w="11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050D5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hAnsi="宋体" w:cs="宋体"/>
                <w:sz w:val="24"/>
                <w:szCs w:val="24"/>
                <w:highlight w:val="none"/>
                <w:lang w:val="en-US" w:eastAsia="zh-CN"/>
              </w:rPr>
              <w:t>项</w:t>
            </w:r>
            <w:r>
              <w:rPr>
                <w:rFonts w:hint="eastAsia" w:ascii="宋体" w:hAnsi="宋体" w:eastAsia="宋体" w:cs="宋体"/>
                <w:sz w:val="24"/>
                <w:szCs w:val="24"/>
                <w:highlight w:val="none"/>
              </w:rPr>
              <w:t>)</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31D15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w:t>
            </w:r>
            <w:r>
              <w:rPr>
                <w:rFonts w:hint="eastAsia" w:hAnsi="宋体" w:cs="宋体"/>
                <w:kern w:val="0"/>
                <w:sz w:val="24"/>
                <w:szCs w:val="24"/>
                <w:highlight w:val="none"/>
                <w:lang w:val="en-US" w:eastAsia="zh-CN" w:bidi="ar"/>
              </w:rPr>
              <w:t>采购</w:t>
            </w:r>
            <w:r>
              <w:rPr>
                <w:rFonts w:hint="eastAsia" w:ascii="宋体" w:hAnsi="宋体" w:eastAsia="宋体" w:cs="宋体"/>
                <w:kern w:val="0"/>
                <w:sz w:val="24"/>
                <w:szCs w:val="24"/>
                <w:highlight w:val="none"/>
                <w:lang w:val="en-US" w:eastAsia="zh-CN" w:bidi="ar"/>
              </w:rPr>
              <w:t>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A56CFC">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val="en-US" w:eastAsia="zh-CN"/>
              </w:rPr>
              <w:t>1967969.00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8178DE">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val="en-US" w:eastAsia="zh-CN"/>
              </w:rPr>
              <w:t>1967969.00</w:t>
            </w:r>
          </w:p>
        </w:tc>
      </w:tr>
    </w:tbl>
    <w:p w14:paraId="623F4A9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磋商</w:t>
      </w:r>
    </w:p>
    <w:p w14:paraId="34A8E37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合同履行期限：无</w:t>
      </w:r>
    </w:p>
    <w:p w14:paraId="05BABC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14:paraId="18B9715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14:paraId="2CF0C42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14:paraId="175CEED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Y304王阎镇大坪至延坪镇白龙公路靳家河段380米道路改造项目</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w:t>
      </w:r>
    </w:p>
    <w:p w14:paraId="138C82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（1）《政府采购促进中小企业发展管理办法》（财库〔2020〕46号）；</w:t>
      </w:r>
    </w:p>
    <w:p w14:paraId="001CC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（2）《财政部司法部关于政府采购支持监狱企业发展有关问题的通知》（财库〔2014〕68号）；</w:t>
      </w:r>
    </w:p>
    <w:p w14:paraId="03EAF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（3）《关于促进残疾人就业政府采购政策的通知》（财库〔2017〕141号）；</w:t>
      </w:r>
    </w:p>
    <w:p w14:paraId="77FD9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（4）《节能产品政府采购实施意见》（财库〔2004〕185号）；</w:t>
      </w:r>
    </w:p>
    <w:p w14:paraId="101374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（5）《环境标志产品政府采购实施的意见》（财库〔2006〕90号）；</w:t>
      </w:r>
    </w:p>
    <w:p w14:paraId="67FB25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（6）《国务院办公厅关于建立政府强制采购节能产品制度的通知》（国办发〔2007〕51号）；</w:t>
      </w:r>
    </w:p>
    <w:p w14:paraId="1519C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（7）财政部发展改革委生态环境部市场监管总局关于调整优化节能产品、环境标志产品政府采购执行机制的通知（财库〔2019〕9号）；</w:t>
      </w:r>
    </w:p>
    <w:p w14:paraId="7B8C55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（8）《关于印发环境标志产品政府采购品目清单的通知》（财库〔2019〕18号）；</w:t>
      </w:r>
    </w:p>
    <w:p w14:paraId="1F6ED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（9）《关于印发节能产品政府采购品目清单的通知》（财库〔2019〕19号）；</w:t>
      </w:r>
    </w:p>
    <w:p w14:paraId="1D33C2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（10）《市场监督总局关于发布参与实施政府采购节能产品、环境标志产品认证机构名录的公告》（2019年第16号）；</w:t>
      </w:r>
    </w:p>
    <w:p w14:paraId="45B91B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（11）《关于运用政府采购政策支持乡村产业振兴的通知》（财库〔2021〕19号）；</w:t>
      </w:r>
    </w:p>
    <w:p w14:paraId="73CE6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（12）陕西省财政厅关于印发《陕西省中小企业政府采购信用融资办法》（陕财办采〔2018〕23号），相关政策、业务流程、办理平台（详见http://www.ccgp-shaanxi.gov.cn/zcdservice/zcd/shanxi/）；</w:t>
      </w:r>
    </w:p>
    <w:p w14:paraId="0886D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（13）《陕西省财政厅关于加快推进我省中小企业政府采购信用融资工作的通知》（陕财办采〔2020〕15号）；</w:t>
      </w:r>
    </w:p>
    <w:p w14:paraId="5D53C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（14）《关于进一步加强政府绿色采购有关问题的通知》（陕财办采〔2021〕29号）；</w:t>
      </w:r>
    </w:p>
    <w:p w14:paraId="12A5EA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（15）《陕西省财政厅陕西省工业和信息化厅关于运用政府采购政策支持首台（套）及创新产品有关事项的通知》（陕财办采〔2021〕17号）；</w:t>
      </w:r>
    </w:p>
    <w:p w14:paraId="4F34F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（16）《关于进一步加大政府采购支持中小企业力度的通知》（财库〔2022〕19号）、《关于落实政府采购支持中小企业政策有关事项的通知》（陕财办采函〔2022〕10号）；</w:t>
      </w:r>
    </w:p>
    <w:p w14:paraId="41BD3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（17）其他需要落实的政府采购政策。</w:t>
      </w:r>
    </w:p>
    <w:p w14:paraId="4248B8D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14:paraId="6486AB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合同包1(</w:t>
      </w:r>
      <w:r>
        <w:rPr>
          <w:rFonts w:hint="eastAsia" w:hAnsi="宋体" w:cs="宋体"/>
          <w:i w:val="0"/>
          <w:iCs w:val="0"/>
          <w:caps w:val="0"/>
          <w:color w:val="333333"/>
          <w:spacing w:val="0"/>
          <w:kern w:val="0"/>
          <w:sz w:val="24"/>
          <w:szCs w:val="24"/>
          <w:highlight w:val="none"/>
          <w:shd w:val="clear" w:fill="FFFFFF"/>
          <w:vertAlign w:val="baseline"/>
          <w:lang w:val="en-US" w:eastAsia="zh-CN" w:bidi="ar-SA"/>
        </w:rPr>
        <w:t>Y304王阎镇大坪至延坪镇白龙公路靳家河段380米道路改造项目</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)特定资格要求如下:</w:t>
      </w:r>
    </w:p>
    <w:p w14:paraId="4956B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（1）具有独立承担民事责任能力的法人、其他组织或自然人，并出具合法有效的统一社会信用代码的营业执照或事业单位法人证书 等国家规定的相关证明，自然人参与的提供其身份证明； </w:t>
      </w:r>
    </w:p>
    <w:p w14:paraId="6ACF1D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（2）提供法定代表人授权书（附法定代表人、被授权人身份证复印件），法定代表人直接参加磋商，须提供法定代表人身份证明（ 附法定代表人身份证复印件）； </w:t>
      </w:r>
    </w:p>
    <w:p w14:paraId="15BF6C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（3）财务状况报告：提供</w:t>
      </w:r>
      <w:r>
        <w:rPr>
          <w:rFonts w:hint="eastAsia" w:hAnsi="宋体" w:cs="宋体"/>
          <w:i w:val="0"/>
          <w:iCs w:val="0"/>
          <w:caps w:val="0"/>
          <w:color w:val="333333"/>
          <w:spacing w:val="0"/>
          <w:kern w:val="0"/>
          <w:sz w:val="24"/>
          <w:szCs w:val="24"/>
          <w:highlight w:val="none"/>
          <w:shd w:val="clear" w:fill="FFFFFF"/>
          <w:vertAlign w:val="baseline"/>
          <w:lang w:val="en-US" w:eastAsia="zh-CN" w:bidi="ar-SA"/>
        </w:rPr>
        <w:t>2024年度的财务审计报告</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（至少包括资产负债表和利润表，成立时间至提交响应文件截止时间不足一年的可提供成立后任意时段的资产负债表），或开标时间前六个月内银行出具的资信证明； </w:t>
      </w:r>
      <w:r>
        <w:rPr>
          <w:rFonts w:hint="eastAsia" w:hAnsi="宋体" w:cs="宋体"/>
          <w:i w:val="0"/>
          <w:iCs w:val="0"/>
          <w:caps w:val="0"/>
          <w:color w:val="333333"/>
          <w:spacing w:val="0"/>
          <w:kern w:val="0"/>
          <w:sz w:val="24"/>
          <w:szCs w:val="24"/>
          <w:highlight w:val="none"/>
          <w:shd w:val="clear" w:fill="FFFFFF"/>
          <w:vertAlign w:val="baseline"/>
          <w:lang w:val="en-US" w:eastAsia="zh-CN" w:bidi="ar-SA"/>
        </w:rPr>
        <w:t xml:space="preserve"> </w:t>
      </w:r>
    </w:p>
    <w:p w14:paraId="241780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（4）</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税收缴纳证明：提供响应文件截止日前一年内已缴纳的至少一个月的纳税证明或完税证明（任意税种），依法免税的单位应提供相关证明材料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 </w:t>
      </w:r>
    </w:p>
    <w:p w14:paraId="7984FA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5）社会保障资金缴纳证明：提供响应文件截止日前一年内已缴存的至少一个月的社会保障资金缴存单据或社保机构开具的社会保险参保缴费情况证明，依法不需要缴纳社会保障资金的单位应提供相关证明材料； </w:t>
      </w:r>
    </w:p>
    <w:p w14:paraId="601D04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）提供具有履行本合同所必需的设备和专业技术能力的说明及承诺书； </w:t>
      </w:r>
    </w:p>
    <w:p w14:paraId="1A1746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7</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）供应商应通过</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信用中国</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网站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(www.creditchina.gov.cn)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、中国政府采购网</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(www.ccgp.gov.cn)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查询相关主体信用记录； </w:t>
      </w:r>
    </w:p>
    <w:p w14:paraId="2B8E49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8</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）参加政府采购活动前</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3</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年内，在经营活动中没有重大违法记录的书面声明； </w:t>
      </w:r>
    </w:p>
    <w:p w14:paraId="5E6061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9</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）供应商须具备建设行政主管部门颁发的市政公用工程施工总承包三级及以上资质，且具有有效的安全生产许可证；</w:t>
      </w:r>
    </w:p>
    <w:p w14:paraId="6050E5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（10）拟派项目负责人具有市政公用工程专业二级以上（含二级）注册建造师资格及有效的安全生产考核合格证书，且无其他在建项目（提供无在建工程的承诺函）；</w:t>
      </w:r>
    </w:p>
    <w:p w14:paraId="5012A9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（11）供应商须提供中小企业声明函； </w:t>
      </w:r>
    </w:p>
    <w:p w14:paraId="598E91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12</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）本项目不接受联合体磋商（提供承诺书）。 </w:t>
      </w:r>
    </w:p>
    <w:p w14:paraId="719630F5">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Chars="0" w:right="0" w:rightChars="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三、获取</w:t>
      </w:r>
      <w:r>
        <w:rPr>
          <w:rStyle w:val="25"/>
          <w:rFonts w:hint="eastAsia" w:ascii="宋体" w:hAnsi="宋体" w:eastAsia="宋体" w:cs="宋体"/>
          <w:b/>
          <w:bCs/>
          <w:i w:val="0"/>
          <w:iCs w:val="0"/>
          <w:caps w:val="0"/>
          <w:color w:val="333333"/>
          <w:spacing w:val="0"/>
          <w:sz w:val="24"/>
          <w:szCs w:val="24"/>
          <w:highlight w:val="none"/>
          <w:shd w:val="clear" w:fill="FFFFFF"/>
          <w:vertAlign w:val="baseline"/>
          <w:lang w:val="en-US" w:eastAsia="zh-CN"/>
        </w:rPr>
        <w:t>采购</w:t>
      </w:r>
      <w:r>
        <w:rPr>
          <w:rStyle w:val="25"/>
          <w:rFonts w:hint="eastAsia" w:ascii="宋体" w:hAnsi="宋体" w:eastAsia="宋体" w:cs="宋体"/>
          <w:b/>
          <w:bCs/>
          <w:i w:val="0"/>
          <w:iCs w:val="0"/>
          <w:caps w:val="0"/>
          <w:color w:val="333333"/>
          <w:spacing w:val="0"/>
          <w:sz w:val="24"/>
          <w:szCs w:val="24"/>
          <w:highlight w:val="none"/>
          <w:shd w:val="clear" w:fill="FFFFFF"/>
          <w:vertAlign w:val="baseline"/>
        </w:rPr>
        <w:t>文件</w:t>
      </w:r>
    </w:p>
    <w:p w14:paraId="17CC5BC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w:t>
      </w:r>
      <w:r>
        <w:rPr>
          <w:rFonts w:hint="eastAsia" w:ascii="宋体" w:hAnsi="宋体" w:eastAsia="宋体" w:cs="宋体"/>
          <w:i w:val="0"/>
          <w:iCs w:val="0"/>
          <w:caps w:val="0"/>
          <w:color w:val="333333"/>
          <w:spacing w:val="0"/>
          <w:sz w:val="24"/>
          <w:szCs w:val="24"/>
          <w:highlight w:val="none"/>
          <w:shd w:val="clear" w:fill="FFFFFF"/>
          <w:vertAlign w:val="baseline"/>
        </w:rPr>
        <w:t>20</w:t>
      </w:r>
      <w:r>
        <w:rPr>
          <w:rFonts w:hint="eastAsia" w:ascii="宋体" w:hAnsi="宋体" w:cs="宋体"/>
          <w:i w:val="0"/>
          <w:iCs w:val="0"/>
          <w:caps w:val="0"/>
          <w:color w:val="333333"/>
          <w:spacing w:val="0"/>
          <w:sz w:val="24"/>
          <w:szCs w:val="24"/>
          <w:highlight w:val="none"/>
          <w:shd w:val="clear" w:fill="FFFFFF"/>
          <w:vertAlign w:val="baseline"/>
          <w:lang w:val="en-US" w:eastAsia="zh-CN"/>
        </w:rPr>
        <w:t>2</w:t>
      </w:r>
      <w:r>
        <w:rPr>
          <w:rFonts w:hint="eastAsia" w:cs="宋体"/>
          <w:i w:val="0"/>
          <w:iCs w:val="0"/>
          <w:caps w:val="0"/>
          <w:color w:val="333333"/>
          <w:spacing w:val="0"/>
          <w:sz w:val="24"/>
          <w:szCs w:val="24"/>
          <w:highlight w:val="none"/>
          <w:shd w:val="clear" w:fill="FFFFFF"/>
          <w:vertAlign w:val="baseline"/>
          <w:lang w:val="en-US" w:eastAsia="zh-CN"/>
        </w:rPr>
        <w:t>5</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11</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24</w:t>
      </w:r>
      <w:r>
        <w:rPr>
          <w:rFonts w:hint="eastAsia" w:ascii="宋体" w:hAnsi="宋体" w:eastAsia="宋体" w:cs="宋体"/>
          <w:i w:val="0"/>
          <w:iCs w:val="0"/>
          <w:caps w:val="0"/>
          <w:color w:val="333333"/>
          <w:spacing w:val="0"/>
          <w:sz w:val="24"/>
          <w:szCs w:val="24"/>
          <w:highlight w:val="none"/>
          <w:shd w:val="clear" w:fill="FFFFFF"/>
          <w:vertAlign w:val="baseline"/>
        </w:rPr>
        <w:t>日至20</w:t>
      </w:r>
      <w:r>
        <w:rPr>
          <w:rFonts w:hint="eastAsia" w:ascii="宋体" w:hAnsi="宋体" w:cs="宋体"/>
          <w:i w:val="0"/>
          <w:iCs w:val="0"/>
          <w:caps w:val="0"/>
          <w:color w:val="333333"/>
          <w:spacing w:val="0"/>
          <w:sz w:val="24"/>
          <w:szCs w:val="24"/>
          <w:highlight w:val="none"/>
          <w:shd w:val="clear" w:fill="FFFFFF"/>
          <w:vertAlign w:val="baseline"/>
          <w:lang w:val="en-US" w:eastAsia="zh-CN"/>
        </w:rPr>
        <w:t>25</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12</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28</w:t>
      </w:r>
      <w:r>
        <w:rPr>
          <w:rFonts w:hint="eastAsia" w:ascii="宋体" w:hAnsi="宋体" w:eastAsia="宋体" w:cs="宋体"/>
          <w:i w:val="0"/>
          <w:iCs w:val="0"/>
          <w:caps w:val="0"/>
          <w:color w:val="333333"/>
          <w:spacing w:val="0"/>
          <w:sz w:val="24"/>
          <w:szCs w:val="24"/>
          <w:highlight w:val="none"/>
          <w:shd w:val="clear" w:fill="FFFFFF"/>
          <w:vertAlign w:val="baseline"/>
        </w:rPr>
        <w:t>日，每天</w:t>
      </w:r>
      <w:r>
        <w:rPr>
          <w:rFonts w:hint="eastAsia" w:ascii="宋体" w:hAnsi="宋体" w:eastAsia="宋体" w:cs="宋体"/>
          <w:i w:val="0"/>
          <w:iCs w:val="0"/>
          <w:caps w:val="0"/>
          <w:color w:val="333333"/>
          <w:spacing w:val="0"/>
          <w:sz w:val="24"/>
          <w:szCs w:val="24"/>
          <w:highlight w:val="none"/>
          <w:shd w:val="clear" w:fill="FFFFFF"/>
          <w:vertAlign w:val="baseline"/>
        </w:rPr>
        <w:t>上午 09:00:00 至 12:00:00 ，下午 14:00:00 至 17:00:00 （北京时间）</w:t>
      </w:r>
    </w:p>
    <w:p w14:paraId="1CCC83A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途径：</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陕西省西安市经济技术开发区未央路171-1号银池道拉斯财富中心21楼03室</w:t>
      </w:r>
    </w:p>
    <w:p w14:paraId="3F5DD69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14:paraId="3F6346F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售价：</w:t>
      </w:r>
      <w:r>
        <w:rPr>
          <w:rFonts w:hint="eastAsia" w:cs="宋体"/>
          <w:i w:val="0"/>
          <w:iCs w:val="0"/>
          <w:caps w:val="0"/>
          <w:color w:val="333333"/>
          <w:spacing w:val="0"/>
          <w:sz w:val="24"/>
          <w:szCs w:val="24"/>
          <w:highlight w:val="none"/>
          <w:shd w:val="clear" w:fill="FFFFFF"/>
          <w:vertAlign w:val="baseline"/>
          <w:lang w:val="en-US" w:eastAsia="zh-CN"/>
        </w:rPr>
        <w:t>0元</w:t>
      </w:r>
    </w:p>
    <w:p w14:paraId="72CEAA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14:paraId="53D8AC7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w:t>
      </w:r>
      <w:r>
        <w:rPr>
          <w:rFonts w:hint="eastAsia" w:ascii="宋体" w:hAnsi="宋体" w:eastAsia="宋体" w:cs="宋体"/>
          <w:i w:val="0"/>
          <w:iCs w:val="0"/>
          <w:caps w:val="0"/>
          <w:color w:val="333333"/>
          <w:spacing w:val="0"/>
          <w:sz w:val="24"/>
          <w:szCs w:val="24"/>
          <w:highlight w:val="none"/>
          <w:shd w:val="clear" w:fill="FFFFFF"/>
          <w:vertAlign w:val="baseline"/>
        </w:rPr>
        <w:t>20</w:t>
      </w:r>
      <w:r>
        <w:rPr>
          <w:rFonts w:hint="eastAsia" w:cs="宋体"/>
          <w:i w:val="0"/>
          <w:iCs w:val="0"/>
          <w:caps w:val="0"/>
          <w:color w:val="333333"/>
          <w:spacing w:val="0"/>
          <w:sz w:val="24"/>
          <w:szCs w:val="24"/>
          <w:highlight w:val="none"/>
          <w:shd w:val="clear" w:fill="FFFFFF"/>
          <w:vertAlign w:val="baseline"/>
          <w:lang w:val="en-US" w:eastAsia="zh-CN"/>
        </w:rPr>
        <w:t>25</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12</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04</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w:t>
      </w:r>
      <w:r>
        <w:rPr>
          <w:rFonts w:hint="eastAsia" w:ascii="宋体" w:hAnsi="宋体" w:eastAsia="宋体" w:cs="宋体"/>
          <w:i w:val="0"/>
          <w:iCs w:val="0"/>
          <w:caps w:val="0"/>
          <w:color w:val="333333"/>
          <w:spacing w:val="0"/>
          <w:sz w:val="24"/>
          <w:szCs w:val="24"/>
          <w:highlight w:val="none"/>
          <w:shd w:val="clear" w:fill="FFFFFF"/>
          <w:vertAlign w:val="baseline"/>
        </w:rPr>
        <w:t>（北京时间）</w:t>
      </w:r>
    </w:p>
    <w:p w14:paraId="0F5B165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陕西省西安市经济技术开发区未央路171-1号银池道拉斯财富中心21楼03室</w:t>
      </w:r>
    </w:p>
    <w:p w14:paraId="50A7CD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五、开启</w:t>
      </w:r>
    </w:p>
    <w:p w14:paraId="2F736C1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w:t>
      </w:r>
      <w:r>
        <w:rPr>
          <w:rFonts w:hint="eastAsia" w:ascii="宋体" w:hAnsi="宋体" w:eastAsia="宋体" w:cs="宋体"/>
          <w:i w:val="0"/>
          <w:iCs w:val="0"/>
          <w:caps w:val="0"/>
          <w:color w:val="333333"/>
          <w:spacing w:val="0"/>
          <w:sz w:val="24"/>
          <w:szCs w:val="24"/>
          <w:highlight w:val="none"/>
          <w:shd w:val="clear" w:fill="FFFFFF"/>
          <w:vertAlign w:val="baseline"/>
        </w:rPr>
        <w:t>20</w:t>
      </w:r>
      <w:r>
        <w:rPr>
          <w:rFonts w:hint="eastAsia" w:cs="宋体"/>
          <w:i w:val="0"/>
          <w:iCs w:val="0"/>
          <w:caps w:val="0"/>
          <w:color w:val="333333"/>
          <w:spacing w:val="0"/>
          <w:sz w:val="24"/>
          <w:szCs w:val="24"/>
          <w:highlight w:val="none"/>
          <w:shd w:val="clear" w:fill="FFFFFF"/>
          <w:vertAlign w:val="baseline"/>
          <w:lang w:val="en-US" w:eastAsia="zh-CN"/>
        </w:rPr>
        <w:t>25</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12</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04</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w:t>
      </w:r>
      <w:r>
        <w:rPr>
          <w:rFonts w:hint="eastAsia" w:ascii="宋体" w:hAnsi="宋体" w:eastAsia="宋体" w:cs="宋体"/>
          <w:i w:val="0"/>
          <w:iCs w:val="0"/>
          <w:caps w:val="0"/>
          <w:color w:val="333333"/>
          <w:spacing w:val="0"/>
          <w:sz w:val="24"/>
          <w:szCs w:val="24"/>
          <w:highlight w:val="none"/>
          <w:shd w:val="clear" w:fill="FFFFFF"/>
          <w:vertAlign w:val="baseline"/>
        </w:rPr>
        <w:t>（北京时间）</w:t>
      </w:r>
    </w:p>
    <w:p w14:paraId="62843BE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陕西省西安市经济技术开发区未央路171-1号银池道拉斯财富中心21楼03室</w:t>
      </w:r>
    </w:p>
    <w:p w14:paraId="07D9B8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六、公告期限</w:t>
      </w:r>
    </w:p>
    <w:p w14:paraId="6E8C9C4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14:paraId="7026FE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七、其他补充事宜</w:t>
      </w:r>
    </w:p>
    <w:p w14:paraId="1D49E9D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（1）供应商领取采购文件时，请携带单位介绍信及经办人身份证原件及复印件加盖公章；</w:t>
      </w:r>
    </w:p>
    <w:p w14:paraId="642F33E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（2）请</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供应商</w:t>
      </w:r>
      <w:r>
        <w:rPr>
          <w:rFonts w:hint="eastAsia" w:ascii="宋体" w:hAnsi="宋体" w:eastAsia="宋体" w:cs="宋体"/>
          <w:i w:val="0"/>
          <w:iCs w:val="0"/>
          <w:caps w:val="0"/>
          <w:color w:val="333333"/>
          <w:spacing w:val="0"/>
          <w:sz w:val="24"/>
          <w:szCs w:val="24"/>
          <w:highlight w:val="none"/>
          <w:shd w:val="clear" w:fill="FFFFFF"/>
          <w:vertAlign w:val="baseline"/>
        </w:rPr>
        <w:t>按照《陕西省财政厅关于政府采购供应商注册登记有关事项的通知》中的要求，通过陕西省政府采购网（http://www.ccgp-shaanxi.gov.cn/）注册登记加入陕西省政府采购供应商库；</w:t>
      </w:r>
    </w:p>
    <w:p w14:paraId="2E31E8E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（3）本项目</w:t>
      </w:r>
      <w:r>
        <w:rPr>
          <w:rFonts w:hint="eastAsia" w:cs="宋体"/>
          <w:i w:val="0"/>
          <w:iCs w:val="0"/>
          <w:caps w:val="0"/>
          <w:color w:val="333333"/>
          <w:spacing w:val="0"/>
          <w:sz w:val="24"/>
          <w:szCs w:val="24"/>
          <w:highlight w:val="none"/>
          <w:shd w:val="clear" w:fill="FFFFFF"/>
          <w:vertAlign w:val="baseline"/>
          <w:lang w:val="en-US" w:eastAsia="zh-CN"/>
        </w:rPr>
        <w:t>为</w:t>
      </w:r>
      <w:r>
        <w:rPr>
          <w:rFonts w:hint="eastAsia" w:ascii="宋体" w:hAnsi="宋体" w:eastAsia="宋体" w:cs="宋体"/>
          <w:i w:val="0"/>
          <w:iCs w:val="0"/>
          <w:caps w:val="0"/>
          <w:color w:val="333333"/>
          <w:spacing w:val="0"/>
          <w:sz w:val="24"/>
          <w:szCs w:val="24"/>
          <w:highlight w:val="none"/>
          <w:shd w:val="clear" w:fill="FFFFFF"/>
          <w:vertAlign w:val="baseline"/>
        </w:rPr>
        <w:t>专门面向中小企业</w:t>
      </w:r>
      <w:r>
        <w:rPr>
          <w:rFonts w:hint="eastAsia" w:cs="宋体"/>
          <w:i w:val="0"/>
          <w:iCs w:val="0"/>
          <w:caps w:val="0"/>
          <w:color w:val="333333"/>
          <w:spacing w:val="0"/>
          <w:sz w:val="24"/>
          <w:szCs w:val="24"/>
          <w:highlight w:val="none"/>
          <w:shd w:val="clear" w:fill="FFFFFF"/>
          <w:vertAlign w:val="baseline"/>
          <w:lang w:val="en-US" w:eastAsia="zh-CN"/>
        </w:rPr>
        <w:t>采购</w:t>
      </w:r>
      <w:r>
        <w:rPr>
          <w:rFonts w:hint="eastAsia" w:ascii="宋体" w:hAnsi="宋体" w:eastAsia="宋体" w:cs="宋体"/>
          <w:i w:val="0"/>
          <w:iCs w:val="0"/>
          <w:caps w:val="0"/>
          <w:color w:val="333333"/>
          <w:spacing w:val="0"/>
          <w:sz w:val="24"/>
          <w:szCs w:val="24"/>
          <w:highlight w:val="none"/>
          <w:shd w:val="clear" w:fill="FFFFFF"/>
          <w:vertAlign w:val="baseline"/>
        </w:rPr>
        <w:t>。</w:t>
      </w:r>
    </w:p>
    <w:p w14:paraId="4A9D7F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八、对本次招标提出询问，请按以下方式联系。</w:t>
      </w:r>
    </w:p>
    <w:p w14:paraId="1F1476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14:paraId="28E1A1D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山阳县王阎镇人民政府</w:t>
      </w:r>
    </w:p>
    <w:p w14:paraId="47D9F29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 陕西省商洛市山阳县王阎镇双河村上铺子组</w:t>
      </w:r>
    </w:p>
    <w:p w14:paraId="0924E00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联系方式：0914-8466096</w:t>
      </w:r>
    </w:p>
    <w:p w14:paraId="6D28A0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14:paraId="00821FC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陕西至诚项目管理集团有限公司</w:t>
      </w:r>
    </w:p>
    <w:p w14:paraId="452812A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陕西省西安市经济技术开发区未央路171-1号银池道拉斯财富中心21楼03室</w:t>
      </w:r>
    </w:p>
    <w:p w14:paraId="795E7FB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联系方式：029-88219779</w:t>
      </w:r>
    </w:p>
    <w:p w14:paraId="5C8F8C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14:paraId="68A5390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项目联系人：</w:t>
      </w:r>
      <w:r>
        <w:rPr>
          <w:rFonts w:hint="eastAsia" w:cs="宋体"/>
          <w:i w:val="0"/>
          <w:iCs w:val="0"/>
          <w:caps w:val="0"/>
          <w:color w:val="333333"/>
          <w:spacing w:val="0"/>
          <w:sz w:val="24"/>
          <w:szCs w:val="24"/>
          <w:highlight w:val="none"/>
          <w:shd w:val="clear" w:fill="FFFFFF"/>
          <w:vertAlign w:val="baseline"/>
          <w:lang w:val="en-US" w:eastAsia="zh-CN"/>
        </w:rPr>
        <w:t>胡晓均、</w:t>
      </w:r>
      <w:r>
        <w:rPr>
          <w:rFonts w:hint="eastAsia" w:ascii="宋体" w:hAnsi="宋体" w:eastAsia="宋体" w:cs="宋体"/>
          <w:i w:val="0"/>
          <w:iCs w:val="0"/>
          <w:caps w:val="0"/>
          <w:color w:val="333333"/>
          <w:spacing w:val="0"/>
          <w:sz w:val="24"/>
          <w:szCs w:val="24"/>
          <w:highlight w:val="none"/>
          <w:shd w:val="clear" w:fill="FFFFFF"/>
          <w:vertAlign w:val="baseline"/>
        </w:rPr>
        <w:t>倪沛</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王欣玫</w:t>
      </w:r>
    </w:p>
    <w:p w14:paraId="723203E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电话：029-88219779</w:t>
      </w:r>
    </w:p>
    <w:p w14:paraId="6CC48850">
      <w:pPr>
        <w:rPr>
          <w:rFonts w:hint="eastAsia" w:hAnsi="宋体" w:cs="宋体"/>
          <w:b/>
          <w:bCs/>
          <w:kern w:val="2"/>
          <w:sz w:val="36"/>
          <w:szCs w:val="36"/>
          <w:highlight w:val="none"/>
        </w:rPr>
      </w:pPr>
      <w:r>
        <w:rPr>
          <w:rFonts w:hint="eastAsia" w:hAnsi="宋体" w:cs="宋体"/>
          <w:b/>
          <w:bCs/>
          <w:kern w:val="2"/>
          <w:sz w:val="36"/>
          <w:szCs w:val="36"/>
          <w:highlight w:val="none"/>
        </w:rPr>
        <w:br w:type="page"/>
      </w:r>
    </w:p>
    <w:p w14:paraId="1FF017E2">
      <w:pPr>
        <w:spacing w:line="348" w:lineRule="auto"/>
        <w:ind w:right="119"/>
        <w:jc w:val="center"/>
        <w:outlineLvl w:val="0"/>
        <w:rPr>
          <w:rFonts w:hAnsi="宋体" w:cs="宋体"/>
          <w:bCs/>
          <w:sz w:val="36"/>
          <w:szCs w:val="36"/>
          <w:highlight w:val="none"/>
        </w:rPr>
      </w:pPr>
      <w:r>
        <w:rPr>
          <w:rFonts w:hint="eastAsia" w:hAnsi="宋体" w:cs="宋体"/>
          <w:b/>
          <w:bCs/>
          <w:kern w:val="2"/>
          <w:sz w:val="36"/>
          <w:szCs w:val="36"/>
          <w:highlight w:val="none"/>
        </w:rPr>
        <w:t xml:space="preserve">第二章  </w:t>
      </w:r>
      <w:bookmarkEnd w:id="16"/>
      <w:bookmarkEnd w:id="17"/>
      <w:bookmarkStart w:id="23" w:name="OLE_LINK3"/>
      <w:r>
        <w:rPr>
          <w:rFonts w:hint="eastAsia" w:hAnsi="宋体" w:cs="宋体"/>
          <w:b/>
          <w:bCs/>
          <w:kern w:val="2"/>
          <w:sz w:val="36"/>
          <w:szCs w:val="36"/>
          <w:highlight w:val="none"/>
        </w:rPr>
        <w:t>供应商须知</w:t>
      </w:r>
      <w:bookmarkEnd w:id="18"/>
      <w:bookmarkEnd w:id="19"/>
      <w:bookmarkEnd w:id="20"/>
      <w:bookmarkEnd w:id="21"/>
      <w:bookmarkEnd w:id="22"/>
      <w:bookmarkEnd w:id="23"/>
    </w:p>
    <w:p w14:paraId="7A3D845D">
      <w:pPr>
        <w:spacing w:line="440" w:lineRule="exact"/>
        <w:ind w:firstLine="3534" w:firstLineChars="1100"/>
        <w:outlineLvl w:val="1"/>
        <w:rPr>
          <w:rFonts w:hAnsi="宋体" w:cs="宋体"/>
          <w:b/>
          <w:bCs/>
          <w:sz w:val="32"/>
          <w:szCs w:val="32"/>
          <w:highlight w:val="none"/>
        </w:rPr>
      </w:pPr>
      <w:bookmarkStart w:id="24" w:name="_Toc8846"/>
      <w:bookmarkStart w:id="25" w:name="_Toc18299"/>
      <w:bookmarkStart w:id="26" w:name="_Toc23180"/>
      <w:bookmarkStart w:id="27" w:name="_Toc16830"/>
      <w:r>
        <w:rPr>
          <w:rFonts w:hint="eastAsia" w:hAnsi="宋体" w:cs="宋体"/>
          <w:b/>
          <w:bCs/>
          <w:sz w:val="32"/>
          <w:szCs w:val="32"/>
          <w:highlight w:val="none"/>
        </w:rPr>
        <w:t>供应商须知前附表</w:t>
      </w:r>
      <w:bookmarkEnd w:id="24"/>
      <w:bookmarkEnd w:id="25"/>
      <w:bookmarkEnd w:id="26"/>
      <w:bookmarkEnd w:id="27"/>
    </w:p>
    <w:p w14:paraId="7040E08A">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3E48F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022DFC72">
            <w:pPr>
              <w:spacing w:before="156" w:beforeLines="50" w:line="360" w:lineRule="auto"/>
              <w:jc w:val="center"/>
              <w:rPr>
                <w:rFonts w:hAnsi="宋体" w:cs="宋体"/>
                <w:b/>
                <w:szCs w:val="24"/>
                <w:highlight w:val="none"/>
              </w:rPr>
            </w:pPr>
            <w:r>
              <w:rPr>
                <w:rFonts w:hint="eastAsia" w:hAnsi="宋体" w:cs="宋体"/>
                <w:b/>
                <w:szCs w:val="24"/>
                <w:highlight w:val="none"/>
              </w:rPr>
              <w:t>序号</w:t>
            </w:r>
          </w:p>
        </w:tc>
        <w:tc>
          <w:tcPr>
            <w:tcW w:w="951" w:type="dxa"/>
            <w:vAlign w:val="center"/>
          </w:tcPr>
          <w:p w14:paraId="3A4D4D86">
            <w:pPr>
              <w:spacing w:before="156" w:beforeLines="50" w:line="360" w:lineRule="auto"/>
              <w:jc w:val="center"/>
              <w:rPr>
                <w:rFonts w:hAnsi="宋体" w:cs="宋体"/>
                <w:b/>
                <w:szCs w:val="24"/>
                <w:highlight w:val="none"/>
              </w:rPr>
            </w:pPr>
            <w:r>
              <w:rPr>
                <w:rFonts w:hint="eastAsia" w:hAnsi="宋体" w:cs="宋体"/>
                <w:b/>
                <w:szCs w:val="24"/>
                <w:highlight w:val="none"/>
              </w:rPr>
              <w:t>条款号</w:t>
            </w:r>
          </w:p>
        </w:tc>
        <w:tc>
          <w:tcPr>
            <w:tcW w:w="7354" w:type="dxa"/>
          </w:tcPr>
          <w:p w14:paraId="7F2360F2">
            <w:pPr>
              <w:spacing w:before="156" w:beforeLines="50" w:line="360" w:lineRule="auto"/>
              <w:jc w:val="center"/>
              <w:rPr>
                <w:rFonts w:hAnsi="宋体" w:cs="宋体"/>
                <w:b/>
                <w:szCs w:val="24"/>
                <w:highlight w:val="none"/>
              </w:rPr>
            </w:pPr>
            <w:r>
              <w:rPr>
                <w:rFonts w:hint="eastAsia" w:hAnsi="宋体" w:cs="宋体"/>
                <w:b/>
                <w:szCs w:val="24"/>
                <w:highlight w:val="none"/>
              </w:rPr>
              <w:t xml:space="preserve">编 列 内 容 </w:t>
            </w:r>
          </w:p>
        </w:tc>
      </w:tr>
      <w:tr w14:paraId="07B85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1EB9D8EE">
            <w:pPr>
              <w:spacing w:line="360" w:lineRule="auto"/>
              <w:jc w:val="center"/>
              <w:rPr>
                <w:rFonts w:hAnsi="宋体" w:cs="宋体"/>
                <w:szCs w:val="24"/>
                <w:highlight w:val="none"/>
              </w:rPr>
            </w:pPr>
            <w:r>
              <w:rPr>
                <w:rFonts w:hint="eastAsia" w:hAnsi="宋体" w:cs="宋体"/>
                <w:szCs w:val="24"/>
                <w:highlight w:val="none"/>
              </w:rPr>
              <w:t>1</w:t>
            </w:r>
          </w:p>
        </w:tc>
        <w:tc>
          <w:tcPr>
            <w:tcW w:w="951" w:type="dxa"/>
            <w:vAlign w:val="center"/>
          </w:tcPr>
          <w:p w14:paraId="03878171">
            <w:pPr>
              <w:spacing w:line="360" w:lineRule="auto"/>
              <w:jc w:val="center"/>
              <w:rPr>
                <w:rFonts w:hAnsi="宋体" w:cs="宋体"/>
                <w:szCs w:val="24"/>
                <w:highlight w:val="none"/>
              </w:rPr>
            </w:pPr>
            <w:r>
              <w:rPr>
                <w:rFonts w:hint="eastAsia" w:hAnsi="宋体" w:cs="宋体"/>
                <w:szCs w:val="24"/>
                <w:highlight w:val="none"/>
              </w:rPr>
              <w:t>2.3</w:t>
            </w:r>
          </w:p>
        </w:tc>
        <w:tc>
          <w:tcPr>
            <w:tcW w:w="7354" w:type="dxa"/>
          </w:tcPr>
          <w:p w14:paraId="4AD78513">
            <w:pPr>
              <w:spacing w:line="360" w:lineRule="auto"/>
              <w:rPr>
                <w:rFonts w:hAnsi="宋体" w:cs="宋体"/>
                <w:szCs w:val="24"/>
                <w:highlight w:val="none"/>
              </w:rPr>
            </w:pPr>
            <w:r>
              <w:rPr>
                <w:rFonts w:hint="eastAsia" w:hAnsi="宋体" w:cs="宋体"/>
                <w:szCs w:val="24"/>
                <w:highlight w:val="none"/>
              </w:rPr>
              <w:t>采购代理机构：陕西至诚项目管理集团有限公司</w:t>
            </w:r>
          </w:p>
          <w:p w14:paraId="3EE9820C">
            <w:pPr>
              <w:pStyle w:val="19"/>
              <w:spacing w:before="0" w:beforeAutospacing="0" w:after="0" w:afterAutospacing="0" w:line="360" w:lineRule="auto"/>
              <w:jc w:val="both"/>
              <w:rPr>
                <w:rFonts w:cs="宋体"/>
                <w:highlight w:val="none"/>
              </w:rPr>
            </w:pPr>
            <w:r>
              <w:rPr>
                <w:rFonts w:hint="eastAsia" w:hAnsi="宋体" w:cs="宋体"/>
                <w:szCs w:val="24"/>
                <w:highlight w:val="none"/>
              </w:rPr>
              <w:t>地        址：</w:t>
            </w:r>
            <w:r>
              <w:rPr>
                <w:rFonts w:hint="eastAsia" w:cs="宋体"/>
                <w:highlight w:val="none"/>
                <w:shd w:val="clear" w:color="auto" w:fill="FFFFFF"/>
              </w:rPr>
              <w:t>陕西省西安市经济技术开发区未央路171-1号银池道拉斯财富中心21楼</w:t>
            </w:r>
          </w:p>
          <w:p w14:paraId="1BBCD04B">
            <w:pPr>
              <w:spacing w:line="360" w:lineRule="auto"/>
              <w:rPr>
                <w:rFonts w:hAnsi="宋体" w:cs="宋体"/>
                <w:szCs w:val="24"/>
                <w:highlight w:val="none"/>
              </w:rPr>
            </w:pPr>
            <w:r>
              <w:rPr>
                <w:rFonts w:hint="eastAsia" w:hAnsi="宋体" w:cs="宋体"/>
                <w:szCs w:val="24"/>
                <w:highlight w:val="none"/>
              </w:rPr>
              <w:t>邮        编：710021</w:t>
            </w:r>
          </w:p>
          <w:p w14:paraId="7798C834">
            <w:pPr>
              <w:spacing w:line="360" w:lineRule="auto"/>
              <w:rPr>
                <w:rFonts w:hAnsi="宋体" w:cs="宋体"/>
                <w:szCs w:val="24"/>
                <w:highlight w:val="none"/>
              </w:rPr>
            </w:pPr>
            <w:r>
              <w:rPr>
                <w:rFonts w:hint="eastAsia" w:hAnsi="宋体" w:cs="宋体"/>
                <w:szCs w:val="24"/>
                <w:highlight w:val="none"/>
              </w:rPr>
              <w:t>电        话：029-88219779</w:t>
            </w:r>
          </w:p>
          <w:p w14:paraId="270BF008">
            <w:pPr>
              <w:spacing w:line="360" w:lineRule="auto"/>
              <w:rPr>
                <w:rFonts w:hAnsi="宋体" w:cs="宋体"/>
                <w:szCs w:val="24"/>
                <w:highlight w:val="none"/>
              </w:rPr>
            </w:pPr>
            <w:r>
              <w:rPr>
                <w:rFonts w:hint="eastAsia" w:hAnsi="宋体" w:cs="宋体"/>
                <w:szCs w:val="24"/>
                <w:highlight w:val="none"/>
              </w:rPr>
              <w:t>传        真：/</w:t>
            </w:r>
          </w:p>
        </w:tc>
      </w:tr>
      <w:tr w14:paraId="0836A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17E943DC">
            <w:pPr>
              <w:spacing w:line="360" w:lineRule="auto"/>
              <w:jc w:val="center"/>
              <w:rPr>
                <w:rFonts w:hAnsi="宋体" w:cs="宋体"/>
                <w:szCs w:val="24"/>
                <w:highlight w:val="none"/>
              </w:rPr>
            </w:pPr>
            <w:r>
              <w:rPr>
                <w:rFonts w:hint="eastAsia" w:hAnsi="宋体" w:cs="宋体"/>
                <w:szCs w:val="24"/>
                <w:highlight w:val="none"/>
              </w:rPr>
              <w:t>2</w:t>
            </w:r>
          </w:p>
        </w:tc>
        <w:tc>
          <w:tcPr>
            <w:tcW w:w="951" w:type="dxa"/>
            <w:vAlign w:val="center"/>
          </w:tcPr>
          <w:p w14:paraId="579A4745">
            <w:pPr>
              <w:spacing w:line="360" w:lineRule="auto"/>
              <w:jc w:val="center"/>
              <w:rPr>
                <w:rFonts w:hAnsi="宋体" w:cs="宋体"/>
                <w:szCs w:val="24"/>
                <w:highlight w:val="none"/>
              </w:rPr>
            </w:pPr>
            <w:r>
              <w:rPr>
                <w:rFonts w:hint="eastAsia" w:hAnsi="宋体" w:cs="宋体"/>
                <w:szCs w:val="24"/>
                <w:highlight w:val="none"/>
              </w:rPr>
              <w:t>3.6</w:t>
            </w:r>
          </w:p>
        </w:tc>
        <w:tc>
          <w:tcPr>
            <w:tcW w:w="7354" w:type="dxa"/>
            <w:vAlign w:val="center"/>
          </w:tcPr>
          <w:p w14:paraId="2F38F61A">
            <w:pPr>
              <w:spacing w:line="360" w:lineRule="auto"/>
              <w:rPr>
                <w:rFonts w:hAnsi="宋体" w:cs="宋体"/>
                <w:szCs w:val="24"/>
                <w:highlight w:val="none"/>
              </w:rPr>
            </w:pPr>
            <w:r>
              <w:rPr>
                <w:rFonts w:hint="eastAsia" w:hAnsi="宋体" w:cs="宋体"/>
                <w:szCs w:val="24"/>
                <w:highlight w:val="none"/>
              </w:rPr>
              <w:t>本项目不接受联合体磋商。</w:t>
            </w:r>
          </w:p>
        </w:tc>
      </w:tr>
      <w:tr w14:paraId="6C153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2CAD7014">
            <w:pPr>
              <w:spacing w:line="360" w:lineRule="auto"/>
              <w:jc w:val="center"/>
              <w:rPr>
                <w:rFonts w:hAnsi="宋体" w:cs="宋体"/>
                <w:szCs w:val="24"/>
                <w:highlight w:val="none"/>
              </w:rPr>
            </w:pPr>
            <w:r>
              <w:rPr>
                <w:rFonts w:hint="eastAsia" w:hAnsi="宋体" w:cs="宋体"/>
                <w:szCs w:val="24"/>
                <w:highlight w:val="none"/>
              </w:rPr>
              <w:t>3</w:t>
            </w:r>
          </w:p>
        </w:tc>
        <w:tc>
          <w:tcPr>
            <w:tcW w:w="951" w:type="dxa"/>
            <w:vAlign w:val="center"/>
          </w:tcPr>
          <w:p w14:paraId="49EB4606">
            <w:pPr>
              <w:spacing w:line="360" w:lineRule="auto"/>
              <w:jc w:val="center"/>
              <w:rPr>
                <w:rFonts w:hAnsi="宋体" w:cs="宋体"/>
                <w:szCs w:val="24"/>
                <w:highlight w:val="none"/>
              </w:rPr>
            </w:pPr>
            <w:r>
              <w:rPr>
                <w:rFonts w:hint="eastAsia" w:hAnsi="宋体" w:cs="宋体"/>
                <w:szCs w:val="24"/>
                <w:highlight w:val="none"/>
              </w:rPr>
              <w:t>9.2</w:t>
            </w:r>
          </w:p>
        </w:tc>
        <w:tc>
          <w:tcPr>
            <w:tcW w:w="7354" w:type="dxa"/>
            <w:vAlign w:val="center"/>
          </w:tcPr>
          <w:p w14:paraId="20E92E02">
            <w:pPr>
              <w:spacing w:line="360" w:lineRule="auto"/>
              <w:rPr>
                <w:rFonts w:hAnsi="宋体" w:cs="宋体"/>
                <w:szCs w:val="24"/>
                <w:highlight w:val="none"/>
              </w:rPr>
            </w:pPr>
            <w:r>
              <w:rPr>
                <w:rFonts w:hint="eastAsia" w:hAnsi="宋体" w:cs="宋体"/>
                <w:szCs w:val="24"/>
                <w:highlight w:val="none"/>
              </w:rPr>
              <w:t>不允许提供备选方案。</w:t>
            </w:r>
          </w:p>
        </w:tc>
      </w:tr>
      <w:tr w14:paraId="7DE3B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05A13037">
            <w:pPr>
              <w:spacing w:line="360" w:lineRule="auto"/>
              <w:jc w:val="center"/>
              <w:rPr>
                <w:rFonts w:hAnsi="宋体" w:cs="宋体"/>
                <w:szCs w:val="24"/>
                <w:highlight w:val="none"/>
              </w:rPr>
            </w:pPr>
            <w:r>
              <w:rPr>
                <w:rFonts w:hint="eastAsia" w:hAnsi="宋体" w:cs="宋体"/>
                <w:szCs w:val="24"/>
                <w:highlight w:val="none"/>
              </w:rPr>
              <w:t>4</w:t>
            </w:r>
          </w:p>
        </w:tc>
        <w:tc>
          <w:tcPr>
            <w:tcW w:w="951" w:type="dxa"/>
            <w:vAlign w:val="center"/>
          </w:tcPr>
          <w:p w14:paraId="2F49AA70">
            <w:pPr>
              <w:spacing w:line="360" w:lineRule="auto"/>
              <w:jc w:val="center"/>
              <w:rPr>
                <w:rFonts w:hAnsi="宋体" w:cs="宋体"/>
                <w:szCs w:val="24"/>
                <w:highlight w:val="none"/>
              </w:rPr>
            </w:pPr>
            <w:r>
              <w:rPr>
                <w:rFonts w:hint="eastAsia" w:hAnsi="宋体" w:cs="宋体"/>
                <w:szCs w:val="24"/>
                <w:highlight w:val="none"/>
              </w:rPr>
              <w:t>9.3</w:t>
            </w:r>
          </w:p>
        </w:tc>
        <w:tc>
          <w:tcPr>
            <w:tcW w:w="7354" w:type="dxa"/>
            <w:vAlign w:val="center"/>
          </w:tcPr>
          <w:p w14:paraId="36514E59">
            <w:pPr>
              <w:spacing w:line="360" w:lineRule="auto"/>
              <w:ind w:firstLine="480" w:firstLineChars="200"/>
              <w:rPr>
                <w:rFonts w:hAnsi="宋体" w:cs="宋体"/>
                <w:szCs w:val="24"/>
                <w:highlight w:val="none"/>
              </w:rPr>
            </w:pPr>
            <w:r>
              <w:rPr>
                <w:rFonts w:hint="eastAsia" w:hAnsi="宋体" w:cs="宋体"/>
                <w:szCs w:val="24"/>
                <w:highlight w:val="none"/>
              </w:rPr>
              <w:t>本次磋商的最小单元为“</w:t>
            </w:r>
            <w:r>
              <w:rPr>
                <w:rFonts w:hint="eastAsia" w:hAnsi="宋体" w:cs="宋体"/>
                <w:szCs w:val="24"/>
                <w:highlight w:val="none"/>
                <w:lang w:val="en-US" w:eastAsia="zh-CN"/>
              </w:rPr>
              <w:t>项目</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tc>
      </w:tr>
      <w:tr w14:paraId="42E77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012B69CB">
            <w:pPr>
              <w:spacing w:line="360" w:lineRule="auto"/>
              <w:jc w:val="center"/>
              <w:rPr>
                <w:rFonts w:hAnsi="宋体" w:cs="宋体"/>
                <w:szCs w:val="24"/>
                <w:highlight w:val="none"/>
              </w:rPr>
            </w:pPr>
            <w:r>
              <w:rPr>
                <w:rFonts w:hint="eastAsia" w:hAnsi="宋体" w:cs="宋体"/>
                <w:szCs w:val="24"/>
                <w:highlight w:val="none"/>
              </w:rPr>
              <w:t>5</w:t>
            </w:r>
          </w:p>
        </w:tc>
        <w:tc>
          <w:tcPr>
            <w:tcW w:w="951" w:type="dxa"/>
            <w:vAlign w:val="center"/>
          </w:tcPr>
          <w:p w14:paraId="28C22806">
            <w:pPr>
              <w:spacing w:line="360" w:lineRule="auto"/>
              <w:jc w:val="center"/>
              <w:rPr>
                <w:rFonts w:hAnsi="宋体" w:cs="宋体"/>
                <w:szCs w:val="24"/>
                <w:highlight w:val="none"/>
              </w:rPr>
            </w:pPr>
            <w:r>
              <w:rPr>
                <w:rFonts w:hint="eastAsia" w:hAnsi="宋体" w:cs="宋体"/>
                <w:szCs w:val="24"/>
                <w:highlight w:val="none"/>
              </w:rPr>
              <w:t>11.1</w:t>
            </w:r>
          </w:p>
        </w:tc>
        <w:tc>
          <w:tcPr>
            <w:tcW w:w="7354" w:type="dxa"/>
          </w:tcPr>
          <w:p w14:paraId="4BD57E62">
            <w:pPr>
              <w:spacing w:line="360" w:lineRule="auto"/>
              <w:ind w:firstLine="480"/>
              <w:rPr>
                <w:rFonts w:hAnsi="宋体" w:cs="宋体"/>
                <w:szCs w:val="24"/>
                <w:highlight w:val="none"/>
              </w:rPr>
            </w:pPr>
            <w:r>
              <w:rPr>
                <w:rFonts w:hint="eastAsia" w:hAnsi="宋体" w:cs="宋体"/>
                <w:szCs w:val="24"/>
                <w:highlight w:val="none"/>
              </w:rPr>
              <w:t>磋商报价：是供应商为完成本项目要求的全部服务内容最终价格的体现，包括但不限于人工费、设备使用费、办公费、服务费、交通费、招标代理服务费、税金等其他一切相关费用。</w:t>
            </w:r>
          </w:p>
          <w:p w14:paraId="68FC47ED">
            <w:pPr>
              <w:spacing w:line="360" w:lineRule="auto"/>
              <w:ind w:firstLine="48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14:paraId="07477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719428FF">
            <w:pPr>
              <w:spacing w:line="360" w:lineRule="auto"/>
              <w:jc w:val="center"/>
              <w:rPr>
                <w:rFonts w:hAnsi="宋体" w:cs="宋体"/>
                <w:szCs w:val="24"/>
                <w:highlight w:val="none"/>
              </w:rPr>
            </w:pPr>
            <w:r>
              <w:rPr>
                <w:rFonts w:hint="eastAsia" w:hAnsi="宋体" w:cs="宋体"/>
                <w:szCs w:val="24"/>
                <w:highlight w:val="none"/>
              </w:rPr>
              <w:t>6</w:t>
            </w:r>
          </w:p>
        </w:tc>
        <w:tc>
          <w:tcPr>
            <w:tcW w:w="951" w:type="dxa"/>
            <w:vAlign w:val="center"/>
          </w:tcPr>
          <w:p w14:paraId="3B004975">
            <w:pPr>
              <w:spacing w:line="360" w:lineRule="auto"/>
              <w:jc w:val="center"/>
              <w:rPr>
                <w:rFonts w:hAnsi="宋体" w:cs="宋体"/>
                <w:szCs w:val="24"/>
                <w:highlight w:val="none"/>
              </w:rPr>
            </w:pPr>
            <w:r>
              <w:rPr>
                <w:rFonts w:hint="eastAsia" w:hAnsi="宋体" w:cs="宋体"/>
                <w:szCs w:val="24"/>
                <w:highlight w:val="none"/>
              </w:rPr>
              <w:t>12.1</w:t>
            </w:r>
          </w:p>
        </w:tc>
        <w:tc>
          <w:tcPr>
            <w:tcW w:w="7354" w:type="dxa"/>
          </w:tcPr>
          <w:p w14:paraId="52C79FD1">
            <w:pPr>
              <w:spacing w:line="360" w:lineRule="auto"/>
              <w:rPr>
                <w:rFonts w:hAnsi="宋体" w:cs="宋体"/>
                <w:szCs w:val="24"/>
                <w:highlight w:val="none"/>
              </w:rPr>
            </w:pPr>
            <w:r>
              <w:rPr>
                <w:rFonts w:hint="eastAsia" w:hAnsi="宋体" w:cs="宋体"/>
                <w:szCs w:val="24"/>
                <w:highlight w:val="none"/>
              </w:rPr>
              <w:t>特定资格证明文件：</w:t>
            </w:r>
          </w:p>
          <w:p w14:paraId="327ABD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（1）具有独立承担民事责任能力的法人、其他组织或自然人，并出具合法有效的统一社会信用代码的营业执照或事业单位法人证书 等国家规定的相关证明，自然人参与的提供其身份证明； </w:t>
            </w:r>
          </w:p>
          <w:p w14:paraId="130FC6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（2）提供法定代表人授权书（附法定代表人、被授权人身份证复印件），法定代表人直接参加磋商，须提供法定代表人身份证明（ 附法定代表人身份证复印件）； </w:t>
            </w:r>
          </w:p>
          <w:p w14:paraId="6A38EF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（3）财务状况报告：提供</w:t>
            </w:r>
            <w:r>
              <w:rPr>
                <w:rFonts w:hint="eastAsia" w:hAnsi="宋体" w:cs="宋体"/>
                <w:i w:val="0"/>
                <w:iCs w:val="0"/>
                <w:caps w:val="0"/>
                <w:color w:val="333333"/>
                <w:spacing w:val="0"/>
                <w:kern w:val="0"/>
                <w:sz w:val="24"/>
                <w:szCs w:val="24"/>
                <w:highlight w:val="none"/>
                <w:shd w:val="clear" w:fill="FFFFFF"/>
                <w:vertAlign w:val="baseline"/>
                <w:lang w:val="en-US" w:eastAsia="zh-CN" w:bidi="ar-SA"/>
              </w:rPr>
              <w:t>2024年度的财务审计报告</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（至少包括资产负债表和利润表，成立时间至提交响应文件截止时间不足一年的可提供成立后任意时段的资产负债表），或开标时间前六个月内银行出具的资信证明； </w:t>
            </w:r>
            <w:r>
              <w:rPr>
                <w:rFonts w:hint="eastAsia" w:hAnsi="宋体" w:cs="宋体"/>
                <w:i w:val="0"/>
                <w:iCs w:val="0"/>
                <w:caps w:val="0"/>
                <w:color w:val="333333"/>
                <w:spacing w:val="0"/>
                <w:kern w:val="0"/>
                <w:sz w:val="24"/>
                <w:szCs w:val="24"/>
                <w:highlight w:val="none"/>
                <w:shd w:val="clear" w:fill="FFFFFF"/>
                <w:vertAlign w:val="baseline"/>
                <w:lang w:val="en-US" w:eastAsia="zh-CN" w:bidi="ar-SA"/>
              </w:rPr>
              <w:t xml:space="preserve"> </w:t>
            </w:r>
          </w:p>
          <w:p w14:paraId="45F644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（4）</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税收缴纳证明：提供响应文件截止日前一年内已缴纳的至少一个月的纳税证明或完税证明（任意税种），依法免税的单位应提供相关证明材料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 </w:t>
            </w:r>
          </w:p>
          <w:p w14:paraId="088161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5）社会保障资金缴纳证明：提供响应文件截止日前一年内已缴存的至少一个月的社会保障资金缴存单据或社保机构开具的社会保险参保缴费情况证明，依法不需要缴纳社会保障资金的单位应提供相关证明材料； </w:t>
            </w:r>
          </w:p>
          <w:p w14:paraId="74B39D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）提供具有履行本合同所必需的设备和专业技术能力的说明及承诺书； </w:t>
            </w:r>
          </w:p>
          <w:p w14:paraId="101125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7</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）供应商应通过</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信用中国</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网站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(www.creditchina.gov.cn)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、中国政府采购网</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(www.ccgp.gov.cn)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查询相关主体信用记录； </w:t>
            </w:r>
          </w:p>
          <w:p w14:paraId="08597A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8</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）参加政府采购活动前</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3</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年内，在经营活动中没有重大违法记录的书面声明； </w:t>
            </w:r>
          </w:p>
          <w:p w14:paraId="570A9E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9</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）供应商须具备建设行政主管部门颁发的市政公用工程施工总承包三级及以上资质，且具有有效的安全生产许可证；</w:t>
            </w:r>
          </w:p>
          <w:p w14:paraId="4E4726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（10）拟派项目负责人具有市政公用工程专业二级以上（含二级）注册建造师资格及有效的安全生产考核合格证书，且无其他在建项目（提供无在建工程的承诺函）；</w:t>
            </w:r>
          </w:p>
          <w:p w14:paraId="27E8B2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（11）供应商须提供中小企业声明函； </w:t>
            </w:r>
          </w:p>
          <w:p w14:paraId="3D6453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auto"/>
                <w:spacing w:val="0"/>
                <w:kern w:val="0"/>
                <w:sz w:val="24"/>
                <w:szCs w:val="24"/>
                <w:highlight w:val="none"/>
                <w:shd w:val="clear" w:fill="FFFFFF"/>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12</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）本项目不接受联合体磋商（提供承诺书）。 </w:t>
            </w:r>
          </w:p>
          <w:p w14:paraId="292FC537">
            <w:pPr>
              <w:spacing w:line="360" w:lineRule="auto"/>
              <w:ind w:firstLine="482" w:firstLineChars="200"/>
              <w:rPr>
                <w:rFonts w:hAnsi="宋体" w:cs="宋体"/>
                <w:szCs w:val="24"/>
                <w:highlight w:val="none"/>
              </w:rPr>
            </w:pPr>
            <w:r>
              <w:rPr>
                <w:rFonts w:hint="eastAsia" w:hAnsi="宋体" w:cs="宋体"/>
                <w:b/>
                <w:bCs/>
                <w:szCs w:val="24"/>
                <w:highlight w:val="none"/>
              </w:rPr>
              <w:t>以上为必备资质，缺一项或某项达不到要求，按无效磋商处理。</w:t>
            </w:r>
          </w:p>
        </w:tc>
      </w:tr>
      <w:tr w14:paraId="6773F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5E49212A">
            <w:pPr>
              <w:spacing w:line="360" w:lineRule="auto"/>
              <w:jc w:val="center"/>
              <w:rPr>
                <w:rFonts w:hAnsi="宋体" w:cs="宋体"/>
                <w:szCs w:val="24"/>
                <w:highlight w:val="none"/>
              </w:rPr>
            </w:pPr>
            <w:r>
              <w:rPr>
                <w:rFonts w:hint="eastAsia" w:hAnsi="宋体" w:cs="宋体"/>
                <w:szCs w:val="24"/>
                <w:highlight w:val="none"/>
              </w:rPr>
              <w:t>7</w:t>
            </w:r>
          </w:p>
        </w:tc>
        <w:tc>
          <w:tcPr>
            <w:tcW w:w="951" w:type="dxa"/>
            <w:vAlign w:val="center"/>
          </w:tcPr>
          <w:p w14:paraId="0C956437">
            <w:pPr>
              <w:spacing w:line="360" w:lineRule="auto"/>
              <w:jc w:val="center"/>
              <w:rPr>
                <w:rFonts w:hAnsi="宋体" w:cs="宋体"/>
                <w:szCs w:val="24"/>
                <w:highlight w:val="none"/>
              </w:rPr>
            </w:pPr>
            <w:r>
              <w:rPr>
                <w:rFonts w:hint="eastAsia" w:hAnsi="宋体" w:cs="宋体"/>
                <w:szCs w:val="24"/>
                <w:highlight w:val="none"/>
              </w:rPr>
              <w:t>14.4</w:t>
            </w:r>
          </w:p>
        </w:tc>
        <w:tc>
          <w:tcPr>
            <w:tcW w:w="7354" w:type="dxa"/>
          </w:tcPr>
          <w:p w14:paraId="5DD59BB7">
            <w:pPr>
              <w:spacing w:line="360" w:lineRule="auto"/>
              <w:ind w:firstLine="480"/>
              <w:rPr>
                <w:rFonts w:hAnsi="宋体" w:cs="宋体"/>
                <w:b/>
                <w:bCs/>
                <w:szCs w:val="24"/>
                <w:highlight w:val="none"/>
              </w:rPr>
            </w:pPr>
            <w:r>
              <w:rPr>
                <w:rFonts w:hint="eastAsia" w:hAnsi="宋体" w:cs="宋体"/>
                <w:b/>
                <w:bCs/>
                <w:szCs w:val="24"/>
                <w:highlight w:val="none"/>
              </w:rPr>
              <w:t>磋商保证金：无（本项目不收取保证金，本文件中涉及的保证金相关事项均不适用）</w:t>
            </w:r>
          </w:p>
          <w:p w14:paraId="026587A8">
            <w:pPr>
              <w:spacing w:line="360" w:lineRule="auto"/>
              <w:ind w:firstLine="480"/>
              <w:rPr>
                <w:rFonts w:hAnsi="宋体" w:cs="宋体"/>
                <w:szCs w:val="24"/>
                <w:highlight w:val="none"/>
              </w:rPr>
            </w:pPr>
            <w:r>
              <w:rPr>
                <w:rFonts w:hint="eastAsia" w:hAnsi="宋体" w:cs="宋体"/>
                <w:szCs w:val="24"/>
                <w:highlight w:val="none"/>
              </w:rPr>
              <w:t>磋商保证金的有效期与磋商有效期一致。</w:t>
            </w:r>
            <w:r>
              <w:rPr>
                <w:rFonts w:hint="eastAsia" w:hAnsi="宋体" w:cs="宋体"/>
                <w:szCs w:val="22"/>
                <w:highlight w:val="none"/>
              </w:rPr>
              <w:t>担保机构出具的保函的有效期为磋商有效期延长一个月。</w:t>
            </w:r>
          </w:p>
          <w:p w14:paraId="11DFB789">
            <w:pPr>
              <w:spacing w:line="360" w:lineRule="auto"/>
              <w:ind w:firstLine="480"/>
              <w:rPr>
                <w:rFonts w:hAnsi="宋体" w:cs="宋体"/>
                <w:szCs w:val="24"/>
                <w:highlight w:val="none"/>
              </w:rPr>
            </w:pPr>
            <w:r>
              <w:rPr>
                <w:rFonts w:hint="eastAsia" w:hAnsi="宋体" w:cs="宋体"/>
                <w:szCs w:val="24"/>
                <w:highlight w:val="none"/>
              </w:rPr>
              <w:t>磋商保证金的缴纳形式：转账、电汇、担保机构保函。</w:t>
            </w:r>
          </w:p>
          <w:p w14:paraId="46A6443B">
            <w:pPr>
              <w:spacing w:line="360" w:lineRule="auto"/>
              <w:ind w:firstLine="480"/>
              <w:rPr>
                <w:rFonts w:hAnsi="宋体" w:cs="宋体"/>
                <w:szCs w:val="24"/>
                <w:highlight w:val="none"/>
              </w:rPr>
            </w:pPr>
            <w:r>
              <w:rPr>
                <w:rFonts w:hint="eastAsia" w:hAnsi="宋体" w:cs="宋体"/>
                <w:szCs w:val="24"/>
                <w:highlight w:val="none"/>
              </w:rPr>
              <w:t>供应商以银行转账、电汇形式交纳保证金的，须从基本账户转出，并且在磋商响应文件递交截止前到达采购代理机构指定账户（</w:t>
            </w:r>
            <w:r>
              <w:rPr>
                <w:rFonts w:hint="eastAsia" w:hAnsi="宋体" w:cs="宋体"/>
                <w:b/>
                <w:szCs w:val="24"/>
                <w:highlight w:val="none"/>
              </w:rPr>
              <w:t>转账时请注明项目编号</w:t>
            </w:r>
            <w:r>
              <w:rPr>
                <w:rFonts w:hint="eastAsia" w:hAnsi="宋体" w:cs="宋体"/>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597CFA40">
            <w:pPr>
              <w:spacing w:line="360" w:lineRule="auto"/>
              <w:ind w:firstLine="480"/>
              <w:rPr>
                <w:rFonts w:hAnsi="宋体" w:cs="宋体"/>
                <w:szCs w:val="24"/>
                <w:highlight w:val="none"/>
              </w:rPr>
            </w:pPr>
            <w:r>
              <w:rPr>
                <w:rFonts w:hint="eastAsia" w:hAnsi="宋体" w:cs="宋体"/>
                <w:szCs w:val="24"/>
                <w:highlight w:val="none"/>
              </w:rPr>
              <w:t>供应商以保函形式缴纳磋商保证金的，须在磋商响应文件递交截止时间前将担保机构保函</w:t>
            </w:r>
            <w:r>
              <w:rPr>
                <w:rFonts w:hint="eastAsia" w:hAnsi="宋体" w:cs="宋体"/>
                <w:b/>
                <w:bCs/>
                <w:szCs w:val="24"/>
                <w:highlight w:val="none"/>
              </w:rPr>
              <w:t>正本原件</w:t>
            </w:r>
            <w:r>
              <w:rPr>
                <w:rFonts w:hint="eastAsia" w:hAnsi="宋体" w:cs="宋体"/>
                <w:szCs w:val="24"/>
                <w:highlight w:val="none"/>
              </w:rPr>
              <w:t>提交至采购代理机构备案，并将保函正本复印件附在磋商响应文件规定处。</w:t>
            </w:r>
          </w:p>
        </w:tc>
      </w:tr>
      <w:tr w14:paraId="29FD0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0FF231E2">
            <w:pPr>
              <w:spacing w:line="360" w:lineRule="auto"/>
              <w:jc w:val="center"/>
              <w:rPr>
                <w:rFonts w:hAnsi="宋体" w:cs="宋体"/>
                <w:szCs w:val="24"/>
                <w:highlight w:val="none"/>
              </w:rPr>
            </w:pPr>
            <w:r>
              <w:rPr>
                <w:rFonts w:hint="eastAsia" w:hAnsi="宋体" w:cs="宋体"/>
                <w:szCs w:val="24"/>
                <w:highlight w:val="none"/>
              </w:rPr>
              <w:t>8</w:t>
            </w:r>
          </w:p>
        </w:tc>
        <w:tc>
          <w:tcPr>
            <w:tcW w:w="951" w:type="dxa"/>
            <w:vAlign w:val="center"/>
          </w:tcPr>
          <w:p w14:paraId="7CB75911">
            <w:pPr>
              <w:spacing w:line="360" w:lineRule="auto"/>
              <w:jc w:val="center"/>
              <w:rPr>
                <w:rFonts w:hAnsi="宋体" w:cs="宋体"/>
                <w:szCs w:val="24"/>
                <w:highlight w:val="none"/>
              </w:rPr>
            </w:pPr>
            <w:r>
              <w:rPr>
                <w:rFonts w:hint="eastAsia" w:hAnsi="宋体" w:cs="宋体"/>
                <w:szCs w:val="24"/>
                <w:highlight w:val="none"/>
              </w:rPr>
              <w:t>15.1</w:t>
            </w:r>
          </w:p>
        </w:tc>
        <w:tc>
          <w:tcPr>
            <w:tcW w:w="7354" w:type="dxa"/>
            <w:vAlign w:val="center"/>
          </w:tcPr>
          <w:p w14:paraId="12F77E1E">
            <w:pPr>
              <w:spacing w:line="360" w:lineRule="auto"/>
              <w:rPr>
                <w:rFonts w:hAnsi="宋体" w:cs="宋体"/>
                <w:highlight w:val="none"/>
              </w:rPr>
            </w:pPr>
            <w:r>
              <w:rPr>
                <w:rFonts w:hint="eastAsia" w:hAnsi="宋体" w:cs="宋体"/>
                <w:szCs w:val="24"/>
                <w:highlight w:val="none"/>
              </w:rPr>
              <w:t>磋商有效期:提交磋商响应文件的截止之日起90天。</w:t>
            </w:r>
          </w:p>
        </w:tc>
      </w:tr>
      <w:tr w14:paraId="37DA4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7416519C">
            <w:pPr>
              <w:spacing w:line="360" w:lineRule="auto"/>
              <w:jc w:val="center"/>
              <w:rPr>
                <w:rFonts w:hAnsi="宋体" w:cs="宋体"/>
                <w:szCs w:val="24"/>
                <w:highlight w:val="none"/>
              </w:rPr>
            </w:pPr>
            <w:r>
              <w:rPr>
                <w:rFonts w:hint="eastAsia" w:hAnsi="宋体" w:cs="宋体"/>
                <w:szCs w:val="24"/>
                <w:highlight w:val="none"/>
              </w:rPr>
              <w:t>9</w:t>
            </w:r>
          </w:p>
        </w:tc>
        <w:tc>
          <w:tcPr>
            <w:tcW w:w="951" w:type="dxa"/>
            <w:vAlign w:val="center"/>
          </w:tcPr>
          <w:p w14:paraId="75E9DA97">
            <w:pPr>
              <w:spacing w:after="156" w:afterLines="50" w:line="360" w:lineRule="auto"/>
              <w:jc w:val="center"/>
              <w:rPr>
                <w:rFonts w:hAnsi="宋体" w:cs="宋体"/>
                <w:szCs w:val="24"/>
                <w:highlight w:val="none"/>
              </w:rPr>
            </w:pPr>
            <w:r>
              <w:rPr>
                <w:rFonts w:hint="eastAsia" w:hAnsi="宋体" w:cs="宋体"/>
                <w:szCs w:val="24"/>
                <w:highlight w:val="none"/>
              </w:rPr>
              <w:t>16.1</w:t>
            </w:r>
          </w:p>
        </w:tc>
        <w:tc>
          <w:tcPr>
            <w:tcW w:w="7354" w:type="dxa"/>
            <w:vAlign w:val="center"/>
          </w:tcPr>
          <w:p w14:paraId="78997EC6">
            <w:pPr>
              <w:spacing w:line="360" w:lineRule="auto"/>
              <w:rPr>
                <w:rFonts w:hAnsi="宋体" w:cs="宋体"/>
                <w:szCs w:val="24"/>
                <w:highlight w:val="none"/>
              </w:rPr>
            </w:pPr>
            <w:r>
              <w:rPr>
                <w:rFonts w:hint="eastAsia" w:hAnsi="宋体" w:cs="宋体"/>
                <w:szCs w:val="24"/>
                <w:highlight w:val="none"/>
              </w:rPr>
              <w:t>正本的份数：壹份；副本的份数：贰份；报价一览表：壹份；电子版（U盘）：壹份（需在盘面上标注供应商全称、项目名称、编号）。</w:t>
            </w:r>
          </w:p>
        </w:tc>
      </w:tr>
      <w:tr w14:paraId="01E39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3F7D860C">
            <w:pPr>
              <w:spacing w:line="360" w:lineRule="auto"/>
              <w:jc w:val="center"/>
              <w:rPr>
                <w:rFonts w:hAnsi="宋体" w:cs="宋体"/>
                <w:szCs w:val="24"/>
                <w:highlight w:val="none"/>
              </w:rPr>
            </w:pPr>
            <w:r>
              <w:rPr>
                <w:rFonts w:hint="eastAsia" w:hAnsi="宋体" w:cs="宋体"/>
                <w:szCs w:val="24"/>
                <w:highlight w:val="none"/>
              </w:rPr>
              <w:t>10</w:t>
            </w:r>
          </w:p>
        </w:tc>
        <w:tc>
          <w:tcPr>
            <w:tcW w:w="951" w:type="dxa"/>
            <w:vAlign w:val="center"/>
          </w:tcPr>
          <w:p w14:paraId="09D0130C">
            <w:pPr>
              <w:spacing w:after="156" w:afterLines="50" w:line="360" w:lineRule="auto"/>
              <w:jc w:val="center"/>
              <w:rPr>
                <w:rFonts w:hAnsi="宋体" w:cs="宋体"/>
                <w:szCs w:val="24"/>
                <w:highlight w:val="none"/>
              </w:rPr>
            </w:pPr>
            <w:r>
              <w:rPr>
                <w:rFonts w:hint="eastAsia" w:hAnsi="宋体" w:cs="宋体"/>
                <w:szCs w:val="24"/>
                <w:highlight w:val="none"/>
              </w:rPr>
              <w:t>17.2</w:t>
            </w:r>
          </w:p>
        </w:tc>
        <w:tc>
          <w:tcPr>
            <w:tcW w:w="7354" w:type="dxa"/>
            <w:vAlign w:val="center"/>
          </w:tcPr>
          <w:p w14:paraId="346C2D28">
            <w:pPr>
              <w:spacing w:line="360" w:lineRule="auto"/>
              <w:rPr>
                <w:rFonts w:hAnsi="宋体" w:cs="宋体"/>
                <w:szCs w:val="24"/>
                <w:highlight w:val="none"/>
              </w:rPr>
            </w:pPr>
            <w:r>
              <w:rPr>
                <w:rFonts w:hint="eastAsia" w:hAnsi="宋体" w:cs="宋体"/>
                <w:szCs w:val="24"/>
                <w:highlight w:val="none"/>
              </w:rPr>
              <w:t>竞争性磋商响应文件正本、</w:t>
            </w:r>
            <w:r>
              <w:rPr>
                <w:rFonts w:hint="eastAsia" w:hAnsi="宋体" w:cs="宋体"/>
                <w:highlight w:val="none"/>
              </w:rPr>
              <w:t>电子版本、报价一览表</w:t>
            </w:r>
            <w:r>
              <w:rPr>
                <w:rFonts w:hint="eastAsia" w:hAnsi="宋体" w:cs="宋体"/>
                <w:highlight w:val="none"/>
                <w:lang w:eastAsia="zh-CN"/>
              </w:rPr>
              <w:t>，</w:t>
            </w:r>
            <w:r>
              <w:rPr>
                <w:rFonts w:hint="eastAsia" w:hAnsi="宋体" w:cs="宋体"/>
                <w:szCs w:val="24"/>
                <w:highlight w:val="none"/>
              </w:rPr>
              <w:t>所有的副本分开密封装在单独的封袋中（封袋不得有破损），且在封袋正面标明“正本</w:t>
            </w:r>
            <w:r>
              <w:rPr>
                <w:rFonts w:hint="eastAsia" w:hAnsi="宋体" w:cs="宋体"/>
                <w:szCs w:val="24"/>
                <w:highlight w:val="none"/>
                <w:lang w:eastAsia="zh-CN"/>
              </w:rPr>
              <w:t>、</w:t>
            </w:r>
            <w:r>
              <w:rPr>
                <w:rFonts w:hint="eastAsia" w:hAnsi="宋体" w:cs="宋体"/>
                <w:highlight w:val="none"/>
              </w:rPr>
              <w:t>电子版本、报价一览表</w:t>
            </w:r>
            <w:r>
              <w:rPr>
                <w:rFonts w:hint="eastAsia" w:hAnsi="宋体" w:cs="宋体"/>
                <w:szCs w:val="24"/>
                <w:highlight w:val="none"/>
              </w:rPr>
              <w:t>”“副本”字样。封袋应加贴封条，并在封线处加盖供应商公章，封袋正面要粘贴供应商全称、项目名称、编号等标识。</w:t>
            </w:r>
          </w:p>
        </w:tc>
      </w:tr>
      <w:tr w14:paraId="7596B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3EE262B6">
            <w:pPr>
              <w:spacing w:after="156" w:afterLines="50" w:line="360" w:lineRule="auto"/>
              <w:jc w:val="center"/>
              <w:rPr>
                <w:rFonts w:hAnsi="宋体" w:cs="宋体"/>
                <w:szCs w:val="24"/>
                <w:highlight w:val="none"/>
              </w:rPr>
            </w:pPr>
            <w:r>
              <w:rPr>
                <w:rFonts w:hint="eastAsia" w:hAnsi="宋体" w:cs="宋体"/>
                <w:szCs w:val="24"/>
                <w:highlight w:val="none"/>
              </w:rPr>
              <w:t>11</w:t>
            </w:r>
          </w:p>
        </w:tc>
        <w:tc>
          <w:tcPr>
            <w:tcW w:w="951" w:type="dxa"/>
            <w:vAlign w:val="center"/>
          </w:tcPr>
          <w:p w14:paraId="3C81ADED">
            <w:pPr>
              <w:spacing w:after="156" w:afterLines="50" w:line="360" w:lineRule="auto"/>
              <w:jc w:val="center"/>
              <w:rPr>
                <w:rFonts w:hAnsi="宋体" w:cs="宋体"/>
                <w:szCs w:val="24"/>
                <w:highlight w:val="none"/>
              </w:rPr>
            </w:pPr>
            <w:r>
              <w:rPr>
                <w:rFonts w:hint="eastAsia" w:hAnsi="宋体" w:cs="宋体"/>
                <w:szCs w:val="24"/>
                <w:highlight w:val="none"/>
              </w:rPr>
              <w:t>18.1</w:t>
            </w:r>
          </w:p>
        </w:tc>
        <w:tc>
          <w:tcPr>
            <w:tcW w:w="7354" w:type="dxa"/>
          </w:tcPr>
          <w:p w14:paraId="0763BCC4">
            <w:pPr>
              <w:spacing w:line="360" w:lineRule="auto"/>
              <w:rPr>
                <w:rFonts w:hAnsi="宋体" w:cs="宋体"/>
                <w:szCs w:val="24"/>
                <w:highlight w:val="none"/>
              </w:rPr>
            </w:pPr>
            <w:r>
              <w:rPr>
                <w:rFonts w:hint="eastAsia" w:hAnsi="宋体" w:cs="宋体"/>
                <w:szCs w:val="24"/>
                <w:highlight w:val="none"/>
              </w:rPr>
              <w:t>磋商响应文件递交截止时间：详见竞争性磋商公告</w:t>
            </w:r>
          </w:p>
          <w:p w14:paraId="6657B9C6">
            <w:pPr>
              <w:spacing w:line="360" w:lineRule="auto"/>
              <w:jc w:val="left"/>
              <w:rPr>
                <w:rFonts w:hAnsi="宋体" w:cs="宋体"/>
                <w:szCs w:val="24"/>
                <w:highlight w:val="none"/>
              </w:rPr>
            </w:pPr>
            <w:r>
              <w:rPr>
                <w:rFonts w:hint="eastAsia" w:hAnsi="宋体" w:cs="宋体"/>
                <w:szCs w:val="24"/>
                <w:highlight w:val="none"/>
              </w:rPr>
              <w:t>磋商响应文件递交地址：详见竞争性磋商公告</w:t>
            </w:r>
          </w:p>
          <w:p w14:paraId="7C1BA0E0">
            <w:pPr>
              <w:spacing w:line="360" w:lineRule="auto"/>
              <w:rPr>
                <w:rFonts w:hAnsi="宋体" w:cs="宋体"/>
                <w:szCs w:val="24"/>
                <w:highlight w:val="none"/>
              </w:rPr>
            </w:pPr>
            <w:r>
              <w:rPr>
                <w:rFonts w:hint="eastAsia" w:hAnsi="宋体" w:cs="宋体"/>
                <w:szCs w:val="24"/>
                <w:highlight w:val="none"/>
              </w:rPr>
              <w:t>磋商响应文件接收人：陕西至诚项目管理集团有限公司</w:t>
            </w:r>
          </w:p>
        </w:tc>
      </w:tr>
      <w:tr w14:paraId="54D5F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54A273D2">
            <w:pPr>
              <w:spacing w:after="156" w:afterLines="50" w:line="360" w:lineRule="auto"/>
              <w:jc w:val="center"/>
              <w:rPr>
                <w:rFonts w:hAnsi="宋体" w:cs="宋体"/>
                <w:szCs w:val="24"/>
                <w:highlight w:val="none"/>
              </w:rPr>
            </w:pPr>
            <w:r>
              <w:rPr>
                <w:rFonts w:hint="eastAsia" w:hAnsi="宋体" w:cs="宋体"/>
                <w:szCs w:val="24"/>
                <w:highlight w:val="none"/>
              </w:rPr>
              <w:t>12</w:t>
            </w:r>
          </w:p>
        </w:tc>
        <w:tc>
          <w:tcPr>
            <w:tcW w:w="951" w:type="dxa"/>
            <w:vAlign w:val="center"/>
          </w:tcPr>
          <w:p w14:paraId="0836D4F6">
            <w:pPr>
              <w:spacing w:after="156" w:afterLines="50" w:line="360" w:lineRule="auto"/>
              <w:jc w:val="center"/>
              <w:rPr>
                <w:rFonts w:hAnsi="宋体" w:cs="宋体"/>
                <w:szCs w:val="24"/>
                <w:highlight w:val="none"/>
              </w:rPr>
            </w:pPr>
            <w:r>
              <w:rPr>
                <w:rFonts w:hint="eastAsia" w:hAnsi="宋体" w:cs="宋体"/>
                <w:szCs w:val="24"/>
                <w:highlight w:val="none"/>
              </w:rPr>
              <w:t>21.1</w:t>
            </w:r>
          </w:p>
        </w:tc>
        <w:tc>
          <w:tcPr>
            <w:tcW w:w="7354" w:type="dxa"/>
            <w:vAlign w:val="center"/>
          </w:tcPr>
          <w:p w14:paraId="13EE3E4D">
            <w:pPr>
              <w:spacing w:line="360" w:lineRule="auto"/>
              <w:rPr>
                <w:rFonts w:hAnsi="宋体" w:cs="宋体"/>
                <w:szCs w:val="24"/>
                <w:highlight w:val="none"/>
              </w:rPr>
            </w:pPr>
            <w:r>
              <w:rPr>
                <w:rFonts w:hint="eastAsia" w:hAnsi="宋体" w:cs="宋体"/>
                <w:szCs w:val="24"/>
                <w:highlight w:val="none"/>
              </w:rPr>
              <w:t>磋商时间：详见竞争性磋商公告</w:t>
            </w:r>
          </w:p>
          <w:p w14:paraId="21BD5F0E">
            <w:pPr>
              <w:spacing w:line="360" w:lineRule="auto"/>
              <w:jc w:val="left"/>
              <w:rPr>
                <w:rFonts w:hAnsi="宋体" w:cs="宋体"/>
                <w:szCs w:val="24"/>
                <w:highlight w:val="none"/>
              </w:rPr>
            </w:pPr>
            <w:r>
              <w:rPr>
                <w:rFonts w:hint="eastAsia" w:hAnsi="宋体" w:cs="宋体"/>
                <w:szCs w:val="24"/>
                <w:highlight w:val="none"/>
              </w:rPr>
              <w:t>磋商地点：详见竞争性磋商公告</w:t>
            </w:r>
            <w:r>
              <w:rPr>
                <w:rFonts w:hint="eastAsia" w:hAnsi="宋体" w:cs="宋体"/>
                <w:szCs w:val="24"/>
                <w:highlight w:val="none"/>
                <w:lang w:val="en-US" w:eastAsia="zh-CN"/>
              </w:rPr>
              <w:t xml:space="preserve"> </w:t>
            </w:r>
          </w:p>
        </w:tc>
      </w:tr>
      <w:tr w14:paraId="58D43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7" w:hRule="atLeast"/>
          <w:jc w:val="center"/>
        </w:trPr>
        <w:tc>
          <w:tcPr>
            <w:tcW w:w="592" w:type="dxa"/>
            <w:vAlign w:val="center"/>
          </w:tcPr>
          <w:p w14:paraId="7FF64390">
            <w:pPr>
              <w:spacing w:after="156" w:afterLines="50" w:line="360" w:lineRule="auto"/>
              <w:jc w:val="center"/>
              <w:rPr>
                <w:rFonts w:hAnsi="宋体" w:cs="宋体"/>
                <w:szCs w:val="24"/>
                <w:highlight w:val="none"/>
              </w:rPr>
            </w:pPr>
            <w:r>
              <w:rPr>
                <w:rFonts w:hint="eastAsia" w:hAnsi="宋体" w:cs="宋体"/>
                <w:szCs w:val="24"/>
                <w:highlight w:val="none"/>
              </w:rPr>
              <w:t>13</w:t>
            </w:r>
          </w:p>
        </w:tc>
        <w:tc>
          <w:tcPr>
            <w:tcW w:w="951" w:type="dxa"/>
            <w:vAlign w:val="center"/>
          </w:tcPr>
          <w:p w14:paraId="18651354">
            <w:pPr>
              <w:spacing w:after="156" w:afterLines="50" w:line="360" w:lineRule="auto"/>
              <w:jc w:val="center"/>
              <w:rPr>
                <w:rFonts w:hAnsi="宋体" w:cs="宋体"/>
                <w:szCs w:val="24"/>
                <w:highlight w:val="none"/>
              </w:rPr>
            </w:pPr>
            <w:r>
              <w:rPr>
                <w:rFonts w:hint="eastAsia" w:hAnsi="宋体" w:cs="宋体"/>
                <w:szCs w:val="24"/>
                <w:highlight w:val="none"/>
              </w:rPr>
              <w:t>24.1</w:t>
            </w:r>
          </w:p>
        </w:tc>
        <w:tc>
          <w:tcPr>
            <w:tcW w:w="7354" w:type="dxa"/>
            <w:vAlign w:val="center"/>
          </w:tcPr>
          <w:p w14:paraId="335E35AE">
            <w:pPr>
              <w:spacing w:after="156" w:afterLines="50" w:line="360" w:lineRule="auto"/>
              <w:jc w:val="left"/>
              <w:rPr>
                <w:rFonts w:hAnsi="宋体" w:cs="宋体"/>
                <w:szCs w:val="24"/>
                <w:highlight w:val="none"/>
              </w:rPr>
            </w:pPr>
            <w:r>
              <w:rPr>
                <w:rFonts w:hint="eastAsia" w:hAnsi="宋体" w:cs="宋体"/>
                <w:b/>
                <w:bCs/>
                <w:szCs w:val="24"/>
                <w:highlight w:val="none"/>
              </w:rPr>
              <w:t>评审方法：综合评分法（详见第三章）</w:t>
            </w:r>
          </w:p>
        </w:tc>
      </w:tr>
      <w:tr w14:paraId="41BA9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5AD94614">
            <w:pPr>
              <w:spacing w:after="156" w:afterLines="50" w:line="360" w:lineRule="auto"/>
              <w:jc w:val="center"/>
              <w:rPr>
                <w:rFonts w:hAnsi="宋体" w:cs="宋体"/>
                <w:szCs w:val="24"/>
                <w:highlight w:val="none"/>
              </w:rPr>
            </w:pPr>
            <w:r>
              <w:rPr>
                <w:rFonts w:hint="eastAsia" w:hAnsi="宋体" w:cs="宋体"/>
                <w:szCs w:val="24"/>
                <w:highlight w:val="none"/>
              </w:rPr>
              <w:t>14</w:t>
            </w:r>
          </w:p>
        </w:tc>
        <w:tc>
          <w:tcPr>
            <w:tcW w:w="951" w:type="dxa"/>
            <w:vAlign w:val="center"/>
          </w:tcPr>
          <w:p w14:paraId="2B93841A">
            <w:pPr>
              <w:spacing w:after="156" w:afterLines="50" w:line="360" w:lineRule="auto"/>
              <w:jc w:val="center"/>
              <w:rPr>
                <w:rFonts w:hAnsi="宋体" w:cs="宋体"/>
                <w:szCs w:val="24"/>
                <w:highlight w:val="none"/>
              </w:rPr>
            </w:pPr>
            <w:r>
              <w:rPr>
                <w:rFonts w:hint="eastAsia" w:hAnsi="宋体" w:cs="宋体"/>
                <w:szCs w:val="24"/>
                <w:highlight w:val="none"/>
              </w:rPr>
              <w:t>29</w:t>
            </w:r>
          </w:p>
        </w:tc>
        <w:tc>
          <w:tcPr>
            <w:tcW w:w="7354" w:type="dxa"/>
            <w:vAlign w:val="center"/>
          </w:tcPr>
          <w:p w14:paraId="6EF4FEC3">
            <w:pPr>
              <w:spacing w:line="360" w:lineRule="auto"/>
              <w:rPr>
                <w:rFonts w:hAnsi="宋体" w:cs="宋体"/>
                <w:szCs w:val="24"/>
                <w:highlight w:val="none"/>
              </w:rPr>
            </w:pPr>
            <w:r>
              <w:rPr>
                <w:rFonts w:hint="eastAsia" w:hAnsi="宋体" w:cs="宋体"/>
                <w:szCs w:val="24"/>
                <w:highlight w:val="none"/>
              </w:rPr>
              <w:t>磋商代理服务费：</w:t>
            </w:r>
          </w:p>
          <w:p w14:paraId="2D492B56">
            <w:pPr>
              <w:spacing w:line="360" w:lineRule="auto"/>
              <w:ind w:firstLine="480"/>
              <w:rPr>
                <w:rFonts w:hint="eastAsia" w:hAnsi="宋体" w:cs="宋体"/>
                <w:szCs w:val="24"/>
                <w:highlight w:val="none"/>
              </w:rPr>
            </w:pPr>
            <w:r>
              <w:rPr>
                <w:rFonts w:hint="eastAsia" w:hAnsi="宋体" w:cs="宋体"/>
                <w:szCs w:val="24"/>
                <w:highlight w:val="none"/>
              </w:rPr>
              <w:t>29.1按</w:t>
            </w:r>
            <w:bookmarkStart w:id="28" w:name="OLE_LINK10"/>
            <w:bookmarkStart w:id="29" w:name="OLE_LINK9"/>
            <w:r>
              <w:rPr>
                <w:rFonts w:hint="eastAsia" w:hAnsi="宋体" w:cs="宋体"/>
                <w:szCs w:val="24"/>
                <w:highlight w:val="none"/>
              </w:rPr>
              <w:t>国家计委颁发的《招标代理服务收费管理暂行办法》（计价格[2002]1980号）和国家发展</w:t>
            </w:r>
            <w:r>
              <w:rPr>
                <w:rFonts w:hint="eastAsia" w:hAnsi="宋体" w:cs="宋体"/>
                <w:szCs w:val="24"/>
                <w:highlight w:val="none"/>
                <w:lang w:val="en-US" w:eastAsia="zh-CN"/>
              </w:rPr>
              <w:t>和</w:t>
            </w:r>
            <w:r>
              <w:rPr>
                <w:rFonts w:hint="eastAsia" w:hAnsi="宋体" w:cs="宋体"/>
                <w:szCs w:val="24"/>
                <w:highlight w:val="none"/>
              </w:rPr>
              <w:t>改革委员会办公厅颁发的《关于招标代理服务收费有关问题的通知》（发改办价格[2003]857号）的有关规定执行。</w:t>
            </w:r>
            <w:bookmarkEnd w:id="28"/>
            <w:bookmarkEnd w:id="29"/>
          </w:p>
          <w:p w14:paraId="77305B97">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tc>
      </w:tr>
      <w:tr w14:paraId="4FF9E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1C24278D">
            <w:pPr>
              <w:spacing w:after="156" w:afterLines="50" w:line="360" w:lineRule="auto"/>
              <w:jc w:val="center"/>
              <w:rPr>
                <w:rFonts w:hAnsi="宋体" w:cs="宋体"/>
                <w:szCs w:val="24"/>
                <w:highlight w:val="none"/>
              </w:rPr>
            </w:pPr>
            <w:r>
              <w:rPr>
                <w:rFonts w:hint="eastAsia" w:hAnsi="宋体" w:cs="宋体"/>
                <w:szCs w:val="24"/>
                <w:highlight w:val="none"/>
              </w:rPr>
              <w:t>15</w:t>
            </w:r>
          </w:p>
        </w:tc>
        <w:tc>
          <w:tcPr>
            <w:tcW w:w="951" w:type="dxa"/>
            <w:vAlign w:val="center"/>
          </w:tcPr>
          <w:p w14:paraId="6E8CECC2">
            <w:pPr>
              <w:spacing w:line="360" w:lineRule="auto"/>
              <w:jc w:val="center"/>
              <w:rPr>
                <w:rFonts w:hAnsi="宋体" w:cs="宋体"/>
                <w:szCs w:val="24"/>
                <w:highlight w:val="none"/>
              </w:rPr>
            </w:pPr>
            <w:r>
              <w:rPr>
                <w:rFonts w:hint="eastAsia" w:hAnsi="宋体" w:cs="宋体"/>
                <w:szCs w:val="24"/>
                <w:highlight w:val="none"/>
              </w:rPr>
              <w:t>踏勘</w:t>
            </w:r>
          </w:p>
          <w:p w14:paraId="1FFE10AF">
            <w:pPr>
              <w:spacing w:line="360" w:lineRule="auto"/>
              <w:jc w:val="center"/>
              <w:rPr>
                <w:rFonts w:hAnsi="宋体" w:cs="宋体"/>
                <w:szCs w:val="24"/>
                <w:highlight w:val="none"/>
              </w:rPr>
            </w:pPr>
            <w:r>
              <w:rPr>
                <w:rFonts w:hint="eastAsia" w:hAnsi="宋体" w:cs="宋体"/>
                <w:szCs w:val="24"/>
                <w:highlight w:val="none"/>
              </w:rPr>
              <w:t>现场</w:t>
            </w:r>
          </w:p>
        </w:tc>
        <w:tc>
          <w:tcPr>
            <w:tcW w:w="7354" w:type="dxa"/>
            <w:vAlign w:val="center"/>
          </w:tcPr>
          <w:p w14:paraId="4B80A370">
            <w:pPr>
              <w:spacing w:line="360" w:lineRule="auto"/>
              <w:rPr>
                <w:rFonts w:hAnsi="宋体" w:cs="宋体"/>
                <w:szCs w:val="24"/>
                <w:highlight w:val="none"/>
              </w:rPr>
            </w:pPr>
            <w:r>
              <w:rPr>
                <w:rFonts w:hint="eastAsia" w:hAnsi="宋体" w:cs="宋体"/>
                <w:szCs w:val="24"/>
                <w:highlight w:val="none"/>
              </w:rPr>
              <w:t>1）招标代理机构不组织统一踏勘，各投标人自行踏勘，相关费用及安全由投标人自行承担，踏勘时遵守相关规定，不得扰民。</w:t>
            </w:r>
          </w:p>
          <w:p w14:paraId="04DAD4A6">
            <w:pPr>
              <w:spacing w:line="360" w:lineRule="auto"/>
              <w:rPr>
                <w:rFonts w:hAnsi="宋体" w:cs="宋体"/>
                <w:szCs w:val="24"/>
                <w:highlight w:val="none"/>
              </w:rPr>
            </w:pPr>
            <w:r>
              <w:rPr>
                <w:rFonts w:hint="eastAsia" w:hAnsi="宋体" w:cs="宋体"/>
                <w:szCs w:val="24"/>
                <w:highlight w:val="none"/>
              </w:rPr>
              <w:t>2）踏勘内容包含：完成本次招标所需要的现场情况及周围环境等资料。</w:t>
            </w:r>
          </w:p>
        </w:tc>
      </w:tr>
      <w:tr w14:paraId="34B14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B928F4C">
            <w:pPr>
              <w:spacing w:after="156" w:afterLines="50" w:line="360" w:lineRule="auto"/>
              <w:jc w:val="center"/>
              <w:rPr>
                <w:rFonts w:hAnsi="宋体" w:cs="宋体"/>
                <w:szCs w:val="24"/>
                <w:highlight w:val="none"/>
              </w:rPr>
            </w:pPr>
            <w:r>
              <w:rPr>
                <w:rFonts w:hint="eastAsia" w:hAnsi="宋体" w:cs="宋体"/>
                <w:szCs w:val="24"/>
                <w:highlight w:val="none"/>
              </w:rPr>
              <w:t>16</w:t>
            </w:r>
          </w:p>
        </w:tc>
        <w:tc>
          <w:tcPr>
            <w:tcW w:w="951" w:type="dxa"/>
            <w:vAlign w:val="center"/>
          </w:tcPr>
          <w:p w14:paraId="2F1989DB">
            <w:pPr>
              <w:jc w:val="center"/>
              <w:rPr>
                <w:rFonts w:hAnsi="宋体" w:cs="宋体"/>
                <w:b/>
                <w:bCs/>
                <w:szCs w:val="24"/>
                <w:highlight w:val="none"/>
              </w:rPr>
            </w:pPr>
            <w:r>
              <w:rPr>
                <w:rFonts w:hint="eastAsia" w:hAnsi="宋体" w:cs="宋体"/>
                <w:b/>
                <w:bCs/>
                <w:szCs w:val="24"/>
                <w:highlight w:val="none"/>
              </w:rPr>
              <w:t>银行</w:t>
            </w:r>
          </w:p>
          <w:p w14:paraId="6AAD138C">
            <w:pPr>
              <w:jc w:val="center"/>
              <w:rPr>
                <w:rFonts w:hAnsi="宋体" w:cs="宋体"/>
                <w:b/>
                <w:bCs/>
                <w:szCs w:val="24"/>
                <w:highlight w:val="none"/>
              </w:rPr>
            </w:pPr>
            <w:r>
              <w:rPr>
                <w:rFonts w:hint="eastAsia" w:hAnsi="宋体" w:cs="宋体"/>
                <w:b/>
                <w:bCs/>
                <w:szCs w:val="24"/>
                <w:highlight w:val="none"/>
              </w:rPr>
              <w:t>账户</w:t>
            </w:r>
          </w:p>
          <w:p w14:paraId="355560F7">
            <w:pPr>
              <w:jc w:val="center"/>
              <w:rPr>
                <w:rFonts w:hAnsi="宋体" w:cs="宋体"/>
                <w:szCs w:val="24"/>
                <w:highlight w:val="none"/>
              </w:rPr>
            </w:pPr>
            <w:r>
              <w:rPr>
                <w:rFonts w:hint="eastAsia" w:hAnsi="宋体" w:cs="宋体"/>
                <w:b/>
                <w:bCs/>
                <w:szCs w:val="24"/>
                <w:highlight w:val="none"/>
              </w:rPr>
              <w:t>信息</w:t>
            </w:r>
          </w:p>
        </w:tc>
        <w:tc>
          <w:tcPr>
            <w:tcW w:w="7354" w:type="dxa"/>
            <w:vAlign w:val="center"/>
          </w:tcPr>
          <w:p w14:paraId="63715A17">
            <w:pPr>
              <w:spacing w:line="520" w:lineRule="exact"/>
              <w:rPr>
                <w:rFonts w:hAnsi="宋体" w:cs="宋体"/>
                <w:b/>
                <w:bCs/>
                <w:szCs w:val="24"/>
                <w:highlight w:val="none"/>
              </w:rPr>
            </w:pPr>
            <w:r>
              <w:rPr>
                <w:rFonts w:hint="eastAsia" w:hAnsi="宋体" w:cs="宋体"/>
                <w:b/>
                <w:bCs/>
                <w:szCs w:val="24"/>
                <w:highlight w:val="none"/>
              </w:rPr>
              <w:t>1、保证金及代理服务费账户：</w:t>
            </w:r>
          </w:p>
          <w:p w14:paraId="3C6F73BE">
            <w:pPr>
              <w:spacing w:line="360" w:lineRule="auto"/>
              <w:ind w:firstLine="482" w:firstLineChars="200"/>
              <w:rPr>
                <w:rFonts w:hAnsi="宋体" w:cs="宋体"/>
                <w:b/>
                <w:bCs/>
                <w:szCs w:val="24"/>
                <w:highlight w:val="none"/>
              </w:rPr>
            </w:pPr>
            <w:r>
              <w:rPr>
                <w:rFonts w:hint="eastAsia" w:hAnsi="宋体" w:cs="宋体"/>
                <w:b/>
                <w:bCs/>
                <w:szCs w:val="24"/>
                <w:highlight w:val="none"/>
              </w:rPr>
              <w:t>①采购代理机构开户名称: 陕西至诚项目管理集团有限公司</w:t>
            </w:r>
          </w:p>
          <w:p w14:paraId="003C5D4B">
            <w:pPr>
              <w:spacing w:line="360" w:lineRule="auto"/>
              <w:ind w:firstLine="482" w:firstLineChars="200"/>
              <w:rPr>
                <w:rFonts w:hAnsi="宋体" w:cs="宋体"/>
                <w:b/>
                <w:bCs/>
                <w:szCs w:val="24"/>
                <w:highlight w:val="none"/>
              </w:rPr>
            </w:pPr>
            <w:r>
              <w:rPr>
                <w:rFonts w:hint="eastAsia" w:hAnsi="宋体" w:cs="宋体"/>
                <w:b/>
                <w:bCs/>
                <w:szCs w:val="24"/>
                <w:highlight w:val="none"/>
              </w:rPr>
              <w:t>②开户行名称：中国建设银行股份有限公司西安高新技术产业开发区支行</w:t>
            </w:r>
          </w:p>
          <w:p w14:paraId="0C38E6E5">
            <w:pPr>
              <w:pStyle w:val="9"/>
              <w:rPr>
                <w:rFonts w:ascii="宋体" w:hAnsi="宋体" w:cs="宋体"/>
                <w:szCs w:val="24"/>
                <w:highlight w:val="none"/>
              </w:rPr>
            </w:pPr>
            <w:r>
              <w:rPr>
                <w:rFonts w:hint="eastAsia" w:ascii="宋体" w:hAnsi="宋体" w:cs="宋体"/>
                <w:b/>
                <w:bCs/>
                <w:sz w:val="24"/>
                <w:szCs w:val="24"/>
                <w:highlight w:val="none"/>
              </w:rPr>
              <w:t>2、账号：61050192090000002152</w:t>
            </w:r>
          </w:p>
        </w:tc>
      </w:tr>
      <w:tr w14:paraId="78B11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070CF1C4">
            <w:pPr>
              <w:spacing w:after="156" w:afterLines="50" w:line="360" w:lineRule="auto"/>
              <w:jc w:val="center"/>
              <w:rPr>
                <w:rFonts w:hint="default" w:hAnsi="宋体" w:eastAsia="宋体" w:cs="宋体"/>
                <w:szCs w:val="24"/>
                <w:highlight w:val="none"/>
                <w:lang w:val="en-US" w:eastAsia="zh-CN"/>
              </w:rPr>
            </w:pPr>
            <w:bookmarkStart w:id="30" w:name="_Toc363474017"/>
            <w:bookmarkStart w:id="31" w:name="_Toc363473972"/>
            <w:bookmarkStart w:id="32" w:name="_Toc403077639"/>
            <w:r>
              <w:rPr>
                <w:rFonts w:hint="eastAsia" w:hAnsi="宋体" w:cs="宋体"/>
                <w:szCs w:val="24"/>
                <w:highlight w:val="none"/>
                <w:lang w:val="en-US" w:eastAsia="zh-CN"/>
              </w:rPr>
              <w:t>17</w:t>
            </w:r>
          </w:p>
        </w:tc>
        <w:tc>
          <w:tcPr>
            <w:tcW w:w="951" w:type="dxa"/>
            <w:vAlign w:val="center"/>
          </w:tcPr>
          <w:p w14:paraId="109A5FC0">
            <w:pPr>
              <w:jc w:val="center"/>
              <w:rPr>
                <w:rFonts w:hint="eastAsia" w:hAnsi="宋体" w:cs="宋体"/>
                <w:b/>
                <w:bCs/>
                <w:szCs w:val="24"/>
                <w:highlight w:val="none"/>
              </w:rPr>
            </w:pPr>
            <w:r>
              <w:rPr>
                <w:rFonts w:hint="eastAsia" w:hAnsi="宋体" w:cs="宋体"/>
                <w:b/>
                <w:bCs/>
                <w:szCs w:val="24"/>
                <w:highlight w:val="none"/>
              </w:rPr>
              <w:t>项目所属行业</w:t>
            </w:r>
          </w:p>
        </w:tc>
        <w:tc>
          <w:tcPr>
            <w:tcW w:w="7354" w:type="dxa"/>
            <w:vAlign w:val="center"/>
          </w:tcPr>
          <w:p w14:paraId="27BC32F2">
            <w:pPr>
              <w:pStyle w:val="9"/>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建筑业</w:t>
            </w:r>
          </w:p>
        </w:tc>
      </w:tr>
      <w:bookmarkEnd w:id="9"/>
      <w:bookmarkEnd w:id="10"/>
      <w:bookmarkEnd w:id="11"/>
    </w:tbl>
    <w:p w14:paraId="4552B178">
      <w:pPr>
        <w:spacing w:before="156" w:beforeLines="50" w:after="156" w:afterLines="50"/>
        <w:jc w:val="center"/>
        <w:outlineLvl w:val="2"/>
        <w:rPr>
          <w:rFonts w:hAnsi="宋体" w:cs="宋体"/>
          <w:sz w:val="32"/>
          <w:szCs w:val="32"/>
          <w:highlight w:val="none"/>
        </w:rPr>
      </w:pPr>
      <w:r>
        <w:rPr>
          <w:rFonts w:hint="eastAsia" w:hAnsi="宋体" w:cs="宋体"/>
          <w:b/>
          <w:sz w:val="32"/>
          <w:szCs w:val="32"/>
          <w:highlight w:val="none"/>
        </w:rPr>
        <w:br w:type="page"/>
      </w:r>
      <w:bookmarkStart w:id="33" w:name="_Toc3623"/>
      <w:bookmarkStart w:id="34" w:name="_Toc27537"/>
      <w:bookmarkStart w:id="35" w:name="_Toc4670"/>
      <w:r>
        <w:rPr>
          <w:rFonts w:hint="eastAsia" w:hAnsi="宋体" w:cs="宋体"/>
          <w:b/>
          <w:sz w:val="32"/>
          <w:szCs w:val="32"/>
          <w:highlight w:val="none"/>
        </w:rPr>
        <w:t>一.总  则</w:t>
      </w:r>
      <w:bookmarkEnd w:id="30"/>
      <w:bookmarkEnd w:id="31"/>
      <w:bookmarkEnd w:id="32"/>
      <w:bookmarkEnd w:id="33"/>
      <w:bookmarkEnd w:id="34"/>
      <w:bookmarkEnd w:id="35"/>
    </w:p>
    <w:p w14:paraId="0C4458CD">
      <w:pPr>
        <w:spacing w:line="360" w:lineRule="auto"/>
        <w:rPr>
          <w:rFonts w:hAnsi="宋体" w:cs="宋体"/>
          <w:b/>
          <w:szCs w:val="24"/>
          <w:highlight w:val="none"/>
        </w:rPr>
      </w:pPr>
      <w:r>
        <w:rPr>
          <w:rFonts w:hint="eastAsia" w:hAnsi="宋体" w:cs="宋体"/>
          <w:b/>
          <w:szCs w:val="24"/>
          <w:highlight w:val="none"/>
        </w:rPr>
        <w:t>1.资金来源</w:t>
      </w:r>
    </w:p>
    <w:p w14:paraId="4F79621A">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w:t>
      </w:r>
      <w:r>
        <w:rPr>
          <w:rFonts w:hint="eastAsia" w:hAnsi="宋体" w:cs="宋体"/>
          <w:szCs w:val="24"/>
          <w:highlight w:val="none"/>
          <w:lang w:val="en-US" w:eastAsia="zh-CN"/>
        </w:rPr>
        <w:t>财政资金</w:t>
      </w:r>
      <w:r>
        <w:rPr>
          <w:rFonts w:hint="eastAsia" w:hAnsi="宋体" w:cs="宋体"/>
          <w:szCs w:val="24"/>
          <w:highlight w:val="none"/>
        </w:rPr>
        <w:t>支付，资金已落实到位。</w:t>
      </w:r>
    </w:p>
    <w:p w14:paraId="7C8A5ADD">
      <w:pPr>
        <w:numPr>
          <w:ilvl w:val="0"/>
          <w:numId w:val="1"/>
        </w:numPr>
        <w:spacing w:line="500" w:lineRule="exact"/>
        <w:rPr>
          <w:rFonts w:hAnsi="宋体" w:cs="宋体"/>
          <w:b/>
          <w:szCs w:val="24"/>
          <w:highlight w:val="none"/>
        </w:rPr>
      </w:pPr>
      <w:bookmarkStart w:id="36" w:name="_Toc363473973"/>
      <w:bookmarkStart w:id="37" w:name="_Toc403077640"/>
      <w:bookmarkStart w:id="38" w:name="_Toc363474018"/>
      <w:r>
        <w:rPr>
          <w:rFonts w:hint="eastAsia" w:hAnsi="宋体" w:cs="宋体"/>
          <w:b/>
          <w:szCs w:val="24"/>
          <w:highlight w:val="none"/>
        </w:rPr>
        <w:t>名词解释</w:t>
      </w:r>
    </w:p>
    <w:p w14:paraId="3F126FEA">
      <w:pPr>
        <w:tabs>
          <w:tab w:val="left" w:pos="7665"/>
        </w:tabs>
        <w:spacing w:line="360" w:lineRule="auto"/>
        <w:ind w:firstLine="480" w:firstLineChars="200"/>
        <w:rPr>
          <w:rFonts w:hint="eastAsia" w:hAnsi="宋体" w:cs="宋体"/>
          <w:szCs w:val="22"/>
          <w:highlight w:val="none"/>
          <w:lang w:eastAsia="zh-CN"/>
        </w:rPr>
      </w:pPr>
      <w:r>
        <w:rPr>
          <w:rFonts w:hint="eastAsia" w:hAnsi="宋体" w:cs="宋体"/>
          <w:szCs w:val="22"/>
          <w:highlight w:val="none"/>
        </w:rPr>
        <w:t>2.1采购人：</w:t>
      </w:r>
      <w:r>
        <w:rPr>
          <w:rFonts w:hint="eastAsia" w:hAnsi="宋体" w:cs="宋体"/>
          <w:szCs w:val="22"/>
          <w:highlight w:val="none"/>
          <w:lang w:eastAsia="zh-CN"/>
        </w:rPr>
        <w:t>山阳县王阎镇人民政府</w:t>
      </w:r>
    </w:p>
    <w:p w14:paraId="30847363">
      <w:pPr>
        <w:tabs>
          <w:tab w:val="left" w:pos="7665"/>
        </w:tabs>
        <w:spacing w:line="360" w:lineRule="auto"/>
        <w:ind w:firstLine="480" w:firstLineChars="200"/>
        <w:rPr>
          <w:rFonts w:hint="default" w:hAnsi="宋体" w:cs="宋体"/>
          <w:szCs w:val="22"/>
          <w:highlight w:val="none"/>
          <w:lang w:val="en-US"/>
        </w:rPr>
      </w:pPr>
      <w:r>
        <w:rPr>
          <w:rFonts w:hint="eastAsia" w:hAnsi="宋体" w:cs="宋体"/>
          <w:szCs w:val="22"/>
          <w:highlight w:val="none"/>
        </w:rPr>
        <w:t>2.2监督机构：</w:t>
      </w:r>
      <w:r>
        <w:rPr>
          <w:rFonts w:hint="eastAsia" w:hAnsi="宋体" w:cs="宋体"/>
          <w:szCs w:val="22"/>
          <w:highlight w:val="none"/>
          <w:lang w:eastAsia="zh-CN"/>
        </w:rPr>
        <w:t>山阳县</w:t>
      </w:r>
      <w:r>
        <w:rPr>
          <w:rFonts w:hint="eastAsia" w:hAnsi="宋体" w:cs="宋体"/>
          <w:szCs w:val="22"/>
          <w:highlight w:val="none"/>
          <w:lang w:val="en-US" w:eastAsia="zh-CN"/>
        </w:rPr>
        <w:t>财政局</w:t>
      </w:r>
    </w:p>
    <w:p w14:paraId="084DF15C">
      <w:pPr>
        <w:tabs>
          <w:tab w:val="left" w:pos="7665"/>
        </w:tabs>
        <w:spacing w:line="360" w:lineRule="auto"/>
        <w:ind w:firstLine="480" w:firstLineChars="200"/>
        <w:rPr>
          <w:rFonts w:hAnsi="宋体" w:cs="宋体"/>
          <w:highlight w:val="none"/>
        </w:rPr>
      </w:pPr>
      <w:r>
        <w:rPr>
          <w:rFonts w:hint="eastAsia" w:hAnsi="宋体" w:cs="宋体"/>
          <w:szCs w:val="22"/>
          <w:highlight w:val="none"/>
        </w:rPr>
        <w:t>2.3采购代理机构：陕西至诚项目管理集团有限公司</w:t>
      </w:r>
    </w:p>
    <w:p w14:paraId="62EC006C">
      <w:pPr>
        <w:tabs>
          <w:tab w:val="left" w:pos="7665"/>
        </w:tabs>
        <w:spacing w:line="360" w:lineRule="auto"/>
        <w:ind w:firstLine="480" w:firstLineChars="200"/>
        <w:rPr>
          <w:rFonts w:hAnsi="宋体" w:cs="宋体"/>
          <w:highlight w:val="none"/>
        </w:rPr>
      </w:pPr>
      <w:r>
        <w:rPr>
          <w:rFonts w:hint="eastAsia" w:hAnsi="宋体" w:cs="宋体"/>
          <w:highlight w:val="none"/>
        </w:rPr>
        <w:t>2.4供应商：是指响应和符合竞争性磋商文件规定资格条件且参与竞争性磋商的法人、其他组织或者自然人。</w:t>
      </w:r>
    </w:p>
    <w:p w14:paraId="3D11A749">
      <w:pPr>
        <w:adjustRightInd w:val="0"/>
        <w:snapToGrid w:val="0"/>
        <w:spacing w:line="360" w:lineRule="auto"/>
        <w:ind w:firstLine="480" w:firstLineChars="200"/>
        <w:rPr>
          <w:rFonts w:hAnsi="宋体" w:cs="宋体"/>
          <w:highlight w:val="none"/>
        </w:rPr>
      </w:pPr>
      <w:r>
        <w:rPr>
          <w:rFonts w:hint="eastAsia" w:hAnsi="宋体" w:cs="宋体"/>
          <w:highlight w:val="none"/>
        </w:rPr>
        <w:t>2.5产品是指本竞争性磋商文件中第四章所述所有产品。</w:t>
      </w:r>
    </w:p>
    <w:p w14:paraId="0E30E9E3">
      <w:pPr>
        <w:adjustRightInd w:val="0"/>
        <w:snapToGrid w:val="0"/>
        <w:spacing w:line="360" w:lineRule="auto"/>
        <w:ind w:firstLine="480" w:firstLineChars="200"/>
        <w:rPr>
          <w:rFonts w:hAnsi="宋体" w:cs="宋体"/>
          <w:highlight w:val="none"/>
        </w:rPr>
      </w:pPr>
      <w:r>
        <w:rPr>
          <w:rFonts w:hint="eastAsia" w:hAnsi="宋体" w:cs="宋体"/>
          <w:highlight w:val="none"/>
        </w:rPr>
        <w:t>2.6服务是指供应商为满足竞争性磋商文件要求而提供的服务。</w:t>
      </w:r>
    </w:p>
    <w:p w14:paraId="6C7A45A5">
      <w:pPr>
        <w:adjustRightInd w:val="0"/>
        <w:snapToGrid w:val="0"/>
        <w:spacing w:line="360" w:lineRule="auto"/>
        <w:ind w:firstLine="480" w:firstLineChars="200"/>
        <w:rPr>
          <w:rFonts w:hAnsi="宋体" w:cs="宋体"/>
          <w:highlight w:val="none"/>
        </w:rPr>
      </w:pPr>
      <w:r>
        <w:rPr>
          <w:rFonts w:hint="eastAsia" w:hAnsi="宋体" w:cs="宋体"/>
          <w:highlight w:val="none"/>
        </w:rPr>
        <w:t>2.7节能产品或者环保产品是指依据国家确定的认证机构出具的、处于有效期之内的具有节能产品、环境标志产品认证证书的产品。</w:t>
      </w:r>
    </w:p>
    <w:p w14:paraId="08493154">
      <w:pPr>
        <w:adjustRightInd w:val="0"/>
        <w:snapToGrid w:val="0"/>
        <w:spacing w:line="360" w:lineRule="auto"/>
        <w:ind w:firstLine="480" w:firstLineChars="200"/>
        <w:rPr>
          <w:rFonts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14:paraId="7C0C007E">
      <w:pPr>
        <w:adjustRightInd w:val="0"/>
        <w:snapToGrid w:val="0"/>
        <w:spacing w:line="360" w:lineRule="auto"/>
        <w:ind w:firstLine="480" w:firstLineChars="200"/>
        <w:rPr>
          <w:rFonts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04E99E66">
      <w:pPr>
        <w:adjustRightInd w:val="0"/>
        <w:snapToGrid w:val="0"/>
        <w:spacing w:line="360" w:lineRule="auto"/>
        <w:ind w:firstLine="480" w:firstLineChars="200"/>
        <w:rPr>
          <w:rFonts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7A46CE">
      <w:pPr>
        <w:adjustRightInd w:val="0"/>
        <w:snapToGrid w:val="0"/>
        <w:spacing w:line="360" w:lineRule="auto"/>
        <w:ind w:firstLine="480" w:firstLineChars="200"/>
        <w:rPr>
          <w:rFonts w:hAnsi="宋体" w:cs="宋体"/>
          <w:highlight w:val="none"/>
        </w:rPr>
      </w:pPr>
      <w:r>
        <w:rPr>
          <w:rFonts w:hint="eastAsia" w:hAnsi="宋体" w:cs="宋体"/>
          <w:highlight w:val="none"/>
        </w:rPr>
        <w:t>2.11残疾人福利性单位是指符合《三部门联合发布关于促进残疾人就业政府采购政策的通知》财库〔2017〕141号规定的对残疾人福利性单位划分标准的单位。</w:t>
      </w:r>
    </w:p>
    <w:p w14:paraId="7147D1AD">
      <w:pPr>
        <w:spacing w:line="500" w:lineRule="exact"/>
        <w:rPr>
          <w:rFonts w:hAnsi="宋体" w:cs="宋体"/>
          <w:b/>
          <w:szCs w:val="24"/>
          <w:highlight w:val="none"/>
        </w:rPr>
      </w:pPr>
      <w:r>
        <w:rPr>
          <w:rFonts w:hint="eastAsia" w:hAnsi="宋体" w:cs="宋体"/>
          <w:b/>
          <w:szCs w:val="24"/>
          <w:highlight w:val="none"/>
        </w:rPr>
        <w:t>3.合格的供应商</w:t>
      </w:r>
    </w:p>
    <w:p w14:paraId="7F25AB92">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w:t>
      </w:r>
      <w:r>
        <w:rPr>
          <w:rFonts w:hint="eastAsia" w:hAnsi="宋体" w:cs="宋体"/>
          <w:szCs w:val="24"/>
          <w:highlight w:val="none"/>
          <w:lang w:eastAsia="zh-CN"/>
        </w:rPr>
        <w:t>中华人民共和国政府采购法</w:t>
      </w:r>
      <w:r>
        <w:rPr>
          <w:rFonts w:hint="eastAsia" w:hAnsi="宋体" w:cs="宋体"/>
          <w:szCs w:val="24"/>
          <w:highlight w:val="none"/>
        </w:rPr>
        <w:t>》第二十二条第一款规定的供应商基本资格条件:</w:t>
      </w:r>
    </w:p>
    <w:p w14:paraId="6B22BCA0">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14:paraId="481A8E45">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14:paraId="6B8730FC">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14:paraId="5D8F6E4F">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14:paraId="5CE87F57">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14:paraId="6427CDC4">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14:paraId="75BDDBF4">
      <w:pPr>
        <w:spacing w:line="500" w:lineRule="exact"/>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14:paraId="0D08DF4B">
      <w:pPr>
        <w:spacing w:line="500" w:lineRule="exact"/>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47451B22">
      <w:pPr>
        <w:spacing w:line="500" w:lineRule="exact"/>
        <w:ind w:firstLine="480" w:firstLineChars="200"/>
        <w:rPr>
          <w:rFonts w:hAnsi="宋体" w:cs="宋体"/>
          <w:szCs w:val="24"/>
          <w:highlight w:val="none"/>
        </w:rPr>
      </w:pPr>
      <w:r>
        <w:rPr>
          <w:rFonts w:hint="eastAsia" w:hAnsi="宋体" w:cs="宋体"/>
          <w:szCs w:val="24"/>
          <w:highlight w:val="none"/>
        </w:rPr>
        <w:t>3.4供应商必须在陕西至诚项目管理集团有限公司购买</w:t>
      </w:r>
      <w:r>
        <w:rPr>
          <w:rFonts w:hint="eastAsia" w:hAnsi="宋体" w:cs="宋体"/>
          <w:highlight w:val="none"/>
        </w:rPr>
        <w:t>竞争性磋商文件</w:t>
      </w:r>
      <w:r>
        <w:rPr>
          <w:rFonts w:hint="eastAsia" w:hAnsi="宋体" w:cs="宋体"/>
          <w:szCs w:val="24"/>
          <w:highlight w:val="none"/>
        </w:rPr>
        <w:t>，方可参加磋商。</w:t>
      </w:r>
      <w:r>
        <w:rPr>
          <w:rFonts w:hint="eastAsia" w:hAnsi="宋体" w:cs="宋体"/>
          <w:highlight w:val="none"/>
        </w:rPr>
        <w:t>竞争性</w:t>
      </w:r>
      <w:r>
        <w:rPr>
          <w:rFonts w:hint="eastAsia" w:hAnsi="宋体" w:cs="宋体"/>
          <w:szCs w:val="24"/>
          <w:highlight w:val="none"/>
        </w:rPr>
        <w:t>磋商文件售后不退。</w:t>
      </w:r>
    </w:p>
    <w:p w14:paraId="776E9EE6">
      <w:pPr>
        <w:spacing w:line="500" w:lineRule="exact"/>
        <w:ind w:firstLine="480" w:firstLineChars="200"/>
        <w:rPr>
          <w:rFonts w:hAnsi="宋体" w:cs="宋体"/>
          <w:szCs w:val="24"/>
          <w:highlight w:val="none"/>
        </w:rPr>
      </w:pPr>
      <w:r>
        <w:rPr>
          <w:rFonts w:hint="eastAsia" w:hAnsi="宋体" w:cs="宋体"/>
          <w:szCs w:val="24"/>
          <w:highlight w:val="none"/>
        </w:rPr>
        <w:t>3.5本项目不接受联合体磋商。</w:t>
      </w:r>
    </w:p>
    <w:p w14:paraId="34784AEE">
      <w:pPr>
        <w:spacing w:line="500" w:lineRule="exact"/>
        <w:ind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14:paraId="36FA466C">
      <w:pPr>
        <w:tabs>
          <w:tab w:val="left" w:pos="747"/>
        </w:tabs>
        <w:snapToGrid w:val="0"/>
        <w:spacing w:line="500" w:lineRule="exact"/>
        <w:rPr>
          <w:rFonts w:hAnsi="宋体" w:cs="宋体"/>
          <w:b/>
          <w:bCs/>
          <w:highlight w:val="none"/>
        </w:rPr>
      </w:pPr>
      <w:r>
        <w:rPr>
          <w:rFonts w:hint="eastAsia" w:hAnsi="宋体" w:cs="宋体"/>
          <w:b/>
          <w:bCs/>
          <w:highlight w:val="none"/>
        </w:rPr>
        <w:t>4.</w:t>
      </w:r>
      <w:r>
        <w:rPr>
          <w:rFonts w:hint="eastAsia" w:hAnsi="宋体" w:cs="宋体"/>
          <w:b/>
          <w:szCs w:val="24"/>
          <w:highlight w:val="none"/>
        </w:rPr>
        <w:t>.竞争性磋商产品（含服务）的合格性和合法性</w:t>
      </w:r>
    </w:p>
    <w:p w14:paraId="6362A97E">
      <w:pPr>
        <w:tabs>
          <w:tab w:val="left" w:pos="747"/>
        </w:tabs>
        <w:snapToGrid w:val="0"/>
        <w:spacing w:line="500" w:lineRule="exact"/>
        <w:ind w:firstLine="480" w:firstLineChars="200"/>
        <w:rPr>
          <w:rFonts w:hAnsi="宋体" w:cs="宋体"/>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highlight w:val="none"/>
        </w:rPr>
        <w:t>并满足竞争性磋商文件规定的质量、价格、有效期、售后服务及供应商须承担的运输、配送、技术支持和竞争性磋商文件规定的其他伴随服务等要求。</w:t>
      </w:r>
    </w:p>
    <w:p w14:paraId="45E67939">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4.2采购人有权拒绝接受任何不合格的产品和服务，由此产生的费用及相关后果均由供应商自行承担。</w:t>
      </w:r>
    </w:p>
    <w:p w14:paraId="70347002">
      <w:pPr>
        <w:spacing w:line="360" w:lineRule="auto"/>
        <w:rPr>
          <w:rFonts w:hAnsi="宋体" w:cs="宋体"/>
          <w:b/>
          <w:szCs w:val="24"/>
          <w:highlight w:val="none"/>
        </w:rPr>
      </w:pPr>
      <w:r>
        <w:rPr>
          <w:rFonts w:hint="eastAsia" w:hAnsi="宋体" w:cs="宋体"/>
          <w:b/>
          <w:szCs w:val="24"/>
          <w:highlight w:val="none"/>
        </w:rPr>
        <w:t>5.竞争性磋商响应文件内容的真实性</w:t>
      </w:r>
    </w:p>
    <w:p w14:paraId="2D6B8210">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4587A9C4">
      <w:pPr>
        <w:keepNext/>
        <w:keepLines/>
        <w:spacing w:before="312" w:beforeLines="100" w:after="156" w:afterLines="50" w:line="360" w:lineRule="auto"/>
        <w:jc w:val="center"/>
        <w:outlineLvl w:val="2"/>
        <w:rPr>
          <w:rFonts w:hAnsi="宋体" w:cs="宋体"/>
          <w:b/>
          <w:sz w:val="32"/>
          <w:szCs w:val="32"/>
          <w:highlight w:val="none"/>
        </w:rPr>
      </w:pPr>
      <w:bookmarkStart w:id="39" w:name="_Toc30698"/>
      <w:bookmarkStart w:id="40" w:name="_Toc31742"/>
      <w:bookmarkStart w:id="41" w:name="_Toc27903"/>
      <w:r>
        <w:rPr>
          <w:rFonts w:hint="eastAsia" w:hAnsi="宋体" w:cs="宋体"/>
          <w:b/>
          <w:sz w:val="32"/>
          <w:szCs w:val="32"/>
          <w:highlight w:val="none"/>
        </w:rPr>
        <w:t>二.竞争性磋商文件</w:t>
      </w:r>
      <w:bookmarkEnd w:id="36"/>
      <w:bookmarkEnd w:id="37"/>
      <w:bookmarkEnd w:id="38"/>
      <w:bookmarkEnd w:id="39"/>
      <w:bookmarkEnd w:id="40"/>
      <w:bookmarkEnd w:id="41"/>
    </w:p>
    <w:p w14:paraId="035B6CF8">
      <w:pPr>
        <w:spacing w:line="360" w:lineRule="auto"/>
        <w:rPr>
          <w:rFonts w:hAnsi="宋体" w:cs="宋体"/>
          <w:b/>
          <w:szCs w:val="24"/>
          <w:highlight w:val="none"/>
        </w:rPr>
      </w:pPr>
      <w:r>
        <w:rPr>
          <w:rFonts w:hint="eastAsia" w:hAnsi="宋体" w:cs="宋体"/>
          <w:b/>
          <w:szCs w:val="24"/>
          <w:highlight w:val="none"/>
        </w:rPr>
        <w:t>6.竞争性磋商文件构成</w:t>
      </w:r>
    </w:p>
    <w:p w14:paraId="6C27E24B">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14:paraId="2B699783">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14:paraId="2D47506F">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14:paraId="33C36F23">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14:paraId="715108D1">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14:paraId="50740E8F">
      <w:pPr>
        <w:spacing w:line="360" w:lineRule="auto"/>
        <w:ind w:firstLine="480" w:firstLineChars="200"/>
        <w:rPr>
          <w:rFonts w:hAnsi="宋体" w:cs="宋体"/>
          <w:szCs w:val="24"/>
          <w:highlight w:val="none"/>
        </w:rPr>
      </w:pPr>
      <w:r>
        <w:rPr>
          <w:rFonts w:hint="eastAsia" w:hAnsi="宋体" w:cs="宋体"/>
          <w:szCs w:val="24"/>
          <w:highlight w:val="none"/>
        </w:rPr>
        <w:t>第五章 磋商内容及技术要求</w:t>
      </w:r>
    </w:p>
    <w:p w14:paraId="2D7B9CC2">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14:paraId="30E509EE">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3D527C71">
      <w:pPr>
        <w:spacing w:line="500" w:lineRule="exact"/>
        <w:ind w:firstLine="480" w:firstLineChars="200"/>
        <w:rPr>
          <w:rFonts w:hAnsi="宋体" w:cs="宋体"/>
          <w:szCs w:val="24"/>
          <w:highlight w:val="none"/>
        </w:rPr>
      </w:pPr>
      <w:r>
        <w:rPr>
          <w:rFonts w:hint="eastAsia" w:hAnsi="宋体" w:cs="宋体"/>
          <w:szCs w:val="24"/>
          <w:highlight w:val="none"/>
        </w:rPr>
        <w:t>6.3本竞争性磋商文件的解释权归陕西至诚项目管理集团有限公司，如发现竞争性磋商响应文件内容与现行法律法规不相符的情况，以现行法律法规为准。</w:t>
      </w:r>
    </w:p>
    <w:p w14:paraId="4AAFE603">
      <w:pPr>
        <w:spacing w:line="360" w:lineRule="auto"/>
        <w:rPr>
          <w:rFonts w:hAnsi="宋体" w:cs="宋体"/>
          <w:b/>
          <w:szCs w:val="24"/>
          <w:highlight w:val="none"/>
        </w:rPr>
      </w:pPr>
      <w:r>
        <w:rPr>
          <w:rFonts w:hint="eastAsia" w:hAnsi="宋体" w:cs="宋体"/>
          <w:b/>
          <w:szCs w:val="24"/>
          <w:highlight w:val="none"/>
        </w:rPr>
        <w:t>7.竞争性磋商文件的修改和澄清</w:t>
      </w:r>
    </w:p>
    <w:p w14:paraId="3604E0E0">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2FF23FFD">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1858082B">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18A12C1F">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14:paraId="25127EB6">
      <w:pPr>
        <w:keepNext/>
        <w:keepLines/>
        <w:spacing w:before="312" w:beforeLines="100" w:after="156" w:afterLines="50" w:line="360" w:lineRule="auto"/>
        <w:jc w:val="center"/>
        <w:outlineLvl w:val="2"/>
        <w:rPr>
          <w:rFonts w:hAnsi="宋体" w:cs="宋体"/>
          <w:b/>
          <w:sz w:val="32"/>
          <w:szCs w:val="32"/>
          <w:highlight w:val="none"/>
        </w:rPr>
      </w:pPr>
      <w:bookmarkStart w:id="42" w:name="_Toc13771"/>
      <w:bookmarkStart w:id="43" w:name="_Toc363474019"/>
      <w:bookmarkStart w:id="44" w:name="_Toc28227"/>
      <w:bookmarkStart w:id="45" w:name="_Toc403077641"/>
      <w:bookmarkStart w:id="46" w:name="_Toc26653"/>
      <w:bookmarkStart w:id="47" w:name="_Toc363473974"/>
      <w:r>
        <w:rPr>
          <w:rFonts w:hint="eastAsia" w:hAnsi="宋体" w:cs="宋体"/>
          <w:b/>
          <w:sz w:val="32"/>
          <w:szCs w:val="32"/>
          <w:highlight w:val="none"/>
        </w:rPr>
        <w:t>三.磋商响应文件的编制</w:t>
      </w:r>
      <w:bookmarkEnd w:id="42"/>
      <w:bookmarkEnd w:id="43"/>
      <w:bookmarkEnd w:id="44"/>
      <w:bookmarkEnd w:id="45"/>
      <w:bookmarkEnd w:id="46"/>
      <w:bookmarkEnd w:id="47"/>
    </w:p>
    <w:p w14:paraId="0807A7F1">
      <w:pPr>
        <w:spacing w:line="360" w:lineRule="auto"/>
        <w:rPr>
          <w:rFonts w:hAnsi="宋体" w:cs="宋体"/>
          <w:b/>
          <w:szCs w:val="24"/>
          <w:highlight w:val="none"/>
        </w:rPr>
      </w:pPr>
      <w:r>
        <w:rPr>
          <w:rFonts w:hint="eastAsia" w:hAnsi="宋体" w:cs="宋体"/>
          <w:b/>
          <w:szCs w:val="24"/>
          <w:highlight w:val="none"/>
        </w:rPr>
        <w:t>8. 磋商语言和磋商货币</w:t>
      </w:r>
    </w:p>
    <w:p w14:paraId="4B5B61A2">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14:paraId="0977A3F9">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14:paraId="398D204C">
      <w:pPr>
        <w:spacing w:line="360" w:lineRule="auto"/>
        <w:rPr>
          <w:rFonts w:hAnsi="宋体" w:cs="宋体"/>
          <w:b/>
          <w:szCs w:val="24"/>
          <w:highlight w:val="none"/>
        </w:rPr>
      </w:pPr>
      <w:r>
        <w:rPr>
          <w:rFonts w:hint="eastAsia" w:hAnsi="宋体" w:cs="宋体"/>
          <w:b/>
          <w:szCs w:val="24"/>
          <w:highlight w:val="none"/>
        </w:rPr>
        <w:t>9.竞争性磋商响应文件的构成</w:t>
      </w:r>
    </w:p>
    <w:p w14:paraId="082DE7E5">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14:paraId="518B110C">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14:paraId="433D8850">
      <w:pPr>
        <w:spacing w:line="360" w:lineRule="auto"/>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14:paraId="11D79CA6">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14:paraId="6BF56235">
      <w:pPr>
        <w:spacing w:line="360" w:lineRule="auto"/>
        <w:ind w:firstLine="480" w:firstLineChars="200"/>
        <w:rPr>
          <w:rFonts w:hAnsi="宋体" w:cs="宋体"/>
          <w:szCs w:val="24"/>
          <w:highlight w:val="none"/>
        </w:rPr>
      </w:pPr>
      <w:r>
        <w:rPr>
          <w:rFonts w:hint="eastAsia" w:hAnsi="宋体" w:cs="宋体"/>
          <w:szCs w:val="24"/>
          <w:highlight w:val="none"/>
        </w:rPr>
        <w:t>（4）按照本须知第14条要求提交的磋商保证金。</w:t>
      </w:r>
    </w:p>
    <w:p w14:paraId="7EA0091A">
      <w:pPr>
        <w:spacing w:line="360" w:lineRule="auto"/>
        <w:ind w:firstLine="480" w:firstLineChars="200"/>
        <w:rPr>
          <w:rFonts w:hAnsi="宋体" w:cs="宋体"/>
          <w:szCs w:val="24"/>
          <w:highlight w:val="none"/>
        </w:rPr>
      </w:pPr>
      <w:r>
        <w:rPr>
          <w:rFonts w:hint="eastAsia" w:hAnsi="宋体" w:cs="宋体"/>
          <w:szCs w:val="24"/>
          <w:highlight w:val="none"/>
        </w:rPr>
        <w:t>（5）竞争磋商文件中要求的其他证明文件。</w:t>
      </w:r>
    </w:p>
    <w:p w14:paraId="608D3464">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14:paraId="00363FFB">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5C068397">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14:paraId="053551FC">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37A30CCA">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4E82CC68">
      <w:pPr>
        <w:spacing w:line="360" w:lineRule="auto"/>
        <w:rPr>
          <w:rFonts w:hAnsi="宋体" w:cs="宋体"/>
          <w:b/>
          <w:szCs w:val="24"/>
          <w:highlight w:val="none"/>
        </w:rPr>
      </w:pPr>
      <w:r>
        <w:rPr>
          <w:rFonts w:hint="eastAsia" w:hAnsi="宋体" w:cs="宋体"/>
          <w:b/>
          <w:szCs w:val="24"/>
          <w:highlight w:val="none"/>
        </w:rPr>
        <w:t>11.磋商报价</w:t>
      </w:r>
    </w:p>
    <w:p w14:paraId="4B9502FE">
      <w:pPr>
        <w:spacing w:line="360" w:lineRule="auto"/>
        <w:ind w:firstLine="480"/>
        <w:rPr>
          <w:rFonts w:hAnsi="宋体" w:cs="宋体"/>
          <w:szCs w:val="24"/>
          <w:highlight w:val="none"/>
        </w:rPr>
      </w:pPr>
      <w:r>
        <w:rPr>
          <w:rFonts w:hint="eastAsia" w:hAnsi="宋体" w:cs="宋体"/>
          <w:szCs w:val="24"/>
          <w:highlight w:val="none"/>
        </w:rPr>
        <w:t>11.1磋商报价：磋商报价是供应商为完成本项目要求的全部服务内容最终价格的体现，包括但不限于人工费、设备使用费、办公费、服务费、交通费、招标代理服务费、税金等其他一切相关费用。</w:t>
      </w:r>
    </w:p>
    <w:p w14:paraId="2E756729">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14:paraId="73635156">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14:paraId="793FE3D0">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14:paraId="1FC046D6">
      <w:pPr>
        <w:spacing w:line="360" w:lineRule="auto"/>
        <w:rPr>
          <w:rFonts w:hAnsi="宋体" w:cs="宋体"/>
          <w:b/>
          <w:szCs w:val="24"/>
          <w:highlight w:val="none"/>
        </w:rPr>
      </w:pPr>
      <w:r>
        <w:rPr>
          <w:rFonts w:hint="eastAsia" w:hAnsi="宋体" w:cs="宋体"/>
          <w:b/>
          <w:szCs w:val="24"/>
          <w:highlight w:val="none"/>
        </w:rPr>
        <w:t>12.证明供应商合格的资格证明文件</w:t>
      </w:r>
    </w:p>
    <w:p w14:paraId="643EC9EB">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6320411F">
      <w:pPr>
        <w:spacing w:line="360" w:lineRule="auto"/>
        <w:rPr>
          <w:rFonts w:hAnsi="宋体" w:cs="宋体"/>
          <w:b/>
          <w:szCs w:val="24"/>
          <w:highlight w:val="none"/>
        </w:rPr>
      </w:pPr>
      <w:r>
        <w:rPr>
          <w:rFonts w:hint="eastAsia" w:hAnsi="宋体" w:cs="宋体"/>
          <w:b/>
          <w:szCs w:val="24"/>
          <w:highlight w:val="none"/>
        </w:rPr>
        <w:t>13.证明服务符合竞争性磋商文件规定的文件</w:t>
      </w:r>
    </w:p>
    <w:p w14:paraId="6A7BC18E">
      <w:pPr>
        <w:spacing w:line="360" w:lineRule="auto"/>
        <w:ind w:firstLine="480" w:firstLineChars="200"/>
        <w:rPr>
          <w:rFonts w:hAnsi="宋体" w:cs="宋体"/>
          <w:szCs w:val="24"/>
          <w:highlight w:val="none"/>
        </w:rPr>
      </w:pPr>
      <w:r>
        <w:rPr>
          <w:rFonts w:hint="eastAsia" w:hAnsi="宋体" w:cs="宋体"/>
          <w:szCs w:val="24"/>
          <w:highlight w:val="none"/>
        </w:rPr>
        <w:t>13.1供应商应在竞争性磋商响应文件中提交服务满足竞争性磋商文件要求并符合国家法律法规、行业管理部门要求的其他强制性标准的证明文件。</w:t>
      </w:r>
    </w:p>
    <w:p w14:paraId="298B6FFB">
      <w:pPr>
        <w:spacing w:line="360" w:lineRule="auto"/>
        <w:ind w:firstLine="480" w:firstLineChars="200"/>
        <w:rPr>
          <w:rFonts w:hAnsi="宋体" w:cs="宋体"/>
          <w:szCs w:val="24"/>
          <w:highlight w:val="none"/>
        </w:rPr>
      </w:pPr>
      <w:r>
        <w:rPr>
          <w:rFonts w:hint="eastAsia" w:hAnsi="宋体" w:cs="宋体"/>
          <w:szCs w:val="24"/>
          <w:highlight w:val="none"/>
        </w:rPr>
        <w:t>13.2 供应商须提供全部服务内容的详细说明。</w:t>
      </w:r>
    </w:p>
    <w:p w14:paraId="204DCAAA">
      <w:pPr>
        <w:spacing w:line="360" w:lineRule="auto"/>
        <w:rPr>
          <w:rFonts w:hint="eastAsia" w:hAnsi="宋体" w:eastAsia="宋体" w:cs="宋体"/>
          <w:b/>
          <w:szCs w:val="24"/>
          <w:highlight w:val="none"/>
          <w:lang w:eastAsia="zh-CN"/>
        </w:rPr>
      </w:pPr>
      <w:r>
        <w:rPr>
          <w:rFonts w:hint="eastAsia" w:hAnsi="宋体" w:cs="宋体"/>
          <w:b/>
          <w:szCs w:val="24"/>
          <w:highlight w:val="none"/>
        </w:rPr>
        <w:t>14.磋商保证金</w:t>
      </w:r>
      <w:r>
        <w:rPr>
          <w:rFonts w:hint="eastAsia" w:hAnsi="宋体" w:cs="宋体"/>
          <w:b/>
          <w:szCs w:val="24"/>
          <w:highlight w:val="none"/>
          <w:lang w:eastAsia="zh-CN"/>
        </w:rPr>
        <w:t>（</w:t>
      </w:r>
      <w:r>
        <w:rPr>
          <w:rFonts w:hint="eastAsia" w:hAnsi="宋体" w:cs="宋体"/>
          <w:b/>
          <w:szCs w:val="24"/>
          <w:highlight w:val="none"/>
          <w:lang w:val="en-US" w:eastAsia="zh-CN"/>
        </w:rPr>
        <w:t>本项目不适用</w:t>
      </w:r>
      <w:r>
        <w:rPr>
          <w:rFonts w:hint="eastAsia" w:hAnsi="宋体" w:cs="宋体"/>
          <w:b/>
          <w:szCs w:val="24"/>
          <w:highlight w:val="none"/>
          <w:lang w:eastAsia="zh-CN"/>
        </w:rPr>
        <w:t>）</w:t>
      </w:r>
    </w:p>
    <w:p w14:paraId="3BB39122">
      <w:pPr>
        <w:spacing w:line="360" w:lineRule="auto"/>
        <w:ind w:firstLine="480" w:firstLineChars="200"/>
        <w:rPr>
          <w:rFonts w:hAnsi="宋体" w:cs="宋体"/>
          <w:szCs w:val="24"/>
          <w:highlight w:val="none"/>
        </w:rPr>
      </w:pPr>
      <w:r>
        <w:rPr>
          <w:rFonts w:hint="eastAsia" w:hAnsi="宋体" w:cs="宋体"/>
          <w:szCs w:val="24"/>
          <w:highlight w:val="none"/>
        </w:rPr>
        <w:t>14.1供应商在磋商时应向陕西至诚项目管理集团有限公司提交“供应商须知前附表”规定数额的磋商保证金,并作为其磋商的一部分。</w:t>
      </w:r>
    </w:p>
    <w:p w14:paraId="05B89C8D">
      <w:pPr>
        <w:spacing w:line="360" w:lineRule="auto"/>
        <w:ind w:firstLine="480" w:firstLineChars="200"/>
        <w:rPr>
          <w:rFonts w:hAnsi="宋体" w:cs="宋体"/>
          <w:szCs w:val="24"/>
          <w:highlight w:val="none"/>
        </w:rPr>
      </w:pPr>
      <w:r>
        <w:rPr>
          <w:rFonts w:hint="eastAsia" w:hAnsi="宋体" w:cs="宋体"/>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18117D9E">
      <w:pPr>
        <w:spacing w:line="360" w:lineRule="auto"/>
        <w:ind w:firstLine="480" w:firstLineChars="200"/>
        <w:rPr>
          <w:rFonts w:hAnsi="宋体" w:cs="宋体"/>
          <w:szCs w:val="24"/>
          <w:highlight w:val="none"/>
        </w:rPr>
      </w:pPr>
      <w:r>
        <w:rPr>
          <w:rFonts w:hint="eastAsia" w:hAnsi="宋体" w:cs="宋体"/>
          <w:szCs w:val="24"/>
          <w:highlight w:val="none"/>
        </w:rPr>
        <w:t>14.3磋商保证金可采取“供应商须知前附表”规定的任何一种形式。</w:t>
      </w:r>
    </w:p>
    <w:p w14:paraId="0DB3D579">
      <w:pPr>
        <w:spacing w:line="360" w:lineRule="auto"/>
        <w:ind w:firstLine="480" w:firstLineChars="200"/>
        <w:rPr>
          <w:rFonts w:hAnsi="宋体" w:cs="宋体"/>
          <w:szCs w:val="24"/>
          <w:highlight w:val="none"/>
        </w:rPr>
      </w:pPr>
      <w:r>
        <w:rPr>
          <w:rFonts w:hint="eastAsia" w:hAnsi="宋体" w:cs="宋体"/>
          <w:szCs w:val="24"/>
          <w:highlight w:val="none"/>
        </w:rPr>
        <w:t>14.4磋商保证金必须按照竞争性磋商文件“供应商须知前附表”中规定的缴纳金额及方式办理。</w:t>
      </w:r>
    </w:p>
    <w:p w14:paraId="02AECF00">
      <w:pPr>
        <w:spacing w:line="360" w:lineRule="auto"/>
        <w:ind w:firstLine="480" w:firstLineChars="200"/>
        <w:rPr>
          <w:rFonts w:hAnsi="宋体" w:cs="宋体"/>
          <w:szCs w:val="24"/>
          <w:highlight w:val="none"/>
        </w:rPr>
      </w:pPr>
      <w:r>
        <w:rPr>
          <w:rFonts w:hint="eastAsia" w:hAnsi="宋体" w:cs="宋体"/>
          <w:szCs w:val="24"/>
          <w:highlight w:val="none"/>
        </w:rPr>
        <w:t>14.5磋商后经审查，未提交磋商保证金、未按竞争性磋商文件规定时间提交磋商保证金</w:t>
      </w:r>
      <w:r>
        <w:rPr>
          <w:rFonts w:hint="eastAsia" w:hAnsi="宋体" w:cs="宋体"/>
          <w:highlight w:val="none"/>
        </w:rPr>
        <w:t>或担保机构出具的保函正本未在采购代理机构备案的</w:t>
      </w:r>
      <w:r>
        <w:rPr>
          <w:rFonts w:hint="eastAsia" w:hAnsi="宋体" w:cs="宋体"/>
          <w:szCs w:val="24"/>
          <w:highlight w:val="none"/>
        </w:rPr>
        <w:t>、磋商保证金金额不足或磋商保证金转账凭证复印件/担保机构出具的保函正本复印件未附在磋商响应文件内的磋商将按无效磋商处理。</w:t>
      </w:r>
    </w:p>
    <w:p w14:paraId="5E41ED18">
      <w:pPr>
        <w:spacing w:line="360" w:lineRule="auto"/>
        <w:rPr>
          <w:rFonts w:hAnsi="宋体" w:cs="宋体"/>
          <w:szCs w:val="24"/>
          <w:highlight w:val="none"/>
        </w:rPr>
      </w:pPr>
      <w:r>
        <w:rPr>
          <w:rFonts w:hint="eastAsia" w:hAnsi="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szCs w:val="24"/>
          <w:highlight w:val="none"/>
        </w:rPr>
        <w:t>（退还时，须向采购代理机构提供采购合同原件、开户许可证及转账凭证复印件壹份）</w:t>
      </w:r>
      <w:r>
        <w:rPr>
          <w:rFonts w:hint="eastAsia" w:hAnsi="宋体" w:cs="宋体"/>
          <w:szCs w:val="24"/>
          <w:highlight w:val="none"/>
        </w:rPr>
        <w:t>。</w:t>
      </w:r>
    </w:p>
    <w:p w14:paraId="0FE2EE8D">
      <w:pPr>
        <w:spacing w:line="360" w:lineRule="auto"/>
        <w:ind w:firstLine="480" w:firstLineChars="200"/>
        <w:rPr>
          <w:rFonts w:hAnsi="宋体" w:cs="宋体"/>
          <w:szCs w:val="24"/>
          <w:highlight w:val="none"/>
        </w:rPr>
      </w:pPr>
      <w:r>
        <w:rPr>
          <w:rFonts w:hint="eastAsia" w:hAnsi="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25FD5EDB">
      <w:pPr>
        <w:spacing w:line="360" w:lineRule="auto"/>
        <w:ind w:firstLine="482" w:firstLineChars="200"/>
        <w:rPr>
          <w:rFonts w:hAnsi="宋体" w:cs="宋体"/>
          <w:szCs w:val="24"/>
          <w:highlight w:val="none"/>
        </w:rPr>
      </w:pPr>
      <w:r>
        <w:rPr>
          <w:rFonts w:hint="eastAsia" w:hAnsi="宋体" w:cs="宋体"/>
          <w:b/>
          <w:bCs/>
          <w:szCs w:val="24"/>
          <w:highlight w:val="none"/>
        </w:rPr>
        <w:t>14.8 下列任何情况发生时，视为供应商违约，其磋商保证金将被没收：</w:t>
      </w:r>
    </w:p>
    <w:p w14:paraId="334DAC2E">
      <w:pPr>
        <w:spacing w:line="360" w:lineRule="auto"/>
        <w:ind w:firstLine="480" w:firstLineChars="200"/>
        <w:rPr>
          <w:rFonts w:hAnsi="宋体" w:cs="宋体"/>
          <w:szCs w:val="24"/>
          <w:highlight w:val="none"/>
        </w:rPr>
      </w:pPr>
      <w:r>
        <w:rPr>
          <w:rFonts w:hint="eastAsia" w:hAnsi="宋体" w:cs="宋体"/>
          <w:szCs w:val="24"/>
          <w:highlight w:val="none"/>
        </w:rPr>
        <w:t>1) 供应商在磋商有效期内撤回其磋商响应文件；</w:t>
      </w:r>
    </w:p>
    <w:p w14:paraId="2CEA8B11">
      <w:pPr>
        <w:spacing w:line="360" w:lineRule="auto"/>
        <w:ind w:firstLine="480" w:firstLineChars="200"/>
        <w:rPr>
          <w:rFonts w:hAnsi="宋体" w:cs="宋体"/>
          <w:szCs w:val="24"/>
          <w:highlight w:val="none"/>
        </w:rPr>
      </w:pPr>
      <w:r>
        <w:rPr>
          <w:rFonts w:hint="eastAsia" w:hAnsi="宋体" w:cs="宋体"/>
          <w:szCs w:val="24"/>
          <w:highlight w:val="none"/>
        </w:rPr>
        <w:t>2）供应商在响应文件中提供伪造、套改、虚假资料参加磋商的。</w:t>
      </w:r>
    </w:p>
    <w:p w14:paraId="24EBD327">
      <w:pPr>
        <w:spacing w:line="360" w:lineRule="auto"/>
        <w:ind w:firstLine="480" w:firstLineChars="200"/>
        <w:rPr>
          <w:rFonts w:hAnsi="宋体" w:cs="宋体"/>
          <w:szCs w:val="24"/>
          <w:highlight w:val="none"/>
        </w:rPr>
      </w:pPr>
      <w:r>
        <w:rPr>
          <w:rFonts w:hint="eastAsia" w:hAnsi="宋体" w:cs="宋体"/>
          <w:szCs w:val="24"/>
          <w:highlight w:val="none"/>
        </w:rPr>
        <w:t>3) 供应商成交后放弃成交或未能按规定签订合同；或未能按规定交纳成交代理服务费。</w:t>
      </w:r>
    </w:p>
    <w:p w14:paraId="55402F72">
      <w:pPr>
        <w:spacing w:line="360" w:lineRule="auto"/>
        <w:ind w:firstLine="480" w:firstLineChars="200"/>
        <w:rPr>
          <w:rFonts w:hAnsi="宋体" w:cs="宋体"/>
          <w:szCs w:val="24"/>
          <w:highlight w:val="none"/>
        </w:rPr>
      </w:pPr>
      <w:r>
        <w:rPr>
          <w:rFonts w:hint="eastAsia" w:hAnsi="宋体" w:cs="宋体"/>
          <w:szCs w:val="24"/>
          <w:highlight w:val="none"/>
        </w:rPr>
        <w:t>4）供应商成交后将成交项目转让给他人，或者在响应文件中未说明，且未经采购人同意，将成交项目分包给他人的。</w:t>
      </w:r>
    </w:p>
    <w:p w14:paraId="34BECD31">
      <w:pPr>
        <w:spacing w:line="360" w:lineRule="auto"/>
        <w:ind w:firstLine="480" w:firstLineChars="200"/>
        <w:rPr>
          <w:rFonts w:hAnsi="宋体" w:cs="宋体"/>
          <w:szCs w:val="24"/>
          <w:highlight w:val="none"/>
        </w:rPr>
      </w:pPr>
      <w:r>
        <w:rPr>
          <w:rFonts w:hint="eastAsia" w:hAnsi="宋体" w:cs="宋体"/>
          <w:szCs w:val="24"/>
          <w:highlight w:val="none"/>
        </w:rPr>
        <w:t>5）供应商事先未通告无故不参加磋商活动的。</w:t>
      </w:r>
    </w:p>
    <w:p w14:paraId="59E52B16">
      <w:pPr>
        <w:spacing w:line="360" w:lineRule="auto"/>
        <w:ind w:firstLine="480" w:firstLineChars="200"/>
        <w:rPr>
          <w:rFonts w:hAnsi="宋体" w:cs="宋体"/>
          <w:szCs w:val="24"/>
          <w:highlight w:val="none"/>
        </w:rPr>
      </w:pPr>
      <w:r>
        <w:rPr>
          <w:rFonts w:hint="eastAsia" w:hAnsi="宋体" w:cs="宋体"/>
          <w:szCs w:val="24"/>
          <w:highlight w:val="none"/>
        </w:rPr>
        <w:t>6）供应商不按法定程序进行质疑和投诉，捏造事实，查无实据，造成恶劣影响，导致采购活动无法正常进行的。</w:t>
      </w:r>
    </w:p>
    <w:p w14:paraId="3F8C3524">
      <w:pPr>
        <w:spacing w:line="360" w:lineRule="auto"/>
        <w:ind w:firstLine="480" w:firstLineChars="200"/>
        <w:rPr>
          <w:rFonts w:hAnsi="宋体" w:cs="宋体"/>
          <w:szCs w:val="24"/>
          <w:highlight w:val="none"/>
        </w:rPr>
      </w:pPr>
      <w:r>
        <w:rPr>
          <w:rFonts w:hint="eastAsia" w:hAnsi="宋体" w:cs="宋体"/>
          <w:szCs w:val="24"/>
          <w:highlight w:val="none"/>
        </w:rPr>
        <w:t>14.9采购信用担保及信用融资政策</w:t>
      </w:r>
    </w:p>
    <w:p w14:paraId="0FAFF9E0">
      <w:pPr>
        <w:spacing w:line="360" w:lineRule="auto"/>
        <w:ind w:firstLine="480" w:firstLineChars="200"/>
        <w:rPr>
          <w:rFonts w:hAnsi="宋体" w:cs="宋体"/>
          <w:szCs w:val="24"/>
          <w:highlight w:val="none"/>
        </w:rPr>
      </w:pPr>
      <w:r>
        <w:rPr>
          <w:rFonts w:hint="eastAsia" w:hAnsi="宋体" w:cs="宋体"/>
          <w:szCs w:val="24"/>
          <w:highlight w:val="none"/>
        </w:rPr>
        <w:t>陕西省信用担保及信用融资政策</w:t>
      </w:r>
    </w:p>
    <w:p w14:paraId="610EF14E">
      <w:pPr>
        <w:spacing w:line="360" w:lineRule="auto"/>
        <w:ind w:firstLine="480" w:firstLineChars="200"/>
        <w:rPr>
          <w:rFonts w:hAnsi="宋体" w:cs="宋体"/>
          <w:szCs w:val="24"/>
          <w:highlight w:val="none"/>
        </w:rPr>
      </w:pPr>
      <w:r>
        <w:rPr>
          <w:rFonts w:hint="eastAsia" w:hAnsi="宋体" w:cs="宋体"/>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5A894A1A">
      <w:pPr>
        <w:spacing w:line="360" w:lineRule="auto"/>
        <w:ind w:firstLine="480" w:firstLineChars="200"/>
        <w:rPr>
          <w:rFonts w:hAnsi="宋体" w:cs="宋体"/>
          <w:szCs w:val="24"/>
          <w:highlight w:val="none"/>
        </w:rPr>
      </w:pPr>
      <w:r>
        <w:rPr>
          <w:rFonts w:hint="eastAsia" w:hAnsi="宋体" w:cs="宋体"/>
          <w:szCs w:val="24"/>
          <w:highlight w:val="none"/>
        </w:rPr>
        <w:t>目前的合作银行有∶ 北京银行、中国建设银行、中信银行、中国平安银行、中国光大银行、浦发银行、兴业银行、中国工商银行、秦农银行、浙商银行、中国银行、西安银行、中国农业银行、中国邮政储蓄银行（排名不分先后）。</w:t>
      </w:r>
    </w:p>
    <w:p w14:paraId="68F4F958">
      <w:pPr>
        <w:spacing w:line="360" w:lineRule="auto"/>
        <w:rPr>
          <w:rFonts w:hAnsi="宋体" w:cs="宋体"/>
          <w:b/>
          <w:szCs w:val="24"/>
          <w:highlight w:val="none"/>
        </w:rPr>
      </w:pPr>
      <w:r>
        <w:rPr>
          <w:rFonts w:hint="eastAsia" w:hAnsi="宋体" w:cs="宋体"/>
          <w:b/>
          <w:szCs w:val="24"/>
          <w:highlight w:val="none"/>
        </w:rPr>
        <w:t>15.磋商有效期</w:t>
      </w:r>
    </w:p>
    <w:p w14:paraId="30205ACB">
      <w:pPr>
        <w:spacing w:line="360" w:lineRule="auto"/>
        <w:ind w:firstLine="480" w:firstLineChars="200"/>
        <w:rPr>
          <w:rFonts w:hAnsi="宋体" w:cs="宋体"/>
          <w:szCs w:val="24"/>
          <w:highlight w:val="none"/>
        </w:rPr>
      </w:pPr>
      <w:bookmarkStart w:id="48"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48"/>
    </w:p>
    <w:p w14:paraId="59B0B6E5">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5F5B0481">
      <w:pPr>
        <w:spacing w:line="360" w:lineRule="auto"/>
        <w:rPr>
          <w:rFonts w:hAnsi="宋体" w:cs="宋体"/>
          <w:b/>
          <w:szCs w:val="24"/>
          <w:highlight w:val="none"/>
        </w:rPr>
      </w:pPr>
      <w:r>
        <w:rPr>
          <w:rFonts w:hint="eastAsia" w:hAnsi="宋体" w:cs="宋体"/>
          <w:b/>
          <w:szCs w:val="24"/>
          <w:highlight w:val="none"/>
        </w:rPr>
        <w:t>16.竞争性磋商响应文件的式样和签署</w:t>
      </w:r>
    </w:p>
    <w:p w14:paraId="539D9172">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电子版（U盘）</w:t>
      </w:r>
      <w:r>
        <w:rPr>
          <w:rFonts w:hint="eastAsia" w:hAnsi="宋体" w:cs="宋体"/>
          <w:szCs w:val="24"/>
          <w:highlight w:val="none"/>
        </w:rPr>
        <w:t>并在盘面标注供应商全称、项目名称、项目编号，并与竞争性磋商响应文件同时递交。</w:t>
      </w:r>
    </w:p>
    <w:p w14:paraId="43885EDB">
      <w:pPr>
        <w:spacing w:line="500" w:lineRule="exact"/>
        <w:ind w:firstLine="480" w:firstLineChars="200"/>
        <w:rPr>
          <w:rFonts w:hAnsi="宋体" w:cs="宋体"/>
          <w:b/>
          <w:bCs/>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w:t>
      </w:r>
      <w:r>
        <w:rPr>
          <w:rFonts w:hint="eastAsia" w:hAnsi="宋体" w:cs="宋体"/>
          <w:b/>
          <w:bCs/>
          <w:highlight w:val="none"/>
        </w:rPr>
        <w:t>分别胶装成册。</w:t>
      </w:r>
    </w:p>
    <w:p w14:paraId="0410DBE9">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14:paraId="557E687C">
      <w:pPr>
        <w:spacing w:line="360" w:lineRule="auto"/>
        <w:ind w:firstLine="480" w:firstLineChars="200"/>
        <w:rPr>
          <w:rFonts w:hAnsi="宋体" w:cs="宋体"/>
          <w:szCs w:val="24"/>
          <w:highlight w:val="none"/>
        </w:rPr>
      </w:pPr>
      <w:r>
        <w:rPr>
          <w:rFonts w:hint="eastAsia" w:hAnsi="宋体" w:cs="宋体"/>
          <w:szCs w:val="24"/>
          <w:highlight w:val="none"/>
        </w:rPr>
        <w:t>16.</w:t>
      </w:r>
      <w:r>
        <w:rPr>
          <w:rFonts w:hint="eastAsia" w:hAnsi="宋体" w:cs="宋体"/>
          <w:szCs w:val="24"/>
          <w:highlight w:val="none"/>
          <w:lang w:val="en-US" w:eastAsia="zh-CN"/>
        </w:rPr>
        <w:t>4</w:t>
      </w:r>
      <w:r>
        <w:rPr>
          <w:rFonts w:hint="eastAsia" w:hAnsi="宋体" w:cs="宋体"/>
          <w:szCs w:val="24"/>
          <w:highlight w:val="none"/>
        </w:rPr>
        <w:t>因字迹潦草、表述不清或不按竞争性磋商文件格式编制的竞争性磋商响应文件，所引起的对供应商不利的后果，由供应商自行负责。</w:t>
      </w:r>
    </w:p>
    <w:p w14:paraId="16C1E42D">
      <w:pPr>
        <w:spacing w:line="500" w:lineRule="exact"/>
        <w:ind w:firstLine="480" w:firstLineChars="200"/>
        <w:rPr>
          <w:rFonts w:hAnsi="宋体" w:cs="宋体"/>
          <w:highlight w:val="none"/>
        </w:rPr>
      </w:pPr>
      <w:r>
        <w:rPr>
          <w:rFonts w:hint="eastAsia" w:hAnsi="宋体" w:cs="宋体"/>
          <w:szCs w:val="24"/>
          <w:highlight w:val="none"/>
        </w:rPr>
        <w:t>16.</w:t>
      </w:r>
      <w:r>
        <w:rPr>
          <w:rFonts w:hint="eastAsia" w:hAnsi="宋体" w:cs="宋体"/>
          <w:szCs w:val="24"/>
          <w:highlight w:val="none"/>
          <w:lang w:val="en-US" w:eastAsia="zh-CN"/>
        </w:rPr>
        <w:t>5</w:t>
      </w:r>
      <w:r>
        <w:rPr>
          <w:rFonts w:hint="eastAsia" w:hAnsi="宋体" w:cs="宋体"/>
          <w:szCs w:val="24"/>
          <w:highlight w:val="none"/>
        </w:rPr>
        <w:t>竞争性磋商文件的副本、电子版须和正本保持一致。</w:t>
      </w:r>
      <w:r>
        <w:rPr>
          <w:rFonts w:hint="eastAsia" w:hAnsi="宋体" w:cs="宋体"/>
          <w:highlight w:val="none"/>
        </w:rPr>
        <w:t>若正本、副本和电子版有不一致的内容，以正本为准。</w:t>
      </w:r>
    </w:p>
    <w:p w14:paraId="59C91527">
      <w:pPr>
        <w:keepNext/>
        <w:keepLines/>
        <w:spacing w:before="312" w:beforeLines="100" w:after="156" w:afterLines="50" w:line="360" w:lineRule="auto"/>
        <w:jc w:val="center"/>
        <w:outlineLvl w:val="2"/>
        <w:rPr>
          <w:rFonts w:hAnsi="宋体" w:cs="宋体"/>
          <w:b/>
          <w:sz w:val="32"/>
          <w:szCs w:val="32"/>
          <w:highlight w:val="none"/>
        </w:rPr>
      </w:pPr>
      <w:bookmarkStart w:id="49" w:name="_Toc12266"/>
      <w:bookmarkStart w:id="50" w:name="_Toc18686"/>
      <w:bookmarkStart w:id="51" w:name="_Toc20799"/>
      <w:r>
        <w:rPr>
          <w:rFonts w:hint="eastAsia" w:hAnsi="宋体" w:cs="宋体"/>
          <w:b/>
          <w:sz w:val="32"/>
          <w:szCs w:val="32"/>
          <w:highlight w:val="none"/>
        </w:rPr>
        <w:t>四.竞争性磋商响应文件的递交</w:t>
      </w:r>
      <w:bookmarkEnd w:id="49"/>
      <w:bookmarkEnd w:id="50"/>
      <w:bookmarkEnd w:id="51"/>
    </w:p>
    <w:p w14:paraId="4BEB6D38">
      <w:pPr>
        <w:spacing w:line="360" w:lineRule="auto"/>
        <w:rPr>
          <w:rFonts w:hAnsi="宋体" w:cs="宋体"/>
          <w:b/>
          <w:szCs w:val="24"/>
          <w:highlight w:val="none"/>
        </w:rPr>
      </w:pPr>
      <w:r>
        <w:rPr>
          <w:rFonts w:hint="eastAsia" w:hAnsi="宋体" w:cs="宋体"/>
          <w:b/>
          <w:szCs w:val="24"/>
          <w:highlight w:val="none"/>
        </w:rPr>
        <w:t>17.竞争性磋商响应文件的密封和标记</w:t>
      </w:r>
    </w:p>
    <w:p w14:paraId="2B51F9B5">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4F1E95FE">
      <w:pPr>
        <w:spacing w:line="360" w:lineRule="auto"/>
        <w:ind w:firstLine="480" w:firstLineChars="200"/>
        <w:rPr>
          <w:rFonts w:hAnsi="宋体" w:cs="宋体"/>
          <w:szCs w:val="24"/>
          <w:highlight w:val="none"/>
        </w:rPr>
      </w:pPr>
      <w:r>
        <w:rPr>
          <w:rFonts w:hint="eastAsia" w:hAnsi="宋体" w:cs="宋体"/>
          <w:highlight w:val="none"/>
        </w:rPr>
        <w:t>17.2供应商应将竞争性磋商响应文件正本、电子版本、报价一览表</w:t>
      </w:r>
      <w:r>
        <w:rPr>
          <w:rFonts w:hint="eastAsia" w:hAnsi="宋体" w:cs="宋体"/>
          <w:highlight w:val="none"/>
          <w:lang w:eastAsia="zh-CN"/>
        </w:rPr>
        <w:t>，</w:t>
      </w:r>
      <w:r>
        <w:rPr>
          <w:rFonts w:hint="eastAsia" w:hAnsi="宋体" w:cs="宋体"/>
          <w:szCs w:val="24"/>
          <w:highlight w:val="none"/>
        </w:rPr>
        <w:t>所有的副本、</w:t>
      </w:r>
      <w:r>
        <w:rPr>
          <w:rFonts w:hint="eastAsia" w:hAnsi="宋体" w:cs="宋体"/>
          <w:highlight w:val="none"/>
        </w:rPr>
        <w:t>单独密封装在封袋中（封袋不得有破损），且在封袋正面标明</w:t>
      </w:r>
      <w:r>
        <w:rPr>
          <w:rFonts w:hint="eastAsia" w:hAnsi="宋体" w:cs="宋体"/>
          <w:szCs w:val="24"/>
          <w:highlight w:val="none"/>
        </w:rPr>
        <w:t>“正本</w:t>
      </w:r>
      <w:r>
        <w:rPr>
          <w:rFonts w:hint="eastAsia" w:hAnsi="宋体" w:cs="宋体"/>
          <w:szCs w:val="24"/>
          <w:highlight w:val="none"/>
          <w:lang w:eastAsia="zh-CN"/>
        </w:rPr>
        <w:t>、</w:t>
      </w:r>
      <w:r>
        <w:rPr>
          <w:rFonts w:hint="eastAsia" w:hAnsi="宋体" w:cs="宋体"/>
          <w:highlight w:val="none"/>
        </w:rPr>
        <w:t>电子版本、报价一览表</w:t>
      </w:r>
      <w:r>
        <w:rPr>
          <w:rFonts w:hint="eastAsia" w:hAnsi="宋体" w:cs="宋体"/>
          <w:szCs w:val="24"/>
          <w:highlight w:val="none"/>
        </w:rPr>
        <w:t>”“副本”</w:t>
      </w:r>
      <w:r>
        <w:rPr>
          <w:rFonts w:hint="eastAsia" w:hAnsi="宋体" w:cs="宋体"/>
          <w:highlight w:val="none"/>
        </w:rPr>
        <w:t>字样。封袋应加贴封条，并在封线处加盖供应商公章，封袋正面要粘贴供应商全称、项目名称、编号等标识。</w:t>
      </w:r>
    </w:p>
    <w:p w14:paraId="4C9335A2">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14:paraId="47701B3E">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14:paraId="76D6E9D4">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p>
    <w:p w14:paraId="12AA937B">
      <w:pPr>
        <w:spacing w:line="360" w:lineRule="auto"/>
        <w:ind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14:paraId="18D78F3D">
      <w:pPr>
        <w:spacing w:line="360" w:lineRule="auto"/>
        <w:ind w:firstLine="480" w:firstLineChars="200"/>
        <w:rPr>
          <w:rFonts w:hAnsi="宋体" w:cs="宋体"/>
          <w:szCs w:val="24"/>
          <w:highlight w:val="none"/>
        </w:rPr>
      </w:pPr>
      <w:r>
        <w:rPr>
          <w:rFonts w:hint="eastAsia" w:hAnsi="宋体" w:cs="宋体"/>
          <w:szCs w:val="24"/>
          <w:highlight w:val="none"/>
        </w:rPr>
        <w:t>17.4如果供应商未对竞争性磋商响应文件按上述要求进行完好密封，由此产生的不利后果由供应商自行承担。</w:t>
      </w:r>
    </w:p>
    <w:p w14:paraId="6FE8EEF3">
      <w:pPr>
        <w:spacing w:line="360" w:lineRule="auto"/>
        <w:rPr>
          <w:rFonts w:hAnsi="宋体" w:cs="宋体"/>
          <w:b/>
          <w:szCs w:val="24"/>
          <w:highlight w:val="none"/>
        </w:rPr>
      </w:pPr>
      <w:r>
        <w:rPr>
          <w:rFonts w:hint="eastAsia" w:hAnsi="宋体" w:cs="宋体"/>
          <w:b/>
          <w:szCs w:val="24"/>
          <w:highlight w:val="none"/>
        </w:rPr>
        <w:t>18．竞争性磋商响应文件的递交</w:t>
      </w:r>
    </w:p>
    <w:p w14:paraId="6AEF4A02">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04358FAB">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7D94353D">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14:paraId="6EFF9373">
      <w:pPr>
        <w:spacing w:line="360" w:lineRule="auto"/>
        <w:rPr>
          <w:rFonts w:hAnsi="宋体" w:cs="宋体"/>
          <w:b/>
          <w:szCs w:val="24"/>
          <w:highlight w:val="none"/>
        </w:rPr>
      </w:pPr>
      <w:r>
        <w:rPr>
          <w:rFonts w:hint="eastAsia" w:hAnsi="宋体" w:cs="宋体"/>
          <w:b/>
          <w:szCs w:val="24"/>
          <w:highlight w:val="none"/>
        </w:rPr>
        <w:t>19．递交的竞争性磋商响应文件</w:t>
      </w:r>
    </w:p>
    <w:p w14:paraId="38A25EEA">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14:paraId="2CD9476B">
      <w:pPr>
        <w:spacing w:line="360" w:lineRule="auto"/>
        <w:rPr>
          <w:rFonts w:hAnsi="宋体" w:cs="宋体"/>
          <w:b/>
          <w:szCs w:val="24"/>
          <w:highlight w:val="none"/>
        </w:rPr>
      </w:pPr>
      <w:r>
        <w:rPr>
          <w:rFonts w:hint="eastAsia" w:hAnsi="宋体" w:cs="宋体"/>
          <w:b/>
          <w:szCs w:val="24"/>
          <w:highlight w:val="none"/>
        </w:rPr>
        <w:t>20．磋商的修改与撤回</w:t>
      </w:r>
    </w:p>
    <w:p w14:paraId="1889EB9F">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02F6F24F">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14:paraId="3DC044C8">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14:paraId="426BF397">
      <w:pPr>
        <w:rPr>
          <w:rFonts w:hint="eastAsia" w:hAnsi="宋体" w:cs="宋体"/>
          <w:b/>
          <w:sz w:val="32"/>
          <w:szCs w:val="32"/>
          <w:highlight w:val="none"/>
        </w:rPr>
      </w:pPr>
      <w:bookmarkStart w:id="52" w:name="_Toc25852"/>
      <w:bookmarkStart w:id="53" w:name="_Toc363474021"/>
      <w:bookmarkStart w:id="54" w:name="_Toc15436"/>
      <w:bookmarkStart w:id="55" w:name="_Toc363473976"/>
      <w:bookmarkStart w:id="56" w:name="_Toc13669"/>
      <w:bookmarkStart w:id="57" w:name="_Toc403077643"/>
      <w:r>
        <w:rPr>
          <w:rFonts w:hint="eastAsia" w:hAnsi="宋体" w:cs="宋体"/>
          <w:b/>
          <w:sz w:val="32"/>
          <w:szCs w:val="32"/>
          <w:highlight w:val="none"/>
        </w:rPr>
        <w:br w:type="page"/>
      </w:r>
    </w:p>
    <w:p w14:paraId="57B127B8">
      <w:pPr>
        <w:keepNext/>
        <w:keepLines/>
        <w:spacing w:before="312" w:beforeLines="100" w:after="156" w:afterLines="50" w:line="360" w:lineRule="auto"/>
        <w:jc w:val="center"/>
        <w:outlineLvl w:val="2"/>
        <w:rPr>
          <w:rFonts w:hAnsi="宋体" w:cs="宋体"/>
          <w:b/>
          <w:sz w:val="32"/>
          <w:szCs w:val="32"/>
          <w:highlight w:val="none"/>
        </w:rPr>
      </w:pPr>
      <w:r>
        <w:rPr>
          <w:rFonts w:hint="eastAsia" w:hAnsi="宋体" w:cs="宋体"/>
          <w:b/>
          <w:sz w:val="32"/>
          <w:szCs w:val="32"/>
          <w:highlight w:val="none"/>
        </w:rPr>
        <w:t>五.磋商与评标</w:t>
      </w:r>
      <w:bookmarkEnd w:id="52"/>
      <w:bookmarkEnd w:id="53"/>
      <w:bookmarkEnd w:id="54"/>
      <w:bookmarkEnd w:id="55"/>
      <w:bookmarkEnd w:id="56"/>
      <w:bookmarkEnd w:id="57"/>
    </w:p>
    <w:p w14:paraId="64C65779">
      <w:pPr>
        <w:spacing w:line="360" w:lineRule="auto"/>
        <w:rPr>
          <w:rFonts w:hAnsi="宋体" w:cs="宋体"/>
          <w:b/>
          <w:szCs w:val="24"/>
          <w:highlight w:val="none"/>
        </w:rPr>
      </w:pPr>
      <w:r>
        <w:rPr>
          <w:rFonts w:hint="eastAsia" w:hAnsi="宋体" w:cs="宋体"/>
          <w:b/>
          <w:szCs w:val="24"/>
          <w:highlight w:val="none"/>
        </w:rPr>
        <w:t>21.磋商大会</w:t>
      </w:r>
    </w:p>
    <w:p w14:paraId="7098FC74">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14:paraId="14F83D00">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14:paraId="43E1CECB">
      <w:pPr>
        <w:spacing w:line="360" w:lineRule="auto"/>
        <w:rPr>
          <w:rFonts w:hAnsi="宋体" w:cs="宋体"/>
          <w:b/>
          <w:szCs w:val="24"/>
          <w:highlight w:val="none"/>
        </w:rPr>
      </w:pPr>
      <w:r>
        <w:rPr>
          <w:rFonts w:hint="eastAsia" w:hAnsi="宋体" w:cs="宋体"/>
          <w:b/>
          <w:szCs w:val="24"/>
          <w:highlight w:val="none"/>
        </w:rPr>
        <w:t>22．评审程序</w:t>
      </w:r>
    </w:p>
    <w:p w14:paraId="00A18D47">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91DAB8E">
      <w:pPr>
        <w:spacing w:line="360" w:lineRule="auto"/>
        <w:rPr>
          <w:rFonts w:hAnsi="宋体" w:cs="宋体"/>
          <w:b/>
          <w:szCs w:val="24"/>
          <w:highlight w:val="none"/>
        </w:rPr>
      </w:pPr>
      <w:r>
        <w:rPr>
          <w:rFonts w:hint="eastAsia" w:hAnsi="宋体" w:cs="宋体"/>
          <w:b/>
          <w:szCs w:val="24"/>
          <w:highlight w:val="none"/>
        </w:rPr>
        <w:t>23．评审组织及评审原则</w:t>
      </w:r>
    </w:p>
    <w:p w14:paraId="519B823D">
      <w:pPr>
        <w:spacing w:line="500" w:lineRule="exact"/>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2CAA89BD">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14:paraId="5165594D">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00A34E75">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14:paraId="69755F2B">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14:paraId="72628C9B">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67BE0C1B">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14:paraId="77A7E091">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14:paraId="2D43B520">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23.6.1磋商小组将审查竞争性磋商响应文件是否完整、资格证明文件是否齐全，磋商保证金是否合格、有无计算上的错误等。</w:t>
      </w:r>
    </w:p>
    <w:p w14:paraId="6099FA31">
      <w:pPr>
        <w:spacing w:line="500" w:lineRule="exact"/>
        <w:ind w:firstLine="482" w:firstLineChars="200"/>
        <w:rPr>
          <w:rFonts w:hAnsi="宋体" w:cs="宋体"/>
          <w:szCs w:val="24"/>
          <w:highlight w:val="none"/>
        </w:rPr>
      </w:pPr>
      <w:r>
        <w:rPr>
          <w:rFonts w:hint="eastAsia" w:hAnsi="宋体" w:cs="宋体"/>
          <w:b/>
          <w:bCs/>
          <w:szCs w:val="24"/>
          <w:highlight w:val="none"/>
        </w:rPr>
        <w:t>23.6.2计算错误将按以下方法更正：</w:t>
      </w:r>
    </w:p>
    <w:p w14:paraId="35CF4ECB">
      <w:pPr>
        <w:spacing w:line="500" w:lineRule="exact"/>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24758644">
      <w:pPr>
        <w:spacing w:line="500" w:lineRule="exact"/>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14:paraId="56D3B635">
      <w:pPr>
        <w:spacing w:line="500" w:lineRule="exact"/>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14:paraId="646D5B34">
      <w:pPr>
        <w:spacing w:line="500" w:lineRule="exact"/>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14:paraId="46C2D7B3">
      <w:pPr>
        <w:spacing w:line="500" w:lineRule="exact"/>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14:paraId="5D26DF94">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14:paraId="361EBE8B">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081823BA">
      <w:pPr>
        <w:spacing w:line="360" w:lineRule="auto"/>
        <w:ind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szCs w:val="24"/>
          <w:highlight w:val="none"/>
        </w:rPr>
        <w:t>如发现下列情况之一的，其磋商将构成非实质性响应，按无效磋商处理：</w:t>
      </w:r>
    </w:p>
    <w:p w14:paraId="7DDCD197">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14:paraId="6B88D2A2">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2）竞争性磋商响应文件未按竞争性磋商文件要求密封、签署、盖章的；</w:t>
      </w:r>
    </w:p>
    <w:p w14:paraId="7DB0FD39">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3）供应商未提交有效的磋商保证金或金额不足的、磋商保证金形式不符合竞争性磋商文件要求的；</w:t>
      </w:r>
    </w:p>
    <w:p w14:paraId="1559CA20">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4）资格证明文件不全的或无效的，或不符合国家规定的；</w:t>
      </w:r>
    </w:p>
    <w:p w14:paraId="689839AD">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5）竞争性磋商响应文件无供应商公章、无法定代表人签字或签字人无法定代表人有效委托书的；</w:t>
      </w:r>
    </w:p>
    <w:p w14:paraId="3A2F2F66">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6）</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14:paraId="5CE65026">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7）供应商在同一份竞争性磋商响应文件中，有两个或多个报价的；</w:t>
      </w:r>
    </w:p>
    <w:p w14:paraId="624E8CD9">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8）存在有重大缺漏项和重大偏离的；</w:t>
      </w:r>
    </w:p>
    <w:p w14:paraId="6A705C2D">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0D819D8E">
      <w:pPr>
        <w:spacing w:line="360" w:lineRule="auto"/>
        <w:ind w:firstLine="482" w:firstLineChars="200"/>
        <w:rPr>
          <w:rFonts w:hAnsi="宋体" w:cs="宋体"/>
          <w:b/>
          <w:bCs/>
          <w:szCs w:val="24"/>
          <w:highlight w:val="none"/>
        </w:rPr>
      </w:pPr>
      <w:r>
        <w:rPr>
          <w:rFonts w:hint="eastAsia" w:hAnsi="宋体" w:cs="宋体"/>
          <w:b/>
          <w:bCs/>
          <w:szCs w:val="24"/>
          <w:highlight w:val="none"/>
        </w:rPr>
        <w:t>10）磋商总报价低于成本或者高于竞争性磋商文件公布的采购预算的。</w:t>
      </w:r>
    </w:p>
    <w:p w14:paraId="22CE642C">
      <w:pPr>
        <w:pStyle w:val="19"/>
        <w:spacing w:before="0" w:beforeAutospacing="0" w:after="0" w:afterAutospacing="0" w:line="500" w:lineRule="exact"/>
        <w:ind w:firstLine="482" w:firstLineChars="200"/>
        <w:jc w:val="both"/>
        <w:rPr>
          <w:rFonts w:cs="宋体"/>
          <w:b/>
          <w:bCs/>
          <w:highlight w:val="none"/>
        </w:rPr>
      </w:pPr>
      <w:r>
        <w:rPr>
          <w:rFonts w:hint="eastAsia" w:cs="宋体"/>
          <w:b/>
          <w:bCs/>
          <w:highlight w:val="none"/>
        </w:rPr>
        <w:t>11）竞争性磋商响应文件含有采购人不能接受的附加条件的；</w:t>
      </w:r>
    </w:p>
    <w:p w14:paraId="324352A9">
      <w:pPr>
        <w:spacing w:line="500" w:lineRule="exact"/>
        <w:ind w:firstLine="482" w:firstLineChars="200"/>
        <w:rPr>
          <w:rFonts w:hAnsi="宋体" w:cs="宋体"/>
          <w:b/>
          <w:bCs/>
          <w:szCs w:val="24"/>
          <w:highlight w:val="none"/>
        </w:rPr>
      </w:pPr>
      <w:r>
        <w:rPr>
          <w:rFonts w:hint="eastAsia" w:hAnsi="宋体" w:cs="宋体"/>
          <w:b/>
          <w:bCs/>
          <w:szCs w:val="24"/>
          <w:highlight w:val="none"/>
        </w:rPr>
        <w:t>12）竞争性磋商响应文件不符合法律法规要求的；</w:t>
      </w:r>
    </w:p>
    <w:p w14:paraId="7BFE04C1">
      <w:pPr>
        <w:pStyle w:val="19"/>
        <w:spacing w:before="0" w:beforeAutospacing="0" w:after="0" w:afterAutospacing="0" w:line="500" w:lineRule="exact"/>
        <w:ind w:firstLine="482" w:firstLineChars="200"/>
        <w:jc w:val="both"/>
        <w:rPr>
          <w:rFonts w:cs="宋体"/>
          <w:highlight w:val="none"/>
        </w:rPr>
      </w:pPr>
      <w:r>
        <w:rPr>
          <w:rFonts w:hint="eastAsia" w:cs="宋体"/>
          <w:b/>
          <w:bCs/>
          <w:highlight w:val="none"/>
        </w:rPr>
        <w:t>13）供应商被列入失信被执行人、重大税收违法案件当事人名单、政府采购严重违法失信行为记录名单及其他不符合《中华人民共和国政府采购法》第二十二条规定条件。</w:t>
      </w:r>
    </w:p>
    <w:p w14:paraId="50644587">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14:paraId="747B113A">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14:paraId="1A39F467">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14:paraId="74C2D8A8">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14:paraId="4FCC502E">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14:paraId="21460968">
      <w:pPr>
        <w:spacing w:line="360" w:lineRule="auto"/>
        <w:rPr>
          <w:rFonts w:hAnsi="宋体" w:cs="宋体"/>
          <w:b/>
          <w:szCs w:val="24"/>
          <w:highlight w:val="none"/>
        </w:rPr>
      </w:pPr>
      <w:r>
        <w:rPr>
          <w:rFonts w:hint="eastAsia" w:hAnsi="宋体" w:cs="宋体"/>
          <w:b/>
          <w:szCs w:val="24"/>
          <w:highlight w:val="none"/>
        </w:rPr>
        <w:t>24．评审过程的保密</w:t>
      </w:r>
    </w:p>
    <w:p w14:paraId="02D746DA">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14:paraId="6A7B6211">
      <w:pPr>
        <w:jc w:val="left"/>
        <w:rPr>
          <w:rFonts w:hAnsi="宋体" w:cs="宋体"/>
          <w:b/>
          <w:szCs w:val="24"/>
          <w:highlight w:val="none"/>
        </w:rPr>
      </w:pPr>
      <w:r>
        <w:rPr>
          <w:rFonts w:hint="eastAsia" w:hAnsi="宋体" w:cs="宋体"/>
          <w:b/>
          <w:szCs w:val="24"/>
          <w:highlight w:val="none"/>
        </w:rPr>
        <w:t>25．评审方法</w:t>
      </w:r>
    </w:p>
    <w:p w14:paraId="32164183">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w:t>
      </w:r>
      <w:r>
        <w:rPr>
          <w:rFonts w:hint="eastAsia" w:hAnsi="宋体" w:cs="宋体"/>
          <w:szCs w:val="24"/>
          <w:highlight w:val="none"/>
          <w:lang w:eastAsia="zh-CN"/>
        </w:rPr>
        <w:t>推荐</w:t>
      </w:r>
      <w:r>
        <w:rPr>
          <w:rFonts w:hint="eastAsia" w:hAnsi="宋体" w:cs="宋体"/>
          <w:szCs w:val="24"/>
          <w:highlight w:val="none"/>
        </w:rPr>
        <w:t>1-3名成交候选人。</w:t>
      </w:r>
    </w:p>
    <w:p w14:paraId="1D43F81E">
      <w:pPr>
        <w:rPr>
          <w:rFonts w:hint="eastAsia" w:hAnsi="宋体" w:cs="宋体"/>
          <w:b/>
          <w:sz w:val="32"/>
          <w:szCs w:val="32"/>
          <w:highlight w:val="none"/>
        </w:rPr>
      </w:pPr>
      <w:bookmarkStart w:id="58" w:name="_Toc15100"/>
      <w:bookmarkStart w:id="59" w:name="_Toc24420"/>
      <w:bookmarkStart w:id="60" w:name="_Toc29146"/>
      <w:r>
        <w:rPr>
          <w:rFonts w:hint="eastAsia" w:hAnsi="宋体" w:cs="宋体"/>
          <w:b/>
          <w:sz w:val="32"/>
          <w:szCs w:val="32"/>
          <w:highlight w:val="none"/>
        </w:rPr>
        <w:br w:type="page"/>
      </w:r>
    </w:p>
    <w:p w14:paraId="0B1FF56C">
      <w:pPr>
        <w:keepNext/>
        <w:keepLines/>
        <w:spacing w:before="312" w:beforeLines="100" w:after="156" w:afterLines="50" w:line="360" w:lineRule="auto"/>
        <w:jc w:val="center"/>
        <w:outlineLvl w:val="2"/>
        <w:rPr>
          <w:rFonts w:hAnsi="宋体" w:cs="宋体"/>
          <w:b/>
          <w:sz w:val="32"/>
          <w:szCs w:val="32"/>
          <w:highlight w:val="none"/>
        </w:rPr>
      </w:pPr>
      <w:r>
        <w:rPr>
          <w:rFonts w:hint="eastAsia" w:hAnsi="宋体" w:cs="宋体"/>
          <w:b/>
          <w:sz w:val="32"/>
          <w:szCs w:val="32"/>
          <w:highlight w:val="none"/>
        </w:rPr>
        <w:t>六.成交、通知与签约</w:t>
      </w:r>
      <w:bookmarkEnd w:id="58"/>
      <w:bookmarkEnd w:id="59"/>
      <w:bookmarkEnd w:id="60"/>
    </w:p>
    <w:p w14:paraId="03DFC06C">
      <w:pPr>
        <w:spacing w:line="360" w:lineRule="auto"/>
        <w:rPr>
          <w:rFonts w:hAnsi="宋体" w:cs="宋体"/>
          <w:b/>
          <w:szCs w:val="24"/>
          <w:highlight w:val="none"/>
        </w:rPr>
      </w:pPr>
      <w:r>
        <w:rPr>
          <w:rFonts w:hint="eastAsia" w:hAnsi="宋体" w:cs="宋体"/>
          <w:b/>
          <w:szCs w:val="24"/>
          <w:highlight w:val="none"/>
        </w:rPr>
        <w:t>26．成交程序</w:t>
      </w:r>
    </w:p>
    <w:p w14:paraId="6973EEEB">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14:paraId="5EEE74DA">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14:paraId="658A532D">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7B38471E">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14:paraId="1ADD1702">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14:paraId="34020365">
      <w:pPr>
        <w:spacing w:line="500" w:lineRule="exact"/>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14:paraId="6BDF6A19">
      <w:pPr>
        <w:spacing w:line="360" w:lineRule="auto"/>
        <w:rPr>
          <w:rFonts w:hAnsi="宋体" w:cs="宋体"/>
          <w:b/>
          <w:szCs w:val="24"/>
          <w:highlight w:val="none"/>
        </w:rPr>
      </w:pPr>
      <w:r>
        <w:rPr>
          <w:rFonts w:hint="eastAsia" w:hAnsi="宋体" w:cs="宋体"/>
          <w:b/>
          <w:szCs w:val="24"/>
          <w:highlight w:val="none"/>
        </w:rPr>
        <w:t>27．成交通知</w:t>
      </w:r>
    </w:p>
    <w:p w14:paraId="606A4435">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14:paraId="5400EFA7">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14:paraId="572D0DFF">
      <w:pPr>
        <w:spacing w:line="360" w:lineRule="auto"/>
        <w:rPr>
          <w:rFonts w:hAnsi="宋体" w:cs="宋体"/>
          <w:b/>
          <w:szCs w:val="24"/>
          <w:highlight w:val="none"/>
        </w:rPr>
      </w:pPr>
      <w:r>
        <w:rPr>
          <w:rFonts w:hint="eastAsia" w:hAnsi="宋体" w:cs="宋体"/>
          <w:b/>
          <w:szCs w:val="24"/>
          <w:highlight w:val="none"/>
        </w:rPr>
        <w:t>28. 采购合同的签订</w:t>
      </w:r>
    </w:p>
    <w:p w14:paraId="57832431">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08C50988">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14:paraId="7218F7D9">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14:paraId="72AC7E72">
      <w:pPr>
        <w:spacing w:line="360" w:lineRule="auto"/>
        <w:ind w:firstLine="480" w:firstLineChars="200"/>
        <w:rPr>
          <w:rFonts w:hAnsi="宋体" w:cs="宋体"/>
          <w:szCs w:val="24"/>
          <w:highlight w:val="none"/>
        </w:rPr>
      </w:pPr>
      <w:r>
        <w:rPr>
          <w:rFonts w:hint="eastAsia" w:hAnsi="宋体" w:cs="宋体"/>
          <w:szCs w:val="24"/>
          <w:highlight w:val="none"/>
        </w:rPr>
        <w:t>29.1按国家计委颁发的《招标代理服务收费管理暂行办法》（计价格[2002]1980号）和</w:t>
      </w:r>
      <w:r>
        <w:rPr>
          <w:rFonts w:hint="eastAsia" w:hAnsi="宋体" w:cs="宋体"/>
          <w:szCs w:val="24"/>
          <w:highlight w:val="none"/>
          <w:lang w:eastAsia="zh-CN"/>
        </w:rPr>
        <w:t>国家发展和改革委员会</w:t>
      </w:r>
      <w:r>
        <w:rPr>
          <w:rFonts w:hint="eastAsia" w:hAnsi="宋体" w:cs="宋体"/>
          <w:szCs w:val="24"/>
          <w:highlight w:val="none"/>
        </w:rPr>
        <w:t>办公厅颁发的《关于招标代理服务收费有关问题的通知》（发改办价格[2003]857号）的有关规定执行。</w:t>
      </w:r>
    </w:p>
    <w:p w14:paraId="430E0E9B">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p w14:paraId="2265404A">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14:paraId="75E159B7">
      <w:pPr>
        <w:spacing w:line="360" w:lineRule="auto"/>
        <w:ind w:firstLine="482" w:firstLineChars="200"/>
        <w:rPr>
          <w:rFonts w:hAnsi="宋体" w:cs="宋体"/>
          <w:b/>
          <w:bCs/>
          <w:szCs w:val="24"/>
          <w:highlight w:val="none"/>
        </w:rPr>
      </w:pPr>
      <w:r>
        <w:rPr>
          <w:rFonts w:hint="eastAsia" w:hAnsi="宋体" w:cs="宋体"/>
          <w:b/>
          <w:bCs/>
          <w:szCs w:val="24"/>
          <w:highlight w:val="none"/>
        </w:rPr>
        <w:t>1、采购代理机构开户名称: 陕西至诚项目管理集团有限公司</w:t>
      </w:r>
    </w:p>
    <w:p w14:paraId="5996DC8B">
      <w:pPr>
        <w:spacing w:line="360" w:lineRule="auto"/>
        <w:ind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14:paraId="0DAC1710">
      <w:pPr>
        <w:pStyle w:val="9"/>
        <w:ind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14:paraId="43F2259A">
      <w:pPr>
        <w:numPr>
          <w:ilvl w:val="0"/>
          <w:numId w:val="2"/>
        </w:numPr>
        <w:spacing w:line="600" w:lineRule="exact"/>
        <w:rPr>
          <w:rFonts w:hAnsi="宋体" w:cs="宋体"/>
          <w:b/>
          <w:bCs/>
          <w:szCs w:val="24"/>
          <w:highlight w:val="none"/>
        </w:rPr>
      </w:pPr>
      <w:r>
        <w:rPr>
          <w:rFonts w:hint="eastAsia" w:hAnsi="宋体" w:cs="宋体"/>
          <w:b/>
          <w:bCs/>
          <w:szCs w:val="24"/>
          <w:highlight w:val="none"/>
        </w:rPr>
        <w:t>质疑</w:t>
      </w:r>
    </w:p>
    <w:p w14:paraId="5E8843D4">
      <w:pPr>
        <w:spacing w:line="500" w:lineRule="exact"/>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0DE6AE14">
      <w:pPr>
        <w:spacing w:line="500" w:lineRule="exact"/>
        <w:ind w:right="12" w:firstLine="480"/>
        <w:rPr>
          <w:rStyle w:val="25"/>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14:paraId="0B7BF7D5">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B6F0BCE">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30.4以联合体形式参加政府采购活动的，其质疑应当由组成联合体的所有供应商共同提出。</w:t>
      </w:r>
    </w:p>
    <w:p w14:paraId="339DC9B2">
      <w:pPr>
        <w:spacing w:line="500" w:lineRule="exact"/>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14:paraId="5B39B41F">
      <w:pPr>
        <w:spacing w:line="500" w:lineRule="exact"/>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14:paraId="1B7BBE65">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14:paraId="52892A15">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14:paraId="25B918B5">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14:paraId="089C3EA8">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14:paraId="15B2A6E1">
      <w:pPr>
        <w:spacing w:line="500" w:lineRule="exact"/>
        <w:ind w:right="12" w:firstLine="480" w:firstLineChars="200"/>
        <w:rPr>
          <w:rStyle w:val="25"/>
          <w:rFonts w:hAnsi="宋体" w:cs="宋体"/>
          <w:b w:val="0"/>
          <w:szCs w:val="24"/>
          <w:highlight w:val="none"/>
          <w:shd w:val="clear" w:color="auto" w:fill="FFFFFF"/>
        </w:rPr>
      </w:pPr>
      <w:r>
        <w:rPr>
          <w:rFonts w:hint="eastAsia" w:hAnsi="宋体" w:cs="宋体"/>
          <w:szCs w:val="24"/>
          <w:highlight w:val="none"/>
        </w:rPr>
        <w:t>30.5.6提出质疑的日期。</w:t>
      </w:r>
    </w:p>
    <w:p w14:paraId="2AEB5F8E">
      <w:pPr>
        <w:widowControl/>
        <w:spacing w:line="360" w:lineRule="auto"/>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14:paraId="045100A5">
      <w:pPr>
        <w:widowControl/>
        <w:spacing w:line="360" w:lineRule="auto"/>
        <w:ind w:firstLine="480" w:firstLineChars="200"/>
        <w:rPr>
          <w:rFonts w:hAnsi="宋体" w:cs="宋体"/>
          <w:highlight w:val="none"/>
        </w:rPr>
      </w:pPr>
      <w:r>
        <w:rPr>
          <w:rFonts w:hint="eastAsia" w:hAnsi="宋体" w:cs="宋体"/>
          <w:highlight w:val="none"/>
        </w:rPr>
        <w:t>30.6.1质疑供应商不是参与本次政府采购项目的供应商；</w:t>
      </w:r>
    </w:p>
    <w:p w14:paraId="0F5A354C">
      <w:pPr>
        <w:widowControl/>
        <w:spacing w:line="360" w:lineRule="auto"/>
        <w:ind w:firstLine="480" w:firstLineChars="200"/>
        <w:rPr>
          <w:rFonts w:hAnsi="宋体" w:cs="宋体"/>
          <w:highlight w:val="none"/>
        </w:rPr>
      </w:pPr>
      <w:r>
        <w:rPr>
          <w:rFonts w:hint="eastAsia" w:hAnsi="宋体" w:cs="宋体"/>
          <w:highlight w:val="none"/>
        </w:rPr>
        <w:t>30.6.2质疑供应商与质疑事项不存在利害关系的；</w:t>
      </w:r>
    </w:p>
    <w:p w14:paraId="6FB9510E">
      <w:pPr>
        <w:widowControl/>
        <w:spacing w:line="360" w:lineRule="auto"/>
        <w:ind w:firstLine="480" w:firstLineChars="200"/>
        <w:rPr>
          <w:rFonts w:hAnsi="宋体" w:cs="宋体"/>
          <w:highlight w:val="none"/>
        </w:rPr>
      </w:pPr>
      <w:r>
        <w:rPr>
          <w:rFonts w:hint="eastAsia" w:hAnsi="宋体" w:cs="宋体"/>
          <w:highlight w:val="none"/>
        </w:rPr>
        <w:t>30.6.3未在法定期限内提出质疑的；</w:t>
      </w:r>
    </w:p>
    <w:p w14:paraId="3DA4F5B5">
      <w:pPr>
        <w:widowControl/>
        <w:spacing w:line="360" w:lineRule="auto"/>
        <w:ind w:firstLine="480" w:firstLineChars="200"/>
        <w:rPr>
          <w:rFonts w:hAnsi="宋体" w:cs="宋体"/>
          <w:highlight w:val="none"/>
        </w:rPr>
      </w:pPr>
      <w:r>
        <w:rPr>
          <w:rFonts w:hint="eastAsia" w:hAnsi="宋体" w:cs="宋体"/>
          <w:highlight w:val="none"/>
        </w:rPr>
        <w:t>30.6.4质疑未以书面形式提出，或质疑函主要内容构成不完整的；</w:t>
      </w:r>
    </w:p>
    <w:p w14:paraId="2BE61A40">
      <w:pPr>
        <w:widowControl/>
        <w:spacing w:line="360" w:lineRule="auto"/>
        <w:ind w:firstLine="480" w:firstLineChars="200"/>
        <w:rPr>
          <w:rFonts w:hAnsi="宋体" w:cs="宋体"/>
          <w:highlight w:val="none"/>
        </w:rPr>
      </w:pPr>
      <w:r>
        <w:rPr>
          <w:rFonts w:hint="eastAsia" w:hAnsi="宋体" w:cs="宋体"/>
          <w:highlight w:val="none"/>
        </w:rPr>
        <w:t>30.6.5应当提交授权书而未提交的；</w:t>
      </w:r>
    </w:p>
    <w:p w14:paraId="7AACC49D">
      <w:pPr>
        <w:widowControl/>
        <w:spacing w:line="360" w:lineRule="auto"/>
        <w:ind w:firstLine="480" w:firstLineChars="200"/>
        <w:rPr>
          <w:rFonts w:hAnsi="宋体" w:cs="宋体"/>
          <w:highlight w:val="none"/>
        </w:rPr>
      </w:pPr>
      <w:r>
        <w:rPr>
          <w:rFonts w:hint="eastAsia" w:hAnsi="宋体" w:cs="宋体"/>
          <w:highlight w:val="none"/>
        </w:rPr>
        <w:t>30.6.6以非法手段取得证据、材料的；</w:t>
      </w:r>
    </w:p>
    <w:p w14:paraId="10620BD3">
      <w:pPr>
        <w:widowControl/>
        <w:spacing w:line="360" w:lineRule="auto"/>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14:paraId="7AF2422C">
      <w:pPr>
        <w:widowControl/>
        <w:spacing w:line="360" w:lineRule="auto"/>
        <w:ind w:firstLine="480" w:firstLineChars="200"/>
        <w:rPr>
          <w:rFonts w:hAnsi="宋体" w:cs="宋体"/>
          <w:highlight w:val="none"/>
        </w:rPr>
      </w:pPr>
      <w:r>
        <w:rPr>
          <w:rFonts w:hint="eastAsia" w:hAnsi="宋体" w:cs="宋体"/>
          <w:highlight w:val="none"/>
        </w:rPr>
        <w:t>30.6.8不符合法律、法规、规章和政府采购监管机构规定的其他条件的。</w:t>
      </w:r>
    </w:p>
    <w:p w14:paraId="2F634BE4">
      <w:pPr>
        <w:widowControl/>
        <w:spacing w:line="360" w:lineRule="auto"/>
        <w:ind w:firstLine="480" w:firstLineChars="200"/>
        <w:rPr>
          <w:rFonts w:hAnsi="宋体" w:cs="宋体"/>
          <w:highlight w:val="none"/>
        </w:rPr>
      </w:pPr>
      <w:r>
        <w:rPr>
          <w:rFonts w:hint="eastAsia" w:hAnsi="宋体" w:cs="宋体"/>
          <w:highlight w:val="none"/>
        </w:rPr>
        <w:t>30.7质疑答复</w:t>
      </w:r>
    </w:p>
    <w:p w14:paraId="7F0B68B9">
      <w:pPr>
        <w:widowControl/>
        <w:spacing w:line="360" w:lineRule="auto"/>
        <w:ind w:firstLine="480" w:firstLineChars="200"/>
        <w:rPr>
          <w:rFonts w:hAnsi="宋体" w:cs="宋体"/>
          <w:highlight w:val="none"/>
        </w:rPr>
      </w:pPr>
      <w:r>
        <w:rPr>
          <w:rFonts w:hint="eastAsia" w:hAnsi="宋体" w:cs="宋体"/>
          <w:highlight w:val="none"/>
        </w:rPr>
        <w:t>30.7.1采购人或采购代理机构在收到质疑函后7个工作日内作出答复，并以书面形式通知质疑供应商和其他有关供应商。</w:t>
      </w:r>
    </w:p>
    <w:p w14:paraId="63EA6E19">
      <w:pPr>
        <w:spacing w:line="360" w:lineRule="auto"/>
        <w:rPr>
          <w:rFonts w:hAnsi="宋体" w:cs="宋体"/>
          <w:b/>
          <w:szCs w:val="24"/>
          <w:highlight w:val="none"/>
        </w:rPr>
      </w:pPr>
      <w:r>
        <w:rPr>
          <w:rFonts w:hint="eastAsia" w:hAnsi="宋体" w:cs="宋体"/>
          <w:b/>
          <w:szCs w:val="24"/>
          <w:highlight w:val="none"/>
        </w:rPr>
        <w:t>31.其他</w:t>
      </w:r>
    </w:p>
    <w:p w14:paraId="4C7AAA99">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24A34FE0">
      <w:pPr>
        <w:spacing w:line="360" w:lineRule="auto"/>
        <w:ind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52C99841">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207F39C6">
      <w:pPr>
        <w:spacing w:line="360" w:lineRule="auto"/>
        <w:ind w:firstLine="480" w:firstLineChars="200"/>
        <w:rPr>
          <w:rFonts w:hAnsi="宋体" w:cs="宋体"/>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61" w:name="_Toc363474023"/>
    </w:p>
    <w:p w14:paraId="6F000E23">
      <w:pPr>
        <w:pStyle w:val="2"/>
        <w:numPr>
          <w:ilvl w:val="0"/>
          <w:numId w:val="3"/>
        </w:numPr>
        <w:jc w:val="center"/>
        <w:rPr>
          <w:rFonts w:ascii="宋体" w:eastAsia="宋体" w:cs="宋体"/>
          <w:highlight w:val="none"/>
        </w:rPr>
      </w:pPr>
      <w:bookmarkStart w:id="62" w:name="_Toc25783"/>
      <w:bookmarkStart w:id="63" w:name="_Toc423973074"/>
      <w:bookmarkStart w:id="64" w:name="_Toc403077645"/>
      <w:r>
        <w:rPr>
          <w:rFonts w:hint="eastAsia" w:ascii="宋体" w:eastAsia="宋体" w:cs="宋体"/>
          <w:bCs/>
          <w:sz w:val="36"/>
          <w:szCs w:val="36"/>
          <w:highlight w:val="none"/>
        </w:rPr>
        <w:br w:type="page"/>
      </w:r>
      <w:bookmarkStart w:id="65" w:name="_Toc22973"/>
      <w:r>
        <w:rPr>
          <w:rFonts w:hint="eastAsia" w:ascii="宋体" w:eastAsia="宋体" w:cs="宋体"/>
          <w:bCs/>
          <w:sz w:val="36"/>
          <w:szCs w:val="36"/>
          <w:highlight w:val="none"/>
        </w:rPr>
        <w:t xml:space="preserve">  </w:t>
      </w:r>
      <w:bookmarkStart w:id="66" w:name="_Toc22398"/>
      <w:bookmarkStart w:id="67" w:name="_Toc9687"/>
      <w:r>
        <w:rPr>
          <w:rFonts w:hint="eastAsia" w:ascii="宋体" w:eastAsia="宋体" w:cs="宋体"/>
          <w:bCs/>
          <w:sz w:val="36"/>
          <w:szCs w:val="36"/>
          <w:highlight w:val="none"/>
        </w:rPr>
        <w:t>评审方法</w:t>
      </w:r>
      <w:bookmarkEnd w:id="65"/>
      <w:bookmarkEnd w:id="66"/>
      <w:bookmarkEnd w:id="67"/>
    </w:p>
    <w:p w14:paraId="53E7C9D9">
      <w:pPr>
        <w:spacing w:line="360" w:lineRule="auto"/>
        <w:outlineLvl w:val="1"/>
        <w:rPr>
          <w:rFonts w:hAnsi="宋体" w:cs="宋体"/>
          <w:b/>
          <w:szCs w:val="24"/>
          <w:highlight w:val="none"/>
        </w:rPr>
      </w:pPr>
      <w:bookmarkStart w:id="68" w:name="_Toc28665"/>
      <w:bookmarkStart w:id="69" w:name="_Toc26649"/>
      <w:bookmarkStart w:id="70" w:name="_Toc32051"/>
      <w:bookmarkStart w:id="71" w:name="_Toc23722"/>
      <w:r>
        <w:rPr>
          <w:rFonts w:hint="eastAsia" w:hAnsi="宋体" w:cs="宋体"/>
          <w:b/>
          <w:szCs w:val="24"/>
          <w:highlight w:val="none"/>
        </w:rPr>
        <w:t>一、评审方法</w:t>
      </w:r>
      <w:bookmarkEnd w:id="68"/>
      <w:bookmarkEnd w:id="69"/>
      <w:bookmarkEnd w:id="70"/>
      <w:bookmarkEnd w:id="71"/>
    </w:p>
    <w:p w14:paraId="368B0EFC">
      <w:pPr>
        <w:spacing w:line="500" w:lineRule="exact"/>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7198DA94">
      <w:pPr>
        <w:spacing w:line="500" w:lineRule="exact"/>
        <w:outlineLvl w:val="1"/>
        <w:rPr>
          <w:rFonts w:hAnsi="宋体" w:cs="宋体"/>
          <w:b/>
          <w:spacing w:val="4"/>
          <w:szCs w:val="24"/>
          <w:highlight w:val="none"/>
        </w:rPr>
      </w:pPr>
      <w:bookmarkStart w:id="72" w:name="_Toc27615"/>
      <w:bookmarkStart w:id="73" w:name="_Toc20625"/>
      <w:bookmarkStart w:id="74" w:name="_Toc23145"/>
      <w:bookmarkStart w:id="75" w:name="_Toc2374"/>
      <w:r>
        <w:rPr>
          <w:rFonts w:hint="eastAsia" w:hAnsi="宋体" w:cs="宋体"/>
          <w:b/>
          <w:spacing w:val="4"/>
          <w:szCs w:val="24"/>
          <w:highlight w:val="none"/>
        </w:rPr>
        <w:t>二、评审程序</w:t>
      </w:r>
      <w:bookmarkEnd w:id="72"/>
      <w:bookmarkEnd w:id="73"/>
      <w:bookmarkEnd w:id="74"/>
      <w:bookmarkEnd w:id="75"/>
    </w:p>
    <w:p w14:paraId="38FF4375">
      <w:pPr>
        <w:tabs>
          <w:tab w:val="left" w:pos="0"/>
        </w:tabs>
        <w:adjustRightInd w:val="0"/>
        <w:snapToGrid w:val="0"/>
        <w:spacing w:line="500" w:lineRule="exact"/>
        <w:ind w:firstLine="470" w:firstLineChars="196"/>
        <w:rPr>
          <w:rFonts w:hAnsi="宋体" w:cs="宋体"/>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14:paraId="7928C593">
      <w:pPr>
        <w:numPr>
          <w:ilvl w:val="0"/>
          <w:numId w:val="4"/>
        </w:numPr>
        <w:spacing w:line="500" w:lineRule="exact"/>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14:paraId="3E40D794">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1.1资格性审查。</w:t>
      </w:r>
      <w:r>
        <w:rPr>
          <w:rFonts w:hint="eastAsia" w:hAnsi="宋体" w:cs="宋体"/>
          <w:highlight w:val="none"/>
          <w:lang w:val="en-US" w:eastAsia="zh-CN"/>
        </w:rPr>
        <w:t>采购人及采购代理机构</w:t>
      </w:r>
      <w:r>
        <w:rPr>
          <w:rFonts w:hint="eastAsia" w:hAnsi="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1B3F1B8E">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1.2符合性审查。</w:t>
      </w:r>
      <w:r>
        <w:rPr>
          <w:rFonts w:hint="eastAsia" w:hAnsi="宋体" w:cs="宋体"/>
          <w:highlight w:val="none"/>
        </w:rPr>
        <w:t>磋商小组从磋商响应文件的完整性、有效性和对磋商文件的响应程度进行审查，以确定其是否对磋商文件实质性内容作出响应。</w:t>
      </w:r>
    </w:p>
    <w:p w14:paraId="654879A9">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14:paraId="3446D9B5">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14:paraId="10CBC216">
      <w:pPr>
        <w:spacing w:line="500" w:lineRule="exact"/>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6053F026">
      <w:pPr>
        <w:spacing w:line="500" w:lineRule="exact"/>
        <w:ind w:firstLine="480" w:firstLineChars="200"/>
        <w:rPr>
          <w:rFonts w:hAnsi="宋体" w:cs="宋体"/>
          <w:szCs w:val="24"/>
          <w:highlight w:val="none"/>
        </w:rPr>
      </w:pPr>
      <w:r>
        <w:rPr>
          <w:rFonts w:hint="eastAsia" w:hAnsi="宋体" w:cs="宋体"/>
          <w:szCs w:val="24"/>
          <w:highlight w:val="none"/>
        </w:rPr>
        <w:t>1.2.4报价是否超过采购预算。</w:t>
      </w:r>
    </w:p>
    <w:p w14:paraId="2E81C62A">
      <w:pPr>
        <w:spacing w:line="500" w:lineRule="exact"/>
        <w:ind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14:paraId="2376AC8B">
      <w:pPr>
        <w:spacing w:after="156" w:afterLines="50" w:line="500" w:lineRule="exact"/>
        <w:ind w:firstLine="482" w:firstLineChars="200"/>
        <w:rPr>
          <w:rFonts w:hAnsi="宋体" w:cs="宋体"/>
          <w:b/>
          <w:highlight w:val="none"/>
        </w:rPr>
      </w:pPr>
      <w:r>
        <w:rPr>
          <w:rFonts w:hint="eastAsia" w:hAnsi="宋体" w:cs="宋体"/>
          <w:b/>
          <w:highlight w:val="none"/>
        </w:rPr>
        <w:t>2、磋商响应文件的澄清</w:t>
      </w:r>
    </w:p>
    <w:p w14:paraId="460ABF68">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18A4A98C">
      <w:pPr>
        <w:spacing w:line="500" w:lineRule="exact"/>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14:paraId="2CD66A73">
      <w:pPr>
        <w:spacing w:line="500" w:lineRule="exact"/>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5DF79746">
      <w:pPr>
        <w:pStyle w:val="9"/>
        <w:spacing w:line="500" w:lineRule="exact"/>
        <w:ind w:firstLine="482" w:firstLineChars="200"/>
        <w:rPr>
          <w:rFonts w:ascii="宋体" w:hAnsi="宋体" w:cs="宋体"/>
          <w:kern w:val="0"/>
          <w:sz w:val="24"/>
          <w:szCs w:val="24"/>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73B6EC59">
      <w:pPr>
        <w:rPr>
          <w:rFonts w:hAnsi="宋体" w:cs="宋体"/>
          <w:highlight w:val="none"/>
        </w:rPr>
      </w:pPr>
    </w:p>
    <w:p w14:paraId="100E7792">
      <w:pPr>
        <w:numPr>
          <w:ilvl w:val="0"/>
          <w:numId w:val="0"/>
        </w:numPr>
        <w:spacing w:line="360" w:lineRule="auto"/>
        <w:jc w:val="center"/>
        <w:outlineLvl w:val="1"/>
        <w:rPr>
          <w:rFonts w:hint="eastAsia" w:hAnsi="宋体" w:cs="宋体"/>
          <w:b/>
          <w:szCs w:val="24"/>
          <w:highlight w:val="none"/>
        </w:rPr>
      </w:pPr>
      <w:r>
        <w:rPr>
          <w:rFonts w:hint="eastAsia" w:hAnsi="宋体" w:cs="宋体"/>
          <w:b/>
          <w:spacing w:val="4"/>
          <w:szCs w:val="24"/>
          <w:highlight w:val="none"/>
        </w:rPr>
        <w:br w:type="page"/>
      </w:r>
      <w:bookmarkStart w:id="76" w:name="_Toc23630"/>
      <w:bookmarkStart w:id="77" w:name="_Toc13330"/>
      <w:bookmarkStart w:id="78" w:name="_Toc4223"/>
      <w:bookmarkStart w:id="79" w:name="_Toc28532"/>
      <w:r>
        <w:rPr>
          <w:rFonts w:hint="eastAsia" w:hAnsi="宋体" w:cs="宋体"/>
          <w:b/>
          <w:spacing w:val="4"/>
          <w:szCs w:val="24"/>
          <w:highlight w:val="none"/>
          <w:lang w:val="en-US" w:eastAsia="zh-CN"/>
        </w:rPr>
        <w:t>三、</w:t>
      </w:r>
      <w:r>
        <w:rPr>
          <w:rFonts w:hint="eastAsia" w:hAnsi="宋体" w:cs="宋体"/>
          <w:b/>
          <w:szCs w:val="24"/>
          <w:highlight w:val="none"/>
        </w:rPr>
        <w:t>评审要素和分值分解表</w:t>
      </w:r>
      <w:bookmarkEnd w:id="76"/>
      <w:bookmarkEnd w:id="77"/>
      <w:bookmarkEnd w:id="78"/>
      <w:bookmarkEnd w:id="79"/>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850"/>
        <w:gridCol w:w="7635"/>
      </w:tblGrid>
      <w:tr w14:paraId="739D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39" w:type="pct"/>
            <w:vAlign w:val="center"/>
          </w:tcPr>
          <w:p w14:paraId="3DA3352E">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评分因素</w:t>
            </w:r>
          </w:p>
        </w:tc>
        <w:tc>
          <w:tcPr>
            <w:tcW w:w="4460" w:type="pct"/>
            <w:gridSpan w:val="2"/>
            <w:vAlign w:val="center"/>
          </w:tcPr>
          <w:p w14:paraId="7D266E54">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评价指标和分值</w:t>
            </w:r>
          </w:p>
        </w:tc>
      </w:tr>
      <w:tr w14:paraId="4ECB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3" w:hRule="atLeast"/>
        </w:trPr>
        <w:tc>
          <w:tcPr>
            <w:tcW w:w="539" w:type="pct"/>
            <w:vAlign w:val="center"/>
          </w:tcPr>
          <w:p w14:paraId="5FF66978">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施工部署</w:t>
            </w:r>
          </w:p>
        </w:tc>
        <w:tc>
          <w:tcPr>
            <w:tcW w:w="447" w:type="pct"/>
            <w:vAlign w:val="center"/>
          </w:tcPr>
          <w:p w14:paraId="39D5BC2E">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tc>
        <w:tc>
          <w:tcPr>
            <w:tcW w:w="4012" w:type="pct"/>
            <w:vAlign w:val="center"/>
          </w:tcPr>
          <w:p w14:paraId="1B98A3FD">
            <w:pPr>
              <w:widowControl/>
              <w:numPr>
                <w:ilvl w:val="0"/>
                <w:numId w:val="5"/>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评审内容 </w:t>
            </w:r>
          </w:p>
          <w:p w14:paraId="457CD966">
            <w:pPr>
              <w:widowControl/>
              <w:numPr>
                <w:ilvl w:val="0"/>
                <w:numId w:val="0"/>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供应商针对本项目编制完善的施工部署，内容包含：①施工目标:成本目标、工期目标、质量目标②施工准备：技术准备、材料准备③施工平面布置与安排：现场围挡及收入口管理、交通组织安排、消防及道路安排。 </w:t>
            </w:r>
          </w:p>
          <w:p w14:paraId="0796430B">
            <w:pPr>
              <w:widowControl/>
              <w:numPr>
                <w:ilvl w:val="0"/>
                <w:numId w:val="5"/>
              </w:numPr>
              <w:spacing w:line="360" w:lineRule="auto"/>
              <w:ind w:left="0" w:leftChars="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评审标准</w:t>
            </w:r>
          </w:p>
          <w:p w14:paraId="5CB14DF8">
            <w:pPr>
              <w:widowControl/>
              <w:numPr>
                <w:ilvl w:val="0"/>
                <w:numId w:val="0"/>
              </w:numPr>
              <w:spacing w:line="360" w:lineRule="auto"/>
              <w:ind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1、完整性：方案必须全面，对评审内容中的各项要求有详细描述； 2、可实施性：切合本项目实际情况，提出步骤清晰、合理的方案； 3、针对性：方案能够紧扣项目实际情况，内容科学合理。</w:t>
            </w:r>
          </w:p>
          <w:p w14:paraId="536C6D24">
            <w:pPr>
              <w:widowControl/>
              <w:numPr>
                <w:ilvl w:val="0"/>
                <w:numId w:val="5"/>
              </w:numPr>
              <w:spacing w:line="360" w:lineRule="auto"/>
              <w:ind w:left="0" w:leftChars="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赋分标准（满分9分）</w:t>
            </w:r>
          </w:p>
          <w:p w14:paraId="033ED612">
            <w:pPr>
              <w:widowControl/>
              <w:numPr>
                <w:ilvl w:val="0"/>
                <w:numId w:val="0"/>
              </w:numPr>
              <w:spacing w:line="360" w:lineRule="auto"/>
              <w:ind w:left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 ①施工目标：每完全满足一个评审标准得1分，满分3分； ②施工准备：每完全满足一个评审标准得1分，满分3分； ③施工平面布置与安排：每完全满足一个评审标准得1分，满分3分。</w:t>
            </w:r>
          </w:p>
        </w:tc>
      </w:tr>
      <w:tr w14:paraId="35E3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39" w:type="pct"/>
            <w:vAlign w:val="center"/>
          </w:tcPr>
          <w:p w14:paraId="68D2C98E">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施工进度计划</w:t>
            </w:r>
          </w:p>
        </w:tc>
        <w:tc>
          <w:tcPr>
            <w:tcW w:w="447" w:type="pct"/>
            <w:vAlign w:val="center"/>
          </w:tcPr>
          <w:p w14:paraId="249E4397">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tc>
        <w:tc>
          <w:tcPr>
            <w:tcW w:w="4012" w:type="pct"/>
            <w:vAlign w:val="center"/>
          </w:tcPr>
          <w:p w14:paraId="12845BE6">
            <w:pPr>
              <w:widowControl/>
              <w:numPr>
                <w:ilvl w:val="0"/>
                <w:numId w:val="6"/>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评审内容 供应商针对本项目编制完善的施工进度计划，内容包含：①施工进度计划横道图②进度计划保证措施③工期保证措施。 </w:t>
            </w:r>
          </w:p>
          <w:p w14:paraId="17E473CC">
            <w:pPr>
              <w:widowControl/>
              <w:numPr>
                <w:ilvl w:val="0"/>
                <w:numId w:val="6"/>
              </w:numPr>
              <w:spacing w:line="360" w:lineRule="auto"/>
              <w:ind w:left="0" w:leftChars="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评审标准</w:t>
            </w:r>
          </w:p>
          <w:p w14:paraId="17693B85">
            <w:pPr>
              <w:widowControl/>
              <w:numPr>
                <w:ilvl w:val="0"/>
                <w:numId w:val="0"/>
              </w:numPr>
              <w:spacing w:line="360" w:lineRule="auto"/>
              <w:ind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1、完整性：方案必须全面，对评审内容中的各项要求有详细描述； 2、可实施性：切合本项目实际情况，提出步骤清晰、合理的方案； 3、针对性：方案能够紧扣项目实际情况，内容科学合理。</w:t>
            </w:r>
          </w:p>
          <w:p w14:paraId="29CAF8FC">
            <w:pPr>
              <w:widowControl/>
              <w:numPr>
                <w:ilvl w:val="0"/>
                <w:numId w:val="6"/>
              </w:numPr>
              <w:spacing w:line="360" w:lineRule="auto"/>
              <w:ind w:left="0" w:leftChars="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赋分标准（满分9分） </w:t>
            </w:r>
          </w:p>
          <w:p w14:paraId="5903A098">
            <w:pPr>
              <w:widowControl/>
              <w:numPr>
                <w:ilvl w:val="0"/>
                <w:numId w:val="0"/>
              </w:numPr>
              <w:spacing w:line="360" w:lineRule="auto"/>
              <w:ind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①施工进度计划图：每完全满足一个评审标准得1分，满分3分； ②进度计划保证措施：每完全满足一个评审标准得1分，满分3分； ③工期保证措施：每完全满足一个评审标准得1分，满分3分。</w:t>
            </w:r>
          </w:p>
        </w:tc>
      </w:tr>
      <w:tr w14:paraId="755C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539" w:type="pct"/>
            <w:vAlign w:val="center"/>
          </w:tcPr>
          <w:p w14:paraId="53D8A752">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施工方案</w:t>
            </w:r>
          </w:p>
        </w:tc>
        <w:tc>
          <w:tcPr>
            <w:tcW w:w="447" w:type="pct"/>
            <w:vAlign w:val="center"/>
          </w:tcPr>
          <w:p w14:paraId="0FFDB091">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rPr>
              <w:t>分</w:t>
            </w:r>
          </w:p>
        </w:tc>
        <w:tc>
          <w:tcPr>
            <w:tcW w:w="4012" w:type="pct"/>
            <w:vAlign w:val="center"/>
          </w:tcPr>
          <w:p w14:paraId="7C30AEC4">
            <w:pPr>
              <w:widowControl/>
              <w:numPr>
                <w:ilvl w:val="0"/>
                <w:numId w:val="7"/>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评审内容： </w:t>
            </w:r>
          </w:p>
          <w:p w14:paraId="2B4F92C6">
            <w:pPr>
              <w:widowControl/>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供应商针对本项目编制完善的施工方案内容包含：①工程重难点及解决措施②工程施工方法③施工质量通病防治措施。</w:t>
            </w:r>
          </w:p>
          <w:p w14:paraId="4EB9529E">
            <w:pPr>
              <w:widowControl/>
              <w:numPr>
                <w:ilvl w:val="0"/>
                <w:numId w:val="7"/>
              </w:numPr>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评审标准 </w:t>
            </w:r>
          </w:p>
          <w:p w14:paraId="5E61C8F2">
            <w:pPr>
              <w:widowControl/>
              <w:numPr>
                <w:ilvl w:val="0"/>
                <w:numId w:val="8"/>
              </w:numPr>
              <w:spacing w:line="360" w:lineRule="auto"/>
              <w:ind w:left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完整性：方案必须全面，对评审内容中的各项要求有详细描述； 2、可实施性：切合本项目实际情况，提出步骤清晰、合理的方案； 3、针对性：方案能够紧扣项目实际情况，内容科学合理。 </w:t>
            </w:r>
          </w:p>
          <w:p w14:paraId="787687B5">
            <w:pPr>
              <w:widowControl/>
              <w:numPr>
                <w:ilvl w:val="0"/>
                <w:numId w:val="7"/>
              </w:numPr>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赋分标准（</w:t>
            </w: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rPr>
              <w:t xml:space="preserve">分） </w:t>
            </w:r>
          </w:p>
          <w:p w14:paraId="68FE6DE4">
            <w:pPr>
              <w:widowControl/>
              <w:numPr>
                <w:ilvl w:val="0"/>
                <w:numId w:val="0"/>
              </w:numPr>
              <w:spacing w:line="360" w:lineRule="auto"/>
              <w:ind w:leftChars="0"/>
              <w:jc w:val="left"/>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sz w:val="24"/>
                <w:szCs w:val="24"/>
                <w:highlight w:val="none"/>
              </w:rPr>
              <w:t>①工程重难点及解决措施：每完全满足一个评审标准得2分，满分6分； ②工程施工方法：每完全满足一个评审标准得2分，满分6分； ③施工质量通病防治措施：每完全满足一个评审标准得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color w:val="000000"/>
                <w:sz w:val="24"/>
                <w:szCs w:val="24"/>
                <w:highlight w:val="none"/>
              </w:rPr>
              <w:t xml:space="preserve"> </w:t>
            </w:r>
          </w:p>
        </w:tc>
      </w:tr>
      <w:tr w14:paraId="4B26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9" w:type="pct"/>
            <w:vAlign w:val="center"/>
          </w:tcPr>
          <w:p w14:paraId="694880E9">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质量保证措施</w:t>
            </w:r>
          </w:p>
        </w:tc>
        <w:tc>
          <w:tcPr>
            <w:tcW w:w="447" w:type="pct"/>
            <w:vAlign w:val="center"/>
          </w:tcPr>
          <w:p w14:paraId="0DE4AB0A">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分</w:t>
            </w:r>
          </w:p>
        </w:tc>
        <w:tc>
          <w:tcPr>
            <w:tcW w:w="4012" w:type="pct"/>
            <w:vAlign w:val="center"/>
          </w:tcPr>
          <w:p w14:paraId="45596B71">
            <w:pPr>
              <w:numPr>
                <w:ilvl w:val="0"/>
                <w:numId w:val="9"/>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评审内容 </w:t>
            </w:r>
          </w:p>
          <w:p w14:paraId="0D9D71AC">
            <w:pPr>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供应商针对本项目编制完善的质量保证措施，内容包含：①质量目标管理体系②施工质量的检验制度③确保质量的技术组织措施④施工质量控制措施。 </w:t>
            </w:r>
          </w:p>
          <w:p w14:paraId="59A02E0F">
            <w:pPr>
              <w:numPr>
                <w:ilvl w:val="0"/>
                <w:numId w:val="9"/>
              </w:numPr>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评审标准 </w:t>
            </w:r>
          </w:p>
          <w:p w14:paraId="38825DB5">
            <w:pPr>
              <w:numPr>
                <w:ilvl w:val="0"/>
                <w:numId w:val="10"/>
              </w:numPr>
              <w:spacing w:line="360" w:lineRule="auto"/>
              <w:ind w:left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完整性：方案必须全面，对评审内容中的各项要求有详细描述； 2、可实施性：切合本项目实际情况，提出步骤清晰、合理的方案； 3、针对性：方案能够紧扣项目实际情况，内容科学合理。</w:t>
            </w:r>
          </w:p>
          <w:p w14:paraId="50F6421E">
            <w:pPr>
              <w:numPr>
                <w:ilvl w:val="0"/>
                <w:numId w:val="9"/>
              </w:numPr>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赋分标准（满分</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分）</w:t>
            </w:r>
          </w:p>
          <w:p w14:paraId="3634698E">
            <w:pPr>
              <w:numPr>
                <w:ilvl w:val="0"/>
                <w:numId w:val="0"/>
              </w:numPr>
              <w:spacing w:line="360" w:lineRule="auto"/>
              <w:ind w:left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①质量目标管理体系：每完全满足一个评审标准得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 ②施工质量检验制度：每完全满足一个评审标准得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 ③确保质量的技术组织措施：每完全满足一个评审标准得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 ④施工质量控制措施：每完全满足一个评审标准得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color w:val="000000"/>
                <w:sz w:val="24"/>
                <w:szCs w:val="24"/>
                <w:highlight w:val="none"/>
              </w:rPr>
              <w:t xml:space="preserve"> </w:t>
            </w:r>
          </w:p>
        </w:tc>
      </w:tr>
      <w:tr w14:paraId="2CE5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9" w:type="pct"/>
            <w:vAlign w:val="center"/>
          </w:tcPr>
          <w:p w14:paraId="7B13E7A0">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安全文明施工措施</w:t>
            </w:r>
          </w:p>
        </w:tc>
        <w:tc>
          <w:tcPr>
            <w:tcW w:w="447" w:type="pct"/>
            <w:vAlign w:val="center"/>
          </w:tcPr>
          <w:p w14:paraId="316F52B6">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tc>
        <w:tc>
          <w:tcPr>
            <w:tcW w:w="4012" w:type="pct"/>
            <w:vAlign w:val="center"/>
          </w:tcPr>
          <w:p w14:paraId="76B8F0A8">
            <w:pPr>
              <w:widowControl/>
              <w:numPr>
                <w:ilvl w:val="0"/>
                <w:numId w:val="11"/>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评审内容</w:t>
            </w:r>
          </w:p>
          <w:p w14:paraId="28E6E707">
            <w:pPr>
              <w:widowControl/>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供应商针对本项目编制完整的安全文明施工措施，内容包含：①安全生产管理制度②安全文明施工措施③安全应急预案④安全生产教育。 二、评审标准</w:t>
            </w:r>
          </w:p>
          <w:p w14:paraId="390FAD74">
            <w:pPr>
              <w:widowControl/>
              <w:numPr>
                <w:ilvl w:val="0"/>
                <w:numId w:val="12"/>
              </w:numPr>
              <w:spacing w:line="360" w:lineRule="auto"/>
              <w:ind w:left="12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完整性：方案必须全面，对评审内容中的各项要求有详细描述； 2、可实施性：切合本项目实际情况，提出步骤清晰、合理的方案； 3、针对性：方案能够紧扣项目实际情况，内容科学合理。 </w:t>
            </w:r>
          </w:p>
          <w:p w14:paraId="217222CB">
            <w:pPr>
              <w:widowControl/>
              <w:numPr>
                <w:ilvl w:val="0"/>
                <w:numId w:val="0"/>
              </w:numPr>
              <w:spacing w:line="360" w:lineRule="auto"/>
              <w:ind w:left="120" w:leftChars="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highlight w:val="none"/>
              </w:rPr>
              <w:t>三、赋分标准（满分</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 ①安全生产管理制度：每完全满足一个评审标准得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 ②安全文明施工措施：每完全满足一个评审标准得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 ③安全应急预案：每完全满足一个评审标准得</w:t>
            </w:r>
            <w:r>
              <w:rPr>
                <w:rFonts w:hint="eastAsia" w:asciiTheme="minorEastAsia" w:hAnsiTheme="minorEastAsia" w:eastAsiaTheme="minorEastAsia" w:cstheme="minorEastAsia"/>
                <w:sz w:val="24"/>
                <w:szCs w:val="24"/>
                <w:highlight w:val="none"/>
                <w:lang w:val="en-US" w:eastAsia="zh-CN"/>
              </w:rPr>
              <w:t>0.5</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分； ④安全生产教育：每完全满足一个评审标准得</w:t>
            </w:r>
            <w:r>
              <w:rPr>
                <w:rFonts w:hint="eastAsia" w:asciiTheme="minorEastAsia" w:hAnsiTheme="minorEastAsia" w:eastAsiaTheme="minorEastAsia" w:cstheme="minorEastAsia"/>
                <w:sz w:val="24"/>
                <w:szCs w:val="24"/>
                <w:highlight w:val="none"/>
                <w:lang w:val="en-US" w:eastAsia="zh-CN"/>
              </w:rPr>
              <w:t>0.5</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分。</w:t>
            </w:r>
          </w:p>
        </w:tc>
      </w:tr>
      <w:tr w14:paraId="7F80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9" w:type="pct"/>
            <w:vAlign w:val="center"/>
          </w:tcPr>
          <w:p w14:paraId="103258F3">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项目管理机构</w:t>
            </w:r>
          </w:p>
        </w:tc>
        <w:tc>
          <w:tcPr>
            <w:tcW w:w="447" w:type="pct"/>
            <w:vAlign w:val="center"/>
          </w:tcPr>
          <w:p w14:paraId="4A21202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6分</w:t>
            </w:r>
          </w:p>
        </w:tc>
        <w:tc>
          <w:tcPr>
            <w:tcW w:w="4012" w:type="pct"/>
            <w:vAlign w:val="center"/>
          </w:tcPr>
          <w:p w14:paraId="4CA0570A">
            <w:pPr>
              <w:widowControl/>
              <w:numPr>
                <w:ilvl w:val="0"/>
                <w:numId w:val="13"/>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评审内容 </w:t>
            </w:r>
          </w:p>
          <w:p w14:paraId="31B594AD">
            <w:pPr>
              <w:widowControl/>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供应商针对本项目编制科学的项目管理机构，内容包含：①管理机构的配备计划及管理人员证书②组织机构的岗位职责。 </w:t>
            </w:r>
          </w:p>
          <w:p w14:paraId="1EC82213">
            <w:pPr>
              <w:widowControl/>
              <w:numPr>
                <w:ilvl w:val="0"/>
                <w:numId w:val="13"/>
              </w:numPr>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评审标准 1、完整性：方案必须全面，对评审内容中的各项要求有详细描述； 2、可实施性：切合本项目实际情况，提出步骤清晰、合理的方案； 3、针对性：方案能够紧扣项目实际情况，内容科学合理。 </w:t>
            </w:r>
          </w:p>
          <w:p w14:paraId="05A69AEE">
            <w:pPr>
              <w:widowControl/>
              <w:numPr>
                <w:ilvl w:val="0"/>
                <w:numId w:val="13"/>
              </w:numPr>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赋分标准（满分</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 xml:space="preserve">分） </w:t>
            </w:r>
          </w:p>
          <w:p w14:paraId="0A348A0F">
            <w:pPr>
              <w:widowControl/>
              <w:numPr>
                <w:ilvl w:val="0"/>
                <w:numId w:val="0"/>
              </w:numPr>
              <w:spacing w:line="360" w:lineRule="auto"/>
              <w:ind w:left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①管理机构的配备计划：每完全满足一个评审标准得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 ②组织机构的岗位职责：每完全满足一个评审标准得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tc>
      </w:tr>
      <w:tr w14:paraId="6E9F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9" w:type="pct"/>
            <w:vAlign w:val="center"/>
          </w:tcPr>
          <w:p w14:paraId="77E0DF3A">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新材料新工艺</w:t>
            </w:r>
          </w:p>
        </w:tc>
        <w:tc>
          <w:tcPr>
            <w:tcW w:w="447" w:type="pct"/>
            <w:vAlign w:val="center"/>
          </w:tcPr>
          <w:p w14:paraId="75EAD119">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3分</w:t>
            </w:r>
          </w:p>
        </w:tc>
        <w:tc>
          <w:tcPr>
            <w:tcW w:w="4012" w:type="pct"/>
            <w:vAlign w:val="center"/>
          </w:tcPr>
          <w:p w14:paraId="2E52AA41">
            <w:pPr>
              <w:widowControl/>
              <w:numPr>
                <w:ilvl w:val="0"/>
                <w:numId w:val="14"/>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评审内容 </w:t>
            </w:r>
          </w:p>
          <w:p w14:paraId="10FF1939">
            <w:pPr>
              <w:widowControl/>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针对本项目具有①新材料②新技术和新工艺的应用情况。 </w:t>
            </w:r>
          </w:p>
          <w:p w14:paraId="6E4CA9FE">
            <w:pPr>
              <w:widowControl/>
              <w:numPr>
                <w:ilvl w:val="0"/>
                <w:numId w:val="14"/>
              </w:numPr>
              <w:spacing w:line="360" w:lineRule="auto"/>
              <w:ind w:left="0" w:lef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评审标准 </w:t>
            </w:r>
          </w:p>
          <w:p w14:paraId="1585B7D4">
            <w:pPr>
              <w:widowControl/>
              <w:numPr>
                <w:ilvl w:val="0"/>
                <w:numId w:val="0"/>
              </w:numPr>
              <w:spacing w:line="360" w:lineRule="auto"/>
              <w:ind w:left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1、完整性：方案必须全面，对评审内容中的各项要求有详细描述； 2、可实施性：切合本项目实际情况，提出步骤清晰、合理的方案； 3、针对性：方案能够紧扣项目实际情况，内容科学合理。 </w:t>
            </w:r>
          </w:p>
          <w:p w14:paraId="6406A258">
            <w:pPr>
              <w:widowControl/>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三、赋分标准（满分3分） </w:t>
            </w:r>
          </w:p>
          <w:p w14:paraId="22E36FF9">
            <w:pPr>
              <w:widowControl/>
              <w:numPr>
                <w:ilvl w:val="0"/>
                <w:numId w:val="0"/>
              </w:num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①新材料：每完全满足一个评审标准得0.5分，满分1.5分； ②新技术和新工艺：每完全满足一个评审标准得0.5分，满分1.5分。</w:t>
            </w:r>
          </w:p>
        </w:tc>
      </w:tr>
      <w:tr w14:paraId="09AA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39" w:type="pct"/>
            <w:vAlign w:val="center"/>
          </w:tcPr>
          <w:p w14:paraId="29303BD7">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施工承诺</w:t>
            </w:r>
          </w:p>
        </w:tc>
        <w:tc>
          <w:tcPr>
            <w:tcW w:w="447" w:type="pct"/>
            <w:vAlign w:val="center"/>
          </w:tcPr>
          <w:p w14:paraId="6EDEA662">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2分</w:t>
            </w:r>
          </w:p>
        </w:tc>
        <w:tc>
          <w:tcPr>
            <w:tcW w:w="4012" w:type="pct"/>
            <w:vAlign w:val="center"/>
          </w:tcPr>
          <w:p w14:paraId="7AB81EED">
            <w:pPr>
              <w:widowControl/>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针对本项目作出合理有效的工程施工承诺（主要体现不得拖欠施工人员工资、给施工人员缴纳保险、降低工程造价等），每提供1条得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分；不提供不得分。</w:t>
            </w:r>
          </w:p>
        </w:tc>
      </w:tr>
      <w:tr w14:paraId="3A93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539" w:type="pct"/>
            <w:vAlign w:val="center"/>
          </w:tcPr>
          <w:p w14:paraId="02F7A72C">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业绩</w:t>
            </w:r>
          </w:p>
        </w:tc>
        <w:tc>
          <w:tcPr>
            <w:tcW w:w="447" w:type="pct"/>
            <w:vAlign w:val="center"/>
          </w:tcPr>
          <w:p w14:paraId="2E6CB774">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w:t>
            </w:r>
          </w:p>
        </w:tc>
        <w:tc>
          <w:tcPr>
            <w:tcW w:w="4012" w:type="pct"/>
            <w:vAlign w:val="center"/>
          </w:tcPr>
          <w:p w14:paraId="5BAB38D3">
            <w:pPr>
              <w:widowControl/>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供应商须提供自20</w:t>
            </w:r>
            <w:r>
              <w:rPr>
                <w:rFonts w:hint="eastAsia" w:asciiTheme="minorEastAsia" w:hAnsiTheme="minorEastAsia" w:eastAsiaTheme="minorEastAsia" w:cstheme="minorEastAsia"/>
                <w:sz w:val="24"/>
                <w:szCs w:val="24"/>
                <w:highlight w:val="none"/>
                <w:lang w:val="en-US" w:eastAsia="zh-CN"/>
              </w:rPr>
              <w:t>22</w:t>
            </w:r>
            <w:r>
              <w:rPr>
                <w:rFonts w:hint="eastAsia" w:asciiTheme="minorEastAsia" w:hAnsiTheme="minorEastAsia" w:eastAsiaTheme="minorEastAsia" w:cstheme="minorEastAsia"/>
                <w:sz w:val="24"/>
                <w:szCs w:val="24"/>
                <w:highlight w:val="none"/>
              </w:rPr>
              <w:t>年1月1日至今类似项目业绩，以供应商提供的合同或中标（成交）通知书复印件（或扫描件）为准（日期以合同签订时间或中标（成交）通知书时间为准），每提供一份得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分；未提供的不得分。</w:t>
            </w:r>
          </w:p>
        </w:tc>
      </w:tr>
      <w:tr w14:paraId="47A1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539" w:type="pct"/>
            <w:vAlign w:val="center"/>
          </w:tcPr>
          <w:p w14:paraId="161F6150">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w:t>
            </w:r>
          </w:p>
        </w:tc>
        <w:tc>
          <w:tcPr>
            <w:tcW w:w="447" w:type="pct"/>
            <w:vAlign w:val="center"/>
          </w:tcPr>
          <w:p w14:paraId="5B266B4D">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分</w:t>
            </w:r>
          </w:p>
        </w:tc>
        <w:tc>
          <w:tcPr>
            <w:tcW w:w="4012" w:type="pct"/>
            <w:vAlign w:val="center"/>
          </w:tcPr>
          <w:p w14:paraId="2E706BD5">
            <w:pPr>
              <w:widowControl/>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评标基准价=满足磋商文件要求且最低的评标价格</w:t>
            </w:r>
          </w:p>
          <w:p w14:paraId="59C85296">
            <w:pPr>
              <w:widowControl/>
              <w:spacing w:line="360" w:lineRule="auto"/>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合格供应商的有效价格得分=（评标基准价/评标价格)×</w:t>
            </w:r>
            <w:r>
              <w:rPr>
                <w:rFonts w:hint="eastAsia" w:asciiTheme="minorEastAsia" w:hAnsiTheme="minorEastAsia" w:eastAsiaTheme="minorEastAsia" w:cstheme="minorEastAsia"/>
                <w:sz w:val="24"/>
                <w:szCs w:val="24"/>
                <w:highlight w:val="none"/>
                <w:lang w:val="en-US" w:eastAsia="zh-CN"/>
              </w:rPr>
              <w:t>30</w:t>
            </w:r>
          </w:p>
          <w:p w14:paraId="6EAEB54A">
            <w:pPr>
              <w:widowControl/>
              <w:spacing w:line="360" w:lineRule="auto"/>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b w:val="0"/>
                <w:bCs w:val="0"/>
                <w:sz w:val="24"/>
                <w:szCs w:val="24"/>
                <w:highlight w:val="none"/>
                <w:lang w:val="en-US" w:eastAsia="zh-CN" w:bidi="ar-SA"/>
              </w:rPr>
              <w:t>经初审合格的投标文件，其报价为有效报价，对符合政策性扣减的供应商的有效价格进行政策性扣减，并依据扣减后的价格（评审价格）进行价格评审。</w:t>
            </w:r>
          </w:p>
        </w:tc>
      </w:tr>
    </w:tbl>
    <w:p w14:paraId="5CA37655">
      <w:pPr>
        <w:spacing w:line="360" w:lineRule="auto"/>
        <w:rPr>
          <w:rFonts w:hAnsi="宋体" w:cs="宋体"/>
          <w:szCs w:val="24"/>
          <w:highlight w:val="none"/>
        </w:rPr>
      </w:pPr>
    </w:p>
    <w:p w14:paraId="004A2B80">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14:paraId="057D843D">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14:paraId="6985B9F1">
      <w:pPr>
        <w:spacing w:line="460" w:lineRule="exact"/>
        <w:ind w:firstLine="496" w:firstLineChars="200"/>
        <w:rPr>
          <w:rFonts w:hAnsi="宋体" w:cs="宋体"/>
          <w:spacing w:val="4"/>
          <w:szCs w:val="24"/>
          <w:highlight w:val="none"/>
        </w:rPr>
      </w:pPr>
      <w:r>
        <w:rPr>
          <w:rFonts w:hint="eastAsia" w:hAnsi="宋体" w:cs="宋体"/>
          <w:spacing w:val="4"/>
          <w:szCs w:val="24"/>
          <w:highlight w:val="none"/>
        </w:rPr>
        <w:t>2、采购人根据评标报告中推荐的成交候选人排列顺序确定供应商，以复函通知招标代理机构。</w:t>
      </w:r>
    </w:p>
    <w:p w14:paraId="0078BF90">
      <w:pPr>
        <w:rPr>
          <w:rFonts w:hint="eastAsia" w:ascii="宋体" w:eastAsia="宋体" w:cs="宋体"/>
          <w:bCs/>
          <w:sz w:val="36"/>
          <w:szCs w:val="36"/>
          <w:highlight w:val="none"/>
        </w:rPr>
      </w:pPr>
      <w:bookmarkStart w:id="80" w:name="_Toc10029"/>
      <w:bookmarkStart w:id="81" w:name="_Toc11680"/>
      <w:bookmarkStart w:id="82" w:name="_Toc8788"/>
      <w:r>
        <w:rPr>
          <w:rFonts w:hint="eastAsia" w:ascii="宋体" w:eastAsia="宋体" w:cs="宋体"/>
          <w:bCs/>
          <w:sz w:val="36"/>
          <w:szCs w:val="36"/>
          <w:highlight w:val="none"/>
        </w:rPr>
        <w:br w:type="page"/>
      </w:r>
    </w:p>
    <w:p w14:paraId="77897987">
      <w:pPr>
        <w:pStyle w:val="2"/>
        <w:jc w:val="center"/>
        <w:rPr>
          <w:rFonts w:ascii="宋体" w:eastAsia="宋体" w:cs="宋体"/>
          <w:bCs/>
          <w:sz w:val="36"/>
          <w:szCs w:val="36"/>
          <w:highlight w:val="none"/>
        </w:rPr>
      </w:pPr>
      <w:r>
        <w:rPr>
          <w:rFonts w:hint="eastAsia" w:ascii="宋体" w:eastAsia="宋体" w:cs="宋体"/>
          <w:bCs/>
          <w:sz w:val="36"/>
          <w:szCs w:val="36"/>
          <w:highlight w:val="none"/>
        </w:rPr>
        <w:t>第四章  合同条款及格式</w:t>
      </w:r>
      <w:bookmarkEnd w:id="62"/>
      <w:bookmarkEnd w:id="63"/>
      <w:bookmarkEnd w:id="64"/>
      <w:bookmarkEnd w:id="80"/>
      <w:bookmarkEnd w:id="81"/>
      <w:bookmarkEnd w:id="82"/>
    </w:p>
    <w:p w14:paraId="23644D4C">
      <w:pPr>
        <w:tabs>
          <w:tab w:val="left" w:pos="210"/>
          <w:tab w:val="left" w:pos="525"/>
        </w:tabs>
        <w:spacing w:line="360" w:lineRule="auto"/>
        <w:jc w:val="center"/>
        <w:outlineLvl w:val="1"/>
        <w:rPr>
          <w:rFonts w:hAnsi="宋体" w:cs="宋体"/>
          <w:sz w:val="32"/>
          <w:szCs w:val="32"/>
          <w:highlight w:val="none"/>
        </w:rPr>
      </w:pPr>
      <w:bookmarkStart w:id="83" w:name="_Toc23705"/>
      <w:bookmarkStart w:id="84" w:name="_Toc3424"/>
      <w:bookmarkStart w:id="85" w:name="_Toc24218"/>
      <w:bookmarkStart w:id="86" w:name="_Toc32476"/>
      <w:r>
        <w:rPr>
          <w:rFonts w:hint="eastAsia" w:hAnsi="宋体" w:cs="宋体"/>
          <w:b/>
          <w:bCs/>
          <w:sz w:val="32"/>
          <w:szCs w:val="32"/>
          <w:highlight w:val="none"/>
        </w:rPr>
        <w:t>合同前附表</w:t>
      </w:r>
      <w:bookmarkEnd w:id="83"/>
      <w:bookmarkEnd w:id="84"/>
      <w:bookmarkEnd w:id="85"/>
      <w:bookmarkEnd w:id="86"/>
    </w:p>
    <w:p w14:paraId="0BC782ED">
      <w:pPr>
        <w:rPr>
          <w:rFonts w:hAnsi="宋体" w:cs="宋体"/>
          <w:highlight w:val="none"/>
        </w:rPr>
      </w:pPr>
    </w:p>
    <w:p w14:paraId="4E95BD12">
      <w:pPr>
        <w:rPr>
          <w:rFonts w:hAnsi="宋体" w:cs="宋体"/>
          <w:szCs w:val="24"/>
          <w:highlight w:val="none"/>
        </w:rPr>
      </w:pPr>
      <w:r>
        <w:rPr>
          <w:rFonts w:hint="eastAsia" w:hAnsi="宋体" w:cs="宋体"/>
          <w:szCs w:val="24"/>
          <w:highlight w:val="none"/>
        </w:rPr>
        <w:t>本表是对合同条款的具体补充和修改，如有矛盾，应以本资料表为准。</w:t>
      </w:r>
    </w:p>
    <w:tbl>
      <w:tblPr>
        <w:tblStyle w:val="22"/>
        <w:tblW w:w="932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7875"/>
      </w:tblGrid>
      <w:tr w14:paraId="4969B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46" w:type="dxa"/>
            <w:vAlign w:val="center"/>
          </w:tcPr>
          <w:p w14:paraId="1DBCEAB4">
            <w:pPr>
              <w:spacing w:line="360" w:lineRule="auto"/>
              <w:jc w:val="center"/>
              <w:rPr>
                <w:rFonts w:hAnsi="宋体" w:cs="宋体"/>
                <w:b/>
                <w:szCs w:val="21"/>
                <w:highlight w:val="none"/>
              </w:rPr>
            </w:pPr>
            <w:bookmarkStart w:id="87" w:name="_Toc26595"/>
            <w:bookmarkStart w:id="88" w:name="_Toc389582037"/>
            <w:bookmarkStart w:id="89" w:name="_Toc423973075"/>
            <w:bookmarkStart w:id="90" w:name="_Toc31520"/>
            <w:bookmarkStart w:id="91" w:name="_Toc19246"/>
            <w:bookmarkStart w:id="92" w:name="_Toc19199"/>
            <w:bookmarkStart w:id="93" w:name="_Toc29888"/>
            <w:bookmarkStart w:id="94" w:name="_Toc8333"/>
            <w:bookmarkStart w:id="95" w:name="_Toc4679"/>
            <w:r>
              <w:rPr>
                <w:rFonts w:hint="eastAsia" w:hAnsi="宋体" w:cs="宋体"/>
                <w:b/>
                <w:szCs w:val="21"/>
                <w:highlight w:val="none"/>
              </w:rPr>
              <w:t>序号</w:t>
            </w:r>
          </w:p>
        </w:tc>
        <w:tc>
          <w:tcPr>
            <w:tcW w:w="7875" w:type="dxa"/>
            <w:vAlign w:val="center"/>
          </w:tcPr>
          <w:p w14:paraId="353AC878">
            <w:pPr>
              <w:spacing w:line="360" w:lineRule="auto"/>
              <w:jc w:val="center"/>
              <w:rPr>
                <w:rFonts w:hAnsi="宋体" w:cs="宋体"/>
                <w:b/>
                <w:szCs w:val="21"/>
                <w:highlight w:val="none"/>
              </w:rPr>
            </w:pPr>
            <w:r>
              <w:rPr>
                <w:rFonts w:hint="eastAsia" w:hAnsi="宋体" w:cs="宋体"/>
                <w:b/>
                <w:szCs w:val="21"/>
                <w:highlight w:val="none"/>
              </w:rPr>
              <w:t>内      容</w:t>
            </w:r>
          </w:p>
        </w:tc>
      </w:tr>
      <w:tr w14:paraId="7CCCA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14:paraId="3ABA0EB1">
            <w:pPr>
              <w:jc w:val="center"/>
              <w:rPr>
                <w:rFonts w:hAnsi="宋体" w:cs="宋体"/>
                <w:szCs w:val="21"/>
                <w:highlight w:val="none"/>
              </w:rPr>
            </w:pPr>
            <w:r>
              <w:rPr>
                <w:rFonts w:hint="eastAsia" w:hAnsi="宋体" w:cs="宋体"/>
                <w:szCs w:val="21"/>
                <w:highlight w:val="none"/>
              </w:rPr>
              <w:t>1</w:t>
            </w:r>
          </w:p>
        </w:tc>
        <w:tc>
          <w:tcPr>
            <w:tcW w:w="7875" w:type="dxa"/>
            <w:vAlign w:val="center"/>
          </w:tcPr>
          <w:p w14:paraId="7E77968A">
            <w:pPr>
              <w:spacing w:line="360" w:lineRule="auto"/>
              <w:rPr>
                <w:rFonts w:hint="eastAsia" w:hAnsi="宋体" w:eastAsia="宋体" w:cs="宋体"/>
                <w:szCs w:val="21"/>
                <w:highlight w:val="none"/>
                <w:lang w:eastAsia="zh-CN"/>
              </w:rPr>
            </w:pPr>
            <w:r>
              <w:rPr>
                <w:rFonts w:hint="eastAsia" w:hAnsi="宋体" w:cs="宋体"/>
                <w:szCs w:val="21"/>
                <w:highlight w:val="none"/>
              </w:rPr>
              <w:t>采购人：</w:t>
            </w:r>
            <w:r>
              <w:rPr>
                <w:rFonts w:hint="eastAsia" w:cs="宋体"/>
                <w:i w:val="0"/>
                <w:iCs w:val="0"/>
                <w:caps w:val="0"/>
                <w:color w:val="auto"/>
                <w:spacing w:val="0"/>
                <w:sz w:val="24"/>
                <w:szCs w:val="24"/>
                <w:highlight w:val="none"/>
                <w:shd w:val="clear" w:fill="FFFFFF"/>
                <w:lang w:eastAsia="zh-CN"/>
              </w:rPr>
              <w:t>山阳县王阎镇人民政府</w:t>
            </w:r>
          </w:p>
          <w:p w14:paraId="0F3AD488">
            <w:pPr>
              <w:spacing w:line="360" w:lineRule="auto"/>
              <w:rPr>
                <w:rFonts w:hint="eastAsia" w:hAnsi="宋体" w:cs="宋体"/>
                <w:szCs w:val="21"/>
                <w:highlight w:val="none"/>
              </w:rPr>
            </w:pPr>
            <w:r>
              <w:rPr>
                <w:rFonts w:hint="eastAsia" w:hAnsi="宋体" w:cs="宋体"/>
                <w:szCs w:val="21"/>
                <w:highlight w:val="none"/>
              </w:rPr>
              <w:t>地址：</w:t>
            </w:r>
          </w:p>
          <w:p w14:paraId="2245225C">
            <w:pPr>
              <w:spacing w:line="360" w:lineRule="auto"/>
              <w:rPr>
                <w:rFonts w:hint="eastAsia" w:hAnsi="宋体" w:eastAsia="宋体" w:cs="宋体"/>
                <w:szCs w:val="21"/>
                <w:highlight w:val="none"/>
                <w:lang w:val="en-US" w:eastAsia="zh-CN"/>
              </w:rPr>
            </w:pPr>
            <w:r>
              <w:rPr>
                <w:rFonts w:hint="eastAsia" w:hAnsi="宋体" w:cs="宋体"/>
                <w:szCs w:val="21"/>
                <w:highlight w:val="none"/>
              </w:rPr>
              <w:t>项目名称：</w:t>
            </w:r>
            <w:r>
              <w:rPr>
                <w:rFonts w:hint="eastAsia" w:cs="宋体"/>
                <w:i w:val="0"/>
                <w:iCs w:val="0"/>
                <w:caps w:val="0"/>
                <w:color w:val="auto"/>
                <w:spacing w:val="0"/>
                <w:sz w:val="24"/>
                <w:szCs w:val="24"/>
                <w:highlight w:val="none"/>
                <w:shd w:val="clear" w:fill="FFFFFF"/>
                <w:lang w:eastAsia="zh-CN"/>
              </w:rPr>
              <w:t>Y304王阎镇大坪至延坪镇白龙公路靳家河段380米道路改造项目</w:t>
            </w:r>
            <w:r>
              <w:rPr>
                <w:rFonts w:hint="eastAsia" w:hAnsi="宋体" w:cs="宋体"/>
                <w:szCs w:val="21"/>
                <w:highlight w:val="none"/>
              </w:rPr>
              <w:t>资金来源：</w:t>
            </w:r>
            <w:r>
              <w:rPr>
                <w:rFonts w:hint="eastAsia" w:hAnsi="宋体" w:cs="宋体"/>
                <w:szCs w:val="21"/>
                <w:highlight w:val="none"/>
                <w:lang w:val="en-US" w:eastAsia="zh-CN"/>
              </w:rPr>
              <w:t>财政资金</w:t>
            </w:r>
          </w:p>
        </w:tc>
      </w:tr>
      <w:tr w14:paraId="1D69B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trPr>
        <w:tc>
          <w:tcPr>
            <w:tcW w:w="1446" w:type="dxa"/>
            <w:vAlign w:val="center"/>
          </w:tcPr>
          <w:p w14:paraId="468D3300">
            <w:pPr>
              <w:spacing w:line="360" w:lineRule="auto"/>
              <w:jc w:val="center"/>
              <w:rPr>
                <w:rFonts w:hAnsi="宋体" w:cs="宋体"/>
                <w:szCs w:val="21"/>
                <w:highlight w:val="none"/>
              </w:rPr>
            </w:pPr>
            <w:r>
              <w:rPr>
                <w:rFonts w:hint="eastAsia" w:hAnsi="宋体" w:cs="宋体"/>
                <w:szCs w:val="21"/>
                <w:highlight w:val="none"/>
              </w:rPr>
              <w:t>2</w:t>
            </w:r>
          </w:p>
        </w:tc>
        <w:tc>
          <w:tcPr>
            <w:tcW w:w="7875" w:type="dxa"/>
            <w:vAlign w:val="center"/>
          </w:tcPr>
          <w:p w14:paraId="077ECB2F">
            <w:pPr>
              <w:spacing w:line="360" w:lineRule="auto"/>
              <w:rPr>
                <w:rFonts w:hint="eastAsia" w:hAnsi="宋体" w:eastAsia="宋体" w:cs="宋体"/>
                <w:szCs w:val="21"/>
                <w:highlight w:val="none"/>
                <w:lang w:eastAsia="zh-CN"/>
              </w:rPr>
            </w:pPr>
            <w:r>
              <w:rPr>
                <w:rFonts w:hint="eastAsia" w:hAnsi="宋体" w:cs="宋体"/>
                <w:szCs w:val="21"/>
                <w:highlight w:val="none"/>
              </w:rPr>
              <w:t>项目实施地点：</w:t>
            </w:r>
            <w:r>
              <w:rPr>
                <w:rFonts w:hint="eastAsia" w:hAnsi="宋体" w:cs="宋体"/>
                <w:szCs w:val="21"/>
                <w:highlight w:val="none"/>
                <w:lang w:eastAsia="zh-CN"/>
              </w:rPr>
              <w:t>采购人指定地点</w:t>
            </w:r>
          </w:p>
        </w:tc>
      </w:tr>
      <w:tr w14:paraId="51329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1446" w:type="dxa"/>
            <w:vAlign w:val="center"/>
          </w:tcPr>
          <w:p w14:paraId="07E384F4">
            <w:pPr>
              <w:spacing w:line="360" w:lineRule="auto"/>
              <w:jc w:val="center"/>
              <w:rPr>
                <w:rFonts w:hint="eastAsia"/>
                <w:highlight w:val="none"/>
                <w:lang w:eastAsia="zh-CN"/>
              </w:rPr>
            </w:pPr>
            <w:r>
              <w:rPr>
                <w:rFonts w:hint="eastAsia"/>
                <w:highlight w:val="none"/>
                <w:lang w:eastAsia="zh-CN"/>
              </w:rPr>
              <w:t>3</w:t>
            </w:r>
          </w:p>
        </w:tc>
        <w:tc>
          <w:tcPr>
            <w:tcW w:w="7875" w:type="dxa"/>
            <w:vAlign w:val="center"/>
          </w:tcPr>
          <w:p w14:paraId="4BFD5EE8">
            <w:pPr>
              <w:spacing w:line="360" w:lineRule="auto"/>
              <w:rPr>
                <w:rFonts w:hint="eastAsia"/>
                <w:b/>
                <w:bCs/>
                <w:highlight w:val="none"/>
                <w:lang w:eastAsia="zh-CN"/>
              </w:rPr>
            </w:pPr>
            <w:r>
              <w:rPr>
                <w:rFonts w:hint="eastAsia"/>
                <w:b/>
                <w:bCs/>
                <w:highlight w:val="none"/>
                <w:lang w:eastAsia="zh-CN"/>
              </w:rPr>
              <w:t>工期：自合同签订之日起</w:t>
            </w:r>
            <w:r>
              <w:rPr>
                <w:rFonts w:hint="eastAsia"/>
                <w:b/>
                <w:bCs/>
                <w:highlight w:val="none"/>
                <w:lang w:val="en-US" w:eastAsia="zh-CN"/>
              </w:rPr>
              <w:t>60</w:t>
            </w:r>
            <w:r>
              <w:rPr>
                <w:rFonts w:hint="eastAsia"/>
                <w:b/>
                <w:bCs/>
                <w:highlight w:val="none"/>
                <w:lang w:eastAsia="zh-CN"/>
              </w:rPr>
              <w:t>日历日</w:t>
            </w:r>
          </w:p>
          <w:p w14:paraId="669A1C39">
            <w:pPr>
              <w:spacing w:line="360" w:lineRule="auto"/>
              <w:rPr>
                <w:rFonts w:hint="eastAsia"/>
                <w:highlight w:val="none"/>
                <w:lang w:val="en-US" w:eastAsia="zh-CN"/>
              </w:rPr>
            </w:pPr>
            <w:r>
              <w:rPr>
                <w:rFonts w:hint="eastAsia"/>
                <w:b/>
                <w:bCs/>
                <w:highlight w:val="none"/>
                <w:lang w:val="en-US" w:eastAsia="zh-CN"/>
              </w:rPr>
              <w:t>质量标准：达到国家现行有关质量验收规范“合格”要求。</w:t>
            </w:r>
          </w:p>
        </w:tc>
      </w:tr>
      <w:tr w14:paraId="6006B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14:paraId="7147FA0D">
            <w:pPr>
              <w:spacing w:line="360" w:lineRule="auto"/>
              <w:jc w:val="center"/>
              <w:rPr>
                <w:rFonts w:hAnsi="宋体" w:cs="宋体"/>
                <w:szCs w:val="21"/>
                <w:highlight w:val="none"/>
                <w:shd w:val="clear" w:color="FFFFFF" w:fill="D9D9D9"/>
              </w:rPr>
            </w:pPr>
            <w:r>
              <w:rPr>
                <w:rFonts w:hint="eastAsia" w:hAnsi="宋体" w:cs="宋体"/>
                <w:szCs w:val="21"/>
                <w:highlight w:val="none"/>
              </w:rPr>
              <w:t>4</w:t>
            </w:r>
          </w:p>
        </w:tc>
        <w:tc>
          <w:tcPr>
            <w:tcW w:w="7875" w:type="dxa"/>
            <w:vAlign w:val="center"/>
          </w:tcPr>
          <w:p w14:paraId="1B4F1BF3">
            <w:pPr>
              <w:spacing w:line="360" w:lineRule="auto"/>
              <w:rPr>
                <w:rFonts w:hint="eastAsia" w:hAnsi="宋体" w:eastAsia="宋体" w:cs="宋体"/>
                <w:szCs w:val="21"/>
                <w:highlight w:val="none"/>
                <w:lang w:eastAsia="zh-CN"/>
              </w:rPr>
            </w:pPr>
            <w:r>
              <w:rPr>
                <w:rFonts w:hint="eastAsia" w:hAnsi="宋体" w:cs="宋体"/>
                <w:szCs w:val="21"/>
                <w:highlight w:val="none"/>
              </w:rPr>
              <w:t>1.</w:t>
            </w:r>
            <w:r>
              <w:rPr>
                <w:rFonts w:hint="eastAsia" w:hAnsi="宋体" w:cs="宋体"/>
                <w:szCs w:val="21"/>
                <w:highlight w:val="none"/>
                <w:lang w:eastAsia="zh-CN"/>
              </w:rPr>
              <w:t>合同结算方式为综合单价合同，以实际发生的工程量结算。</w:t>
            </w:r>
          </w:p>
          <w:p w14:paraId="3874D452">
            <w:pPr>
              <w:spacing w:line="360" w:lineRule="auto"/>
              <w:rPr>
                <w:rFonts w:hAnsi="宋体" w:cs="宋体"/>
                <w:szCs w:val="21"/>
                <w:highlight w:val="none"/>
              </w:rPr>
            </w:pPr>
            <w:r>
              <w:rPr>
                <w:rFonts w:hint="eastAsia" w:hAnsi="宋体" w:cs="宋体"/>
                <w:szCs w:val="21"/>
                <w:highlight w:val="none"/>
                <w:lang w:val="en-US" w:eastAsia="zh-CN"/>
              </w:rPr>
              <w:t>2</w:t>
            </w:r>
            <w:r>
              <w:rPr>
                <w:rFonts w:hint="eastAsia" w:hAnsi="宋体" w:cs="宋体"/>
                <w:szCs w:val="21"/>
                <w:highlight w:val="none"/>
              </w:rPr>
              <w:t>.付款方式和程序：</w:t>
            </w:r>
          </w:p>
          <w:p w14:paraId="1B6C8211">
            <w:pPr>
              <w:spacing w:line="360" w:lineRule="auto"/>
              <w:rPr>
                <w:rFonts w:hAnsi="宋体" w:cs="宋体"/>
                <w:szCs w:val="21"/>
                <w:highlight w:val="none"/>
              </w:rPr>
            </w:pPr>
            <w:r>
              <w:rPr>
                <w:rFonts w:hint="eastAsia" w:hAnsi="宋体" w:cs="宋体"/>
                <w:szCs w:val="21"/>
                <w:highlight w:val="none"/>
              </w:rPr>
              <w:t>（1）结算方式：</w:t>
            </w:r>
          </w:p>
          <w:p w14:paraId="52017B83">
            <w:pPr>
              <w:spacing w:line="360" w:lineRule="auto"/>
              <w:ind w:firstLine="480" w:firstLineChars="200"/>
              <w:rPr>
                <w:rFonts w:hAnsi="宋体" w:cs="宋体"/>
                <w:szCs w:val="21"/>
                <w:highlight w:val="none"/>
              </w:rPr>
            </w:pPr>
            <w:r>
              <w:rPr>
                <w:rFonts w:hint="eastAsia" w:hAnsi="宋体" w:cs="宋体"/>
                <w:szCs w:val="21"/>
                <w:highlight w:val="none"/>
              </w:rPr>
              <w:t>由采购人负责结算</w:t>
            </w:r>
            <w:r>
              <w:rPr>
                <w:rFonts w:hint="eastAsia" w:hAnsi="宋体" w:cs="宋体"/>
                <w:szCs w:val="21"/>
                <w:highlight w:val="none"/>
                <w:lang w:eastAsia="zh-CN"/>
              </w:rPr>
              <w:t>，</w:t>
            </w:r>
            <w:r>
              <w:rPr>
                <w:rFonts w:hint="eastAsia" w:hAnsi="宋体" w:cs="宋体"/>
                <w:szCs w:val="21"/>
                <w:highlight w:val="none"/>
              </w:rPr>
              <w:t>在付款前，成交供应商须开具全额发票给采购人。</w:t>
            </w:r>
          </w:p>
          <w:p w14:paraId="08C943ED">
            <w:pPr>
              <w:spacing w:line="360" w:lineRule="auto"/>
              <w:jc w:val="left"/>
              <w:rPr>
                <w:rFonts w:hAnsi="宋体" w:cs="宋体"/>
                <w:szCs w:val="21"/>
                <w:highlight w:val="none"/>
              </w:rPr>
            </w:pPr>
            <w:r>
              <w:rPr>
                <w:rFonts w:hint="eastAsia" w:hAnsi="宋体" w:cs="宋体"/>
                <w:szCs w:val="21"/>
                <w:highlight w:val="none"/>
              </w:rPr>
              <w:t>（2）付款方式：</w:t>
            </w:r>
          </w:p>
          <w:p w14:paraId="1F0ED5F4">
            <w:pPr>
              <w:spacing w:line="360" w:lineRule="auto"/>
              <w:ind w:firstLine="480" w:firstLineChars="200"/>
              <w:rPr>
                <w:szCs w:val="22"/>
                <w:highlight w:val="none"/>
              </w:rPr>
            </w:pPr>
            <w:r>
              <w:rPr>
                <w:rFonts w:hint="eastAsia" w:hAnsi="宋体" w:cs="宋体"/>
                <w:szCs w:val="21"/>
                <w:highlight w:val="none"/>
                <w:lang w:val="en-US" w:eastAsia="zh-CN"/>
              </w:rPr>
              <w:t>合同签订后</w:t>
            </w:r>
            <w:r>
              <w:rPr>
                <w:rFonts w:hint="eastAsia" w:hAnsi="宋体" w:cs="宋体"/>
                <w:szCs w:val="21"/>
                <w:highlight w:val="none"/>
              </w:rPr>
              <w:t>，</w:t>
            </w:r>
            <w:r>
              <w:rPr>
                <w:rFonts w:hint="eastAsia" w:hAnsi="宋体" w:cs="宋体"/>
                <w:szCs w:val="21"/>
                <w:highlight w:val="none"/>
                <w:lang w:val="en-US" w:eastAsia="zh-CN"/>
              </w:rPr>
              <w:t>支付合同总金额的6</w:t>
            </w:r>
            <w:r>
              <w:rPr>
                <w:rFonts w:hint="eastAsia" w:hAnsi="宋体" w:cs="宋体"/>
                <w:szCs w:val="21"/>
                <w:highlight w:val="none"/>
              </w:rPr>
              <w:t>0%，工程完工验收合格后付合同</w:t>
            </w:r>
            <w:r>
              <w:rPr>
                <w:rFonts w:hint="eastAsia" w:hAnsi="宋体" w:cs="宋体"/>
                <w:szCs w:val="21"/>
                <w:highlight w:val="none"/>
                <w:lang w:val="en-US" w:eastAsia="zh-CN"/>
              </w:rPr>
              <w:t>总金额的40</w:t>
            </w:r>
            <w:r>
              <w:rPr>
                <w:rFonts w:hint="eastAsia" w:hAnsi="宋体" w:cs="宋体"/>
                <w:szCs w:val="21"/>
                <w:highlight w:val="none"/>
              </w:rPr>
              <w:t>%</w:t>
            </w:r>
            <w:r>
              <w:rPr>
                <w:rFonts w:hint="eastAsia" w:hAnsi="宋体" w:cs="宋体"/>
                <w:szCs w:val="21"/>
                <w:highlight w:val="none"/>
              </w:rPr>
              <w:t>。</w:t>
            </w:r>
          </w:p>
        </w:tc>
      </w:tr>
      <w:tr w14:paraId="35511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14:paraId="063774CB">
            <w:pPr>
              <w:spacing w:line="360" w:lineRule="auto"/>
              <w:jc w:val="center"/>
              <w:rPr>
                <w:rFonts w:hAnsi="宋体" w:cs="宋体"/>
                <w:szCs w:val="21"/>
                <w:highlight w:val="none"/>
              </w:rPr>
            </w:pPr>
            <w:r>
              <w:rPr>
                <w:rFonts w:hint="eastAsia" w:hAnsi="宋体" w:cs="宋体"/>
                <w:szCs w:val="21"/>
                <w:highlight w:val="none"/>
              </w:rPr>
              <w:t>5</w:t>
            </w:r>
          </w:p>
        </w:tc>
        <w:tc>
          <w:tcPr>
            <w:tcW w:w="7875" w:type="dxa"/>
            <w:vAlign w:val="center"/>
          </w:tcPr>
          <w:p w14:paraId="561CE4CC">
            <w:pPr>
              <w:spacing w:line="360" w:lineRule="auto"/>
              <w:rPr>
                <w:rFonts w:hAnsi="宋体" w:cs="宋体"/>
                <w:szCs w:val="21"/>
                <w:highlight w:val="none"/>
              </w:rPr>
            </w:pPr>
            <w:r>
              <w:rPr>
                <w:rFonts w:hint="eastAsia" w:hAnsi="宋体" w:cs="宋体"/>
                <w:szCs w:val="21"/>
                <w:highlight w:val="none"/>
              </w:rPr>
              <w:t>缺陷责任期：</w:t>
            </w:r>
            <w:r>
              <w:rPr>
                <w:rFonts w:hint="eastAsia" w:hAnsi="宋体" w:cs="宋体"/>
                <w:szCs w:val="21"/>
                <w:highlight w:val="none"/>
                <w:lang w:val="en-US" w:eastAsia="zh-CN"/>
              </w:rPr>
              <w:t>1年</w:t>
            </w:r>
          </w:p>
        </w:tc>
      </w:tr>
      <w:tr w14:paraId="4E6D2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14:paraId="2C0BC715">
            <w:pPr>
              <w:spacing w:line="360" w:lineRule="auto"/>
              <w:jc w:val="center"/>
              <w:rPr>
                <w:rFonts w:hAnsi="宋体" w:cs="宋体"/>
                <w:szCs w:val="21"/>
                <w:highlight w:val="none"/>
              </w:rPr>
            </w:pPr>
            <w:r>
              <w:rPr>
                <w:rFonts w:hint="eastAsia" w:hAnsi="宋体" w:cs="宋体"/>
                <w:szCs w:val="21"/>
                <w:highlight w:val="none"/>
              </w:rPr>
              <w:t>6</w:t>
            </w:r>
          </w:p>
        </w:tc>
        <w:tc>
          <w:tcPr>
            <w:tcW w:w="7875" w:type="dxa"/>
            <w:vAlign w:val="center"/>
          </w:tcPr>
          <w:p w14:paraId="119625B1">
            <w:pPr>
              <w:spacing w:line="360" w:lineRule="auto"/>
              <w:jc w:val="left"/>
              <w:rPr>
                <w:rFonts w:hAnsi="宋体" w:cs="宋体"/>
                <w:szCs w:val="21"/>
                <w:highlight w:val="none"/>
              </w:rPr>
            </w:pPr>
            <w:r>
              <w:rPr>
                <w:rFonts w:hint="eastAsia" w:hAnsi="宋体" w:cs="宋体"/>
                <w:szCs w:val="21"/>
                <w:highlight w:val="none"/>
              </w:rPr>
              <w:t>质量保证：</w:t>
            </w:r>
          </w:p>
          <w:p w14:paraId="700B92BB">
            <w:pPr>
              <w:spacing w:line="520" w:lineRule="exact"/>
              <w:ind w:firstLine="360" w:firstLineChars="150"/>
              <w:rPr>
                <w:rFonts w:hAnsi="宋体" w:cs="宋体"/>
                <w:szCs w:val="21"/>
                <w:highlight w:val="none"/>
              </w:rPr>
            </w:pPr>
            <w:r>
              <w:rPr>
                <w:rFonts w:hint="eastAsia" w:hAnsi="宋体" w:cs="宋体"/>
                <w:szCs w:val="21"/>
                <w:highlight w:val="none"/>
              </w:rPr>
              <w:t>工程质量标准：</w:t>
            </w:r>
            <w:r>
              <w:rPr>
                <w:rFonts w:hint="eastAsia" w:hAnsi="宋体" w:cs="宋体"/>
                <w:b/>
                <w:bCs/>
                <w:szCs w:val="21"/>
                <w:highlight w:val="none"/>
              </w:rPr>
              <w:t>达到现行国家有关验收规范“合格”标准。</w:t>
            </w:r>
          </w:p>
          <w:p w14:paraId="4D068C74">
            <w:pPr>
              <w:spacing w:line="520" w:lineRule="exact"/>
              <w:ind w:firstLine="360" w:firstLineChars="150"/>
              <w:rPr>
                <w:rFonts w:hAnsi="宋体" w:cs="宋体"/>
                <w:szCs w:val="21"/>
                <w:highlight w:val="none"/>
              </w:rPr>
            </w:pPr>
            <w:r>
              <w:rPr>
                <w:rFonts w:hint="eastAsia" w:hAnsi="宋体" w:cs="宋体"/>
                <w:szCs w:val="21"/>
                <w:highlight w:val="none"/>
              </w:rPr>
              <w:t>供应商必须保证材料合格、工程及服务质量可靠，并全面满足磋商文件的要求，磋商文件未明确要求的内容，供应商须按采购人的补充要求为准。施工工艺应严格按国家最新发布的规范标准执行，如发生质量问题由供应商承担全部责任。</w:t>
            </w:r>
          </w:p>
        </w:tc>
      </w:tr>
      <w:tr w14:paraId="7FB8E4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14:paraId="5F01BCF9">
            <w:pPr>
              <w:spacing w:line="360" w:lineRule="auto"/>
              <w:jc w:val="center"/>
              <w:rPr>
                <w:rFonts w:hAnsi="宋体" w:cs="宋体"/>
                <w:szCs w:val="21"/>
                <w:highlight w:val="none"/>
              </w:rPr>
            </w:pPr>
            <w:r>
              <w:rPr>
                <w:rFonts w:hint="eastAsia" w:hAnsi="宋体" w:cs="宋体"/>
                <w:szCs w:val="21"/>
                <w:highlight w:val="none"/>
              </w:rPr>
              <w:t>7</w:t>
            </w:r>
          </w:p>
        </w:tc>
        <w:tc>
          <w:tcPr>
            <w:tcW w:w="7875" w:type="dxa"/>
            <w:vAlign w:val="center"/>
          </w:tcPr>
          <w:p w14:paraId="576B730F">
            <w:pPr>
              <w:spacing w:line="360" w:lineRule="auto"/>
              <w:rPr>
                <w:rFonts w:hAnsi="宋体" w:cs="宋体"/>
                <w:b/>
                <w:szCs w:val="21"/>
                <w:highlight w:val="none"/>
              </w:rPr>
            </w:pPr>
            <w:r>
              <w:rPr>
                <w:rFonts w:hint="eastAsia" w:hAnsi="宋体" w:cs="宋体"/>
                <w:b/>
                <w:szCs w:val="21"/>
                <w:highlight w:val="none"/>
              </w:rPr>
              <w:t>验收：</w:t>
            </w:r>
          </w:p>
          <w:p w14:paraId="68AA4D71">
            <w:pPr>
              <w:spacing w:line="360" w:lineRule="auto"/>
              <w:ind w:firstLine="480" w:firstLineChars="200"/>
              <w:rPr>
                <w:rFonts w:hAnsi="宋体" w:cs="宋体"/>
                <w:szCs w:val="21"/>
                <w:highlight w:val="none"/>
              </w:rPr>
            </w:pPr>
            <w:r>
              <w:rPr>
                <w:rFonts w:hint="eastAsia" w:hAnsi="宋体" w:cs="宋体"/>
                <w:szCs w:val="21"/>
                <w:highlight w:val="none"/>
              </w:rPr>
              <w:t>由</w:t>
            </w:r>
            <w:r>
              <w:rPr>
                <w:rFonts w:hint="eastAsia" w:hAnsi="宋体" w:cs="宋体"/>
                <w:szCs w:val="21"/>
                <w:highlight w:val="none"/>
                <w:lang w:eastAsia="zh-CN"/>
              </w:rPr>
              <w:t>采购人、</w:t>
            </w:r>
            <w:r>
              <w:rPr>
                <w:rFonts w:hint="eastAsia" w:hAnsi="宋体" w:cs="宋体"/>
                <w:szCs w:val="21"/>
                <w:highlight w:val="none"/>
              </w:rPr>
              <w:t>供应商</w:t>
            </w:r>
            <w:r>
              <w:rPr>
                <w:rFonts w:hint="eastAsia" w:hAnsi="宋体" w:cs="宋体"/>
                <w:szCs w:val="21"/>
                <w:highlight w:val="none"/>
                <w:lang w:eastAsia="zh-CN"/>
              </w:rPr>
              <w:t>及招标代理机构</w:t>
            </w:r>
            <w:r>
              <w:rPr>
                <w:rFonts w:hint="eastAsia" w:hAnsi="宋体" w:cs="宋体"/>
                <w:szCs w:val="21"/>
                <w:highlight w:val="none"/>
              </w:rPr>
              <w:t>共同对项目进行整体验收。其内容包括材料和施工质量是否达到现行国家有关验收规范“合格”标准、是否按照招标人要求按时完工。</w:t>
            </w:r>
          </w:p>
          <w:p w14:paraId="2961A89C">
            <w:pPr>
              <w:spacing w:line="520" w:lineRule="exact"/>
              <w:ind w:firstLine="480" w:firstLineChars="200"/>
              <w:rPr>
                <w:rFonts w:hAnsi="宋体" w:cs="宋体"/>
                <w:szCs w:val="21"/>
                <w:highlight w:val="none"/>
              </w:rPr>
            </w:pPr>
            <w:r>
              <w:rPr>
                <w:rFonts w:hint="eastAsia" w:hAnsi="宋体" w:cs="宋体"/>
                <w:szCs w:val="21"/>
                <w:highlight w:val="none"/>
              </w:rPr>
              <w:t>1.所验各项内容最终验收达不到磋商文件要求和磋商响应文件承诺的，或在后续使用中发现招标人不能容忍的缺陷等，将视为验收不合格，供应商应在采购人要求的时间内无条件整改及恢复。</w:t>
            </w:r>
          </w:p>
          <w:p w14:paraId="1B4D6A6B">
            <w:pPr>
              <w:spacing w:line="520" w:lineRule="exact"/>
              <w:ind w:firstLine="480" w:firstLineChars="200"/>
              <w:rPr>
                <w:rFonts w:hAnsi="宋体" w:cs="宋体"/>
                <w:szCs w:val="21"/>
                <w:highlight w:val="none"/>
              </w:rPr>
            </w:pPr>
            <w:r>
              <w:rPr>
                <w:rFonts w:hint="eastAsia" w:hAnsi="宋体" w:cs="宋体"/>
                <w:szCs w:val="21"/>
                <w:highlight w:val="none"/>
              </w:rPr>
              <w:t>2.若发现供应商有弄虚作假的，在磋商阶段故意或随意夸大技术能力、工程、服务质量的，采购人有权解除合同，并且要求供应商赔偿相关损失。</w:t>
            </w:r>
          </w:p>
          <w:p w14:paraId="1FC310D8">
            <w:pPr>
              <w:spacing w:line="520" w:lineRule="exact"/>
              <w:ind w:firstLine="480" w:firstLineChars="200"/>
              <w:rPr>
                <w:rFonts w:hAnsi="宋体" w:cs="宋体"/>
                <w:szCs w:val="21"/>
                <w:highlight w:val="none"/>
              </w:rPr>
            </w:pPr>
            <w:r>
              <w:rPr>
                <w:rFonts w:hint="eastAsia" w:hAnsi="宋体" w:cs="宋体"/>
                <w:szCs w:val="21"/>
                <w:highlight w:val="none"/>
              </w:rPr>
              <w:t>3.验收标准：按磋商文件、磋商响应文件及澄清函等技术指标进行验收。各项指标均应符合验收标准及要求。</w:t>
            </w:r>
          </w:p>
          <w:p w14:paraId="42979697">
            <w:pPr>
              <w:spacing w:line="360" w:lineRule="auto"/>
              <w:ind w:firstLine="480" w:firstLineChars="200"/>
              <w:rPr>
                <w:rFonts w:hAnsi="宋体" w:cs="宋体"/>
                <w:szCs w:val="21"/>
                <w:highlight w:val="none"/>
              </w:rPr>
            </w:pPr>
            <w:r>
              <w:rPr>
                <w:rFonts w:hint="eastAsia" w:hAnsi="宋体" w:cs="宋体"/>
                <w:szCs w:val="21"/>
                <w:highlight w:val="none"/>
              </w:rPr>
              <w:t>4.验收合格后，填写验收单，双方签字生效。</w:t>
            </w:r>
          </w:p>
          <w:p w14:paraId="71D15CD4">
            <w:pPr>
              <w:spacing w:line="360" w:lineRule="auto"/>
              <w:ind w:firstLine="480" w:firstLineChars="200"/>
              <w:rPr>
                <w:highlight w:val="none"/>
              </w:rPr>
            </w:pPr>
            <w:r>
              <w:rPr>
                <w:rFonts w:hint="eastAsia" w:hAnsi="宋体" w:cs="宋体"/>
                <w:szCs w:val="21"/>
                <w:highlight w:val="none"/>
              </w:rPr>
              <w:t>5.验收依据：</w:t>
            </w:r>
          </w:p>
          <w:p w14:paraId="1F83DCC3">
            <w:pPr>
              <w:numPr>
                <w:ilvl w:val="0"/>
                <w:numId w:val="15"/>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合同文本；</w:t>
            </w:r>
          </w:p>
          <w:p w14:paraId="649748BD">
            <w:pPr>
              <w:numPr>
                <w:ilvl w:val="0"/>
                <w:numId w:val="15"/>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磋商文件及澄清函、磋商响应文件；</w:t>
            </w:r>
          </w:p>
          <w:p w14:paraId="0B514291">
            <w:pPr>
              <w:numPr>
                <w:ilvl w:val="0"/>
                <w:numId w:val="15"/>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国家和行业制定的相应的标准和规范；</w:t>
            </w:r>
          </w:p>
          <w:p w14:paraId="5EAA36AA">
            <w:pPr>
              <w:tabs>
                <w:tab w:val="left" w:pos="498"/>
              </w:tabs>
              <w:spacing w:line="360" w:lineRule="auto"/>
              <w:ind w:firstLine="240" w:firstLineChars="100"/>
              <w:rPr>
                <w:rFonts w:hAnsi="宋体" w:cs="宋体"/>
                <w:szCs w:val="21"/>
                <w:highlight w:val="none"/>
              </w:rPr>
            </w:pPr>
            <w:r>
              <w:rPr>
                <w:rFonts w:hint="eastAsia" w:hAnsi="宋体" w:cs="宋体"/>
                <w:szCs w:val="21"/>
                <w:highlight w:val="none"/>
              </w:rPr>
              <w:t>d)验收清单。</w:t>
            </w:r>
          </w:p>
        </w:tc>
      </w:tr>
      <w:tr w14:paraId="00B1F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14:paraId="16155D7F">
            <w:pPr>
              <w:pStyle w:val="14"/>
              <w:spacing w:line="360" w:lineRule="auto"/>
              <w:jc w:val="center"/>
              <w:rPr>
                <w:rFonts w:hAnsi="宋体"/>
                <w:szCs w:val="21"/>
                <w:highlight w:val="none"/>
              </w:rPr>
            </w:pPr>
            <w:r>
              <w:rPr>
                <w:rFonts w:hint="eastAsia" w:hAnsi="宋体"/>
                <w:szCs w:val="21"/>
                <w:highlight w:val="none"/>
              </w:rPr>
              <w:t>8</w:t>
            </w:r>
          </w:p>
        </w:tc>
        <w:tc>
          <w:tcPr>
            <w:tcW w:w="7875" w:type="dxa"/>
            <w:vAlign w:val="center"/>
          </w:tcPr>
          <w:p w14:paraId="74299DB5">
            <w:pPr>
              <w:spacing w:line="360" w:lineRule="auto"/>
              <w:rPr>
                <w:rFonts w:hAnsi="宋体" w:cs="宋体"/>
                <w:b/>
                <w:bCs/>
                <w:szCs w:val="21"/>
                <w:highlight w:val="none"/>
              </w:rPr>
            </w:pPr>
            <w:r>
              <w:rPr>
                <w:rFonts w:hint="eastAsia" w:hAnsi="宋体" w:cs="宋体"/>
                <w:b/>
                <w:bCs/>
                <w:szCs w:val="21"/>
                <w:highlight w:val="none"/>
              </w:rPr>
              <w:t>违约责任：</w:t>
            </w:r>
          </w:p>
          <w:p w14:paraId="225A8273">
            <w:pPr>
              <w:tabs>
                <w:tab w:val="left" w:pos="152"/>
              </w:tabs>
              <w:spacing w:line="360" w:lineRule="auto"/>
              <w:ind w:firstLine="480" w:firstLineChars="200"/>
              <w:rPr>
                <w:rFonts w:hAnsi="宋体" w:cs="宋体"/>
                <w:szCs w:val="21"/>
                <w:highlight w:val="none"/>
              </w:rPr>
            </w:pPr>
            <w:r>
              <w:rPr>
                <w:rFonts w:hint="eastAsia" w:hAnsi="宋体" w:cs="宋体"/>
                <w:szCs w:val="21"/>
                <w:highlight w:val="none"/>
              </w:rPr>
              <w:t>1、按《中华人民共和国民法典》中的相关条款执行。</w:t>
            </w:r>
          </w:p>
          <w:p w14:paraId="2339CA1A">
            <w:pPr>
              <w:tabs>
                <w:tab w:val="left" w:pos="152"/>
              </w:tabs>
              <w:spacing w:line="360" w:lineRule="auto"/>
              <w:ind w:firstLine="480" w:firstLineChars="200"/>
              <w:rPr>
                <w:rFonts w:hAnsi="宋体" w:cs="宋体"/>
                <w:szCs w:val="21"/>
                <w:highlight w:val="none"/>
              </w:rPr>
            </w:pPr>
            <w:r>
              <w:rPr>
                <w:rFonts w:hint="eastAsia" w:hAnsi="宋体" w:cs="宋体"/>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hAnsi="宋体" w:cs="宋体"/>
                <w:szCs w:val="21"/>
                <w:highlight w:val="none"/>
                <w:lang w:eastAsia="zh-CN"/>
              </w:rPr>
              <w:t>中华人民共和国政府采购法</w:t>
            </w:r>
            <w:r>
              <w:rPr>
                <w:rFonts w:hint="eastAsia" w:hAnsi="宋体" w:cs="宋体"/>
                <w:szCs w:val="21"/>
                <w:highlight w:val="none"/>
              </w:rPr>
              <w:t>》及相关法律法规对服务商的违法行为进行相应的处罚。</w:t>
            </w:r>
          </w:p>
        </w:tc>
      </w:tr>
      <w:tr w14:paraId="10654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14:paraId="7ABD731E">
            <w:pPr>
              <w:spacing w:line="360" w:lineRule="auto"/>
              <w:jc w:val="center"/>
              <w:rPr>
                <w:rFonts w:hAnsi="宋体" w:cs="宋体"/>
                <w:szCs w:val="21"/>
                <w:highlight w:val="none"/>
              </w:rPr>
            </w:pPr>
            <w:r>
              <w:rPr>
                <w:rFonts w:hint="eastAsia" w:hAnsi="宋体" w:cs="宋体"/>
                <w:szCs w:val="21"/>
                <w:highlight w:val="none"/>
              </w:rPr>
              <w:t>9</w:t>
            </w:r>
          </w:p>
        </w:tc>
        <w:tc>
          <w:tcPr>
            <w:tcW w:w="7875" w:type="dxa"/>
            <w:vAlign w:val="center"/>
          </w:tcPr>
          <w:p w14:paraId="2426CE68">
            <w:pPr>
              <w:spacing w:line="360" w:lineRule="auto"/>
              <w:rPr>
                <w:rFonts w:hAnsi="宋体" w:cs="宋体"/>
                <w:b/>
                <w:szCs w:val="21"/>
                <w:highlight w:val="none"/>
              </w:rPr>
            </w:pPr>
            <w:r>
              <w:rPr>
                <w:rFonts w:hint="eastAsia" w:hAnsi="宋体" w:cs="宋体"/>
                <w:b/>
                <w:szCs w:val="21"/>
                <w:highlight w:val="none"/>
              </w:rPr>
              <w:t>政府采购合同：</w:t>
            </w:r>
          </w:p>
          <w:p w14:paraId="605669DB">
            <w:pPr>
              <w:spacing w:line="360" w:lineRule="auto"/>
              <w:ind w:firstLine="480" w:firstLineChars="200"/>
              <w:rPr>
                <w:rFonts w:hint="eastAsia" w:hAnsi="宋体" w:eastAsia="宋体" w:cs="宋体"/>
                <w:szCs w:val="21"/>
                <w:highlight w:val="none"/>
                <w:lang w:eastAsia="zh-CN"/>
              </w:rPr>
            </w:pPr>
            <w:r>
              <w:rPr>
                <w:rFonts w:hint="eastAsia" w:hAnsi="宋体" w:cs="宋体"/>
                <w:szCs w:val="21"/>
                <w:highlight w:val="none"/>
              </w:rPr>
              <w:t>政府采购合同适用合同法。采购人和供应商之间的权利和义务，应当按照平等、自愿的原则以合同方式约定。</w:t>
            </w:r>
          </w:p>
          <w:p w14:paraId="607EA831">
            <w:pPr>
              <w:spacing w:line="360" w:lineRule="auto"/>
              <w:ind w:firstLine="480" w:firstLineChars="200"/>
              <w:rPr>
                <w:rFonts w:hAnsi="宋体" w:cs="宋体"/>
                <w:szCs w:val="21"/>
                <w:highlight w:val="none"/>
              </w:rPr>
            </w:pPr>
            <w:r>
              <w:rPr>
                <w:rFonts w:hint="eastAsia" w:hAnsi="宋体" w:cs="宋体"/>
                <w:szCs w:val="21"/>
                <w:highlight w:val="none"/>
              </w:rPr>
              <w:t xml:space="preserve">    采购人可以委托采购代理机构代表其与供应商签订政府采购合同。由采购代理机构以采购人名义签订合同的，应当提交采购人的授权委托书，作为合同附件。</w:t>
            </w:r>
          </w:p>
          <w:p w14:paraId="59972563">
            <w:pPr>
              <w:spacing w:line="360" w:lineRule="auto"/>
              <w:ind w:firstLine="480" w:firstLineChars="200"/>
              <w:rPr>
                <w:rFonts w:hAnsi="宋体" w:cs="宋体"/>
                <w:szCs w:val="21"/>
                <w:highlight w:val="none"/>
              </w:rPr>
            </w:pPr>
            <w:r>
              <w:rPr>
                <w:rFonts w:hint="eastAsia" w:hAnsi="宋体" w:cs="宋体"/>
                <w:szCs w:val="21"/>
                <w:highlight w:val="none"/>
              </w:rPr>
              <w:t>政府采购合同应当采用书面形式。</w:t>
            </w:r>
          </w:p>
          <w:p w14:paraId="44BDB68F">
            <w:pPr>
              <w:spacing w:line="360" w:lineRule="auto"/>
              <w:ind w:firstLine="480" w:firstLineChars="200"/>
              <w:rPr>
                <w:rFonts w:hint="eastAsia" w:hAnsi="宋体" w:eastAsia="宋体" w:cs="宋体"/>
                <w:szCs w:val="21"/>
                <w:highlight w:val="none"/>
                <w:lang w:eastAsia="zh-CN"/>
              </w:rPr>
            </w:pPr>
            <w:r>
              <w:rPr>
                <w:rFonts w:hint="eastAsia" w:hAnsi="宋体" w:cs="宋体"/>
                <w:szCs w:val="21"/>
                <w:highlight w:val="none"/>
              </w:rPr>
              <w:t>国务院政府采购监督管理部门应当会同国务院有关部门，规定政府采购合同必须具备的条款。</w:t>
            </w:r>
          </w:p>
          <w:p w14:paraId="631699C3">
            <w:pPr>
              <w:spacing w:line="360" w:lineRule="auto"/>
              <w:ind w:firstLine="480" w:firstLineChars="200"/>
              <w:rPr>
                <w:rFonts w:hint="eastAsia" w:hAnsi="宋体" w:eastAsia="宋体" w:cs="宋体"/>
                <w:szCs w:val="21"/>
                <w:highlight w:val="none"/>
                <w:lang w:eastAsia="zh-CN"/>
              </w:rPr>
            </w:pPr>
            <w:r>
              <w:rPr>
                <w:rFonts w:hint="eastAsia" w:hAnsi="宋体" w:cs="宋体"/>
                <w:szCs w:val="21"/>
                <w:highlight w:val="none"/>
              </w:rPr>
              <w:t xml:space="preserve">    采购人与中标、成交供应商应当在中标、成交通知书发出之日起三十日内，按照采购文件确定的事项签订政府采购合同。</w:t>
            </w:r>
          </w:p>
          <w:p w14:paraId="563B6C4C">
            <w:pPr>
              <w:spacing w:line="360" w:lineRule="auto"/>
              <w:ind w:firstLine="480" w:firstLineChars="200"/>
              <w:rPr>
                <w:rFonts w:hAnsi="宋体" w:cs="宋体"/>
                <w:szCs w:val="21"/>
                <w:highlight w:val="none"/>
              </w:rPr>
            </w:pPr>
            <w:r>
              <w:rPr>
                <w:rFonts w:hint="eastAsia" w:hAnsi="宋体" w:cs="宋体"/>
                <w:szCs w:val="21"/>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32E1C48A">
            <w:pPr>
              <w:pStyle w:val="14"/>
              <w:spacing w:line="360" w:lineRule="auto"/>
              <w:ind w:firstLine="480" w:firstLineChars="200"/>
              <w:rPr>
                <w:rFonts w:hint="eastAsia" w:hAnsi="宋体" w:eastAsia="宋体" w:cs="宋体"/>
                <w:kern w:val="0"/>
                <w:sz w:val="24"/>
                <w:szCs w:val="21"/>
                <w:highlight w:val="none"/>
                <w:lang w:eastAsia="zh-CN"/>
              </w:rPr>
            </w:pPr>
            <w:r>
              <w:rPr>
                <w:rFonts w:hint="eastAsia" w:hAnsi="宋体" w:cs="宋体"/>
                <w:kern w:val="0"/>
                <w:sz w:val="24"/>
                <w:szCs w:val="21"/>
                <w:highlight w:val="none"/>
              </w:rPr>
              <w:t>政府采购项目的采购合同自签订之日起七个工作日内，采购人应当将合同副本报同级政府采购监督管理部门和有关部门备案。</w:t>
            </w:r>
          </w:p>
          <w:p w14:paraId="25F6C3B9">
            <w:pPr>
              <w:pStyle w:val="14"/>
              <w:spacing w:line="360" w:lineRule="auto"/>
              <w:ind w:firstLine="480" w:firstLineChars="200"/>
              <w:rPr>
                <w:rFonts w:hint="eastAsia" w:hAnsi="宋体" w:eastAsia="宋体" w:cs="宋体"/>
                <w:kern w:val="0"/>
                <w:sz w:val="24"/>
                <w:szCs w:val="21"/>
                <w:highlight w:val="none"/>
                <w:lang w:eastAsia="zh-CN"/>
              </w:rPr>
            </w:pPr>
            <w:r>
              <w:rPr>
                <w:rFonts w:hint="eastAsia" w:hAnsi="宋体" w:cs="宋体"/>
                <w:kern w:val="0"/>
                <w:sz w:val="24"/>
                <w:szCs w:val="21"/>
                <w:highlight w:val="none"/>
              </w:rPr>
              <w:t xml:space="preserve">    经采购人同意，中标、成交供应商可以依法采取分包方式履行合同。政府采购合同分包履行的，中标、成交供应商就采购项目和分包项目向采购人负责，分包供应商就分包项目承担责任。</w:t>
            </w:r>
          </w:p>
          <w:p w14:paraId="5747B27A">
            <w:pPr>
              <w:pStyle w:val="14"/>
              <w:spacing w:line="360" w:lineRule="auto"/>
              <w:ind w:firstLine="480" w:firstLineChars="200"/>
              <w:rPr>
                <w:rFonts w:hint="eastAsia" w:hAnsi="宋体" w:eastAsia="宋体" w:cs="宋体"/>
                <w:kern w:val="0"/>
                <w:sz w:val="24"/>
                <w:szCs w:val="21"/>
                <w:highlight w:val="none"/>
                <w:lang w:eastAsia="zh-CN"/>
              </w:rPr>
            </w:pPr>
            <w:r>
              <w:rPr>
                <w:rFonts w:hint="eastAsia" w:hAnsi="宋体" w:cs="宋体"/>
                <w:kern w:val="0"/>
                <w:sz w:val="24"/>
                <w:szCs w:val="21"/>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5EDD3631">
            <w:pPr>
              <w:pStyle w:val="14"/>
              <w:spacing w:line="360" w:lineRule="auto"/>
              <w:ind w:firstLine="480" w:firstLineChars="200"/>
              <w:rPr>
                <w:rFonts w:hint="eastAsia" w:hAnsi="宋体" w:eastAsia="宋体" w:cs="宋体"/>
                <w:kern w:val="0"/>
                <w:sz w:val="24"/>
                <w:szCs w:val="21"/>
                <w:highlight w:val="none"/>
                <w:lang w:eastAsia="zh-CN"/>
              </w:rPr>
            </w:pPr>
            <w:r>
              <w:rPr>
                <w:rFonts w:hint="eastAsia" w:hAnsi="宋体" w:cs="宋体"/>
                <w:kern w:val="0"/>
                <w:sz w:val="24"/>
                <w:szCs w:val="21"/>
                <w:highlight w:val="none"/>
              </w:rPr>
              <w:t xml:space="preserve">    政府采购合同的双方当事人不得擅自变更、中止或者终止合同。</w:t>
            </w:r>
          </w:p>
          <w:p w14:paraId="238B2122">
            <w:pPr>
              <w:pStyle w:val="14"/>
              <w:spacing w:line="360" w:lineRule="auto"/>
              <w:ind w:firstLine="480" w:firstLineChars="200"/>
              <w:rPr>
                <w:rFonts w:hAnsi="宋体"/>
                <w:szCs w:val="21"/>
                <w:highlight w:val="none"/>
              </w:rPr>
            </w:pPr>
            <w:r>
              <w:rPr>
                <w:rFonts w:hint="eastAsia" w:hAnsi="宋体" w:cs="宋体"/>
                <w:kern w:val="0"/>
                <w:sz w:val="24"/>
                <w:szCs w:val="21"/>
                <w:highlight w:val="none"/>
              </w:rPr>
              <w:t>政府采购合同继续履行将损害国家利益和社会公共利益的，双方当事人应当变更、中止或者终止合同。有过错的一方应当承担赔偿责任，双方都有过错的，各自承担相应的责任。</w:t>
            </w:r>
          </w:p>
        </w:tc>
      </w:tr>
    </w:tbl>
    <w:p w14:paraId="5917CF55">
      <w:pPr>
        <w:rPr>
          <w:rFonts w:hAnsi="宋体" w:cs="宋体"/>
          <w:sz w:val="32"/>
          <w:highlight w:val="none"/>
        </w:rPr>
      </w:pPr>
      <w:r>
        <w:rPr>
          <w:rFonts w:hint="eastAsia" w:hAnsi="宋体" w:cs="宋体"/>
          <w:b/>
          <w:bCs/>
          <w:sz w:val="48"/>
          <w:szCs w:val="48"/>
          <w:highlight w:val="none"/>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4482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2439AC17">
            <w:pPr>
              <w:jc w:val="center"/>
              <w:rPr>
                <w:rFonts w:hAnsi="宋体" w:cs="宋体"/>
                <w:b/>
                <w:sz w:val="30"/>
                <w:szCs w:val="30"/>
                <w:highlight w:val="none"/>
              </w:rPr>
            </w:pPr>
            <w:r>
              <w:rPr>
                <w:rFonts w:hint="eastAsia" w:hAnsi="宋体" w:cs="宋体"/>
                <w:b/>
                <w:sz w:val="30"/>
                <w:szCs w:val="30"/>
                <w:highlight w:val="none"/>
              </w:rPr>
              <w:t>竞争性磋商采购</w:t>
            </w:r>
          </w:p>
        </w:tc>
      </w:tr>
    </w:tbl>
    <w:p w14:paraId="3F03B149">
      <w:pPr>
        <w:outlineLvl w:val="1"/>
        <w:rPr>
          <w:rFonts w:hAnsi="宋体" w:cs="宋体"/>
          <w:b/>
          <w:sz w:val="32"/>
          <w:szCs w:val="32"/>
          <w:highlight w:val="none"/>
        </w:rPr>
      </w:pPr>
      <w:bookmarkStart w:id="96" w:name="_Toc1362"/>
      <w:bookmarkStart w:id="97" w:name="_Toc5216"/>
      <w:bookmarkStart w:id="98" w:name="_Toc18120"/>
      <w:bookmarkStart w:id="99" w:name="_Toc7874"/>
      <w:r>
        <w:rPr>
          <w:rFonts w:hint="eastAsia" w:hAnsi="宋体" w:cs="宋体"/>
          <w:b/>
          <w:bCs/>
          <w:sz w:val="28"/>
          <w:szCs w:val="28"/>
          <w:highlight w:val="none"/>
        </w:rPr>
        <w:t>（</w:t>
      </w:r>
      <w:r>
        <w:rPr>
          <w:rFonts w:hint="eastAsia" w:hAnsi="宋体" w:cs="宋体"/>
          <w:b/>
          <w:sz w:val="32"/>
          <w:szCs w:val="32"/>
          <w:highlight w:val="none"/>
        </w:rPr>
        <w:t>仅供参考）</w:t>
      </w:r>
      <w:bookmarkEnd w:id="96"/>
      <w:bookmarkEnd w:id="97"/>
      <w:bookmarkEnd w:id="98"/>
      <w:bookmarkEnd w:id="99"/>
      <w:r>
        <w:rPr>
          <w:rFonts w:hint="eastAsia" w:hAnsi="宋体" w:cs="宋体"/>
          <w:b/>
          <w:sz w:val="32"/>
          <w:szCs w:val="32"/>
          <w:highlight w:val="none"/>
        </w:rPr>
        <w:t xml:space="preserve">                  </w:t>
      </w:r>
    </w:p>
    <w:p w14:paraId="45F42A69">
      <w:pPr>
        <w:rPr>
          <w:rFonts w:hAnsi="宋体" w:cs="宋体"/>
          <w:b/>
          <w:sz w:val="32"/>
          <w:szCs w:val="32"/>
          <w:highlight w:val="none"/>
        </w:rPr>
      </w:pPr>
      <w:r>
        <w:rPr>
          <w:rFonts w:hint="eastAsia" w:hAnsi="宋体" w:cs="宋体"/>
          <w:b/>
          <w:sz w:val="32"/>
          <w:szCs w:val="32"/>
          <w:highlight w:val="none"/>
        </w:rPr>
        <w:t xml:space="preserve">          </w:t>
      </w:r>
    </w:p>
    <w:p w14:paraId="0CA1F803">
      <w:pPr>
        <w:jc w:val="center"/>
        <w:rPr>
          <w:rFonts w:hAnsi="宋体" w:cs="宋体"/>
          <w:sz w:val="52"/>
          <w:szCs w:val="52"/>
          <w:highlight w:val="none"/>
        </w:rPr>
      </w:pPr>
    </w:p>
    <w:p w14:paraId="1FBA3E41">
      <w:pPr>
        <w:jc w:val="center"/>
        <w:rPr>
          <w:rFonts w:hAnsi="宋体" w:cs="宋体"/>
          <w:sz w:val="52"/>
          <w:szCs w:val="52"/>
          <w:highlight w:val="none"/>
        </w:rPr>
      </w:pPr>
    </w:p>
    <w:p w14:paraId="27825EEB">
      <w:pPr>
        <w:jc w:val="center"/>
        <w:rPr>
          <w:rFonts w:hAnsi="宋体" w:cs="宋体"/>
          <w:b/>
          <w:snapToGrid w:val="0"/>
          <w:sz w:val="48"/>
          <w:szCs w:val="48"/>
          <w:highlight w:val="none"/>
          <w:u w:val="single"/>
        </w:rPr>
      </w:pPr>
      <w:r>
        <w:rPr>
          <w:rFonts w:hint="eastAsia" w:hAnsi="宋体" w:cs="宋体"/>
          <w:b/>
          <w:snapToGrid w:val="0"/>
          <w:sz w:val="48"/>
          <w:szCs w:val="48"/>
          <w:highlight w:val="none"/>
          <w:u w:val="single"/>
        </w:rPr>
        <w:t>(项目名称)</w:t>
      </w:r>
    </w:p>
    <w:p w14:paraId="5AE1534A">
      <w:pPr>
        <w:jc w:val="center"/>
        <w:rPr>
          <w:rFonts w:hAnsi="宋体" w:cs="宋体"/>
          <w:b/>
          <w:sz w:val="72"/>
          <w:szCs w:val="72"/>
          <w:highlight w:val="none"/>
        </w:rPr>
      </w:pPr>
      <w:r>
        <w:rPr>
          <w:rFonts w:hint="eastAsia" w:hAnsi="宋体" w:cs="宋体"/>
          <w:b/>
          <w:sz w:val="72"/>
          <w:szCs w:val="72"/>
          <w:highlight w:val="none"/>
        </w:rPr>
        <w:t xml:space="preserve"> 合 同</w:t>
      </w:r>
    </w:p>
    <w:p w14:paraId="3B0CC95B">
      <w:pPr>
        <w:jc w:val="center"/>
        <w:rPr>
          <w:rFonts w:hAnsi="宋体" w:cs="宋体"/>
          <w:sz w:val="30"/>
          <w:szCs w:val="30"/>
          <w:highlight w:val="none"/>
        </w:rPr>
      </w:pPr>
      <w:r>
        <w:rPr>
          <w:rFonts w:hint="eastAsia" w:hAnsi="宋体" w:cs="宋体"/>
          <w:sz w:val="30"/>
          <w:szCs w:val="30"/>
          <w:highlight w:val="none"/>
        </w:rPr>
        <w:t xml:space="preserve">（项目编号：      </w:t>
      </w:r>
      <w:r>
        <w:rPr>
          <w:rFonts w:hint="eastAsia" w:hAnsi="宋体" w:cs="宋体"/>
          <w:sz w:val="28"/>
          <w:szCs w:val="28"/>
          <w:highlight w:val="none"/>
        </w:rPr>
        <w:t>）</w:t>
      </w:r>
    </w:p>
    <w:p w14:paraId="3FEE9B60">
      <w:pPr>
        <w:jc w:val="center"/>
        <w:rPr>
          <w:rFonts w:hAnsi="宋体" w:cs="宋体"/>
          <w:sz w:val="30"/>
          <w:szCs w:val="30"/>
          <w:highlight w:val="none"/>
        </w:rPr>
      </w:pPr>
    </w:p>
    <w:p w14:paraId="4D3230CC">
      <w:pPr>
        <w:jc w:val="center"/>
        <w:rPr>
          <w:rFonts w:hAnsi="宋体" w:cs="宋体"/>
          <w:sz w:val="30"/>
          <w:szCs w:val="30"/>
          <w:highlight w:val="none"/>
        </w:rPr>
      </w:pPr>
    </w:p>
    <w:p w14:paraId="3E8CD2EA">
      <w:pPr>
        <w:jc w:val="center"/>
        <w:rPr>
          <w:rFonts w:hAnsi="宋体" w:cs="宋体"/>
          <w:sz w:val="30"/>
          <w:szCs w:val="30"/>
          <w:highlight w:val="none"/>
        </w:rPr>
      </w:pPr>
    </w:p>
    <w:p w14:paraId="2DFC3D51">
      <w:pPr>
        <w:jc w:val="center"/>
        <w:rPr>
          <w:rFonts w:hAnsi="宋体" w:cs="宋体"/>
          <w:sz w:val="30"/>
          <w:szCs w:val="30"/>
          <w:highlight w:val="none"/>
        </w:rPr>
      </w:pPr>
    </w:p>
    <w:p w14:paraId="55E685DF">
      <w:pPr>
        <w:jc w:val="center"/>
        <w:rPr>
          <w:rFonts w:hAnsi="宋体" w:cs="宋体"/>
          <w:sz w:val="30"/>
          <w:szCs w:val="30"/>
          <w:highlight w:val="none"/>
        </w:rPr>
      </w:pPr>
    </w:p>
    <w:p w14:paraId="6B460E2A">
      <w:pPr>
        <w:ind w:firstLine="2080" w:firstLineChars="650"/>
        <w:rPr>
          <w:rFonts w:hAnsi="宋体" w:cs="宋体"/>
          <w:sz w:val="32"/>
          <w:szCs w:val="32"/>
          <w:highlight w:val="none"/>
        </w:rPr>
      </w:pPr>
      <w:r>
        <w:rPr>
          <w:rFonts w:hint="eastAsia" w:hAnsi="宋体" w:cs="宋体"/>
          <w:sz w:val="32"/>
          <w:szCs w:val="32"/>
          <w:highlight w:val="none"/>
        </w:rPr>
        <w:t xml:space="preserve">甲  方： </w:t>
      </w:r>
    </w:p>
    <w:p w14:paraId="08D53D6B">
      <w:pPr>
        <w:tabs>
          <w:tab w:val="left" w:pos="480"/>
        </w:tabs>
        <w:ind w:firstLine="640" w:firstLineChars="200"/>
        <w:rPr>
          <w:rFonts w:hAnsi="宋体" w:cs="宋体"/>
          <w:sz w:val="32"/>
          <w:szCs w:val="32"/>
          <w:highlight w:val="none"/>
        </w:rPr>
      </w:pPr>
      <w:r>
        <w:rPr>
          <w:rFonts w:hint="eastAsia" w:hAnsi="宋体" w:cs="宋体"/>
          <w:sz w:val="32"/>
          <w:szCs w:val="32"/>
          <w:highlight w:val="none"/>
        </w:rPr>
        <w:t xml:space="preserve">         乙  方：</w:t>
      </w:r>
    </w:p>
    <w:p w14:paraId="0403B7EC">
      <w:pPr>
        <w:jc w:val="center"/>
        <w:rPr>
          <w:rFonts w:hAnsi="宋体" w:cs="宋体"/>
          <w:sz w:val="30"/>
          <w:szCs w:val="30"/>
          <w:highlight w:val="none"/>
        </w:rPr>
      </w:pPr>
    </w:p>
    <w:p w14:paraId="7BF0B433">
      <w:pPr>
        <w:jc w:val="center"/>
        <w:rPr>
          <w:rFonts w:hAnsi="宋体" w:cs="宋体"/>
          <w:sz w:val="32"/>
          <w:szCs w:val="32"/>
          <w:highlight w:val="none"/>
        </w:rPr>
      </w:pPr>
      <w:r>
        <w:rPr>
          <w:rFonts w:hint="eastAsia" w:hAnsi="宋体" w:cs="宋体"/>
          <w:sz w:val="32"/>
          <w:szCs w:val="32"/>
          <w:highlight w:val="none"/>
        </w:rPr>
        <w:t xml:space="preserve">  年  月</w:t>
      </w:r>
    </w:p>
    <w:p w14:paraId="78E40874">
      <w:pPr>
        <w:jc w:val="center"/>
        <w:rPr>
          <w:rFonts w:hAnsi="宋体" w:cs="宋体"/>
          <w:sz w:val="32"/>
          <w:szCs w:val="32"/>
          <w:highlight w:val="none"/>
        </w:rPr>
      </w:pPr>
    </w:p>
    <w:p w14:paraId="37B45A5C">
      <w:pPr>
        <w:spacing w:line="590" w:lineRule="exact"/>
        <w:rPr>
          <w:rFonts w:hAnsi="宋体" w:cs="宋体"/>
          <w:b/>
          <w:sz w:val="36"/>
          <w:szCs w:val="36"/>
          <w:highlight w:val="none"/>
        </w:rPr>
      </w:pPr>
    </w:p>
    <w:p w14:paraId="11316773">
      <w:pPr>
        <w:jc w:val="center"/>
        <w:outlineLvl w:val="2"/>
        <w:rPr>
          <w:rFonts w:ascii="黑体"/>
          <w:b/>
          <w:sz w:val="36"/>
          <w:szCs w:val="36"/>
          <w:highlight w:val="none"/>
        </w:rPr>
      </w:pPr>
      <w:r>
        <w:rPr>
          <w:rFonts w:hint="eastAsia" w:hAnsi="宋体" w:cs="宋体"/>
          <w:b/>
          <w:szCs w:val="21"/>
          <w:highlight w:val="none"/>
        </w:rPr>
        <w:br w:type="page"/>
      </w:r>
      <w:bookmarkStart w:id="100" w:name="_Toc28398"/>
      <w:bookmarkStart w:id="101" w:name="_Toc7965"/>
      <w:r>
        <w:rPr>
          <w:rFonts w:hint="eastAsia" w:ascii="黑体" w:eastAsia="黑体"/>
          <w:b/>
          <w:sz w:val="36"/>
          <w:szCs w:val="36"/>
          <w:highlight w:val="none"/>
        </w:rPr>
        <w:t>协 议 书</w:t>
      </w:r>
      <w:bookmarkEnd w:id="100"/>
      <w:bookmarkEnd w:id="101"/>
    </w:p>
    <w:p w14:paraId="529BBDDC">
      <w:pPr>
        <w:spacing w:line="360" w:lineRule="auto"/>
        <w:ind w:firstLine="480" w:firstLineChars="200"/>
        <w:rPr>
          <w:rFonts w:hint="eastAsia" w:ascii="宋体" w:hAnsi="宋体" w:eastAsia="宋体" w:cs="宋体"/>
          <w:bCs/>
          <w:color w:val="auto"/>
          <w:sz w:val="24"/>
          <w:szCs w:val="24"/>
          <w:highlight w:val="none"/>
          <w:lang w:val="en-US" w:eastAsia="zh-CN"/>
        </w:rPr>
      </w:pPr>
      <w:bookmarkStart w:id="102" w:name="_Toc1119"/>
      <w:bookmarkStart w:id="103" w:name="_Toc24914"/>
      <w:bookmarkStart w:id="104" w:name="_Toc4254"/>
      <w:r>
        <w:rPr>
          <w:rFonts w:hint="eastAsia" w:ascii="宋体" w:hAnsi="宋体" w:eastAsia="宋体" w:cs="宋体"/>
          <w:bCs/>
          <w:color w:val="auto"/>
          <w:sz w:val="24"/>
          <w:szCs w:val="24"/>
          <w:highlight w:val="none"/>
        </w:rPr>
        <w:t>采购人（以下简称甲方）：</w:t>
      </w:r>
    </w:p>
    <w:p w14:paraId="177635A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供</w:t>
      </w:r>
      <w:r>
        <w:rPr>
          <w:rFonts w:hint="eastAsia" w:ascii="宋体" w:hAnsi="宋体" w:eastAsia="宋体" w:cs="宋体"/>
          <w:bCs/>
          <w:color w:val="auto"/>
          <w:sz w:val="24"/>
          <w:szCs w:val="24"/>
          <w:highlight w:val="none"/>
        </w:rPr>
        <w:t>应商（以下简称乙方）：</w:t>
      </w:r>
    </w:p>
    <w:p w14:paraId="62AC6E6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根据《中华人民共和国</w:t>
      </w:r>
      <w:r>
        <w:rPr>
          <w:rFonts w:hint="eastAsia" w:ascii="宋体" w:hAnsi="宋体" w:eastAsia="宋体" w:cs="宋体"/>
          <w:bCs/>
          <w:color w:val="auto"/>
          <w:sz w:val="24"/>
          <w:szCs w:val="24"/>
          <w:highlight w:val="none"/>
          <w:lang w:eastAsia="zh-CN"/>
        </w:rPr>
        <w:t>民法典</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《中华人民共和国政府采购法》和《中华人民共和国建筑法》及其它有关法律、行政法规，为明确双方在施工过程中的权利、义务，经双方协商自愿签订本合同。</w:t>
      </w:r>
    </w:p>
    <w:p w14:paraId="1A3146C3">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工程项目</w:t>
      </w:r>
    </w:p>
    <w:p w14:paraId="70CC8F35">
      <w:pPr>
        <w:spacing w:line="360" w:lineRule="auto"/>
        <w:ind w:firstLine="480" w:firstLineChars="200"/>
        <w:rPr>
          <w:rFonts w:hint="eastAsia" w:cs="宋体"/>
          <w:i w:val="0"/>
          <w:iCs w:val="0"/>
          <w:caps w:val="0"/>
          <w:color w:val="auto"/>
          <w:spacing w:val="0"/>
          <w:sz w:val="24"/>
          <w:szCs w:val="24"/>
          <w:highlight w:val="none"/>
          <w:shd w:val="clear" w:fill="FFFFFF"/>
          <w:lang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、项目名称：</w:t>
      </w:r>
      <w:r>
        <w:rPr>
          <w:rFonts w:hint="eastAsia" w:cs="宋体"/>
          <w:i w:val="0"/>
          <w:iCs w:val="0"/>
          <w:caps w:val="0"/>
          <w:color w:val="auto"/>
          <w:spacing w:val="0"/>
          <w:sz w:val="24"/>
          <w:szCs w:val="24"/>
          <w:highlight w:val="none"/>
          <w:shd w:val="clear" w:fill="FFFFFF"/>
          <w:lang w:eastAsia="zh-CN"/>
        </w:rPr>
        <w:t>Y304王阎镇大坪至延坪镇白龙公路靳家河段380米道路改造项目</w:t>
      </w:r>
    </w:p>
    <w:p w14:paraId="45F9177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、工程地点：</w:t>
      </w:r>
      <w:r>
        <w:rPr>
          <w:rFonts w:hint="eastAsia" w:ascii="宋体" w:hAnsi="宋体" w:eastAsia="宋体" w:cs="宋体"/>
          <w:bCs/>
          <w:color w:val="auto"/>
          <w:sz w:val="24"/>
          <w:szCs w:val="24"/>
          <w:highlight w:val="none"/>
          <w:lang w:eastAsia="zh-CN"/>
        </w:rPr>
        <w:t>甲方</w:t>
      </w:r>
      <w:r>
        <w:rPr>
          <w:rFonts w:hint="eastAsia" w:ascii="宋体" w:hAnsi="宋体" w:eastAsia="宋体" w:cs="宋体"/>
          <w:bCs/>
          <w:color w:val="auto"/>
          <w:sz w:val="24"/>
          <w:szCs w:val="24"/>
          <w:highlight w:val="none"/>
        </w:rPr>
        <w:t>指定地点</w:t>
      </w:r>
    </w:p>
    <w:p w14:paraId="0F8BC945">
      <w:pPr>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、工程内容：</w:t>
      </w:r>
      <w:r>
        <w:rPr>
          <w:rFonts w:hint="eastAsia" w:ascii="宋体" w:hAnsi="宋体" w:eastAsia="宋体" w:cs="宋体"/>
          <w:b w:val="0"/>
          <w:bCs/>
          <w:color w:val="000000"/>
          <w:sz w:val="24"/>
          <w:szCs w:val="24"/>
          <w:highlight w:val="none"/>
          <w:lang w:eastAsia="zh-CN"/>
        </w:rPr>
        <w:t>详见工程量清单</w:t>
      </w:r>
      <w:r>
        <w:rPr>
          <w:rFonts w:hint="eastAsia" w:ascii="宋体" w:hAnsi="宋体" w:eastAsia="宋体" w:cs="宋体"/>
          <w:b w:val="0"/>
          <w:bCs w:val="0"/>
          <w:color w:val="auto"/>
          <w:sz w:val="24"/>
          <w:szCs w:val="24"/>
          <w:highlight w:val="none"/>
          <w:lang w:val="en-US" w:eastAsia="zh-CN"/>
        </w:rPr>
        <w:t>。</w:t>
      </w:r>
    </w:p>
    <w:p w14:paraId="3AA28756">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施工依据</w:t>
      </w:r>
    </w:p>
    <w:p w14:paraId="4CADFDE0">
      <w:pPr>
        <w:pStyle w:val="19"/>
        <w:widowControl/>
        <w:shd w:val="clear" w:color="auto" w:fill="FFFFFF"/>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、施工合同；</w:t>
      </w:r>
    </w:p>
    <w:p w14:paraId="21CA7E4B">
      <w:pPr>
        <w:pStyle w:val="19"/>
        <w:widowControl/>
        <w:shd w:val="clear" w:color="auto" w:fill="FFFFFF"/>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eastAsia="zh-CN"/>
        </w:rPr>
        <w:t>成交</w:t>
      </w:r>
      <w:r>
        <w:rPr>
          <w:rFonts w:hint="eastAsia" w:ascii="宋体" w:hAnsi="宋体" w:eastAsia="宋体" w:cs="宋体"/>
          <w:color w:val="auto"/>
          <w:sz w:val="24"/>
          <w:szCs w:val="24"/>
          <w:highlight w:val="none"/>
          <w:shd w:val="clear" w:color="auto" w:fill="FFFFFF"/>
        </w:rPr>
        <w:t>通知书；</w:t>
      </w:r>
    </w:p>
    <w:p w14:paraId="20DFDF04">
      <w:pPr>
        <w:pStyle w:val="19"/>
        <w:widowControl/>
        <w:shd w:val="clear" w:color="auto" w:fill="FFFFFF"/>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eastAsia="zh-CN"/>
        </w:rPr>
        <w:t>响应</w:t>
      </w:r>
      <w:r>
        <w:rPr>
          <w:rFonts w:hint="eastAsia" w:ascii="宋体" w:hAnsi="宋体" w:eastAsia="宋体" w:cs="宋体"/>
          <w:color w:val="auto"/>
          <w:sz w:val="24"/>
          <w:szCs w:val="24"/>
          <w:highlight w:val="none"/>
          <w:shd w:val="clear" w:color="auto" w:fill="FFFFFF"/>
        </w:rPr>
        <w:t>文件及其附件；</w:t>
      </w:r>
    </w:p>
    <w:p w14:paraId="6C592E91">
      <w:pPr>
        <w:pStyle w:val="19"/>
        <w:widowControl/>
        <w:shd w:val="clear" w:color="auto" w:fill="FFFFFF"/>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rPr>
        <w:t>、标准、规范及有关技术文件；</w:t>
      </w:r>
    </w:p>
    <w:p w14:paraId="7EA582CE">
      <w:pPr>
        <w:pStyle w:val="19"/>
        <w:widowControl/>
        <w:shd w:val="clear" w:color="auto" w:fill="FFFFFF"/>
        <w:wordWrap w:val="0"/>
        <w:spacing w:line="360" w:lineRule="auto"/>
        <w:ind w:firstLine="480" w:firstLineChars="200"/>
        <w:jc w:val="left"/>
        <w:rPr>
          <w:rFonts w:hint="eastAsia" w:ascii="宋体" w:hAnsi="宋体" w:eastAsia="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rPr>
        <w:t>、工程</w:t>
      </w:r>
      <w:r>
        <w:rPr>
          <w:rFonts w:hint="eastAsia" w:ascii="宋体" w:hAnsi="宋体" w:eastAsia="宋体" w:cs="宋体"/>
          <w:color w:val="000000"/>
          <w:sz w:val="24"/>
          <w:szCs w:val="24"/>
          <w:highlight w:val="none"/>
          <w:shd w:val="clear" w:color="auto" w:fill="FFFFFF"/>
          <w:lang w:eastAsia="zh-CN"/>
        </w:rPr>
        <w:t>量清单；</w:t>
      </w:r>
    </w:p>
    <w:p w14:paraId="3816B99F">
      <w:pPr>
        <w:pStyle w:val="19"/>
        <w:widowControl/>
        <w:shd w:val="clear" w:color="auto" w:fill="FFFFFF"/>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工程</w:t>
      </w:r>
      <w:r>
        <w:rPr>
          <w:rFonts w:hint="eastAsia" w:ascii="宋体" w:hAnsi="宋体" w:eastAsia="宋体" w:cs="宋体"/>
          <w:color w:val="auto"/>
          <w:sz w:val="24"/>
          <w:szCs w:val="24"/>
          <w:highlight w:val="none"/>
          <w:shd w:val="clear" w:color="auto" w:fill="FFFFFF"/>
          <w:lang w:eastAsia="zh-CN"/>
        </w:rPr>
        <w:t>量清单报价</w:t>
      </w:r>
      <w:r>
        <w:rPr>
          <w:rFonts w:hint="eastAsia" w:ascii="宋体" w:hAnsi="宋体" w:eastAsia="宋体" w:cs="宋体"/>
          <w:color w:val="auto"/>
          <w:sz w:val="24"/>
          <w:szCs w:val="24"/>
          <w:highlight w:val="none"/>
          <w:shd w:val="clear" w:color="auto" w:fill="FFFFFF"/>
        </w:rPr>
        <w:t>；</w:t>
      </w:r>
    </w:p>
    <w:p w14:paraId="7C607B70">
      <w:pPr>
        <w:pStyle w:val="19"/>
        <w:widowControl/>
        <w:shd w:val="clear" w:color="auto" w:fill="FFFFFF"/>
        <w:wordWrap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、双方有关工程的洽商、变更等书面协议或文件视为施工合同的组成部分。</w:t>
      </w:r>
    </w:p>
    <w:p w14:paraId="40824854">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工程实施期限</w:t>
      </w:r>
    </w:p>
    <w:p w14:paraId="4DBC8FC2">
      <w:pPr>
        <w:keepNext w:val="0"/>
        <w:keepLines w:val="0"/>
        <w:pageBreakBefore w:val="0"/>
        <w:numPr>
          <w:ilvl w:val="0"/>
          <w:numId w:val="0"/>
        </w:numPr>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b w:val="0"/>
          <w:bCs w:val="0"/>
          <w:color w:val="auto"/>
          <w:sz w:val="24"/>
          <w:szCs w:val="24"/>
          <w:highlight w:val="none"/>
          <w:u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lang w:eastAsia="zh-CN"/>
        </w:rPr>
        <w:t>、工期：</w:t>
      </w:r>
      <w:r>
        <w:rPr>
          <w:rFonts w:hint="eastAsia" w:ascii="宋体" w:hAnsi="宋体" w:eastAsia="宋体" w:cs="宋体"/>
          <w:sz w:val="24"/>
          <w:szCs w:val="24"/>
          <w:highlight w:val="none"/>
          <w:lang w:eastAsia="zh-CN"/>
        </w:rPr>
        <w:t>自合同签订之日起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个日历日内竣工</w:t>
      </w:r>
      <w:r>
        <w:rPr>
          <w:rFonts w:hint="eastAsia" w:ascii="宋体" w:hAnsi="宋体" w:eastAsia="宋体" w:cs="宋体"/>
          <w:b w:val="0"/>
          <w:bCs w:val="0"/>
          <w:color w:val="auto"/>
          <w:sz w:val="24"/>
          <w:szCs w:val="24"/>
          <w:highlight w:val="none"/>
          <w:u w:val="none"/>
          <w:shd w:val="clear" w:color="auto" w:fill="FFFFFF"/>
          <w:lang w:val="en-US" w:eastAsia="zh-CN"/>
        </w:rPr>
        <w:t>；</w:t>
      </w:r>
    </w:p>
    <w:p w14:paraId="024A36AA">
      <w:pPr>
        <w:keepNext w:val="0"/>
        <w:keepLines w:val="0"/>
        <w:pageBreakBefore w:val="0"/>
        <w:numPr>
          <w:ilvl w:val="0"/>
          <w:numId w:val="0"/>
        </w:numPr>
        <w:kinsoku/>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lang w:val="en-US" w:eastAsia="zh-CN"/>
        </w:rPr>
        <w:t>乙方按照甲方通知三日内进场，在双方商定的有效时间内完成工程范围内全部拆除和清运工作，若遇不可抗拒因素，工期顺延。</w:t>
      </w:r>
    </w:p>
    <w:p w14:paraId="05D9F83C">
      <w:pPr>
        <w:pStyle w:val="19"/>
        <w:widowControl/>
        <w:shd w:val="clear" w:color="auto" w:fill="FFFFFF"/>
        <w:wordWrap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如遇下列情况，经甲方现场代表签证后，工期可相应顺延（顺延工期应由甲、乙双方共同签字确认）</w:t>
      </w:r>
    </w:p>
    <w:p w14:paraId="1AB2527B">
      <w:pPr>
        <w:pStyle w:val="19"/>
        <w:widowControl/>
        <w:shd w:val="clear" w:color="auto" w:fill="FFFFFF"/>
        <w:wordWrap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、在施工中如因停电、停水</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小时以上或连续间歇性停水、停电３天以上（每次连续４小时以上），影响正常施工；停水停电2天以上；</w:t>
      </w:r>
    </w:p>
    <w:p w14:paraId="6F86F9A8">
      <w:pPr>
        <w:pStyle w:val="19"/>
        <w:widowControl/>
        <w:shd w:val="clear" w:color="auto" w:fill="FFFFFF"/>
        <w:wordWrap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2.2、遇阴雨天及不可抗力因素以及非乙方施工因素影响；</w:t>
      </w:r>
    </w:p>
    <w:p w14:paraId="7934DEF9">
      <w:pPr>
        <w:pStyle w:val="19"/>
        <w:widowControl/>
        <w:shd w:val="clear" w:color="auto" w:fill="FFFFFF"/>
        <w:wordWrap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2.3、因防污治霾工作需要停工的。</w:t>
      </w:r>
    </w:p>
    <w:p w14:paraId="5598BCA2">
      <w:pPr>
        <w:pStyle w:val="19"/>
        <w:widowControl/>
        <w:shd w:val="clear" w:color="auto" w:fill="FFFFFF"/>
        <w:wordWrap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2.4、因春节假期停工的。</w:t>
      </w:r>
    </w:p>
    <w:p w14:paraId="06D6E9B1">
      <w:pPr>
        <w:pStyle w:val="19"/>
        <w:widowControl/>
        <w:shd w:val="clear" w:color="auto" w:fill="FFFFFF"/>
        <w:wordWrap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2.5、</w:t>
      </w:r>
      <w:r>
        <w:rPr>
          <w:rFonts w:hint="eastAsia" w:ascii="宋体" w:hAnsi="宋体" w:eastAsia="宋体" w:cs="宋体"/>
          <w:bCs/>
          <w:color w:val="auto"/>
          <w:sz w:val="24"/>
          <w:szCs w:val="24"/>
          <w:highlight w:val="none"/>
        </w:rPr>
        <w:t>因人力不可抗拒的其他因素而延误工期。</w:t>
      </w:r>
    </w:p>
    <w:p w14:paraId="7367D477">
      <w:pPr>
        <w:pStyle w:val="19"/>
        <w:widowControl/>
        <w:shd w:val="clear" w:color="auto" w:fill="FFFFFF"/>
        <w:wordWrap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2.6</w:t>
      </w:r>
      <w:r>
        <w:rPr>
          <w:rFonts w:hint="eastAsia" w:ascii="宋体" w:hAnsi="宋体" w:eastAsia="宋体" w:cs="宋体"/>
          <w:bCs/>
          <w:color w:val="auto"/>
          <w:sz w:val="24"/>
          <w:szCs w:val="24"/>
          <w:highlight w:val="none"/>
        </w:rPr>
        <w:t>、因乙方原因造成施工延迟的，不得请求顺延工期。</w:t>
      </w:r>
    </w:p>
    <w:p w14:paraId="16DBF694">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第四条  </w:t>
      </w:r>
      <w:r>
        <w:rPr>
          <w:rFonts w:hint="eastAsia" w:ascii="宋体" w:hAnsi="宋体" w:eastAsia="宋体" w:cs="宋体"/>
          <w:b/>
          <w:color w:val="auto"/>
          <w:sz w:val="24"/>
          <w:szCs w:val="24"/>
          <w:highlight w:val="none"/>
          <w:lang w:eastAsia="zh-CN"/>
        </w:rPr>
        <w:t>合同价款</w:t>
      </w:r>
      <w:r>
        <w:rPr>
          <w:rFonts w:hint="eastAsia" w:ascii="宋体" w:hAnsi="宋体" w:eastAsia="宋体" w:cs="宋体"/>
          <w:b/>
          <w:color w:val="auto"/>
          <w:sz w:val="24"/>
          <w:szCs w:val="24"/>
          <w:highlight w:val="none"/>
        </w:rPr>
        <w:t>、结算及付款方式</w:t>
      </w:r>
    </w:p>
    <w:p w14:paraId="4FCE2B71">
      <w:pPr>
        <w:pStyle w:val="6"/>
        <w:keepNext w:val="0"/>
        <w:keepLines w:val="0"/>
        <w:pageBreakBefore w:val="0"/>
        <w:widowControl w:val="0"/>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1、合同</w:t>
      </w:r>
      <w:r>
        <w:rPr>
          <w:rFonts w:hint="eastAsia" w:ascii="宋体" w:hAnsi="宋体" w:eastAsia="宋体" w:cs="宋体"/>
          <w:bCs/>
          <w:color w:val="auto"/>
          <w:sz w:val="24"/>
          <w:szCs w:val="24"/>
          <w:highlight w:val="none"/>
          <w:lang w:eastAsia="zh-CN"/>
        </w:rPr>
        <w:t>价款</w:t>
      </w:r>
      <w:r>
        <w:rPr>
          <w:rFonts w:hint="eastAsia" w:ascii="宋体" w:hAnsi="宋体" w:eastAsia="宋体" w:cs="宋体"/>
          <w:bCs/>
          <w:color w:val="auto"/>
          <w:sz w:val="24"/>
          <w:szCs w:val="24"/>
          <w:highlight w:val="none"/>
        </w:rPr>
        <w:t>：大写（人民币）________元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（小写）</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bCs/>
          <w:color w:val="auto"/>
          <w:sz w:val="24"/>
          <w:szCs w:val="24"/>
          <w:highlight w:val="none"/>
        </w:rPr>
        <w:t>元</w:t>
      </w:r>
    </w:p>
    <w:p w14:paraId="522082C3">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rPr>
        <w:t>2、付款方式：</w:t>
      </w:r>
      <w:r>
        <w:rPr>
          <w:rFonts w:hint="eastAsia" w:ascii="宋体" w:hAnsi="宋体" w:eastAsia="宋体" w:cs="宋体"/>
          <w:color w:val="auto"/>
          <w:kern w:val="0"/>
          <w:sz w:val="24"/>
          <w:szCs w:val="24"/>
          <w:highlight w:val="none"/>
          <w:u w:val="single"/>
          <w:lang w:val="en-US" w:eastAsia="zh-CN"/>
        </w:rPr>
        <w:t xml:space="preserve">                                         </w:t>
      </w:r>
    </w:p>
    <w:p w14:paraId="4C8C2590">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3、付款依据：</w:t>
      </w:r>
      <w:r>
        <w:rPr>
          <w:rFonts w:hint="eastAsia" w:ascii="宋体" w:hAnsi="宋体" w:eastAsia="宋体" w:cs="宋体"/>
          <w:color w:val="auto"/>
          <w:kern w:val="2"/>
          <w:sz w:val="24"/>
          <w:szCs w:val="24"/>
          <w:highlight w:val="none"/>
          <w:lang w:val="en-US" w:eastAsia="zh-CN" w:bidi="ar-SA"/>
        </w:rPr>
        <w:t>甲方出具的验收报告、乙方提供的等额发票。</w:t>
      </w:r>
    </w:p>
    <w:p w14:paraId="568E876F">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4、竣工结算审计费用由双方共同承担，发包人承担基本审计费，承包人承担审计成果费用，由发包人在支付竣工结算工程款中代扣。审计成果费的计取费率以结算时甲方与造价咨询机构签订的合同为准。</w:t>
      </w:r>
    </w:p>
    <w:p w14:paraId="77933E4A">
      <w:pPr>
        <w:numPr>
          <w:ilvl w:val="0"/>
          <w:numId w:val="0"/>
        </w:numPr>
        <w:adjustRightInd w:val="0"/>
        <w:snapToGrid w:val="0"/>
        <w:spacing w:line="50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5、合同范围外变更价款调整方式：</w:t>
      </w:r>
    </w:p>
    <w:p w14:paraId="2867FFCE">
      <w:pPr>
        <w:numPr>
          <w:ilvl w:val="0"/>
          <w:numId w:val="0"/>
        </w:numPr>
        <w:adjustRightInd w:val="0"/>
        <w:snapToGrid w:val="0"/>
        <w:spacing w:line="50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因非乙方原因的工程变更签证，造成增加新的工程量清单项目，其对应的综合单价按下列方法确定。</w:t>
      </w:r>
    </w:p>
    <w:p w14:paraId="7C32F350">
      <w:pPr>
        <w:numPr>
          <w:ilvl w:val="0"/>
          <w:numId w:val="0"/>
        </w:numPr>
        <w:adjustRightInd w:val="0"/>
        <w:snapToGrid w:val="0"/>
        <w:spacing w:line="50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1）合同中已有适用的综合单价，按合同中已有的综合单价确定；</w:t>
      </w:r>
    </w:p>
    <w:p w14:paraId="4B5C8F73">
      <w:pPr>
        <w:numPr>
          <w:ilvl w:val="0"/>
          <w:numId w:val="0"/>
        </w:numPr>
        <w:adjustRightInd w:val="0"/>
        <w:snapToGrid w:val="0"/>
        <w:spacing w:line="500" w:lineRule="atLeas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2）合同中有类似的综合单价，参照类似的综合单价确定；</w:t>
      </w:r>
    </w:p>
    <w:p w14:paraId="307AC7FB">
      <w:pPr>
        <w:pStyle w:val="6"/>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3）合同中没有适用或类似的综合单价，由乙方提出综合单价，甲方确认。</w:t>
      </w:r>
    </w:p>
    <w:p w14:paraId="09F931E9">
      <w:pPr>
        <w:spacing w:line="46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五</w:t>
      </w:r>
      <w:r>
        <w:rPr>
          <w:rFonts w:hint="eastAsia" w:ascii="宋体" w:hAnsi="宋体" w:eastAsia="宋体" w:cs="宋体"/>
          <w:b/>
          <w:bCs/>
          <w:color w:val="auto"/>
          <w:kern w:val="0"/>
          <w:sz w:val="24"/>
          <w:szCs w:val="24"/>
          <w:highlight w:val="none"/>
        </w:rPr>
        <w:t>条  建筑材料、设备的供应和采购</w:t>
      </w:r>
    </w:p>
    <w:p w14:paraId="22AC2725">
      <w:pPr>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一、工程材料、设备由乙方采购。</w:t>
      </w:r>
    </w:p>
    <w:p w14:paraId="6A785205">
      <w:pPr>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14:paraId="2F1A9103">
      <w:pPr>
        <w:pStyle w:val="9"/>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360" w:firstLineChars="150"/>
        <w:jc w:val="both"/>
        <w:textAlignment w:val="auto"/>
        <w:outlineLvl w:val="9"/>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t>三、本项目选用的主要工程材料、设备及重要部位的装饰材料，乙方须报送甲方进行审核，甲方对选用的材料设备有认质和选用的决定权。</w:t>
      </w:r>
    </w:p>
    <w:p w14:paraId="1CC3EE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eastAsia="zh-CN"/>
        </w:rPr>
        <w:t>六</w:t>
      </w:r>
      <w:r>
        <w:rPr>
          <w:rFonts w:hint="eastAsia" w:ascii="宋体" w:hAnsi="宋体" w:eastAsia="宋体" w:cs="宋体"/>
          <w:b/>
          <w:color w:val="000000"/>
          <w:sz w:val="24"/>
          <w:szCs w:val="24"/>
          <w:highlight w:val="none"/>
        </w:rPr>
        <w:t xml:space="preserve">条  </w:t>
      </w:r>
      <w:r>
        <w:rPr>
          <w:rFonts w:hint="eastAsia" w:ascii="宋体" w:hAnsi="宋体" w:eastAsia="宋体" w:cs="宋体"/>
          <w:b/>
          <w:color w:val="000000"/>
          <w:sz w:val="24"/>
          <w:szCs w:val="24"/>
          <w:highlight w:val="none"/>
          <w:lang w:eastAsia="zh-CN"/>
        </w:rPr>
        <w:t>本项目拟派主要人员</w:t>
      </w:r>
    </w:p>
    <w:p w14:paraId="3F501D7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拟派</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为项目经理，联系电话：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，身份证号：</w:t>
      </w:r>
      <w:r>
        <w:rPr>
          <w:rFonts w:hint="eastAsia" w:ascii="宋体" w:hAnsi="宋体" w:eastAsia="宋体" w:cs="宋体"/>
          <w:bCs/>
          <w:color w:val="auto"/>
          <w:sz w:val="24"/>
          <w:szCs w:val="24"/>
          <w:highlight w:val="none"/>
          <w:u w:val="single"/>
        </w:rPr>
        <w:t xml:space="preserve">            ；</w:t>
      </w:r>
    </w:p>
    <w:p w14:paraId="4900D6F9">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拟派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为技术负责人，联系电话：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，身份证号：</w:t>
      </w:r>
      <w:r>
        <w:rPr>
          <w:rFonts w:hint="eastAsia" w:ascii="宋体" w:hAnsi="宋体" w:eastAsia="宋体" w:cs="宋体"/>
          <w:bCs/>
          <w:color w:val="auto"/>
          <w:sz w:val="24"/>
          <w:szCs w:val="24"/>
          <w:highlight w:val="none"/>
          <w:u w:val="single"/>
        </w:rPr>
        <w:t xml:space="preserve">            。</w:t>
      </w:r>
    </w:p>
    <w:p w14:paraId="32B1DE9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条  工程质量管理及验收</w:t>
      </w:r>
    </w:p>
    <w:p w14:paraId="4968FD4D">
      <w:pPr>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zh-CN"/>
        </w:rPr>
        <w:t>、工程质量标准、规范</w:t>
      </w:r>
    </w:p>
    <w:p w14:paraId="1A91EF4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执行国家、省、市现行的相关规定及标准文件。</w:t>
      </w:r>
    </w:p>
    <w:p w14:paraId="5C168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3、工程验收标准：达到现行国家有关验收规范“合格”标准。</w:t>
      </w:r>
    </w:p>
    <w:p w14:paraId="07EA8FE6">
      <w:pPr>
        <w:spacing w:line="360" w:lineRule="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条  安全施工</w:t>
      </w:r>
    </w:p>
    <w:p w14:paraId="12BE9FA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乙方应遵守工程建设安全生产有关管理规定，严格按安全标准组织施工，采取必要的安全防护措施，消除事故隐患。由于乙方安全措施不力造成事故的责任和因此发生的费用，由乙方承担。</w:t>
      </w:r>
    </w:p>
    <w:p w14:paraId="1A1A8AAC">
      <w:pPr>
        <w:spacing w:line="46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九</w:t>
      </w:r>
      <w:r>
        <w:rPr>
          <w:rFonts w:hint="eastAsia" w:ascii="宋体" w:hAnsi="宋体" w:eastAsia="宋体" w:cs="宋体"/>
          <w:b/>
          <w:bCs/>
          <w:color w:val="auto"/>
          <w:kern w:val="0"/>
          <w:sz w:val="24"/>
          <w:szCs w:val="24"/>
          <w:highlight w:val="none"/>
        </w:rPr>
        <w:t>条  质量保修</w:t>
      </w:r>
    </w:p>
    <w:p w14:paraId="777C0B40">
      <w:pPr>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一、本工程质修期自工程竣工验收合格起算。</w:t>
      </w:r>
    </w:p>
    <w:p w14:paraId="38006E5D">
      <w:pPr>
        <w:spacing w:line="46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eastAsia="zh-CN"/>
        </w:rPr>
        <w:t>责任缺陷期</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eastAsia="zh-CN"/>
        </w:rPr>
        <w:t>。</w:t>
      </w:r>
    </w:p>
    <w:p w14:paraId="46B892EE">
      <w:pPr>
        <w:spacing w:line="46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在质保期内因天气原因、自身质量导致墙体倒塌、</w:t>
      </w:r>
      <w:r>
        <w:rPr>
          <w:rFonts w:hint="eastAsia" w:ascii="宋体" w:hAnsi="宋体" w:eastAsia="宋体" w:cs="宋体"/>
          <w:color w:val="auto"/>
          <w:sz w:val="24"/>
          <w:szCs w:val="24"/>
          <w:highlight w:val="none"/>
          <w:lang w:val="en-US" w:eastAsia="zh-CN"/>
        </w:rPr>
        <w:t>裂缝、倾斜及在质保期内因质量问题倒塌、伤人及伤物等问题由乙方负责修砌并承担相关责任及费用</w:t>
      </w:r>
      <w:r>
        <w:rPr>
          <w:rFonts w:hint="eastAsia" w:ascii="宋体" w:hAnsi="宋体" w:eastAsia="宋体" w:cs="宋体"/>
          <w:bCs/>
          <w:color w:val="auto"/>
          <w:sz w:val="24"/>
          <w:szCs w:val="24"/>
          <w:highlight w:val="none"/>
          <w:u w:val="none"/>
          <w:lang w:eastAsia="zh-CN"/>
        </w:rPr>
        <w:t>；</w:t>
      </w:r>
    </w:p>
    <w:p w14:paraId="383EBCCE">
      <w:pPr>
        <w:spacing w:line="4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在免费保修期内，乙方应保证通讯畅通，令甲方能够随时同乙方取得联系。乙方在接到甲方维修通知后24小时内到达现场并及时处理。如乙方更换保修人员或联系电话，应及时通知甲方。若因乙方通讯不畅或故意不接，拖延推诿，甲方将视为乙方放弃保修责任，有权自行解决，由乙方承担所有费用并加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%的劳务费。</w:t>
      </w:r>
    </w:p>
    <w:p w14:paraId="33B89A33">
      <w:pPr>
        <w:pStyle w:val="6"/>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乙方保修联系电话：            ；乙方保修联系人：           。</w:t>
      </w:r>
    </w:p>
    <w:p w14:paraId="4D645A4E">
      <w:pPr>
        <w:spacing w:line="360" w:lineRule="auto"/>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w:t>
      </w:r>
      <w:r>
        <w:rPr>
          <w:rFonts w:hint="eastAsia" w:ascii="宋体" w:hAnsi="宋体" w:eastAsia="宋体" w:cs="宋体"/>
          <w:b/>
          <w:bCs w:val="0"/>
          <w:color w:val="auto"/>
          <w:sz w:val="24"/>
          <w:szCs w:val="24"/>
          <w:highlight w:val="none"/>
          <w:lang w:eastAsia="zh-CN"/>
        </w:rPr>
        <w:t>十</w:t>
      </w:r>
      <w:r>
        <w:rPr>
          <w:rFonts w:hint="eastAsia" w:ascii="宋体" w:hAnsi="宋体" w:eastAsia="宋体" w:cs="宋体"/>
          <w:b/>
          <w:bCs w:val="0"/>
          <w:color w:val="auto"/>
          <w:sz w:val="24"/>
          <w:szCs w:val="24"/>
          <w:highlight w:val="none"/>
        </w:rPr>
        <w:t>条</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双方的权利和义务</w:t>
      </w:r>
    </w:p>
    <w:p w14:paraId="468EC37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1、甲方的权利与义务</w:t>
      </w:r>
    </w:p>
    <w:p w14:paraId="5BA3EB8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1）协助提供施工所需水、电、但具体费用由乙方承担；</w:t>
      </w:r>
    </w:p>
    <w:p w14:paraId="054DC49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）协调处理施工现场地下管线的改造，绿化挖移；</w:t>
      </w:r>
    </w:p>
    <w:p w14:paraId="44CBD0D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）协助切断水、电源、为乙方创造必要的施工条件；</w:t>
      </w:r>
    </w:p>
    <w:p w14:paraId="1899128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）按安全文明施工的规定，督促乙方落实安全施工、文明施工措施；</w:t>
      </w:r>
    </w:p>
    <w:p w14:paraId="1BE9DF9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val="en-US" w:eastAsia="zh-CN"/>
        </w:rPr>
        <w:t>装修</w:t>
      </w:r>
      <w:r>
        <w:rPr>
          <w:rFonts w:hint="eastAsia" w:ascii="宋体" w:hAnsi="宋体" w:eastAsia="宋体" w:cs="宋体"/>
          <w:color w:val="auto"/>
          <w:sz w:val="24"/>
          <w:szCs w:val="24"/>
          <w:highlight w:val="none"/>
          <w:lang w:val="en-US" w:eastAsia="zh-CN"/>
        </w:rPr>
        <w:t>及安装</w:t>
      </w:r>
      <w:r>
        <w:rPr>
          <w:rFonts w:hint="eastAsia" w:ascii="宋体" w:hAnsi="宋体" w:eastAsia="宋体" w:cs="宋体"/>
          <w:bCs/>
          <w:color w:val="auto"/>
          <w:sz w:val="24"/>
          <w:szCs w:val="24"/>
          <w:highlight w:val="none"/>
        </w:rPr>
        <w:t>工作提出指导性建议或意见促使施工顺利进行；</w:t>
      </w:r>
    </w:p>
    <w:p w14:paraId="6F5D6D8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）负责</w:t>
      </w:r>
      <w:r>
        <w:rPr>
          <w:rFonts w:hint="eastAsia" w:ascii="宋体" w:hAnsi="宋体" w:eastAsia="宋体" w:cs="宋体"/>
          <w:color w:val="auto"/>
          <w:sz w:val="24"/>
          <w:szCs w:val="24"/>
          <w:highlight w:val="none"/>
          <w:lang w:val="en-US" w:eastAsia="zh-CN"/>
        </w:rPr>
        <w:t>装修及安装</w:t>
      </w:r>
      <w:r>
        <w:rPr>
          <w:rFonts w:hint="eastAsia" w:ascii="宋体" w:hAnsi="宋体" w:eastAsia="宋体" w:cs="宋体"/>
          <w:bCs/>
          <w:color w:val="auto"/>
          <w:sz w:val="24"/>
          <w:szCs w:val="24"/>
          <w:highlight w:val="none"/>
        </w:rPr>
        <w:t>现场工作的监督、检查；</w:t>
      </w:r>
    </w:p>
    <w:p w14:paraId="1593251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）按约定支付工程款并索取相应的发票；</w:t>
      </w:r>
    </w:p>
    <w:p w14:paraId="3838A34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）根据工程范围内的具体要求，安排乙方完成与上述工作有关的临时性任务。</w:t>
      </w:r>
    </w:p>
    <w:p w14:paraId="403C726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2、乙方的权利与义务</w:t>
      </w:r>
    </w:p>
    <w:p w14:paraId="676712A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乙方应设置拆除</w:t>
      </w:r>
      <w:r>
        <w:rPr>
          <w:rFonts w:hint="eastAsia" w:ascii="宋体" w:hAnsi="宋体" w:eastAsia="宋体" w:cs="宋体"/>
          <w:bCs/>
          <w:color w:val="auto"/>
          <w:sz w:val="24"/>
          <w:szCs w:val="24"/>
          <w:highlight w:val="none"/>
        </w:rPr>
        <w:t>、垃圾清运过程中必要的办公场所，并保证所有参与上述工作的人员必须统一着装，配</w:t>
      </w:r>
      <w:r>
        <w:rPr>
          <w:rFonts w:hint="eastAsia" w:hAnsi="宋体" w:cs="宋体"/>
          <w:bCs/>
          <w:color w:val="auto"/>
          <w:sz w:val="24"/>
          <w:szCs w:val="24"/>
          <w:highlight w:val="none"/>
          <w:lang w:val="en-US" w:eastAsia="zh-CN"/>
        </w:rPr>
        <w:t>带</w:t>
      </w:r>
      <w:r>
        <w:rPr>
          <w:rFonts w:hint="eastAsia" w:ascii="宋体" w:hAnsi="宋体" w:eastAsia="宋体" w:cs="宋体"/>
          <w:bCs/>
          <w:color w:val="auto"/>
          <w:sz w:val="24"/>
          <w:szCs w:val="24"/>
          <w:highlight w:val="none"/>
        </w:rPr>
        <w:t>“工作人员”胸牌;</w:t>
      </w:r>
    </w:p>
    <w:p w14:paraId="68DB050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2）每日向甲方提供进度计划，统计报表和工程事故报告，遵守有关部门对施工场地、交通、噪音等的管理规定;</w:t>
      </w:r>
    </w:p>
    <w:p w14:paraId="4EE42F8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3）保证施工现场清洁，负责人行道路维护工作;</w:t>
      </w:r>
    </w:p>
    <w:p w14:paraId="0FE6AE6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）遵守安全防护和文明施工的规定，建立健全安全防护和文明施工的制度，设专职安全员，负责维护施工现场安全，做到安全文明施工</w:t>
      </w:r>
      <w:r>
        <w:rPr>
          <w:rFonts w:hint="eastAsia" w:ascii="宋体" w:hAnsi="宋体" w:eastAsia="宋体" w:cs="宋体"/>
          <w:bCs/>
          <w:color w:val="auto"/>
          <w:sz w:val="24"/>
          <w:szCs w:val="24"/>
          <w:highlight w:val="none"/>
          <w:lang w:eastAsia="zh-CN"/>
        </w:rPr>
        <w:t>，并</w:t>
      </w:r>
      <w:r>
        <w:rPr>
          <w:rFonts w:hint="eastAsia" w:ascii="宋体" w:hAnsi="宋体" w:eastAsia="宋体" w:cs="宋体"/>
          <w:b w:val="0"/>
          <w:bCs w:val="0"/>
          <w:color w:val="auto"/>
          <w:sz w:val="24"/>
          <w:szCs w:val="24"/>
          <w:highlight w:val="none"/>
          <w:lang w:val="en-US" w:eastAsia="zh-CN"/>
        </w:rPr>
        <w:t>为施工作业人员缴纳意外伤害保险，提供符合相关标准的劳动安全防护用品（具）</w:t>
      </w:r>
      <w:r>
        <w:rPr>
          <w:rFonts w:hint="eastAsia" w:ascii="宋体" w:hAnsi="宋体" w:eastAsia="宋体" w:cs="宋体"/>
          <w:bCs/>
          <w:color w:val="auto"/>
          <w:sz w:val="24"/>
          <w:szCs w:val="24"/>
          <w:highlight w:val="none"/>
        </w:rPr>
        <w:t>等;</w:t>
      </w:r>
    </w:p>
    <w:p w14:paraId="19016F6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）完善安全防护和文明施工条件，施工机械、设备须检验报告,严格按照安全防护和文明施工的规定组织施工，采取必要的安全防护措施，消除安全事故隐患;</w:t>
      </w:r>
    </w:p>
    <w:p w14:paraId="5A34DA0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）在</w:t>
      </w:r>
      <w:r>
        <w:rPr>
          <w:rFonts w:hint="eastAsia" w:ascii="宋体" w:hAnsi="宋体" w:eastAsia="宋体" w:cs="宋体"/>
          <w:bCs/>
          <w:color w:val="auto"/>
          <w:sz w:val="24"/>
          <w:szCs w:val="24"/>
          <w:highlight w:val="none"/>
          <w:lang w:val="en-US" w:eastAsia="zh-CN"/>
        </w:rPr>
        <w:t>装修及安装工作</w:t>
      </w:r>
      <w:r>
        <w:rPr>
          <w:rFonts w:hint="eastAsia" w:ascii="宋体" w:hAnsi="宋体" w:eastAsia="宋体" w:cs="宋体"/>
          <w:bCs/>
          <w:color w:val="auto"/>
          <w:sz w:val="24"/>
          <w:szCs w:val="24"/>
          <w:highlight w:val="none"/>
        </w:rPr>
        <w:t>实施期间，乙方应做好施工现场的安全警示标志、安全通道的合理布置、材料与设备的存放与保管、消防设施的安全有效、施工现场的照明与防护以及政府有关部门关于安全防护、文明施工规定的其他工作;</w:t>
      </w:r>
    </w:p>
    <w:p w14:paraId="34CCD8D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）按约定收取工程款并出具相应的发票;</w:t>
      </w:r>
    </w:p>
    <w:p w14:paraId="0C0A146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）施工过程中发生的各种不安全事故或人员伤亡，造成的责任、费用等由乙方完全承担;</w:t>
      </w:r>
    </w:p>
    <w:p w14:paraId="3B925C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9</w:t>
      </w:r>
      <w:r>
        <w:rPr>
          <w:rFonts w:hint="eastAsia" w:ascii="宋体" w:hAnsi="宋体" w:eastAsia="宋体" w:cs="宋体"/>
          <w:bCs/>
          <w:color w:val="auto"/>
          <w:sz w:val="24"/>
          <w:szCs w:val="24"/>
          <w:highlight w:val="none"/>
        </w:rPr>
        <w:t>）完成甲方交办的与工程范围内有关的其它临时性工作。</w:t>
      </w:r>
    </w:p>
    <w:p w14:paraId="2608AB53">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条 违约责任</w:t>
      </w:r>
    </w:p>
    <w:p w14:paraId="15ACA97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、甲方的违约责任：</w:t>
      </w:r>
    </w:p>
    <w:p w14:paraId="6D44ACD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未能按承包合同的约定履行自己应负的责任。除竣工日期得以顺延外，还应赔偿因此发生的实际损失；</w:t>
      </w:r>
    </w:p>
    <w:p w14:paraId="2F30BA5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、乙方的违约责任：</w:t>
      </w:r>
    </w:p>
    <w:p w14:paraId="3693822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1、乙方未能按时完成</w:t>
      </w:r>
      <w:r>
        <w:rPr>
          <w:rFonts w:hint="eastAsia" w:ascii="宋体" w:hAnsi="宋体" w:eastAsia="宋体" w:cs="宋体"/>
          <w:color w:val="000000"/>
          <w:sz w:val="24"/>
          <w:szCs w:val="24"/>
          <w:highlight w:val="none"/>
          <w:lang w:val="en-US" w:eastAsia="zh-CN"/>
        </w:rPr>
        <w:t>装修及安装</w:t>
      </w:r>
      <w:r>
        <w:rPr>
          <w:rFonts w:hint="eastAsia" w:ascii="宋体" w:hAnsi="宋体" w:eastAsia="宋体" w:cs="宋体"/>
          <w:bCs/>
          <w:color w:val="auto"/>
          <w:sz w:val="24"/>
          <w:szCs w:val="24"/>
          <w:highlight w:val="none"/>
        </w:rPr>
        <w:t>任务的，每延期一日应按</w:t>
      </w:r>
      <w:r>
        <w:rPr>
          <w:rFonts w:hint="eastAsia" w:ascii="宋体" w:hAnsi="宋体" w:eastAsia="宋体" w:cs="宋体"/>
          <w:bCs/>
          <w:color w:val="auto"/>
          <w:sz w:val="24"/>
          <w:szCs w:val="24"/>
          <w:highlight w:val="none"/>
          <w:lang w:eastAsia="zh-CN"/>
        </w:rPr>
        <w:t>合同暂定</w:t>
      </w:r>
      <w:r>
        <w:rPr>
          <w:rFonts w:hint="eastAsia" w:ascii="宋体" w:hAnsi="宋体" w:eastAsia="宋体" w:cs="宋体"/>
          <w:bCs/>
          <w:color w:val="auto"/>
          <w:sz w:val="24"/>
          <w:szCs w:val="24"/>
          <w:highlight w:val="none"/>
        </w:rPr>
        <w:t>总价款的</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％／天向甲方支付违约金（从工程款中直接扣除）；无故延期15日以上视为根本性违约，甲方有权解除本合同，乙方除应全额退还甲方已支付的工程款外，还应向甲方支付违约金。</w:t>
      </w:r>
    </w:p>
    <w:p w14:paraId="010BC96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工程出现质量问题视为乙方严重违约，视情节轻重乙方应按</w:t>
      </w:r>
      <w:r>
        <w:rPr>
          <w:rFonts w:hint="eastAsia" w:ascii="宋体" w:hAnsi="宋体" w:eastAsia="宋体" w:cs="宋体"/>
          <w:bCs/>
          <w:color w:val="auto"/>
          <w:sz w:val="24"/>
          <w:szCs w:val="24"/>
          <w:highlight w:val="none"/>
          <w:lang w:eastAsia="zh-CN"/>
        </w:rPr>
        <w:t>合同暂定</w:t>
      </w:r>
      <w:r>
        <w:rPr>
          <w:rFonts w:hint="eastAsia" w:ascii="宋体" w:hAnsi="宋体" w:eastAsia="宋体" w:cs="宋体"/>
          <w:bCs/>
          <w:color w:val="auto"/>
          <w:sz w:val="24"/>
          <w:szCs w:val="24"/>
          <w:highlight w:val="none"/>
        </w:rPr>
        <w:t>总价款的10%-30%向甲方支付违约金（可从工程款中直接扣除），此外应赔偿因此给甲方造成的损失。</w:t>
      </w:r>
    </w:p>
    <w:p w14:paraId="0B36FBF7">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、协议一方擅自解除或终止本合同的，违约方应按</w:t>
      </w:r>
      <w:r>
        <w:rPr>
          <w:rFonts w:hint="eastAsia" w:ascii="宋体" w:hAnsi="宋体" w:eastAsia="宋体" w:cs="宋体"/>
          <w:b/>
          <w:color w:val="auto"/>
          <w:sz w:val="24"/>
          <w:szCs w:val="24"/>
          <w:highlight w:val="none"/>
          <w:lang w:eastAsia="zh-CN"/>
        </w:rPr>
        <w:t>合同暂定</w:t>
      </w:r>
      <w:r>
        <w:rPr>
          <w:rFonts w:hint="eastAsia" w:ascii="宋体" w:hAnsi="宋体" w:eastAsia="宋体" w:cs="宋体"/>
          <w:b/>
          <w:color w:val="auto"/>
          <w:sz w:val="24"/>
          <w:szCs w:val="24"/>
          <w:highlight w:val="none"/>
        </w:rPr>
        <w:t>总价款的20%向守约方支付违约金。</w:t>
      </w:r>
    </w:p>
    <w:p w14:paraId="3767908D">
      <w:pPr>
        <w:pStyle w:val="40"/>
        <w:widowControl/>
        <w:spacing w:line="440" w:lineRule="exact"/>
        <w:ind w:firstLine="0" w:firstLineChars="0"/>
        <w:rPr>
          <w:rFonts w:hint="eastAsia" w:ascii="宋体" w:hAnsi="宋体" w:eastAsia="宋体" w:cs="宋体"/>
          <w:b/>
          <w:bCs/>
          <w:color w:val="000000"/>
          <w:sz w:val="24"/>
          <w:szCs w:val="24"/>
          <w:highlight w:val="none"/>
        </w:rPr>
      </w:pPr>
      <w:r>
        <w:rPr>
          <w:rFonts w:hint="eastAsia" w:ascii="宋体" w:hAnsi="宋体" w:eastAsia="宋体" w:cs="宋体"/>
          <w:b/>
          <w:bCs/>
          <w:sz w:val="24"/>
          <w:szCs w:val="24"/>
          <w:highlight w:val="none"/>
        </w:rPr>
        <w:t>第十</w:t>
      </w:r>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rPr>
        <w:t xml:space="preserve">条  </w:t>
      </w:r>
      <w:r>
        <w:rPr>
          <w:rFonts w:hint="eastAsia" w:ascii="宋体" w:hAnsi="宋体" w:eastAsia="宋体" w:cs="宋体"/>
          <w:b/>
          <w:bCs/>
          <w:color w:val="000000"/>
          <w:sz w:val="24"/>
          <w:szCs w:val="24"/>
          <w:highlight w:val="none"/>
        </w:rPr>
        <w:t>合同变更与终止</w:t>
      </w:r>
    </w:p>
    <w:p w14:paraId="1753C45B">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1、合同期间任何一方不得随意终止合同。</w:t>
      </w:r>
    </w:p>
    <w:p w14:paraId="110F6997">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2、本合同规定的履行期限届满，合同自动终止。</w:t>
      </w:r>
    </w:p>
    <w:p w14:paraId="5688A512">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3、因双方机构撤并、职能调整等原因，确需终止合同的，双方可协商终止合同。</w:t>
      </w:r>
    </w:p>
    <w:p w14:paraId="4CA58D33">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4、乙方应自觉遵守甲方工作纪律、规章制度，服从甲方管理。因乙方原因给甲方造成严重后果，甲方可以单方面解除合同。</w:t>
      </w:r>
    </w:p>
    <w:p w14:paraId="0409669B">
      <w:pPr>
        <w:widowControl/>
        <w:spacing w:line="360" w:lineRule="auto"/>
        <w:ind w:right="-226"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eastAsia="zh-CN"/>
        </w:rPr>
        <w:t>十</w:t>
      </w:r>
      <w:r>
        <w:rPr>
          <w:rFonts w:hint="eastAsia" w:ascii="宋体" w:hAnsi="宋体" w:eastAsia="宋体" w:cs="宋体"/>
          <w:b/>
          <w:color w:val="auto"/>
          <w:sz w:val="24"/>
          <w:szCs w:val="24"/>
          <w:highlight w:val="none"/>
          <w:lang w:eastAsia="zh-CN"/>
        </w:rPr>
        <w:t>三</w:t>
      </w:r>
      <w:r>
        <w:rPr>
          <w:rFonts w:hint="eastAsia" w:ascii="宋体" w:hAnsi="宋体" w:eastAsia="宋体" w:cs="宋体"/>
          <w:b/>
          <w:bCs/>
          <w:color w:val="auto"/>
          <w:kern w:val="0"/>
          <w:sz w:val="24"/>
          <w:szCs w:val="24"/>
          <w:highlight w:val="none"/>
        </w:rPr>
        <w:t xml:space="preserve">条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bCs/>
          <w:color w:val="auto"/>
          <w:kern w:val="0"/>
          <w:sz w:val="24"/>
          <w:szCs w:val="24"/>
          <w:highlight w:val="none"/>
        </w:rPr>
        <w:t>不可抗力</w:t>
      </w:r>
      <w:r>
        <w:rPr>
          <w:rFonts w:hint="eastAsia" w:ascii="宋体" w:hAnsi="宋体" w:eastAsia="宋体" w:cs="宋体"/>
          <w:b/>
          <w:bCs/>
          <w:color w:val="auto"/>
          <w:kern w:val="0"/>
          <w:sz w:val="24"/>
          <w:szCs w:val="24"/>
          <w:highlight w:val="none"/>
        </w:rPr>
        <w:fldChar w:fldCharType="end"/>
      </w:r>
    </w:p>
    <w:p w14:paraId="2164E8BD">
      <w:pPr>
        <w:widowControl/>
        <w:spacing w:line="360" w:lineRule="auto"/>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甲乙双方任何一方由于</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不可抗力</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原因不能履行合同时，应及时向对</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"http://set2.mail.qq.com/cgi-bin/mail_spam?action=check_link&amp;spam=0&amp;url=http%3A%2F%2Fwww%2Ebaidu%2Ecom%2Fs%3Fwd%3D%25E6%2596%25B9%25E9%2580%259A%26hl_tag%3Dtextlink%26tn%3DSE_hldp01350_v6v6zkg6"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方通</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报不能履行或不能完全履行的理由，以减轻可能给对方造成的损失，在取得有关机构证明后，允许延期履行、部分履行或不履行合同，并根据情况可部分或全部免予承担</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"http://set2.mail.qq.com/cgi-bin/mail_spam?action=check_link&amp;spam=0&amp;url=http%3A%2F%2Fwww%2Ebaidu%2Ecom%2Fs%3Fwd%3D%25E8%25BF%259D%25E7%25BA%25A6%25E8%25B4%25A3%25E4%25BB%25BB%26hl_tag%3Dtextlink%26tn%3DSE_hldp01350_v6v6zkg6"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违约责任</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14:paraId="548BB2F9">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条　纠纷解决办法</w:t>
      </w:r>
    </w:p>
    <w:p w14:paraId="47B425F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因本合同产生纠纷，如协商无法解决，双方均有权向甲方所在地人民法院提起诉讼。</w:t>
      </w:r>
    </w:p>
    <w:p w14:paraId="72DC8648">
      <w:pPr>
        <w:widowControl/>
        <w:spacing w:line="360" w:lineRule="auto"/>
        <w:ind w:right="-226" w:rightChars="-94"/>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第十</w:t>
      </w:r>
      <w:r>
        <w:rPr>
          <w:rFonts w:hint="eastAsia" w:ascii="宋体" w:hAnsi="宋体" w:eastAsia="宋体" w:cs="宋体"/>
          <w:b/>
          <w:bCs/>
          <w:color w:val="auto"/>
          <w:kern w:val="0"/>
          <w:sz w:val="24"/>
          <w:szCs w:val="24"/>
          <w:highlight w:val="none"/>
          <w:lang w:eastAsia="zh-CN"/>
        </w:rPr>
        <w:t>五</w:t>
      </w:r>
      <w:r>
        <w:rPr>
          <w:rFonts w:hint="eastAsia" w:ascii="宋体" w:hAnsi="宋体" w:eastAsia="宋体" w:cs="宋体"/>
          <w:b/>
          <w:bCs/>
          <w:color w:val="auto"/>
          <w:kern w:val="0"/>
          <w:sz w:val="24"/>
          <w:szCs w:val="24"/>
          <w:highlight w:val="none"/>
        </w:rPr>
        <w:t>条  监督和管理</w:t>
      </w:r>
    </w:p>
    <w:p w14:paraId="3D008017">
      <w:pPr>
        <w:widowControl/>
        <w:spacing w:line="360" w:lineRule="auto"/>
        <w:ind w:right="-226" w:rightChars="-94"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政府采购合同履行中，甲方需追加与合同标的相同的货物、工程或者服务的，在不改变合同其他条款的前提下，可以与乙方协商签订补充合同，但所有补充合同的采购金额不得超过原合同采购金额的百分之十。</w:t>
      </w:r>
    </w:p>
    <w:p w14:paraId="0FF53546">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2、甲乙双方均应自觉配合有关监督管理部门对合同履行情况的监督检查，如实反映情况，提供有关资料；否则，将对有关单位、当事人按照有关规定予以处罚。</w:t>
      </w:r>
    </w:p>
    <w:p w14:paraId="0FF76F25">
      <w:pPr>
        <w:pStyle w:val="9"/>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补充条款</w:t>
      </w:r>
    </w:p>
    <w:p w14:paraId="50B80F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乙方应按时发放农民工工资，甲方有权监督乙方在支付当期进度款中发放农民工工资。如乙方未按时发放农民工工资，影响到本工程的质量和进度，甲方有权从剩余进度款中按乙方所拟的工资额度直接发放农民工的工资，并按发放金额的50%从乙方的剩余工程款中扣除予以处罚。</w:t>
      </w:r>
    </w:p>
    <w:p w14:paraId="5FBCE501">
      <w:pPr>
        <w:pStyle w:val="20"/>
        <w:numPr>
          <w:ilvl w:val="0"/>
          <w:numId w:val="0"/>
        </w:numPr>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val="en-US" w:eastAsia="zh-CN" w:bidi="ar-SA"/>
        </w:rPr>
        <w:t xml:space="preserve">第十七条  </w:t>
      </w:r>
      <w:r>
        <w:rPr>
          <w:rFonts w:hint="eastAsia" w:ascii="宋体" w:hAnsi="宋体" w:eastAsia="宋体" w:cs="宋体"/>
          <w:b/>
          <w:bCs/>
          <w:color w:val="000000"/>
          <w:kern w:val="0"/>
          <w:sz w:val="24"/>
          <w:szCs w:val="24"/>
          <w:highlight w:val="none"/>
          <w:lang w:eastAsia="zh-CN"/>
        </w:rPr>
        <w:t>信用融资（如有）</w:t>
      </w:r>
    </w:p>
    <w:p w14:paraId="1627850B">
      <w:pPr>
        <w:pStyle w:val="15"/>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eastAsia="zh-CN"/>
        </w:rPr>
        <w:t>银行名称：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lang w:val="en-US" w:eastAsia="zh-CN"/>
        </w:rPr>
        <w:t xml:space="preserve">  ，收款账号：</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lang w:val="en-US" w:eastAsia="zh-CN"/>
        </w:rPr>
        <w:t>。</w:t>
      </w:r>
    </w:p>
    <w:p w14:paraId="2EA3E0CD">
      <w:pPr>
        <w:spacing w:line="360" w:lineRule="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条  附  则</w:t>
      </w:r>
    </w:p>
    <w:p w14:paraId="5746833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一、甲方代表为___________，乙方代表为___________。</w:t>
      </w:r>
    </w:p>
    <w:p w14:paraId="32C169B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二、本合同一式五份,甲乙双方各执一份,政府采购监督管理机构一份,采购代理机构两份。自双方代表签字，加盖双方公章或合同专用章后生效。</w:t>
      </w:r>
    </w:p>
    <w:p w14:paraId="5B9B8EC7">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（公章）</w:t>
      </w:r>
    </w:p>
    <w:p w14:paraId="043E0BEB">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p>
    <w:p w14:paraId="7272CF2F">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（签字或盖章）</w:t>
      </w:r>
    </w:p>
    <w:p w14:paraId="1F40EE09">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02CB86">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3AF744">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464F884">
      <w:pPr>
        <w:pageBreakBefore w:val="0"/>
        <w:kinsoku/>
        <w:wordWrap/>
        <w:overflowPunct/>
        <w:topLinePunct w:val="0"/>
        <w:autoSpaceDE/>
        <w:autoSpaceDN/>
        <w:bidi w:val="0"/>
        <w:spacing w:line="540" w:lineRule="exact"/>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FB9956">
      <w:pPr>
        <w:pStyle w:val="2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 xml:space="preserve">时    间：  年月日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时    间： 年月日</w:t>
      </w:r>
    </w:p>
    <w:p w14:paraId="72FC0FF9">
      <w:pPr>
        <w:rPr>
          <w:rFonts w:hint="eastAsia" w:ascii="宋体" w:eastAsia="宋体" w:cs="宋体"/>
          <w:bCs/>
          <w:sz w:val="36"/>
          <w:szCs w:val="36"/>
          <w:highlight w:val="none"/>
        </w:rPr>
      </w:pPr>
      <w:r>
        <w:rPr>
          <w:rFonts w:hint="eastAsia" w:ascii="宋体" w:eastAsia="宋体" w:cs="宋体"/>
          <w:bCs/>
          <w:sz w:val="36"/>
          <w:szCs w:val="36"/>
          <w:highlight w:val="none"/>
        </w:rPr>
        <w:br w:type="page"/>
      </w:r>
    </w:p>
    <w:p w14:paraId="63C82A9A">
      <w:pPr>
        <w:pStyle w:val="2"/>
        <w:jc w:val="center"/>
        <w:rPr>
          <w:rFonts w:hint="eastAsia" w:ascii="宋体" w:hAnsi="宋体" w:eastAsia="宋体" w:cs="宋体"/>
          <w:sz w:val="24"/>
          <w:szCs w:val="24"/>
          <w:highlight w:val="none"/>
        </w:rPr>
      </w:pPr>
      <w:r>
        <w:rPr>
          <w:rFonts w:hint="eastAsia" w:ascii="宋体" w:eastAsia="宋体" w:cs="宋体"/>
          <w:bCs/>
          <w:sz w:val="36"/>
          <w:szCs w:val="36"/>
          <w:highlight w:val="none"/>
        </w:rPr>
        <w:t xml:space="preserve">第五章 </w:t>
      </w:r>
      <w:bookmarkEnd w:id="87"/>
      <w:bookmarkEnd w:id="88"/>
      <w:bookmarkEnd w:id="89"/>
      <w:bookmarkEnd w:id="90"/>
      <w:bookmarkEnd w:id="91"/>
      <w:bookmarkEnd w:id="92"/>
      <w:bookmarkEnd w:id="93"/>
      <w:bookmarkEnd w:id="94"/>
      <w:bookmarkEnd w:id="95"/>
      <w:r>
        <w:rPr>
          <w:rFonts w:hint="eastAsia" w:ascii="宋体" w:eastAsia="宋体" w:cs="宋体"/>
          <w:bCs/>
          <w:sz w:val="36"/>
          <w:szCs w:val="36"/>
          <w:highlight w:val="none"/>
        </w:rPr>
        <w:t xml:space="preserve"> 磋商内容及技术要求</w:t>
      </w:r>
      <w:bookmarkEnd w:id="61"/>
      <w:bookmarkEnd w:id="102"/>
      <w:bookmarkEnd w:id="103"/>
      <w:bookmarkEnd w:id="104"/>
      <w:bookmarkStart w:id="105" w:name="_Toc403077646"/>
      <w:bookmarkStart w:id="106" w:name="_Toc6373"/>
      <w:bookmarkStart w:id="107" w:name="_Toc363474025"/>
      <w:bookmarkStart w:id="108" w:name="_Toc423973079"/>
      <w:bookmarkStart w:id="109" w:name="_Toc2750"/>
      <w:bookmarkStart w:id="110" w:name="_Toc5084"/>
    </w:p>
    <w:p w14:paraId="34A842C5">
      <w:pPr>
        <w:ind w:firstLine="602" w:firstLineChars="250"/>
        <w:rPr>
          <w:rFonts w:hint="eastAsia" w:ascii="楷体_GB2312" w:hAnsi="宋体" w:eastAsia="楷体_GB2312"/>
          <w:b/>
          <w:highlight w:val="none"/>
        </w:rPr>
      </w:pPr>
    </w:p>
    <w:p w14:paraId="6B61061E">
      <w:pPr>
        <w:ind w:firstLine="602" w:firstLineChars="250"/>
        <w:jc w:val="center"/>
        <w:rPr>
          <w:rFonts w:hint="eastAsia" w:ascii="楷体_GB2312" w:hAnsi="宋体" w:eastAsia="楷体_GB2312"/>
          <w:b/>
          <w:highlight w:val="none"/>
          <w:lang w:val="en-US" w:eastAsia="zh-CN"/>
        </w:rPr>
      </w:pPr>
      <w:r>
        <w:rPr>
          <w:rFonts w:hint="eastAsia" w:ascii="楷体_GB2312" w:hAnsi="宋体" w:eastAsia="楷体_GB2312"/>
          <w:b/>
          <w:highlight w:val="none"/>
          <w:lang w:val="en-US" w:eastAsia="zh-CN"/>
        </w:rPr>
        <w:t>编制说明</w:t>
      </w:r>
    </w:p>
    <w:p w14:paraId="30951F3F">
      <w:pPr>
        <w:ind w:firstLine="602" w:firstLineChars="250"/>
        <w:rPr>
          <w:rFonts w:hint="eastAsia" w:ascii="宋体" w:hAnsi="宋体" w:eastAsia="宋体" w:cs="宋体"/>
          <w:b/>
          <w:highlight w:val="none"/>
        </w:rPr>
      </w:pPr>
      <w:r>
        <w:rPr>
          <w:rFonts w:hint="eastAsia" w:ascii="宋体" w:hAnsi="宋体" w:eastAsia="宋体" w:cs="宋体"/>
          <w:b/>
          <w:highlight w:val="none"/>
        </w:rPr>
        <w:t>一、编制主要依据</w:t>
      </w:r>
    </w:p>
    <w:p w14:paraId="1E230EAB">
      <w:pPr>
        <w:spacing w:line="480" w:lineRule="exact"/>
        <w:ind w:firstLine="753"/>
        <w:rPr>
          <w:rFonts w:hint="eastAsia" w:ascii="宋体" w:hAnsi="宋体" w:eastAsia="宋体" w:cs="宋体"/>
          <w:highlight w:val="none"/>
        </w:rPr>
      </w:pPr>
      <w:r>
        <w:rPr>
          <w:rFonts w:hint="eastAsia" w:ascii="宋体" w:hAnsi="宋体" w:eastAsia="宋体" w:cs="宋体"/>
          <w:highlight w:val="none"/>
        </w:rPr>
        <w:t>1.交通部2018年发布的《公路工程建设项目概算预算编制办法》JTG3830-2018，以下简称《部办法》。</w:t>
      </w:r>
    </w:p>
    <w:p w14:paraId="53B6A2E9">
      <w:pPr>
        <w:spacing w:line="480" w:lineRule="exact"/>
        <w:ind w:firstLine="753"/>
        <w:rPr>
          <w:rFonts w:hint="eastAsia" w:ascii="宋体" w:hAnsi="宋体" w:eastAsia="宋体" w:cs="宋体"/>
          <w:highlight w:val="none"/>
        </w:rPr>
      </w:pPr>
      <w:r>
        <w:rPr>
          <w:rFonts w:hint="eastAsia" w:ascii="宋体" w:hAnsi="宋体" w:eastAsia="宋体" w:cs="宋体"/>
          <w:highlight w:val="none"/>
        </w:rPr>
        <w:t>2.交通部2018年发布的《公路工程工程量清单计价规范》2018年版。</w:t>
      </w:r>
    </w:p>
    <w:p w14:paraId="7D4300FB">
      <w:pPr>
        <w:spacing w:line="480" w:lineRule="exact"/>
        <w:ind w:firstLine="753"/>
        <w:rPr>
          <w:rFonts w:hint="eastAsia" w:ascii="宋体" w:hAnsi="宋体" w:eastAsia="宋体" w:cs="宋体"/>
          <w:highlight w:val="none"/>
        </w:rPr>
      </w:pPr>
      <w:r>
        <w:rPr>
          <w:rFonts w:hint="eastAsia" w:ascii="宋体" w:hAnsi="宋体" w:eastAsia="宋体" w:cs="宋体"/>
          <w:highlight w:val="none"/>
        </w:rPr>
        <w:t>3.交通部2018年发布的《公路工程机械台班费用定额》JTG/T 3833-2018。</w:t>
      </w:r>
    </w:p>
    <w:p w14:paraId="67E39ED5">
      <w:pPr>
        <w:spacing w:line="480" w:lineRule="exact"/>
        <w:ind w:firstLine="753"/>
        <w:rPr>
          <w:rFonts w:hint="eastAsia" w:ascii="宋体" w:hAnsi="宋体" w:eastAsia="宋体" w:cs="宋体"/>
          <w:highlight w:val="none"/>
        </w:rPr>
      </w:pPr>
      <w:r>
        <w:rPr>
          <w:rFonts w:hint="eastAsia" w:ascii="宋体" w:hAnsi="宋体" w:eastAsia="宋体" w:cs="宋体"/>
          <w:highlight w:val="none"/>
        </w:rPr>
        <w:t>4.陕西省交通厅陕交发[2008]117号文“关于发布《陕西省公路基本建设工程概算、预算编制补充规定》及陕西省交通厅陕交建[2007]449号文《陕西省公路工程补充预算定额》的通知，以下简称《省补充规定》。</w:t>
      </w:r>
    </w:p>
    <w:p w14:paraId="27EDB6ED">
      <w:pPr>
        <w:spacing w:line="480" w:lineRule="exact"/>
        <w:ind w:firstLine="753"/>
        <w:rPr>
          <w:rFonts w:hint="eastAsia" w:ascii="宋体" w:hAnsi="宋体" w:eastAsia="宋体" w:cs="宋体"/>
          <w:highlight w:val="none"/>
        </w:rPr>
      </w:pPr>
      <w:r>
        <w:rPr>
          <w:rFonts w:hint="eastAsia" w:ascii="宋体" w:hAnsi="宋体" w:eastAsia="宋体" w:cs="宋体"/>
          <w:highlight w:val="none"/>
        </w:rPr>
        <w:t>5.“陕西省交通运输厅关于执行交通运输部《公路工程营业税该增值税计价依据调整方案》的通知”陕交函[2016]475号。</w:t>
      </w:r>
    </w:p>
    <w:p w14:paraId="4D067895">
      <w:pPr>
        <w:spacing w:line="480" w:lineRule="exact"/>
        <w:ind w:firstLine="753"/>
        <w:rPr>
          <w:rFonts w:hint="eastAsia" w:ascii="宋体" w:hAnsi="宋体" w:eastAsia="宋体" w:cs="宋体"/>
          <w:highlight w:val="none"/>
        </w:rPr>
      </w:pPr>
      <w:r>
        <w:rPr>
          <w:rFonts w:hint="eastAsia" w:ascii="宋体" w:hAnsi="宋体" w:eastAsia="宋体" w:cs="宋体"/>
          <w:highlight w:val="none"/>
        </w:rPr>
        <w:t>6.施工图文件提供的工程设计图及数量。</w:t>
      </w:r>
    </w:p>
    <w:p w14:paraId="3BBFC18B">
      <w:pPr>
        <w:spacing w:line="480" w:lineRule="exact"/>
        <w:ind w:firstLine="753"/>
        <w:rPr>
          <w:rFonts w:hint="eastAsia" w:ascii="宋体" w:hAnsi="宋体" w:eastAsia="宋体" w:cs="宋体"/>
          <w:sz w:val="32"/>
          <w:highlight w:val="none"/>
        </w:rPr>
      </w:pPr>
      <w:r>
        <w:rPr>
          <w:rFonts w:hint="eastAsia" w:ascii="宋体" w:hAnsi="宋体" w:eastAsia="宋体" w:cs="宋体"/>
          <w:highlight w:val="none"/>
        </w:rPr>
        <w:t>7.“陕西省交通运输厅关于执行交通运输部《公路工程营业税该增值税计价依据调整方案》的通知”陕交函[2016]475号。</w:t>
      </w:r>
    </w:p>
    <w:p w14:paraId="65845A3A">
      <w:pPr>
        <w:spacing w:line="480" w:lineRule="exact"/>
        <w:ind w:left="600"/>
        <w:rPr>
          <w:rFonts w:hint="eastAsia" w:ascii="宋体" w:hAnsi="宋体" w:eastAsia="宋体" w:cs="宋体"/>
          <w:b/>
          <w:sz w:val="32"/>
          <w:highlight w:val="none"/>
        </w:rPr>
      </w:pPr>
      <w:r>
        <w:rPr>
          <w:rFonts w:hint="eastAsia" w:ascii="宋体" w:hAnsi="宋体" w:eastAsia="宋体" w:cs="宋体"/>
          <w:b/>
          <w:highlight w:val="none"/>
        </w:rPr>
        <w:t>二、主要费用、费率</w:t>
      </w:r>
    </w:p>
    <w:p w14:paraId="0632B482">
      <w:pPr>
        <w:spacing w:line="480" w:lineRule="exact"/>
        <w:ind w:firstLine="753"/>
        <w:rPr>
          <w:rFonts w:hint="eastAsia" w:ascii="宋体" w:hAnsi="宋体" w:eastAsia="宋体" w:cs="宋体"/>
          <w:highlight w:val="none"/>
        </w:rPr>
      </w:pPr>
      <w:r>
        <w:rPr>
          <w:rFonts w:hint="eastAsia" w:ascii="宋体" w:hAnsi="宋体" w:eastAsia="宋体" w:cs="宋体"/>
          <w:highlight w:val="none"/>
        </w:rPr>
        <w:t>(一).人工费:按105.89元/工日执行。</w:t>
      </w:r>
    </w:p>
    <w:p w14:paraId="1985AD5F">
      <w:pPr>
        <w:spacing w:line="480" w:lineRule="exact"/>
        <w:ind w:firstLine="753"/>
        <w:rPr>
          <w:rFonts w:hint="eastAsia" w:ascii="宋体" w:hAnsi="宋体" w:eastAsia="宋体" w:cs="宋体"/>
          <w:highlight w:val="none"/>
        </w:rPr>
      </w:pPr>
      <w:r>
        <w:rPr>
          <w:rFonts w:hint="eastAsia" w:ascii="宋体" w:hAnsi="宋体" w:eastAsia="宋体" w:cs="宋体"/>
          <w:highlight w:val="none"/>
        </w:rPr>
        <w:t>(二).材料费</w:t>
      </w:r>
    </w:p>
    <w:p w14:paraId="337F5A80">
      <w:pPr>
        <w:spacing w:line="480" w:lineRule="exact"/>
        <w:ind w:firstLine="753"/>
        <w:rPr>
          <w:rFonts w:hint="eastAsia" w:ascii="宋体" w:hAnsi="宋体" w:eastAsia="宋体" w:cs="宋体"/>
          <w:highlight w:val="none"/>
        </w:rPr>
      </w:pPr>
      <w:r>
        <w:rPr>
          <w:rFonts w:hint="eastAsia" w:ascii="宋体" w:hAnsi="宋体" w:eastAsia="宋体" w:cs="宋体"/>
          <w:highlight w:val="none"/>
        </w:rPr>
        <w:t>1.外购材料原价根据陕西省交通厅定额站发布2025年7月份信息价及市场调查价确定。</w:t>
      </w:r>
    </w:p>
    <w:p w14:paraId="30E89ED1">
      <w:pPr>
        <w:spacing w:line="480" w:lineRule="exact"/>
        <w:ind w:firstLine="753"/>
        <w:rPr>
          <w:rFonts w:hint="eastAsia" w:ascii="宋体" w:hAnsi="宋体" w:eastAsia="宋体" w:cs="宋体"/>
          <w:highlight w:val="none"/>
        </w:rPr>
      </w:pPr>
      <w:r>
        <w:rPr>
          <w:rFonts w:hint="eastAsia" w:ascii="宋体" w:hAnsi="宋体" w:eastAsia="宋体" w:cs="宋体"/>
          <w:highlight w:val="none"/>
        </w:rPr>
        <w:t>2.地方性材料根据当地料场调查价计算。</w:t>
      </w:r>
    </w:p>
    <w:p w14:paraId="543E69B8">
      <w:pPr>
        <w:spacing w:line="480" w:lineRule="exact"/>
        <w:ind w:firstLine="753"/>
        <w:rPr>
          <w:rFonts w:hint="eastAsia" w:ascii="宋体" w:hAnsi="宋体" w:eastAsia="宋体" w:cs="宋体"/>
          <w:highlight w:val="none"/>
        </w:rPr>
      </w:pPr>
      <w:r>
        <w:rPr>
          <w:rFonts w:hint="eastAsia" w:ascii="宋体" w:hAnsi="宋体" w:eastAsia="宋体" w:cs="宋体"/>
          <w:highlight w:val="none"/>
        </w:rPr>
        <w:t>3.运杂费：按《省补充规定》规定的标准执行。</w:t>
      </w:r>
    </w:p>
    <w:p w14:paraId="2454DB67">
      <w:pPr>
        <w:spacing w:line="480" w:lineRule="exact"/>
        <w:ind w:firstLine="753"/>
        <w:rPr>
          <w:rFonts w:hint="eastAsia" w:ascii="宋体" w:hAnsi="宋体" w:eastAsia="宋体" w:cs="宋体"/>
          <w:highlight w:val="none"/>
        </w:rPr>
      </w:pPr>
      <w:r>
        <w:rPr>
          <w:rFonts w:hint="eastAsia" w:ascii="宋体" w:hAnsi="宋体" w:eastAsia="宋体" w:cs="宋体"/>
          <w:highlight w:val="none"/>
        </w:rPr>
        <w:t>(三).施工机械使用费</w:t>
      </w:r>
    </w:p>
    <w:p w14:paraId="28CFB824">
      <w:pPr>
        <w:spacing w:line="480" w:lineRule="exact"/>
        <w:ind w:firstLine="753"/>
        <w:rPr>
          <w:rFonts w:hint="eastAsia" w:ascii="宋体" w:hAnsi="宋体" w:eastAsia="宋体" w:cs="宋体"/>
          <w:highlight w:val="none"/>
        </w:rPr>
      </w:pPr>
      <w:r>
        <w:rPr>
          <w:rFonts w:hint="eastAsia" w:ascii="宋体" w:hAnsi="宋体" w:eastAsia="宋体" w:cs="宋体"/>
          <w:highlight w:val="none"/>
        </w:rPr>
        <w:t>按交通部2018年发布的《公路工程机械台班费用定额》JTG/T 3833-2018及陕西省车船使用税和养路费标准计算。</w:t>
      </w:r>
    </w:p>
    <w:p w14:paraId="2C091BD3">
      <w:pPr>
        <w:spacing w:line="480" w:lineRule="exact"/>
        <w:ind w:firstLine="753"/>
        <w:rPr>
          <w:rFonts w:hint="eastAsia" w:ascii="宋体" w:hAnsi="宋体" w:eastAsia="宋体" w:cs="宋体"/>
          <w:highlight w:val="none"/>
        </w:rPr>
      </w:pPr>
      <w:r>
        <w:rPr>
          <w:rFonts w:hint="eastAsia" w:ascii="宋体" w:hAnsi="宋体" w:eastAsia="宋体" w:cs="宋体"/>
          <w:highlight w:val="none"/>
        </w:rPr>
        <w:t>(四).其它直接费</w:t>
      </w:r>
    </w:p>
    <w:p w14:paraId="3838DE06">
      <w:pPr>
        <w:spacing w:line="480" w:lineRule="exact"/>
        <w:ind w:firstLine="753"/>
        <w:rPr>
          <w:rFonts w:hint="eastAsia" w:ascii="宋体" w:hAnsi="宋体" w:eastAsia="宋体" w:cs="宋体"/>
          <w:highlight w:val="none"/>
        </w:rPr>
      </w:pPr>
      <w:r>
        <w:rPr>
          <w:rFonts w:hint="eastAsia" w:ascii="宋体" w:hAnsi="宋体" w:eastAsia="宋体" w:cs="宋体"/>
          <w:highlight w:val="none"/>
        </w:rPr>
        <w:t>其它直接费中冬季、雨季、夜间、施工辅助费均按《部办法》及《省补充规定》的有关规定计列，高原地区、沿海地区施工增加费不计。</w:t>
      </w:r>
    </w:p>
    <w:p w14:paraId="50E526AF">
      <w:pPr>
        <w:spacing w:line="480" w:lineRule="exact"/>
        <w:ind w:firstLine="753"/>
        <w:rPr>
          <w:rFonts w:hint="eastAsia" w:ascii="宋体" w:hAnsi="宋体" w:eastAsia="宋体" w:cs="宋体"/>
          <w:highlight w:val="none"/>
        </w:rPr>
      </w:pPr>
      <w:r>
        <w:rPr>
          <w:rFonts w:hint="eastAsia" w:ascii="宋体" w:hAnsi="宋体" w:eastAsia="宋体" w:cs="宋体"/>
          <w:highlight w:val="none"/>
        </w:rPr>
        <w:t>（五）现场经费</w:t>
      </w:r>
    </w:p>
    <w:p w14:paraId="21F14B74">
      <w:pPr>
        <w:spacing w:line="480" w:lineRule="exact"/>
        <w:ind w:firstLine="753"/>
        <w:rPr>
          <w:rFonts w:hint="eastAsia" w:ascii="宋体" w:hAnsi="宋体" w:eastAsia="宋体" w:cs="宋体"/>
          <w:highlight w:val="none"/>
        </w:rPr>
      </w:pPr>
      <w:r>
        <w:rPr>
          <w:rFonts w:hint="eastAsia" w:ascii="宋体" w:hAnsi="宋体" w:eastAsia="宋体" w:cs="宋体"/>
          <w:highlight w:val="none"/>
        </w:rPr>
        <w:t>1.临时设施费按《部办法》计列。</w:t>
      </w:r>
    </w:p>
    <w:p w14:paraId="50DF426A">
      <w:pPr>
        <w:spacing w:line="480" w:lineRule="exact"/>
        <w:ind w:firstLine="753"/>
        <w:rPr>
          <w:rFonts w:hint="eastAsia" w:ascii="宋体" w:hAnsi="宋体" w:eastAsia="宋体" w:cs="宋体"/>
          <w:highlight w:val="none"/>
        </w:rPr>
      </w:pPr>
      <w:r>
        <w:rPr>
          <w:rFonts w:hint="eastAsia" w:ascii="宋体" w:hAnsi="宋体" w:eastAsia="宋体" w:cs="宋体"/>
          <w:highlight w:val="none"/>
        </w:rPr>
        <w:t>2.现场管理费按《部办法》计列。</w:t>
      </w:r>
    </w:p>
    <w:p w14:paraId="61DEBE30">
      <w:pPr>
        <w:spacing w:line="480" w:lineRule="exact"/>
        <w:ind w:firstLine="753"/>
        <w:rPr>
          <w:rFonts w:hint="eastAsia" w:ascii="宋体" w:hAnsi="宋体" w:eastAsia="宋体" w:cs="宋体"/>
          <w:highlight w:val="none"/>
        </w:rPr>
      </w:pPr>
      <w:r>
        <w:rPr>
          <w:rFonts w:hint="eastAsia" w:ascii="宋体" w:hAnsi="宋体" w:eastAsia="宋体" w:cs="宋体"/>
          <w:highlight w:val="none"/>
        </w:rPr>
        <w:t>(六).间接费</w:t>
      </w:r>
    </w:p>
    <w:p w14:paraId="04539D7B">
      <w:pPr>
        <w:spacing w:line="480" w:lineRule="exact"/>
        <w:ind w:firstLine="753"/>
        <w:rPr>
          <w:rFonts w:hint="eastAsia" w:ascii="宋体" w:hAnsi="宋体" w:eastAsia="宋体" w:cs="宋体"/>
          <w:highlight w:val="none"/>
        </w:rPr>
      </w:pPr>
      <w:r>
        <w:rPr>
          <w:rFonts w:hint="eastAsia" w:ascii="宋体" w:hAnsi="宋体" w:eastAsia="宋体" w:cs="宋体"/>
          <w:highlight w:val="none"/>
        </w:rPr>
        <w:t>1.企业管理费按《部办法》计列。</w:t>
      </w:r>
    </w:p>
    <w:p w14:paraId="13978F30">
      <w:pPr>
        <w:spacing w:line="480" w:lineRule="exact"/>
        <w:ind w:firstLine="753"/>
        <w:rPr>
          <w:rFonts w:hint="eastAsia" w:ascii="宋体" w:hAnsi="宋体" w:eastAsia="宋体" w:cs="宋体"/>
          <w:highlight w:val="none"/>
        </w:rPr>
      </w:pPr>
      <w:r>
        <w:rPr>
          <w:rFonts w:hint="eastAsia" w:ascii="宋体" w:hAnsi="宋体" w:eastAsia="宋体" w:cs="宋体"/>
          <w:highlight w:val="none"/>
        </w:rPr>
        <w:t>2.财务费用按《部办法》执行。</w:t>
      </w:r>
    </w:p>
    <w:p w14:paraId="126B68E8">
      <w:pPr>
        <w:spacing w:line="480" w:lineRule="exact"/>
        <w:ind w:firstLine="753"/>
        <w:rPr>
          <w:rFonts w:hint="eastAsia" w:ascii="宋体" w:hAnsi="宋体" w:eastAsia="宋体" w:cs="宋体"/>
          <w:highlight w:val="none"/>
        </w:rPr>
      </w:pPr>
      <w:r>
        <w:rPr>
          <w:rFonts w:hint="eastAsia" w:ascii="宋体" w:hAnsi="宋体" w:eastAsia="宋体" w:cs="宋体"/>
          <w:highlight w:val="none"/>
        </w:rPr>
        <w:t xml:space="preserve">（七）设备、工具、器具购置费不计。 </w:t>
      </w:r>
    </w:p>
    <w:p w14:paraId="007BCE1B">
      <w:pPr>
        <w:spacing w:line="480" w:lineRule="exact"/>
        <w:ind w:firstLine="753"/>
        <w:rPr>
          <w:rFonts w:hint="eastAsia" w:ascii="宋体" w:hAnsi="宋体" w:eastAsia="宋体" w:cs="宋体"/>
          <w:highlight w:val="none"/>
        </w:rPr>
      </w:pPr>
      <w:r>
        <w:rPr>
          <w:rFonts w:hint="eastAsia" w:ascii="宋体" w:hAnsi="宋体" w:eastAsia="宋体" w:cs="宋体"/>
          <w:highlight w:val="none"/>
        </w:rPr>
        <w:t>（八）工程建设其它费用</w:t>
      </w:r>
    </w:p>
    <w:p w14:paraId="32789102">
      <w:pPr>
        <w:spacing w:line="480" w:lineRule="exact"/>
        <w:ind w:firstLine="753"/>
        <w:rPr>
          <w:rFonts w:hint="eastAsia" w:ascii="宋体" w:hAnsi="宋体" w:eastAsia="宋体" w:cs="宋体"/>
          <w:highlight w:val="none"/>
        </w:rPr>
      </w:pPr>
      <w:r>
        <w:rPr>
          <w:rFonts w:hint="eastAsia" w:ascii="宋体" w:hAnsi="宋体" w:eastAsia="宋体" w:cs="宋体"/>
          <w:highlight w:val="none"/>
        </w:rPr>
        <w:t>1.建设单位管理费：建设单位管理费、工程监理费、设计费、设计文件审查费、竣（交）工验收试验检测费、暂列金额等均不计。</w:t>
      </w:r>
    </w:p>
    <w:p w14:paraId="71B90325">
      <w:pPr>
        <w:spacing w:line="480" w:lineRule="exact"/>
        <w:ind w:firstLine="753"/>
        <w:rPr>
          <w:rFonts w:hint="eastAsia" w:ascii="宋体" w:hAnsi="宋体" w:eastAsia="宋体" w:cs="宋体"/>
          <w:highlight w:val="none"/>
        </w:rPr>
      </w:pPr>
      <w:r>
        <w:rPr>
          <w:rFonts w:hint="eastAsia" w:ascii="宋体" w:hAnsi="宋体" w:eastAsia="宋体" w:cs="宋体"/>
          <w:highlight w:val="none"/>
        </w:rPr>
        <w:t>2.施工机构迁移费、大型专用机械设备购置费、固定资产方向调节税、供电贴费、建设期贷款利息等均不计。</w:t>
      </w:r>
    </w:p>
    <w:p w14:paraId="680591B3">
      <w:pPr>
        <w:spacing w:line="480" w:lineRule="exact"/>
        <w:ind w:firstLine="753"/>
        <w:rPr>
          <w:rFonts w:hint="eastAsia" w:ascii="宋体" w:hAnsi="宋体" w:eastAsia="宋体" w:cs="宋体"/>
          <w:highlight w:val="none"/>
        </w:rPr>
      </w:pPr>
      <w:r>
        <w:rPr>
          <w:rFonts w:hint="eastAsia" w:ascii="宋体" w:hAnsi="宋体" w:eastAsia="宋体" w:cs="宋体"/>
          <w:highlight w:val="none"/>
        </w:rPr>
        <w:t>3.保险费：工程保险费按建安费0.4%计列。</w:t>
      </w:r>
    </w:p>
    <w:p w14:paraId="6AAEBD24">
      <w:pPr>
        <w:spacing w:line="480" w:lineRule="exact"/>
        <w:ind w:firstLine="753"/>
        <w:rPr>
          <w:rFonts w:hint="eastAsia" w:ascii="宋体" w:hAnsi="宋体" w:eastAsia="宋体" w:cs="宋体"/>
          <w:highlight w:val="none"/>
        </w:rPr>
      </w:pPr>
      <w:r>
        <w:rPr>
          <w:rFonts w:hint="eastAsia" w:ascii="宋体" w:hAnsi="宋体" w:eastAsia="宋体" w:cs="宋体"/>
          <w:highlight w:val="none"/>
        </w:rPr>
        <w:t>4. 施工环保费按建安费0.3%计列。</w:t>
      </w:r>
    </w:p>
    <w:p w14:paraId="53990203">
      <w:pPr>
        <w:spacing w:line="480" w:lineRule="exact"/>
        <w:ind w:firstLine="753"/>
        <w:rPr>
          <w:rFonts w:hint="eastAsia" w:ascii="宋体" w:hAnsi="宋体" w:eastAsia="宋体" w:cs="宋体"/>
          <w:highlight w:val="none"/>
        </w:rPr>
      </w:pPr>
      <w:r>
        <w:rPr>
          <w:rFonts w:hint="eastAsia" w:ascii="宋体" w:hAnsi="宋体" w:eastAsia="宋体" w:cs="宋体"/>
          <w:highlight w:val="none"/>
        </w:rPr>
        <w:t>5. 安全生产费按建安费1.5%计列。</w:t>
      </w:r>
    </w:p>
    <w:p w14:paraId="1C50EEC5">
      <w:pPr>
        <w:rPr>
          <w:rStyle w:val="32"/>
          <w:rFonts w:hint="eastAsia" w:ascii="宋体" w:eastAsia="宋体" w:cs="宋体"/>
          <w:b/>
          <w:sz w:val="36"/>
          <w:szCs w:val="21"/>
          <w:highlight w:val="none"/>
        </w:rPr>
      </w:pPr>
      <w:r>
        <w:rPr>
          <w:rStyle w:val="32"/>
          <w:rFonts w:hint="eastAsia" w:ascii="宋体" w:eastAsia="宋体" w:cs="宋体"/>
          <w:b/>
          <w:sz w:val="36"/>
          <w:szCs w:val="21"/>
          <w:highlight w:val="none"/>
        </w:rPr>
        <w:br w:type="page"/>
      </w:r>
      <w:r>
        <w:rPr>
          <w:rStyle w:val="32"/>
          <w:rFonts w:hint="eastAsia" w:ascii="宋体" w:eastAsia="宋体" w:cs="宋体"/>
          <w:b/>
          <w:sz w:val="36"/>
          <w:szCs w:val="21"/>
          <w:highlight w:val="none"/>
        </w:rPr>
        <w:drawing>
          <wp:inline distT="0" distB="0" distL="114300" distR="114300">
            <wp:extent cx="5897245" cy="8341360"/>
            <wp:effectExtent l="0" t="0" r="8255" b="2540"/>
            <wp:docPr id="9" name="图片 9" descr="固化清单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固化清单_01"/>
                    <pic:cNvPicPr>
                      <a:picLocks noChangeAspect="1"/>
                    </pic:cNvPicPr>
                  </pic:nvPicPr>
                  <pic:blipFill>
                    <a:blip r:embed="rId14"/>
                    <a:stretch>
                      <a:fillRect/>
                    </a:stretch>
                  </pic:blipFill>
                  <pic:spPr>
                    <a:xfrm>
                      <a:off x="0" y="0"/>
                      <a:ext cx="5897245" cy="8341360"/>
                    </a:xfrm>
                    <a:prstGeom prst="rect">
                      <a:avLst/>
                    </a:prstGeom>
                  </pic:spPr>
                </pic:pic>
              </a:graphicData>
            </a:graphic>
          </wp:inline>
        </w:drawing>
      </w:r>
      <w:r>
        <w:rPr>
          <w:rStyle w:val="32"/>
          <w:rFonts w:hint="eastAsia" w:ascii="宋体" w:eastAsia="宋体" w:cs="宋体"/>
          <w:b/>
          <w:sz w:val="36"/>
          <w:szCs w:val="21"/>
          <w:highlight w:val="none"/>
        </w:rPr>
        <w:drawing>
          <wp:inline distT="0" distB="0" distL="114300" distR="114300">
            <wp:extent cx="5897245" cy="8341360"/>
            <wp:effectExtent l="0" t="0" r="8255" b="2540"/>
            <wp:docPr id="8" name="图片 8" descr="固化清单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固化清单_02"/>
                    <pic:cNvPicPr>
                      <a:picLocks noChangeAspect="1"/>
                    </pic:cNvPicPr>
                  </pic:nvPicPr>
                  <pic:blipFill>
                    <a:blip r:embed="rId15"/>
                    <a:stretch>
                      <a:fillRect/>
                    </a:stretch>
                  </pic:blipFill>
                  <pic:spPr>
                    <a:xfrm>
                      <a:off x="0" y="0"/>
                      <a:ext cx="5897245" cy="8341360"/>
                    </a:xfrm>
                    <a:prstGeom prst="rect">
                      <a:avLst/>
                    </a:prstGeom>
                  </pic:spPr>
                </pic:pic>
              </a:graphicData>
            </a:graphic>
          </wp:inline>
        </w:drawing>
      </w:r>
      <w:r>
        <w:rPr>
          <w:rStyle w:val="32"/>
          <w:rFonts w:hint="eastAsia" w:ascii="宋体" w:eastAsia="宋体" w:cs="宋体"/>
          <w:b/>
          <w:sz w:val="36"/>
          <w:szCs w:val="21"/>
          <w:highlight w:val="none"/>
        </w:rPr>
        <w:drawing>
          <wp:inline distT="0" distB="0" distL="114300" distR="114300">
            <wp:extent cx="5897245" cy="8341360"/>
            <wp:effectExtent l="0" t="0" r="8255" b="2540"/>
            <wp:docPr id="6" name="图片 6" descr="固化清单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固化清单_03"/>
                    <pic:cNvPicPr>
                      <a:picLocks noChangeAspect="1"/>
                    </pic:cNvPicPr>
                  </pic:nvPicPr>
                  <pic:blipFill>
                    <a:blip r:embed="rId16"/>
                    <a:stretch>
                      <a:fillRect/>
                    </a:stretch>
                  </pic:blipFill>
                  <pic:spPr>
                    <a:xfrm>
                      <a:off x="0" y="0"/>
                      <a:ext cx="5897245" cy="8341360"/>
                    </a:xfrm>
                    <a:prstGeom prst="rect">
                      <a:avLst/>
                    </a:prstGeom>
                  </pic:spPr>
                </pic:pic>
              </a:graphicData>
            </a:graphic>
          </wp:inline>
        </w:drawing>
      </w:r>
      <w:r>
        <w:rPr>
          <w:rStyle w:val="32"/>
          <w:rFonts w:hint="eastAsia" w:ascii="宋体" w:eastAsia="宋体" w:cs="宋体"/>
          <w:b/>
          <w:sz w:val="36"/>
          <w:szCs w:val="21"/>
          <w:highlight w:val="none"/>
        </w:rPr>
        <w:drawing>
          <wp:inline distT="0" distB="0" distL="114300" distR="114300">
            <wp:extent cx="5897245" cy="8341360"/>
            <wp:effectExtent l="0" t="0" r="8255" b="2540"/>
            <wp:docPr id="5" name="图片 5" descr="固化清单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固化清单_04"/>
                    <pic:cNvPicPr>
                      <a:picLocks noChangeAspect="1"/>
                    </pic:cNvPicPr>
                  </pic:nvPicPr>
                  <pic:blipFill>
                    <a:blip r:embed="rId17"/>
                    <a:stretch>
                      <a:fillRect/>
                    </a:stretch>
                  </pic:blipFill>
                  <pic:spPr>
                    <a:xfrm>
                      <a:off x="0" y="0"/>
                      <a:ext cx="5897245" cy="8341360"/>
                    </a:xfrm>
                    <a:prstGeom prst="rect">
                      <a:avLst/>
                    </a:prstGeom>
                  </pic:spPr>
                </pic:pic>
              </a:graphicData>
            </a:graphic>
          </wp:inline>
        </w:drawing>
      </w:r>
      <w:r>
        <w:rPr>
          <w:rStyle w:val="32"/>
          <w:rFonts w:hint="eastAsia" w:ascii="宋体" w:eastAsia="宋体" w:cs="宋体"/>
          <w:b/>
          <w:sz w:val="36"/>
          <w:szCs w:val="21"/>
          <w:highlight w:val="none"/>
        </w:rPr>
        <w:drawing>
          <wp:inline distT="0" distB="0" distL="114300" distR="114300">
            <wp:extent cx="5897245" cy="8341360"/>
            <wp:effectExtent l="0" t="0" r="8255" b="2540"/>
            <wp:docPr id="4" name="图片 4" descr="固化清单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固化清单_05"/>
                    <pic:cNvPicPr>
                      <a:picLocks noChangeAspect="1"/>
                    </pic:cNvPicPr>
                  </pic:nvPicPr>
                  <pic:blipFill>
                    <a:blip r:embed="rId18"/>
                    <a:stretch>
                      <a:fillRect/>
                    </a:stretch>
                  </pic:blipFill>
                  <pic:spPr>
                    <a:xfrm>
                      <a:off x="0" y="0"/>
                      <a:ext cx="5897245" cy="8341360"/>
                    </a:xfrm>
                    <a:prstGeom prst="rect">
                      <a:avLst/>
                    </a:prstGeom>
                  </pic:spPr>
                </pic:pic>
              </a:graphicData>
            </a:graphic>
          </wp:inline>
        </w:drawing>
      </w:r>
      <w:r>
        <w:rPr>
          <w:rStyle w:val="32"/>
          <w:rFonts w:hint="eastAsia" w:ascii="宋体" w:eastAsia="宋体" w:cs="宋体"/>
          <w:b/>
          <w:sz w:val="36"/>
          <w:szCs w:val="21"/>
          <w:highlight w:val="none"/>
        </w:rPr>
        <w:br w:type="page"/>
      </w:r>
    </w:p>
    <w:p w14:paraId="370702C2">
      <w:pPr>
        <w:keepNext w:val="0"/>
        <w:keepLines w:val="0"/>
        <w:pageBreakBefore w:val="0"/>
        <w:widowControl w:val="0"/>
        <w:numPr>
          <w:ilvl w:val="0"/>
          <w:numId w:val="0"/>
        </w:numPr>
        <w:kinsoku/>
        <w:wordWrap/>
        <w:overflowPunct/>
        <w:topLinePunct w:val="0"/>
        <w:autoSpaceDE/>
        <w:autoSpaceDN/>
        <w:bidi w:val="0"/>
        <w:adjustRightInd/>
        <w:snapToGrid/>
        <w:spacing w:before="120" w:beforeLines="50" w:after="120" w:afterLines="50" w:line="360" w:lineRule="auto"/>
        <w:textAlignment w:val="auto"/>
        <w:rPr>
          <w:rStyle w:val="32"/>
          <w:rFonts w:hint="eastAsia" w:ascii="宋体" w:eastAsia="宋体" w:cs="宋体"/>
          <w:b/>
          <w:sz w:val="36"/>
          <w:szCs w:val="21"/>
          <w:highlight w:val="none"/>
        </w:rPr>
      </w:pPr>
    </w:p>
    <w:p w14:paraId="58216326">
      <w:pPr>
        <w:pStyle w:val="2"/>
        <w:jc w:val="center"/>
        <w:rPr>
          <w:rFonts w:ascii="宋体" w:eastAsia="宋体" w:cs="宋体"/>
          <w:b w:val="0"/>
          <w:bCs/>
          <w:sz w:val="36"/>
          <w:szCs w:val="36"/>
          <w:highlight w:val="none"/>
        </w:rPr>
      </w:pPr>
      <w:r>
        <w:rPr>
          <w:rStyle w:val="32"/>
          <w:rFonts w:hint="eastAsia" w:ascii="宋体" w:eastAsia="宋体" w:cs="宋体"/>
          <w:b/>
          <w:sz w:val="36"/>
          <w:szCs w:val="21"/>
          <w:highlight w:val="none"/>
        </w:rPr>
        <w:t>第六章  竞争性磋商响应文件格式</w:t>
      </w:r>
      <w:bookmarkEnd w:id="105"/>
      <w:bookmarkEnd w:id="106"/>
      <w:bookmarkEnd w:id="107"/>
      <w:bookmarkEnd w:id="108"/>
      <w:bookmarkEnd w:id="109"/>
      <w:bookmarkEnd w:id="110"/>
    </w:p>
    <w:p w14:paraId="4C6DFDB7">
      <w:pPr>
        <w:rPr>
          <w:rFonts w:hAnsi="宋体" w:cs="宋体"/>
          <w:highlight w:val="none"/>
        </w:rPr>
      </w:pPr>
    </w:p>
    <w:p w14:paraId="276D3E5B">
      <w:pPr>
        <w:rPr>
          <w:rFonts w:hAnsi="宋体" w:cs="宋体"/>
          <w:highlight w:val="none"/>
        </w:rPr>
      </w:pPr>
    </w:p>
    <w:p w14:paraId="5AA9B738">
      <w:pPr>
        <w:framePr w:hSpace="180" w:wrap="around" w:vAnchor="text" w:hAnchor="page" w:x="1472" w:y="18"/>
        <w:rPr>
          <w:rFonts w:hAnsi="宋体" w:cs="宋体"/>
          <w:b/>
          <w:bCs/>
          <w:sz w:val="32"/>
          <w:szCs w:val="32"/>
          <w:highlight w:val="none"/>
        </w:rPr>
      </w:pPr>
      <w:r>
        <w:rPr>
          <w:rFonts w:hint="eastAsia" w:hAnsi="宋体" w:cs="宋体"/>
          <w:b/>
          <w:bCs/>
          <w:sz w:val="32"/>
          <w:szCs w:val="32"/>
          <w:highlight w:val="none"/>
        </w:rPr>
        <w:t>项目编号：</w:t>
      </w:r>
    </w:p>
    <w:p w14:paraId="269D10EE">
      <w:pPr>
        <w:ind w:firstLine="4343" w:firstLineChars="1352"/>
        <w:rPr>
          <w:rFonts w:hAnsi="宋体" w:cs="宋体"/>
          <w:b/>
          <w:sz w:val="32"/>
          <w:szCs w:val="32"/>
          <w:highlight w:val="none"/>
        </w:rPr>
      </w:pPr>
      <w:r>
        <w:rPr>
          <w:rFonts w:hint="eastAsia" w:hAnsi="宋体" w:cs="宋体"/>
          <w:b/>
          <w:bCs/>
          <w:sz w:val="32"/>
          <w:szCs w:val="32"/>
          <w:highlight w:val="none"/>
        </w:rPr>
        <w:t xml:space="preserve">     </w:t>
      </w:r>
      <w:r>
        <w:rPr>
          <w:rFonts w:hint="eastAsia" w:hAnsi="宋体" w:cs="宋体"/>
          <w:b/>
          <w:sz w:val="32"/>
          <w:szCs w:val="32"/>
          <w:highlight w:val="none"/>
        </w:rPr>
        <w:t>（正本或副本）</w:t>
      </w:r>
    </w:p>
    <w:p w14:paraId="4F831EED">
      <w:pPr>
        <w:jc w:val="right"/>
        <w:rPr>
          <w:rFonts w:hAnsi="宋体" w:cs="宋体"/>
          <w:b/>
          <w:sz w:val="32"/>
          <w:szCs w:val="32"/>
          <w:highlight w:val="none"/>
        </w:rPr>
      </w:pPr>
    </w:p>
    <w:p w14:paraId="269402FA">
      <w:pPr>
        <w:jc w:val="right"/>
        <w:rPr>
          <w:rFonts w:hAnsi="宋体" w:cs="宋体"/>
          <w:b/>
          <w:sz w:val="32"/>
          <w:szCs w:val="32"/>
          <w:highlight w:val="none"/>
        </w:rPr>
      </w:pPr>
    </w:p>
    <w:p w14:paraId="2132880B">
      <w:pPr>
        <w:pStyle w:val="9"/>
        <w:rPr>
          <w:rFonts w:ascii="宋体" w:hAnsi="宋体" w:cs="宋体"/>
          <w:highlight w:val="none"/>
        </w:rPr>
      </w:pPr>
    </w:p>
    <w:p w14:paraId="1B163A9E">
      <w:pPr>
        <w:jc w:val="center"/>
        <w:rPr>
          <w:rFonts w:hint="eastAsia" w:hAnsi="宋体" w:cs="宋体"/>
          <w:b/>
          <w:sz w:val="52"/>
          <w:szCs w:val="52"/>
          <w:highlight w:val="none"/>
        </w:rPr>
      </w:pPr>
      <w:r>
        <w:rPr>
          <w:rFonts w:hint="eastAsia" w:hAnsi="宋体" w:cs="宋体"/>
          <w:b/>
          <w:sz w:val="40"/>
          <w:szCs w:val="44"/>
          <w:highlight w:val="none"/>
          <w:lang w:eastAsia="zh-CN"/>
        </w:rPr>
        <w:t>Y304王阎镇大坪至延坪镇白龙公路靳家河段380米道路改造项目</w:t>
      </w:r>
    </w:p>
    <w:p w14:paraId="2EA0E38D">
      <w:pPr>
        <w:jc w:val="center"/>
        <w:rPr>
          <w:rFonts w:hint="eastAsia" w:hAnsi="宋体" w:cs="宋体"/>
          <w:b/>
          <w:sz w:val="52"/>
          <w:szCs w:val="52"/>
          <w:highlight w:val="none"/>
        </w:rPr>
      </w:pPr>
    </w:p>
    <w:p w14:paraId="5FA177ED">
      <w:pPr>
        <w:jc w:val="center"/>
        <w:rPr>
          <w:rFonts w:hAnsi="宋体" w:cs="宋体"/>
          <w:b/>
          <w:sz w:val="56"/>
          <w:szCs w:val="56"/>
          <w:highlight w:val="none"/>
        </w:rPr>
      </w:pPr>
      <w:r>
        <w:rPr>
          <w:rFonts w:hint="eastAsia" w:hAnsi="宋体" w:cs="宋体"/>
          <w:b/>
          <w:sz w:val="52"/>
          <w:szCs w:val="52"/>
          <w:highlight w:val="none"/>
        </w:rPr>
        <w:t>竞争性磋商响应文件</w:t>
      </w:r>
    </w:p>
    <w:p w14:paraId="6F25241D">
      <w:pPr>
        <w:rPr>
          <w:rFonts w:hAnsi="宋体" w:cs="宋体"/>
          <w:b/>
          <w:sz w:val="36"/>
          <w:szCs w:val="36"/>
          <w:highlight w:val="none"/>
        </w:rPr>
      </w:pPr>
    </w:p>
    <w:p w14:paraId="3B4D7AE4">
      <w:pPr>
        <w:pStyle w:val="3"/>
        <w:rPr>
          <w:highlight w:val="none"/>
        </w:rPr>
      </w:pPr>
    </w:p>
    <w:p w14:paraId="165890B0">
      <w:pPr>
        <w:pStyle w:val="9"/>
        <w:rPr>
          <w:rFonts w:ascii="宋体" w:hAnsi="宋体" w:cs="宋体"/>
          <w:highlight w:val="none"/>
        </w:rPr>
      </w:pPr>
    </w:p>
    <w:p w14:paraId="259CE147">
      <w:pPr>
        <w:rPr>
          <w:rFonts w:hAnsi="宋体" w:cs="宋体"/>
          <w:b/>
          <w:sz w:val="36"/>
          <w:szCs w:val="36"/>
          <w:highlight w:val="none"/>
        </w:rPr>
      </w:pPr>
    </w:p>
    <w:p w14:paraId="28D83024">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14:paraId="3B4D665C">
      <w:pPr>
        <w:jc w:val="center"/>
        <w:rPr>
          <w:rFonts w:hAnsi="宋体" w:cs="宋体"/>
          <w:b/>
          <w:sz w:val="44"/>
          <w:highlight w:val="none"/>
        </w:rPr>
      </w:pPr>
      <w:r>
        <w:rPr>
          <w:rFonts w:hint="eastAsia" w:hAnsi="宋体" w:cs="宋体"/>
          <w:b/>
          <w:sz w:val="32"/>
          <w:szCs w:val="32"/>
          <w:highlight w:val="none"/>
        </w:rPr>
        <w:t xml:space="preserve"> 年   月</w:t>
      </w:r>
      <w:r>
        <w:rPr>
          <w:rFonts w:hint="eastAsia" w:hAnsi="宋体" w:cs="宋体"/>
          <w:b/>
          <w:sz w:val="32"/>
          <w:szCs w:val="32"/>
          <w:highlight w:val="none"/>
          <w:lang w:val="en-US" w:eastAsia="zh-CN"/>
        </w:rPr>
        <w:t xml:space="preserve">    日</w:t>
      </w:r>
      <w:r>
        <w:rPr>
          <w:rFonts w:hint="eastAsia" w:hAnsi="宋体" w:cs="宋体"/>
          <w:b/>
          <w:sz w:val="36"/>
          <w:szCs w:val="36"/>
          <w:highlight w:val="none"/>
        </w:rPr>
        <w:br w:type="page"/>
      </w:r>
      <w:bookmarkStart w:id="111" w:name="_Toc344572156"/>
    </w:p>
    <w:p w14:paraId="7CC51F43">
      <w:pPr>
        <w:jc w:val="center"/>
        <w:rPr>
          <w:rFonts w:hAnsi="宋体" w:cs="宋体"/>
          <w:b/>
          <w:sz w:val="44"/>
          <w:highlight w:val="none"/>
        </w:rPr>
      </w:pPr>
      <w:r>
        <w:rPr>
          <w:rFonts w:hint="eastAsia" w:hAnsi="宋体" w:cs="宋体"/>
          <w:b/>
          <w:sz w:val="44"/>
          <w:highlight w:val="none"/>
        </w:rPr>
        <w:t>目  录</w:t>
      </w:r>
    </w:p>
    <w:p w14:paraId="0A198BC2">
      <w:pPr>
        <w:pStyle w:val="9"/>
        <w:rPr>
          <w:rFonts w:ascii="宋体" w:hAnsi="宋体" w:cs="宋体"/>
          <w:highlight w:val="none"/>
        </w:rPr>
      </w:pPr>
    </w:p>
    <w:p w14:paraId="15A30BF5">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一、磋商响应函</w:t>
      </w:r>
    </w:p>
    <w:p w14:paraId="404B08BC">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二、磋商报价表</w:t>
      </w:r>
    </w:p>
    <w:p w14:paraId="1F0DC14D">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三、磋商方案说明书</w:t>
      </w:r>
    </w:p>
    <w:p w14:paraId="4DE78524">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四、商务条款偏离表</w:t>
      </w:r>
    </w:p>
    <w:p w14:paraId="27331685">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五、陕西省政府采购供应商拒绝政府采购领域商业贿赂承诺书</w:t>
      </w:r>
    </w:p>
    <w:p w14:paraId="49041A9A">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六、特定资格证明文件</w:t>
      </w:r>
    </w:p>
    <w:p w14:paraId="031E328B">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七、其他</w:t>
      </w:r>
    </w:p>
    <w:p w14:paraId="20FA92C8">
      <w:pPr>
        <w:pStyle w:val="6"/>
        <w:spacing w:line="360" w:lineRule="auto"/>
        <w:rPr>
          <w:rFonts w:ascii="宋体" w:hAnsi="宋体" w:cs="宋体"/>
          <w:highlight w:val="none"/>
        </w:rPr>
      </w:pPr>
    </w:p>
    <w:p w14:paraId="36075F47">
      <w:pPr>
        <w:pStyle w:val="6"/>
        <w:spacing w:line="360" w:lineRule="auto"/>
        <w:rPr>
          <w:rFonts w:ascii="宋体" w:hAnsi="宋体" w:cs="宋体"/>
          <w:highlight w:val="none"/>
        </w:rPr>
      </w:pPr>
    </w:p>
    <w:p w14:paraId="5126A8B9">
      <w:pPr>
        <w:keepNext/>
        <w:keepLines/>
        <w:widowControl/>
        <w:tabs>
          <w:tab w:val="left" w:pos="3705"/>
        </w:tabs>
        <w:spacing w:line="360" w:lineRule="auto"/>
        <w:ind w:left="3708"/>
        <w:rPr>
          <w:rFonts w:hAnsi="宋体" w:cs="宋体"/>
          <w:bCs/>
          <w:sz w:val="44"/>
          <w:highlight w:val="none"/>
        </w:rPr>
      </w:pPr>
    </w:p>
    <w:p w14:paraId="00A8ACDE">
      <w:pPr>
        <w:pStyle w:val="6"/>
        <w:ind w:firstLine="880"/>
        <w:rPr>
          <w:rFonts w:ascii="宋体" w:hAnsi="宋体" w:cs="宋体"/>
          <w:bCs/>
          <w:sz w:val="44"/>
          <w:highlight w:val="none"/>
        </w:rPr>
      </w:pPr>
    </w:p>
    <w:p w14:paraId="29650AF2">
      <w:pPr>
        <w:pStyle w:val="6"/>
        <w:ind w:firstLine="880"/>
        <w:rPr>
          <w:rFonts w:ascii="宋体" w:hAnsi="宋体" w:cs="宋体"/>
          <w:bCs/>
          <w:sz w:val="44"/>
          <w:highlight w:val="none"/>
        </w:rPr>
      </w:pPr>
    </w:p>
    <w:bookmarkEnd w:id="111"/>
    <w:p w14:paraId="570917A5">
      <w:pPr>
        <w:pStyle w:val="9"/>
        <w:rPr>
          <w:rFonts w:ascii="宋体" w:hAnsi="宋体" w:cs="宋体"/>
          <w:b/>
          <w:sz w:val="32"/>
          <w:szCs w:val="32"/>
          <w:highlight w:val="none"/>
        </w:rPr>
      </w:pPr>
      <w:bookmarkStart w:id="112" w:name="_Toc403077648"/>
      <w:bookmarkStart w:id="113" w:name="_Toc363474027"/>
      <w:bookmarkStart w:id="114" w:name="_Toc204524343"/>
    </w:p>
    <w:p w14:paraId="0C333ECC">
      <w:pPr>
        <w:pStyle w:val="9"/>
        <w:rPr>
          <w:rFonts w:ascii="宋体" w:hAnsi="宋体" w:cs="宋体"/>
          <w:b/>
          <w:sz w:val="32"/>
          <w:szCs w:val="32"/>
          <w:highlight w:val="none"/>
        </w:rPr>
      </w:pPr>
    </w:p>
    <w:p w14:paraId="21C7EB77">
      <w:pPr>
        <w:pStyle w:val="9"/>
        <w:rPr>
          <w:rFonts w:ascii="宋体" w:hAnsi="宋体" w:cs="宋体"/>
          <w:b/>
          <w:sz w:val="32"/>
          <w:szCs w:val="32"/>
          <w:highlight w:val="none"/>
        </w:rPr>
      </w:pPr>
    </w:p>
    <w:p w14:paraId="3296B48E">
      <w:pPr>
        <w:spacing w:line="520" w:lineRule="exact"/>
        <w:jc w:val="center"/>
        <w:outlineLvl w:val="1"/>
        <w:rPr>
          <w:rFonts w:hAnsi="宋体" w:cs="宋体"/>
          <w:b/>
          <w:sz w:val="32"/>
          <w:szCs w:val="32"/>
          <w:highlight w:val="none"/>
        </w:rPr>
      </w:pPr>
      <w:r>
        <w:rPr>
          <w:rFonts w:hint="eastAsia" w:hAnsi="宋体" w:cs="宋体"/>
          <w:b/>
          <w:sz w:val="32"/>
          <w:szCs w:val="32"/>
          <w:highlight w:val="none"/>
        </w:rPr>
        <w:br w:type="page"/>
      </w:r>
      <w:bookmarkStart w:id="115" w:name="_Toc16320"/>
      <w:bookmarkStart w:id="116" w:name="_Toc32002"/>
      <w:bookmarkStart w:id="117" w:name="_Toc15762"/>
      <w:bookmarkStart w:id="118" w:name="_Toc4367"/>
      <w:r>
        <w:rPr>
          <w:rFonts w:hint="eastAsia" w:hAnsi="宋体" w:cs="宋体"/>
          <w:b/>
          <w:sz w:val="32"/>
          <w:szCs w:val="32"/>
          <w:highlight w:val="none"/>
        </w:rPr>
        <w:t>一、磋商</w:t>
      </w:r>
      <w:bookmarkEnd w:id="112"/>
      <w:bookmarkEnd w:id="113"/>
      <w:r>
        <w:rPr>
          <w:rFonts w:hint="eastAsia" w:hAnsi="宋体" w:cs="宋体"/>
          <w:b/>
          <w:sz w:val="32"/>
          <w:szCs w:val="32"/>
          <w:highlight w:val="none"/>
        </w:rPr>
        <w:t>响应函</w:t>
      </w:r>
      <w:bookmarkEnd w:id="115"/>
      <w:bookmarkEnd w:id="116"/>
      <w:bookmarkEnd w:id="117"/>
      <w:bookmarkEnd w:id="118"/>
    </w:p>
    <w:p w14:paraId="0BCD0A28">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陕西至诚项目管理集团有限公司</w:t>
      </w:r>
    </w:p>
    <w:p w14:paraId="1B2B9240">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w:t>
      </w:r>
      <w:r>
        <w:rPr>
          <w:rFonts w:hint="eastAsia" w:hAnsi="宋体" w:cs="宋体"/>
          <w:spacing w:val="4"/>
          <w:szCs w:val="24"/>
          <w:highlight w:val="none"/>
          <w:u w:val="single"/>
          <w:lang w:val="en-US" w:eastAsia="zh-CN"/>
        </w:rPr>
        <w:t xml:space="preserve">   </w:t>
      </w:r>
      <w:r>
        <w:rPr>
          <w:rFonts w:hint="eastAsia" w:hAnsi="宋体" w:cs="宋体"/>
          <w:spacing w:val="4"/>
          <w:szCs w:val="24"/>
          <w:highlight w:val="none"/>
        </w:rPr>
        <w:t>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w:t>
      </w:r>
    </w:p>
    <w:p w14:paraId="7D89B9B8">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14:paraId="63643CE2">
      <w:pPr>
        <w:numPr>
          <w:ilvl w:val="0"/>
          <w:numId w:val="16"/>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14:paraId="21C14530">
      <w:pPr>
        <w:numPr>
          <w:ilvl w:val="0"/>
          <w:numId w:val="16"/>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14:paraId="3661B406">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14:paraId="09163A21">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14:paraId="0E1C51D3">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5）如果在磋商后规定的磋商有效期内撤回磋商，我们的磋商保证金可被贵方没收。</w:t>
      </w:r>
    </w:p>
    <w:p w14:paraId="648C2E79">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6）同意提供贵方可能另外要求的与本磋商有关的任何证据和资料。 </w:t>
      </w:r>
    </w:p>
    <w:p w14:paraId="0D9A5671">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7）我们同意，如果成交，向陕西至诚项目管理集团有限公司交纳招标代理服务费。</w:t>
      </w:r>
    </w:p>
    <w:p w14:paraId="6BEEC59A">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8）与本磋商有关的一切正式往来通讯为：</w:t>
      </w:r>
    </w:p>
    <w:p w14:paraId="17C77170">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14:paraId="713C530B">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14:paraId="4FD649E5">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14:paraId="2B0CE576">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14:paraId="23A81162">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14:paraId="5E06C2AF">
      <w:pPr>
        <w:spacing w:line="280" w:lineRule="exact"/>
        <w:ind w:right="617" w:rightChars="257" w:firstLine="1200" w:firstLineChars="500"/>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29924051">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14:paraId="367B25F7">
      <w:pPr>
        <w:pStyle w:val="3"/>
        <w:spacing w:before="312" w:beforeLines="100" w:line="360" w:lineRule="auto"/>
        <w:jc w:val="center"/>
        <w:rPr>
          <w:rFonts w:ascii="宋体" w:hAnsi="宋体" w:cs="宋体"/>
          <w:bCs w:val="0"/>
          <w:sz w:val="32"/>
          <w:highlight w:val="none"/>
        </w:rPr>
      </w:pPr>
      <w:r>
        <w:rPr>
          <w:rFonts w:hint="eastAsia" w:ascii="宋体" w:hAnsi="宋体" w:cs="宋体"/>
          <w:highlight w:val="none"/>
        </w:rPr>
        <w:br w:type="page"/>
      </w:r>
      <w:bookmarkStart w:id="119" w:name="_Toc9730"/>
      <w:bookmarkStart w:id="120" w:name="_Toc403077651"/>
      <w:bookmarkStart w:id="121" w:name="_Toc28910"/>
      <w:bookmarkStart w:id="122" w:name="_Toc17800"/>
      <w:bookmarkStart w:id="123" w:name="_Toc363474030"/>
      <w:bookmarkStart w:id="124" w:name="_Toc732"/>
      <w:r>
        <w:rPr>
          <w:rFonts w:hint="eastAsia" w:ascii="宋体" w:hAnsi="宋体" w:cs="宋体"/>
          <w:bCs w:val="0"/>
          <w:sz w:val="32"/>
          <w:highlight w:val="none"/>
        </w:rPr>
        <w:t>二、磋商报价表</w:t>
      </w:r>
      <w:bookmarkEnd w:id="119"/>
      <w:bookmarkEnd w:id="120"/>
      <w:bookmarkEnd w:id="121"/>
      <w:bookmarkEnd w:id="122"/>
      <w:bookmarkEnd w:id="123"/>
      <w:bookmarkEnd w:id="124"/>
    </w:p>
    <w:p w14:paraId="7E57459C">
      <w:pPr>
        <w:spacing w:line="360" w:lineRule="auto"/>
        <w:jc w:val="center"/>
        <w:rPr>
          <w:rFonts w:hAnsi="宋体" w:cs="宋体"/>
          <w:szCs w:val="24"/>
          <w:highlight w:val="none"/>
        </w:rPr>
      </w:pPr>
      <w:r>
        <w:rPr>
          <w:rFonts w:hint="eastAsia" w:hAnsi="宋体" w:cs="宋体"/>
          <w:szCs w:val="24"/>
          <w:highlight w:val="none"/>
        </w:rPr>
        <w:t>2.1报价一览表</w:t>
      </w:r>
    </w:p>
    <w:p w14:paraId="3CF847AE">
      <w:pPr>
        <w:spacing w:line="360" w:lineRule="auto"/>
        <w:jc w:val="center"/>
        <w:rPr>
          <w:rFonts w:hAnsi="宋体" w:cs="宋体"/>
          <w:szCs w:val="24"/>
          <w:highlight w:val="none"/>
        </w:rPr>
      </w:pPr>
    </w:p>
    <w:p w14:paraId="01B48570">
      <w:pPr>
        <w:jc w:val="left"/>
        <w:rPr>
          <w:rFonts w:hAnsi="宋体" w:cs="宋体"/>
          <w:sz w:val="24"/>
          <w:szCs w:val="24"/>
          <w:highlight w:val="none"/>
        </w:rPr>
      </w:pPr>
      <w:r>
        <w:rPr>
          <w:rFonts w:hint="eastAsia" w:hAnsi="宋体" w:cs="宋体"/>
          <w:sz w:val="24"/>
          <w:szCs w:val="24"/>
          <w:highlight w:val="none"/>
        </w:rPr>
        <w:t xml:space="preserve">项目名称：                                                 </w:t>
      </w:r>
    </w:p>
    <w:p w14:paraId="2B0CA6F2">
      <w:pPr>
        <w:jc w:val="left"/>
        <w:rPr>
          <w:rFonts w:hAnsi="宋体" w:cs="宋体"/>
          <w:sz w:val="24"/>
          <w:szCs w:val="24"/>
          <w:highlight w:val="none"/>
        </w:rPr>
      </w:pPr>
      <w:r>
        <w:rPr>
          <w:rFonts w:hint="eastAsia" w:hAnsi="宋体" w:cs="宋体"/>
          <w:sz w:val="24"/>
          <w:szCs w:val="24"/>
          <w:highlight w:val="none"/>
        </w:rPr>
        <w:t xml:space="preserve">项目编号：                                               </w:t>
      </w:r>
    </w:p>
    <w:tbl>
      <w:tblPr>
        <w:tblStyle w:val="22"/>
        <w:tblpPr w:leftFromText="180" w:rightFromText="180" w:vertAnchor="page" w:horzAnchor="margin" w:tblpXSpec="center" w:tblpY="478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6648"/>
        <w:gridCol w:w="8"/>
      </w:tblGrid>
      <w:tr w14:paraId="453F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0" w:hRule="atLeast"/>
        </w:trPr>
        <w:tc>
          <w:tcPr>
            <w:tcW w:w="1499" w:type="pct"/>
            <w:vMerge w:val="restart"/>
            <w:vAlign w:val="center"/>
          </w:tcPr>
          <w:p w14:paraId="5FEB49A7">
            <w:pPr>
              <w:jc w:val="center"/>
              <w:rPr>
                <w:rFonts w:hAnsi="宋体"/>
                <w:sz w:val="24"/>
                <w:szCs w:val="24"/>
                <w:highlight w:val="none"/>
              </w:rPr>
            </w:pPr>
            <w:r>
              <w:rPr>
                <w:rFonts w:hint="eastAsia" w:hAnsi="宋体"/>
                <w:sz w:val="24"/>
                <w:szCs w:val="24"/>
                <w:highlight w:val="none"/>
              </w:rPr>
              <w:t>磋商总报价（元）</w:t>
            </w:r>
          </w:p>
        </w:tc>
        <w:tc>
          <w:tcPr>
            <w:tcW w:w="3496" w:type="pct"/>
            <w:vAlign w:val="center"/>
          </w:tcPr>
          <w:p w14:paraId="37866A49">
            <w:pPr>
              <w:rPr>
                <w:rFonts w:hAnsi="宋体"/>
                <w:sz w:val="24"/>
                <w:szCs w:val="24"/>
                <w:highlight w:val="none"/>
              </w:rPr>
            </w:pPr>
            <w:r>
              <w:rPr>
                <w:rFonts w:hint="eastAsia" w:hAnsi="宋体"/>
                <w:sz w:val="24"/>
                <w:szCs w:val="24"/>
                <w:highlight w:val="none"/>
              </w:rPr>
              <w:t>小写：</w:t>
            </w:r>
          </w:p>
        </w:tc>
      </w:tr>
      <w:tr w14:paraId="6CF1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0" w:hRule="atLeast"/>
        </w:trPr>
        <w:tc>
          <w:tcPr>
            <w:tcW w:w="1499" w:type="pct"/>
            <w:vMerge w:val="continue"/>
            <w:vAlign w:val="center"/>
          </w:tcPr>
          <w:p w14:paraId="5496530A">
            <w:pPr>
              <w:jc w:val="center"/>
              <w:rPr>
                <w:rFonts w:hAnsi="宋体"/>
                <w:sz w:val="24"/>
                <w:szCs w:val="24"/>
                <w:highlight w:val="none"/>
              </w:rPr>
            </w:pPr>
          </w:p>
        </w:tc>
        <w:tc>
          <w:tcPr>
            <w:tcW w:w="3496" w:type="pct"/>
            <w:vAlign w:val="center"/>
          </w:tcPr>
          <w:p w14:paraId="60D59E63">
            <w:pPr>
              <w:rPr>
                <w:rFonts w:hAnsi="宋体"/>
                <w:sz w:val="24"/>
                <w:szCs w:val="24"/>
                <w:highlight w:val="none"/>
              </w:rPr>
            </w:pPr>
            <w:r>
              <w:rPr>
                <w:rFonts w:hint="eastAsia" w:hAnsi="宋体"/>
                <w:sz w:val="24"/>
                <w:szCs w:val="24"/>
                <w:highlight w:val="none"/>
              </w:rPr>
              <w:t>大写：</w:t>
            </w:r>
          </w:p>
        </w:tc>
      </w:tr>
      <w:tr w14:paraId="4580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9" w:type="pct"/>
            <w:vAlign w:val="center"/>
          </w:tcPr>
          <w:p w14:paraId="47E7AE13">
            <w:pPr>
              <w:jc w:val="center"/>
              <w:rPr>
                <w:rFonts w:hAnsi="宋体"/>
                <w:sz w:val="24"/>
                <w:szCs w:val="24"/>
                <w:highlight w:val="none"/>
              </w:rPr>
            </w:pPr>
            <w:r>
              <w:rPr>
                <w:rFonts w:hint="eastAsia" w:hAnsi="宋体"/>
                <w:sz w:val="24"/>
                <w:szCs w:val="24"/>
                <w:highlight w:val="none"/>
              </w:rPr>
              <w:t>项目经理</w:t>
            </w:r>
          </w:p>
        </w:tc>
        <w:tc>
          <w:tcPr>
            <w:tcW w:w="3500" w:type="pct"/>
            <w:gridSpan w:val="2"/>
            <w:vAlign w:val="center"/>
          </w:tcPr>
          <w:p w14:paraId="4BC5C5A9">
            <w:pPr>
              <w:rPr>
                <w:rFonts w:hAnsi="宋体"/>
                <w:sz w:val="24"/>
                <w:szCs w:val="24"/>
                <w:highlight w:val="none"/>
              </w:rPr>
            </w:pPr>
          </w:p>
        </w:tc>
      </w:tr>
      <w:tr w14:paraId="159C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9" w:type="pct"/>
            <w:vAlign w:val="center"/>
          </w:tcPr>
          <w:p w14:paraId="33C9995E">
            <w:pPr>
              <w:jc w:val="center"/>
              <w:rPr>
                <w:rFonts w:hAnsi="宋体"/>
                <w:sz w:val="24"/>
                <w:szCs w:val="24"/>
                <w:highlight w:val="none"/>
              </w:rPr>
            </w:pPr>
            <w:r>
              <w:rPr>
                <w:rFonts w:hint="eastAsia" w:hAnsi="宋体"/>
                <w:sz w:val="24"/>
                <w:szCs w:val="24"/>
                <w:highlight w:val="none"/>
              </w:rPr>
              <w:t>质量标准</w:t>
            </w:r>
          </w:p>
        </w:tc>
        <w:tc>
          <w:tcPr>
            <w:tcW w:w="3500" w:type="pct"/>
            <w:gridSpan w:val="2"/>
            <w:vAlign w:val="center"/>
          </w:tcPr>
          <w:p w14:paraId="56A3C7C7">
            <w:pPr>
              <w:rPr>
                <w:rFonts w:hAnsi="宋体"/>
                <w:sz w:val="24"/>
                <w:szCs w:val="24"/>
                <w:highlight w:val="none"/>
              </w:rPr>
            </w:pPr>
          </w:p>
        </w:tc>
      </w:tr>
      <w:tr w14:paraId="033D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9" w:type="pct"/>
            <w:vAlign w:val="center"/>
          </w:tcPr>
          <w:p w14:paraId="52262E9C">
            <w:pPr>
              <w:jc w:val="center"/>
              <w:rPr>
                <w:rFonts w:hAnsi="宋体"/>
                <w:sz w:val="24"/>
                <w:szCs w:val="24"/>
                <w:highlight w:val="none"/>
              </w:rPr>
            </w:pPr>
            <w:r>
              <w:rPr>
                <w:rFonts w:hint="eastAsia" w:hAnsi="宋体"/>
                <w:sz w:val="24"/>
                <w:szCs w:val="24"/>
                <w:highlight w:val="none"/>
              </w:rPr>
              <w:t>工期</w:t>
            </w:r>
          </w:p>
        </w:tc>
        <w:tc>
          <w:tcPr>
            <w:tcW w:w="3500" w:type="pct"/>
            <w:gridSpan w:val="2"/>
            <w:vAlign w:val="center"/>
          </w:tcPr>
          <w:p w14:paraId="65997A9A">
            <w:pPr>
              <w:rPr>
                <w:rFonts w:hAnsi="宋体"/>
                <w:sz w:val="24"/>
                <w:szCs w:val="24"/>
                <w:highlight w:val="none"/>
              </w:rPr>
            </w:pPr>
          </w:p>
        </w:tc>
      </w:tr>
      <w:tr w14:paraId="3528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9" w:type="pct"/>
            <w:vAlign w:val="center"/>
          </w:tcPr>
          <w:p w14:paraId="31863C20">
            <w:pPr>
              <w:jc w:val="center"/>
              <w:rPr>
                <w:rFonts w:hAnsi="宋体"/>
                <w:sz w:val="24"/>
                <w:szCs w:val="24"/>
                <w:highlight w:val="none"/>
              </w:rPr>
            </w:pPr>
            <w:r>
              <w:rPr>
                <w:rFonts w:hint="eastAsia" w:hAnsi="宋体"/>
                <w:sz w:val="24"/>
                <w:szCs w:val="24"/>
                <w:highlight w:val="none"/>
              </w:rPr>
              <w:t>备注</w:t>
            </w:r>
          </w:p>
        </w:tc>
        <w:tc>
          <w:tcPr>
            <w:tcW w:w="3500" w:type="pct"/>
            <w:gridSpan w:val="2"/>
            <w:vAlign w:val="center"/>
          </w:tcPr>
          <w:p w14:paraId="259938C6">
            <w:pPr>
              <w:rPr>
                <w:rFonts w:hint="eastAsia" w:hAnsi="宋体" w:eastAsia="宋体"/>
                <w:sz w:val="24"/>
                <w:szCs w:val="24"/>
                <w:highlight w:val="none"/>
                <w:lang w:eastAsia="zh-CN"/>
              </w:rPr>
            </w:pPr>
          </w:p>
        </w:tc>
      </w:tr>
    </w:tbl>
    <w:p w14:paraId="567F2FB8">
      <w:pPr>
        <w:spacing w:line="280" w:lineRule="exact"/>
        <w:ind w:right="617" w:rightChars="257"/>
        <w:jc w:val="left"/>
        <w:rPr>
          <w:rFonts w:hAnsi="宋体" w:cs="宋体"/>
          <w:sz w:val="24"/>
          <w:szCs w:val="24"/>
          <w:highlight w:val="none"/>
        </w:rPr>
      </w:pPr>
    </w:p>
    <w:p w14:paraId="28D05647">
      <w:pPr>
        <w:pStyle w:val="3"/>
        <w:rPr>
          <w:sz w:val="24"/>
          <w:szCs w:val="24"/>
          <w:highlight w:val="none"/>
        </w:rPr>
      </w:pPr>
    </w:p>
    <w:p w14:paraId="155A3951">
      <w:pPr>
        <w:spacing w:line="280" w:lineRule="exact"/>
        <w:ind w:right="617" w:rightChars="257"/>
        <w:jc w:val="left"/>
        <w:rPr>
          <w:rFonts w:hAnsi="宋体" w:cs="宋体"/>
          <w:sz w:val="24"/>
          <w:szCs w:val="24"/>
          <w:highlight w:val="none"/>
        </w:rPr>
      </w:pPr>
      <w:r>
        <w:rPr>
          <w:rFonts w:hint="eastAsia" w:hAnsi="宋体" w:cs="宋体"/>
          <w:sz w:val="24"/>
          <w:szCs w:val="24"/>
          <w:highlight w:val="none"/>
        </w:rPr>
        <w:t>供应商名称：</w:t>
      </w:r>
      <w:r>
        <w:rPr>
          <w:rFonts w:hint="eastAsia" w:hAnsi="宋体" w:cs="宋体"/>
          <w:sz w:val="24"/>
          <w:szCs w:val="24"/>
          <w:highlight w:val="none"/>
          <w:u w:val="single"/>
        </w:rPr>
        <w:t xml:space="preserve">      （加盖单位公章）      </w:t>
      </w:r>
    </w:p>
    <w:p w14:paraId="5EE8872C">
      <w:pPr>
        <w:spacing w:line="280" w:lineRule="exact"/>
        <w:ind w:right="617" w:rightChars="257"/>
        <w:jc w:val="left"/>
        <w:rPr>
          <w:rFonts w:hAnsi="宋体" w:cs="宋体"/>
          <w:sz w:val="24"/>
          <w:szCs w:val="24"/>
          <w:highlight w:val="none"/>
        </w:rPr>
      </w:pPr>
    </w:p>
    <w:p w14:paraId="06047E81">
      <w:pPr>
        <w:spacing w:line="280" w:lineRule="exact"/>
        <w:ind w:right="617" w:rightChars="257"/>
        <w:jc w:val="left"/>
        <w:rPr>
          <w:rFonts w:hAnsi="宋体" w:cs="宋体"/>
          <w:sz w:val="24"/>
          <w:szCs w:val="24"/>
          <w:highlight w:val="none"/>
        </w:rPr>
      </w:pPr>
      <w:r>
        <w:rPr>
          <w:rFonts w:hint="eastAsia" w:hAnsi="宋体" w:cs="宋体"/>
          <w:sz w:val="24"/>
          <w:szCs w:val="24"/>
          <w:highlight w:val="none"/>
        </w:rPr>
        <w:t>法定代表人或委托代理人签字</w:t>
      </w:r>
      <w:r>
        <w:rPr>
          <w:rFonts w:hint="eastAsia" w:hAnsi="宋体" w:cs="宋体"/>
          <w:spacing w:val="4"/>
          <w:sz w:val="24"/>
          <w:szCs w:val="24"/>
          <w:highlight w:val="none"/>
        </w:rPr>
        <w:t>或盖章</w:t>
      </w:r>
      <w:r>
        <w:rPr>
          <w:rFonts w:hint="eastAsia" w:hAnsi="宋体" w:cs="宋体"/>
          <w:sz w:val="24"/>
          <w:szCs w:val="24"/>
          <w:highlight w:val="none"/>
        </w:rPr>
        <w:t>：</w:t>
      </w:r>
    </w:p>
    <w:p w14:paraId="7195CA1E">
      <w:pPr>
        <w:spacing w:line="280" w:lineRule="exact"/>
        <w:ind w:right="617" w:rightChars="257"/>
        <w:jc w:val="left"/>
        <w:rPr>
          <w:rFonts w:hAnsi="宋体" w:cs="宋体"/>
          <w:sz w:val="24"/>
          <w:szCs w:val="24"/>
          <w:highlight w:val="none"/>
        </w:rPr>
      </w:pPr>
    </w:p>
    <w:p w14:paraId="18AFB58C">
      <w:pPr>
        <w:spacing w:line="280" w:lineRule="exact"/>
        <w:ind w:right="617" w:rightChars="257"/>
        <w:rPr>
          <w:rFonts w:hAnsi="宋体" w:cs="宋体"/>
          <w:sz w:val="24"/>
          <w:szCs w:val="24"/>
          <w:highlight w:val="none"/>
        </w:rPr>
      </w:pPr>
      <w:r>
        <w:rPr>
          <w:rFonts w:hint="eastAsia" w:hAnsi="宋体" w:cs="宋体"/>
          <w:sz w:val="24"/>
          <w:szCs w:val="24"/>
          <w:highlight w:val="none"/>
        </w:rPr>
        <w:t>日    期：</w:t>
      </w:r>
    </w:p>
    <w:p w14:paraId="33FCBE72">
      <w:pPr>
        <w:jc w:val="center"/>
        <w:rPr>
          <w:rFonts w:hAnsi="宋体" w:cs="宋体"/>
          <w:sz w:val="24"/>
          <w:szCs w:val="24"/>
          <w:highlight w:val="none"/>
        </w:rPr>
      </w:pPr>
    </w:p>
    <w:p w14:paraId="5DB9FF9D">
      <w:pPr>
        <w:spacing w:before="156" w:beforeLines="50" w:after="156" w:afterLines="50" w:line="400" w:lineRule="atLeast"/>
        <w:rPr>
          <w:rFonts w:hAnsi="宋体" w:cs="宋体"/>
          <w:b/>
          <w:sz w:val="24"/>
          <w:szCs w:val="24"/>
          <w:highlight w:val="none"/>
        </w:rPr>
      </w:pPr>
      <w:r>
        <w:rPr>
          <w:rFonts w:hint="eastAsia" w:hAnsi="宋体" w:cs="宋体"/>
          <w:sz w:val="24"/>
          <w:szCs w:val="24"/>
          <w:highlight w:val="none"/>
        </w:rPr>
        <w:t>注：本表应按“供应商须知”的规定密封单独提交。若有折扣声明，请与本表一并装订和密封。严格按照表格格式报价。</w:t>
      </w:r>
    </w:p>
    <w:p w14:paraId="174BCB01">
      <w:pPr>
        <w:numPr>
          <w:ilvl w:val="0"/>
          <w:numId w:val="0"/>
        </w:numPr>
        <w:ind w:leftChars="0"/>
        <w:jc w:val="center"/>
        <w:rPr>
          <w:rFonts w:hint="eastAsia" w:eastAsia="宋体"/>
          <w:highlight w:val="none"/>
          <w:lang w:val="en-US" w:eastAsia="zh-CN"/>
        </w:rPr>
      </w:pPr>
      <w:r>
        <w:rPr>
          <w:rFonts w:hint="eastAsia" w:hAnsi="宋体" w:cs="宋体"/>
          <w:b/>
          <w:sz w:val="24"/>
          <w:szCs w:val="24"/>
          <w:highlight w:val="none"/>
        </w:rPr>
        <w:br w:type="page"/>
      </w:r>
      <w:r>
        <w:rPr>
          <w:rFonts w:hint="eastAsia" w:hAnsi="宋体" w:cs="宋体"/>
          <w:b/>
          <w:sz w:val="30"/>
          <w:szCs w:val="30"/>
          <w:highlight w:val="none"/>
        </w:rPr>
        <w:t>2.2</w:t>
      </w:r>
      <w:r>
        <w:rPr>
          <w:rFonts w:hint="eastAsia" w:ascii="宋体" w:hAnsi="宋体" w:eastAsia="宋体" w:cs="宋体"/>
          <w:b/>
          <w:bCs/>
          <w:kern w:val="2"/>
          <w:sz w:val="32"/>
          <w:szCs w:val="32"/>
          <w:highlight w:val="none"/>
          <w:lang w:val="en-US" w:eastAsia="zh-CN" w:bidi="ar-SA"/>
        </w:rPr>
        <w:t>已标价的工程量清单</w:t>
      </w:r>
    </w:p>
    <w:p w14:paraId="488ECAFA">
      <w:pPr>
        <w:jc w:val="center"/>
        <w:rPr>
          <w:rFonts w:hint="eastAsia" w:hAnsi="宋体" w:cs="宋体"/>
          <w:b/>
          <w:sz w:val="30"/>
          <w:szCs w:val="30"/>
          <w:highlight w:val="none"/>
        </w:rPr>
      </w:pPr>
    </w:p>
    <w:p w14:paraId="5AF9DC82">
      <w:pPr>
        <w:rPr>
          <w:rFonts w:hint="eastAsia" w:hAnsi="宋体" w:cs="宋体"/>
          <w:b/>
          <w:sz w:val="30"/>
          <w:szCs w:val="30"/>
          <w:highlight w:val="none"/>
          <w:lang w:val="en-US" w:eastAsia="zh-CN"/>
        </w:rPr>
      </w:pPr>
    </w:p>
    <w:p w14:paraId="091D0597">
      <w:pPr>
        <w:pStyle w:val="9"/>
        <w:rPr>
          <w:rFonts w:ascii="宋体" w:hAnsi="宋体" w:cs="宋体"/>
          <w:highlight w:val="none"/>
        </w:rPr>
      </w:pPr>
    </w:p>
    <w:p w14:paraId="38F599A9">
      <w:pPr>
        <w:ind w:firstLine="420"/>
        <w:rPr>
          <w:rFonts w:hAnsi="宋体" w:cs="宋体"/>
          <w:highlight w:val="none"/>
        </w:rPr>
      </w:pPr>
    </w:p>
    <w:p w14:paraId="1B4384CD">
      <w:pPr>
        <w:pStyle w:val="9"/>
        <w:spacing w:line="360" w:lineRule="auto"/>
        <w:rPr>
          <w:rFonts w:ascii="宋体" w:hAnsi="宋体" w:cs="宋体"/>
          <w:sz w:val="28"/>
          <w:szCs w:val="28"/>
          <w:highlight w:val="none"/>
        </w:rPr>
      </w:pPr>
    </w:p>
    <w:p w14:paraId="6D463F6C">
      <w:pPr>
        <w:rPr>
          <w:rFonts w:hAnsi="宋体" w:cs="宋体"/>
          <w:highlight w:val="none"/>
        </w:rPr>
      </w:pPr>
    </w:p>
    <w:bookmarkEnd w:id="114"/>
    <w:p w14:paraId="5C446C49">
      <w:pPr>
        <w:jc w:val="center"/>
        <w:outlineLvl w:val="1"/>
        <w:rPr>
          <w:rFonts w:hAnsi="宋体" w:cs="宋体"/>
          <w:sz w:val="32"/>
          <w:szCs w:val="32"/>
          <w:highlight w:val="none"/>
        </w:rPr>
      </w:pPr>
      <w:bookmarkStart w:id="125" w:name="_Toc344572163"/>
      <w:r>
        <w:rPr>
          <w:rFonts w:hint="eastAsia" w:hAnsi="宋体" w:cs="宋体"/>
          <w:sz w:val="32"/>
          <w:szCs w:val="32"/>
          <w:highlight w:val="none"/>
        </w:rPr>
        <w:br w:type="page"/>
      </w:r>
      <w:bookmarkStart w:id="126" w:name="_Toc32126"/>
      <w:bookmarkStart w:id="127" w:name="_Toc3628"/>
      <w:bookmarkStart w:id="128" w:name="_Toc5944"/>
      <w:bookmarkStart w:id="129" w:name="_Toc24936"/>
      <w:r>
        <w:rPr>
          <w:rFonts w:hint="eastAsia" w:hAnsi="宋体" w:cs="宋体"/>
          <w:b/>
          <w:bCs/>
          <w:sz w:val="32"/>
          <w:szCs w:val="32"/>
          <w:highlight w:val="none"/>
        </w:rPr>
        <w:t>三、磋商方案说明书</w:t>
      </w:r>
      <w:bookmarkEnd w:id="126"/>
      <w:bookmarkEnd w:id="127"/>
      <w:bookmarkEnd w:id="128"/>
      <w:bookmarkEnd w:id="129"/>
    </w:p>
    <w:p w14:paraId="58000C31">
      <w:pPr>
        <w:spacing w:line="480" w:lineRule="auto"/>
        <w:ind w:firstLine="482" w:firstLineChars="200"/>
        <w:jc w:val="center"/>
        <w:rPr>
          <w:rFonts w:hAnsi="宋体" w:cs="宋体"/>
          <w:b/>
          <w:bCs/>
          <w:szCs w:val="24"/>
          <w:highlight w:val="none"/>
        </w:rPr>
      </w:pPr>
      <w:r>
        <w:rPr>
          <w:rFonts w:hint="eastAsia" w:hAnsi="宋体" w:cs="宋体"/>
          <w:b/>
          <w:bCs/>
          <w:szCs w:val="24"/>
          <w:highlight w:val="none"/>
        </w:rPr>
        <w:t>（可参照第三章评审办法进行响应）</w:t>
      </w:r>
    </w:p>
    <w:p w14:paraId="370F5116">
      <w:pPr>
        <w:spacing w:after="120" w:line="480" w:lineRule="auto"/>
        <w:rPr>
          <w:rFonts w:hAnsi="宋体" w:cs="宋体"/>
          <w:b/>
          <w:szCs w:val="24"/>
          <w:highlight w:val="none"/>
        </w:rPr>
      </w:pPr>
    </w:p>
    <w:p w14:paraId="59CE610E">
      <w:pPr>
        <w:spacing w:after="120"/>
        <w:rPr>
          <w:rFonts w:hAnsi="宋体" w:cs="宋体"/>
          <w:b/>
          <w:szCs w:val="24"/>
          <w:highlight w:val="none"/>
        </w:rPr>
      </w:pPr>
    </w:p>
    <w:p w14:paraId="3D56EBCA">
      <w:pPr>
        <w:spacing w:after="120"/>
        <w:rPr>
          <w:rFonts w:hAnsi="宋体" w:cs="宋体"/>
          <w:b/>
          <w:szCs w:val="24"/>
          <w:highlight w:val="none"/>
        </w:rPr>
      </w:pPr>
    </w:p>
    <w:p w14:paraId="400BFED8">
      <w:pPr>
        <w:spacing w:after="120"/>
        <w:rPr>
          <w:rFonts w:hAnsi="宋体" w:cs="宋体"/>
          <w:b/>
          <w:szCs w:val="24"/>
          <w:highlight w:val="none"/>
        </w:rPr>
      </w:pPr>
    </w:p>
    <w:p w14:paraId="7FC5FF2F">
      <w:pPr>
        <w:rPr>
          <w:rFonts w:hint="eastAsia" w:hAnsi="宋体" w:cs="宋体"/>
          <w:b/>
          <w:bCs/>
          <w:sz w:val="32"/>
          <w:szCs w:val="32"/>
          <w:highlight w:val="none"/>
        </w:rPr>
      </w:pPr>
      <w:r>
        <w:rPr>
          <w:rFonts w:hint="eastAsia" w:hAnsi="宋体" w:cs="宋体"/>
          <w:b/>
          <w:szCs w:val="24"/>
          <w:highlight w:val="none"/>
        </w:rPr>
        <w:br w:type="page"/>
      </w:r>
      <w:bookmarkStart w:id="130" w:name="_Toc2621"/>
      <w:bookmarkStart w:id="131" w:name="_Toc1379"/>
      <w:bookmarkStart w:id="132" w:name="_Toc21284"/>
      <w:bookmarkStart w:id="133" w:name="_Toc9218"/>
      <w:bookmarkStart w:id="134" w:name="_Toc23455"/>
      <w:bookmarkStart w:id="135" w:name="_Toc5662"/>
      <w:bookmarkStart w:id="136" w:name="_Toc8845"/>
      <w:bookmarkStart w:id="137" w:name="_Toc31151"/>
      <w:bookmarkStart w:id="138" w:name="_Toc15265"/>
    </w:p>
    <w:p w14:paraId="57F0A7EF">
      <w:pPr>
        <w:ind w:firstLine="161" w:firstLineChars="50"/>
        <w:jc w:val="center"/>
        <w:outlineLvl w:val="1"/>
        <w:rPr>
          <w:rFonts w:hAnsi="宋体" w:cs="宋体"/>
          <w:sz w:val="32"/>
          <w:szCs w:val="32"/>
          <w:highlight w:val="none"/>
        </w:rPr>
      </w:pPr>
      <w:r>
        <w:rPr>
          <w:rFonts w:hint="eastAsia" w:hAnsi="宋体" w:cs="宋体"/>
          <w:b/>
          <w:bCs/>
          <w:sz w:val="32"/>
          <w:szCs w:val="32"/>
          <w:highlight w:val="none"/>
        </w:rPr>
        <w:t>四、</w:t>
      </w:r>
      <w:bookmarkEnd w:id="130"/>
      <w:bookmarkEnd w:id="131"/>
      <w:bookmarkEnd w:id="132"/>
      <w:bookmarkEnd w:id="133"/>
      <w:bookmarkEnd w:id="134"/>
      <w:r>
        <w:rPr>
          <w:rFonts w:hint="eastAsia" w:hAnsi="宋体" w:cs="宋体"/>
          <w:b/>
          <w:bCs/>
          <w:sz w:val="32"/>
          <w:szCs w:val="32"/>
          <w:highlight w:val="none"/>
        </w:rPr>
        <w:t>商务条款偏离表</w:t>
      </w:r>
      <w:bookmarkEnd w:id="135"/>
      <w:bookmarkEnd w:id="136"/>
      <w:bookmarkEnd w:id="137"/>
      <w:bookmarkEnd w:id="138"/>
    </w:p>
    <w:p w14:paraId="0CAEC368">
      <w:pPr>
        <w:pStyle w:val="19"/>
        <w:widowControl w:val="0"/>
        <w:spacing w:before="0" w:beforeAutospacing="0" w:after="0" w:afterAutospacing="0"/>
        <w:jc w:val="both"/>
        <w:rPr>
          <w:rFonts w:cs="宋体"/>
          <w:highlight w:val="none"/>
        </w:rPr>
      </w:pPr>
    </w:p>
    <w:p w14:paraId="3C569863">
      <w:pPr>
        <w:pStyle w:val="19"/>
        <w:widowControl w:val="0"/>
        <w:spacing w:before="156" w:beforeLines="50" w:beforeAutospacing="0" w:after="156" w:afterLines="50" w:afterAutospacing="0"/>
        <w:rPr>
          <w:rFonts w:cs="宋体"/>
          <w:highlight w:val="none"/>
        </w:rPr>
      </w:pPr>
      <w:r>
        <w:rPr>
          <w:rFonts w:hint="eastAsia" w:cs="宋体"/>
          <w:highlight w:val="none"/>
        </w:rPr>
        <w:t>项目编号：</w:t>
      </w:r>
    </w:p>
    <w:p w14:paraId="2CB8F5F4">
      <w:pPr>
        <w:pStyle w:val="19"/>
        <w:widowControl w:val="0"/>
        <w:spacing w:before="156" w:beforeLines="50" w:beforeAutospacing="0" w:after="156" w:afterLines="50" w:afterAutospacing="0"/>
        <w:rPr>
          <w:rFonts w:cs="宋体"/>
          <w:highlight w:val="none"/>
        </w:rPr>
      </w:pPr>
      <w:r>
        <w:rPr>
          <w:rFonts w:hint="eastAsia" w:cs="宋体"/>
          <w:highlight w:val="none"/>
        </w:rPr>
        <w:t>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3F6E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635E5003">
            <w:pPr>
              <w:pStyle w:val="19"/>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6EEE3F7A">
            <w:pPr>
              <w:pStyle w:val="19"/>
              <w:widowControl w:val="0"/>
              <w:spacing w:before="0" w:beforeAutospacing="0" w:after="0" w:afterAutospacing="0"/>
              <w:jc w:val="center"/>
              <w:rPr>
                <w:rFonts w:cs="宋体"/>
                <w:highlight w:val="none"/>
              </w:rPr>
            </w:pPr>
            <w:r>
              <w:rPr>
                <w:rFonts w:hint="eastAsia"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0F57345E">
            <w:pPr>
              <w:pStyle w:val="19"/>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00DCBFB8">
            <w:pPr>
              <w:pStyle w:val="19"/>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6C37A755">
            <w:pPr>
              <w:pStyle w:val="19"/>
              <w:widowControl w:val="0"/>
              <w:spacing w:before="0" w:beforeAutospacing="0" w:after="0" w:afterAutospacing="0"/>
              <w:jc w:val="center"/>
              <w:rPr>
                <w:rFonts w:cs="宋体"/>
                <w:highlight w:val="none"/>
              </w:rPr>
            </w:pPr>
            <w:r>
              <w:rPr>
                <w:rFonts w:hint="eastAsia" w:cs="宋体"/>
                <w:highlight w:val="none"/>
              </w:rPr>
              <w:t>说明</w:t>
            </w:r>
          </w:p>
        </w:tc>
      </w:tr>
      <w:tr w14:paraId="3BA7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3EB1F42">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3EC60A43">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4E12A755">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0495785">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12A49AC">
            <w:pPr>
              <w:pStyle w:val="19"/>
              <w:widowControl w:val="0"/>
              <w:spacing w:before="0" w:beforeAutospacing="0" w:after="0" w:afterAutospacing="0"/>
              <w:ind w:firstLine="480" w:firstLineChars="200"/>
              <w:jc w:val="center"/>
              <w:rPr>
                <w:rFonts w:cs="宋体"/>
                <w:highlight w:val="none"/>
              </w:rPr>
            </w:pPr>
          </w:p>
        </w:tc>
      </w:tr>
      <w:tr w14:paraId="0157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B24B30C">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30236CD">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2402E161">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90AAB74">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65A8D4F">
            <w:pPr>
              <w:pStyle w:val="19"/>
              <w:widowControl w:val="0"/>
              <w:spacing w:before="0" w:beforeAutospacing="0" w:after="0" w:afterAutospacing="0"/>
              <w:ind w:firstLine="480" w:firstLineChars="200"/>
              <w:jc w:val="center"/>
              <w:rPr>
                <w:rFonts w:cs="宋体"/>
                <w:highlight w:val="none"/>
              </w:rPr>
            </w:pPr>
          </w:p>
        </w:tc>
      </w:tr>
      <w:tr w14:paraId="6480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358C470">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CFB53D5">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2CA78B61">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B13E092">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1276382">
            <w:pPr>
              <w:pStyle w:val="19"/>
              <w:widowControl w:val="0"/>
              <w:spacing w:before="0" w:beforeAutospacing="0" w:after="0" w:afterAutospacing="0"/>
              <w:ind w:firstLine="480" w:firstLineChars="200"/>
              <w:jc w:val="center"/>
              <w:rPr>
                <w:rFonts w:cs="宋体"/>
                <w:highlight w:val="none"/>
              </w:rPr>
            </w:pPr>
          </w:p>
        </w:tc>
      </w:tr>
      <w:tr w14:paraId="7D65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DE70A78">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96E36A8">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25921B1B">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FF01B5B">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EEE89ED">
            <w:pPr>
              <w:pStyle w:val="19"/>
              <w:widowControl w:val="0"/>
              <w:spacing w:before="0" w:beforeAutospacing="0" w:after="0" w:afterAutospacing="0"/>
              <w:ind w:firstLine="480" w:firstLineChars="200"/>
              <w:jc w:val="center"/>
              <w:rPr>
                <w:rFonts w:cs="宋体"/>
                <w:highlight w:val="none"/>
              </w:rPr>
            </w:pPr>
          </w:p>
        </w:tc>
      </w:tr>
      <w:tr w14:paraId="25E1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C7B70CD">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397B6E1">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58F3ECE7">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84B5EF9">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E785638">
            <w:pPr>
              <w:pStyle w:val="19"/>
              <w:widowControl w:val="0"/>
              <w:spacing w:before="0" w:beforeAutospacing="0" w:after="0" w:afterAutospacing="0"/>
              <w:ind w:firstLine="480" w:firstLineChars="200"/>
              <w:jc w:val="center"/>
              <w:rPr>
                <w:rFonts w:cs="宋体"/>
                <w:highlight w:val="none"/>
              </w:rPr>
            </w:pPr>
          </w:p>
        </w:tc>
      </w:tr>
      <w:tr w14:paraId="1B10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5AD23E7">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2F0871C">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23D0999">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A8B9394">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E8B32CA">
            <w:pPr>
              <w:pStyle w:val="19"/>
              <w:widowControl w:val="0"/>
              <w:spacing w:before="0" w:beforeAutospacing="0" w:after="0" w:afterAutospacing="0"/>
              <w:ind w:firstLine="480" w:firstLineChars="200"/>
              <w:jc w:val="center"/>
              <w:rPr>
                <w:rFonts w:cs="宋体"/>
                <w:highlight w:val="none"/>
              </w:rPr>
            </w:pPr>
          </w:p>
        </w:tc>
      </w:tr>
      <w:tr w14:paraId="7356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AD03676">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120A971">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0B017CA5">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2806A3A">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4534D00">
            <w:pPr>
              <w:pStyle w:val="19"/>
              <w:widowControl w:val="0"/>
              <w:spacing w:before="0" w:beforeAutospacing="0" w:after="0" w:afterAutospacing="0"/>
              <w:ind w:firstLine="480" w:firstLineChars="200"/>
              <w:jc w:val="center"/>
              <w:rPr>
                <w:rFonts w:cs="宋体"/>
                <w:highlight w:val="none"/>
              </w:rPr>
            </w:pPr>
          </w:p>
        </w:tc>
      </w:tr>
    </w:tbl>
    <w:p w14:paraId="7C1512A6">
      <w:pPr>
        <w:pStyle w:val="19"/>
        <w:widowControl w:val="0"/>
        <w:spacing w:before="0" w:beforeAutospacing="0" w:after="0" w:afterAutospacing="0"/>
        <w:rPr>
          <w:rFonts w:cs="宋体"/>
          <w:highlight w:val="none"/>
        </w:rPr>
      </w:pPr>
      <w:r>
        <w:rPr>
          <w:rFonts w:hint="eastAsia" w:cs="宋体"/>
          <w:highlight w:val="none"/>
        </w:rPr>
        <w:t>说明：</w:t>
      </w:r>
    </w:p>
    <w:p w14:paraId="248D90C0">
      <w:pPr>
        <w:pStyle w:val="19"/>
        <w:widowControl w:val="0"/>
        <w:spacing w:before="0" w:beforeAutospacing="0" w:after="0" w:afterAutospacing="0"/>
        <w:ind w:firstLine="480" w:firstLineChars="200"/>
        <w:jc w:val="both"/>
        <w:rPr>
          <w:rFonts w:cs="宋体"/>
          <w:highlight w:val="none"/>
        </w:rPr>
      </w:pPr>
      <w:r>
        <w:rPr>
          <w:rFonts w:hint="eastAsia" w:cs="宋体"/>
          <w:highlight w:val="none"/>
        </w:rPr>
        <w:t>1.参照第</w:t>
      </w:r>
      <w:r>
        <w:rPr>
          <w:rFonts w:hint="eastAsia" w:cs="宋体"/>
          <w:highlight w:val="none"/>
          <w:lang w:val="en-US" w:eastAsia="zh-CN"/>
        </w:rPr>
        <w:t>四</w:t>
      </w:r>
      <w:r>
        <w:rPr>
          <w:rFonts w:hint="eastAsia" w:cs="宋体"/>
          <w:highlight w:val="none"/>
        </w:rPr>
        <w:t>章合同条款要求内容进行响应。</w:t>
      </w:r>
    </w:p>
    <w:p w14:paraId="277882DF">
      <w:pPr>
        <w:pStyle w:val="19"/>
        <w:widowControl w:val="0"/>
        <w:spacing w:before="0" w:beforeAutospacing="0" w:after="0" w:afterAutospacing="0"/>
        <w:ind w:firstLine="480" w:firstLineChars="200"/>
        <w:jc w:val="both"/>
        <w:rPr>
          <w:rFonts w:cs="宋体"/>
          <w:highlight w:val="none"/>
        </w:rPr>
      </w:pPr>
      <w:r>
        <w:rPr>
          <w:rFonts w:hint="eastAsia" w:cs="宋体"/>
          <w:highlight w:val="none"/>
        </w:rPr>
        <w:t>2.本表只填写磋商响应文件中与磋商文件有偏离（包括正偏离和负偏离）的内容，磋商响应文件中商务响应与磋商文件要求完全一致的，不用在此表中列出，但必须提交空白表。</w:t>
      </w:r>
    </w:p>
    <w:p w14:paraId="1D764877">
      <w:pPr>
        <w:pStyle w:val="19"/>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2.供应商必须据实填写，不得虚假响应，否则将取消其磋商或成交资格，并按有关规定进处罚。</w:t>
      </w:r>
    </w:p>
    <w:p w14:paraId="15FECB28">
      <w:pPr>
        <w:pStyle w:val="19"/>
        <w:widowControl w:val="0"/>
        <w:spacing w:before="0" w:beforeAutospacing="0" w:after="0" w:afterAutospacing="0"/>
        <w:ind w:firstLine="480" w:firstLineChars="200"/>
        <w:jc w:val="center"/>
        <w:rPr>
          <w:rFonts w:cs="宋体"/>
          <w:highlight w:val="none"/>
        </w:rPr>
      </w:pPr>
    </w:p>
    <w:p w14:paraId="5D733B4C">
      <w:pPr>
        <w:pStyle w:val="19"/>
        <w:widowControl w:val="0"/>
        <w:spacing w:before="0" w:beforeAutospacing="0" w:after="0" w:afterAutospacing="0"/>
        <w:ind w:firstLine="480" w:firstLineChars="200"/>
        <w:rPr>
          <w:rFonts w:cs="宋体"/>
          <w:highlight w:val="none"/>
        </w:rPr>
      </w:pPr>
      <w:r>
        <w:rPr>
          <w:rFonts w:hint="eastAsia" w:cs="宋体"/>
          <w:highlight w:val="none"/>
        </w:rPr>
        <w:t>供应商名称：</w:t>
      </w:r>
      <w:r>
        <w:rPr>
          <w:rFonts w:hint="eastAsia" w:cs="宋体"/>
          <w:highlight w:val="none"/>
          <w:u w:val="single"/>
        </w:rPr>
        <w:t xml:space="preserve">                       </w:t>
      </w:r>
      <w:r>
        <w:rPr>
          <w:rFonts w:hint="eastAsia" w:cs="宋体"/>
          <w:highlight w:val="none"/>
        </w:rPr>
        <w:t>（单位公章）</w:t>
      </w:r>
    </w:p>
    <w:p w14:paraId="41E23E6A">
      <w:pPr>
        <w:pStyle w:val="19"/>
        <w:widowControl w:val="0"/>
        <w:spacing w:before="0" w:beforeAutospacing="0" w:after="0" w:afterAutospacing="0"/>
        <w:ind w:firstLine="480" w:firstLineChars="200"/>
        <w:jc w:val="center"/>
        <w:rPr>
          <w:rFonts w:cs="宋体"/>
          <w:highlight w:val="none"/>
        </w:rPr>
      </w:pPr>
    </w:p>
    <w:p w14:paraId="3B32433F">
      <w:pPr>
        <w:spacing w:line="400" w:lineRule="exact"/>
        <w:ind w:firstLine="480" w:firstLineChars="200"/>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 xml:space="preserve">） </w:t>
      </w:r>
    </w:p>
    <w:p w14:paraId="16454C6D">
      <w:pPr>
        <w:spacing w:line="360" w:lineRule="auto"/>
        <w:ind w:left="600" w:leftChars="250"/>
        <w:rPr>
          <w:rFonts w:hAnsi="宋体" w:cs="宋体"/>
          <w:b/>
          <w:bCs/>
          <w:sz w:val="28"/>
          <w:szCs w:val="28"/>
          <w:highlight w:val="none"/>
        </w:rPr>
      </w:pPr>
    </w:p>
    <w:p w14:paraId="38B89E1B">
      <w:pPr>
        <w:spacing w:line="440" w:lineRule="exact"/>
        <w:ind w:left="3725" w:leftChars="1552"/>
        <w:rPr>
          <w:rFonts w:hAnsi="宋体" w:cs="宋体"/>
          <w:szCs w:val="24"/>
          <w:highlight w:val="none"/>
        </w:rPr>
      </w:pPr>
    </w:p>
    <w:p w14:paraId="135475E6">
      <w:pPr>
        <w:spacing w:line="440" w:lineRule="exact"/>
        <w:ind w:left="3725" w:leftChars="1552"/>
        <w:rPr>
          <w:rFonts w:hAnsi="宋体" w:cs="宋体"/>
          <w:szCs w:val="24"/>
          <w:highlight w:val="none"/>
        </w:rPr>
      </w:pPr>
    </w:p>
    <w:bookmarkEnd w:id="125"/>
    <w:p w14:paraId="2F92C02F">
      <w:pPr>
        <w:spacing w:line="360" w:lineRule="auto"/>
        <w:jc w:val="center"/>
        <w:outlineLvl w:val="1"/>
        <w:rPr>
          <w:rFonts w:hAnsi="宋体" w:cs="宋体"/>
          <w:b/>
          <w:bCs/>
          <w:sz w:val="30"/>
          <w:szCs w:val="30"/>
          <w:highlight w:val="none"/>
        </w:rPr>
      </w:pPr>
      <w:bookmarkStart w:id="139" w:name="_Toc403077656"/>
      <w:bookmarkStart w:id="140" w:name="_Toc363474033"/>
      <w:r>
        <w:rPr>
          <w:rFonts w:hint="eastAsia" w:hAnsi="宋体" w:cs="宋体"/>
          <w:b/>
          <w:bCs/>
          <w:sz w:val="30"/>
          <w:szCs w:val="30"/>
          <w:highlight w:val="none"/>
        </w:rPr>
        <w:br w:type="page"/>
      </w:r>
      <w:bookmarkStart w:id="141" w:name="_Toc3253"/>
      <w:bookmarkStart w:id="142" w:name="_Toc27470"/>
      <w:bookmarkStart w:id="143" w:name="_Toc3386"/>
      <w:bookmarkStart w:id="144" w:name="_Toc1542"/>
      <w:r>
        <w:rPr>
          <w:rFonts w:hint="eastAsia" w:hAnsi="宋体" w:cs="宋体"/>
          <w:b/>
          <w:bCs/>
          <w:sz w:val="30"/>
          <w:szCs w:val="30"/>
          <w:highlight w:val="none"/>
        </w:rPr>
        <w:t>五、陕西省政府采购供应商拒绝政府采购领域商业贿赂承诺书</w:t>
      </w:r>
      <w:bookmarkEnd w:id="139"/>
      <w:bookmarkEnd w:id="140"/>
      <w:bookmarkEnd w:id="141"/>
      <w:bookmarkEnd w:id="142"/>
      <w:bookmarkEnd w:id="143"/>
      <w:bookmarkEnd w:id="144"/>
    </w:p>
    <w:p w14:paraId="7D896BCE">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14:paraId="2D968D51">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14:paraId="6681C17B">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14:paraId="55C6473F">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14:paraId="1D4CEF4A">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14:paraId="247E775B">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14:paraId="7E1C3F8C">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14:paraId="3A378D9A">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14:paraId="13624286">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14:paraId="1C77CF23">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14:paraId="191F6F1D">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14:paraId="067E0A2C">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w:t>
      </w:r>
      <w:r>
        <w:rPr>
          <w:rFonts w:hint="eastAsia" w:hAnsi="宋体" w:cs="宋体"/>
          <w:szCs w:val="24"/>
          <w:highlight w:val="none"/>
          <w:lang w:val="en-US" w:eastAsia="zh-CN"/>
        </w:rPr>
        <w:t>或盖章</w:t>
      </w:r>
      <w:r>
        <w:rPr>
          <w:rFonts w:hint="eastAsia" w:hAnsi="宋体" w:cs="宋体"/>
          <w:szCs w:val="24"/>
          <w:highlight w:val="none"/>
        </w:rPr>
        <w:t>）：</w:t>
      </w:r>
    </w:p>
    <w:p w14:paraId="595C4AC6">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14:paraId="6A2ED8BA">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14:paraId="015F0C46">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14:paraId="006A3176">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14:paraId="489F2B7C">
      <w:pPr>
        <w:jc w:val="center"/>
        <w:outlineLvl w:val="1"/>
        <w:rPr>
          <w:rFonts w:hAnsi="宋体" w:cs="宋体"/>
          <w:highlight w:val="none"/>
          <w:shd w:val="clear" w:color="auto" w:fill="FFFFFF"/>
        </w:rPr>
      </w:pPr>
      <w:bookmarkStart w:id="145" w:name="_Toc363474034"/>
      <w:bookmarkStart w:id="146" w:name="_Toc403077657"/>
      <w:r>
        <w:rPr>
          <w:rFonts w:hint="eastAsia" w:hAnsi="宋体" w:cs="宋体"/>
          <w:b/>
          <w:bCs/>
          <w:sz w:val="30"/>
          <w:szCs w:val="30"/>
          <w:highlight w:val="none"/>
        </w:rPr>
        <w:br w:type="page"/>
      </w:r>
      <w:bookmarkStart w:id="147" w:name="_Toc29285"/>
      <w:bookmarkStart w:id="148" w:name="_Toc32016"/>
      <w:bookmarkStart w:id="149" w:name="_Toc7842"/>
      <w:bookmarkStart w:id="150" w:name="_Toc6273"/>
      <w:r>
        <w:rPr>
          <w:rFonts w:hint="eastAsia" w:hAnsi="宋体" w:cs="宋体"/>
          <w:b/>
          <w:bCs/>
          <w:sz w:val="30"/>
          <w:szCs w:val="30"/>
          <w:highlight w:val="none"/>
        </w:rPr>
        <w:t>六、特定资格证明文件</w:t>
      </w:r>
      <w:bookmarkEnd w:id="145"/>
      <w:bookmarkEnd w:id="146"/>
      <w:bookmarkEnd w:id="147"/>
      <w:bookmarkEnd w:id="148"/>
      <w:bookmarkEnd w:id="149"/>
      <w:bookmarkEnd w:id="150"/>
    </w:p>
    <w:p w14:paraId="2068F387">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14:paraId="77A784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（1）具有独立承担民事责任能力的法人、其他组织或自然人，并出具合法有效的统一社会信用代码的营业执照或事业单位法人证书 等国家规定的相关证明，自然人参与的提供其身份证明； </w:t>
      </w:r>
    </w:p>
    <w:p w14:paraId="715AFD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（2）提供法定代表人授权书（附法定代表人、被授权人身份证复印件），法定代表人直接参加磋商，须提供法定代表人身份证明（ 附法定代表人身份证复印件）； </w:t>
      </w:r>
    </w:p>
    <w:p w14:paraId="27E214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（3）财务状况报告：提供</w:t>
      </w:r>
      <w:r>
        <w:rPr>
          <w:rFonts w:hint="eastAsia" w:hAnsi="宋体" w:cs="宋体"/>
          <w:i w:val="0"/>
          <w:iCs w:val="0"/>
          <w:caps w:val="0"/>
          <w:color w:val="333333"/>
          <w:spacing w:val="0"/>
          <w:kern w:val="0"/>
          <w:sz w:val="24"/>
          <w:szCs w:val="24"/>
          <w:highlight w:val="none"/>
          <w:shd w:val="clear" w:fill="FFFFFF"/>
          <w:vertAlign w:val="baseline"/>
          <w:lang w:val="en-US" w:eastAsia="zh-CN" w:bidi="ar-SA"/>
        </w:rPr>
        <w:t>2024年度的财务审计报告</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（至少包括资产负债表和利润表，成立时间至提交响应文件截止时间不足一年的可提供成立后任意时段的资产负债表），或开标时间前六个月内银行出具的资信证明； </w:t>
      </w:r>
      <w:r>
        <w:rPr>
          <w:rFonts w:hint="eastAsia" w:hAnsi="宋体" w:cs="宋体"/>
          <w:i w:val="0"/>
          <w:iCs w:val="0"/>
          <w:caps w:val="0"/>
          <w:color w:val="333333"/>
          <w:spacing w:val="0"/>
          <w:kern w:val="0"/>
          <w:sz w:val="24"/>
          <w:szCs w:val="24"/>
          <w:highlight w:val="none"/>
          <w:shd w:val="clear" w:fill="FFFFFF"/>
          <w:vertAlign w:val="baseline"/>
          <w:lang w:val="en-US" w:eastAsia="zh-CN" w:bidi="ar-SA"/>
        </w:rPr>
        <w:t xml:space="preserve"> </w:t>
      </w:r>
    </w:p>
    <w:p w14:paraId="59BCBF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（4）</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税收缴纳证明：提供响应文件截止日前一年内已缴纳的至少一个月的纳税证明或完税证明（任意税种），依法免税的单位应提供相关证明材料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 </w:t>
      </w:r>
    </w:p>
    <w:p w14:paraId="4E6A96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5）社会保障资金缴纳证明：提供响应文件截止日前一年内已缴存的至少一个月的社会保障资金缴存单据或社保机构开具的社会保险参保缴费情况证明，依法不需要缴纳社会保障资金的单位应提供相关证明材料； </w:t>
      </w:r>
    </w:p>
    <w:p w14:paraId="625332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6</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）提供具有履行本合同所必需的设备和专业技术能力的说明及承诺书； </w:t>
      </w:r>
    </w:p>
    <w:p w14:paraId="3536CB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7</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）供应商应通过</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信用中国</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网站</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(www.creditchina.gov.cn)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、中国政府采购网</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(www.ccgp.gov.cn)</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查询相关主体信用记录； </w:t>
      </w:r>
    </w:p>
    <w:p w14:paraId="60026B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8</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）参加政府采购活动前</w:t>
      </w:r>
      <w:r>
        <w:rPr>
          <w:rFonts w:hint="default" w:ascii="宋体" w:hAnsi="宋体" w:eastAsia="宋体" w:cs="宋体"/>
          <w:i w:val="0"/>
          <w:iCs w:val="0"/>
          <w:caps w:val="0"/>
          <w:color w:val="333333"/>
          <w:spacing w:val="0"/>
          <w:kern w:val="0"/>
          <w:sz w:val="24"/>
          <w:szCs w:val="24"/>
          <w:highlight w:val="none"/>
          <w:shd w:val="clear" w:fill="FFFFFF"/>
          <w:vertAlign w:val="baseline"/>
          <w:lang w:val="en-US" w:eastAsia="zh-CN" w:bidi="ar-SA"/>
        </w:rPr>
        <w:t>3</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年内，在经营活动中没有重大违法记录的书面声明； </w:t>
      </w:r>
    </w:p>
    <w:p w14:paraId="0EF0A4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9</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）供应商须具备建设行政主管部门颁发的市政公用工程施工总承包三级及以上资质，且具有有效的安全生产许可证；</w:t>
      </w:r>
    </w:p>
    <w:p w14:paraId="62F539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（10）拟派项目负责人具有市政公用工程专业二级以上（含二级）注册建造师资格及有效的安全生产考核合格证书，且无其他在建项目（提供无在建工程的承诺函）；</w:t>
      </w:r>
    </w:p>
    <w:p w14:paraId="0C2EEE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（11）供应商须提供中小企业声明函； </w:t>
      </w:r>
    </w:p>
    <w:p w14:paraId="4771C8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w:t>
      </w:r>
      <w:r>
        <w:rPr>
          <w:rFonts w:hint="eastAsia" w:hAnsi="宋体" w:cs="宋体"/>
          <w:i w:val="0"/>
          <w:iCs w:val="0"/>
          <w:caps w:val="0"/>
          <w:color w:val="333333"/>
          <w:spacing w:val="0"/>
          <w:kern w:val="0"/>
          <w:sz w:val="24"/>
          <w:szCs w:val="24"/>
          <w:highlight w:val="none"/>
          <w:shd w:val="clear" w:fill="FFFFFF"/>
          <w:vertAlign w:val="baseline"/>
          <w:lang w:val="en-US" w:eastAsia="zh-CN" w:bidi="ar-SA"/>
        </w:rPr>
        <w:t>12</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 xml:space="preserve">）本项目不接受联合体磋商（提供承诺书）。 </w:t>
      </w:r>
    </w:p>
    <w:p w14:paraId="6FDC84BB">
      <w:pPr>
        <w:jc w:val="center"/>
        <w:outlineLvl w:val="1"/>
        <w:rPr>
          <w:rFonts w:hAnsi="宋体" w:cs="宋体"/>
          <w:b/>
          <w:bCs/>
          <w:sz w:val="30"/>
          <w:szCs w:val="30"/>
          <w:highlight w:val="none"/>
        </w:rPr>
      </w:pPr>
      <w:r>
        <w:rPr>
          <w:rFonts w:hint="eastAsia" w:hAnsi="宋体" w:cs="宋体"/>
          <w:szCs w:val="24"/>
          <w:highlight w:val="none"/>
        </w:rPr>
        <w:br w:type="page"/>
      </w:r>
      <w:bookmarkStart w:id="151" w:name="_Toc6853"/>
      <w:bookmarkStart w:id="152" w:name="_Toc12717"/>
      <w:bookmarkStart w:id="153" w:name="_Toc23859"/>
      <w:bookmarkStart w:id="154" w:name="_Toc19114"/>
      <w:r>
        <w:rPr>
          <w:rFonts w:hint="eastAsia" w:hAnsi="宋体" w:cs="宋体"/>
          <w:b/>
          <w:bCs/>
          <w:sz w:val="30"/>
          <w:szCs w:val="30"/>
          <w:highlight w:val="none"/>
        </w:rPr>
        <w:t>七、其它</w:t>
      </w:r>
      <w:bookmarkEnd w:id="151"/>
      <w:bookmarkEnd w:id="152"/>
      <w:bookmarkEnd w:id="153"/>
      <w:bookmarkEnd w:id="154"/>
    </w:p>
    <w:p w14:paraId="2CB8761F">
      <w:pPr>
        <w:pStyle w:val="9"/>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14:paraId="09E0823A">
      <w:pPr>
        <w:pStyle w:val="9"/>
        <w:rPr>
          <w:rFonts w:ascii="宋体" w:hAnsi="宋体" w:cs="宋体"/>
          <w:sz w:val="24"/>
          <w:szCs w:val="24"/>
          <w:highlight w:val="none"/>
        </w:rPr>
      </w:pPr>
      <w:r>
        <w:rPr>
          <w:rFonts w:hint="eastAsia" w:ascii="宋体" w:hAnsi="宋体" w:cs="宋体"/>
          <w:sz w:val="24"/>
          <w:szCs w:val="24"/>
          <w:highlight w:val="none"/>
        </w:rPr>
        <w:t>2、其他可以证明供应商实力的文件。</w:t>
      </w:r>
    </w:p>
    <w:p w14:paraId="538D68A5">
      <w:pPr>
        <w:spacing w:before="156" w:beforeLines="50" w:after="156" w:afterLines="50" w:line="500" w:lineRule="exact"/>
        <w:outlineLvl w:val="2"/>
        <w:rPr>
          <w:rFonts w:hAnsi="宋体" w:cs="宋体"/>
          <w:b/>
          <w:sz w:val="28"/>
          <w:szCs w:val="28"/>
          <w:highlight w:val="none"/>
        </w:rPr>
      </w:pPr>
      <w:r>
        <w:rPr>
          <w:rFonts w:hint="eastAsia" w:hAnsi="宋体" w:cs="宋体"/>
          <w:szCs w:val="24"/>
          <w:highlight w:val="none"/>
        </w:rPr>
        <w:br w:type="page"/>
      </w:r>
      <w:bookmarkStart w:id="155" w:name="_Toc29387"/>
      <w:bookmarkStart w:id="156" w:name="_Toc6055"/>
      <w:bookmarkStart w:id="157" w:name="_Toc17513"/>
      <w:r>
        <w:rPr>
          <w:rFonts w:hint="eastAsia" w:hAnsi="宋体" w:cs="宋体"/>
          <w:b/>
          <w:sz w:val="28"/>
          <w:szCs w:val="28"/>
          <w:highlight w:val="none"/>
        </w:rPr>
        <w:t>附件1：法定代表人身份证明/法定代表人授权书</w:t>
      </w:r>
      <w:bookmarkEnd w:id="155"/>
      <w:bookmarkEnd w:id="156"/>
      <w:bookmarkEnd w:id="157"/>
    </w:p>
    <w:p w14:paraId="30AE319C">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14:paraId="63F2A44A">
      <w:pPr>
        <w:pStyle w:val="9"/>
        <w:jc w:val="center"/>
        <w:rPr>
          <w:rFonts w:ascii="宋体" w:hAnsi="宋体" w:cs="宋体"/>
          <w:b/>
          <w:bCs/>
          <w:sz w:val="32"/>
          <w:szCs w:val="32"/>
          <w:highlight w:val="none"/>
        </w:rPr>
      </w:pPr>
      <w:r>
        <w:rPr>
          <w:rFonts w:hint="eastAsia" w:ascii="宋体" w:hAnsi="宋体" w:cs="宋体"/>
          <w:b/>
          <w:bCs/>
          <w:sz w:val="32"/>
          <w:szCs w:val="32"/>
          <w:highlight w:val="none"/>
        </w:rPr>
        <w:t>法定代表人</w:t>
      </w:r>
      <w:r>
        <w:rPr>
          <w:rFonts w:hint="eastAsia" w:ascii="宋体" w:hAnsi="宋体" w:cs="宋体"/>
          <w:b/>
          <w:bCs/>
          <w:sz w:val="32"/>
          <w:szCs w:val="32"/>
          <w:highlight w:val="none"/>
          <w:lang w:val="en-US" w:eastAsia="zh-CN"/>
        </w:rPr>
        <w:t>/单位负责人</w:t>
      </w:r>
      <w:r>
        <w:rPr>
          <w:rFonts w:hint="eastAsia" w:ascii="宋体" w:hAnsi="宋体" w:cs="宋体"/>
          <w:b/>
          <w:bCs/>
          <w:sz w:val="32"/>
          <w:szCs w:val="32"/>
          <w:highlight w:val="none"/>
        </w:rPr>
        <w:t>身份证明</w:t>
      </w:r>
    </w:p>
    <w:p w14:paraId="025C49E4">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 xml:space="preserve"> </w:t>
      </w:r>
    </w:p>
    <w:p w14:paraId="7C823AD0">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14:paraId="6EE27AEE">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14:paraId="1108E02A">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 xml:space="preserve">年 </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14:paraId="408EF8DD">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14:paraId="6558F07C">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 xml:space="preserve"> 年龄：</w:t>
      </w:r>
      <w:r>
        <w:rPr>
          <w:rFonts w:hint="eastAsia" w:hAnsi="宋体" w:cs="宋体"/>
          <w:highlight w:val="none"/>
          <w:u w:val="single"/>
        </w:rPr>
        <w:t xml:space="preserve">  </w:t>
      </w:r>
      <w:r>
        <w:rPr>
          <w:rFonts w:hint="eastAsia" w:hAnsi="宋体" w:cs="宋体"/>
          <w:highlight w:val="none"/>
        </w:rPr>
        <w:t xml:space="preserve"> 系</w:t>
      </w:r>
      <w:r>
        <w:rPr>
          <w:rFonts w:hint="eastAsia" w:hAnsi="宋体" w:cs="宋体"/>
          <w:highlight w:val="none"/>
          <w:u w:val="single"/>
        </w:rPr>
        <w:t xml:space="preserve">            </w:t>
      </w:r>
      <w:r>
        <w:rPr>
          <w:rFonts w:hint="eastAsia" w:hAnsi="宋体" w:cs="宋体"/>
          <w:highlight w:val="none"/>
        </w:rPr>
        <w:t>（供应商名称）的法定代表人。</w:t>
      </w:r>
    </w:p>
    <w:p w14:paraId="08F930A3">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14:paraId="6C4E1558">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4909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717796EB">
            <w:pPr>
              <w:snapToGrid w:val="0"/>
              <w:spacing w:line="480" w:lineRule="auto"/>
              <w:jc w:val="center"/>
              <w:rPr>
                <w:rFonts w:hAnsi="宋体" w:cs="宋体"/>
                <w:szCs w:val="21"/>
                <w:highlight w:val="none"/>
              </w:rPr>
            </w:pPr>
          </w:p>
          <w:p w14:paraId="44E1866B">
            <w:pPr>
              <w:snapToGrid w:val="0"/>
              <w:spacing w:line="480" w:lineRule="auto"/>
              <w:jc w:val="center"/>
              <w:rPr>
                <w:rFonts w:hAnsi="宋体" w:cs="宋体"/>
                <w:szCs w:val="21"/>
                <w:highlight w:val="none"/>
              </w:rPr>
            </w:pPr>
          </w:p>
          <w:p w14:paraId="5D862E9B">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14:paraId="1748EAAB">
            <w:pPr>
              <w:pStyle w:val="9"/>
              <w:jc w:val="center"/>
              <w:rPr>
                <w:rFonts w:ascii="宋体" w:hAnsi="宋体" w:cs="宋体"/>
                <w:highlight w:val="none"/>
              </w:rPr>
            </w:pPr>
            <w:r>
              <w:rPr>
                <w:rFonts w:hint="eastAsia" w:ascii="宋体" w:hAnsi="宋体" w:cs="宋体"/>
                <w:szCs w:val="21"/>
                <w:highlight w:val="none"/>
              </w:rPr>
              <w:t>（正反面）</w:t>
            </w:r>
          </w:p>
          <w:p w14:paraId="397B7A38">
            <w:pPr>
              <w:snapToGrid w:val="0"/>
              <w:spacing w:line="480" w:lineRule="auto"/>
              <w:jc w:val="center"/>
              <w:rPr>
                <w:rFonts w:hAnsi="宋体" w:cs="宋体"/>
                <w:szCs w:val="21"/>
                <w:highlight w:val="none"/>
              </w:rPr>
            </w:pPr>
          </w:p>
          <w:p w14:paraId="773DA2D5">
            <w:pPr>
              <w:snapToGrid w:val="0"/>
              <w:spacing w:line="480" w:lineRule="auto"/>
              <w:jc w:val="center"/>
              <w:rPr>
                <w:rFonts w:hAnsi="宋体" w:cs="宋体"/>
                <w:szCs w:val="21"/>
                <w:highlight w:val="none"/>
              </w:rPr>
            </w:pPr>
          </w:p>
        </w:tc>
      </w:tr>
    </w:tbl>
    <w:p w14:paraId="06FE249A">
      <w:pPr>
        <w:snapToGrid w:val="0"/>
        <w:spacing w:line="480" w:lineRule="auto"/>
        <w:rPr>
          <w:rFonts w:hAnsi="宋体" w:cs="宋体"/>
          <w:szCs w:val="21"/>
          <w:highlight w:val="none"/>
        </w:rPr>
      </w:pPr>
    </w:p>
    <w:p w14:paraId="4F56737B">
      <w:pPr>
        <w:snapToGrid w:val="0"/>
        <w:rPr>
          <w:rFonts w:hAnsi="宋体" w:cs="宋体"/>
          <w:szCs w:val="21"/>
          <w:highlight w:val="none"/>
        </w:rPr>
      </w:pPr>
    </w:p>
    <w:p w14:paraId="1ACD2C4A">
      <w:pPr>
        <w:snapToGrid w:val="0"/>
        <w:rPr>
          <w:rFonts w:hAnsi="宋体" w:cs="宋体"/>
          <w:szCs w:val="21"/>
          <w:highlight w:val="none"/>
        </w:rPr>
      </w:pPr>
    </w:p>
    <w:p w14:paraId="683CA34E">
      <w:pPr>
        <w:snapToGrid w:val="0"/>
        <w:rPr>
          <w:rFonts w:hAnsi="宋体" w:cs="宋体"/>
          <w:szCs w:val="21"/>
          <w:highlight w:val="none"/>
        </w:rPr>
      </w:pPr>
    </w:p>
    <w:p w14:paraId="0FB7F6C0">
      <w:pPr>
        <w:snapToGrid w:val="0"/>
        <w:rPr>
          <w:rFonts w:hAnsi="宋体" w:cs="宋体"/>
          <w:szCs w:val="21"/>
          <w:highlight w:val="none"/>
        </w:rPr>
      </w:pPr>
    </w:p>
    <w:p w14:paraId="342A16ED">
      <w:pPr>
        <w:adjustRightInd w:val="0"/>
        <w:snapToGrid w:val="0"/>
        <w:spacing w:line="360" w:lineRule="auto"/>
        <w:rPr>
          <w:rFonts w:hAnsi="宋体" w:cs="宋体"/>
          <w:highlight w:val="none"/>
        </w:rPr>
      </w:pPr>
    </w:p>
    <w:p w14:paraId="4419F279">
      <w:pPr>
        <w:adjustRightInd w:val="0"/>
        <w:snapToGrid w:val="0"/>
        <w:spacing w:line="360" w:lineRule="auto"/>
        <w:ind w:right="420"/>
        <w:rPr>
          <w:rFonts w:hAnsi="宋体" w:cs="宋体"/>
          <w:highlight w:val="none"/>
        </w:rPr>
      </w:pPr>
    </w:p>
    <w:p w14:paraId="37AF8997">
      <w:pPr>
        <w:adjustRightInd w:val="0"/>
        <w:snapToGrid w:val="0"/>
        <w:spacing w:line="360" w:lineRule="auto"/>
        <w:ind w:right="420"/>
        <w:rPr>
          <w:rFonts w:hAnsi="宋体" w:cs="宋体"/>
          <w:highlight w:val="none"/>
        </w:rPr>
      </w:pPr>
    </w:p>
    <w:p w14:paraId="5E4AC64A">
      <w:pPr>
        <w:adjustRightInd w:val="0"/>
        <w:snapToGrid w:val="0"/>
        <w:spacing w:line="360" w:lineRule="auto"/>
        <w:ind w:right="420"/>
        <w:rPr>
          <w:rFonts w:hAnsi="宋体" w:cs="宋体"/>
          <w:highlight w:val="none"/>
        </w:rPr>
      </w:pPr>
    </w:p>
    <w:p w14:paraId="42F806E6">
      <w:pPr>
        <w:adjustRightInd w:val="0"/>
        <w:snapToGrid w:val="0"/>
        <w:spacing w:line="360" w:lineRule="auto"/>
        <w:ind w:right="420"/>
        <w:rPr>
          <w:rFonts w:hAnsi="宋体" w:cs="宋体"/>
          <w:highlight w:val="none"/>
        </w:rPr>
      </w:pPr>
    </w:p>
    <w:p w14:paraId="12442E7B">
      <w:pPr>
        <w:adjustRightInd w:val="0"/>
        <w:snapToGrid w:val="0"/>
        <w:spacing w:line="360" w:lineRule="auto"/>
        <w:ind w:right="420"/>
        <w:rPr>
          <w:rFonts w:hAnsi="宋体" w:cs="宋体"/>
          <w:highlight w:val="none"/>
        </w:rPr>
      </w:pPr>
      <w:r>
        <w:rPr>
          <w:rFonts w:hint="eastAsia" w:hAnsi="宋体" w:cs="宋体"/>
          <w:highlight w:val="none"/>
        </w:rPr>
        <w:t>供应商名称（公章）：</w:t>
      </w:r>
    </w:p>
    <w:p w14:paraId="02064706">
      <w:pPr>
        <w:adjustRightInd w:val="0"/>
        <w:snapToGrid w:val="0"/>
        <w:spacing w:line="360" w:lineRule="auto"/>
        <w:ind w:right="420"/>
        <w:rPr>
          <w:rFonts w:hAnsi="宋体" w:cs="宋体"/>
          <w:highlight w:val="none"/>
        </w:rPr>
      </w:pPr>
      <w:r>
        <w:rPr>
          <w:rFonts w:hint="eastAsia" w:hAnsi="宋体" w:cs="宋体"/>
          <w:highlight w:val="none"/>
        </w:rPr>
        <w:t>日期：    年  月  日</w:t>
      </w:r>
    </w:p>
    <w:p w14:paraId="1DB49FCB">
      <w:pPr>
        <w:pStyle w:val="9"/>
        <w:rPr>
          <w:rFonts w:ascii="宋体" w:hAnsi="宋体" w:cs="宋体"/>
          <w:highlight w:val="none"/>
        </w:rPr>
      </w:pPr>
    </w:p>
    <w:p w14:paraId="082F0694">
      <w:pPr>
        <w:spacing w:line="360" w:lineRule="auto"/>
        <w:jc w:val="left"/>
        <w:rPr>
          <w:rFonts w:hAnsi="宋体" w:cs="宋体"/>
          <w:spacing w:val="4"/>
          <w:szCs w:val="24"/>
          <w:highlight w:val="none"/>
        </w:rPr>
      </w:pPr>
    </w:p>
    <w:p w14:paraId="73E6EE4C">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14:paraId="38EF2E1F">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陕西至诚项目管理集团有限公司 </w:t>
      </w:r>
    </w:p>
    <w:p w14:paraId="3FDC71C0">
      <w:pPr>
        <w:spacing w:line="500" w:lineRule="exact"/>
        <w:ind w:firstLine="496" w:firstLineChars="200"/>
        <w:jc w:val="left"/>
        <w:rPr>
          <w:rFonts w:hint="eastAsia" w:hAnsi="宋体" w:eastAsia="宋体" w:cs="宋体"/>
          <w:spacing w:val="4"/>
          <w:szCs w:val="24"/>
          <w:highlight w:val="none"/>
          <w:lang w:eastAsia="zh-CN"/>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w:t>
      </w:r>
      <w:r>
        <w:rPr>
          <w:rFonts w:hint="eastAsia"/>
          <w:highlight w:val="none"/>
          <w:u w:val="single"/>
          <w:lang w:eastAsia="zh-CN"/>
        </w:rPr>
        <w:t>：</w:t>
      </w:r>
      <w:r>
        <w:rPr>
          <w:rFonts w:hint="eastAsia"/>
          <w:highlight w:val="none"/>
          <w:u w:val="single"/>
          <w:lang w:val="en-US" w:eastAsia="zh-CN"/>
        </w:rPr>
        <w:t xml:space="preserve">  </w:t>
      </w:r>
      <w:r>
        <w:rPr>
          <w:rFonts w:hint="eastAsia" w:hAnsi="宋体" w:cs="宋体"/>
          <w:spacing w:val="4"/>
          <w:szCs w:val="24"/>
          <w:highlight w:val="none"/>
          <w:u w:val="single"/>
        </w:rPr>
        <w:t xml:space="preserve"> ）</w:t>
      </w:r>
      <w:r>
        <w:rPr>
          <w:rFonts w:hint="eastAsia" w:hAnsi="宋体" w:cs="宋体"/>
          <w:spacing w:val="4"/>
          <w:szCs w:val="24"/>
          <w:highlight w:val="none"/>
        </w:rPr>
        <w:t>项目的磋商、签约等具体工作，并签署全部有关的文件、协议及合同</w:t>
      </w:r>
      <w:r>
        <w:rPr>
          <w:rFonts w:hint="eastAsia" w:hAnsi="宋体" w:cs="宋体"/>
          <w:spacing w:val="4"/>
          <w:szCs w:val="24"/>
          <w:highlight w:val="none"/>
          <w:lang w:eastAsia="zh-CN"/>
        </w:rPr>
        <w:t>。</w:t>
      </w:r>
    </w:p>
    <w:p w14:paraId="39C88B79">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14:paraId="10CE87FD">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14:paraId="3125D1D2">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14:paraId="0DA3E50E">
      <w:pPr>
        <w:spacing w:line="360" w:lineRule="auto"/>
        <w:ind w:firstLine="496" w:firstLineChars="200"/>
        <w:jc w:val="left"/>
        <w:rPr>
          <w:rFonts w:hAnsi="宋体" w:cs="宋体"/>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3EC00957">
        <w:tblPrEx>
          <w:tblCellMar>
            <w:top w:w="0" w:type="dxa"/>
            <w:left w:w="108" w:type="dxa"/>
            <w:bottom w:w="0" w:type="dxa"/>
            <w:right w:w="108" w:type="dxa"/>
          </w:tblCellMar>
        </w:tblPrEx>
        <w:trPr>
          <w:trHeight w:val="600" w:hRule="atLeast"/>
        </w:trPr>
        <w:tc>
          <w:tcPr>
            <w:tcW w:w="4200" w:type="dxa"/>
          </w:tcPr>
          <w:p w14:paraId="626F4B50">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14:paraId="78DFE3D2">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14:paraId="70535262">
        <w:tblPrEx>
          <w:tblCellMar>
            <w:top w:w="0" w:type="dxa"/>
            <w:left w:w="108" w:type="dxa"/>
            <w:bottom w:w="0" w:type="dxa"/>
            <w:right w:w="108" w:type="dxa"/>
          </w:tblCellMar>
        </w:tblPrEx>
        <w:trPr>
          <w:trHeight w:val="600" w:hRule="atLeast"/>
        </w:trPr>
        <w:tc>
          <w:tcPr>
            <w:tcW w:w="4200" w:type="dxa"/>
          </w:tcPr>
          <w:p w14:paraId="447F608B">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14:paraId="6034D9DC">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14:paraId="5144CE3B">
        <w:tblPrEx>
          <w:tblCellMar>
            <w:top w:w="0" w:type="dxa"/>
            <w:left w:w="108" w:type="dxa"/>
            <w:bottom w:w="0" w:type="dxa"/>
            <w:right w:w="108" w:type="dxa"/>
          </w:tblCellMar>
        </w:tblPrEx>
        <w:trPr>
          <w:trHeight w:val="600" w:hRule="atLeast"/>
        </w:trPr>
        <w:tc>
          <w:tcPr>
            <w:tcW w:w="4200" w:type="dxa"/>
          </w:tcPr>
          <w:p w14:paraId="1116A4D3">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14:paraId="0047FAE6">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14:paraId="681A668E">
        <w:tblPrEx>
          <w:tblCellMar>
            <w:top w:w="0" w:type="dxa"/>
            <w:left w:w="108" w:type="dxa"/>
            <w:bottom w:w="0" w:type="dxa"/>
            <w:right w:w="108" w:type="dxa"/>
          </w:tblCellMar>
        </w:tblPrEx>
        <w:trPr>
          <w:trHeight w:val="600" w:hRule="atLeast"/>
        </w:trPr>
        <w:tc>
          <w:tcPr>
            <w:tcW w:w="4200" w:type="dxa"/>
          </w:tcPr>
          <w:p w14:paraId="74AD870B">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14:paraId="4C93D291">
            <w:pPr>
              <w:spacing w:line="360" w:lineRule="auto"/>
              <w:jc w:val="left"/>
              <w:rPr>
                <w:rFonts w:hAnsi="宋体" w:cs="宋体"/>
                <w:spacing w:val="4"/>
                <w:szCs w:val="24"/>
                <w:highlight w:val="none"/>
              </w:rPr>
            </w:pPr>
          </w:p>
        </w:tc>
      </w:tr>
    </w:tbl>
    <w:p w14:paraId="2D184622">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14:paraId="632D0D4F">
      <w:pPr>
        <w:spacing w:line="360" w:lineRule="auto"/>
        <w:rPr>
          <w:rFonts w:hAnsi="宋体" w:cs="宋体"/>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1D788C60">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5D0DE552">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14:paraId="4F8EA34B">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6F5B6980">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14:paraId="30993E86">
            <w:pPr>
              <w:spacing w:line="360" w:lineRule="auto"/>
              <w:jc w:val="center"/>
              <w:rPr>
                <w:rFonts w:hAnsi="宋体" w:cs="宋体"/>
                <w:highlight w:val="none"/>
                <w:u w:val="single"/>
              </w:rPr>
            </w:pPr>
            <w:r>
              <w:rPr>
                <w:rFonts w:hint="eastAsia" w:hAnsi="宋体" w:cs="宋体"/>
                <w:szCs w:val="21"/>
                <w:highlight w:val="none"/>
                <w:lang w:val="zh-CN"/>
              </w:rPr>
              <w:t>（正反面）</w:t>
            </w:r>
          </w:p>
        </w:tc>
      </w:tr>
    </w:tbl>
    <w:p w14:paraId="60096F3F">
      <w:pPr>
        <w:spacing w:line="360" w:lineRule="auto"/>
        <w:ind w:firstLine="510"/>
        <w:rPr>
          <w:rFonts w:hAnsi="宋体" w:cs="宋体"/>
          <w:spacing w:val="4"/>
          <w:szCs w:val="24"/>
          <w:highlight w:val="none"/>
        </w:rPr>
      </w:pPr>
    </w:p>
    <w:p w14:paraId="2E6DADE9">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14:paraId="4D414638">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日期：</w:t>
      </w:r>
    </w:p>
    <w:p w14:paraId="1EDFA031">
      <w:pPr>
        <w:rPr>
          <w:rFonts w:hAnsi="宋体" w:cs="宋体"/>
          <w:b/>
          <w:sz w:val="28"/>
          <w:szCs w:val="28"/>
          <w:highlight w:val="none"/>
        </w:rPr>
      </w:pPr>
      <w:r>
        <w:rPr>
          <w:rFonts w:hint="eastAsia" w:hAnsi="宋体" w:cs="宋体"/>
          <w:b/>
          <w:sz w:val="28"/>
          <w:szCs w:val="28"/>
          <w:highlight w:val="none"/>
        </w:rPr>
        <w:br w:type="page"/>
      </w:r>
      <w:bookmarkStart w:id="158" w:name="_Toc11767"/>
      <w:bookmarkStart w:id="159" w:name="_Toc17295"/>
    </w:p>
    <w:p w14:paraId="5B656647">
      <w:pPr>
        <w:widowControl/>
        <w:spacing w:line="360" w:lineRule="auto"/>
        <w:ind w:left="1" w:firstLine="281" w:firstLineChars="100"/>
        <w:jc w:val="center"/>
        <w:rPr>
          <w:rFonts w:hAnsi="宋体" w:cs="宋体"/>
          <w:b/>
          <w:sz w:val="28"/>
          <w:szCs w:val="28"/>
          <w:highlight w:val="none"/>
        </w:rPr>
      </w:pPr>
      <w:r>
        <w:rPr>
          <w:rFonts w:hint="eastAsia" w:hAnsi="宋体" w:cs="宋体"/>
          <w:b/>
          <w:sz w:val="28"/>
          <w:szCs w:val="28"/>
          <w:highlight w:val="none"/>
        </w:rPr>
        <w:t>参加政府采购活动前3年内在经营活动中没有重大违法纪录的书面声明</w:t>
      </w:r>
    </w:p>
    <w:p w14:paraId="2EF2AFFE">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4138E8CB">
      <w:pPr>
        <w:pStyle w:val="19"/>
        <w:wordWrap w:val="0"/>
        <w:spacing w:beforeAutospacing="0" w:afterAutospacing="0" w:line="560" w:lineRule="exact"/>
        <w:rPr>
          <w:rFonts w:cs="宋体"/>
          <w:highlight w:val="none"/>
          <w:u w:val="single"/>
          <w:shd w:val="clear" w:color="auto" w:fill="FFFFFF"/>
        </w:rPr>
      </w:pPr>
      <w:r>
        <w:rPr>
          <w:rFonts w:hint="eastAsia" w:cs="宋体"/>
          <w:highlight w:val="none"/>
          <w:u w:val="single"/>
          <w:shd w:val="clear" w:color="auto" w:fill="FFFFFF"/>
        </w:rPr>
        <w:t xml:space="preserve">      （采购人）           ：</w:t>
      </w:r>
    </w:p>
    <w:p w14:paraId="51544A44">
      <w:pPr>
        <w:pStyle w:val="19"/>
        <w:wordWrap w:val="0"/>
        <w:spacing w:beforeAutospacing="0" w:afterAutospacing="0" w:line="560" w:lineRule="exact"/>
        <w:ind w:firstLine="640"/>
        <w:rPr>
          <w:rFonts w:cs="宋体"/>
          <w:highlight w:val="none"/>
        </w:rPr>
      </w:pPr>
      <w:r>
        <w:rPr>
          <w:rFonts w:hint="eastAsia" w:cs="宋体"/>
          <w:highlight w:val="none"/>
          <w:shd w:val="clear" w:color="auto" w:fill="FFFFFF"/>
        </w:rPr>
        <w:t>我方作为项目名称</w:t>
      </w:r>
      <w:r>
        <w:rPr>
          <w:rFonts w:hint="eastAsia" w:cs="宋体"/>
          <w:highlight w:val="none"/>
          <w:u w:val="single"/>
          <w:shd w:val="clear" w:color="auto" w:fill="FFFFFF"/>
        </w:rPr>
        <w:t xml:space="preserve">             </w:t>
      </w:r>
      <w:r>
        <w:rPr>
          <w:rFonts w:hint="eastAsia" w:cs="宋体"/>
          <w:highlight w:val="none"/>
          <w:shd w:val="clear" w:color="auto" w:fill="FFFFFF"/>
        </w:rPr>
        <w:t>（项目编号：</w:t>
      </w:r>
      <w:r>
        <w:rPr>
          <w:rFonts w:hint="eastAsia" w:cs="宋体"/>
          <w:i/>
          <w:iCs/>
          <w:highlight w:val="none"/>
          <w:u w:val="single"/>
          <w:shd w:val="clear" w:color="auto" w:fill="FFFFFF"/>
        </w:rPr>
        <w:t xml:space="preserve">          </w:t>
      </w:r>
      <w:r>
        <w:rPr>
          <w:rFonts w:hint="eastAsia" w:cs="宋体"/>
          <w:highlight w:val="none"/>
          <w:shd w:val="clear" w:color="auto" w:fill="FFFFFF"/>
          <w:lang w:val="en-US" w:eastAsia="zh-CN"/>
        </w:rPr>
        <w:t>包号：</w:t>
      </w:r>
      <w:r>
        <w:rPr>
          <w:rFonts w:hint="eastAsia" w:cs="宋体"/>
          <w:i/>
          <w:iCs/>
          <w:highlight w:val="none"/>
          <w:u w:val="single"/>
          <w:shd w:val="clear" w:color="auto" w:fill="FFFFFF"/>
          <w:lang w:val="en-US" w:eastAsia="zh-CN"/>
        </w:rPr>
        <w:t xml:space="preserve">      </w:t>
      </w:r>
      <w:r>
        <w:rPr>
          <w:rFonts w:hint="eastAsia" w:cs="宋体"/>
          <w:highlight w:val="none"/>
          <w:shd w:val="clear" w:color="auto" w:fill="FFFFFF"/>
        </w:rPr>
        <w:t xml:space="preserve">）的供应商，在此郑重声明： </w:t>
      </w:r>
    </w:p>
    <w:p w14:paraId="67FFF2F0">
      <w:pPr>
        <w:pStyle w:val="19"/>
        <w:wordWrap w:val="0"/>
        <w:spacing w:beforeAutospacing="0" w:afterAutospacing="0" w:line="560" w:lineRule="exact"/>
        <w:ind w:firstLine="420"/>
        <w:rPr>
          <w:rFonts w:cs="宋体"/>
          <w:highlight w:val="none"/>
        </w:rPr>
      </w:pPr>
      <w:r>
        <w:rPr>
          <w:rFonts w:hint="eastAsia" w:cs="宋体"/>
          <w:highlight w:val="none"/>
          <w:shd w:val="clear" w:color="auto" w:fill="FFFFFF"/>
        </w:rPr>
        <w:t>在参加本次政府采购活动前3年内的经营活动中</w:t>
      </w:r>
      <w:r>
        <w:rPr>
          <w:rFonts w:hint="eastAsia" w:cs="宋体"/>
          <w:highlight w:val="none"/>
          <w:u w:val="single"/>
          <w:shd w:val="clear" w:color="auto" w:fill="FFFFFF"/>
        </w:rPr>
        <w:t xml:space="preserve">          </w:t>
      </w:r>
      <w:r>
        <w:rPr>
          <w:rFonts w:hint="eastAsia"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0FF2EE06">
      <w:pPr>
        <w:pStyle w:val="19"/>
        <w:wordWrap w:val="0"/>
        <w:spacing w:beforeAutospacing="0" w:afterAutospacing="0" w:line="560" w:lineRule="exact"/>
        <w:ind w:firstLine="420"/>
        <w:rPr>
          <w:rFonts w:cs="宋体"/>
          <w:highlight w:val="none"/>
        </w:rPr>
      </w:pPr>
      <w:r>
        <w:rPr>
          <w:rFonts w:hint="eastAsia" w:cs="宋体"/>
          <w:highlight w:val="none"/>
          <w:shd w:val="clear" w:color="auto" w:fill="FFFFFF"/>
        </w:rPr>
        <w:t>如有不实，我方将无条件地退出本项目的采购活动，并遵照《</w:t>
      </w:r>
      <w:r>
        <w:rPr>
          <w:rFonts w:hint="eastAsia" w:cs="宋体"/>
          <w:highlight w:val="none"/>
          <w:shd w:val="clear" w:color="auto" w:fill="FFFFFF"/>
          <w:lang w:eastAsia="zh-CN"/>
        </w:rPr>
        <w:t>中华人民共和国政府采购法</w:t>
      </w:r>
      <w:r>
        <w:rPr>
          <w:rFonts w:hint="eastAsia" w:cs="宋体"/>
          <w:highlight w:val="none"/>
          <w:shd w:val="clear" w:color="auto" w:fill="FFFFFF"/>
        </w:rPr>
        <w:t xml:space="preserve">》有关“提供虚假材料的规定”接受处罚。 </w:t>
      </w:r>
    </w:p>
    <w:p w14:paraId="1785838C">
      <w:pPr>
        <w:pStyle w:val="19"/>
        <w:wordWrap w:val="0"/>
        <w:spacing w:beforeAutospacing="0" w:afterAutospacing="0" w:line="560" w:lineRule="exact"/>
        <w:ind w:firstLine="420"/>
        <w:rPr>
          <w:rFonts w:cs="宋体"/>
          <w:highlight w:val="none"/>
          <w:shd w:val="clear" w:color="auto" w:fill="FFFFFF"/>
        </w:rPr>
      </w:pPr>
      <w:r>
        <w:rPr>
          <w:rFonts w:hint="eastAsia" w:cs="宋体"/>
          <w:highlight w:val="none"/>
          <w:shd w:val="clear" w:color="auto" w:fill="FFFFFF"/>
        </w:rPr>
        <w:t>特此声明！</w:t>
      </w:r>
    </w:p>
    <w:p w14:paraId="073B0CDF">
      <w:pPr>
        <w:pStyle w:val="19"/>
        <w:wordWrap w:val="0"/>
        <w:spacing w:beforeAutospacing="0" w:afterAutospacing="0" w:line="560" w:lineRule="exact"/>
        <w:ind w:firstLine="420"/>
        <w:rPr>
          <w:rFonts w:cs="宋体"/>
          <w:highlight w:val="none"/>
          <w:shd w:val="clear" w:color="auto" w:fill="FFFFFF"/>
        </w:rPr>
      </w:pPr>
    </w:p>
    <w:p w14:paraId="57985792">
      <w:pPr>
        <w:spacing w:line="480" w:lineRule="auto"/>
        <w:ind w:firstLine="3360" w:firstLineChars="1400"/>
        <w:rPr>
          <w:rFonts w:hAnsi="宋体" w:cs="宋体"/>
          <w:highlight w:val="none"/>
        </w:rPr>
      </w:pPr>
      <w:r>
        <w:rPr>
          <w:rFonts w:hint="eastAsia" w:hAnsi="宋体" w:cs="宋体"/>
          <w:highlight w:val="none"/>
          <w:lang w:val="en-US" w:eastAsia="zh-CN"/>
        </w:rPr>
        <w:t>供应商</w:t>
      </w:r>
      <w:r>
        <w:rPr>
          <w:rFonts w:hint="eastAsia" w:hAnsi="宋体" w:cs="宋体"/>
          <w:highlight w:val="none"/>
        </w:rPr>
        <w:t>名称：</w:t>
      </w:r>
      <w:r>
        <w:rPr>
          <w:rFonts w:hint="eastAsia" w:hAnsi="宋体" w:cs="宋体"/>
          <w:highlight w:val="none"/>
          <w:u w:val="single"/>
        </w:rPr>
        <w:t xml:space="preserve">               </w:t>
      </w:r>
      <w:r>
        <w:rPr>
          <w:rFonts w:hint="eastAsia" w:hAnsi="宋体" w:cs="宋体"/>
          <w:highlight w:val="none"/>
        </w:rPr>
        <w:t>（盖章）</w:t>
      </w:r>
    </w:p>
    <w:p w14:paraId="43E56D1B">
      <w:pPr>
        <w:pStyle w:val="35"/>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3944D0B3">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4D332677">
      <w:pPr>
        <w:adjustRightInd w:val="0"/>
        <w:snapToGrid w:val="0"/>
        <w:spacing w:line="360" w:lineRule="auto"/>
        <w:jc w:val="center"/>
        <w:rPr>
          <w:rFonts w:asciiTheme="minorEastAsia" w:hAnsiTheme="minorEastAsia" w:eastAsiaTheme="minorEastAsia" w:cstheme="minorEastAsia"/>
          <w:b/>
          <w:sz w:val="28"/>
          <w:szCs w:val="28"/>
          <w:highlight w:val="none"/>
        </w:rPr>
      </w:pPr>
    </w:p>
    <w:p w14:paraId="5B3835A2">
      <w:pPr>
        <w:adjustRightInd w:val="0"/>
        <w:snapToGrid w:val="0"/>
        <w:spacing w:line="360" w:lineRule="auto"/>
        <w:jc w:val="center"/>
        <w:rPr>
          <w:rFonts w:hAnsi="宋体" w:cs="宋体"/>
          <w:b/>
          <w:sz w:val="28"/>
          <w:szCs w:val="28"/>
          <w:highlight w:val="none"/>
        </w:rPr>
      </w:pPr>
      <w:r>
        <w:rPr>
          <w:rFonts w:hint="eastAsia" w:hAnsi="宋体" w:cs="宋体"/>
          <w:b/>
          <w:sz w:val="28"/>
          <w:szCs w:val="28"/>
          <w:highlight w:val="none"/>
        </w:rPr>
        <w:t>具有履行本合同所必需的设备和专业技术能力的书面声明</w:t>
      </w:r>
    </w:p>
    <w:p w14:paraId="69D921E0">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3D690ACA">
      <w:pPr>
        <w:rPr>
          <w:highlight w:val="none"/>
        </w:rPr>
      </w:pPr>
    </w:p>
    <w:p w14:paraId="74398A0E">
      <w:pPr>
        <w:pStyle w:val="14"/>
        <w:adjustRightInd w:val="0"/>
        <w:snapToGrid w:val="0"/>
        <w:spacing w:line="720" w:lineRule="exact"/>
        <w:jc w:val="center"/>
        <w:rPr>
          <w:rFonts w:hAnsi="宋体" w:cs="宋体"/>
          <w:b/>
          <w:sz w:val="28"/>
          <w:szCs w:val="28"/>
          <w:highlight w:val="none"/>
        </w:rPr>
      </w:pPr>
    </w:p>
    <w:p w14:paraId="2E735ED8">
      <w:pPr>
        <w:spacing w:line="720" w:lineRule="exact"/>
        <w:rPr>
          <w:rFonts w:hAnsi="宋体" w:cs="宋体"/>
          <w:spacing w:val="4"/>
          <w:highlight w:val="none"/>
          <w:u w:val="single"/>
        </w:rPr>
      </w:pPr>
      <w:r>
        <w:rPr>
          <w:rFonts w:hint="eastAsia" w:hAnsi="宋体" w:cs="宋体"/>
          <w:spacing w:val="4"/>
          <w:highlight w:val="none"/>
          <w:u w:val="single"/>
        </w:rPr>
        <w:t xml:space="preserve">     （采购人名称）    ：</w:t>
      </w:r>
    </w:p>
    <w:p w14:paraId="4952DEF5">
      <w:pPr>
        <w:pStyle w:val="14"/>
        <w:adjustRightInd w:val="0"/>
        <w:snapToGrid w:val="0"/>
        <w:spacing w:line="720" w:lineRule="exact"/>
        <w:rPr>
          <w:rFonts w:hAnsi="宋体" w:cs="宋体"/>
          <w:spacing w:val="4"/>
          <w:sz w:val="24"/>
          <w:szCs w:val="24"/>
          <w:highlight w:val="none"/>
        </w:rPr>
      </w:pPr>
      <w:r>
        <w:rPr>
          <w:rFonts w:hint="eastAsia" w:hAnsi="宋体" w:cs="宋体"/>
          <w:spacing w:val="4"/>
          <w:sz w:val="24"/>
          <w:szCs w:val="24"/>
          <w:highlight w:val="none"/>
        </w:rPr>
        <w:t xml:space="preserve">   </w:t>
      </w:r>
      <w:r>
        <w:rPr>
          <w:rFonts w:hint="eastAsia" w:hAnsi="宋体" w:cs="宋体"/>
          <w:spacing w:val="4"/>
          <w:sz w:val="24"/>
          <w:szCs w:val="24"/>
          <w:highlight w:val="none"/>
          <w:u w:val="single"/>
        </w:rPr>
        <w:t xml:space="preserve">      （供应商名称）    </w:t>
      </w:r>
      <w:r>
        <w:rPr>
          <w:rFonts w:hint="eastAsia" w:hAnsi="宋体" w:cs="宋体"/>
          <w:spacing w:val="4"/>
          <w:sz w:val="24"/>
          <w:szCs w:val="24"/>
          <w:highlight w:val="none"/>
        </w:rPr>
        <w:t xml:space="preserve"> 于</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年</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月</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日在中华人民共和国境内</w:t>
      </w:r>
      <w:r>
        <w:rPr>
          <w:rFonts w:hint="eastAsia" w:hAnsi="宋体" w:cs="宋体"/>
          <w:spacing w:val="4"/>
          <w:sz w:val="24"/>
          <w:szCs w:val="24"/>
          <w:highlight w:val="none"/>
          <w:u w:val="single"/>
        </w:rPr>
        <w:t xml:space="preserve">               （详细注册地址）     </w:t>
      </w:r>
      <w:r>
        <w:rPr>
          <w:rFonts w:hint="eastAsia" w:hAnsi="宋体" w:cs="宋体"/>
          <w:spacing w:val="4"/>
          <w:sz w:val="24"/>
          <w:szCs w:val="24"/>
          <w:highlight w:val="none"/>
        </w:rPr>
        <w:t>合法注册并经营，公司主营业务为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w:t>
      </w:r>
    </w:p>
    <w:p w14:paraId="364C1C84">
      <w:pPr>
        <w:pStyle w:val="14"/>
        <w:adjustRightInd w:val="0"/>
        <w:snapToGrid w:val="0"/>
        <w:spacing w:line="720" w:lineRule="exact"/>
        <w:ind w:firstLine="550" w:firstLineChars="222"/>
        <w:rPr>
          <w:rFonts w:hAnsi="宋体" w:cs="宋体"/>
          <w:spacing w:val="4"/>
          <w:sz w:val="24"/>
          <w:szCs w:val="24"/>
          <w:highlight w:val="none"/>
        </w:rPr>
      </w:pPr>
      <w:r>
        <w:rPr>
          <w:rFonts w:hint="eastAsia" w:hAnsi="宋体" w:cs="宋体"/>
          <w:spacing w:val="4"/>
          <w:sz w:val="24"/>
          <w:szCs w:val="24"/>
          <w:highlight w:val="none"/>
        </w:rPr>
        <w:t>我公司郑重承诺，我公司具有履行本合同所必需的设备和专业技术能力，合同履约中将无条件增加相关设备、人员，直至满足项目需求。</w:t>
      </w:r>
    </w:p>
    <w:p w14:paraId="4003707F">
      <w:pPr>
        <w:pStyle w:val="14"/>
        <w:adjustRightInd w:val="0"/>
        <w:snapToGrid w:val="0"/>
        <w:spacing w:line="720" w:lineRule="exact"/>
        <w:rPr>
          <w:rFonts w:hAnsi="宋体" w:cs="宋体"/>
          <w:spacing w:val="4"/>
          <w:sz w:val="24"/>
          <w:szCs w:val="24"/>
          <w:highlight w:val="none"/>
        </w:rPr>
      </w:pPr>
    </w:p>
    <w:p w14:paraId="1B3A063F">
      <w:pPr>
        <w:pStyle w:val="14"/>
        <w:adjustRightInd w:val="0"/>
        <w:snapToGrid w:val="0"/>
        <w:spacing w:line="720" w:lineRule="exact"/>
        <w:rPr>
          <w:rFonts w:hAnsi="宋体" w:cs="宋体"/>
          <w:spacing w:val="4"/>
          <w:sz w:val="24"/>
          <w:szCs w:val="24"/>
          <w:highlight w:val="none"/>
        </w:rPr>
      </w:pPr>
    </w:p>
    <w:p w14:paraId="088124D0">
      <w:pPr>
        <w:pStyle w:val="14"/>
        <w:adjustRightInd w:val="0"/>
        <w:snapToGrid w:val="0"/>
        <w:spacing w:line="720" w:lineRule="exact"/>
        <w:rPr>
          <w:rFonts w:hAnsi="宋体" w:cs="宋体"/>
          <w:spacing w:val="4"/>
          <w:sz w:val="24"/>
          <w:szCs w:val="24"/>
          <w:highlight w:val="none"/>
        </w:rPr>
      </w:pPr>
    </w:p>
    <w:p w14:paraId="038888C6">
      <w:pPr>
        <w:spacing w:line="480" w:lineRule="auto"/>
        <w:ind w:firstLine="3360" w:firstLineChars="1400"/>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（盖章）</w:t>
      </w:r>
    </w:p>
    <w:p w14:paraId="56921EF9">
      <w:pPr>
        <w:pStyle w:val="35"/>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5A89CB1A">
      <w:pPr>
        <w:spacing w:before="240" w:beforeLines="100" w:after="240" w:afterLines="100"/>
        <w:jc w:val="both"/>
        <w:rPr>
          <w:rFonts w:hint="eastAsia" w:ascii="宋体" w:hAnsi="宋体"/>
          <w:b/>
          <w:color w:val="auto"/>
          <w:sz w:val="24"/>
          <w:szCs w:val="24"/>
          <w:highlight w:val="none"/>
          <w:lang w:eastAsia="zh-CN"/>
        </w:rPr>
      </w:pPr>
      <w:r>
        <w:rPr>
          <w:rFonts w:hint="eastAsia" w:hAnsi="宋体" w:cs="宋体"/>
          <w:spacing w:val="4"/>
          <w:szCs w:val="30"/>
          <w:highlight w:val="none"/>
        </w:rPr>
        <w:br w:type="page"/>
      </w:r>
    </w:p>
    <w:p w14:paraId="33EC53FA">
      <w:pPr>
        <w:spacing w:before="240" w:beforeLines="100" w:after="240" w:afterLines="100"/>
        <w:jc w:val="center"/>
        <w:rPr>
          <w:rFonts w:ascii="宋体" w:hAnsi="宋体"/>
          <w:b/>
          <w:color w:val="auto"/>
          <w:sz w:val="24"/>
          <w:szCs w:val="24"/>
          <w:highlight w:val="none"/>
        </w:rPr>
      </w:pPr>
      <w:r>
        <w:rPr>
          <w:rFonts w:hint="eastAsia" w:ascii="宋体" w:hAnsi="宋体"/>
          <w:b/>
          <w:color w:val="auto"/>
          <w:sz w:val="24"/>
          <w:szCs w:val="24"/>
          <w:highlight w:val="none"/>
          <w:lang w:eastAsia="zh-CN"/>
        </w:rPr>
        <w:t>项目经理无在建</w:t>
      </w:r>
      <w:r>
        <w:rPr>
          <w:rFonts w:hint="eastAsia" w:ascii="宋体" w:hAnsi="宋体"/>
          <w:b/>
          <w:color w:val="auto"/>
          <w:sz w:val="24"/>
          <w:szCs w:val="24"/>
          <w:highlight w:val="none"/>
        </w:rPr>
        <w:t>承诺书</w:t>
      </w:r>
    </w:p>
    <w:p w14:paraId="30626082">
      <w:pPr>
        <w:spacing w:after="240" w:afterLines="100" w:line="440" w:lineRule="exact"/>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hAnsi="宋体"/>
          <w:color w:val="auto"/>
          <w:sz w:val="24"/>
          <w:szCs w:val="24"/>
          <w:highlight w:val="none"/>
          <w:lang w:val="en-US" w:eastAsia="zh-CN"/>
        </w:rPr>
        <w:t>采购</w:t>
      </w:r>
      <w:r>
        <w:rPr>
          <w:rFonts w:hint="eastAsia" w:ascii="宋体" w:hAnsi="宋体"/>
          <w:color w:val="auto"/>
          <w:sz w:val="24"/>
          <w:szCs w:val="24"/>
          <w:highlight w:val="none"/>
        </w:rPr>
        <w:t>人名称）：</w:t>
      </w:r>
    </w:p>
    <w:p w14:paraId="06D1336E">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我方在此声明，我方拟派往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（项目名称）（以下简称“本工程”）的项目经理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（项目经理姓名）现阶段没有担任任何在施建设工程项目的项目经理。</w:t>
      </w:r>
    </w:p>
    <w:p w14:paraId="7E7E4CD6">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我方保证上述信息的真实和准确，并愿意承担因我方就此弄虚作假所引起的一切法律后果。</w:t>
      </w:r>
    </w:p>
    <w:p w14:paraId="7B948897">
      <w:pPr>
        <w:spacing w:line="440" w:lineRule="exact"/>
        <w:ind w:firstLine="480" w:firstLineChars="200"/>
        <w:rPr>
          <w:rFonts w:ascii="宋体" w:hAnsi="宋体"/>
          <w:color w:val="auto"/>
          <w:sz w:val="24"/>
          <w:szCs w:val="24"/>
          <w:highlight w:val="none"/>
        </w:rPr>
      </w:pPr>
    </w:p>
    <w:p w14:paraId="7EDD9F15">
      <w:pPr>
        <w:spacing w:line="440" w:lineRule="exact"/>
        <w:ind w:firstLine="480" w:firstLineChars="200"/>
        <w:rPr>
          <w:rFonts w:ascii="宋体" w:hAnsi="宋体"/>
          <w:color w:val="auto"/>
          <w:sz w:val="24"/>
          <w:szCs w:val="24"/>
          <w:highlight w:val="none"/>
        </w:rPr>
      </w:pPr>
    </w:p>
    <w:p w14:paraId="065BB0C5">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1195FA1D">
      <w:pPr>
        <w:spacing w:line="440" w:lineRule="exact"/>
        <w:ind w:firstLine="480" w:firstLineChars="200"/>
        <w:rPr>
          <w:rFonts w:ascii="宋体" w:hAnsi="宋体"/>
          <w:color w:val="auto"/>
          <w:sz w:val="24"/>
          <w:szCs w:val="24"/>
          <w:highlight w:val="none"/>
        </w:rPr>
      </w:pPr>
    </w:p>
    <w:p w14:paraId="65E95D08">
      <w:pPr>
        <w:spacing w:line="440" w:lineRule="exact"/>
        <w:ind w:firstLine="480" w:firstLineChars="200"/>
        <w:rPr>
          <w:rFonts w:ascii="宋体" w:hAnsi="宋体"/>
          <w:color w:val="auto"/>
          <w:sz w:val="24"/>
          <w:szCs w:val="24"/>
          <w:highlight w:val="none"/>
        </w:rPr>
      </w:pPr>
    </w:p>
    <w:p w14:paraId="2C2F5E3E">
      <w:pPr>
        <w:spacing w:line="440" w:lineRule="exact"/>
        <w:ind w:firstLine="480" w:firstLineChars="200"/>
        <w:rPr>
          <w:rFonts w:ascii="宋体" w:hAnsi="宋体"/>
          <w:color w:val="auto"/>
          <w:sz w:val="24"/>
          <w:szCs w:val="24"/>
          <w:highlight w:val="none"/>
        </w:rPr>
      </w:pPr>
    </w:p>
    <w:p w14:paraId="63D285F5">
      <w:pPr>
        <w:spacing w:line="440" w:lineRule="exact"/>
        <w:ind w:firstLine="480" w:firstLineChars="200"/>
        <w:rPr>
          <w:rFonts w:ascii="宋体" w:hAnsi="宋体"/>
          <w:color w:val="auto"/>
          <w:sz w:val="24"/>
          <w:szCs w:val="24"/>
          <w:highlight w:val="none"/>
        </w:rPr>
      </w:pPr>
    </w:p>
    <w:p w14:paraId="2A3CD24D">
      <w:pPr>
        <w:spacing w:line="440" w:lineRule="exact"/>
        <w:ind w:firstLine="480" w:firstLineChars="200"/>
        <w:rPr>
          <w:rFonts w:ascii="宋体" w:hAnsi="宋体"/>
          <w:color w:val="auto"/>
          <w:sz w:val="24"/>
          <w:szCs w:val="24"/>
          <w:highlight w:val="none"/>
        </w:rPr>
      </w:pPr>
    </w:p>
    <w:p w14:paraId="20F2BA8E">
      <w:pPr>
        <w:spacing w:line="440" w:lineRule="exact"/>
        <w:ind w:firstLine="480" w:firstLineChars="200"/>
        <w:rPr>
          <w:rFonts w:ascii="宋体" w:hAnsi="宋体"/>
          <w:color w:val="auto"/>
          <w:sz w:val="24"/>
          <w:szCs w:val="24"/>
          <w:highlight w:val="none"/>
        </w:rPr>
      </w:pPr>
    </w:p>
    <w:p w14:paraId="13768ABF">
      <w:pPr>
        <w:spacing w:line="440" w:lineRule="exact"/>
        <w:jc w:val="right"/>
        <w:rPr>
          <w:rFonts w:ascii="宋体" w:hAnsi="宋体"/>
          <w:color w:val="auto"/>
          <w:sz w:val="24"/>
          <w:szCs w:val="24"/>
          <w:highlight w:val="none"/>
        </w:rPr>
      </w:pPr>
      <w:r>
        <w:rPr>
          <w:rFonts w:hint="eastAsia" w:hAnsi="宋体"/>
          <w:color w:val="auto"/>
          <w:sz w:val="24"/>
          <w:szCs w:val="24"/>
          <w:highlight w:val="none"/>
          <w:lang w:val="en-US" w:eastAsia="zh-CN"/>
        </w:rPr>
        <w:t>供应商名称</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14:paraId="66DD2975">
      <w:pPr>
        <w:spacing w:line="440" w:lineRule="exact"/>
        <w:jc w:val="right"/>
        <w:rPr>
          <w:rFonts w:ascii="宋体" w:hAnsi="宋体"/>
          <w:color w:val="auto"/>
          <w:sz w:val="24"/>
          <w:szCs w:val="24"/>
          <w:highlight w:val="none"/>
        </w:rPr>
      </w:pPr>
      <w:r>
        <w:rPr>
          <w:rFonts w:hint="eastAsia" w:ascii="宋体" w:hAnsi="宋体"/>
          <w:color w:val="auto"/>
          <w:sz w:val="24"/>
          <w:szCs w:val="24"/>
          <w:highlight w:val="none"/>
        </w:rPr>
        <w:t>法定代表人或</w:t>
      </w:r>
      <w:r>
        <w:rPr>
          <w:rFonts w:hint="eastAsia" w:hAnsi="宋体"/>
          <w:color w:val="auto"/>
          <w:sz w:val="24"/>
          <w:szCs w:val="24"/>
          <w:highlight w:val="none"/>
          <w:lang w:val="en-US" w:eastAsia="zh-CN"/>
        </w:rPr>
        <w:t>授权代表</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hAnsi="宋体" w:cs="宋体"/>
          <w:szCs w:val="24"/>
          <w:highlight w:val="none"/>
        </w:rPr>
        <w:t>签字或盖章</w:t>
      </w:r>
      <w:r>
        <w:rPr>
          <w:rFonts w:hint="eastAsia" w:ascii="宋体" w:hAnsi="宋体"/>
          <w:color w:val="auto"/>
          <w:sz w:val="24"/>
          <w:szCs w:val="24"/>
          <w:highlight w:val="none"/>
        </w:rPr>
        <w:t>）</w:t>
      </w:r>
    </w:p>
    <w:p w14:paraId="0B502116">
      <w:pPr>
        <w:spacing w:line="440" w:lineRule="exact"/>
        <w:jc w:val="right"/>
        <w:rPr>
          <w:rFonts w:ascii="宋体" w:hAnsi="宋体"/>
          <w:color w:val="auto"/>
          <w:sz w:val="24"/>
          <w:szCs w:val="24"/>
          <w:highlight w:val="none"/>
        </w:rPr>
      </w:pPr>
    </w:p>
    <w:p w14:paraId="6653E3B7">
      <w:pPr>
        <w:jc w:val="right"/>
        <w:rPr>
          <w:rFonts w:hint="eastAsia" w:hAnsi="宋体" w:cs="宋体"/>
          <w:sz w:val="28"/>
          <w:szCs w:val="28"/>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29A71B5F">
      <w:pPr>
        <w:rPr>
          <w:rFonts w:hint="eastAsia" w:hAnsi="宋体" w:cs="宋体"/>
          <w:spacing w:val="4"/>
          <w:szCs w:val="30"/>
          <w:highlight w:val="none"/>
        </w:rPr>
      </w:pPr>
    </w:p>
    <w:p w14:paraId="2E0B339F">
      <w:pPr>
        <w:pStyle w:val="3"/>
        <w:rPr>
          <w:highlight w:val="none"/>
        </w:rPr>
      </w:pPr>
    </w:p>
    <w:p w14:paraId="63247392">
      <w:pPr>
        <w:rPr>
          <w:rFonts w:hint="eastAsia" w:hAnsi="宋体" w:cs="宋体"/>
          <w:b/>
          <w:sz w:val="28"/>
          <w:szCs w:val="28"/>
          <w:highlight w:val="none"/>
        </w:rPr>
      </w:pPr>
      <w:bookmarkStart w:id="160" w:name="_Toc29482"/>
      <w:r>
        <w:rPr>
          <w:rFonts w:hint="eastAsia" w:hAnsi="宋体" w:cs="宋体"/>
          <w:b/>
          <w:sz w:val="28"/>
          <w:szCs w:val="28"/>
          <w:highlight w:val="none"/>
        </w:rPr>
        <w:br w:type="page"/>
      </w:r>
    </w:p>
    <w:p w14:paraId="1EAF95BD">
      <w:pPr>
        <w:spacing w:before="100" w:beforeAutospacing="1" w:after="156" w:afterLines="50" w:line="360" w:lineRule="auto"/>
        <w:jc w:val="left"/>
        <w:outlineLvl w:val="2"/>
        <w:rPr>
          <w:rFonts w:hAnsi="宋体" w:cs="宋体"/>
          <w:b/>
          <w:sz w:val="28"/>
          <w:szCs w:val="28"/>
          <w:highlight w:val="none"/>
        </w:rPr>
      </w:pPr>
      <w:r>
        <w:rPr>
          <w:rFonts w:hint="eastAsia" w:hAnsi="宋体" w:cs="宋体"/>
          <w:b/>
          <w:sz w:val="28"/>
          <w:szCs w:val="28"/>
          <w:highlight w:val="none"/>
        </w:rPr>
        <w:t>附件2：中小企业声明函</w:t>
      </w:r>
      <w:bookmarkEnd w:id="158"/>
      <w:bookmarkEnd w:id="159"/>
      <w:bookmarkEnd w:id="160"/>
    </w:p>
    <w:p w14:paraId="7EDA5479">
      <w:pPr>
        <w:spacing w:before="156" w:beforeLines="50" w:after="156" w:afterLines="50" w:line="360" w:lineRule="auto"/>
        <w:jc w:val="center"/>
        <w:rPr>
          <w:rFonts w:hAnsi="宋体" w:cs="宋体"/>
          <w:b/>
          <w:sz w:val="28"/>
          <w:szCs w:val="28"/>
          <w:highlight w:val="none"/>
        </w:rPr>
      </w:pPr>
      <w:bookmarkStart w:id="161" w:name="_Toc13836"/>
    </w:p>
    <w:p w14:paraId="146CC5CF">
      <w:pPr>
        <w:spacing w:before="156" w:beforeLines="50" w:after="156"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0E50FD09">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0D9A7229">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0C608EC6">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6819D613">
      <w:pPr>
        <w:tabs>
          <w:tab w:val="left" w:pos="1620"/>
          <w:tab w:val="left" w:pos="1800"/>
        </w:tabs>
        <w:spacing w:line="500" w:lineRule="exact"/>
        <w:rPr>
          <w:rFonts w:hAnsi="宋体" w:cs="宋体"/>
          <w:szCs w:val="24"/>
          <w:highlight w:val="none"/>
        </w:rPr>
      </w:pPr>
      <w:r>
        <w:rPr>
          <w:rFonts w:hint="eastAsia" w:hAnsi="宋体" w:cs="宋体"/>
          <w:szCs w:val="24"/>
          <w:highlight w:val="none"/>
        </w:rPr>
        <w:t>……</w:t>
      </w:r>
    </w:p>
    <w:p w14:paraId="64CCEA94">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69D6CE7C">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本企业对上述声明内容的真实性负责。如有虚假，将依法承担相应责任。</w:t>
      </w:r>
    </w:p>
    <w:p w14:paraId="25D3FB3E">
      <w:pPr>
        <w:tabs>
          <w:tab w:val="left" w:pos="1620"/>
          <w:tab w:val="left" w:pos="1800"/>
        </w:tabs>
        <w:spacing w:line="500" w:lineRule="exact"/>
        <w:rPr>
          <w:rFonts w:hAnsi="宋体" w:cs="宋体"/>
          <w:szCs w:val="24"/>
          <w:highlight w:val="none"/>
        </w:rPr>
      </w:pPr>
    </w:p>
    <w:p w14:paraId="292146AC">
      <w:pPr>
        <w:tabs>
          <w:tab w:val="left" w:pos="1620"/>
          <w:tab w:val="left" w:pos="1800"/>
        </w:tabs>
        <w:spacing w:line="500" w:lineRule="exact"/>
        <w:rPr>
          <w:rFonts w:hAnsi="宋体" w:cs="宋体"/>
          <w:szCs w:val="24"/>
          <w:highlight w:val="none"/>
        </w:rPr>
      </w:pPr>
    </w:p>
    <w:p w14:paraId="514EF7EA">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企业名称（盖章）：</w:t>
      </w:r>
    </w:p>
    <w:p w14:paraId="0E950E76">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日期：</w:t>
      </w:r>
    </w:p>
    <w:p w14:paraId="1F09BE67">
      <w:pPr>
        <w:rPr>
          <w:rFonts w:hAnsi="宋体" w:cs="宋体"/>
          <w:b/>
          <w:sz w:val="28"/>
          <w:szCs w:val="28"/>
          <w:highlight w:val="none"/>
        </w:rPr>
      </w:pPr>
      <w:r>
        <w:rPr>
          <w:rFonts w:hint="eastAsia" w:hAnsi="宋体" w:cs="宋体"/>
          <w:b/>
          <w:sz w:val="28"/>
          <w:szCs w:val="28"/>
          <w:highlight w:val="none"/>
        </w:rPr>
        <w:br w:type="page"/>
      </w:r>
    </w:p>
    <w:bookmarkEnd w:id="161"/>
    <w:p w14:paraId="63434A77">
      <w:pPr>
        <w:spacing w:before="100" w:beforeAutospacing="1" w:after="156" w:afterLines="50" w:line="360" w:lineRule="auto"/>
        <w:outlineLvl w:val="2"/>
        <w:rPr>
          <w:rFonts w:hAnsi="宋体" w:cs="宋体"/>
          <w:b/>
          <w:bCs/>
          <w:spacing w:val="6"/>
          <w:sz w:val="30"/>
          <w:szCs w:val="30"/>
          <w:highlight w:val="none"/>
        </w:rPr>
      </w:pPr>
      <w:bookmarkStart w:id="162" w:name="_Toc22425"/>
      <w:bookmarkStart w:id="163" w:name="_Toc11066"/>
      <w:bookmarkStart w:id="164" w:name="_Toc11235"/>
      <w:r>
        <w:rPr>
          <w:rFonts w:hint="eastAsia" w:hAnsi="宋体" w:cs="宋体"/>
          <w:b/>
          <w:bCs/>
          <w:spacing w:val="6"/>
          <w:sz w:val="30"/>
          <w:szCs w:val="30"/>
          <w:highlight w:val="none"/>
        </w:rPr>
        <w:t>附件3：残疾人福利性单位声明函（如有）</w:t>
      </w:r>
      <w:bookmarkEnd w:id="162"/>
      <w:bookmarkEnd w:id="163"/>
      <w:bookmarkEnd w:id="164"/>
    </w:p>
    <w:p w14:paraId="15854D11">
      <w:pPr>
        <w:spacing w:line="588" w:lineRule="exact"/>
        <w:jc w:val="center"/>
        <w:rPr>
          <w:rFonts w:hAnsi="宋体" w:cs="宋体"/>
          <w:b/>
          <w:spacing w:val="6"/>
          <w:sz w:val="32"/>
          <w:szCs w:val="32"/>
          <w:highlight w:val="none"/>
        </w:rPr>
      </w:pPr>
      <w:bookmarkStart w:id="165" w:name="OLE_LINK13"/>
      <w:bookmarkStart w:id="166" w:name="OLE_LINK14"/>
      <w:r>
        <w:rPr>
          <w:rFonts w:hint="eastAsia" w:hAnsi="宋体" w:cs="宋体"/>
          <w:b/>
          <w:spacing w:val="6"/>
          <w:sz w:val="32"/>
          <w:szCs w:val="32"/>
          <w:highlight w:val="none"/>
        </w:rPr>
        <w:t>残疾人福利性单位声明函</w:t>
      </w:r>
    </w:p>
    <w:bookmarkEnd w:id="165"/>
    <w:bookmarkEnd w:id="166"/>
    <w:p w14:paraId="6FE58151">
      <w:pPr>
        <w:spacing w:line="588" w:lineRule="exact"/>
        <w:rPr>
          <w:rFonts w:hAnsi="宋体" w:cs="宋体"/>
          <w:b/>
          <w:spacing w:val="6"/>
          <w:sz w:val="30"/>
          <w:szCs w:val="30"/>
          <w:highlight w:val="none"/>
        </w:rPr>
      </w:pPr>
    </w:p>
    <w:p w14:paraId="359E461C">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pacing w:val="6"/>
          <w:szCs w:val="24"/>
          <w:highlight w:val="none"/>
          <w:lang w:eastAsia="zh-CN"/>
        </w:rPr>
        <w:t>〔2017〕141号</w:t>
      </w:r>
      <w:r>
        <w:rPr>
          <w:rFonts w:hint="eastAsia" w:hAnsi="宋体" w:cs="宋体"/>
          <w:spacing w:val="6"/>
          <w:szCs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DD8D2C">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14:paraId="7E5D7404">
      <w:pPr>
        <w:spacing w:line="588" w:lineRule="exact"/>
        <w:ind w:firstLine="504" w:firstLineChars="200"/>
        <w:rPr>
          <w:rFonts w:hAnsi="宋体" w:cs="宋体"/>
          <w:spacing w:val="6"/>
          <w:szCs w:val="24"/>
          <w:highlight w:val="none"/>
        </w:rPr>
      </w:pPr>
    </w:p>
    <w:p w14:paraId="4FB7B57C">
      <w:pPr>
        <w:spacing w:line="588" w:lineRule="exact"/>
        <w:ind w:firstLine="504" w:firstLineChars="200"/>
        <w:rPr>
          <w:rFonts w:hAnsi="宋体" w:cs="宋体"/>
          <w:spacing w:val="6"/>
          <w:szCs w:val="24"/>
          <w:highlight w:val="none"/>
        </w:rPr>
      </w:pPr>
    </w:p>
    <w:p w14:paraId="23F17912">
      <w:pPr>
        <w:spacing w:line="588" w:lineRule="exact"/>
        <w:ind w:firstLine="504" w:firstLineChars="200"/>
        <w:rPr>
          <w:rFonts w:hAnsi="宋体" w:cs="宋体"/>
          <w:spacing w:val="6"/>
          <w:szCs w:val="24"/>
          <w:highlight w:val="none"/>
        </w:rPr>
      </w:pPr>
    </w:p>
    <w:p w14:paraId="62F1F022">
      <w:pPr>
        <w:spacing w:line="588" w:lineRule="exact"/>
        <w:ind w:firstLine="504" w:firstLineChars="200"/>
        <w:rPr>
          <w:rFonts w:hAnsi="宋体" w:cs="宋体"/>
          <w:spacing w:val="6"/>
          <w:szCs w:val="24"/>
          <w:highlight w:val="none"/>
        </w:rPr>
      </w:pPr>
    </w:p>
    <w:p w14:paraId="0A189FDC">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14:paraId="351B2561">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14:paraId="48F0A817">
      <w:pPr>
        <w:spacing w:line="360" w:lineRule="auto"/>
        <w:ind w:right="640"/>
        <w:rPr>
          <w:rFonts w:hAnsi="宋体" w:cs="宋体"/>
          <w:szCs w:val="24"/>
          <w:highlight w:val="none"/>
        </w:rPr>
      </w:pPr>
      <w:r>
        <w:rPr>
          <w:rFonts w:hint="eastAsia" w:hAnsi="宋体" w:cs="宋体"/>
          <w:highlight w:val="none"/>
        </w:rPr>
        <w:br w:type="page"/>
      </w:r>
    </w:p>
    <w:p w14:paraId="3E41AC74">
      <w:pPr>
        <w:spacing w:line="360" w:lineRule="auto"/>
        <w:rPr>
          <w:rFonts w:hAnsi="宋体" w:cs="宋体"/>
          <w:szCs w:val="24"/>
          <w:highlight w:val="none"/>
        </w:rPr>
      </w:pPr>
    </w:p>
    <w:p w14:paraId="2DB17D6D">
      <w:pPr>
        <w:spacing w:line="360" w:lineRule="auto"/>
        <w:outlineLvl w:val="2"/>
        <w:rPr>
          <w:rFonts w:hAnsi="宋体" w:cs="宋体"/>
          <w:b/>
          <w:sz w:val="28"/>
          <w:szCs w:val="28"/>
          <w:highlight w:val="none"/>
        </w:rPr>
      </w:pPr>
      <w:bookmarkStart w:id="167" w:name="_Toc2119"/>
      <w:bookmarkStart w:id="168" w:name="_Toc29109"/>
      <w:bookmarkStart w:id="169" w:name="_Toc2139"/>
      <w:r>
        <w:rPr>
          <w:rFonts w:hint="eastAsia" w:hAnsi="宋体" w:cs="宋体"/>
          <w:b/>
          <w:sz w:val="28"/>
          <w:szCs w:val="28"/>
          <w:highlight w:val="none"/>
        </w:rPr>
        <w:t>附件4：质疑函范本</w:t>
      </w:r>
      <w:bookmarkEnd w:id="167"/>
      <w:bookmarkEnd w:id="168"/>
      <w:bookmarkEnd w:id="169"/>
    </w:p>
    <w:p w14:paraId="407176AE">
      <w:pPr>
        <w:jc w:val="center"/>
        <w:rPr>
          <w:rFonts w:hAnsi="宋体" w:cs="宋体"/>
          <w:b/>
          <w:bCs/>
          <w:sz w:val="44"/>
          <w:szCs w:val="44"/>
          <w:highlight w:val="none"/>
        </w:rPr>
      </w:pPr>
      <w:r>
        <w:rPr>
          <w:rFonts w:hint="eastAsia" w:hAnsi="宋体" w:cs="宋体"/>
          <w:b/>
          <w:bCs/>
          <w:sz w:val="44"/>
          <w:szCs w:val="44"/>
          <w:highlight w:val="none"/>
        </w:rPr>
        <w:t>质疑函范本</w:t>
      </w:r>
    </w:p>
    <w:p w14:paraId="7D676765">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14:paraId="3E64E4EA">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4FC3C271">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6B6CB7E8">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1BDDAD68">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5CA20C99">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1B658B8C">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1C0ADAEE">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1352F3C3">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14DCB98A">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1301BB6E">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500FF5D1">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42842BC1">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4F6AB783">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30DCFADB">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4E2F2A8C">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0FA3A914">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7513E4AD">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18FF10A1">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4784554F">
      <w:pPr>
        <w:adjustRightInd w:val="0"/>
        <w:snapToGrid w:val="0"/>
        <w:spacing w:line="360" w:lineRule="auto"/>
        <w:rPr>
          <w:rFonts w:hAnsi="宋体" w:cs="宋体"/>
          <w:szCs w:val="24"/>
          <w:highlight w:val="none"/>
        </w:rPr>
      </w:pPr>
      <w:r>
        <w:rPr>
          <w:rFonts w:hint="eastAsia" w:hAnsi="宋体" w:cs="宋体"/>
          <w:szCs w:val="24"/>
          <w:highlight w:val="none"/>
        </w:rPr>
        <w:t>……</w:t>
      </w:r>
    </w:p>
    <w:p w14:paraId="47A995B2">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6E11DC84">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0B366EC8">
      <w:pPr>
        <w:rPr>
          <w:rFonts w:hAnsi="宋体" w:cs="宋体"/>
          <w:szCs w:val="24"/>
          <w:highlight w:val="none"/>
        </w:rPr>
      </w:pPr>
      <w:r>
        <w:rPr>
          <w:rFonts w:hint="eastAsia" w:hAnsi="宋体" w:cs="宋体"/>
          <w:szCs w:val="24"/>
          <w:highlight w:val="none"/>
        </w:rPr>
        <w:t xml:space="preserve">签字(签章)：                   公章：                      </w:t>
      </w:r>
    </w:p>
    <w:p w14:paraId="096C84FC">
      <w:pPr>
        <w:rPr>
          <w:rFonts w:hAnsi="宋体" w:cs="宋体"/>
          <w:szCs w:val="24"/>
          <w:highlight w:val="none"/>
        </w:rPr>
      </w:pPr>
      <w:r>
        <w:rPr>
          <w:rFonts w:hint="eastAsia" w:hAnsi="宋体" w:cs="宋体"/>
          <w:szCs w:val="24"/>
          <w:highlight w:val="none"/>
        </w:rPr>
        <w:t xml:space="preserve">日期：    </w:t>
      </w:r>
    </w:p>
    <w:p w14:paraId="613CD50D">
      <w:pPr>
        <w:jc w:val="center"/>
        <w:rPr>
          <w:rFonts w:hAnsi="宋体" w:cs="宋体"/>
          <w:b/>
          <w:sz w:val="44"/>
          <w:szCs w:val="44"/>
          <w:highlight w:val="none"/>
        </w:rPr>
      </w:pPr>
    </w:p>
    <w:p w14:paraId="035FB678">
      <w:pPr>
        <w:jc w:val="center"/>
        <w:rPr>
          <w:rFonts w:hAnsi="宋体" w:cs="宋体"/>
          <w:b/>
          <w:sz w:val="44"/>
          <w:szCs w:val="44"/>
          <w:highlight w:val="none"/>
        </w:rPr>
      </w:pPr>
    </w:p>
    <w:p w14:paraId="5D5DFC33">
      <w:pPr>
        <w:jc w:val="center"/>
        <w:rPr>
          <w:rFonts w:hAnsi="宋体" w:cs="宋体"/>
          <w:b/>
          <w:sz w:val="44"/>
          <w:szCs w:val="44"/>
          <w:highlight w:val="none"/>
        </w:rPr>
      </w:pPr>
      <w:r>
        <w:rPr>
          <w:rFonts w:hint="eastAsia" w:hAnsi="宋体" w:cs="宋体"/>
          <w:b/>
          <w:sz w:val="44"/>
          <w:szCs w:val="44"/>
          <w:highlight w:val="none"/>
        </w:rPr>
        <w:t>投诉书范本</w:t>
      </w:r>
    </w:p>
    <w:p w14:paraId="0D48F066">
      <w:pPr>
        <w:rPr>
          <w:rFonts w:hAnsi="宋体" w:cs="宋体"/>
          <w:szCs w:val="24"/>
          <w:highlight w:val="none"/>
        </w:rPr>
      </w:pPr>
      <w:r>
        <w:rPr>
          <w:rFonts w:hint="eastAsia" w:hAnsi="宋体" w:cs="宋体"/>
          <w:szCs w:val="24"/>
          <w:highlight w:val="none"/>
        </w:rPr>
        <w:t>一、投诉相关主体基本情况</w:t>
      </w:r>
    </w:p>
    <w:p w14:paraId="4E18DD4B">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35529ACE">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2952F25">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2AC117A0">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5369C7ED">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5599B9DC">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71DEBC77">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71155DAA">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CD00F16">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30CF19B1">
      <w:pPr>
        <w:rPr>
          <w:rFonts w:hAnsi="宋体" w:cs="宋体"/>
          <w:szCs w:val="24"/>
          <w:highlight w:val="none"/>
        </w:rPr>
      </w:pPr>
      <w:r>
        <w:rPr>
          <w:rFonts w:hint="eastAsia" w:hAnsi="宋体" w:cs="宋体"/>
          <w:szCs w:val="24"/>
          <w:highlight w:val="none"/>
        </w:rPr>
        <w:t>被投诉人2</w:t>
      </w:r>
    </w:p>
    <w:p w14:paraId="5008258B">
      <w:pPr>
        <w:rPr>
          <w:rFonts w:hAnsi="宋体" w:cs="宋体"/>
          <w:szCs w:val="24"/>
          <w:highlight w:val="none"/>
          <w:u w:val="dotted"/>
        </w:rPr>
      </w:pPr>
      <w:r>
        <w:rPr>
          <w:rFonts w:hint="eastAsia" w:hAnsi="宋体" w:cs="宋体"/>
          <w:szCs w:val="24"/>
          <w:highlight w:val="none"/>
        </w:rPr>
        <w:t>……</w:t>
      </w:r>
    </w:p>
    <w:p w14:paraId="3DECA983">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431D9A05">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713E2B86">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A530707">
      <w:pPr>
        <w:rPr>
          <w:rFonts w:hAnsi="宋体" w:cs="宋体"/>
          <w:szCs w:val="24"/>
          <w:highlight w:val="none"/>
        </w:rPr>
      </w:pPr>
      <w:r>
        <w:rPr>
          <w:rFonts w:hint="eastAsia" w:hAnsi="宋体" w:cs="宋体"/>
          <w:szCs w:val="24"/>
          <w:highlight w:val="none"/>
        </w:rPr>
        <w:t>二、投诉项目基本情况</w:t>
      </w:r>
    </w:p>
    <w:p w14:paraId="266B84ED">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246704E6">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5778CA6F">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CAB3739">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1266BF1B">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7BADBAB2">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17D5D95E">
      <w:pPr>
        <w:rPr>
          <w:rFonts w:hAnsi="宋体" w:cs="宋体"/>
          <w:szCs w:val="24"/>
          <w:highlight w:val="none"/>
        </w:rPr>
      </w:pPr>
      <w:r>
        <w:rPr>
          <w:rFonts w:hint="eastAsia" w:hAnsi="宋体" w:cs="宋体"/>
          <w:szCs w:val="24"/>
          <w:highlight w:val="none"/>
        </w:rPr>
        <w:t>三、质疑基本情况</w:t>
      </w:r>
    </w:p>
    <w:p w14:paraId="4C993881">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02B6C53C">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33EE5CC2">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68E4FD5B">
      <w:pPr>
        <w:rPr>
          <w:rFonts w:hAnsi="宋体" w:cs="宋体"/>
          <w:szCs w:val="24"/>
          <w:highlight w:val="none"/>
        </w:rPr>
      </w:pPr>
      <w:r>
        <w:rPr>
          <w:rFonts w:hint="eastAsia" w:hAnsi="宋体" w:cs="宋体"/>
          <w:szCs w:val="24"/>
          <w:highlight w:val="none"/>
        </w:rPr>
        <w:t>四、投诉事项具体内容</w:t>
      </w:r>
    </w:p>
    <w:p w14:paraId="4B213331">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488D966B">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2B0E9347">
      <w:pPr>
        <w:rPr>
          <w:rFonts w:hAnsi="宋体" w:cs="宋体"/>
          <w:szCs w:val="24"/>
          <w:highlight w:val="none"/>
          <w:u w:val="dotted"/>
        </w:rPr>
      </w:pPr>
      <w:r>
        <w:rPr>
          <w:rFonts w:hint="eastAsia" w:hAnsi="宋体" w:cs="宋体"/>
          <w:szCs w:val="24"/>
          <w:highlight w:val="none"/>
          <w:u w:val="dotted"/>
        </w:rPr>
        <w:t xml:space="preserve">                                                      </w:t>
      </w:r>
    </w:p>
    <w:p w14:paraId="70C5D142">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6D693C9D">
      <w:pPr>
        <w:rPr>
          <w:rFonts w:hAnsi="宋体" w:cs="宋体"/>
          <w:szCs w:val="24"/>
          <w:highlight w:val="none"/>
          <w:u w:val="dotted"/>
        </w:rPr>
      </w:pPr>
      <w:r>
        <w:rPr>
          <w:rFonts w:hint="eastAsia" w:hAnsi="宋体" w:cs="宋体"/>
          <w:szCs w:val="24"/>
          <w:highlight w:val="none"/>
          <w:u w:val="dotted"/>
        </w:rPr>
        <w:t xml:space="preserve">                                                      </w:t>
      </w:r>
    </w:p>
    <w:p w14:paraId="0A49E5B3">
      <w:pPr>
        <w:rPr>
          <w:rFonts w:hAnsi="宋体" w:cs="宋体"/>
          <w:szCs w:val="24"/>
          <w:highlight w:val="none"/>
        </w:rPr>
      </w:pPr>
      <w:r>
        <w:rPr>
          <w:rFonts w:hint="eastAsia" w:hAnsi="宋体" w:cs="宋体"/>
          <w:szCs w:val="24"/>
          <w:highlight w:val="none"/>
        </w:rPr>
        <w:t>投诉事项2</w:t>
      </w:r>
    </w:p>
    <w:p w14:paraId="1E456609">
      <w:pPr>
        <w:rPr>
          <w:rFonts w:hAnsi="宋体" w:cs="宋体"/>
          <w:szCs w:val="24"/>
          <w:highlight w:val="none"/>
          <w:u w:val="dotted"/>
        </w:rPr>
      </w:pPr>
      <w:r>
        <w:rPr>
          <w:rFonts w:hint="eastAsia" w:hAnsi="宋体" w:cs="宋体"/>
          <w:szCs w:val="24"/>
          <w:highlight w:val="none"/>
        </w:rPr>
        <w:t>……</w:t>
      </w:r>
    </w:p>
    <w:p w14:paraId="3F5C4C24">
      <w:pPr>
        <w:rPr>
          <w:rFonts w:hAnsi="宋体" w:cs="宋体"/>
          <w:szCs w:val="24"/>
          <w:highlight w:val="none"/>
        </w:rPr>
      </w:pPr>
      <w:r>
        <w:rPr>
          <w:rFonts w:hint="eastAsia" w:hAnsi="宋体" w:cs="宋体"/>
          <w:szCs w:val="24"/>
          <w:highlight w:val="none"/>
        </w:rPr>
        <w:t>五、与投诉事项相关的投诉请求</w:t>
      </w:r>
    </w:p>
    <w:p w14:paraId="6755F447">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57400AEA">
      <w:pPr>
        <w:rPr>
          <w:rFonts w:hAnsi="宋体" w:cs="宋体"/>
          <w:szCs w:val="24"/>
          <w:highlight w:val="none"/>
          <w:u w:val="single"/>
        </w:rPr>
      </w:pPr>
      <w:r>
        <w:rPr>
          <w:rFonts w:hint="eastAsia" w:hAnsi="宋体" w:cs="宋体"/>
          <w:szCs w:val="24"/>
          <w:highlight w:val="none"/>
        </w:rPr>
        <w:t xml:space="preserve">                                                                                                    </w:t>
      </w:r>
    </w:p>
    <w:p w14:paraId="5123E630">
      <w:pPr>
        <w:rPr>
          <w:rFonts w:hAnsi="宋体" w:cs="宋体"/>
          <w:szCs w:val="24"/>
          <w:highlight w:val="none"/>
        </w:rPr>
      </w:pPr>
      <w:r>
        <w:rPr>
          <w:rFonts w:hint="eastAsia" w:hAnsi="宋体" w:cs="宋体"/>
          <w:szCs w:val="24"/>
          <w:highlight w:val="none"/>
        </w:rPr>
        <w:t xml:space="preserve">签字(签章)：                   公章：                      </w:t>
      </w:r>
    </w:p>
    <w:p w14:paraId="42A70548">
      <w:pPr>
        <w:spacing w:line="360" w:lineRule="auto"/>
        <w:rPr>
          <w:highlight w:val="none"/>
        </w:rPr>
      </w:pPr>
      <w:r>
        <w:rPr>
          <w:rFonts w:hint="eastAsia" w:hAnsi="宋体" w:cs="宋体"/>
          <w:szCs w:val="24"/>
          <w:highlight w:val="none"/>
        </w:rPr>
        <w:t xml:space="preserve">日期：   </w:t>
      </w:r>
      <w:r>
        <w:rPr>
          <w:rFonts w:hint="eastAsia" w:hAnsi="宋体" w:cs="宋体"/>
          <w:szCs w:val="24"/>
          <w:highlight w:val="none"/>
        </w:rPr>
        <w:tab/>
      </w:r>
    </w:p>
    <w:sectPr>
      <w:footerReference r:id="rId12" w:type="first"/>
      <w:headerReference r:id="rId10" w:type="default"/>
      <w:footerReference r:id="rId11" w:type="default"/>
      <w:pgSz w:w="11906" w:h="16838"/>
      <w:pgMar w:top="1361" w:right="1304" w:bottom="1361"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AGYXIQ + Frutiger-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861FB">
    <w:pPr>
      <w:pStyle w:val="15"/>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7B505">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51196">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5BDD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E5BDDC">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17CEF">
    <w:pPr>
      <w:pStyle w:val="15"/>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34630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34630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C8135">
    <w:pPr>
      <w:tabs>
        <w:tab w:val="left" w:pos="5646"/>
      </w:tabs>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93BF3">
                          <w:pPr>
                            <w:pStyle w:val="1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7F93BF3">
                    <w:pPr>
                      <w:pStyle w:val="15"/>
                    </w:pPr>
                    <w:r>
                      <w:fldChar w:fldCharType="begin"/>
                    </w:r>
                    <w:r>
                      <w:instrText xml:space="preserve"> PAGE  \* MERGEFORMAT </w:instrText>
                    </w:r>
                    <w:r>
                      <w:fldChar w:fldCharType="separate"/>
                    </w:r>
                    <w:r>
                      <w:t>38</w:t>
                    </w:r>
                    <w:r>
                      <w:fldChar w:fldCharType="end"/>
                    </w:r>
                  </w:p>
                </w:txbxContent>
              </v:textbox>
            </v:shape>
          </w:pict>
        </mc:Fallback>
      </mc:AlternateContent>
    </w:r>
  </w:p>
  <w:p w14:paraId="53706A77">
    <w:pPr>
      <w:pStyle w:val="15"/>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9D959">
    <w:pPr>
      <w:pStyle w:val="15"/>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DA978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0ADA978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003E5">
    <w:pPr>
      <w:spacing w:line="500" w:lineRule="exact"/>
      <w:ind w:left="1870" w:hanging="1870" w:hangingChars="850"/>
      <w:jc w:val="left"/>
      <w:rPr>
        <w:rFonts w:hAnsi="宋体" w:cs="宋体"/>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C187">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F6C8D">
    <w:pPr>
      <w:pStyle w:val="1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38DEE">
    <w:pPr>
      <w:pBdr>
        <w:bottom w:val="none" w:color="auto" w:sz="0" w:space="0"/>
      </w:pBdr>
      <w:spacing w:before="16" w:line="218" w:lineRule="auto"/>
      <w:ind w:left="7"/>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B9298"/>
    <w:multiLevelType w:val="singleLevel"/>
    <w:tmpl w:val="8B3B9298"/>
    <w:lvl w:ilvl="0" w:tentative="0">
      <w:start w:val="1"/>
      <w:numFmt w:val="chineseCounting"/>
      <w:suff w:val="nothing"/>
      <w:lvlText w:val="%1、"/>
      <w:lvlJc w:val="left"/>
      <w:rPr>
        <w:rFonts w:hint="eastAsia"/>
      </w:rPr>
    </w:lvl>
  </w:abstractNum>
  <w:abstractNum w:abstractNumId="1">
    <w:nsid w:val="A325EAF9"/>
    <w:multiLevelType w:val="singleLevel"/>
    <w:tmpl w:val="A325EAF9"/>
    <w:lvl w:ilvl="0" w:tentative="0">
      <w:start w:val="1"/>
      <w:numFmt w:val="chineseCounting"/>
      <w:suff w:val="nothing"/>
      <w:lvlText w:val="%1、"/>
      <w:lvlJc w:val="left"/>
      <w:rPr>
        <w:rFonts w:hint="eastAsia"/>
      </w:rPr>
    </w:lvl>
  </w:abstractNum>
  <w:abstractNum w:abstractNumId="2">
    <w:nsid w:val="BA7704AE"/>
    <w:multiLevelType w:val="singleLevel"/>
    <w:tmpl w:val="BA7704AE"/>
    <w:lvl w:ilvl="0" w:tentative="0">
      <w:start w:val="1"/>
      <w:numFmt w:val="decimal"/>
      <w:suff w:val="nothing"/>
      <w:lvlText w:val="%1、"/>
      <w:lvlJc w:val="left"/>
      <w:pPr>
        <w:ind w:left="120" w:leftChars="0" w:firstLine="0" w:firstLineChars="0"/>
      </w:pPr>
    </w:lvl>
  </w:abstractNum>
  <w:abstractNum w:abstractNumId="3">
    <w:nsid w:val="E31D25B0"/>
    <w:multiLevelType w:val="singleLevel"/>
    <w:tmpl w:val="E31D25B0"/>
    <w:lvl w:ilvl="0" w:tentative="0">
      <w:start w:val="1"/>
      <w:numFmt w:val="decimal"/>
      <w:suff w:val="nothing"/>
      <w:lvlText w:val="%1、"/>
      <w:lvlJc w:val="left"/>
    </w:lvl>
  </w:abstractNum>
  <w:abstractNum w:abstractNumId="4">
    <w:nsid w:val="EC8408EC"/>
    <w:multiLevelType w:val="singleLevel"/>
    <w:tmpl w:val="EC8408EC"/>
    <w:lvl w:ilvl="0" w:tentative="0">
      <w:start w:val="1"/>
      <w:numFmt w:val="decimal"/>
      <w:suff w:val="nothing"/>
      <w:lvlText w:val="%1、"/>
      <w:lvlJc w:val="left"/>
    </w:lvl>
  </w:abstractNum>
  <w:abstractNum w:abstractNumId="5">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51148D3"/>
    <w:multiLevelType w:val="singleLevel"/>
    <w:tmpl w:val="051148D3"/>
    <w:lvl w:ilvl="0" w:tentative="0">
      <w:start w:val="1"/>
      <w:numFmt w:val="chineseCounting"/>
      <w:suff w:val="nothing"/>
      <w:lvlText w:val="%1、"/>
      <w:lvlJc w:val="left"/>
      <w:rPr>
        <w:rFonts w:hint="eastAsia"/>
      </w:rPr>
    </w:lvl>
  </w:abstractNum>
  <w:abstractNum w:abstractNumId="7">
    <w:nsid w:val="2BB5311E"/>
    <w:multiLevelType w:val="singleLevel"/>
    <w:tmpl w:val="2BB5311E"/>
    <w:lvl w:ilvl="0" w:tentative="0">
      <w:start w:val="1"/>
      <w:numFmt w:val="chineseCounting"/>
      <w:suff w:val="nothing"/>
      <w:lvlText w:val="%1、"/>
      <w:lvlJc w:val="left"/>
      <w:rPr>
        <w:rFonts w:hint="eastAsia"/>
      </w:rPr>
    </w:lvl>
  </w:abstractNum>
  <w:abstractNum w:abstractNumId="8">
    <w:nsid w:val="3345DCC0"/>
    <w:multiLevelType w:val="singleLevel"/>
    <w:tmpl w:val="3345DCC0"/>
    <w:lvl w:ilvl="0" w:tentative="0">
      <w:start w:val="1"/>
      <w:numFmt w:val="decimal"/>
      <w:suff w:val="nothing"/>
      <w:lvlText w:val="%1）"/>
      <w:lvlJc w:val="left"/>
    </w:lvl>
  </w:abstractNum>
  <w:abstractNum w:abstractNumId="9">
    <w:nsid w:val="33CEC18F"/>
    <w:multiLevelType w:val="singleLevel"/>
    <w:tmpl w:val="33CEC18F"/>
    <w:lvl w:ilvl="0" w:tentative="0">
      <w:start w:val="3"/>
      <w:numFmt w:val="chineseCounting"/>
      <w:suff w:val="space"/>
      <w:lvlText w:val="第%1章"/>
      <w:lvlJc w:val="left"/>
      <w:rPr>
        <w:rFonts w:hint="eastAsia"/>
      </w:rPr>
    </w:lvl>
  </w:abstractNum>
  <w:abstractNum w:abstractNumId="10">
    <w:nsid w:val="34F9FB77"/>
    <w:multiLevelType w:val="singleLevel"/>
    <w:tmpl w:val="34F9FB77"/>
    <w:lvl w:ilvl="0" w:tentative="0">
      <w:start w:val="1"/>
      <w:numFmt w:val="chineseCounting"/>
      <w:suff w:val="nothing"/>
      <w:lvlText w:val="%1、"/>
      <w:lvlJc w:val="left"/>
      <w:rPr>
        <w:rFonts w:hint="eastAsia"/>
      </w:rPr>
    </w:lvl>
  </w:abstractNum>
  <w:abstractNum w:abstractNumId="11">
    <w:nsid w:val="590049E8"/>
    <w:multiLevelType w:val="singleLevel"/>
    <w:tmpl w:val="590049E8"/>
    <w:lvl w:ilvl="0" w:tentative="0">
      <w:start w:val="30"/>
      <w:numFmt w:val="decimal"/>
      <w:suff w:val="nothing"/>
      <w:lvlText w:val="%1."/>
      <w:lvlJc w:val="left"/>
    </w:lvl>
  </w:abstractNum>
  <w:abstractNum w:abstractNumId="12">
    <w:nsid w:val="59B2460E"/>
    <w:multiLevelType w:val="singleLevel"/>
    <w:tmpl w:val="59B2460E"/>
    <w:lvl w:ilvl="0" w:tentative="0">
      <w:start w:val="2"/>
      <w:numFmt w:val="decimal"/>
      <w:suff w:val="nothing"/>
      <w:lvlText w:val="%1."/>
      <w:lvlJc w:val="left"/>
    </w:lvl>
  </w:abstractNum>
  <w:abstractNum w:abstractNumId="13">
    <w:nsid w:val="59CF0981"/>
    <w:multiLevelType w:val="singleLevel"/>
    <w:tmpl w:val="59CF0981"/>
    <w:lvl w:ilvl="0" w:tentative="0">
      <w:start w:val="1"/>
      <w:numFmt w:val="decimal"/>
      <w:suff w:val="nothing"/>
      <w:lvlText w:val="%1、"/>
      <w:lvlJc w:val="left"/>
    </w:lvl>
  </w:abstractNum>
  <w:abstractNum w:abstractNumId="14">
    <w:nsid w:val="5B4DA3FD"/>
    <w:multiLevelType w:val="singleLevel"/>
    <w:tmpl w:val="5B4DA3FD"/>
    <w:lvl w:ilvl="0" w:tentative="0">
      <w:start w:val="1"/>
      <w:numFmt w:val="chineseCounting"/>
      <w:suff w:val="nothing"/>
      <w:lvlText w:val="%1、"/>
      <w:lvlJc w:val="left"/>
      <w:rPr>
        <w:rFonts w:hint="eastAsia"/>
      </w:rPr>
    </w:lvl>
  </w:abstractNum>
  <w:abstractNum w:abstractNumId="15">
    <w:nsid w:val="696C6196"/>
    <w:multiLevelType w:val="singleLevel"/>
    <w:tmpl w:val="696C6196"/>
    <w:lvl w:ilvl="0" w:tentative="0">
      <w:start w:val="1"/>
      <w:numFmt w:val="chineseCounting"/>
      <w:suff w:val="nothing"/>
      <w:lvlText w:val="%1、"/>
      <w:lvlJc w:val="left"/>
      <w:rPr>
        <w:rFonts w:hint="eastAsia"/>
      </w:rPr>
    </w:lvl>
  </w:abstractNum>
  <w:num w:numId="1">
    <w:abstractNumId w:val="12"/>
  </w:num>
  <w:num w:numId="2">
    <w:abstractNumId w:val="11"/>
  </w:num>
  <w:num w:numId="3">
    <w:abstractNumId w:val="9"/>
  </w:num>
  <w:num w:numId="4">
    <w:abstractNumId w:val="13"/>
  </w:num>
  <w:num w:numId="5">
    <w:abstractNumId w:val="10"/>
  </w:num>
  <w:num w:numId="6">
    <w:abstractNumId w:val="6"/>
  </w:num>
  <w:num w:numId="7">
    <w:abstractNumId w:val="0"/>
  </w:num>
  <w:num w:numId="8">
    <w:abstractNumId w:val="4"/>
  </w:num>
  <w:num w:numId="9">
    <w:abstractNumId w:val="7"/>
  </w:num>
  <w:num w:numId="10">
    <w:abstractNumId w:val="3"/>
  </w:num>
  <w:num w:numId="11">
    <w:abstractNumId w:val="14"/>
  </w:num>
  <w:num w:numId="12">
    <w:abstractNumId w:val="2"/>
  </w:num>
  <w:num w:numId="13">
    <w:abstractNumId w:val="15"/>
  </w:num>
  <w:num w:numId="14">
    <w:abstractNumId w:val="1"/>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TljMjQ2ZmM1YTViMzFmYmJjNDI2MjcxMWZiNWYifQ=="/>
  </w:docVars>
  <w:rsids>
    <w:rsidRoot w:val="000007BF"/>
    <w:rsid w:val="000007BF"/>
    <w:rsid w:val="000B4EEA"/>
    <w:rsid w:val="001746F9"/>
    <w:rsid w:val="00187FDF"/>
    <w:rsid w:val="001A3005"/>
    <w:rsid w:val="00210AF4"/>
    <w:rsid w:val="0025686E"/>
    <w:rsid w:val="003F27D8"/>
    <w:rsid w:val="0051172C"/>
    <w:rsid w:val="00674F9E"/>
    <w:rsid w:val="007E3EC7"/>
    <w:rsid w:val="00957719"/>
    <w:rsid w:val="009D35EB"/>
    <w:rsid w:val="00A96660"/>
    <w:rsid w:val="00AC22DF"/>
    <w:rsid w:val="00B850B3"/>
    <w:rsid w:val="00E1765B"/>
    <w:rsid w:val="00FE29D6"/>
    <w:rsid w:val="01491172"/>
    <w:rsid w:val="02EA0A37"/>
    <w:rsid w:val="02FD16D8"/>
    <w:rsid w:val="054F4610"/>
    <w:rsid w:val="06BD404D"/>
    <w:rsid w:val="06E7111E"/>
    <w:rsid w:val="072636A7"/>
    <w:rsid w:val="07534DB1"/>
    <w:rsid w:val="07CE3B8A"/>
    <w:rsid w:val="07E31EA8"/>
    <w:rsid w:val="07EC2E3C"/>
    <w:rsid w:val="084367D4"/>
    <w:rsid w:val="08896E41"/>
    <w:rsid w:val="09F94067"/>
    <w:rsid w:val="0A7B73F3"/>
    <w:rsid w:val="0A9B03C3"/>
    <w:rsid w:val="0AF1649C"/>
    <w:rsid w:val="0B2608DC"/>
    <w:rsid w:val="0B7374F2"/>
    <w:rsid w:val="0C0C3791"/>
    <w:rsid w:val="0C634E99"/>
    <w:rsid w:val="0CB75121"/>
    <w:rsid w:val="0D9F1FC7"/>
    <w:rsid w:val="0EC42C1D"/>
    <w:rsid w:val="0FCB77DB"/>
    <w:rsid w:val="10762A63"/>
    <w:rsid w:val="10C03B1A"/>
    <w:rsid w:val="11933EF1"/>
    <w:rsid w:val="124E6541"/>
    <w:rsid w:val="12DB20EC"/>
    <w:rsid w:val="13055EFC"/>
    <w:rsid w:val="132A4818"/>
    <w:rsid w:val="1334275B"/>
    <w:rsid w:val="138A6B07"/>
    <w:rsid w:val="14FF19C2"/>
    <w:rsid w:val="15007F26"/>
    <w:rsid w:val="1622360B"/>
    <w:rsid w:val="16460527"/>
    <w:rsid w:val="177346D7"/>
    <w:rsid w:val="17940F26"/>
    <w:rsid w:val="17AA7A6C"/>
    <w:rsid w:val="18774565"/>
    <w:rsid w:val="18B43656"/>
    <w:rsid w:val="18E436BB"/>
    <w:rsid w:val="19371A3D"/>
    <w:rsid w:val="19B41A68"/>
    <w:rsid w:val="1A7F74B5"/>
    <w:rsid w:val="1BAE4D2B"/>
    <w:rsid w:val="1BF20D44"/>
    <w:rsid w:val="1BFD09CC"/>
    <w:rsid w:val="1EB77460"/>
    <w:rsid w:val="1EC94B5F"/>
    <w:rsid w:val="1F126C7C"/>
    <w:rsid w:val="20530343"/>
    <w:rsid w:val="20D64D51"/>
    <w:rsid w:val="21210A4D"/>
    <w:rsid w:val="21A15D2C"/>
    <w:rsid w:val="21B84BEB"/>
    <w:rsid w:val="21C82376"/>
    <w:rsid w:val="22FC0750"/>
    <w:rsid w:val="23C860B3"/>
    <w:rsid w:val="244B7205"/>
    <w:rsid w:val="24D93136"/>
    <w:rsid w:val="25107BC7"/>
    <w:rsid w:val="2587194A"/>
    <w:rsid w:val="26450D58"/>
    <w:rsid w:val="272C1927"/>
    <w:rsid w:val="279F5FDF"/>
    <w:rsid w:val="27DA394E"/>
    <w:rsid w:val="289A5B44"/>
    <w:rsid w:val="28DC0F6A"/>
    <w:rsid w:val="297E4A9C"/>
    <w:rsid w:val="29962A80"/>
    <w:rsid w:val="29F4766B"/>
    <w:rsid w:val="2A513B22"/>
    <w:rsid w:val="2AAB1038"/>
    <w:rsid w:val="2B2B3DF5"/>
    <w:rsid w:val="2D3C564F"/>
    <w:rsid w:val="2DA83DCF"/>
    <w:rsid w:val="2E4815E6"/>
    <w:rsid w:val="2EB7446F"/>
    <w:rsid w:val="2EBB4D79"/>
    <w:rsid w:val="2F02634B"/>
    <w:rsid w:val="2F620668"/>
    <w:rsid w:val="30306ED7"/>
    <w:rsid w:val="30E43FCF"/>
    <w:rsid w:val="317155B7"/>
    <w:rsid w:val="31C85DFF"/>
    <w:rsid w:val="321816BB"/>
    <w:rsid w:val="329D1A99"/>
    <w:rsid w:val="33996076"/>
    <w:rsid w:val="342C104F"/>
    <w:rsid w:val="34557684"/>
    <w:rsid w:val="3787655B"/>
    <w:rsid w:val="38EA6674"/>
    <w:rsid w:val="39784608"/>
    <w:rsid w:val="3996367A"/>
    <w:rsid w:val="3A064C79"/>
    <w:rsid w:val="3AD061AD"/>
    <w:rsid w:val="3AF06488"/>
    <w:rsid w:val="3B663A4F"/>
    <w:rsid w:val="3BDE1F31"/>
    <w:rsid w:val="3C7D53DE"/>
    <w:rsid w:val="3CB6772C"/>
    <w:rsid w:val="3CFB14E2"/>
    <w:rsid w:val="3DF3219E"/>
    <w:rsid w:val="3E273EB8"/>
    <w:rsid w:val="3E7C700F"/>
    <w:rsid w:val="3EB05A68"/>
    <w:rsid w:val="3EB94D72"/>
    <w:rsid w:val="3F073C8D"/>
    <w:rsid w:val="3FEC672B"/>
    <w:rsid w:val="40145023"/>
    <w:rsid w:val="40214F87"/>
    <w:rsid w:val="40334D77"/>
    <w:rsid w:val="410A69D5"/>
    <w:rsid w:val="41571F94"/>
    <w:rsid w:val="41C537DA"/>
    <w:rsid w:val="41CA7756"/>
    <w:rsid w:val="42B37C55"/>
    <w:rsid w:val="4356153B"/>
    <w:rsid w:val="438A0A85"/>
    <w:rsid w:val="43B937F0"/>
    <w:rsid w:val="449D0A3E"/>
    <w:rsid w:val="44C64A78"/>
    <w:rsid w:val="450B5884"/>
    <w:rsid w:val="46071A0D"/>
    <w:rsid w:val="462F7E0C"/>
    <w:rsid w:val="474029EB"/>
    <w:rsid w:val="492C1D18"/>
    <w:rsid w:val="49BD79B3"/>
    <w:rsid w:val="49E53559"/>
    <w:rsid w:val="4A485DC2"/>
    <w:rsid w:val="4B0215FB"/>
    <w:rsid w:val="4C977834"/>
    <w:rsid w:val="4CCA5C77"/>
    <w:rsid w:val="4CFE682A"/>
    <w:rsid w:val="4D3038E5"/>
    <w:rsid w:val="4D596375"/>
    <w:rsid w:val="4D946928"/>
    <w:rsid w:val="4F43377D"/>
    <w:rsid w:val="4F5C7CDE"/>
    <w:rsid w:val="4FCA5312"/>
    <w:rsid w:val="50A15412"/>
    <w:rsid w:val="51533914"/>
    <w:rsid w:val="51D61F9B"/>
    <w:rsid w:val="52237471"/>
    <w:rsid w:val="528D20F2"/>
    <w:rsid w:val="52927B75"/>
    <w:rsid w:val="5295566F"/>
    <w:rsid w:val="52B435E1"/>
    <w:rsid w:val="52E15F9A"/>
    <w:rsid w:val="535661BA"/>
    <w:rsid w:val="54201323"/>
    <w:rsid w:val="5502352F"/>
    <w:rsid w:val="550D4EC7"/>
    <w:rsid w:val="552C7A66"/>
    <w:rsid w:val="560E38A4"/>
    <w:rsid w:val="56D55E16"/>
    <w:rsid w:val="56F42740"/>
    <w:rsid w:val="59361347"/>
    <w:rsid w:val="59A66EED"/>
    <w:rsid w:val="5AA9763F"/>
    <w:rsid w:val="5AAC7A62"/>
    <w:rsid w:val="5BC07533"/>
    <w:rsid w:val="5BC35761"/>
    <w:rsid w:val="5C1D33B9"/>
    <w:rsid w:val="5CAC46FC"/>
    <w:rsid w:val="5CE21551"/>
    <w:rsid w:val="5D5905FD"/>
    <w:rsid w:val="5D822C5A"/>
    <w:rsid w:val="5E3F04E9"/>
    <w:rsid w:val="5E421FD0"/>
    <w:rsid w:val="5F1C7961"/>
    <w:rsid w:val="5F303B6F"/>
    <w:rsid w:val="5F463D55"/>
    <w:rsid w:val="5F7B13DF"/>
    <w:rsid w:val="5FFA2097"/>
    <w:rsid w:val="60637039"/>
    <w:rsid w:val="61354B48"/>
    <w:rsid w:val="61397DAE"/>
    <w:rsid w:val="63DA4B97"/>
    <w:rsid w:val="64522C79"/>
    <w:rsid w:val="64EB3807"/>
    <w:rsid w:val="665D1ED0"/>
    <w:rsid w:val="66B710D8"/>
    <w:rsid w:val="66BD39E5"/>
    <w:rsid w:val="67700737"/>
    <w:rsid w:val="679B47E6"/>
    <w:rsid w:val="67F26828"/>
    <w:rsid w:val="688F22C8"/>
    <w:rsid w:val="68A6624A"/>
    <w:rsid w:val="6906014B"/>
    <w:rsid w:val="69DE533E"/>
    <w:rsid w:val="69F71FE5"/>
    <w:rsid w:val="6A7A48B2"/>
    <w:rsid w:val="6B62463D"/>
    <w:rsid w:val="6F995F63"/>
    <w:rsid w:val="70406237"/>
    <w:rsid w:val="70C72525"/>
    <w:rsid w:val="70D22C2E"/>
    <w:rsid w:val="70E23F75"/>
    <w:rsid w:val="730558FB"/>
    <w:rsid w:val="745857B3"/>
    <w:rsid w:val="75102D70"/>
    <w:rsid w:val="7523099D"/>
    <w:rsid w:val="7577036C"/>
    <w:rsid w:val="75CD391D"/>
    <w:rsid w:val="76047015"/>
    <w:rsid w:val="76CC4318"/>
    <w:rsid w:val="76E06023"/>
    <w:rsid w:val="770D0429"/>
    <w:rsid w:val="784B5870"/>
    <w:rsid w:val="797F4079"/>
    <w:rsid w:val="7B434EA7"/>
    <w:rsid w:val="7B4D24C9"/>
    <w:rsid w:val="7CDC740A"/>
    <w:rsid w:val="7D7F7E70"/>
    <w:rsid w:val="7E2D16FC"/>
    <w:rsid w:val="7E330076"/>
    <w:rsid w:val="7E933C3C"/>
    <w:rsid w:val="7F0B6033"/>
    <w:rsid w:val="7F3C6C4B"/>
    <w:rsid w:val="7FC254E9"/>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32"/>
    <w:autoRedefine/>
    <w:qFormat/>
    <w:uiPriority w:val="0"/>
    <w:pPr>
      <w:keepNext/>
      <w:outlineLvl w:val="0"/>
    </w:pPr>
    <w:rPr>
      <w:rFonts w:ascii="仿宋_GB2312" w:hAnsi="宋体" w:eastAsia="仿宋_GB2312"/>
      <w:b/>
      <w:kern w:val="2"/>
      <w:sz w:val="32"/>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4">
    <w:name w:val="heading 4"/>
    <w:basedOn w:val="1"/>
    <w:next w:val="1"/>
    <w:autoRedefine/>
    <w:semiHidden/>
    <w:unhideWhenUsed/>
    <w:qFormat/>
    <w:uiPriority w:val="0"/>
    <w:pPr>
      <w:spacing w:beforeAutospacing="1" w:afterAutospacing="1"/>
      <w:jc w:val="left"/>
      <w:outlineLvl w:val="3"/>
    </w:pPr>
    <w:rPr>
      <w:rFonts w:hint="eastAsia" w:hAnsi="宋体"/>
      <w:b/>
      <w:bCs/>
      <w:szCs w:val="24"/>
    </w:rPr>
  </w:style>
  <w:style w:type="paragraph" w:styleId="5">
    <w:name w:val="heading 6"/>
    <w:basedOn w:val="1"/>
    <w:next w:val="1"/>
    <w:autoRedefine/>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300" w:lineRule="auto"/>
      <w:ind w:firstLine="420" w:firstLineChars="200"/>
    </w:pPr>
    <w:rPr>
      <w:rFonts w:ascii="Calibri"/>
      <w:kern w:val="2"/>
      <w:sz w:val="21"/>
      <w:szCs w:val="24"/>
    </w:rPr>
  </w:style>
  <w:style w:type="paragraph" w:styleId="7">
    <w:name w:val="annotation text"/>
    <w:basedOn w:val="1"/>
    <w:autoRedefine/>
    <w:qFormat/>
    <w:uiPriority w:val="0"/>
    <w:pPr>
      <w:jc w:val="left"/>
    </w:pPr>
  </w:style>
  <w:style w:type="paragraph" w:styleId="8">
    <w:name w:val="Body Text 3"/>
    <w:basedOn w:val="1"/>
    <w:autoRedefine/>
    <w:qFormat/>
    <w:uiPriority w:val="0"/>
    <w:pPr>
      <w:jc w:val="center"/>
    </w:pPr>
    <w:rPr>
      <w:rFonts w:ascii="Times New Roman"/>
      <w:b/>
      <w:spacing w:val="-20"/>
      <w:w w:val="110"/>
      <w:kern w:val="2"/>
      <w:sz w:val="52"/>
    </w:rPr>
  </w:style>
  <w:style w:type="paragraph" w:styleId="9">
    <w:name w:val="Body Text"/>
    <w:basedOn w:val="1"/>
    <w:next w:val="1"/>
    <w:autoRedefine/>
    <w:qFormat/>
    <w:uiPriority w:val="0"/>
    <w:pPr>
      <w:spacing w:after="120"/>
    </w:pPr>
    <w:rPr>
      <w:rFonts w:ascii="Calibri"/>
      <w:kern w:val="2"/>
      <w:sz w:val="21"/>
    </w:rPr>
  </w:style>
  <w:style w:type="paragraph" w:styleId="10">
    <w:name w:val="Body Text Indent"/>
    <w:basedOn w:val="1"/>
    <w:next w:val="11"/>
    <w:autoRedefine/>
    <w:qFormat/>
    <w:uiPriority w:val="0"/>
    <w:pPr>
      <w:spacing w:line="380" w:lineRule="exact"/>
      <w:ind w:firstLine="420" w:firstLineChars="175"/>
    </w:pPr>
    <w:rPr>
      <w:rFonts w:ascii="宋体" w:hAnsi="宋体"/>
      <w:sz w:val="24"/>
    </w:rPr>
  </w:style>
  <w:style w:type="paragraph" w:customStyle="1" w:styleId="11">
    <w:name w:val="Default"/>
    <w:next w:val="12"/>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styleId="12">
    <w:name w:val="toc 2"/>
    <w:basedOn w:val="1"/>
    <w:next w:val="1"/>
    <w:autoRedefine/>
    <w:unhideWhenUsed/>
    <w:qFormat/>
    <w:uiPriority w:val="39"/>
    <w:pPr>
      <w:ind w:left="420" w:leftChars="200"/>
    </w:pPr>
  </w:style>
  <w:style w:type="paragraph" w:styleId="13">
    <w:name w:val="toc 3"/>
    <w:basedOn w:val="1"/>
    <w:next w:val="1"/>
    <w:autoRedefine/>
    <w:qFormat/>
    <w:uiPriority w:val="0"/>
    <w:pPr>
      <w:ind w:left="840" w:leftChars="400"/>
    </w:pPr>
  </w:style>
  <w:style w:type="paragraph" w:styleId="14">
    <w:name w:val="Plain Text"/>
    <w:basedOn w:val="1"/>
    <w:autoRedefine/>
    <w:qFormat/>
    <w:uiPriority w:val="0"/>
    <w:rPr>
      <w:rFonts w:hAnsi="Courier New"/>
      <w:kern w:val="2"/>
      <w:sz w:val="21"/>
    </w:rPr>
  </w:style>
  <w:style w:type="paragraph" w:styleId="15">
    <w:name w:val="footer"/>
    <w:basedOn w:val="1"/>
    <w:autoRedefine/>
    <w:qFormat/>
    <w:uiPriority w:val="99"/>
    <w:pPr>
      <w:tabs>
        <w:tab w:val="center" w:pos="4153"/>
        <w:tab w:val="right" w:pos="8306"/>
      </w:tabs>
      <w:snapToGrid w:val="0"/>
      <w:jc w:val="left"/>
    </w:pPr>
    <w:rPr>
      <w:rFonts w:ascii="Calibri"/>
      <w:kern w:val="2"/>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7">
    <w:name w:val="toc 1"/>
    <w:basedOn w:val="1"/>
    <w:next w:val="1"/>
    <w:autoRedefine/>
    <w:unhideWhenUsed/>
    <w:qFormat/>
    <w:uiPriority w:val="39"/>
  </w:style>
  <w:style w:type="paragraph" w:styleId="18">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9">
    <w:name w:val="Normal (Web)"/>
    <w:basedOn w:val="1"/>
    <w:autoRedefine/>
    <w:qFormat/>
    <w:uiPriority w:val="0"/>
    <w:pPr>
      <w:widowControl/>
      <w:spacing w:before="100" w:beforeAutospacing="1" w:after="100" w:afterAutospacing="1"/>
      <w:jc w:val="left"/>
    </w:pPr>
    <w:rPr>
      <w:rFonts w:hAnsi="宋体"/>
      <w:szCs w:val="24"/>
    </w:rPr>
  </w:style>
  <w:style w:type="paragraph" w:styleId="20">
    <w:name w:val="Body Text First Indent"/>
    <w:basedOn w:val="9"/>
    <w:next w:val="1"/>
    <w:unhideWhenUsed/>
    <w:qFormat/>
    <w:uiPriority w:val="0"/>
    <w:pPr>
      <w:spacing w:after="120" w:afterLines="0" w:line="240" w:lineRule="auto"/>
      <w:ind w:firstLine="420" w:firstLineChars="100"/>
    </w:pPr>
    <w:rPr>
      <w:rFonts w:ascii="Calibri" w:hAnsi="Calibri"/>
      <w:color w:val="auto"/>
      <w:sz w:val="18"/>
      <w:szCs w:val="18"/>
    </w:rPr>
  </w:style>
  <w:style w:type="paragraph" w:styleId="21">
    <w:name w:val="Body Text First Indent 2"/>
    <w:basedOn w:val="10"/>
    <w:next w:val="1"/>
    <w:autoRedefine/>
    <w:qFormat/>
    <w:uiPriority w:val="0"/>
    <w:pPr>
      <w:spacing w:after="120" w:afterLines="0" w:line="240" w:lineRule="auto"/>
      <w:ind w:left="200" w:leftChars="200" w:firstLine="20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page number"/>
    <w:basedOn w:val="24"/>
    <w:qFormat/>
    <w:uiPriority w:val="0"/>
  </w:style>
  <w:style w:type="character" w:styleId="27">
    <w:name w:val="Hyperlink"/>
    <w:basedOn w:val="24"/>
    <w:autoRedefine/>
    <w:qFormat/>
    <w:uiPriority w:val="0"/>
    <w:rPr>
      <w:color w:val="0000FF"/>
      <w:u w:val="single"/>
    </w:rPr>
  </w:style>
  <w:style w:type="paragraph" w:customStyle="1" w:styleId="28">
    <w:name w:val="MessageHeader"/>
    <w:basedOn w:val="1"/>
    <w:next w:val="29"/>
    <w:autoRedefine/>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29">
    <w:name w:val="BodyText"/>
    <w:basedOn w:val="1"/>
    <w:next w:val="1"/>
    <w:autoRedefine/>
    <w:qFormat/>
    <w:uiPriority w:val="0"/>
    <w:pPr>
      <w:jc w:val="center"/>
      <w:textAlignment w:val="baseline"/>
    </w:pPr>
  </w:style>
  <w:style w:type="paragraph" w:customStyle="1" w:styleId="30">
    <w:name w:val="列表段落1"/>
    <w:basedOn w:val="1"/>
    <w:autoRedefine/>
    <w:qFormat/>
    <w:uiPriority w:val="34"/>
    <w:pPr>
      <w:ind w:firstLine="420" w:firstLineChars="200"/>
    </w:pPr>
  </w:style>
  <w:style w:type="paragraph" w:customStyle="1" w:styleId="31">
    <w:name w:val="大标题"/>
    <w:basedOn w:val="1"/>
    <w:next w:val="21"/>
    <w:autoRedefine/>
    <w:qFormat/>
    <w:uiPriority w:val="0"/>
    <w:pPr>
      <w:jc w:val="center"/>
    </w:pPr>
    <w:rPr>
      <w:rFonts w:ascii="Arial" w:hAnsi="Arial" w:eastAsia="宋体"/>
      <w:b/>
      <w:sz w:val="28"/>
      <w:szCs w:val="24"/>
    </w:rPr>
  </w:style>
  <w:style w:type="character" w:customStyle="1" w:styleId="32">
    <w:name w:val="标题 1 字符"/>
    <w:link w:val="2"/>
    <w:autoRedefine/>
    <w:qFormat/>
    <w:uiPriority w:val="0"/>
    <w:rPr>
      <w:rFonts w:ascii="仿宋_GB2312" w:hAnsi="宋体" w:eastAsia="仿宋_GB2312"/>
      <w:b/>
      <w:kern w:val="2"/>
      <w:sz w:val="32"/>
    </w:rPr>
  </w:style>
  <w:style w:type="paragraph" w:customStyle="1" w:styleId="33">
    <w:name w:val="表格文字中"/>
    <w:basedOn w:val="1"/>
    <w:autoRedefine/>
    <w:qFormat/>
    <w:uiPriority w:val="0"/>
    <w:pPr>
      <w:adjustRightInd w:val="0"/>
      <w:snapToGrid w:val="0"/>
      <w:ind w:left="22" w:leftChars="8"/>
      <w:jc w:val="center"/>
    </w:pPr>
    <w:rPr>
      <w:szCs w:val="24"/>
    </w:rPr>
  </w:style>
  <w:style w:type="paragraph" w:customStyle="1" w:styleId="34">
    <w:name w:val="Char1"/>
    <w:basedOn w:val="1"/>
    <w:autoRedefine/>
    <w:qFormat/>
    <w:uiPriority w:val="0"/>
    <w:pPr>
      <w:tabs>
        <w:tab w:val="left" w:pos="360"/>
      </w:tabs>
      <w:ind w:left="360" w:hanging="360" w:hangingChars="200"/>
    </w:pPr>
    <w:rPr>
      <w:szCs w:val="24"/>
    </w:rPr>
  </w:style>
  <w:style w:type="paragraph" w:customStyle="1" w:styleId="35">
    <w:name w:val="列出段落11"/>
    <w:basedOn w:val="1"/>
    <w:autoRedefine/>
    <w:qFormat/>
    <w:uiPriority w:val="34"/>
    <w:pPr>
      <w:ind w:firstLine="420" w:firstLineChars="200"/>
    </w:pPr>
    <w:rPr>
      <w:rFonts w:ascii="Calibri" w:hAnsi="Calibri"/>
      <w:szCs w:val="22"/>
    </w:rPr>
  </w:style>
  <w:style w:type="character" w:customStyle="1" w:styleId="36">
    <w:name w:val="font21"/>
    <w:basedOn w:val="24"/>
    <w:autoRedefine/>
    <w:qFormat/>
    <w:uiPriority w:val="0"/>
    <w:rPr>
      <w:rFonts w:hint="eastAsia" w:ascii="宋体" w:hAnsi="宋体" w:eastAsia="宋体" w:cs="宋体"/>
      <w:color w:val="000000"/>
      <w:sz w:val="24"/>
      <w:szCs w:val="24"/>
      <w:u w:val="none"/>
    </w:rPr>
  </w:style>
  <w:style w:type="character" w:customStyle="1" w:styleId="37">
    <w:name w:val="font01"/>
    <w:basedOn w:val="24"/>
    <w:autoRedefine/>
    <w:qFormat/>
    <w:uiPriority w:val="0"/>
    <w:rPr>
      <w:rFonts w:hint="eastAsia" w:ascii="宋体" w:hAnsi="宋体" w:eastAsia="宋体" w:cs="宋体"/>
      <w:color w:val="000000"/>
      <w:sz w:val="24"/>
      <w:szCs w:val="24"/>
      <w:u w:val="none"/>
    </w:rPr>
  </w:style>
  <w:style w:type="character" w:customStyle="1" w:styleId="38">
    <w:name w:val="font31"/>
    <w:basedOn w:val="24"/>
    <w:autoRedefine/>
    <w:qFormat/>
    <w:uiPriority w:val="0"/>
    <w:rPr>
      <w:rFonts w:hint="default" w:ascii="AGYXIQ + Frutiger-Cn" w:hAnsi="AGYXIQ + Frutiger-Cn" w:eastAsia="AGYXIQ + Frutiger-Cn" w:cs="AGYXIQ + Frutiger-Cn"/>
      <w:color w:val="000000"/>
      <w:sz w:val="24"/>
      <w:szCs w:val="24"/>
      <w:u w:val="none"/>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空2格  1."/>
    <w:basedOn w:val="1"/>
    <w:autoRedefine/>
    <w:qFormat/>
    <w:uiPriority w:val="0"/>
    <w:pPr>
      <w:keepNext w:val="0"/>
      <w:keepLines w:val="0"/>
      <w:widowControl w:val="0"/>
      <w:suppressLineNumbers w:val="0"/>
      <w:adjustRightInd w:val="0"/>
      <w:spacing w:before="0" w:beforeAutospacing="0" w:after="0" w:afterAutospacing="0" w:line="360" w:lineRule="auto"/>
      <w:ind w:left="0" w:right="0" w:firstLine="480" w:firstLineChars="200"/>
      <w:jc w:val="both"/>
    </w:pPr>
    <w:rPr>
      <w:rFonts w:hint="eastAsia" w:ascii="宋体" w:hAnsi="Times New Roman" w:eastAsia="仿宋" w:cs="宋体"/>
      <w:kern w:val="0"/>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17785</Words>
  <Characters>19070</Characters>
  <Lines>240</Lines>
  <Paragraphs>67</Paragraphs>
  <TotalTime>13</TotalTime>
  <ScaleCrop>false</ScaleCrop>
  <LinksUpToDate>false</LinksUpToDate>
  <CharactersWithSpaces>19302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晓 </cp:lastModifiedBy>
  <dcterms:modified xsi:type="dcterms:W3CDTF">2025-11-21T02:14:44Z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72E86C72C07D4656A8CCF7E1A88934E3_13</vt:lpwstr>
  </property>
  <property fmtid="{D5CDD505-2E9C-101B-9397-08002B2CF9AE}" pid="4" name="KSOTemplateDocerSaveRecord">
    <vt:lpwstr>eyJoZGlkIjoiMzk2MTljMjQ2ZmM1YTViMzFmYmJjNDI2MjcxMWZiNWYiLCJ1c2VySWQiOiI2NzQ5OTQ4MDEifQ==</vt:lpwstr>
  </property>
</Properties>
</file>