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center"/>
        <w:rPr>
          <w:rFonts w:hint="eastAsia" w:ascii="宋体" w:hAnsi="宋体" w:eastAsia="宋体" w:cs="宋体"/>
          <w:b/>
          <w:bCs/>
          <w:color w:val="auto"/>
          <w:sz w:val="52"/>
          <w:szCs w:val="52"/>
          <w:highlight w:val="none"/>
        </w:rPr>
      </w:pPr>
      <w:bookmarkStart w:id="0" w:name="_Toc519156735"/>
      <w:bookmarkStart w:id="1" w:name="_Toc21955"/>
      <w:bookmarkStart w:id="2" w:name="_Toc268"/>
      <w:bookmarkStart w:id="3" w:name="_Toc495908398"/>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气候与地质灾害一体化防治技术</w:t>
      </w:r>
    </w:p>
    <w:p w14:paraId="3FBBC90F">
      <w:pPr>
        <w:rPr>
          <w:rFonts w:hint="eastAsia" w:ascii="宋体" w:hAnsi="宋体" w:eastAsia="宋体" w:cs="宋体"/>
          <w:highlight w:val="none"/>
        </w:rPr>
      </w:pPr>
    </w:p>
    <w:p w14:paraId="5FE1F06D">
      <w:pPr>
        <w:rPr>
          <w:rFonts w:hint="eastAsia" w:ascii="宋体" w:hAnsi="宋体" w:eastAsia="宋体" w:cs="宋体"/>
          <w:highlight w:val="none"/>
        </w:rPr>
      </w:pPr>
    </w:p>
    <w:p w14:paraId="0C27DEBB">
      <w:pPr>
        <w:rPr>
          <w:rFonts w:hint="eastAsia" w:ascii="宋体" w:hAnsi="宋体" w:eastAsia="宋体" w:cs="宋体"/>
          <w:highlight w:val="none"/>
        </w:rPr>
      </w:pPr>
    </w:p>
    <w:p w14:paraId="22CD3E3A">
      <w:pPr>
        <w:rPr>
          <w:rFonts w:hint="eastAsia" w:ascii="宋体" w:hAnsi="宋体" w:eastAsia="宋体" w:cs="宋体"/>
          <w:highlight w:val="none"/>
        </w:rPr>
      </w:pPr>
    </w:p>
    <w:p w14:paraId="56032CAA">
      <w:pPr>
        <w:rPr>
          <w:rFonts w:hint="eastAsia" w:ascii="宋体" w:hAnsi="宋体" w:eastAsia="宋体" w:cs="宋体"/>
          <w:highlight w:val="none"/>
        </w:rPr>
      </w:pPr>
    </w:p>
    <w:p w14:paraId="16EE604A">
      <w:pPr>
        <w:rPr>
          <w:rFonts w:hint="eastAsia" w:ascii="宋体" w:hAnsi="宋体" w:eastAsia="宋体" w:cs="宋体"/>
          <w:highlight w:val="none"/>
        </w:rPr>
      </w:pPr>
    </w:p>
    <w:p w14:paraId="6F803857">
      <w:pPr>
        <w:rPr>
          <w:rFonts w:hint="eastAsia" w:ascii="宋体" w:hAnsi="宋体" w:eastAsia="宋体" w:cs="宋体"/>
          <w:highlight w:val="none"/>
        </w:rPr>
      </w:pPr>
    </w:p>
    <w:p w14:paraId="68723637">
      <w:pPr>
        <w:rPr>
          <w:rFonts w:hint="eastAsia" w:ascii="宋体" w:hAnsi="宋体" w:eastAsia="宋体" w:cs="宋体"/>
          <w:highlight w:val="none"/>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3A25574">
      <w:pPr>
        <w:tabs>
          <w:tab w:val="left" w:pos="5145"/>
        </w:tabs>
        <w:spacing w:line="360" w:lineRule="auto"/>
        <w:jc w:val="center"/>
        <w:rPr>
          <w:rFonts w:hint="eastAsia" w:ascii="宋体" w:hAnsi="宋体" w:eastAsia="宋体" w:cs="宋体"/>
          <w:sz w:val="28"/>
          <w:szCs w:val="28"/>
          <w:highlight w:val="none"/>
        </w:rPr>
      </w:pPr>
    </w:p>
    <w:p w14:paraId="6113C714">
      <w:pPr>
        <w:pStyle w:val="12"/>
        <w:rPr>
          <w:rFonts w:hint="eastAsia" w:ascii="宋体" w:hAnsi="宋体" w:eastAsia="宋体" w:cs="宋体"/>
          <w:highlight w:val="none"/>
        </w:rPr>
      </w:pPr>
    </w:p>
    <w:p w14:paraId="4B9C8BF2">
      <w:pPr>
        <w:pStyle w:val="27"/>
        <w:rPr>
          <w:rFonts w:hint="eastAsia" w:ascii="宋体" w:hAnsi="宋体" w:eastAsia="宋体" w:cs="宋体"/>
          <w:highlight w:val="none"/>
        </w:rPr>
      </w:pPr>
    </w:p>
    <w:p w14:paraId="692F5135">
      <w:pPr>
        <w:rPr>
          <w:rFonts w:hint="eastAsia" w:ascii="宋体" w:hAnsi="宋体" w:eastAsia="宋体" w:cs="宋体"/>
          <w:highlight w:val="none"/>
        </w:rPr>
      </w:pPr>
    </w:p>
    <w:p w14:paraId="6DA0C176">
      <w:pPr>
        <w:rPr>
          <w:rFonts w:hint="eastAsia" w:ascii="宋体" w:hAnsi="宋体" w:eastAsia="宋体" w:cs="宋体"/>
          <w:highlight w:val="none"/>
        </w:rPr>
      </w:pPr>
    </w:p>
    <w:p w14:paraId="0B7A2B69">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none"/>
          <w:lang w:val="en-US" w:eastAsia="en-US"/>
        </w:rPr>
      </w:pPr>
      <w:r>
        <w:rPr>
          <w:rFonts w:hint="eastAsia" w:ascii="宋体" w:hAnsi="宋体" w:eastAsia="宋体" w:cs="宋体"/>
          <w:b/>
          <w:bCs/>
          <w:i w:val="0"/>
          <w:iCs w:val="0"/>
          <w:snapToGrid w:val="0"/>
          <w:color w:val="000000"/>
          <w:spacing w:val="6"/>
          <w:kern w:val="0"/>
          <w:position w:val="32"/>
          <w:sz w:val="35"/>
          <w:szCs w:val="35"/>
          <w:highlight w:val="none"/>
          <w:lang w:eastAsia="en-US"/>
        </w:rPr>
        <w:t>项目编号：</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XHZB-25-</w:t>
      </w:r>
      <w:r>
        <w:rPr>
          <w:rFonts w:hint="eastAsia" w:ascii="宋体" w:hAnsi="宋体" w:cs="宋体"/>
          <w:b/>
          <w:bCs/>
          <w:i w:val="0"/>
          <w:iCs w:val="0"/>
          <w:snapToGrid w:val="0"/>
          <w:color w:val="000000"/>
          <w:spacing w:val="6"/>
          <w:kern w:val="0"/>
          <w:position w:val="32"/>
          <w:sz w:val="35"/>
          <w:szCs w:val="35"/>
          <w:highlight w:val="none"/>
          <w:u w:val="single"/>
          <w:lang w:val="en-US" w:eastAsia="zh-CN"/>
        </w:rPr>
        <w:t>104</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none"/>
          <w:lang w:val="en-US" w:eastAsia="zh-CN"/>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pPr>
      <w:r>
        <w:rPr>
          <w:rFonts w:hint="eastAsia" w:ascii="宋体" w:hAnsi="宋体" w:eastAsia="宋体" w:cs="宋体"/>
          <w:b/>
          <w:bCs/>
          <w:i w:val="0"/>
          <w:iCs w:val="0"/>
          <w:snapToGrid w:val="0"/>
          <w:color w:val="000000"/>
          <w:spacing w:val="6"/>
          <w:kern w:val="0"/>
          <w:position w:val="32"/>
          <w:sz w:val="35"/>
          <w:szCs w:val="35"/>
          <w:highlight w:val="none"/>
          <w:lang w:eastAsia="en-US"/>
        </w:rPr>
        <w:t>采</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购</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人：</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highlight w:val="none"/>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6" w:type="first"/>
          <w:footerReference r:id="rId8" w:type="first"/>
          <w:headerReference r:id="rId5" w:type="default"/>
          <w:footerReference r:id="rId7"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_Toc22951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_Toc31519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第三章  评审办法及标准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- 55 -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highlight w:val="none"/>
        </w:rPr>
        <w:t>磋商函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_Toc19688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二、法定代表人身份证明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法定代表人授权委托书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四、报价表（第一次）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_Toc16163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五、近年承接的类似项目情况表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- 63 -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六、项目</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_Toc26657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- 64 -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、商务和</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响应说明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其他资料（如有）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- 82 -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10" w:type="first"/>
          <w:headerReference r:id="rId9" w:type="default"/>
          <w:footerReference r:id="rId11"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8474"/>
      <w:bookmarkStart w:id="6" w:name="_Toc26933"/>
      <w:bookmarkStart w:id="7" w:name="_Toc519156736"/>
      <w:bookmarkStart w:id="8" w:name="_Toc28842"/>
      <w:bookmarkStart w:id="9" w:name="_Toc2990"/>
      <w:bookmarkStart w:id="10" w:name="_Toc495908399"/>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气候与地质灾害一体化防治技术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lang w:eastAsia="zh-CN"/>
        </w:rPr>
        <w:t>XHZB-25-104</w:t>
      </w:r>
    </w:p>
    <w:p w14:paraId="0A34200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cs="宋体"/>
          <w:highlight w:val="none"/>
          <w:lang w:eastAsia="zh-CN"/>
        </w:rPr>
        <w:t>气候与地质灾害一体化防治技术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冬寒地区公路低矮路堤强度劣化机理及防治技术研究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冬寒地区公路低矮路堤强度劣化机理及防治技术研究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冬寒地区公路低矮路堤强度劣化机理及防治技术研究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52783ED1">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陕南秦巴山区公路滑坡灾害演变机理与防控对策研究</w:t>
      </w:r>
      <w:r>
        <w:rPr>
          <w:rFonts w:hint="eastAsia" w:ascii="宋体" w:hAnsi="宋体" w:eastAsia="宋体" w:cs="宋体"/>
          <w:highlight w:val="none"/>
        </w:rPr>
        <w:t>):</w:t>
      </w:r>
    </w:p>
    <w:p w14:paraId="5CFC4CC9">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3D58D56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249F9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7B9B40">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F0C278">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7B8C3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97FB8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FB7A1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9A5FB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FD4FB7">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57CB38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59E1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6FB4E3">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3" w:name="_GoBack"/>
            <w:bookmarkEnd w:id="123"/>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43C712">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陕南秦巴山区公路滑坡灾害演变机理与防控对策研究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50AC1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6C48D">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陕南秦巴山区公路滑坡灾害演变机理与防控对策研究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384901">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28053E">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00F61984">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48222FF">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气候与地质灾害一体化防治技术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36BD628D">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06B46C7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381952A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1、本项目报名方式为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highlight w:val="none"/>
          <w:shd w:val="clear" w:color="auto" w:fill="FFFFFF"/>
        </w:rPr>
      </w:pPr>
      <w:r>
        <w:rPr>
          <w:rFonts w:hint="eastAsia" w:cs="宋体"/>
          <w:b w:val="0"/>
          <w:bCs w:val="0"/>
          <w:highlight w:val="none"/>
          <w:shd w:val="clear" w:color="auto" w:fill="FFFFFF"/>
          <w:lang w:val="en-US" w:eastAsia="zh-CN"/>
        </w:rPr>
        <w:t>2</w:t>
      </w:r>
      <w:r>
        <w:rPr>
          <w:rFonts w:hint="eastAsia" w:ascii="宋体" w:hAnsi="宋体" w:eastAsia="宋体" w:cs="宋体"/>
          <w:b w:val="0"/>
          <w:bCs w:val="0"/>
          <w:highlight w:val="none"/>
          <w:shd w:val="clear" w:color="auto" w:fill="FFFFFF"/>
          <w:lang w:val="en-US" w:eastAsia="zh-CN"/>
        </w:rPr>
        <w:t>、</w:t>
      </w:r>
      <w:r>
        <w:rPr>
          <w:rFonts w:hint="eastAsia" w:ascii="宋体" w:hAnsi="宋体" w:eastAsia="宋体" w:cs="宋体"/>
          <w:b w:val="0"/>
          <w:bCs w:val="0"/>
          <w:highlight w:val="none"/>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highlight w:val="none"/>
          <w:shd w:val="clear" w:color="auto" w:fill="FFFFFF"/>
        </w:rPr>
      </w:pPr>
      <w:r>
        <w:rPr>
          <w:rFonts w:hint="eastAsia" w:cs="宋体"/>
          <w:b w:val="0"/>
          <w:bCs w:val="0"/>
          <w:highlight w:val="none"/>
          <w:shd w:val="clear" w:color="auto" w:fill="FFFFFF"/>
          <w:lang w:val="en-US" w:eastAsia="zh-CN"/>
        </w:rPr>
        <w:t>3</w:t>
      </w:r>
      <w:r>
        <w:rPr>
          <w:rFonts w:hint="eastAsia" w:ascii="宋体" w:hAnsi="宋体" w:eastAsia="宋体" w:cs="宋体"/>
          <w:b w:val="0"/>
          <w:bCs w:val="0"/>
          <w:highlight w:val="none"/>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1769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0C6DA46">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519156737"/>
            <w:bookmarkStart w:id="13" w:name="_Toc32286"/>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64960B5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4AB19F33">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3716"/>
      <w:bookmarkStart w:id="16" w:name="_Toc10488"/>
      <w:bookmarkStart w:id="17" w:name="_Toc23167"/>
      <w:bookmarkStart w:id="18" w:name="_Toc519156746"/>
      <w:bookmarkStart w:id="19" w:name="_Toc29597"/>
      <w:bookmarkStart w:id="20" w:name="_Toc26143"/>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7253"/>
      <w:bookmarkStart w:id="22" w:name="_Toc519156738"/>
      <w:bookmarkStart w:id="23" w:name="_Toc12298"/>
      <w:bookmarkStart w:id="24" w:name="_Toc25586"/>
      <w:bookmarkStart w:id="25" w:name="_Toc12414"/>
      <w:bookmarkStart w:id="26" w:name="_Toc13421"/>
      <w:bookmarkStart w:id="27" w:name="_Toc2445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519156739"/>
      <w:bookmarkStart w:id="29" w:name="_Toc4528"/>
      <w:bookmarkStart w:id="30" w:name="_Toc2740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653"/>
      <w:bookmarkStart w:id="32" w:name="_Toc10773"/>
      <w:bookmarkStart w:id="33" w:name="_Toc25030"/>
      <w:bookmarkStart w:id="34" w:name="_Toc17134"/>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8132"/>
      <w:bookmarkStart w:id="36" w:name="_Toc16846"/>
      <w:bookmarkStart w:id="37" w:name="_Toc22803"/>
      <w:bookmarkStart w:id="38" w:name="_Toc28014"/>
      <w:bookmarkStart w:id="39" w:name="_Toc8808"/>
      <w:bookmarkStart w:id="40" w:name="_Toc1168"/>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6723"/>
      <w:bookmarkStart w:id="44" w:name="_Toc11063"/>
      <w:bookmarkStart w:id="45" w:name="_Toc2515"/>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32447"/>
      <w:bookmarkStart w:id="48" w:name="_Toc519156742"/>
      <w:bookmarkStart w:id="49" w:name="_Toc29321"/>
      <w:bookmarkStart w:id="50" w:name="_Toc4585"/>
      <w:bookmarkStart w:id="51" w:name="_Toc14489"/>
      <w:bookmarkStart w:id="52" w:name="_Toc1285"/>
      <w:bookmarkStart w:id="53" w:name="_Toc18356"/>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2452"/>
      <w:bookmarkStart w:id="55" w:name="_Toc6759"/>
      <w:bookmarkStart w:id="56" w:name="_Toc15015"/>
      <w:bookmarkStart w:id="57" w:name="_Toc1954"/>
      <w:bookmarkStart w:id="58" w:name="_Toc21838"/>
      <w:bookmarkStart w:id="59" w:name="_Toc13700"/>
      <w:bookmarkStart w:id="60" w:name="_Toc519156743"/>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519156744"/>
      <w:bookmarkStart w:id="62" w:name="_Toc23113"/>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729"/>
      <w:bookmarkStart w:id="65" w:name="_Toc21776"/>
      <w:bookmarkStart w:id="66" w:name="_Toc12773"/>
      <w:bookmarkStart w:id="67" w:name="_Toc26927"/>
      <w:bookmarkStart w:id="68" w:name="_Toc11936"/>
      <w:bookmarkStart w:id="69" w:name="_Toc5011"/>
      <w:bookmarkStart w:id="70" w:name="_Toc519156745"/>
      <w:bookmarkStart w:id="71" w:name="_Toc30935"/>
      <w:bookmarkStart w:id="72" w:name="_Toc23647"/>
      <w:bookmarkStart w:id="73" w:name="_Toc14277"/>
      <w:bookmarkStart w:id="74" w:name="_Toc23884"/>
      <w:bookmarkStart w:id="75" w:name="_Toc23716"/>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32429"/>
      <w:bookmarkStart w:id="77" w:name="_Toc5878"/>
      <w:bookmarkStart w:id="78" w:name="_Toc18282"/>
      <w:bookmarkStart w:id="79" w:name="_Toc10165"/>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highlight w:val="none"/>
          <w:lang w:val="en-US" w:eastAsia="zh-CN"/>
        </w:rPr>
      </w:pPr>
      <w:bookmarkStart w:id="83" w:name="_Toc2350"/>
      <w:r>
        <w:rPr>
          <w:rFonts w:hint="eastAsia" w:ascii="宋体" w:hAnsi="宋体" w:eastAsia="宋体" w:cs="宋体"/>
          <w:sz w:val="36"/>
          <w:szCs w:val="36"/>
          <w:highlight w:val="none"/>
          <w:lang w:val="en-US" w:eastAsia="zh-CN"/>
        </w:rPr>
        <w:br w:type="page"/>
      </w:r>
    </w:p>
    <w:p w14:paraId="0257CC5E">
      <w:pPr>
        <w:pStyle w:val="2"/>
        <w:bidi w:val="0"/>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第三章  </w:t>
      </w:r>
      <w:bookmarkEnd w:id="81"/>
      <w:bookmarkEnd w:id="82"/>
      <w:r>
        <w:rPr>
          <w:rFonts w:hint="eastAsia" w:ascii="宋体" w:hAnsi="宋体" w:eastAsia="宋体" w:cs="宋体"/>
          <w:sz w:val="36"/>
          <w:szCs w:val="36"/>
          <w:highlight w:val="none"/>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highlight w:val="none"/>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highlight w:val="none"/>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31900"/>
      <w:bookmarkStart w:id="85" w:name="_Toc18268"/>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p>
    <w:p w14:paraId="0C8D8D06">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 项目名称： 冬寒地区低矮路堤强度劣化机理及防治技术。</w:t>
      </w:r>
    </w:p>
    <w:p w14:paraId="18F95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 立项背景与必要性：</w:t>
      </w:r>
    </w:p>
    <w:p w14:paraId="7D90D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榆林市位于陕西省最北部，是21世纪中国的能源接续地，是正在建设的国家能源化工基地，是西气东输、西电东送、西煤东运的重要源头之地。近年来随着榆林经济的不断发展，公路运输网络的不断完善、公路运输量也在迅猛增长，G307作为榆林市的东西大门，是连接东西部的重要桥梁纽带，自上世纪60年代末建成通车以来一直沿用至今未进行过升等改扩建，已远远不能适应榆林市日益增长的交通量发展要求和国民经济发展的需要，现有道路技术标准低、局部线型差、抗灾能力弱、服务水平低等问题突显，路基、路面、桥涵病害时有发生。</w:t>
      </w:r>
    </w:p>
    <w:p w14:paraId="378DC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榆林市靖边、定边县进入冬季昼夜温差大、冰冻期长，极端天气频发，公路改扩建工程途经各类耕地、苗圃等农用地和林地路段多，复杂的气候、水文地质条件给307国道靖边至定边段改建工程中路基设计和施工带来了极大的挑战。</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桩号为K33+500—K36+800路段为潮湿水地路段，扣除路面结构层厚度后剩余平均填土高度约1米左右，路基形式为低矮路堤。而低矮路堤在施工过程，施工机械条件可能会受到制约，致使路堤稳定性导致达不到理想的效果。在运营过程中，水文地质和气候条件可能会在对低矮路堤的力学性能不良影响，最终导致结构的变形甚至破坏。</w:t>
      </w:r>
    </w:p>
    <w:p w14:paraId="5BDDE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 研究目标与考核指标：</w:t>
      </w:r>
    </w:p>
    <w:p w14:paraId="00BA4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   · 总体目标：</w:t>
      </w:r>
    </w:p>
    <w:p w14:paraId="05740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（1）提出低矮路堤在行车荷载作用下的应力分布特征及其设计方法、施工参数；</w:t>
      </w:r>
    </w:p>
    <w:p w14:paraId="4EE00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（2）提出极端冻融作用下低矮路堤的强度劣化演变机理和规律；</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（3）提出提高低矮路堤稳定性的防治措施。</w:t>
      </w:r>
    </w:p>
    <w:p w14:paraId="20DE7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   · 具体考核指标：</w:t>
      </w:r>
    </w:p>
    <w:p w14:paraId="33E21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（1）提交《</w:t>
      </w:r>
      <w:r>
        <w:rPr>
          <w:rFonts w:hint="eastAsia"/>
          <w:highlight w:val="none"/>
          <w:lang w:eastAsia="zh-CN"/>
        </w:rPr>
        <w:t>气候与地质灾害一体化防治技术</w:t>
      </w:r>
      <w:r>
        <w:rPr>
          <w:rFonts w:hint="eastAsia"/>
          <w:highlight w:val="none"/>
        </w:rPr>
        <w:t>》报告；</w:t>
      </w:r>
    </w:p>
    <w:p w14:paraId="02E77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（2）形成《冬寒地区公路低矮路堤强度劣化机理及防治技术指南》；</w:t>
      </w:r>
    </w:p>
    <w:p w14:paraId="056A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（3）申报专利1项；</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（4）发表论文1篇。</w:t>
      </w:r>
    </w:p>
    <w:p w14:paraId="2901E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主要研究内容与技术要求</w:t>
      </w:r>
    </w:p>
    <w:p w14:paraId="4A34F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 研究范畴界定：</w:t>
      </w:r>
    </w:p>
    <w:p w14:paraId="5A8E1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（1）冻融循环作用下低矮路堤力学响应研究；</w:t>
      </w:r>
    </w:p>
    <w:p w14:paraId="18C70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（2）行车荷载作用下低矮路堤工作区应力分布规律研究；</w:t>
      </w:r>
    </w:p>
    <w:p w14:paraId="271EF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（3）水-热-应力-应变多因素耦合作用下低矮路堤稳定性劣化机理研究；</w:t>
      </w:r>
    </w:p>
    <w:p w14:paraId="6A76F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（4）冬寒地区公路低矮路堤病害防治技术研究。</w:t>
      </w:r>
    </w:p>
    <w:p w14:paraId="2693B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2. 关键技术攻关路线： </w:t>
      </w:r>
    </w:p>
    <w:p w14:paraId="0CB20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（1）研发一种用于监测低矮路堤在不利因素下力学行为变化的监测方案；</w:t>
      </w:r>
    </w:p>
    <w:p w14:paraId="247802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（2）结合监测数据，使用计算机进行仿真模拟，根据结果提出冬寒地区低矮路堤稳定性的劣化机理；</w:t>
      </w:r>
    </w:p>
    <w:p w14:paraId="2AF1F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（3）总结各类环境因素影响低矮路堤稳定性的方式和特点，提出冬寒地区低矮路堤的设计思路和养护措施。</w:t>
      </w:r>
    </w:p>
    <w:p w14:paraId="564E9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3. 技术指标与性能要求： </w:t>
      </w:r>
    </w:p>
    <w:p w14:paraId="3B942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（1）根据项目实际确定测量指标并开发精确适配的传感器；</w:t>
      </w:r>
    </w:p>
    <w:p w14:paraId="5BCD7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（2）搭建完整的健康评价体系；</w:t>
      </w:r>
    </w:p>
    <w:p w14:paraId="02C5F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（3）开发可以实时监测的健康监测平台系统；</w:t>
      </w:r>
    </w:p>
    <w:p w14:paraId="07E9D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（4）依据监测数据进行内在的数据及机理分析。</w:t>
      </w:r>
    </w:p>
    <w:p w14:paraId="03BC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 xml:space="preserve"> 项目成果及交付物要求</w:t>
      </w:r>
    </w:p>
    <w:p w14:paraId="651C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 有形交付物：</w:t>
      </w:r>
    </w:p>
    <w:p w14:paraId="54E00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（1）智能健康监测平台一套（含源代码）；</w:t>
      </w:r>
    </w:p>
    <w:p w14:paraId="32B5C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（2）现场监测传感器及电源结构配置一套；</w:t>
      </w:r>
    </w:p>
    <w:p w14:paraId="02DD2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w:t>
      </w:r>
      <w:r>
        <w:rPr>
          <w:rFonts w:hint="eastAsia"/>
          <w:highlight w:val="none"/>
          <w:lang w:eastAsia="zh-CN"/>
        </w:rPr>
        <w:t>气候与地质灾害一体化防治技术</w:t>
      </w:r>
      <w:r>
        <w:rPr>
          <w:rFonts w:hint="eastAsia"/>
          <w:highlight w:val="none"/>
        </w:rPr>
        <w:t>》报告；</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 无形交付物：</w:t>
      </w:r>
    </w:p>
    <w:p w14:paraId="1E34D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（1）《冬寒地区公路低矮路堤强度劣化机理及防治技术指南》；</w:t>
      </w:r>
    </w:p>
    <w:p w14:paraId="61DCD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（2）申报专利1项；</w:t>
      </w:r>
    </w:p>
    <w:p w14:paraId="706D7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（3）发表论文1篇。</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66425D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4510AC43">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6DEFED84">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25B323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lang w:eastAsia="zh-CN"/>
        </w:rPr>
        <w:t>（</w:t>
      </w:r>
      <w:r>
        <w:rPr>
          <w:rFonts w:hint="eastAsia" w:ascii="Times New Roman" w:hAnsi="Times New Roman" w:eastAsia="黑体" w:cs="Times New Roman"/>
          <w:sz w:val="24"/>
          <w:szCs w:val="24"/>
          <w:highlight w:val="none"/>
          <w:lang w:val="en-US" w:eastAsia="zh-CN"/>
        </w:rPr>
        <w:t>一</w:t>
      </w:r>
      <w:r>
        <w:rPr>
          <w:rFonts w:hint="eastAsia" w:ascii="Times New Roman" w:hAnsi="Times New Roman" w:eastAsia="黑体" w:cs="Times New Roman"/>
          <w:sz w:val="24"/>
          <w:szCs w:val="24"/>
          <w:highlight w:val="none"/>
          <w:lang w:eastAsia="zh-CN"/>
        </w:rPr>
        <w:t>）</w:t>
      </w:r>
      <w:r>
        <w:rPr>
          <w:rFonts w:hint="default" w:ascii="Times New Roman" w:hAnsi="Times New Roman" w:eastAsia="黑体" w:cs="Times New Roman"/>
          <w:sz w:val="24"/>
          <w:szCs w:val="24"/>
          <w:highlight w:val="none"/>
        </w:rPr>
        <w:t>项目概况与背景</w:t>
      </w:r>
    </w:p>
    <w:p w14:paraId="6B12AC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1. 项目名称</w:t>
      </w:r>
      <w:r>
        <w:rPr>
          <w:rFonts w:hint="default" w:ascii="Times New Roman" w:hAnsi="Times New Roman" w:cs="Times New Roman"/>
          <w:sz w:val="24"/>
          <w:szCs w:val="24"/>
          <w:highlight w:val="none"/>
        </w:rPr>
        <w:t>：陕南秦巴山区公路滑坡灾害演变机理与防控对策研究</w:t>
      </w:r>
    </w:p>
    <w:p w14:paraId="1576D9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 xml:space="preserve">2. 立项背景与必要性 </w:t>
      </w:r>
    </w:p>
    <w:p w14:paraId="24F34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hint="eastAsia" w:ascii="Times New Roman" w:hAnsi="Times New Roman" w:cs="Times New Roman"/>
          <w:b w:val="0"/>
          <w:bCs w:val="0"/>
          <w:sz w:val="24"/>
          <w:szCs w:val="24"/>
          <w:highlight w:val="none"/>
          <w:lang w:val="en-US" w:eastAsia="zh-CN"/>
        </w:rPr>
        <w:t>1</w:t>
      </w:r>
      <w:r>
        <w:rPr>
          <w:rFonts w:hint="eastAsia" w:ascii="Times New Roman" w:hAnsi="Times New Roman" w:cs="Times New Roman"/>
          <w:b w:val="0"/>
          <w:bCs w:val="0"/>
          <w:sz w:val="24"/>
          <w:szCs w:val="24"/>
          <w:highlight w:val="none"/>
          <w:lang w:eastAsia="zh-CN"/>
        </w:rPr>
        <w:t>）</w:t>
      </w:r>
      <w:r>
        <w:rPr>
          <w:rFonts w:hint="default" w:ascii="Times New Roman" w:hAnsi="Times New Roman" w:cs="Times New Roman"/>
          <w:b w:val="0"/>
          <w:bCs w:val="0"/>
          <w:sz w:val="24"/>
          <w:szCs w:val="24"/>
          <w:highlight w:val="none"/>
        </w:rPr>
        <w:t>立项背景</w:t>
      </w:r>
    </w:p>
    <w:p w14:paraId="1D09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陕南秦巴山区地处陕西省南部，位于秦岭与巴山腹地，是我国集中连片脱贫地区接续推进乡村振兴的重点区域。该区域地形复杂，80%以上为山地丘陵，平均海拔约1400米，气候湿润多雨，尤其每年7月至9月雨季期间，降雨集中且强度大，极易诱发地质灾害。野外调查表明，区内岩体风化严重，地层节理裂隙发育，河谷沟道密集，谷坡陡峭，加之部分区域植被覆盖度低，边坡稳定性普遍较差，坡体岩土破碎强烈。此外，大量人工弃土、弃渣堆积于坡地，在强降雨作用下易形成泥石流等灾害，严重威胁公路交通及人民生命财产安全。</w:t>
      </w:r>
    </w:p>
    <w:p w14:paraId="6A188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来，随着区域经济建设步伐加快，工程活动日益频繁，叠加极端降雨事件增多，地质灾害呈现加剧趋势，对地方经济社会发展造成显著制约。陕南自西向东涵盖汉中、安康、商洛三市，公路网络作为连接内外、沟通城乡的核心交通纽带，对推动区域一体化、服务乡村振兴具有不可替代的作用。然而，受复杂地质地形与气候条件影响，公路沿线滑坡灾害频发。由于公路呈线状分布，滑坡灾害具有明显的沿路成灾特征，不仅破坏路基路面，更直接危及行车安全，其防控形势十分严峻。</w:t>
      </w:r>
    </w:p>
    <w:p w14:paraId="49C83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此，本项目拟在详细调研陕南秦巴山区公路沿线滑坡灾害特征与成因的基础上，综合运用实验分析、理论计算与数值模拟等手段，系统识别影响滑坡易发性的关键因素，揭示各因素与滑坡灾害行为之间的内在关联，阐明山区公路沿线滑坡的演化机制。结合区域地形地貌与环境特征，进一步提出适用于当地公路滑坡的防控对策，为实现陕南秦巴山区乡村振兴提供科学支持与技术保障。</w:t>
      </w:r>
    </w:p>
    <w:p w14:paraId="62FB3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立项必要性</w:t>
      </w:r>
    </w:p>
    <w:p w14:paraId="0F80A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陕南秦巴山区作为脱贫接续振兴的重点区域，安全、畅通的公路网络是推动产业发展、改善民生的基础保障。通过科学评估滑坡风险、提出针对性防控对策，能够有效降低灾害对交通基础设施的破坏，为乡村振兴战略实施提供稳固的科技支撑。</w:t>
      </w:r>
    </w:p>
    <w:p w14:paraId="0530D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公路是陕南秦巴山区对外联系与内部流通的生命线，尤其对农村地区的发展至关重要。滑坡灾害直接威胁公路通行安全，中断交通将严重影响物资运输、民生出行及应急抢险，加强滑坡成因与防控研究，是保障区域交通安全、维护人民生命财产安全的紧迫任务。在极端天气增多与人类工程活动加剧的双重影响下，区域内滑坡灾害发生频率与规模呈上升趋势。开展滑坡易发性及演变机理的系统研究，有助于准确识别高风险区段，提升灾害预警与防控能力，是实现区域减灾防灾的必然选择。当前针对陕南秦巴山区公路滑坡的系统研究尚显不足，特别是在成灾机理与区域适配性防控技术方面存在空白。本项目通过多学科交叉与多方法融合，旨在构建一套适用于山区公路滑坡的评估与防控技术体系，为区域地质灾害防治提供理论依据与实践指导。</w:t>
      </w:r>
    </w:p>
    <w:p w14:paraId="17D95F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综上所述，开展陕南秦巴山区公路沿线滑坡灾害形成机理与防控对策研究，不仅是防灾减灾的迫切需求，更是促进区域协调发展、服务乡村振兴战略的重要举措，具有显著的现实意义与战略价值。</w:t>
      </w:r>
    </w:p>
    <w:p w14:paraId="24C810E8">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highlight w:val="none"/>
        </w:rPr>
      </w:pPr>
      <w:r>
        <w:rPr>
          <w:rFonts w:hint="eastAsia" w:ascii="Times New Roman" w:hAnsi="Times New Roman" w:cs="Times New Roman"/>
          <w:b/>
          <w:bCs/>
          <w:sz w:val="24"/>
          <w:szCs w:val="24"/>
          <w:highlight w:val="none"/>
        </w:rPr>
        <w:t>研究目标与考核指标</w:t>
      </w:r>
    </w:p>
    <w:p w14:paraId="29FAE4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总体目标</w:t>
      </w:r>
    </w:p>
    <w:p w14:paraId="1B0B4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本项目研究</w:t>
      </w:r>
      <w:r>
        <w:rPr>
          <w:rFonts w:hint="eastAsia"/>
          <w:sz w:val="24"/>
          <w:szCs w:val="24"/>
          <w:highlight w:val="none"/>
        </w:rPr>
        <w:t>聚焦陕南秦巴山区公路沿线滑坡灾害，通过室内实验、理论计算与数值模拟相结合的综合研究方法，揭示滑坡灾害的演变机理与致灾机制，确定其易发性主控因素；在此基础上，构建适用于</w:t>
      </w:r>
      <w:r>
        <w:rPr>
          <w:rFonts w:hint="eastAsia"/>
          <w:sz w:val="24"/>
          <w:szCs w:val="24"/>
          <w:highlight w:val="none"/>
          <w:lang w:eastAsia="zh-CN"/>
        </w:rPr>
        <w:t>区域</w:t>
      </w:r>
      <w:r>
        <w:rPr>
          <w:rFonts w:hint="eastAsia"/>
          <w:sz w:val="24"/>
          <w:szCs w:val="24"/>
          <w:highlight w:val="none"/>
        </w:rPr>
        <w:t>特点的公路滑坡易发性预测模型，并提出科学有效的针对性防控对策。项目研究成果旨在为陕南秦巴山区公路的设计、施工与养护管理提供直接的技术支撑，最终实现提升公路防灾抗灾减灾能力、推动</w:t>
      </w:r>
      <w:r>
        <w:rPr>
          <w:rFonts w:hint="eastAsia"/>
          <w:sz w:val="24"/>
          <w:szCs w:val="24"/>
          <w:highlight w:val="none"/>
          <w:lang w:eastAsia="zh-CN"/>
        </w:rPr>
        <w:t>区域内公路</w:t>
      </w:r>
      <w:r>
        <w:rPr>
          <w:rFonts w:hint="eastAsia"/>
          <w:sz w:val="24"/>
          <w:szCs w:val="24"/>
          <w:highlight w:val="none"/>
        </w:rPr>
        <w:t>高质量发展、服务乡村全面振兴的战略目的。</w:t>
      </w:r>
    </w:p>
    <w:p w14:paraId="120D11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）研究目标与考核指标</w:t>
      </w:r>
    </w:p>
    <w:p w14:paraId="54D76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发表学术论文1篇、</w:t>
      </w:r>
      <w:r>
        <w:rPr>
          <w:rFonts w:hint="eastAsia" w:ascii="Times New Roman" w:hAnsi="Times New Roman" w:cs="Times New Roman"/>
          <w:sz w:val="24"/>
          <w:szCs w:val="24"/>
          <w:highlight w:val="none"/>
          <w:lang w:eastAsia="zh-CN"/>
        </w:rPr>
        <w:t>申报专利（或软件著作权）</w:t>
      </w:r>
      <w:r>
        <w:rPr>
          <w:rFonts w:hint="eastAsia" w:ascii="Times New Roman" w:hAnsi="Times New Roman" w:cs="Times New Roman"/>
          <w:sz w:val="24"/>
          <w:szCs w:val="24"/>
          <w:highlight w:val="none"/>
          <w:lang w:val="en-US" w:eastAsia="zh-CN"/>
        </w:rPr>
        <w:t>1项。</w:t>
      </w:r>
    </w:p>
    <w:p w14:paraId="75DD4D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lang w:eastAsia="zh-CN"/>
        </w:rPr>
        <w:t>（</w:t>
      </w:r>
      <w:r>
        <w:rPr>
          <w:rFonts w:hint="eastAsia" w:ascii="Times New Roman" w:hAnsi="Times New Roman" w:eastAsia="黑体" w:cs="Times New Roman"/>
          <w:sz w:val="24"/>
          <w:szCs w:val="24"/>
          <w:highlight w:val="none"/>
          <w:lang w:val="en-US" w:eastAsia="zh-CN"/>
        </w:rPr>
        <w:t>二</w:t>
      </w:r>
      <w:r>
        <w:rPr>
          <w:rFonts w:hint="eastAsia" w:ascii="Times New Roman" w:hAnsi="Times New Roman" w:eastAsia="黑体" w:cs="Times New Roman"/>
          <w:sz w:val="24"/>
          <w:szCs w:val="24"/>
          <w:highlight w:val="none"/>
          <w:lang w:eastAsia="zh-CN"/>
        </w:rPr>
        <w:t>）</w:t>
      </w:r>
      <w:r>
        <w:rPr>
          <w:rFonts w:hint="eastAsia" w:ascii="Times New Roman" w:hAnsi="Times New Roman" w:eastAsia="黑体" w:cs="Times New Roman"/>
          <w:sz w:val="24"/>
          <w:szCs w:val="24"/>
          <w:highlight w:val="none"/>
        </w:rPr>
        <w:t>主要研究内容与技术要求</w:t>
      </w:r>
    </w:p>
    <w:p w14:paraId="7561EB3C">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研究范畴界定</w:t>
      </w:r>
    </w:p>
    <w:p w14:paraId="31AE9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（1）探明陕南秦巴山区内滑坡灾害体的分布形态和特征，明确诱发山区农村公路沿线滑坡灾害体易发性的主要影响因素。</w:t>
      </w:r>
    </w:p>
    <w:p w14:paraId="5312E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（2）揭示陕南秦巴山区内农村公路沿线滑坡灾害易发性主控因素及其与灾害体易发行为间内在关系特征。</w:t>
      </w:r>
    </w:p>
    <w:p w14:paraId="31B8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（3）基于区域</w:t>
      </w:r>
      <w:r>
        <w:rPr>
          <w:rFonts w:hint="eastAsia" w:ascii="Times New Roman" w:hAnsi="Times New Roman" w:cs="Times New Roman"/>
          <w:sz w:val="24"/>
          <w:szCs w:val="24"/>
          <w:highlight w:val="none"/>
          <w:lang w:eastAsia="zh-CN"/>
        </w:rPr>
        <w:t>地理</w:t>
      </w:r>
      <w:r>
        <w:rPr>
          <w:rFonts w:hint="default" w:ascii="Times New Roman" w:hAnsi="Times New Roman" w:cs="Times New Roman"/>
          <w:sz w:val="24"/>
          <w:szCs w:val="24"/>
          <w:highlight w:val="none"/>
        </w:rPr>
        <w:t>环境和滑坡灾害体特征，建立适合于区域公路沿线滑坡灾害体的易发性预测模型。</w:t>
      </w:r>
    </w:p>
    <w:p w14:paraId="33250D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 xml:space="preserve">2. </w:t>
      </w:r>
      <w:r>
        <w:rPr>
          <w:rFonts w:hint="default" w:ascii="Times New Roman" w:hAnsi="Times New Roman" w:cs="Times New Roman"/>
          <w:b/>
          <w:bCs/>
          <w:sz w:val="24"/>
          <w:szCs w:val="24"/>
          <w:highlight w:val="none"/>
          <w:lang w:val="en-US" w:eastAsia="zh-CN"/>
        </w:rPr>
        <w:t>关键技术攻关路线</w:t>
      </w:r>
    </w:p>
    <w:p w14:paraId="69AE2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本项目基于对陕南秦巴山区内公路沿线滑坡地质灾害状况的调研以及对收集到的国内外有关公路滑坡资料的归纳总结与分析，通过试验、理论计算及数值模拟等相结合方法，</w:t>
      </w:r>
      <w:r>
        <w:rPr>
          <w:rFonts w:hint="eastAsia" w:ascii="Times New Roman" w:hAnsi="Times New Roman" w:cs="Times New Roman"/>
          <w:sz w:val="24"/>
          <w:szCs w:val="24"/>
          <w:highlight w:val="none"/>
          <w:lang w:eastAsia="zh-CN"/>
        </w:rPr>
        <w:t>开展</w:t>
      </w:r>
      <w:r>
        <w:rPr>
          <w:rFonts w:hint="default" w:ascii="Times New Roman" w:hAnsi="Times New Roman" w:cs="Times New Roman"/>
          <w:sz w:val="24"/>
          <w:szCs w:val="24"/>
          <w:highlight w:val="none"/>
        </w:rPr>
        <w:t>陕南秦巴山区公路沿线滑坡灾害易发性影响因素、类型、演变机理及其防控措施</w:t>
      </w:r>
      <w:r>
        <w:rPr>
          <w:rFonts w:hint="eastAsia" w:ascii="Times New Roman" w:hAnsi="Times New Roman" w:cs="Times New Roman"/>
          <w:sz w:val="24"/>
          <w:szCs w:val="24"/>
          <w:highlight w:val="none"/>
          <w:lang w:eastAsia="zh-CN"/>
        </w:rPr>
        <w:t>研究。</w:t>
      </w:r>
      <w:r>
        <w:rPr>
          <w:rFonts w:hint="default" w:ascii="Times New Roman" w:hAnsi="Times New Roman" w:cs="Times New Roman"/>
          <w:sz w:val="24"/>
          <w:szCs w:val="24"/>
          <w:highlight w:val="none"/>
        </w:rPr>
        <w:t>项目</w:t>
      </w:r>
      <w:r>
        <w:rPr>
          <w:rFonts w:hint="eastAsia" w:ascii="Times New Roman" w:hAnsi="Times New Roman" w:cs="Times New Roman"/>
          <w:sz w:val="24"/>
          <w:szCs w:val="24"/>
          <w:highlight w:val="none"/>
          <w:lang w:eastAsia="zh-CN"/>
        </w:rPr>
        <w:t>拟采取的关键技术攻关</w:t>
      </w:r>
      <w:r>
        <w:rPr>
          <w:rFonts w:hint="default" w:ascii="Times New Roman" w:hAnsi="Times New Roman" w:cs="Times New Roman"/>
          <w:sz w:val="24"/>
          <w:szCs w:val="24"/>
          <w:highlight w:val="none"/>
        </w:rPr>
        <w:t>路线如下图1所示。</w:t>
      </w:r>
    </w:p>
    <w:p w14:paraId="391592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highlight w:val="none"/>
        </w:rPr>
      </w:pPr>
      <w:r>
        <w:rPr>
          <w:sz w:val="24"/>
          <w:highlight w:val="none"/>
        </w:rPr>
        <w:drawing>
          <wp:inline distT="0" distB="0" distL="114300" distR="114300">
            <wp:extent cx="3830320" cy="4827270"/>
            <wp:effectExtent l="0" t="0" r="17780" b="11430"/>
            <wp:docPr id="1" name="图片 1"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1"/>
                    </pic:cNvPicPr>
                  </pic:nvPicPr>
                  <pic:blipFill>
                    <a:blip r:embed="rId16"/>
                    <a:stretch>
                      <a:fillRect/>
                    </a:stretch>
                  </pic:blipFill>
                  <pic:spPr>
                    <a:xfrm>
                      <a:off x="0" y="0"/>
                      <a:ext cx="3830320" cy="4827270"/>
                    </a:xfrm>
                    <a:prstGeom prst="rect">
                      <a:avLst/>
                    </a:prstGeom>
                    <a:noFill/>
                    <a:ln>
                      <a:noFill/>
                    </a:ln>
                  </pic:spPr>
                </pic:pic>
              </a:graphicData>
            </a:graphic>
          </wp:inline>
        </w:drawing>
      </w:r>
    </w:p>
    <w:p w14:paraId="0B565DB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 xml:space="preserve">图1 </w:t>
      </w:r>
      <w:r>
        <w:rPr>
          <w:rFonts w:hint="eastAsia" w:ascii="Times New Roman" w:hAnsi="Times New Roman" w:cs="Times New Roman"/>
          <w:b/>
          <w:bCs/>
          <w:sz w:val="21"/>
          <w:szCs w:val="21"/>
          <w:highlight w:val="none"/>
          <w:lang w:eastAsia="zh-CN"/>
        </w:rPr>
        <w:t>关键</w:t>
      </w:r>
      <w:r>
        <w:rPr>
          <w:rFonts w:hint="default" w:ascii="Times New Roman" w:hAnsi="Times New Roman" w:cs="Times New Roman"/>
          <w:b/>
          <w:bCs/>
          <w:sz w:val="21"/>
          <w:szCs w:val="21"/>
          <w:highlight w:val="none"/>
        </w:rPr>
        <w:t>技术</w:t>
      </w:r>
      <w:r>
        <w:rPr>
          <w:rFonts w:hint="eastAsia" w:ascii="Times New Roman" w:hAnsi="Times New Roman" w:cs="Times New Roman"/>
          <w:b/>
          <w:bCs/>
          <w:sz w:val="21"/>
          <w:szCs w:val="21"/>
          <w:highlight w:val="none"/>
          <w:lang w:eastAsia="zh-CN"/>
        </w:rPr>
        <w:t>攻关</w:t>
      </w:r>
      <w:r>
        <w:rPr>
          <w:rFonts w:hint="default" w:ascii="Times New Roman" w:hAnsi="Times New Roman" w:cs="Times New Roman"/>
          <w:b/>
          <w:bCs/>
          <w:sz w:val="21"/>
          <w:szCs w:val="21"/>
          <w:highlight w:val="none"/>
        </w:rPr>
        <w:t>路线</w:t>
      </w:r>
    </w:p>
    <w:p w14:paraId="71F535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lang w:eastAsia="zh-CN"/>
        </w:rPr>
        <w:t>（</w:t>
      </w:r>
      <w:r>
        <w:rPr>
          <w:rFonts w:hint="eastAsia" w:ascii="Times New Roman" w:hAnsi="Times New Roman" w:eastAsia="黑体" w:cs="Times New Roman"/>
          <w:sz w:val="24"/>
          <w:szCs w:val="24"/>
          <w:highlight w:val="none"/>
          <w:lang w:val="en-US" w:eastAsia="zh-CN"/>
        </w:rPr>
        <w:t>三</w:t>
      </w:r>
      <w:r>
        <w:rPr>
          <w:rFonts w:hint="eastAsia" w:ascii="Times New Roman" w:hAnsi="Times New Roman" w:eastAsia="黑体" w:cs="Times New Roman"/>
          <w:sz w:val="24"/>
          <w:szCs w:val="24"/>
          <w:highlight w:val="none"/>
          <w:lang w:eastAsia="zh-CN"/>
        </w:rPr>
        <w:t>）</w:t>
      </w:r>
      <w:r>
        <w:rPr>
          <w:rFonts w:hint="eastAsia" w:ascii="Times New Roman" w:hAnsi="Times New Roman" w:eastAsia="黑体" w:cs="Times New Roman"/>
          <w:sz w:val="24"/>
          <w:szCs w:val="24"/>
          <w:highlight w:val="none"/>
        </w:rPr>
        <w:t>项目成果及交付物要求</w:t>
      </w:r>
    </w:p>
    <w:p w14:paraId="335518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1. 有形交付物</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研究报告：提交立项报告1份、结题报告1份、数据集1份等。</w:t>
      </w:r>
    </w:p>
    <w:p w14:paraId="528297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2. 无形交付物</w:t>
      </w:r>
    </w:p>
    <w:p w14:paraId="3E337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知识产权：申报专利（或软件著作权），知识产权归双方共有。</w:t>
      </w:r>
    </w:p>
    <w:p w14:paraId="080F5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论文著作：发表期刊论文，知识产权归双方共有。</w:t>
      </w:r>
    </w:p>
    <w:p w14:paraId="60547C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sz w:val="24"/>
          <w:szCs w:val="24"/>
          <w:highlight w:val="none"/>
          <w:lang w:eastAsia="zh-CN"/>
        </w:rPr>
      </w:pPr>
      <w:r>
        <w:rPr>
          <w:rFonts w:hint="eastAsia" w:ascii="Times New Roman" w:hAnsi="Times New Roman" w:eastAsia="黑体" w:cs="Times New Roman"/>
          <w:sz w:val="24"/>
          <w:szCs w:val="24"/>
          <w:highlight w:val="none"/>
          <w:lang w:eastAsia="zh-CN"/>
        </w:rPr>
        <w:t>（</w:t>
      </w:r>
      <w:r>
        <w:rPr>
          <w:rFonts w:hint="eastAsia" w:ascii="Times New Roman" w:hAnsi="Times New Roman" w:eastAsia="黑体" w:cs="Times New Roman"/>
          <w:sz w:val="24"/>
          <w:szCs w:val="24"/>
          <w:highlight w:val="none"/>
          <w:lang w:val="en-US" w:eastAsia="zh-CN"/>
        </w:rPr>
        <w:t>四</w:t>
      </w:r>
      <w:r>
        <w:rPr>
          <w:rFonts w:hint="eastAsia" w:ascii="Times New Roman" w:hAnsi="Times New Roman" w:eastAsia="黑体" w:cs="Times New Roman"/>
          <w:sz w:val="24"/>
          <w:szCs w:val="24"/>
          <w:highlight w:val="none"/>
          <w:lang w:eastAsia="zh-CN"/>
        </w:rPr>
        <w:t>）项目实施与管理要求</w:t>
      </w:r>
    </w:p>
    <w:p w14:paraId="65029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1. 项目周期与进度安排</w:t>
      </w:r>
    </w:p>
    <w:p w14:paraId="5D51D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年1月～202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月</w:t>
      </w:r>
    </w:p>
    <w:p w14:paraId="635B84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选取研究区内农村公路路段典型滑坡地质灾害，组织项目组成员进行实地调研和分析，确定诱发秦巴山区内农村公路滑坡灾害的自然和人类活动因素；收集和整理国内外相关研究成果，制定实验计划和方案；制作和加工模型试验设备，进行数值模拟建模，为拟开展研究工作做好准备。</w:t>
      </w:r>
    </w:p>
    <w:p w14:paraId="19640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月～202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8</w:t>
      </w:r>
      <w:r>
        <w:rPr>
          <w:rFonts w:hint="default" w:ascii="Times New Roman" w:hAnsi="Times New Roman" w:cs="Times New Roman"/>
          <w:sz w:val="24"/>
          <w:szCs w:val="24"/>
          <w:highlight w:val="none"/>
        </w:rPr>
        <w:t>月</w:t>
      </w:r>
    </w:p>
    <w:p w14:paraId="764F8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基于上述野外调研结果，统计分析陕南秦巴山区内农村公路沿线滑坡灾害体的类型、分布形态特征及诱发其致灾的主要影响因素，建立以主要影响因素为指标层、以滑坡易发性为目标层、以自然和人类活动因素等为准则层的陕南山区农村公路滑坡易发性评价指标体系。</w:t>
      </w:r>
    </w:p>
    <w:p w14:paraId="0F34D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rPr>
        <w:t>月～202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12</w:t>
      </w:r>
      <w:r>
        <w:rPr>
          <w:rFonts w:hint="default" w:ascii="Times New Roman" w:hAnsi="Times New Roman" w:cs="Times New Roman"/>
          <w:sz w:val="24"/>
          <w:szCs w:val="24"/>
          <w:highlight w:val="none"/>
        </w:rPr>
        <w:t>月</w:t>
      </w:r>
    </w:p>
    <w:p w14:paraId="40CB6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根据上述研究结果，基于灰色理论原理采用Matlab软件自编程序，探明诱发陕南秦巴山区内农村公路沿线滑坡灾害体易发性的主控因素、不同影响因素间主次关系及其对滑坡灾害体易发性的影响程度，</w:t>
      </w:r>
      <w:r>
        <w:rPr>
          <w:rFonts w:hint="eastAsia" w:ascii="Times New Roman" w:hAnsi="Times New Roman" w:cs="Times New Roman"/>
          <w:sz w:val="24"/>
          <w:szCs w:val="24"/>
          <w:highlight w:val="none"/>
          <w:lang w:eastAsia="zh-CN"/>
        </w:rPr>
        <w:t>申请专利（或软件著作权）</w:t>
      </w:r>
      <w:r>
        <w:rPr>
          <w:rFonts w:hint="eastAsia" w:ascii="Times New Roman" w:hAnsi="Times New Roman" w:cs="Times New Roman"/>
          <w:sz w:val="24"/>
          <w:szCs w:val="24"/>
          <w:highlight w:val="none"/>
          <w:lang w:val="en-US" w:eastAsia="zh-CN"/>
        </w:rPr>
        <w:t>1项</w:t>
      </w:r>
      <w:r>
        <w:rPr>
          <w:rFonts w:hint="default" w:ascii="Times New Roman" w:hAnsi="Times New Roman" w:cs="Times New Roman"/>
          <w:sz w:val="24"/>
          <w:szCs w:val="24"/>
          <w:highlight w:val="none"/>
        </w:rPr>
        <w:t>。</w:t>
      </w:r>
    </w:p>
    <w:p w14:paraId="7BD9C3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（4）202</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月～202</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月</w:t>
      </w:r>
    </w:p>
    <w:p w14:paraId="095C8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基于上述研究确定出的滑坡灾害的主控影响因素，开展不同工况条件下滑坡灾害体易发性模拟实验，揭示公路滑坡灾害易发性随不同影响因素的变化规律，探明陕南秦巴山区农村公路沿线滑坡灾害的演变和致灾机理，发表阶段性论文1篇。</w:t>
      </w:r>
    </w:p>
    <w:p w14:paraId="20119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（5）202</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月～202</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8</w:t>
      </w:r>
      <w:r>
        <w:rPr>
          <w:rFonts w:hint="default" w:ascii="Times New Roman" w:hAnsi="Times New Roman" w:cs="Times New Roman"/>
          <w:sz w:val="24"/>
          <w:szCs w:val="24"/>
          <w:highlight w:val="none"/>
        </w:rPr>
        <w:t>月</w:t>
      </w:r>
    </w:p>
    <w:p w14:paraId="31719E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基于上述研究结果，建立适合于陕南秦巴山区的农村公路滑坡灾害易发性预测模型，提出适合于陕南秦巴山区农村公路的滑坡灾害体防控措施，为区域内农村公路防护措施的设计与施工等提供技术服务。</w:t>
      </w:r>
    </w:p>
    <w:p w14:paraId="3B2A5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（6）202</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rPr>
        <w:t>月～202</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年12月</w:t>
      </w:r>
    </w:p>
    <w:p w14:paraId="2DC74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对研究项目的试验资料与研究成果进行整理与总结，撰写规范，并完成本项目的结题工作，形成研究报告1份。</w:t>
      </w:r>
    </w:p>
    <w:p w14:paraId="1096988B">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p>
    <w:p w14:paraId="5BF55A13">
      <w:pPr>
        <w:pStyle w:val="12"/>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8308AB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25CE2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3EA557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5184AF90">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1C243A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3297BA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D0F2B8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BD757ED">
      <w:pPr>
        <w:rPr>
          <w:rFonts w:hint="default"/>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highlight w:val="none"/>
        </w:rPr>
      </w:pPr>
      <w:bookmarkStart w:id="91" w:name="_Toc23166"/>
      <w:bookmarkStart w:id="92" w:name="_Toc27511"/>
      <w:r>
        <w:rPr>
          <w:rFonts w:hint="eastAsia" w:ascii="宋体" w:hAnsi="宋体" w:eastAsia="宋体" w:cs="宋体"/>
          <w:b/>
          <w:bCs/>
          <w:sz w:val="28"/>
          <w:highlight w:val="none"/>
        </w:rPr>
        <w:t>项目合同编号：</w:t>
      </w:r>
      <w:r>
        <w:rPr>
          <w:rFonts w:hint="eastAsia" w:ascii="宋体" w:hAnsi="宋体" w:eastAsia="宋体" w:cs="宋体"/>
          <w:b/>
          <w:bCs/>
          <w:color w:val="FF0000"/>
          <w:sz w:val="24"/>
          <w:szCs w:val="22"/>
          <w:highlight w:val="none"/>
        </w:rPr>
        <w:t>按照计划文件中项目编号填写</w:t>
      </w:r>
    </w:p>
    <w:p w14:paraId="4EE6A31C">
      <w:pPr>
        <w:rPr>
          <w:rFonts w:hint="eastAsia" w:ascii="宋体" w:hAnsi="宋体" w:eastAsia="宋体" w:cs="宋体"/>
          <w:sz w:val="28"/>
          <w:highlight w:val="none"/>
        </w:rPr>
      </w:pPr>
    </w:p>
    <w:p w14:paraId="36E25B99">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陕西省交通运输厅</w:t>
      </w:r>
      <w:r>
        <w:rPr>
          <w:rFonts w:hint="eastAsia" w:ascii="宋体" w:hAnsi="宋体" w:eastAsia="宋体" w:cs="宋体"/>
          <w:sz w:val="44"/>
          <w:szCs w:val="44"/>
          <w:highlight w:val="none"/>
          <w:u w:val="single"/>
          <w:lang w:val="en-US" w:eastAsia="zh-CN"/>
        </w:rPr>
        <w:t>2025</w:t>
      </w:r>
      <w:r>
        <w:rPr>
          <w:rFonts w:hint="eastAsia" w:ascii="宋体" w:hAnsi="宋体" w:eastAsia="宋体" w:cs="宋体"/>
          <w:sz w:val="44"/>
          <w:szCs w:val="44"/>
          <w:highlight w:val="none"/>
        </w:rPr>
        <w:t>年度交通科研项目</w:t>
      </w:r>
    </w:p>
    <w:p w14:paraId="6C6CD835">
      <w:pPr>
        <w:jc w:val="center"/>
        <w:rPr>
          <w:rFonts w:hint="eastAsia" w:ascii="宋体" w:hAnsi="宋体" w:eastAsia="宋体" w:cs="宋体"/>
          <w:sz w:val="48"/>
          <w:highlight w:val="none"/>
        </w:rPr>
      </w:pPr>
    </w:p>
    <w:p w14:paraId="0DE4B60E">
      <w:pPr>
        <w:jc w:val="center"/>
        <w:rPr>
          <w:rFonts w:hint="eastAsia" w:ascii="宋体" w:hAnsi="宋体" w:eastAsia="宋体" w:cs="宋体"/>
          <w:sz w:val="48"/>
          <w:highlight w:val="none"/>
        </w:rPr>
      </w:pPr>
    </w:p>
    <w:p w14:paraId="4F976538">
      <w:pPr>
        <w:jc w:val="center"/>
        <w:rPr>
          <w:rFonts w:hint="eastAsia" w:ascii="宋体" w:hAnsi="宋体" w:eastAsia="宋体" w:cs="宋体"/>
          <w:sz w:val="44"/>
          <w:highlight w:val="none"/>
        </w:rPr>
      </w:pPr>
      <w:r>
        <w:rPr>
          <w:rFonts w:hint="eastAsia" w:ascii="宋体" w:hAnsi="宋体" w:eastAsia="宋体" w:cs="宋体"/>
          <w:b/>
          <w:sz w:val="48"/>
          <w:highlight w:val="none"/>
        </w:rPr>
        <w:t>合 同 书</w:t>
      </w:r>
    </w:p>
    <w:p w14:paraId="70E3CD2F">
      <w:pPr>
        <w:spacing w:line="480" w:lineRule="auto"/>
        <w:jc w:val="center"/>
        <w:rPr>
          <w:rFonts w:hint="eastAsia" w:ascii="宋体" w:hAnsi="宋体" w:eastAsia="宋体" w:cs="宋体"/>
          <w:sz w:val="44"/>
          <w:highlight w:val="none"/>
        </w:rPr>
      </w:pPr>
    </w:p>
    <w:p w14:paraId="2DDCD9E4">
      <w:pPr>
        <w:spacing w:line="480" w:lineRule="auto"/>
        <w:jc w:val="center"/>
        <w:rPr>
          <w:rFonts w:hint="eastAsia" w:ascii="宋体" w:hAnsi="宋体" w:eastAsia="宋体" w:cs="宋体"/>
          <w:sz w:val="44"/>
          <w:highlight w:val="none"/>
        </w:rPr>
      </w:pPr>
    </w:p>
    <w:p w14:paraId="6CF06DE7">
      <w:pPr>
        <w:spacing w:line="660" w:lineRule="auto"/>
        <w:rPr>
          <w:rFonts w:hint="eastAsia" w:ascii="宋体" w:hAnsi="宋体" w:eastAsia="宋体" w:cs="宋体"/>
          <w:sz w:val="24"/>
          <w:szCs w:val="22"/>
          <w:highlight w:val="none"/>
        </w:rPr>
      </w:pPr>
      <w:r>
        <w:rPr>
          <w:rFonts w:hint="eastAsia" w:ascii="宋体" w:hAnsi="宋体" w:eastAsia="宋体" w:cs="宋体"/>
          <w:sz w:val="28"/>
          <w:highlight w:val="none"/>
        </w:rPr>
        <w:t>项目名称：</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政府采购合同名称</w:t>
      </w:r>
      <w:r>
        <w:rPr>
          <w:rFonts w:hint="eastAsia" w:ascii="宋体" w:hAnsi="宋体" w:eastAsia="宋体" w:cs="宋体"/>
          <w:color w:val="FF0000"/>
          <w:sz w:val="24"/>
          <w:szCs w:val="22"/>
          <w:highlight w:val="none"/>
        </w:rPr>
        <w:t>）</w:t>
      </w:r>
    </w:p>
    <w:p w14:paraId="53B0BC0F">
      <w:pPr>
        <w:spacing w:line="660" w:lineRule="auto"/>
        <w:rPr>
          <w:rFonts w:hint="eastAsia" w:ascii="宋体" w:hAnsi="宋体" w:eastAsia="宋体" w:cs="宋体"/>
          <w:sz w:val="28"/>
          <w:highlight w:val="none"/>
        </w:rPr>
      </w:pPr>
      <w:r>
        <w:rPr>
          <w:rFonts w:hint="eastAsia" w:ascii="宋体" w:hAnsi="宋体" w:eastAsia="宋体" w:cs="宋体"/>
          <w:sz w:val="28"/>
          <w:highlight w:val="none"/>
        </w:rPr>
        <w:t>承担单位：</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采购中标</w:t>
      </w:r>
      <w:r>
        <w:rPr>
          <w:rFonts w:hint="eastAsia" w:ascii="宋体" w:hAnsi="宋体" w:eastAsia="宋体" w:cs="宋体"/>
          <w:color w:val="FF0000"/>
          <w:sz w:val="24"/>
          <w:szCs w:val="22"/>
          <w:highlight w:val="none"/>
        </w:rPr>
        <w:t>单位名称及盖章）</w:t>
      </w:r>
    </w:p>
    <w:p w14:paraId="4BDF7AE2">
      <w:pPr>
        <w:spacing w:line="660" w:lineRule="auto"/>
        <w:rPr>
          <w:rFonts w:hint="eastAsia" w:ascii="宋体" w:hAnsi="宋体" w:eastAsia="宋体" w:cs="宋体"/>
          <w:color w:val="FF0000"/>
          <w:sz w:val="28"/>
          <w:highlight w:val="none"/>
        </w:rPr>
      </w:pPr>
      <w:r>
        <w:rPr>
          <w:rFonts w:hint="eastAsia" w:ascii="宋体" w:hAnsi="宋体" w:eastAsia="宋体" w:cs="宋体"/>
          <w:sz w:val="28"/>
          <w:highlight w:val="none"/>
        </w:rPr>
        <w:t>项目负责人：</w:t>
      </w:r>
      <w:r>
        <w:rPr>
          <w:rFonts w:hint="eastAsia" w:ascii="宋体" w:hAnsi="宋体" w:eastAsia="宋体" w:cs="宋体"/>
          <w:color w:val="FF0000"/>
          <w:sz w:val="24"/>
          <w:szCs w:val="22"/>
          <w:highlight w:val="none"/>
        </w:rPr>
        <w:t>（注：项目第一负责人）</w:t>
      </w:r>
    </w:p>
    <w:p w14:paraId="72BFF4A3">
      <w:pPr>
        <w:spacing w:line="660" w:lineRule="auto"/>
        <w:rPr>
          <w:rFonts w:hint="eastAsia" w:ascii="宋体" w:hAnsi="宋体" w:eastAsia="宋体" w:cs="宋体"/>
          <w:sz w:val="28"/>
          <w:highlight w:val="none"/>
        </w:rPr>
      </w:pPr>
      <w:r>
        <w:rPr>
          <w:rFonts w:hint="eastAsia" w:ascii="宋体" w:hAnsi="宋体" w:eastAsia="宋体" w:cs="宋体"/>
          <w:sz w:val="28"/>
          <w:highlight w:val="none"/>
        </w:rPr>
        <w:t>通讯邮编、地址：</w:t>
      </w:r>
    </w:p>
    <w:p w14:paraId="2E4DD1B3">
      <w:pPr>
        <w:spacing w:line="660" w:lineRule="auto"/>
        <w:rPr>
          <w:rFonts w:hint="eastAsia" w:ascii="宋体" w:hAnsi="宋体" w:eastAsia="宋体" w:cs="宋体"/>
          <w:sz w:val="28"/>
          <w:highlight w:val="none"/>
        </w:rPr>
      </w:pPr>
      <w:r>
        <w:rPr>
          <w:rFonts w:hint="eastAsia" w:ascii="宋体" w:hAnsi="宋体" w:eastAsia="宋体" w:cs="宋体"/>
          <w:sz w:val="28"/>
          <w:highlight w:val="none"/>
        </w:rPr>
        <w:t>传真、电话：</w:t>
      </w:r>
    </w:p>
    <w:p w14:paraId="0EE7B101">
      <w:pPr>
        <w:spacing w:line="660" w:lineRule="auto"/>
        <w:rPr>
          <w:rFonts w:hint="eastAsia" w:ascii="宋体" w:hAnsi="宋体" w:eastAsia="宋体" w:cs="宋体"/>
          <w:sz w:val="28"/>
          <w:highlight w:val="none"/>
        </w:rPr>
      </w:pPr>
      <w:r>
        <w:rPr>
          <w:rFonts w:hint="eastAsia" w:ascii="宋体" w:hAnsi="宋体" w:eastAsia="宋体" w:cs="宋体"/>
          <w:sz w:val="28"/>
          <w:highlight w:val="none"/>
        </w:rPr>
        <w:t>起止年限：年</w:t>
      </w:r>
      <w:r>
        <w:rPr>
          <w:rFonts w:hint="eastAsia" w:ascii="宋体" w:hAnsi="宋体" w:eastAsia="宋体" w:cs="宋体"/>
          <w:highlight w:val="none"/>
        </w:rPr>
        <w:t xml:space="preserve">  </w:t>
      </w:r>
      <w:r>
        <w:rPr>
          <w:rFonts w:hint="eastAsia" w:ascii="宋体" w:hAnsi="宋体" w:eastAsia="宋体" w:cs="宋体"/>
          <w:sz w:val="28"/>
          <w:highlight w:val="none"/>
        </w:rPr>
        <w:t>月 至</w:t>
      </w:r>
      <w:r>
        <w:rPr>
          <w:rFonts w:hint="eastAsia" w:ascii="宋体" w:hAnsi="宋体" w:eastAsia="宋体" w:cs="宋体"/>
          <w:highlight w:val="none"/>
        </w:rPr>
        <w:t xml:space="preserve">  </w:t>
      </w:r>
      <w:r>
        <w:rPr>
          <w:rFonts w:hint="eastAsia" w:ascii="宋体" w:hAnsi="宋体" w:eastAsia="宋体" w:cs="宋体"/>
          <w:sz w:val="28"/>
          <w:highlight w:val="none"/>
        </w:rPr>
        <w:t>年</w:t>
      </w:r>
      <w:r>
        <w:rPr>
          <w:rFonts w:hint="eastAsia" w:ascii="宋体" w:hAnsi="宋体" w:eastAsia="宋体" w:cs="宋体"/>
          <w:highlight w:val="none"/>
        </w:rPr>
        <w:t xml:space="preserve">   </w:t>
      </w:r>
      <w:r>
        <w:rPr>
          <w:rFonts w:hint="eastAsia" w:ascii="宋体" w:hAnsi="宋体" w:eastAsia="宋体" w:cs="宋体"/>
          <w:sz w:val="28"/>
          <w:highlight w:val="none"/>
        </w:rPr>
        <w:t>月</w:t>
      </w:r>
    </w:p>
    <w:p w14:paraId="5A4FD29A">
      <w:pPr>
        <w:pStyle w:val="5"/>
        <w:rPr>
          <w:rFonts w:hint="eastAsia" w:ascii="宋体" w:hAnsi="宋体" w:eastAsia="宋体" w:cs="宋体"/>
          <w:sz w:val="28"/>
          <w:highlight w:val="none"/>
        </w:rPr>
      </w:pPr>
    </w:p>
    <w:p w14:paraId="343B6969">
      <w:pPr>
        <w:pStyle w:val="6"/>
        <w:rPr>
          <w:rFonts w:hint="eastAsia" w:ascii="宋体" w:hAnsi="宋体" w:eastAsia="宋体" w:cs="宋体"/>
          <w:highlight w:val="none"/>
        </w:rPr>
      </w:pPr>
    </w:p>
    <w:p w14:paraId="5199E030">
      <w:pPr>
        <w:jc w:val="center"/>
        <w:rPr>
          <w:rFonts w:hint="eastAsia" w:ascii="宋体" w:hAnsi="宋体" w:eastAsia="宋体" w:cs="宋体"/>
          <w:sz w:val="28"/>
          <w:highlight w:val="none"/>
        </w:rPr>
      </w:pPr>
    </w:p>
    <w:p w14:paraId="438339F5">
      <w:pPr>
        <w:jc w:val="center"/>
        <w:rPr>
          <w:rFonts w:hint="eastAsia" w:ascii="宋体" w:hAnsi="宋体" w:eastAsia="宋体" w:cs="宋体"/>
          <w:sz w:val="32"/>
          <w:highlight w:val="none"/>
        </w:rPr>
      </w:pPr>
      <w:r>
        <w:rPr>
          <w:rFonts w:hint="eastAsia" w:ascii="宋体" w:hAnsi="宋体" w:eastAsia="宋体" w:cs="宋体"/>
          <w:sz w:val="32"/>
          <w:highlight w:val="none"/>
        </w:rPr>
        <w:t>陕西省交通运输厅制</w:t>
      </w:r>
    </w:p>
    <w:p w14:paraId="69FFBC7C">
      <w:pPr>
        <w:rPr>
          <w:rFonts w:hint="eastAsia" w:ascii="宋体" w:hAnsi="宋体" w:eastAsia="宋体" w:cs="宋体"/>
          <w:sz w:val="28"/>
          <w:highlight w:val="none"/>
        </w:rPr>
      </w:pPr>
    </w:p>
    <w:p w14:paraId="000D5E02">
      <w:pPr>
        <w:rPr>
          <w:rFonts w:hint="eastAsia" w:ascii="宋体" w:hAnsi="宋体" w:eastAsia="宋体" w:cs="宋体"/>
          <w:sz w:val="30"/>
          <w:highlight w:val="none"/>
        </w:rPr>
        <w:sectPr>
          <w:footerReference r:id="rId12"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7"/>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主要研究内容</w:t>
            </w:r>
          </w:p>
          <w:p w14:paraId="1094201B">
            <w:pPr>
              <w:numPr>
                <w:ilvl w:val="0"/>
                <w:numId w:val="7"/>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技术关键</w:t>
            </w:r>
          </w:p>
          <w:p w14:paraId="65784048">
            <w:pPr>
              <w:numPr>
                <w:ilvl w:val="0"/>
                <w:numId w:val="7"/>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依托工程（依托工作）</w:t>
            </w:r>
          </w:p>
          <w:p w14:paraId="54F1B37B">
            <w:pPr>
              <w:pStyle w:val="11"/>
              <w:ind w:firstLine="480" w:firstLineChars="200"/>
              <w:rPr>
                <w:rFonts w:hint="eastAsia" w:ascii="宋体" w:hAnsi="宋体" w:eastAsia="宋体" w:cs="宋体"/>
                <w:color w:val="FF0000"/>
                <w:sz w:val="24"/>
                <w:szCs w:val="22"/>
                <w:highlight w:val="none"/>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rPr>
              <w:t>注：要解决的主要技术难点和问题，要简明扼要</w:t>
            </w:r>
            <w:r>
              <w:rPr>
                <w:rFonts w:hint="eastAsia" w:ascii="宋体" w:hAnsi="宋体" w:eastAsia="宋体" w:cs="宋体"/>
                <w:color w:val="FF0000"/>
                <w:sz w:val="24"/>
                <w:szCs w:val="22"/>
                <w:highlight w:val="none"/>
                <w:lang w:eastAsia="zh-CN"/>
              </w:rPr>
              <w:t>）</w:t>
            </w:r>
          </w:p>
          <w:p w14:paraId="51184D68">
            <w:pPr>
              <w:rPr>
                <w:rFonts w:hint="eastAsia" w:ascii="宋体" w:hAnsi="宋体" w:eastAsia="宋体" w:cs="宋体"/>
                <w:sz w:val="28"/>
                <w:highlight w:val="none"/>
              </w:rPr>
            </w:pPr>
          </w:p>
        </w:tc>
      </w:tr>
    </w:tbl>
    <w:p w14:paraId="28977B2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highlight w:val="none"/>
              </w:rPr>
            </w:pPr>
            <w:r>
              <w:rPr>
                <w:rFonts w:hint="eastAsia" w:ascii="宋体" w:hAnsi="宋体" w:eastAsia="宋体" w:cs="宋体"/>
                <w:sz w:val="28"/>
                <w:highlight w:val="none"/>
              </w:rPr>
              <w:t>1．预期目标</w:t>
            </w:r>
          </w:p>
          <w:p w14:paraId="2A4292B9">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（注：是否填补技术空白（国际/国家/省级））</w:t>
            </w:r>
          </w:p>
          <w:p w14:paraId="490AB47F">
            <w:pPr>
              <w:ind w:left="420"/>
              <w:rPr>
                <w:rFonts w:hint="eastAsia" w:ascii="宋体" w:hAnsi="宋体" w:eastAsia="宋体" w:cs="宋体"/>
                <w:sz w:val="28"/>
                <w:highlight w:val="none"/>
              </w:rPr>
            </w:pPr>
            <w:r>
              <w:rPr>
                <w:rFonts w:hint="eastAsia" w:ascii="宋体" w:hAnsi="宋体" w:eastAsia="宋体" w:cs="宋体"/>
                <w:sz w:val="28"/>
                <w:highlight w:val="none"/>
              </w:rPr>
              <w:t>2．主要技术经济指标（具体的技术经济参数）</w:t>
            </w:r>
          </w:p>
          <w:p w14:paraId="1A23C17A">
            <w:pPr>
              <w:ind w:left="420"/>
              <w:rPr>
                <w:rFonts w:hint="eastAsia" w:ascii="宋体" w:hAnsi="宋体" w:eastAsia="宋体" w:cs="宋体"/>
                <w:sz w:val="28"/>
                <w:highlight w:val="none"/>
              </w:rPr>
            </w:pPr>
            <w:r>
              <w:rPr>
                <w:rFonts w:hint="eastAsia" w:ascii="宋体" w:hAnsi="宋体" w:eastAsia="宋体" w:cs="宋体"/>
                <w:sz w:val="28"/>
                <w:highlight w:val="none"/>
              </w:rPr>
              <w:t>3．经济和社会效益</w:t>
            </w:r>
          </w:p>
          <w:p w14:paraId="20DCF345">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（注：完成项目绩效目标）</w:t>
            </w:r>
          </w:p>
          <w:p w14:paraId="1FBCD7CF">
            <w:pPr>
              <w:ind w:left="420"/>
              <w:rPr>
                <w:rFonts w:hint="eastAsia" w:ascii="宋体" w:hAnsi="宋体" w:eastAsia="宋体" w:cs="宋体"/>
                <w:sz w:val="28"/>
                <w:highlight w:val="none"/>
              </w:rPr>
            </w:pPr>
            <w:r>
              <w:rPr>
                <w:rFonts w:hint="eastAsia" w:ascii="宋体" w:hAnsi="宋体" w:eastAsia="宋体" w:cs="宋体"/>
                <w:sz w:val="28"/>
                <w:highlight w:val="none"/>
              </w:rPr>
              <w:t>4．成果提供形式</w:t>
            </w:r>
          </w:p>
          <w:p w14:paraId="5868B1B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w:t>
            </w:r>
            <w:r>
              <w:rPr>
                <w:rFonts w:hint="eastAsia" w:ascii="宋体" w:hAnsi="宋体" w:eastAsia="宋体" w:cs="宋体"/>
                <w:color w:val="FF0000"/>
                <w:sz w:val="24"/>
                <w:szCs w:val="22"/>
                <w:highlight w:val="none"/>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highlight w:val="none"/>
                <w:lang w:eastAsia="zh-CN"/>
              </w:rPr>
              <w:t>试验段及推广工程的规模数量、技术指南、</w:t>
            </w:r>
            <w:r>
              <w:rPr>
                <w:rFonts w:hint="eastAsia" w:ascii="宋体" w:hAnsi="宋体" w:eastAsia="宋体" w:cs="宋体"/>
                <w:color w:val="FF0000"/>
                <w:sz w:val="24"/>
                <w:szCs w:val="22"/>
                <w:highlight w:val="none"/>
                <w:lang w:val="en-US" w:eastAsia="zh-CN"/>
              </w:rPr>
              <w:t>标准规范、</w:t>
            </w:r>
            <w:r>
              <w:rPr>
                <w:rFonts w:hint="eastAsia" w:ascii="宋体" w:hAnsi="宋体" w:eastAsia="宋体" w:cs="宋体"/>
                <w:color w:val="FF0000"/>
                <w:sz w:val="24"/>
                <w:szCs w:val="22"/>
                <w:highlight w:val="none"/>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按照项目规模大小，应提供不少于1篇与成果密切相关的《中文核心期刊要目总览》论文，</w:t>
            </w:r>
            <w:r>
              <w:rPr>
                <w:rFonts w:hint="eastAsia" w:ascii="宋体" w:hAnsi="宋体" w:eastAsia="宋体" w:cs="宋体"/>
                <w:color w:val="FF0000"/>
                <w:sz w:val="24"/>
                <w:szCs w:val="22"/>
                <w:highlight w:val="none"/>
                <w:lang w:eastAsia="zh-CN"/>
              </w:rPr>
              <w:t>论文发表须注明：依托陕西交通科技项目及项目编号</w:t>
            </w:r>
            <w:r>
              <w:rPr>
                <w:rFonts w:hint="eastAsia" w:ascii="宋体" w:hAnsi="宋体" w:eastAsia="宋体" w:cs="宋体"/>
                <w:color w:val="FF0000"/>
                <w:sz w:val="24"/>
                <w:szCs w:val="22"/>
                <w:highlight w:val="none"/>
                <w:lang w:val="en-US" w:eastAsia="zh-CN"/>
              </w:rPr>
              <w:t>）</w:t>
            </w:r>
          </w:p>
          <w:p w14:paraId="439A9908">
            <w:pPr>
              <w:numPr>
                <w:ilvl w:val="0"/>
                <w:numId w:val="7"/>
              </w:numPr>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其他考核指标</w:t>
            </w:r>
          </w:p>
          <w:p w14:paraId="5D945F98">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应开展的媒体宣传报道不少于3次，</w:t>
            </w:r>
            <w:r>
              <w:rPr>
                <w:rFonts w:hint="eastAsia" w:ascii="宋体" w:hAnsi="宋体" w:eastAsia="宋体" w:cs="宋体"/>
                <w:color w:val="FF0000"/>
                <w:sz w:val="24"/>
                <w:szCs w:val="22"/>
                <w:highlight w:val="none"/>
                <w:lang w:eastAsia="zh-CN"/>
              </w:rPr>
              <w:t>技术交流</w:t>
            </w:r>
            <w:r>
              <w:rPr>
                <w:rFonts w:hint="eastAsia" w:ascii="宋体" w:hAnsi="宋体" w:eastAsia="宋体" w:cs="宋体"/>
                <w:color w:val="FF0000"/>
                <w:sz w:val="24"/>
                <w:szCs w:val="22"/>
                <w:highlight w:val="none"/>
                <w:lang w:val="en-US" w:eastAsia="zh-CN"/>
              </w:rPr>
              <w:t>不少于1次，</w:t>
            </w:r>
            <w:r>
              <w:rPr>
                <w:rFonts w:hint="eastAsia" w:ascii="宋体" w:hAnsi="宋体" w:eastAsia="宋体" w:cs="宋体"/>
                <w:color w:val="FF0000"/>
                <w:sz w:val="24"/>
                <w:szCs w:val="22"/>
                <w:highlight w:val="none"/>
                <w:lang w:eastAsia="zh-CN"/>
              </w:rPr>
              <w:t>不得填写培养研究生、博硕士）。</w:t>
            </w:r>
          </w:p>
          <w:p w14:paraId="28B683D0">
            <w:pPr>
              <w:rPr>
                <w:rFonts w:hint="eastAsia" w:ascii="宋体" w:hAnsi="宋体" w:eastAsia="宋体" w:cs="宋体"/>
                <w:sz w:val="28"/>
                <w:highlight w:val="none"/>
              </w:rPr>
            </w:pPr>
          </w:p>
          <w:p w14:paraId="5C682364">
            <w:pPr>
              <w:rPr>
                <w:rFonts w:hint="eastAsia" w:ascii="宋体" w:hAnsi="宋体" w:eastAsia="宋体" w:cs="宋体"/>
                <w:sz w:val="28"/>
                <w:highlight w:val="none"/>
              </w:rPr>
            </w:pPr>
          </w:p>
          <w:p w14:paraId="0A23B1D6">
            <w:pPr>
              <w:rPr>
                <w:rFonts w:hint="eastAsia" w:ascii="宋体" w:hAnsi="宋体" w:eastAsia="宋体" w:cs="宋体"/>
                <w:sz w:val="28"/>
                <w:highlight w:val="none"/>
              </w:rPr>
            </w:pPr>
          </w:p>
        </w:tc>
      </w:tr>
    </w:tbl>
    <w:p w14:paraId="78EDB11B">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highlight w:val="none"/>
              </w:rPr>
            </w:pPr>
            <w:r>
              <w:rPr>
                <w:rFonts w:hint="eastAsia" w:ascii="宋体" w:hAnsi="宋体" w:eastAsia="宋体" w:cs="宋体"/>
                <w:b/>
                <w:sz w:val="28"/>
                <w:highlight w:val="none"/>
              </w:rPr>
              <w:t>年度</w:t>
            </w:r>
          </w:p>
        </w:tc>
        <w:tc>
          <w:tcPr>
            <w:tcW w:w="6253" w:type="dxa"/>
            <w:noWrap w:val="0"/>
            <w:vAlign w:val="top"/>
          </w:tcPr>
          <w:p w14:paraId="6B627ECC">
            <w:pPr>
              <w:jc w:val="center"/>
              <w:rPr>
                <w:rFonts w:hint="eastAsia" w:ascii="宋体" w:hAnsi="宋体" w:eastAsia="宋体" w:cs="宋体"/>
                <w:b/>
                <w:sz w:val="28"/>
                <w:highlight w:val="none"/>
              </w:rPr>
            </w:pPr>
            <w:r>
              <w:rPr>
                <w:rFonts w:hint="eastAsia" w:ascii="宋体" w:hAnsi="宋体" w:eastAsia="宋体" w:cs="宋体"/>
                <w:b/>
                <w:sz w:val="28"/>
                <w:highlight w:val="none"/>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highlight w:val="none"/>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highlight w:val="none"/>
              </w:rPr>
            </w:pPr>
          </w:p>
        </w:tc>
        <w:tc>
          <w:tcPr>
            <w:tcW w:w="6253" w:type="dxa"/>
            <w:noWrap w:val="0"/>
            <w:vAlign w:val="top"/>
          </w:tcPr>
          <w:p w14:paraId="5ED62650">
            <w:pPr>
              <w:rPr>
                <w:rFonts w:hint="eastAsia" w:ascii="宋体" w:hAnsi="宋体" w:eastAsia="宋体" w:cs="宋体"/>
                <w:sz w:val="28"/>
                <w:highlight w:val="none"/>
              </w:rPr>
            </w:pPr>
            <w:r>
              <w:rPr>
                <w:rFonts w:hint="eastAsia" w:ascii="宋体" w:hAnsi="宋体" w:eastAsia="宋体" w:cs="宋体"/>
                <w:sz w:val="28"/>
                <w:highlight w:val="none"/>
              </w:rPr>
              <w:t>1．</w:t>
            </w:r>
          </w:p>
          <w:p w14:paraId="2E7787B8">
            <w:pPr>
              <w:rPr>
                <w:rFonts w:hint="eastAsia" w:ascii="宋体" w:hAnsi="宋体" w:eastAsia="宋体" w:cs="宋体"/>
                <w:sz w:val="28"/>
                <w:highlight w:val="none"/>
              </w:rPr>
            </w:pPr>
            <w:r>
              <w:rPr>
                <w:rFonts w:hint="eastAsia" w:ascii="宋体" w:hAnsi="宋体" w:eastAsia="宋体" w:cs="宋体"/>
                <w:sz w:val="28"/>
                <w:highlight w:val="none"/>
              </w:rPr>
              <w:t>2．</w:t>
            </w:r>
          </w:p>
          <w:p w14:paraId="06935CDC">
            <w:pPr>
              <w:rPr>
                <w:rFonts w:hint="eastAsia" w:ascii="宋体" w:hAnsi="宋体" w:eastAsia="宋体" w:cs="宋体"/>
                <w:highlight w:val="none"/>
              </w:rPr>
            </w:pPr>
            <w:r>
              <w:rPr>
                <w:rFonts w:hint="eastAsia" w:ascii="宋体" w:hAnsi="宋体" w:eastAsia="宋体" w:cs="宋体"/>
                <w:sz w:val="28"/>
                <w:highlight w:val="none"/>
              </w:rPr>
              <w:t>3．</w:t>
            </w:r>
            <w:r>
              <w:rPr>
                <w:rFonts w:hint="eastAsia" w:ascii="宋体" w:hAnsi="宋体" w:eastAsia="宋体" w:cs="宋体"/>
                <w:highlight w:val="none"/>
              </w:rPr>
              <w:t xml:space="preserve"> </w:t>
            </w:r>
          </w:p>
          <w:p w14:paraId="2A3A588A">
            <w:pPr>
              <w:rPr>
                <w:rFonts w:hint="eastAsia" w:ascii="宋体" w:hAnsi="宋体" w:eastAsia="宋体" w:cs="宋体"/>
                <w:sz w:val="28"/>
                <w:highlight w:val="none"/>
              </w:rPr>
            </w:pPr>
            <w:r>
              <w:rPr>
                <w:rFonts w:hint="eastAsia" w:ascii="宋体" w:hAnsi="宋体" w:eastAsia="宋体" w:cs="宋体"/>
                <w:sz w:val="30"/>
                <w:highlight w:val="none"/>
              </w:rPr>
              <w:t>4</w:t>
            </w:r>
            <w:r>
              <w:rPr>
                <w:rFonts w:hint="eastAsia" w:ascii="宋体" w:hAnsi="宋体" w:eastAsia="宋体" w:cs="宋体"/>
                <w:sz w:val="28"/>
                <w:highlight w:val="none"/>
              </w:rPr>
              <w:t>．</w:t>
            </w:r>
          </w:p>
          <w:p w14:paraId="4D10D35D">
            <w:pPr>
              <w:rPr>
                <w:rFonts w:hint="eastAsia" w:ascii="宋体" w:hAnsi="宋体" w:eastAsia="宋体" w:cs="宋体"/>
                <w:sz w:val="28"/>
                <w:highlight w:val="none"/>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highlight w:val="none"/>
              </w:rPr>
            </w:pPr>
          </w:p>
        </w:tc>
        <w:tc>
          <w:tcPr>
            <w:tcW w:w="6253" w:type="dxa"/>
            <w:noWrap w:val="0"/>
            <w:vAlign w:val="top"/>
          </w:tcPr>
          <w:p w14:paraId="5480F755">
            <w:pPr>
              <w:rPr>
                <w:rFonts w:hint="eastAsia" w:ascii="宋体" w:hAnsi="宋体" w:eastAsia="宋体" w:cs="宋体"/>
                <w:sz w:val="28"/>
                <w:highlight w:val="none"/>
              </w:rPr>
            </w:pPr>
          </w:p>
        </w:tc>
      </w:tr>
    </w:tbl>
    <w:p w14:paraId="49C06C9A">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四、项目经费</w:t>
      </w:r>
    </w:p>
    <w:p w14:paraId="78DC2BD8">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项目总经费：                 万元</w:t>
      </w:r>
    </w:p>
    <w:p w14:paraId="76D8FEAC">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交通运输厅补助：             万元</w:t>
      </w:r>
    </w:p>
    <w:p w14:paraId="41F16F8A">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自筹</w:t>
      </w:r>
      <w:r>
        <w:rPr>
          <w:rFonts w:hint="eastAsia" w:ascii="宋体" w:hAnsi="宋体" w:eastAsia="宋体" w:cs="宋体"/>
          <w:sz w:val="28"/>
          <w:szCs w:val="28"/>
          <w:highlight w:val="none"/>
          <w:lang w:val="en-US" w:eastAsia="zh-CN"/>
        </w:rPr>
        <w:t>资金</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万元</w:t>
      </w:r>
    </w:p>
    <w:p w14:paraId="6EE10010">
      <w:pPr>
        <w:autoSpaceDE w:val="0"/>
        <w:autoSpaceDN w:val="0"/>
        <w:spacing w:line="30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总经费</w:t>
            </w:r>
          </w:p>
          <w:p w14:paraId="7E3E89EB">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厅补经费</w:t>
            </w:r>
          </w:p>
          <w:p w14:paraId="1BFB2FC0">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highlight w:val="none"/>
              </w:rPr>
            </w:pPr>
          </w:p>
        </w:tc>
        <w:tc>
          <w:tcPr>
            <w:tcW w:w="2178" w:type="dxa"/>
            <w:noWrap w:val="0"/>
            <w:vAlign w:val="center"/>
          </w:tcPr>
          <w:p w14:paraId="79AF47EC">
            <w:pPr>
              <w:pStyle w:val="100"/>
              <w:spacing w:line="300" w:lineRule="auto"/>
              <w:rPr>
                <w:rFonts w:hint="eastAsia" w:ascii="宋体" w:hAnsi="宋体" w:eastAsia="宋体" w:cs="宋体"/>
                <w:sz w:val="24"/>
                <w:szCs w:val="24"/>
                <w:highlight w:val="none"/>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1.设备费</w:t>
            </w:r>
          </w:p>
        </w:tc>
        <w:tc>
          <w:tcPr>
            <w:tcW w:w="1806" w:type="dxa"/>
            <w:noWrap w:val="0"/>
            <w:vAlign w:val="center"/>
          </w:tcPr>
          <w:p w14:paraId="5829C6DF">
            <w:pPr>
              <w:pStyle w:val="100"/>
              <w:spacing w:line="300" w:lineRule="auto"/>
              <w:rPr>
                <w:rFonts w:hint="eastAsia" w:ascii="宋体" w:hAnsi="宋体" w:eastAsia="宋体" w:cs="宋体"/>
                <w:sz w:val="24"/>
                <w:szCs w:val="24"/>
                <w:highlight w:val="none"/>
              </w:rPr>
            </w:pPr>
          </w:p>
        </w:tc>
        <w:tc>
          <w:tcPr>
            <w:tcW w:w="2178" w:type="dxa"/>
            <w:noWrap w:val="0"/>
            <w:vAlign w:val="center"/>
          </w:tcPr>
          <w:p w14:paraId="6D9240E4">
            <w:pPr>
              <w:pStyle w:val="100"/>
              <w:spacing w:line="300" w:lineRule="auto"/>
              <w:rPr>
                <w:rFonts w:hint="eastAsia" w:ascii="宋体" w:hAnsi="宋体" w:eastAsia="宋体" w:cs="宋体"/>
                <w:sz w:val="24"/>
                <w:szCs w:val="24"/>
                <w:highlight w:val="none"/>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highlight w:val="none"/>
              </w:rPr>
            </w:pPr>
          </w:p>
        </w:tc>
        <w:tc>
          <w:tcPr>
            <w:tcW w:w="2178" w:type="dxa"/>
            <w:noWrap w:val="0"/>
            <w:vAlign w:val="center"/>
          </w:tcPr>
          <w:p w14:paraId="2FFAFAF7">
            <w:pPr>
              <w:pStyle w:val="100"/>
              <w:spacing w:line="300" w:lineRule="auto"/>
              <w:rPr>
                <w:rFonts w:hint="eastAsia" w:ascii="宋体" w:hAnsi="宋体" w:eastAsia="宋体" w:cs="宋体"/>
                <w:sz w:val="24"/>
                <w:szCs w:val="24"/>
                <w:highlight w:val="none"/>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highlight w:val="none"/>
              </w:rPr>
            </w:pPr>
          </w:p>
        </w:tc>
        <w:tc>
          <w:tcPr>
            <w:tcW w:w="2178" w:type="dxa"/>
            <w:noWrap w:val="0"/>
            <w:vAlign w:val="center"/>
          </w:tcPr>
          <w:p w14:paraId="43A431F3">
            <w:pPr>
              <w:pStyle w:val="100"/>
              <w:spacing w:line="300" w:lineRule="auto"/>
              <w:rPr>
                <w:rFonts w:hint="eastAsia" w:ascii="宋体" w:hAnsi="宋体" w:eastAsia="宋体" w:cs="宋体"/>
                <w:sz w:val="24"/>
                <w:szCs w:val="24"/>
                <w:highlight w:val="none"/>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highlight w:val="none"/>
              </w:rPr>
            </w:pPr>
          </w:p>
        </w:tc>
        <w:tc>
          <w:tcPr>
            <w:tcW w:w="2178" w:type="dxa"/>
            <w:noWrap w:val="0"/>
            <w:vAlign w:val="center"/>
          </w:tcPr>
          <w:p w14:paraId="0AA24893">
            <w:pPr>
              <w:pStyle w:val="100"/>
              <w:spacing w:line="300" w:lineRule="auto"/>
              <w:rPr>
                <w:rFonts w:hint="eastAsia" w:ascii="宋体" w:hAnsi="宋体" w:eastAsia="宋体" w:cs="宋体"/>
                <w:sz w:val="24"/>
                <w:szCs w:val="24"/>
                <w:highlight w:val="none"/>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2.业务费</w:t>
            </w:r>
          </w:p>
        </w:tc>
        <w:tc>
          <w:tcPr>
            <w:tcW w:w="1806" w:type="dxa"/>
            <w:noWrap w:val="0"/>
            <w:vAlign w:val="center"/>
          </w:tcPr>
          <w:p w14:paraId="1EA8C58F">
            <w:pPr>
              <w:pStyle w:val="100"/>
              <w:spacing w:line="300" w:lineRule="auto"/>
              <w:rPr>
                <w:rFonts w:hint="eastAsia" w:ascii="宋体" w:hAnsi="宋体" w:eastAsia="宋体" w:cs="宋体"/>
                <w:sz w:val="24"/>
                <w:szCs w:val="24"/>
                <w:highlight w:val="none"/>
              </w:rPr>
            </w:pPr>
          </w:p>
        </w:tc>
        <w:tc>
          <w:tcPr>
            <w:tcW w:w="2178" w:type="dxa"/>
            <w:noWrap w:val="0"/>
            <w:vAlign w:val="center"/>
          </w:tcPr>
          <w:p w14:paraId="04859B6A">
            <w:pPr>
              <w:pStyle w:val="100"/>
              <w:spacing w:line="300" w:lineRule="auto"/>
              <w:rPr>
                <w:rFonts w:hint="eastAsia" w:ascii="宋体" w:hAnsi="宋体" w:eastAsia="宋体" w:cs="宋体"/>
                <w:sz w:val="24"/>
                <w:szCs w:val="24"/>
                <w:highlight w:val="none"/>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highlight w:val="none"/>
              </w:rPr>
            </w:pPr>
          </w:p>
        </w:tc>
        <w:tc>
          <w:tcPr>
            <w:tcW w:w="2178" w:type="dxa"/>
            <w:noWrap w:val="0"/>
            <w:vAlign w:val="center"/>
          </w:tcPr>
          <w:p w14:paraId="605026A2">
            <w:pPr>
              <w:pStyle w:val="100"/>
              <w:spacing w:line="300" w:lineRule="auto"/>
              <w:rPr>
                <w:rFonts w:hint="eastAsia" w:ascii="宋体" w:hAnsi="宋体" w:eastAsia="宋体" w:cs="宋体"/>
                <w:sz w:val="24"/>
                <w:szCs w:val="24"/>
                <w:highlight w:val="none"/>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highlight w:val="none"/>
              </w:rPr>
            </w:pPr>
          </w:p>
        </w:tc>
        <w:tc>
          <w:tcPr>
            <w:tcW w:w="2178" w:type="dxa"/>
            <w:noWrap w:val="0"/>
            <w:vAlign w:val="center"/>
          </w:tcPr>
          <w:p w14:paraId="0F553313">
            <w:pPr>
              <w:pStyle w:val="100"/>
              <w:spacing w:line="300" w:lineRule="auto"/>
              <w:rPr>
                <w:rFonts w:hint="eastAsia" w:ascii="宋体" w:hAnsi="宋体" w:eastAsia="宋体" w:cs="宋体"/>
                <w:sz w:val="24"/>
                <w:szCs w:val="24"/>
                <w:highlight w:val="none"/>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highlight w:val="none"/>
              </w:rPr>
            </w:pPr>
          </w:p>
        </w:tc>
        <w:tc>
          <w:tcPr>
            <w:tcW w:w="2178" w:type="dxa"/>
            <w:noWrap w:val="0"/>
            <w:vAlign w:val="center"/>
          </w:tcPr>
          <w:p w14:paraId="403F3C74">
            <w:pPr>
              <w:pStyle w:val="100"/>
              <w:spacing w:line="300" w:lineRule="auto"/>
              <w:rPr>
                <w:rFonts w:hint="eastAsia" w:ascii="宋体" w:hAnsi="宋体" w:eastAsia="宋体" w:cs="宋体"/>
                <w:sz w:val="24"/>
                <w:szCs w:val="24"/>
                <w:highlight w:val="none"/>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highlight w:val="none"/>
              </w:rPr>
            </w:pPr>
          </w:p>
        </w:tc>
        <w:tc>
          <w:tcPr>
            <w:tcW w:w="2178" w:type="dxa"/>
            <w:noWrap w:val="0"/>
            <w:vAlign w:val="center"/>
          </w:tcPr>
          <w:p w14:paraId="3372D81E">
            <w:pPr>
              <w:pStyle w:val="100"/>
              <w:spacing w:line="300" w:lineRule="auto"/>
              <w:rPr>
                <w:rFonts w:hint="eastAsia" w:ascii="宋体" w:hAnsi="宋体" w:eastAsia="宋体" w:cs="宋体"/>
                <w:sz w:val="24"/>
                <w:szCs w:val="24"/>
                <w:highlight w:val="none"/>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highlight w:val="none"/>
              </w:rPr>
            </w:pPr>
          </w:p>
        </w:tc>
        <w:tc>
          <w:tcPr>
            <w:tcW w:w="2178" w:type="dxa"/>
            <w:noWrap w:val="0"/>
            <w:vAlign w:val="center"/>
          </w:tcPr>
          <w:p w14:paraId="49AA6BCD">
            <w:pPr>
              <w:pStyle w:val="100"/>
              <w:spacing w:line="300" w:lineRule="auto"/>
              <w:rPr>
                <w:rFonts w:hint="eastAsia" w:ascii="宋体" w:hAnsi="宋体" w:eastAsia="宋体" w:cs="宋体"/>
                <w:sz w:val="24"/>
                <w:szCs w:val="24"/>
                <w:highlight w:val="none"/>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highlight w:val="none"/>
              </w:rPr>
            </w:pPr>
          </w:p>
        </w:tc>
        <w:tc>
          <w:tcPr>
            <w:tcW w:w="2178" w:type="dxa"/>
            <w:noWrap w:val="0"/>
            <w:vAlign w:val="center"/>
          </w:tcPr>
          <w:p w14:paraId="523BEBE3">
            <w:pPr>
              <w:pStyle w:val="100"/>
              <w:spacing w:line="300" w:lineRule="auto"/>
              <w:rPr>
                <w:rFonts w:hint="eastAsia" w:ascii="宋体" w:hAnsi="宋体" w:eastAsia="宋体" w:cs="宋体"/>
                <w:sz w:val="24"/>
                <w:szCs w:val="24"/>
                <w:highlight w:val="none"/>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highlight w:val="none"/>
              </w:rPr>
            </w:pPr>
          </w:p>
        </w:tc>
        <w:tc>
          <w:tcPr>
            <w:tcW w:w="2178" w:type="dxa"/>
            <w:noWrap w:val="0"/>
            <w:vAlign w:val="center"/>
          </w:tcPr>
          <w:p w14:paraId="7120989E">
            <w:pPr>
              <w:pStyle w:val="100"/>
              <w:spacing w:line="300" w:lineRule="auto"/>
              <w:rPr>
                <w:rFonts w:hint="eastAsia" w:ascii="宋体" w:hAnsi="宋体" w:eastAsia="宋体" w:cs="宋体"/>
                <w:sz w:val="24"/>
                <w:szCs w:val="24"/>
                <w:highlight w:val="none"/>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highlight w:val="none"/>
              </w:rPr>
            </w:pPr>
          </w:p>
        </w:tc>
        <w:tc>
          <w:tcPr>
            <w:tcW w:w="2178" w:type="dxa"/>
            <w:noWrap w:val="0"/>
            <w:vAlign w:val="center"/>
          </w:tcPr>
          <w:p w14:paraId="34F46827">
            <w:pPr>
              <w:pStyle w:val="100"/>
              <w:spacing w:line="300" w:lineRule="auto"/>
              <w:rPr>
                <w:rFonts w:hint="eastAsia" w:ascii="宋体" w:hAnsi="宋体" w:eastAsia="宋体" w:cs="宋体"/>
                <w:sz w:val="24"/>
                <w:szCs w:val="24"/>
                <w:highlight w:val="none"/>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highlight w:val="none"/>
              </w:rPr>
            </w:pPr>
          </w:p>
        </w:tc>
        <w:tc>
          <w:tcPr>
            <w:tcW w:w="2178" w:type="dxa"/>
            <w:noWrap w:val="0"/>
            <w:vAlign w:val="center"/>
          </w:tcPr>
          <w:p w14:paraId="66D7B337">
            <w:pPr>
              <w:pStyle w:val="100"/>
              <w:spacing w:line="300" w:lineRule="auto"/>
              <w:rPr>
                <w:rFonts w:hint="eastAsia" w:ascii="宋体" w:hAnsi="宋体" w:eastAsia="宋体" w:cs="宋体"/>
                <w:sz w:val="24"/>
                <w:szCs w:val="24"/>
                <w:highlight w:val="none"/>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highlight w:val="none"/>
              </w:rPr>
            </w:pPr>
          </w:p>
        </w:tc>
        <w:tc>
          <w:tcPr>
            <w:tcW w:w="2178" w:type="dxa"/>
            <w:noWrap w:val="0"/>
            <w:vAlign w:val="center"/>
          </w:tcPr>
          <w:p w14:paraId="766D5EDF">
            <w:pPr>
              <w:pStyle w:val="100"/>
              <w:spacing w:line="300" w:lineRule="auto"/>
              <w:rPr>
                <w:rFonts w:hint="eastAsia" w:ascii="宋体" w:hAnsi="宋体" w:eastAsia="宋体" w:cs="宋体"/>
                <w:sz w:val="24"/>
                <w:szCs w:val="24"/>
                <w:highlight w:val="none"/>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highlight w:val="none"/>
              </w:rPr>
            </w:pPr>
          </w:p>
        </w:tc>
        <w:tc>
          <w:tcPr>
            <w:tcW w:w="2178" w:type="dxa"/>
            <w:noWrap w:val="0"/>
            <w:vAlign w:val="center"/>
          </w:tcPr>
          <w:p w14:paraId="64B082D8">
            <w:pPr>
              <w:pStyle w:val="100"/>
              <w:spacing w:line="300" w:lineRule="auto"/>
              <w:rPr>
                <w:rFonts w:hint="eastAsia" w:ascii="宋体" w:hAnsi="宋体" w:eastAsia="宋体" w:cs="宋体"/>
                <w:sz w:val="24"/>
                <w:szCs w:val="24"/>
                <w:highlight w:val="none"/>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highlight w:val="none"/>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highlight w:val="none"/>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highlight w:val="none"/>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highlight w:val="none"/>
              </w:rPr>
            </w:pPr>
          </w:p>
        </w:tc>
      </w:tr>
    </w:tbl>
    <w:p w14:paraId="0A4068F8">
      <w:pPr>
        <w:pStyle w:val="11"/>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预算编制按照《陕西省人民政府</w:t>
      </w:r>
      <w:r>
        <w:rPr>
          <w:rFonts w:hint="eastAsia" w:ascii="宋体" w:hAnsi="宋体" w:eastAsia="宋体" w:cs="宋体"/>
          <w:color w:val="FF0000"/>
          <w:sz w:val="24"/>
          <w:szCs w:val="22"/>
          <w:highlight w:val="none"/>
          <w:lang w:val="en-US" w:eastAsia="zh-CN"/>
        </w:rPr>
        <w:t>办公厅</w:t>
      </w:r>
      <w:r>
        <w:rPr>
          <w:rFonts w:hint="eastAsia" w:ascii="宋体" w:hAnsi="宋体" w:eastAsia="宋体" w:cs="宋体"/>
          <w:color w:val="FF0000"/>
          <w:sz w:val="24"/>
          <w:szCs w:val="22"/>
          <w:highlight w:val="none"/>
          <w:lang w:eastAsia="zh-CN"/>
        </w:rPr>
        <w:t>关于</w:t>
      </w:r>
      <w:r>
        <w:rPr>
          <w:rFonts w:hint="eastAsia" w:ascii="宋体" w:hAnsi="宋体" w:eastAsia="宋体" w:cs="宋体"/>
          <w:color w:val="FF0000"/>
          <w:sz w:val="24"/>
          <w:szCs w:val="22"/>
          <w:highlight w:val="none"/>
          <w:lang w:val="en-US" w:eastAsia="zh-CN"/>
        </w:rPr>
        <w:t>改革完善省级财政科研经费管理的</w:t>
      </w:r>
      <w:r>
        <w:rPr>
          <w:rFonts w:hint="eastAsia" w:ascii="宋体" w:hAnsi="宋体" w:eastAsia="宋体" w:cs="宋体"/>
          <w:color w:val="FF0000"/>
          <w:sz w:val="24"/>
          <w:szCs w:val="22"/>
          <w:highlight w:val="none"/>
          <w:lang w:eastAsia="zh-CN"/>
        </w:rPr>
        <w:t>实施意见》（陕政</w:t>
      </w:r>
      <w:r>
        <w:rPr>
          <w:rFonts w:hint="eastAsia" w:ascii="宋体" w:hAnsi="宋体" w:eastAsia="宋体" w:cs="宋体"/>
          <w:color w:val="FF0000"/>
          <w:sz w:val="24"/>
          <w:szCs w:val="22"/>
          <w:highlight w:val="none"/>
          <w:lang w:val="en-US" w:eastAsia="zh-CN"/>
        </w:rPr>
        <w:t>办</w:t>
      </w:r>
      <w:r>
        <w:rPr>
          <w:rFonts w:hint="eastAsia" w:ascii="宋体" w:hAnsi="宋体" w:eastAsia="宋体" w:cs="宋体"/>
          <w:color w:val="FF0000"/>
          <w:sz w:val="24"/>
          <w:szCs w:val="22"/>
          <w:highlight w:val="none"/>
          <w:lang w:eastAsia="zh-CN"/>
        </w:rPr>
        <w:t>发</w:t>
      </w:r>
      <w:r>
        <w:rPr>
          <w:rFonts w:hint="eastAsia" w:ascii="宋体" w:hAnsi="宋体" w:eastAsia="宋体" w:cs="宋体"/>
          <w:color w:val="FF0000"/>
          <w:sz w:val="24"/>
          <w:szCs w:val="22"/>
          <w:highlight w:val="none"/>
          <w:lang w:val="en-US" w:eastAsia="zh-CN"/>
        </w:rPr>
        <w:t>[2022]3号</w:t>
      </w:r>
      <w:r>
        <w:rPr>
          <w:rFonts w:hint="eastAsia" w:ascii="宋体" w:hAnsi="宋体" w:eastAsia="宋体" w:cs="宋体"/>
          <w:color w:val="FF0000"/>
          <w:sz w:val="24"/>
          <w:szCs w:val="22"/>
          <w:highlight w:val="none"/>
          <w:lang w:eastAsia="zh-CN"/>
        </w:rPr>
        <w:t>）文件执行。项目验收将组织财务专项验收或审计。</w:t>
      </w:r>
    </w:p>
    <w:p w14:paraId="79B2AE24">
      <w:pPr>
        <w:numPr>
          <w:ilvl w:val="0"/>
          <w:numId w:val="8"/>
        </w:numPr>
        <w:spacing w:line="360" w:lineRule="auto"/>
        <w:rPr>
          <w:rFonts w:hint="eastAsia" w:ascii="宋体" w:hAnsi="宋体" w:eastAsia="宋体" w:cs="宋体"/>
          <w:b/>
          <w:sz w:val="32"/>
          <w:highlight w:val="none"/>
          <w:lang w:val="en-US"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highlight w:val="none"/>
                <w:lang w:val="en-US" w:eastAsia="zh-CN"/>
              </w:rPr>
            </w:pPr>
            <w:r>
              <w:rPr>
                <w:rFonts w:hint="eastAsia" w:ascii="宋体" w:hAnsi="宋体" w:eastAsia="宋体" w:cs="宋体"/>
                <w:b/>
                <w:bCs w:val="0"/>
                <w:i w:val="0"/>
                <w:iCs w:val="0"/>
                <w:color w:val="000000"/>
                <w:spacing w:val="0"/>
                <w:sz w:val="20"/>
                <w:szCs w:val="20"/>
                <w:highlight w:val="none"/>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1、专利授权数（项）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highlight w:val="none"/>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（1）授权发明专利</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highlight w:val="none"/>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（2）实用新型</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highlight w:val="none"/>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（3）外观设计</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highlight w:val="none"/>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2、软件著作权授权数（项）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highlight w:val="none"/>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3、发表论文（篇）</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highlight w:val="none"/>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（1）其中SCI索引收录数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highlight w:val="none"/>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（2）其中EI索引收录数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highlight w:val="none"/>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（3）其它</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highlight w:val="none"/>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4、著作（部）</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highlight w:val="none"/>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5、制订标准数（项）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highlight w:val="none"/>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highlight w:val="none"/>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highlight w:val="none"/>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（3）行业标准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highlight w:val="none"/>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（4）地方标准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highlight w:val="none"/>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（5）企业标准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highlight w:val="none"/>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（6）科技报告</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highlight w:val="none"/>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1、填补技术空白数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highlight w:val="none"/>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highlight w:val="none"/>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highlight w:val="none"/>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（3）省级</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highlight w:val="none"/>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2、获奖项数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highlight w:val="none"/>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（1）国家奖项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highlight w:val="none"/>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（2）部、省奖项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highlight w:val="none"/>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（3）地市级奖项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highlight w:val="none"/>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3、其他科技成果产出</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highlight w:val="none"/>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（1）新工艺（或新方法模式）</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highlight w:val="none"/>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（2）新产品（含农业新品种）</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highlight w:val="none"/>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（3）新材料</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highlight w:val="none"/>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（4）新装备（装置）</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highlight w:val="none"/>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（5）平台/基地/示范点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highlight w:val="none"/>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（6）中试线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highlight w:val="none"/>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（7）生产线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highlight w:val="none"/>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4、研究开发情况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highlight w:val="none"/>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（1）小试</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（2）中试（样品样机）</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（3）小批量</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（4）规模化生产</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1、引进高层次人才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highlight w:val="none"/>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highlight w:val="none"/>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highlight w:val="none"/>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2、培养高层次人才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highlight w:val="none"/>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highlight w:val="none"/>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highlight w:val="none"/>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3、培训从事技术创新服务人员（人次）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highlight w:val="none"/>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4、是否设立科研助理岗位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1、开放共享仪器设备数（台/套/只等）</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highlight w:val="none"/>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2、科研仪器设备利用率（%）</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highlight w:val="none"/>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3、孵化科技型企业（个）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highlight w:val="none"/>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4、转化科技成果（个）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highlight w:val="none"/>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1、新增产值（万元）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highlight w:val="none"/>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2、新增销售（万元）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highlight w:val="none"/>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3、新增出口创汇（万美元）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highlight w:val="none"/>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4、新增利润（万元）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highlight w:val="none"/>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1、新增税收（万元）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highlight w:val="none"/>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2、新增就业人数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highlight w:val="none"/>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3、就业培训（人次）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highlight w:val="none"/>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4、带动农民增收（万元）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highlight w:val="none"/>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5、培训和指导科技服务（人次）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highlight w:val="none"/>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6、新增产业带动情况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16"/>
                <w:szCs w:val="0"/>
                <w:highlight w:val="none"/>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7、技术集成示范（项）</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highlight w:val="none"/>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8、建立示范基地（亩数）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highlight w:val="none"/>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9、节约资源能源</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highlight w:val="none"/>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10、环保效益</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highlight w:val="none"/>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11"/>
                <w:sz w:val="20"/>
                <w:szCs w:val="20"/>
                <w:highlight w:val="none"/>
                <w:u w:val="none"/>
              </w:rPr>
              <w:t>其他需要说明的情况</w:t>
            </w:r>
            <w:r>
              <w:rPr>
                <w:rFonts w:hint="eastAsia" w:ascii="宋体" w:hAnsi="宋体" w:eastAsia="宋体" w:cs="宋体"/>
                <w:b w:val="0"/>
                <w:bCs w:val="0"/>
                <w:i w:val="0"/>
                <w:iCs w:val="0"/>
                <w:color w:val="000000"/>
                <w:spacing w:val="-11"/>
                <w:sz w:val="16"/>
                <w:szCs w:val="0"/>
                <w:highlight w:val="none"/>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highlight w:val="none"/>
              </w:rPr>
            </w:pPr>
          </w:p>
        </w:tc>
      </w:tr>
    </w:tbl>
    <w:p w14:paraId="75B14823">
      <w:pPr>
        <w:numPr>
          <w:ilvl w:val="0"/>
          <w:numId w:val="8"/>
        </w:num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注：主要描述参与单位或研究团队的分工安排</w:t>
            </w:r>
          </w:p>
          <w:p w14:paraId="44EE2E4D">
            <w:pPr>
              <w:rPr>
                <w:rFonts w:hint="eastAsia" w:ascii="宋体" w:hAnsi="宋体" w:eastAsia="宋体" w:cs="宋体"/>
                <w:sz w:val="28"/>
                <w:highlight w:val="none"/>
              </w:rPr>
            </w:pPr>
          </w:p>
        </w:tc>
      </w:tr>
    </w:tbl>
    <w:p w14:paraId="17594650">
      <w:pPr>
        <w:rPr>
          <w:rFonts w:hint="eastAsia" w:ascii="宋体" w:hAnsi="宋体" w:eastAsia="宋体" w:cs="宋体"/>
          <w:sz w:val="28"/>
          <w:highlight w:val="none"/>
        </w:rPr>
      </w:pPr>
    </w:p>
    <w:p w14:paraId="276A0066">
      <w:pPr>
        <w:rPr>
          <w:rFonts w:hint="eastAsia" w:ascii="宋体" w:hAnsi="宋体" w:eastAsia="宋体" w:cs="宋体"/>
          <w:b/>
          <w:sz w:val="30"/>
          <w:szCs w:val="30"/>
          <w:highlight w:val="none"/>
        </w:rPr>
        <w:sectPr>
          <w:footerReference r:id="rId13"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项目承担单位：</w:t>
            </w:r>
          </w:p>
          <w:p w14:paraId="3390FB31">
            <w:pPr>
              <w:snapToGrid w:val="0"/>
              <w:spacing w:before="80" w:line="264" w:lineRule="auto"/>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rPr>
              <w:t>单位（排序）：</w:t>
            </w:r>
          </w:p>
          <w:p w14:paraId="10943304">
            <w:pPr>
              <w:snapToGrid w:val="0"/>
              <w:spacing w:before="80" w:line="264" w:lineRule="auto"/>
              <w:rPr>
                <w:rFonts w:hint="eastAsia" w:ascii="宋体" w:hAnsi="宋体" w:eastAsia="宋体" w:cs="宋体"/>
                <w:sz w:val="28"/>
                <w:szCs w:val="28"/>
                <w:highlight w:val="none"/>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w:t>
            </w:r>
          </w:p>
          <w:p w14:paraId="1793E1F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出生</w:t>
            </w:r>
          </w:p>
          <w:p w14:paraId="03720EE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354" w:type="dxa"/>
            <w:noWrap w:val="0"/>
            <w:vAlign w:val="top"/>
          </w:tcPr>
          <w:p w14:paraId="275E52D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17EF99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8ACA5A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4034B0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73AA151E">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ABA7DD3">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highlight w:val="none"/>
              </w:rPr>
            </w:pPr>
            <w:r>
              <w:rPr>
                <w:rFonts w:hint="eastAsia" w:ascii="宋体" w:hAnsi="宋体" w:eastAsia="宋体" w:cs="宋体"/>
                <w:color w:val="FF0000"/>
                <w:sz w:val="18"/>
                <w:szCs w:val="21"/>
                <w:highlight w:val="none"/>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主要研究人员（</w:t>
            </w:r>
            <w:r>
              <w:rPr>
                <w:rFonts w:hint="eastAsia" w:ascii="宋体" w:hAnsi="宋体" w:eastAsia="宋体" w:cs="宋体"/>
                <w:color w:val="FF0000"/>
                <w:sz w:val="28"/>
                <w:szCs w:val="28"/>
                <w:highlight w:val="none"/>
              </w:rPr>
              <w:t>注：</w:t>
            </w:r>
            <w:r>
              <w:rPr>
                <w:rFonts w:hint="eastAsia" w:ascii="宋体" w:hAnsi="宋体" w:eastAsia="宋体" w:cs="宋体"/>
                <w:color w:val="FF0000"/>
                <w:sz w:val="28"/>
                <w:szCs w:val="28"/>
                <w:highlight w:val="none"/>
                <w:lang w:val="en-US" w:eastAsia="zh-CN"/>
              </w:rPr>
              <w:t>一般项目</w:t>
            </w:r>
            <w:r>
              <w:rPr>
                <w:rFonts w:hint="eastAsia" w:ascii="宋体" w:hAnsi="宋体" w:eastAsia="宋体" w:cs="宋体"/>
                <w:color w:val="FF0000"/>
                <w:sz w:val="28"/>
                <w:szCs w:val="28"/>
                <w:highlight w:val="none"/>
              </w:rPr>
              <w:t>不超过15人</w:t>
            </w:r>
            <w:r>
              <w:rPr>
                <w:rFonts w:hint="eastAsia" w:ascii="宋体" w:hAnsi="宋体" w:eastAsia="宋体" w:cs="宋体"/>
                <w:sz w:val="28"/>
                <w:szCs w:val="28"/>
                <w:highlight w:val="none"/>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354" w:type="dxa"/>
            <w:noWrap w:val="0"/>
            <w:vAlign w:val="top"/>
          </w:tcPr>
          <w:p w14:paraId="5B241B83">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C89349">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4DD774D">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18566024">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69F118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28A7654">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354" w:type="dxa"/>
            <w:noWrap w:val="0"/>
            <w:vAlign w:val="top"/>
          </w:tcPr>
          <w:p w14:paraId="0D24775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0C616FF">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175CA691">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0E747C3">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5ABDFA1">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12FC141">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354" w:type="dxa"/>
            <w:noWrap w:val="0"/>
            <w:vAlign w:val="top"/>
          </w:tcPr>
          <w:p w14:paraId="435FCB0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9C81BA5">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E80800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D876769">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F4F4CB6">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3AE14DA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354" w:type="dxa"/>
            <w:noWrap w:val="0"/>
            <w:vAlign w:val="top"/>
          </w:tcPr>
          <w:p w14:paraId="0D4CB90C">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45916ED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5B7F6407">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58AD9EC">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41C7DB82">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F6DEEF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354" w:type="dxa"/>
            <w:noWrap w:val="0"/>
            <w:vAlign w:val="top"/>
          </w:tcPr>
          <w:p w14:paraId="676428E5">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7137BE6">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7672361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72AED4C0">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0361DDA">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0CFCFFE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354" w:type="dxa"/>
            <w:noWrap w:val="0"/>
            <w:vAlign w:val="top"/>
          </w:tcPr>
          <w:p w14:paraId="3228C126">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14E44923">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2C026F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DD9E3BA">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6B164D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0C4451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354" w:type="dxa"/>
            <w:noWrap w:val="0"/>
            <w:vAlign w:val="top"/>
          </w:tcPr>
          <w:p w14:paraId="03C19B2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67162C">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72C8E5B">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7D698F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EDDDC79">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7C057FB">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bl>
    <w:p w14:paraId="0C02E0CD">
      <w:pPr>
        <w:rPr>
          <w:rFonts w:hint="eastAsia" w:ascii="宋体" w:hAnsi="宋体" w:eastAsia="宋体" w:cs="宋体"/>
          <w:b/>
          <w:sz w:val="30"/>
          <w:szCs w:val="30"/>
          <w:highlight w:val="none"/>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highlight w:val="none"/>
              </w:rPr>
            </w:pPr>
            <w:r>
              <w:rPr>
                <w:rFonts w:hint="eastAsia" w:ascii="宋体" w:hAnsi="宋体" w:eastAsia="宋体" w:cs="宋体"/>
                <w:caps/>
                <w:sz w:val="24"/>
                <w:highlight w:val="none"/>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highlight w:val="none"/>
              </w:rPr>
            </w:pPr>
          </w:p>
        </w:tc>
        <w:tc>
          <w:tcPr>
            <w:tcW w:w="752" w:type="dxa"/>
            <w:gridSpan w:val="3"/>
            <w:noWrap w:val="0"/>
            <w:vAlign w:val="center"/>
          </w:tcPr>
          <w:p w14:paraId="0854BBD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密级</w:t>
            </w:r>
          </w:p>
        </w:tc>
        <w:tc>
          <w:tcPr>
            <w:tcW w:w="1467" w:type="dxa"/>
            <w:gridSpan w:val="4"/>
            <w:noWrap w:val="0"/>
            <w:vAlign w:val="center"/>
          </w:tcPr>
          <w:p w14:paraId="517ABD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2964" w:type="dxa"/>
            <w:gridSpan w:val="8"/>
            <w:noWrap w:val="0"/>
            <w:vAlign w:val="center"/>
          </w:tcPr>
          <w:p w14:paraId="43257E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highlight w:val="none"/>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highlight w:val="none"/>
              </w:rPr>
            </w:pPr>
          </w:p>
        </w:tc>
        <w:tc>
          <w:tcPr>
            <w:tcW w:w="1537" w:type="dxa"/>
            <w:gridSpan w:val="5"/>
            <w:noWrap w:val="0"/>
            <w:vAlign w:val="center"/>
          </w:tcPr>
          <w:p w14:paraId="37D206D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highlight w:val="none"/>
              </w:rPr>
            </w:pPr>
            <w:r>
              <w:rPr>
                <w:rFonts w:hint="eastAsia" w:ascii="宋体" w:hAnsi="宋体" w:eastAsia="宋体" w:cs="宋体"/>
                <w:sz w:val="18"/>
                <w:highlight w:val="none"/>
              </w:rPr>
              <w:t xml:space="preserve"> </w:t>
            </w:r>
            <w:r>
              <w:rPr>
                <w:rFonts w:hint="eastAsia" w:ascii="宋体" w:hAnsi="宋体" w:eastAsia="宋体" w:cs="宋体"/>
                <w:sz w:val="24"/>
                <w:highlight w:val="none"/>
              </w:rPr>
              <w:t>年  月至   年</w:t>
            </w:r>
            <w:r>
              <w:rPr>
                <w:rFonts w:hint="eastAsia" w:ascii="宋体" w:hAnsi="宋体" w:eastAsia="宋体" w:cs="宋体"/>
                <w:sz w:val="18"/>
                <w:highlight w:val="none"/>
              </w:rPr>
              <w:t xml:space="preserve">   </w:t>
            </w:r>
            <w:r>
              <w:rPr>
                <w:rFonts w:hint="eastAsia" w:ascii="宋体" w:hAnsi="宋体" w:eastAsia="宋体" w:cs="宋体"/>
                <w:sz w:val="24"/>
                <w:highlight w:val="none"/>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highlight w:val="none"/>
              </w:rPr>
            </w:pPr>
          </w:p>
        </w:tc>
        <w:tc>
          <w:tcPr>
            <w:tcW w:w="2087" w:type="dxa"/>
            <w:gridSpan w:val="8"/>
            <w:noWrap w:val="0"/>
            <w:vAlign w:val="center"/>
          </w:tcPr>
          <w:p w14:paraId="6AE9CF9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厅 拨</w:t>
            </w:r>
          </w:p>
        </w:tc>
        <w:tc>
          <w:tcPr>
            <w:tcW w:w="2597" w:type="dxa"/>
            <w:gridSpan w:val="6"/>
            <w:noWrap w:val="0"/>
            <w:vAlign w:val="center"/>
          </w:tcPr>
          <w:p w14:paraId="1DFC9223">
            <w:pPr>
              <w:spacing w:line="300" w:lineRule="auto"/>
              <w:jc w:val="center"/>
              <w:rPr>
                <w:rFonts w:hint="eastAsia" w:ascii="宋体" w:hAnsi="宋体" w:eastAsia="宋体" w:cs="宋体"/>
                <w:sz w:val="24"/>
                <w:highlight w:val="none"/>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第一</w:t>
            </w:r>
          </w:p>
          <w:p w14:paraId="1FC2D0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承担</w:t>
            </w:r>
          </w:p>
          <w:p w14:paraId="5725966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1393" w:type="dxa"/>
            <w:gridSpan w:val="3"/>
            <w:noWrap w:val="0"/>
            <w:vAlign w:val="center"/>
          </w:tcPr>
          <w:p w14:paraId="025D38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highlight w:val="none"/>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highlight w:val="none"/>
              </w:rPr>
            </w:pPr>
          </w:p>
        </w:tc>
        <w:tc>
          <w:tcPr>
            <w:tcW w:w="1393" w:type="dxa"/>
            <w:gridSpan w:val="3"/>
            <w:noWrap w:val="0"/>
            <w:vAlign w:val="center"/>
          </w:tcPr>
          <w:p w14:paraId="36FF10F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1F646D4D">
            <w:pPr>
              <w:spacing w:line="300" w:lineRule="auto"/>
              <w:jc w:val="center"/>
              <w:rPr>
                <w:rFonts w:hint="eastAsia" w:ascii="宋体" w:hAnsi="宋体" w:eastAsia="宋体" w:cs="宋体"/>
                <w:sz w:val="24"/>
                <w:highlight w:val="none"/>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highlight w:val="none"/>
              </w:rPr>
            </w:pPr>
          </w:p>
        </w:tc>
        <w:tc>
          <w:tcPr>
            <w:tcW w:w="1393" w:type="dxa"/>
            <w:gridSpan w:val="3"/>
            <w:noWrap w:val="0"/>
            <w:vAlign w:val="center"/>
          </w:tcPr>
          <w:p w14:paraId="18CE368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highlight w:val="none"/>
              </w:rPr>
            </w:pPr>
          </w:p>
        </w:tc>
        <w:tc>
          <w:tcPr>
            <w:tcW w:w="638" w:type="dxa"/>
            <w:noWrap w:val="0"/>
            <w:vAlign w:val="center"/>
          </w:tcPr>
          <w:p w14:paraId="420BBC9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邮编</w:t>
            </w:r>
          </w:p>
        </w:tc>
        <w:tc>
          <w:tcPr>
            <w:tcW w:w="1191" w:type="dxa"/>
            <w:gridSpan w:val="3"/>
            <w:noWrap w:val="0"/>
            <w:vAlign w:val="center"/>
          </w:tcPr>
          <w:p w14:paraId="47BCD33F">
            <w:pPr>
              <w:spacing w:line="300" w:lineRule="auto"/>
              <w:jc w:val="center"/>
              <w:rPr>
                <w:rFonts w:hint="eastAsia" w:ascii="宋体" w:hAnsi="宋体" w:eastAsia="宋体" w:cs="宋体"/>
                <w:sz w:val="24"/>
                <w:highlight w:val="none"/>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highlight w:val="none"/>
              </w:rPr>
            </w:pPr>
          </w:p>
        </w:tc>
        <w:tc>
          <w:tcPr>
            <w:tcW w:w="1393" w:type="dxa"/>
            <w:gridSpan w:val="3"/>
            <w:noWrap w:val="0"/>
            <w:vAlign w:val="center"/>
          </w:tcPr>
          <w:p w14:paraId="6E278088">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05DC96D4">
            <w:pPr>
              <w:spacing w:line="300" w:lineRule="auto"/>
              <w:jc w:val="center"/>
              <w:rPr>
                <w:rFonts w:hint="eastAsia" w:ascii="宋体" w:hAnsi="宋体" w:eastAsia="宋体" w:cs="宋体"/>
                <w:sz w:val="24"/>
                <w:highlight w:val="none"/>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参与</w:t>
            </w:r>
          </w:p>
          <w:p w14:paraId="776352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729" w:type="dxa"/>
            <w:noWrap w:val="0"/>
            <w:vAlign w:val="center"/>
          </w:tcPr>
          <w:p w14:paraId="6F5655A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7077" w:type="dxa"/>
            <w:gridSpan w:val="20"/>
            <w:noWrap w:val="0"/>
            <w:vAlign w:val="center"/>
          </w:tcPr>
          <w:p w14:paraId="02688AB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highlight w:val="none"/>
              </w:rPr>
            </w:pPr>
          </w:p>
        </w:tc>
        <w:tc>
          <w:tcPr>
            <w:tcW w:w="729" w:type="dxa"/>
            <w:noWrap w:val="0"/>
            <w:vAlign w:val="center"/>
          </w:tcPr>
          <w:p w14:paraId="71B09F3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077" w:type="dxa"/>
            <w:gridSpan w:val="20"/>
            <w:noWrap w:val="0"/>
            <w:vAlign w:val="center"/>
          </w:tcPr>
          <w:p w14:paraId="41FD356C">
            <w:pPr>
              <w:spacing w:line="300" w:lineRule="auto"/>
              <w:jc w:val="center"/>
              <w:rPr>
                <w:rFonts w:hint="eastAsia" w:ascii="宋体" w:hAnsi="宋体" w:eastAsia="宋体" w:cs="宋体"/>
                <w:sz w:val="24"/>
                <w:highlight w:val="none"/>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highlight w:val="none"/>
              </w:rPr>
            </w:pPr>
          </w:p>
        </w:tc>
        <w:tc>
          <w:tcPr>
            <w:tcW w:w="729" w:type="dxa"/>
            <w:noWrap w:val="0"/>
            <w:vAlign w:val="center"/>
          </w:tcPr>
          <w:p w14:paraId="05D8F5A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077" w:type="dxa"/>
            <w:gridSpan w:val="20"/>
            <w:noWrap w:val="0"/>
            <w:vAlign w:val="center"/>
          </w:tcPr>
          <w:p w14:paraId="37A2B8BC">
            <w:pPr>
              <w:spacing w:line="300" w:lineRule="auto"/>
              <w:jc w:val="center"/>
              <w:rPr>
                <w:rFonts w:hint="eastAsia" w:ascii="宋体" w:hAnsi="宋体" w:eastAsia="宋体" w:cs="宋体"/>
                <w:sz w:val="24"/>
                <w:highlight w:val="none"/>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highlight w:val="none"/>
              </w:rPr>
            </w:pPr>
          </w:p>
        </w:tc>
        <w:tc>
          <w:tcPr>
            <w:tcW w:w="729" w:type="dxa"/>
            <w:noWrap w:val="0"/>
            <w:vAlign w:val="center"/>
          </w:tcPr>
          <w:p w14:paraId="32D72F6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077" w:type="dxa"/>
            <w:gridSpan w:val="20"/>
            <w:noWrap w:val="0"/>
            <w:vAlign w:val="center"/>
          </w:tcPr>
          <w:p w14:paraId="51540ABA">
            <w:pPr>
              <w:spacing w:line="300" w:lineRule="auto"/>
              <w:jc w:val="center"/>
              <w:rPr>
                <w:rFonts w:hint="eastAsia" w:ascii="宋体" w:hAnsi="宋体" w:eastAsia="宋体" w:cs="宋体"/>
                <w:sz w:val="24"/>
                <w:highlight w:val="none"/>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417" w:type="dxa"/>
            <w:gridSpan w:val="4"/>
            <w:noWrap w:val="0"/>
            <w:vAlign w:val="center"/>
          </w:tcPr>
          <w:p w14:paraId="1F69FD5D">
            <w:pPr>
              <w:spacing w:line="300" w:lineRule="auto"/>
              <w:jc w:val="center"/>
              <w:rPr>
                <w:rFonts w:hint="eastAsia" w:ascii="宋体" w:hAnsi="宋体" w:eastAsia="宋体" w:cs="宋体"/>
                <w:sz w:val="24"/>
                <w:highlight w:val="none"/>
              </w:rPr>
            </w:pPr>
          </w:p>
        </w:tc>
        <w:tc>
          <w:tcPr>
            <w:tcW w:w="2707" w:type="dxa"/>
            <w:gridSpan w:val="9"/>
            <w:noWrap w:val="0"/>
            <w:vAlign w:val="center"/>
          </w:tcPr>
          <w:p w14:paraId="35ECEDC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62DD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学 历</w:t>
            </w:r>
          </w:p>
        </w:tc>
        <w:tc>
          <w:tcPr>
            <w:tcW w:w="5953" w:type="dxa"/>
            <w:gridSpan w:val="17"/>
            <w:noWrap w:val="0"/>
            <w:vAlign w:val="center"/>
          </w:tcPr>
          <w:p w14:paraId="6CAE863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highlight w:val="none"/>
              </w:rPr>
            </w:pPr>
          </w:p>
        </w:tc>
        <w:tc>
          <w:tcPr>
            <w:tcW w:w="1124" w:type="dxa"/>
            <w:gridSpan w:val="3"/>
            <w:noWrap w:val="0"/>
            <w:vAlign w:val="center"/>
          </w:tcPr>
          <w:p w14:paraId="20502C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5953" w:type="dxa"/>
            <w:gridSpan w:val="17"/>
            <w:noWrap w:val="0"/>
            <w:vAlign w:val="center"/>
          </w:tcPr>
          <w:p w14:paraId="0C83AC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249C7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66EF4FA5">
            <w:pPr>
              <w:spacing w:line="300" w:lineRule="auto"/>
              <w:jc w:val="center"/>
              <w:rPr>
                <w:rFonts w:hint="eastAsia" w:ascii="宋体" w:hAnsi="宋体" w:eastAsia="宋体" w:cs="宋体"/>
                <w:sz w:val="24"/>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highlight w:val="none"/>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highlight w:val="none"/>
              </w:rPr>
            </w:pPr>
          </w:p>
        </w:tc>
        <w:tc>
          <w:tcPr>
            <w:tcW w:w="1115" w:type="dxa"/>
            <w:gridSpan w:val="3"/>
            <w:noWrap w:val="0"/>
            <w:vAlign w:val="center"/>
          </w:tcPr>
          <w:p w14:paraId="7F234FE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2626" w:type="dxa"/>
            <w:gridSpan w:val="7"/>
            <w:noWrap w:val="0"/>
            <w:vAlign w:val="center"/>
          </w:tcPr>
          <w:p w14:paraId="294E3189">
            <w:pPr>
              <w:spacing w:line="300" w:lineRule="auto"/>
              <w:jc w:val="center"/>
              <w:rPr>
                <w:rFonts w:hint="eastAsia" w:ascii="宋体" w:hAnsi="宋体" w:eastAsia="宋体" w:cs="宋体"/>
                <w:sz w:val="24"/>
                <w:highlight w:val="none"/>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highlight w:val="none"/>
              </w:rPr>
            </w:pPr>
          </w:p>
        </w:tc>
        <w:tc>
          <w:tcPr>
            <w:tcW w:w="1124" w:type="dxa"/>
            <w:gridSpan w:val="3"/>
            <w:noWrap w:val="0"/>
            <w:vAlign w:val="center"/>
          </w:tcPr>
          <w:p w14:paraId="56D012C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3D042ED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highlight w:val="none"/>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highlight w:val="none"/>
              </w:rPr>
            </w:pPr>
          </w:p>
        </w:tc>
        <w:tc>
          <w:tcPr>
            <w:tcW w:w="622" w:type="dxa"/>
            <w:noWrap w:val="0"/>
            <w:vAlign w:val="center"/>
          </w:tcPr>
          <w:p w14:paraId="41D690C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高级</w:t>
            </w:r>
          </w:p>
        </w:tc>
        <w:tc>
          <w:tcPr>
            <w:tcW w:w="954" w:type="dxa"/>
            <w:gridSpan w:val="5"/>
            <w:noWrap w:val="0"/>
            <w:vAlign w:val="center"/>
          </w:tcPr>
          <w:p w14:paraId="61825D01">
            <w:pPr>
              <w:spacing w:line="300" w:lineRule="auto"/>
              <w:jc w:val="center"/>
              <w:rPr>
                <w:rFonts w:hint="eastAsia" w:ascii="宋体" w:hAnsi="宋体" w:eastAsia="宋体" w:cs="宋体"/>
                <w:sz w:val="24"/>
                <w:highlight w:val="none"/>
              </w:rPr>
            </w:pPr>
          </w:p>
        </w:tc>
        <w:tc>
          <w:tcPr>
            <w:tcW w:w="636" w:type="dxa"/>
            <w:noWrap w:val="0"/>
            <w:vAlign w:val="center"/>
          </w:tcPr>
          <w:p w14:paraId="6ACA880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中级</w:t>
            </w:r>
          </w:p>
        </w:tc>
        <w:tc>
          <w:tcPr>
            <w:tcW w:w="1115" w:type="dxa"/>
            <w:gridSpan w:val="3"/>
            <w:noWrap w:val="0"/>
            <w:vAlign w:val="center"/>
          </w:tcPr>
          <w:p w14:paraId="5C9D3399">
            <w:pPr>
              <w:spacing w:line="300" w:lineRule="auto"/>
              <w:jc w:val="center"/>
              <w:rPr>
                <w:rFonts w:hint="eastAsia" w:ascii="宋体" w:hAnsi="宋体" w:eastAsia="宋体" w:cs="宋体"/>
                <w:sz w:val="24"/>
                <w:highlight w:val="none"/>
              </w:rPr>
            </w:pPr>
          </w:p>
        </w:tc>
        <w:tc>
          <w:tcPr>
            <w:tcW w:w="636" w:type="dxa"/>
            <w:gridSpan w:val="2"/>
            <w:noWrap w:val="0"/>
            <w:vAlign w:val="center"/>
          </w:tcPr>
          <w:p w14:paraId="01F929D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初级</w:t>
            </w:r>
          </w:p>
        </w:tc>
        <w:tc>
          <w:tcPr>
            <w:tcW w:w="799" w:type="dxa"/>
            <w:gridSpan w:val="2"/>
            <w:noWrap w:val="0"/>
            <w:vAlign w:val="center"/>
          </w:tcPr>
          <w:p w14:paraId="17C55F03">
            <w:pPr>
              <w:spacing w:line="300" w:lineRule="auto"/>
              <w:jc w:val="center"/>
              <w:rPr>
                <w:rFonts w:hint="eastAsia" w:ascii="宋体" w:hAnsi="宋体" w:eastAsia="宋体" w:cs="宋体"/>
                <w:sz w:val="24"/>
                <w:highlight w:val="none"/>
              </w:rPr>
            </w:pPr>
          </w:p>
        </w:tc>
        <w:tc>
          <w:tcPr>
            <w:tcW w:w="635" w:type="dxa"/>
            <w:gridSpan w:val="2"/>
            <w:noWrap w:val="0"/>
            <w:vAlign w:val="center"/>
          </w:tcPr>
          <w:p w14:paraId="32F495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其它</w:t>
            </w:r>
          </w:p>
        </w:tc>
        <w:tc>
          <w:tcPr>
            <w:tcW w:w="556" w:type="dxa"/>
            <w:noWrap w:val="0"/>
            <w:vAlign w:val="center"/>
          </w:tcPr>
          <w:p w14:paraId="515BF18F">
            <w:pPr>
              <w:spacing w:line="300" w:lineRule="auto"/>
              <w:jc w:val="center"/>
              <w:rPr>
                <w:rFonts w:hint="eastAsia" w:ascii="宋体" w:hAnsi="宋体" w:eastAsia="宋体" w:cs="宋体"/>
                <w:sz w:val="24"/>
                <w:highlight w:val="none"/>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highlight w:val="none"/>
              </w:rPr>
            </w:pPr>
          </w:p>
          <w:p w14:paraId="5F998868">
            <w:pPr>
              <w:spacing w:line="300" w:lineRule="auto"/>
              <w:jc w:val="center"/>
              <w:rPr>
                <w:rFonts w:hint="eastAsia" w:ascii="宋体" w:hAnsi="宋体" w:eastAsia="宋体" w:cs="宋体"/>
                <w:sz w:val="24"/>
                <w:highlight w:val="none"/>
              </w:rPr>
            </w:pPr>
          </w:p>
          <w:p w14:paraId="3405A2DA">
            <w:pPr>
              <w:spacing w:line="300" w:lineRule="auto"/>
              <w:jc w:val="center"/>
              <w:rPr>
                <w:rFonts w:hint="eastAsia" w:ascii="宋体" w:hAnsi="宋体" w:eastAsia="宋体" w:cs="宋体"/>
                <w:sz w:val="24"/>
                <w:highlight w:val="none"/>
              </w:rPr>
            </w:pPr>
          </w:p>
          <w:p w14:paraId="5C3E7363">
            <w:pPr>
              <w:spacing w:line="300" w:lineRule="auto"/>
              <w:jc w:val="center"/>
              <w:rPr>
                <w:rFonts w:hint="eastAsia" w:ascii="宋体" w:hAnsi="宋体" w:eastAsia="宋体" w:cs="宋体"/>
                <w:sz w:val="24"/>
                <w:highlight w:val="none"/>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highlight w:val="none"/>
              </w:rPr>
            </w:pPr>
          </w:p>
        </w:tc>
        <w:tc>
          <w:tcPr>
            <w:tcW w:w="5953" w:type="dxa"/>
            <w:gridSpan w:val="17"/>
            <w:noWrap w:val="0"/>
            <w:vAlign w:val="center"/>
          </w:tcPr>
          <w:p w14:paraId="3312964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highlight w:val="none"/>
              </w:rPr>
            </w:pPr>
          </w:p>
        </w:tc>
        <w:tc>
          <w:tcPr>
            <w:tcW w:w="5953" w:type="dxa"/>
            <w:gridSpan w:val="17"/>
            <w:noWrap w:val="0"/>
            <w:vAlign w:val="center"/>
          </w:tcPr>
          <w:p w14:paraId="71AA8A6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A：专著、论文B：样机、样品C：试验工程、产品D：示范工程E：产品F：其他</w:t>
            </w:r>
          </w:p>
        </w:tc>
      </w:tr>
    </w:tbl>
    <w:p w14:paraId="0FA98293">
      <w:pP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八、共同条款</w:t>
      </w:r>
    </w:p>
    <w:p w14:paraId="1105312F">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．乙方的厅补助经费</w:t>
      </w:r>
      <w:r>
        <w:rPr>
          <w:rFonts w:hint="eastAsia" w:ascii="宋体" w:hAnsi="宋体" w:eastAsia="宋体" w:cs="宋体"/>
          <w:sz w:val="28"/>
          <w:szCs w:val="28"/>
          <w:highlight w:val="none"/>
          <w:lang w:val="en-US" w:eastAsia="zh-CN"/>
        </w:rPr>
        <w:t>及自筹经费</w:t>
      </w:r>
      <w:r>
        <w:rPr>
          <w:rFonts w:hint="eastAsia" w:ascii="宋体" w:hAnsi="宋体" w:eastAsia="宋体" w:cs="宋体"/>
          <w:sz w:val="28"/>
          <w:szCs w:val="28"/>
          <w:highlight w:val="none"/>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．合同正本一式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份，甲方单位伍份，承担单位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w:t>
      </w:r>
    </w:p>
    <w:p w14:paraId="1836185D">
      <w:pPr>
        <w:pStyle w:val="11"/>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．本合同经双方签章后生效，规定内容执行完毕后自然失效。</w:t>
      </w:r>
    </w:p>
    <w:p w14:paraId="66C394C0">
      <w:pPr>
        <w:pStyle w:val="11"/>
        <w:rPr>
          <w:rFonts w:hint="eastAsia" w:ascii="宋体" w:hAnsi="宋体" w:eastAsia="宋体" w:cs="宋体"/>
          <w:b/>
          <w:sz w:val="32"/>
          <w:highlight w:val="none"/>
          <w:lang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eastAsia="zh-CN"/>
        </w:rPr>
        <w:t>九</w:t>
      </w:r>
      <w:r>
        <w:rPr>
          <w:rFonts w:hint="eastAsia" w:ascii="宋体" w:hAnsi="宋体" w:eastAsia="宋体" w:cs="宋体"/>
          <w:b/>
          <w:sz w:val="32"/>
          <w:highlight w:val="none"/>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highlight w:val="none"/>
        </w:rPr>
      </w:pPr>
    </w:p>
    <w:p w14:paraId="0846D26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合同甲方：                  陕西省交通运输厅</w:t>
      </w:r>
    </w:p>
    <w:p w14:paraId="7B324CA6">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负责人：（签字）                年   月   日</w:t>
      </w:r>
    </w:p>
    <w:p w14:paraId="0065A90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联系人：（签字）                  （公 章）</w:t>
      </w:r>
    </w:p>
    <w:p w14:paraId="18855E49">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电  话：029-88869067         </w:t>
      </w:r>
    </w:p>
    <w:p w14:paraId="5D3DA95C">
      <w:pPr>
        <w:adjustRightInd w:val="0"/>
        <w:snapToGrid w:val="0"/>
        <w:spacing w:line="480" w:lineRule="auto"/>
        <w:rPr>
          <w:rFonts w:hint="eastAsia" w:ascii="宋体" w:hAnsi="宋体" w:eastAsia="宋体" w:cs="宋体"/>
          <w:sz w:val="28"/>
          <w:szCs w:val="28"/>
          <w:highlight w:val="none"/>
        </w:rPr>
      </w:pPr>
    </w:p>
    <w:p w14:paraId="52B7598A">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合同乙方：（承担单位）           </w:t>
      </w:r>
    </w:p>
    <w:p w14:paraId="0ED90690">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单位负责人：（签字）               年   月   日</w:t>
      </w:r>
    </w:p>
    <w:p w14:paraId="0644741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项目负责人：（签字）                （公 章）</w:t>
      </w:r>
    </w:p>
    <w:p w14:paraId="5584BAAD">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电  话：</w:t>
      </w:r>
      <w:r>
        <w:rPr>
          <w:rFonts w:hint="eastAsia" w:ascii="宋体" w:hAnsi="宋体" w:eastAsia="宋体" w:cs="宋体"/>
          <w:sz w:val="28"/>
          <w:szCs w:val="28"/>
          <w:highlight w:val="none"/>
        </w:rPr>
        <w:tab/>
      </w:r>
      <w:r>
        <w:rPr>
          <w:rFonts w:hint="eastAsia" w:ascii="宋体" w:hAnsi="宋体" w:eastAsia="宋体" w:cs="宋体"/>
          <w:sz w:val="28"/>
          <w:szCs w:val="28"/>
          <w:highlight w:val="none"/>
        </w:rPr>
        <w:t xml:space="preserve">                      </w:t>
      </w:r>
    </w:p>
    <w:p w14:paraId="0B7A909E">
      <w:pPr>
        <w:adjustRightInd w:val="0"/>
        <w:snapToGrid w:val="0"/>
        <w:spacing w:line="480" w:lineRule="auto"/>
        <w:rPr>
          <w:rFonts w:hint="eastAsia" w:ascii="宋体" w:hAnsi="宋体" w:eastAsia="宋体" w:cs="宋体"/>
          <w:sz w:val="28"/>
          <w:szCs w:val="28"/>
          <w:highlight w:val="none"/>
        </w:rPr>
      </w:pPr>
    </w:p>
    <w:p w14:paraId="0E0A0453">
      <w:pPr>
        <w:pStyle w:val="7"/>
        <w:adjustRightInd w:val="0"/>
        <w:snapToGrid w:val="0"/>
        <w:spacing w:line="480" w:lineRule="auto"/>
        <w:ind w:firstLine="0" w:firstLineChars="0"/>
        <w:rPr>
          <w:rFonts w:hint="eastAsia" w:ascii="宋体" w:hAnsi="宋体" w:eastAsia="宋体" w:cs="宋体"/>
          <w:sz w:val="28"/>
          <w:szCs w:val="28"/>
          <w:highlight w:val="none"/>
        </w:rPr>
      </w:pPr>
    </w:p>
    <w:p w14:paraId="5342C3C5">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财务负责人：（签字）            </w:t>
      </w:r>
    </w:p>
    <w:p w14:paraId="1665E812">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highlight w:val="none"/>
        </w:rPr>
        <w:t>账 户 名：</w:t>
      </w:r>
    </w:p>
    <w:p w14:paraId="1BD8A7A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p w14:paraId="39553A3A">
      <w:pPr>
        <w:adjustRightInd w:val="0"/>
        <w:snapToGrid w:val="0"/>
        <w:spacing w:line="480" w:lineRule="auto"/>
        <w:rPr>
          <w:rFonts w:hint="eastAsia" w:ascii="宋体" w:hAnsi="宋体" w:eastAsia="宋体" w:cs="宋体"/>
          <w:color w:val="auto"/>
          <w:sz w:val="44"/>
          <w:szCs w:val="44"/>
          <w:highlight w:val="none"/>
          <w:lang w:eastAsia="zh-CN"/>
        </w:rPr>
      </w:pPr>
      <w:r>
        <w:rPr>
          <w:rFonts w:hint="eastAsia" w:ascii="宋体" w:hAnsi="宋体" w:eastAsia="宋体" w:cs="宋体"/>
          <w:sz w:val="28"/>
          <w:szCs w:val="28"/>
          <w:highlight w:val="none"/>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highlight w:val="none"/>
        </w:rPr>
      </w:pPr>
    </w:p>
    <w:p w14:paraId="1762B7A6">
      <w:pPr>
        <w:adjustRightInd w:val="0"/>
        <w:snapToGrid w:val="0"/>
        <w:spacing w:line="480" w:lineRule="auto"/>
        <w:rPr>
          <w:rFonts w:hint="eastAsia" w:ascii="宋体" w:hAnsi="宋体" w:eastAsia="宋体" w:cs="宋体"/>
          <w:sz w:val="28"/>
          <w:szCs w:val="28"/>
          <w:highlight w:val="none"/>
        </w:rPr>
      </w:pPr>
    </w:p>
    <w:p w14:paraId="6F71BB4B">
      <w:pPr>
        <w:adjustRightInd w:val="0"/>
        <w:snapToGrid w:val="0"/>
        <w:spacing w:line="480" w:lineRule="auto"/>
        <w:rPr>
          <w:rFonts w:hint="eastAsia" w:ascii="宋体" w:hAnsi="宋体" w:eastAsia="宋体" w:cs="宋体"/>
          <w:sz w:val="28"/>
          <w:szCs w:val="28"/>
          <w:highlight w:val="none"/>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0930_WPSOffice_Level1"/>
      <w:bookmarkStart w:id="96" w:name="_Toc19196"/>
      <w:bookmarkStart w:id="97" w:name="_Toc25996_WPSOffice_Level1"/>
      <w:bookmarkStart w:id="98" w:name="_Toc5592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highlight w:val="none"/>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highlight w:val="none"/>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highlight w:val="none"/>
        </w:rPr>
      </w:pPr>
      <w:r>
        <w:rPr>
          <w:rStyle w:val="98"/>
          <w:rFonts w:hint="eastAsia" w:ascii="宋体" w:hAnsi="宋体" w:eastAsia="宋体" w:cs="宋体"/>
          <w:sz w:val="32"/>
          <w:szCs w:val="32"/>
          <w:highlight w:val="none"/>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highlight w:val="none"/>
        </w:rPr>
        <w:t>三、</w:t>
      </w:r>
      <w:r>
        <w:rPr>
          <w:rStyle w:val="98"/>
          <w:rFonts w:hint="eastAsia" w:ascii="宋体" w:hAnsi="宋体" w:eastAsia="宋体" w:cs="宋体"/>
          <w:sz w:val="32"/>
          <w:szCs w:val="32"/>
          <w:highlight w:val="none"/>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highlight w:val="none"/>
        </w:rPr>
      </w:pPr>
      <w:bookmarkStart w:id="102" w:name="_Toc16163"/>
      <w:bookmarkStart w:id="103" w:name="_Toc26642"/>
      <w:bookmarkStart w:id="104" w:name="_Toc18383"/>
      <w:r>
        <w:rPr>
          <w:rStyle w:val="98"/>
          <w:rFonts w:hint="eastAsia" w:ascii="宋体" w:hAnsi="宋体" w:eastAsia="宋体" w:cs="宋体"/>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highlight w:val="none"/>
        </w:rPr>
      </w:pPr>
      <w:bookmarkStart w:id="105" w:name="_Toc26231"/>
      <w:r>
        <w:rPr>
          <w:rStyle w:val="98"/>
          <w:rFonts w:hint="eastAsia" w:ascii="宋体" w:hAnsi="宋体" w:eastAsia="宋体" w:cs="宋体"/>
          <w:sz w:val="32"/>
          <w:szCs w:val="32"/>
          <w:highlight w:val="none"/>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highlight w:val="none"/>
              </w:rPr>
            </w:pPr>
            <w:r>
              <w:rPr>
                <w:rFonts w:hint="eastAsia" w:ascii="宋体" w:hAnsi="宋体" w:eastAsia="宋体" w:cs="宋体"/>
                <w:b/>
                <w:bCs/>
                <w:spacing w:val="-7"/>
                <w:highlight w:val="none"/>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highlight w:val="none"/>
              </w:rPr>
            </w:pPr>
            <w:r>
              <w:rPr>
                <w:rFonts w:hint="eastAsia" w:ascii="宋体" w:hAnsi="宋体" w:eastAsia="宋体" w:cs="宋体"/>
                <w:b/>
                <w:bCs/>
                <w:highlight w:val="none"/>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highlight w:val="none"/>
              </w:rPr>
            </w:pPr>
            <w:r>
              <w:rPr>
                <w:rFonts w:hint="eastAsia" w:ascii="宋体" w:hAnsi="宋体" w:eastAsia="宋体" w:cs="宋体"/>
                <w:b/>
                <w:bCs/>
                <w:spacing w:val="-3"/>
                <w:highlight w:val="none"/>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highlight w:val="none"/>
              </w:rPr>
            </w:pPr>
            <w:r>
              <w:rPr>
                <w:rFonts w:hint="eastAsia" w:ascii="宋体" w:hAnsi="宋体" w:eastAsia="宋体" w:cs="宋体"/>
                <w:b/>
                <w:bCs/>
                <w:spacing w:val="-1"/>
                <w:highlight w:val="none"/>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highlight w:val="none"/>
              </w:rPr>
            </w:pPr>
            <w:r>
              <w:rPr>
                <w:rFonts w:hint="eastAsia" w:ascii="宋体" w:hAnsi="宋体" w:eastAsia="宋体" w:cs="宋体"/>
                <w:b/>
                <w:bCs/>
                <w:spacing w:val="-10"/>
                <w:highlight w:val="none"/>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highlight w:val="none"/>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highlight w:val="none"/>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highlight w:val="none"/>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highlight w:val="none"/>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highlight w:val="none"/>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highlight w:val="none"/>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highlight w:val="none"/>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highlight w:val="none"/>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highlight w:val="none"/>
        </w:rPr>
      </w:pPr>
      <w:bookmarkStart w:id="106" w:name="_Toc26657"/>
      <w:r>
        <w:rPr>
          <w:rStyle w:val="98"/>
          <w:rFonts w:hint="eastAsia" w:ascii="宋体" w:hAnsi="宋体" w:eastAsia="宋体" w:cs="宋体"/>
          <w:sz w:val="32"/>
          <w:szCs w:val="32"/>
          <w:highlight w:val="none"/>
        </w:rPr>
        <w:t>六、项目</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3"/>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highlight w:val="none"/>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highlight w:val="none"/>
        </w:rPr>
      </w:pPr>
      <w:bookmarkStart w:id="110" w:name="_Toc12541"/>
      <w:bookmarkStart w:id="111" w:name="_Toc24121"/>
      <w:bookmarkStart w:id="112" w:name="_Toc17889"/>
      <w:r>
        <w:rPr>
          <w:rStyle w:val="98"/>
          <w:rFonts w:hint="eastAsia" w:ascii="宋体" w:hAnsi="宋体" w:eastAsia="宋体" w:cs="宋体"/>
          <w:sz w:val="32"/>
          <w:szCs w:val="32"/>
          <w:highlight w:val="none"/>
          <w:lang w:val="en-US" w:eastAsia="zh-CN"/>
        </w:rPr>
        <w:t>七</w:t>
      </w:r>
      <w:r>
        <w:rPr>
          <w:rStyle w:val="98"/>
          <w:rFonts w:hint="eastAsia" w:ascii="宋体" w:hAnsi="宋体" w:eastAsia="宋体" w:cs="宋体"/>
          <w:sz w:val="32"/>
          <w:szCs w:val="32"/>
          <w:highlight w:val="none"/>
        </w:rPr>
        <w:t>、商务和</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highlight w:val="none"/>
        </w:rPr>
      </w:pPr>
      <w:bookmarkStart w:id="114" w:name="_Toc26460"/>
      <w:r>
        <w:rPr>
          <w:rStyle w:val="98"/>
          <w:rFonts w:hint="eastAsia" w:ascii="宋体" w:hAnsi="宋体" w:eastAsia="宋体" w:cs="宋体"/>
          <w:sz w:val="32"/>
          <w:szCs w:val="32"/>
          <w:highlight w:val="none"/>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3"/>
      <w:bookmarkStart w:id="117" w:name="OLE_LINK14"/>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10"/>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备注：</w:t>
      </w:r>
      <w:r>
        <w:rPr>
          <w:rFonts w:hint="eastAsia" w:ascii="宋体" w:hAnsi="宋体" w:eastAsia="宋体" w:cs="宋体"/>
          <w:spacing w:val="-58"/>
          <w:sz w:val="22"/>
          <w:szCs w:val="22"/>
          <w:highlight w:val="none"/>
        </w:rPr>
        <w:t xml:space="preserve"> </w:t>
      </w:r>
      <w:r>
        <w:rPr>
          <w:rFonts w:hint="eastAsia" w:ascii="宋体" w:hAnsi="宋体" w:eastAsia="宋体" w:cs="宋体"/>
          <w:spacing w:val="12"/>
          <w:sz w:val="22"/>
          <w:szCs w:val="22"/>
          <w:highlight w:val="none"/>
        </w:rPr>
        <w:t>1、填写前请认真阅读《工业和信息化部、国家统计局、国家发展和</w:t>
      </w:r>
      <w:r>
        <w:rPr>
          <w:rFonts w:hint="eastAsia" w:ascii="宋体" w:hAnsi="宋体" w:eastAsia="宋体" w:cs="宋体"/>
          <w:spacing w:val="11"/>
          <w:sz w:val="22"/>
          <w:szCs w:val="22"/>
          <w:highlight w:val="none"/>
        </w:rPr>
        <w:t>改革委员会、财政</w:t>
      </w:r>
      <w:r>
        <w:rPr>
          <w:rFonts w:hint="eastAsia" w:ascii="宋体" w:hAnsi="宋体" w:eastAsia="宋体" w:cs="宋体"/>
          <w:spacing w:val="10"/>
          <w:sz w:val="22"/>
          <w:szCs w:val="22"/>
          <w:highlight w:val="none"/>
        </w:rPr>
        <w:t>部关于印发中小企业划型标准规定的通知》（工信部联企业[2011]300</w:t>
      </w:r>
      <w:r>
        <w:rPr>
          <w:rFonts w:hint="eastAsia" w:ascii="宋体" w:hAnsi="宋体" w:eastAsia="宋体" w:cs="宋体"/>
          <w:spacing w:val="-16"/>
          <w:sz w:val="22"/>
          <w:szCs w:val="22"/>
          <w:highlight w:val="none"/>
        </w:rPr>
        <w:t xml:space="preserve"> </w:t>
      </w:r>
      <w:r>
        <w:rPr>
          <w:rFonts w:hint="eastAsia" w:ascii="宋体" w:hAnsi="宋体" w:eastAsia="宋体" w:cs="宋体"/>
          <w:spacing w:val="10"/>
          <w:sz w:val="22"/>
          <w:szCs w:val="22"/>
          <w:highlight w:val="none"/>
        </w:rPr>
        <w:t>号）和财政部、工业和信息化部关于印发《政府采购促进中小企业发展管理办法》</w:t>
      </w:r>
      <w:r>
        <w:rPr>
          <w:rFonts w:hint="eastAsia" w:ascii="宋体" w:hAnsi="宋体" w:eastAsia="宋体" w:cs="宋体"/>
          <w:spacing w:val="-59"/>
          <w:sz w:val="22"/>
          <w:szCs w:val="22"/>
          <w:highlight w:val="none"/>
        </w:rPr>
        <w:t xml:space="preserve"> </w:t>
      </w:r>
      <w:r>
        <w:rPr>
          <w:rFonts w:hint="eastAsia" w:ascii="宋体" w:hAnsi="宋体" w:eastAsia="宋体" w:cs="宋体"/>
          <w:spacing w:val="10"/>
          <w:sz w:val="22"/>
          <w:szCs w:val="22"/>
          <w:highlight w:val="none"/>
        </w:rPr>
        <w:t>的通知(财库[2020]46</w:t>
      </w:r>
      <w:r>
        <w:rPr>
          <w:rFonts w:hint="eastAsia" w:ascii="宋体" w:hAnsi="宋体" w:eastAsia="宋体" w:cs="宋体"/>
          <w:spacing w:val="-30"/>
          <w:sz w:val="22"/>
          <w:szCs w:val="22"/>
          <w:highlight w:val="none"/>
        </w:rPr>
        <w:t xml:space="preserve"> </w:t>
      </w:r>
      <w:r>
        <w:rPr>
          <w:rFonts w:hint="eastAsia" w:ascii="宋体" w:hAnsi="宋体" w:eastAsia="宋体" w:cs="宋体"/>
          <w:spacing w:val="10"/>
          <w:sz w:val="22"/>
          <w:szCs w:val="22"/>
          <w:highlight w:val="none"/>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2、从业人员、营业收入、资产总额填报上一年度数据，无上一年度数据的新</w:t>
      </w:r>
      <w:r>
        <w:rPr>
          <w:rFonts w:hint="eastAsia" w:ascii="宋体" w:hAnsi="宋体" w:eastAsia="宋体" w:cs="宋体"/>
          <w:spacing w:val="12"/>
          <w:sz w:val="22"/>
          <w:szCs w:val="22"/>
          <w:highlight w:val="none"/>
        </w:rPr>
        <w:t>成立企业可不填</w:t>
      </w:r>
      <w:r>
        <w:rPr>
          <w:rFonts w:hint="eastAsia" w:ascii="宋体" w:hAnsi="宋体" w:eastAsia="宋体" w:cs="宋体"/>
          <w:spacing w:val="1"/>
          <w:sz w:val="22"/>
          <w:szCs w:val="22"/>
          <w:highlight w:val="none"/>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highlight w:val="none"/>
          <w:lang w:val="en-US" w:eastAsia="zh-CN"/>
        </w:rPr>
        <w:t>3</w:t>
      </w:r>
      <w:r>
        <w:rPr>
          <w:rFonts w:hint="eastAsia" w:ascii="宋体" w:hAnsi="宋体" w:eastAsia="宋体" w:cs="宋体"/>
          <w:spacing w:val="13"/>
          <w:sz w:val="22"/>
          <w:szCs w:val="22"/>
          <w:highlight w:val="none"/>
        </w:rPr>
        <w:t>、根据《工业和信息化部、国家统计局、国家发展和改革委员会、财政</w:t>
      </w:r>
      <w:r>
        <w:rPr>
          <w:rFonts w:hint="eastAsia" w:ascii="宋体" w:hAnsi="宋体" w:eastAsia="宋体" w:cs="宋体"/>
          <w:spacing w:val="12"/>
          <w:sz w:val="22"/>
          <w:szCs w:val="22"/>
          <w:highlight w:val="none"/>
        </w:rPr>
        <w:t>部关于印发中小企业</w:t>
      </w:r>
      <w:r>
        <w:rPr>
          <w:rFonts w:hint="eastAsia" w:ascii="宋体" w:hAnsi="宋体" w:eastAsia="宋体" w:cs="宋体"/>
          <w:sz w:val="22"/>
          <w:szCs w:val="22"/>
          <w:highlight w:val="none"/>
        </w:rPr>
        <w:t xml:space="preserve"> </w:t>
      </w:r>
      <w:r>
        <w:rPr>
          <w:rFonts w:hint="eastAsia" w:ascii="宋体" w:hAnsi="宋体" w:eastAsia="宋体" w:cs="宋体"/>
          <w:spacing w:val="12"/>
          <w:sz w:val="22"/>
          <w:szCs w:val="22"/>
          <w:highlight w:val="none"/>
        </w:rPr>
        <w:t>划型标准规定的通知》（工信部联企业[201</w:t>
      </w:r>
      <w:r>
        <w:rPr>
          <w:rFonts w:hint="eastAsia" w:ascii="宋体" w:hAnsi="宋体" w:eastAsia="宋体" w:cs="宋体"/>
          <w:spacing w:val="11"/>
          <w:sz w:val="22"/>
          <w:szCs w:val="22"/>
          <w:highlight w:val="none"/>
        </w:rPr>
        <w:t>1]300</w:t>
      </w:r>
      <w:r>
        <w:rPr>
          <w:rFonts w:hint="eastAsia" w:ascii="宋体" w:hAnsi="宋体" w:eastAsia="宋体" w:cs="宋体"/>
          <w:spacing w:val="-28"/>
          <w:sz w:val="22"/>
          <w:szCs w:val="22"/>
          <w:highlight w:val="none"/>
        </w:rPr>
        <w:t xml:space="preserve"> </w:t>
      </w:r>
      <w:r>
        <w:rPr>
          <w:rFonts w:hint="eastAsia" w:ascii="宋体" w:hAnsi="宋体" w:eastAsia="宋体" w:cs="宋体"/>
          <w:spacing w:val="11"/>
          <w:sz w:val="22"/>
          <w:szCs w:val="22"/>
          <w:highlight w:val="none"/>
        </w:rPr>
        <w:t>号</w:t>
      </w:r>
      <w:r>
        <w:rPr>
          <w:rFonts w:hint="eastAsia" w:ascii="宋体" w:hAnsi="宋体" w:eastAsia="宋体" w:cs="宋体"/>
          <w:spacing w:val="1"/>
          <w:sz w:val="22"/>
          <w:szCs w:val="22"/>
          <w:highlight w:val="none"/>
        </w:rPr>
        <w:t>）</w:t>
      </w:r>
      <w:r>
        <w:rPr>
          <w:rFonts w:hint="eastAsia" w:ascii="宋体" w:hAnsi="宋体" w:eastAsia="宋体" w:cs="宋体"/>
          <w:spacing w:val="9"/>
          <w:sz w:val="22"/>
          <w:szCs w:val="22"/>
          <w:highlight w:val="none"/>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b/>
          <w:bCs/>
          <w:spacing w:val="13"/>
          <w:sz w:val="22"/>
          <w:szCs w:val="22"/>
          <w:highlight w:val="none"/>
          <w:lang w:val="en-US" w:eastAsia="zh-CN"/>
        </w:rPr>
        <w:t>备注：</w:t>
      </w:r>
      <w:r>
        <w:rPr>
          <w:rFonts w:hint="eastAsia" w:ascii="宋体" w:hAnsi="宋体" w:eastAsia="宋体" w:cs="宋体"/>
          <w:spacing w:val="13"/>
          <w:sz w:val="22"/>
          <w:szCs w:val="22"/>
          <w:highlight w:val="none"/>
          <w:lang w:val="en-US" w:eastAsia="zh-CN"/>
        </w:rPr>
        <w:t>项目不分标段的，第</w:t>
      </w:r>
      <w:r>
        <w:rPr>
          <w:rFonts w:hint="eastAsia" w:ascii="宋体" w:hAnsi="宋体" w:eastAsia="宋体" w:cs="宋体"/>
          <w:spacing w:val="13"/>
          <w:sz w:val="22"/>
          <w:szCs w:val="22"/>
          <w:highlight w:val="none"/>
          <w:u w:val="single"/>
          <w:lang w:val="en-US" w:eastAsia="zh-CN"/>
        </w:rPr>
        <w:t xml:space="preserve">     </w:t>
      </w:r>
      <w:r>
        <w:rPr>
          <w:rFonts w:hint="eastAsia" w:ascii="宋体" w:hAnsi="宋体" w:eastAsia="宋体" w:cs="宋体"/>
          <w:spacing w:val="13"/>
          <w:sz w:val="22"/>
          <w:szCs w:val="22"/>
          <w:highlight w:val="none"/>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4"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highlight w:val="none"/>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6262"/>
      <w:bookmarkStart w:id="119" w:name="_Toc27112"/>
      <w:bookmarkStart w:id="120"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68号）的规定，本单位为符合条件的监狱、戒毒企业，且本单位参加的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highlight w:val="none"/>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highlight w:val="none"/>
        </w:rPr>
      </w:pPr>
    </w:p>
    <w:p w14:paraId="70169317">
      <w:pPr>
        <w:pStyle w:val="12"/>
        <w:rPr>
          <w:rFonts w:hint="eastAsia" w:ascii="宋体" w:hAnsi="宋体" w:eastAsia="宋体" w:cs="宋体"/>
          <w:color w:val="auto"/>
          <w:sz w:val="28"/>
          <w:szCs w:val="28"/>
          <w:highlight w:val="none"/>
        </w:rPr>
      </w:pPr>
    </w:p>
    <w:p w14:paraId="6B3C6994">
      <w:pPr>
        <w:pStyle w:val="27"/>
        <w:rPr>
          <w:rFonts w:hint="eastAsia" w:ascii="宋体" w:hAnsi="宋体" w:eastAsia="宋体" w:cs="宋体"/>
          <w:color w:val="auto"/>
          <w:highlight w:val="none"/>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highlight w:val="none"/>
        </w:rPr>
        <w:t>备注：未按上述要求提供、填写的，评审时不予以考虑。</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提供的《监狱、戒毒企业声明函》必须真实有效，</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应当提供由省级以上监狱管理局、戒毒管理局(含新疆生产建设兵团)出具的属于监狱企业的证明文件</w:t>
      </w:r>
      <w:r>
        <w:rPr>
          <w:rFonts w:hint="eastAsia" w:ascii="宋体" w:hAnsi="宋体" w:eastAsia="宋体" w:cs="宋体"/>
          <w:color w:val="auto"/>
          <w:sz w:val="28"/>
          <w:szCs w:val="28"/>
          <w:highlight w:val="none"/>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highlight w:val="none"/>
        </w:rPr>
      </w:pPr>
      <w:bookmarkStart w:id="121" w:name="_Toc10175"/>
      <w:bookmarkStart w:id="122" w:name="_Toc8796"/>
      <w:r>
        <w:rPr>
          <w:rStyle w:val="98"/>
          <w:rFonts w:hint="eastAsia" w:ascii="宋体" w:hAnsi="宋体" w:eastAsia="宋体" w:cs="宋体"/>
          <w:sz w:val="32"/>
          <w:szCs w:val="32"/>
          <w:highlight w:val="none"/>
          <w:lang w:val="en-US" w:eastAsia="zh-CN"/>
        </w:rPr>
        <w:t>九</w:t>
      </w:r>
      <w:r>
        <w:rPr>
          <w:rStyle w:val="98"/>
          <w:rFonts w:hint="eastAsia" w:ascii="宋体" w:hAnsi="宋体" w:eastAsia="宋体" w:cs="宋体"/>
          <w:sz w:val="32"/>
          <w:szCs w:val="32"/>
          <w:highlight w:val="none"/>
        </w:rPr>
        <w:t>、</w:t>
      </w:r>
      <w:r>
        <w:rPr>
          <w:rStyle w:val="98"/>
          <w:rFonts w:hint="eastAsia" w:ascii="宋体" w:hAnsi="宋体" w:eastAsia="宋体" w:cs="宋体"/>
          <w:sz w:val="32"/>
          <w:szCs w:val="32"/>
          <w:highlight w:val="none"/>
          <w:lang w:val="en-US" w:eastAsia="zh-CN"/>
        </w:rPr>
        <w:t>其他资料（如有）</w:t>
      </w:r>
      <w:bookmarkEnd w:id="121"/>
      <w:bookmarkEnd w:id="122"/>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FEE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75F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6B0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气候与地质灾害一体化防治技术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250220CC"/>
    <w:multiLevelType w:val="singleLevel"/>
    <w:tmpl w:val="250220CC"/>
    <w:lvl w:ilvl="0" w:tentative="0">
      <w:start w:val="3"/>
      <w:numFmt w:val="decimal"/>
      <w:suff w:val="space"/>
      <w:lvlText w:val="%1."/>
      <w:lvlJc w:val="left"/>
    </w:lvl>
  </w:abstractNum>
  <w:abstractNum w:abstractNumId="6">
    <w:nsid w:val="3B3C56B2"/>
    <w:multiLevelType w:val="singleLevel"/>
    <w:tmpl w:val="3B3C56B2"/>
    <w:lvl w:ilvl="0" w:tentative="0">
      <w:start w:val="1"/>
      <w:numFmt w:val="decimal"/>
      <w:suff w:val="space"/>
      <w:lvlText w:val="%1."/>
      <w:lvlJc w:val="left"/>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8"/>
  </w:num>
  <w:num w:numId="2">
    <w:abstractNumId w:val="7"/>
  </w:num>
  <w:num w:numId="3">
    <w:abstractNumId w:val="0"/>
  </w:num>
  <w:num w:numId="4">
    <w:abstractNumId w:val="2"/>
  </w:num>
  <w:num w:numId="5">
    <w:abstractNumId w:val="5"/>
  </w:num>
  <w:num w:numId="6">
    <w:abstractNumId w:val="6"/>
  </w:num>
  <w:num w:numId="7">
    <w:abstractNumId w:val="3"/>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5355AE"/>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9E7D35"/>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163408"/>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3C52A0"/>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8FC71E0"/>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DC0431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69580F"/>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27731</Words>
  <Characters>29240</Characters>
  <Lines>297</Lines>
  <Paragraphs>83</Paragraphs>
  <TotalTime>0</TotalTime>
  <ScaleCrop>false</ScaleCrop>
  <LinksUpToDate>false</LinksUpToDate>
  <CharactersWithSpaces>29581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