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427047">
      <w:pPr>
        <w:jc w:val="center"/>
        <w:rPr>
          <w:rFonts w:hint="eastAsia" w:ascii="仿宋" w:hAnsi="仿宋" w:eastAsia="仿宋" w:cs="仿宋"/>
          <w:b/>
          <w:bCs/>
          <w:sz w:val="36"/>
          <w:szCs w:val="44"/>
          <w:lang w:val="en-US" w:eastAsia="zh-CN"/>
        </w:rPr>
      </w:pPr>
      <w:r>
        <w:rPr>
          <w:rFonts w:hint="eastAsia" w:ascii="仿宋" w:hAnsi="仿宋" w:eastAsia="仿宋" w:cs="仿宋"/>
          <w:b/>
          <w:bCs/>
          <w:sz w:val="36"/>
          <w:szCs w:val="44"/>
          <w:lang w:val="en-US" w:eastAsia="zh-CN"/>
        </w:rPr>
        <w:t>采购需求</w:t>
      </w:r>
    </w:p>
    <w:p w14:paraId="78439BE0">
      <w:pPr>
        <w:pStyle w:val="8"/>
        <w:rPr>
          <w:rFonts w:hint="default"/>
        </w:rPr>
      </w:pPr>
      <w:r>
        <w:rPr>
          <w:rFonts w:ascii="仿宋_GB2312" w:hAnsi="仿宋_GB2312" w:eastAsia="仿宋_GB2312" w:cs="仿宋_GB2312"/>
        </w:rPr>
        <w:t>采购包1：</w:t>
      </w:r>
    </w:p>
    <w:p w14:paraId="05E7F2B6">
      <w:pPr>
        <w:pStyle w:val="8"/>
        <w:rPr>
          <w:rFonts w:hint="default" w:eastAsia="仿宋_GB2312"/>
          <w:lang w:val="en-US" w:eastAsia="zh-CN"/>
        </w:rPr>
      </w:pPr>
      <w:r>
        <w:rPr>
          <w:rFonts w:ascii="仿宋_GB2312" w:hAnsi="仿宋_GB2312" w:eastAsia="仿宋_GB2312" w:cs="仿宋_GB2312"/>
        </w:rPr>
        <w:t>标的名称：</w:t>
      </w:r>
      <w:r>
        <w:rPr>
          <w:rFonts w:ascii="仿宋_GB2312" w:hAnsi="仿宋_GB2312" w:eastAsia="仿宋_GB2312" w:cs="仿宋_GB2312"/>
          <w:lang w:eastAsia="zh-CN"/>
        </w:rPr>
        <w:t>教务管理系统</w:t>
      </w:r>
      <w:r>
        <w:rPr>
          <w:rFonts w:hint="eastAsia" w:ascii="仿宋_GB2312" w:hAnsi="仿宋_GB2312" w:eastAsia="仿宋_GB2312" w:cs="仿宋_GB2312"/>
          <w:lang w:val="en-US" w:eastAsia="zh-CN"/>
        </w:rPr>
        <w:t>建设</w:t>
      </w:r>
    </w:p>
    <w:tbl>
      <w:tblPr>
        <w:tblStyle w:val="5"/>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02"/>
        <w:gridCol w:w="805"/>
        <w:gridCol w:w="6800"/>
      </w:tblGrid>
      <w:tr w14:paraId="081190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702" w:type="dxa"/>
          </w:tcPr>
          <w:p w14:paraId="3637EB25">
            <w:pPr>
              <w:pStyle w:val="8"/>
              <w:rPr>
                <w:rFonts w:hint="default"/>
              </w:rPr>
            </w:pPr>
            <w:r>
              <w:rPr>
                <w:rFonts w:ascii="仿宋_GB2312" w:hAnsi="仿宋_GB2312" w:eastAsia="仿宋_GB2312" w:cs="仿宋_GB2312"/>
              </w:rPr>
              <w:t>序号</w:t>
            </w:r>
          </w:p>
        </w:tc>
        <w:tc>
          <w:tcPr>
            <w:tcW w:w="805" w:type="dxa"/>
          </w:tcPr>
          <w:p w14:paraId="3A48317E">
            <w:pPr>
              <w:pStyle w:val="8"/>
              <w:rPr>
                <w:rFonts w:hint="default" w:ascii="仿宋_GB2312" w:hAnsi="仿宋_GB2312" w:eastAsia="仿宋_GB2312" w:cs="仿宋_GB2312"/>
              </w:rPr>
            </w:pPr>
            <w:r>
              <w:rPr>
                <w:rFonts w:ascii="仿宋_GB2312" w:hAnsi="仿宋_GB2312" w:eastAsia="仿宋_GB2312" w:cs="仿宋_GB2312"/>
              </w:rPr>
              <w:t>参数</w:t>
            </w:r>
          </w:p>
          <w:p w14:paraId="495DC127">
            <w:pPr>
              <w:pStyle w:val="8"/>
              <w:rPr>
                <w:rFonts w:hint="default"/>
              </w:rPr>
            </w:pPr>
            <w:r>
              <w:rPr>
                <w:rFonts w:ascii="仿宋_GB2312" w:hAnsi="仿宋_GB2312" w:eastAsia="仿宋_GB2312" w:cs="仿宋_GB2312"/>
              </w:rPr>
              <w:t>性质</w:t>
            </w:r>
          </w:p>
        </w:tc>
        <w:tc>
          <w:tcPr>
            <w:tcW w:w="6800" w:type="dxa"/>
          </w:tcPr>
          <w:p w14:paraId="3207A3AF">
            <w:pPr>
              <w:pStyle w:val="8"/>
              <w:rPr>
                <w:rFonts w:hint="default"/>
              </w:rPr>
            </w:pPr>
            <w:r>
              <w:rPr>
                <w:rFonts w:ascii="仿宋_GB2312" w:hAnsi="仿宋_GB2312" w:eastAsia="仿宋_GB2312" w:cs="仿宋_GB2312"/>
              </w:rPr>
              <w:t xml:space="preserve"> 技术参数与性能指标</w:t>
            </w:r>
          </w:p>
        </w:tc>
      </w:tr>
      <w:tr w14:paraId="19BEE7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02" w:type="dxa"/>
          </w:tcPr>
          <w:p w14:paraId="6C5CC59D">
            <w:pPr>
              <w:pStyle w:val="8"/>
              <w:rPr>
                <w:rFonts w:hint="default"/>
              </w:rPr>
            </w:pPr>
            <w:r>
              <w:rPr>
                <w:rFonts w:ascii="仿宋_GB2312" w:hAnsi="仿宋_GB2312" w:eastAsia="仿宋_GB2312" w:cs="仿宋_GB2312"/>
              </w:rPr>
              <w:t>1</w:t>
            </w:r>
          </w:p>
        </w:tc>
        <w:tc>
          <w:tcPr>
            <w:tcW w:w="805" w:type="dxa"/>
          </w:tcPr>
          <w:p w14:paraId="097A5B1D"/>
        </w:tc>
        <w:tc>
          <w:tcPr>
            <w:tcW w:w="6800" w:type="dxa"/>
          </w:tcPr>
          <w:p w14:paraId="2DA607EE">
            <w:pPr>
              <w:pStyle w:val="8"/>
              <w:rPr>
                <w:rFonts w:hint="default" w:ascii="仿宋_GB2312" w:hAnsi="仿宋_GB2312" w:eastAsia="仿宋_GB2312" w:cs="仿宋_GB2312"/>
                <w:lang w:eastAsia="zh-CN"/>
              </w:rPr>
            </w:pPr>
            <w:r>
              <w:rPr>
                <w:rFonts w:ascii="仿宋_GB2312" w:hAnsi="仿宋_GB2312" w:eastAsia="仿宋_GB2312" w:cs="仿宋_GB2312"/>
                <w:lang w:eastAsia="zh-CN"/>
              </w:rPr>
              <w:t>一、技术参数及要求</w:t>
            </w:r>
          </w:p>
          <w:p w14:paraId="1AFC0EAA">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1.设计要求</w:t>
            </w:r>
          </w:p>
          <w:p w14:paraId="0F064043">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（1）采用面向服务架构的设计理念，遵循一体化、智能化、移动化的设计原则。</w:t>
            </w:r>
          </w:p>
          <w:p w14:paraId="3078FE60">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（2）微服务方式实现业务功能拓展，通过校园服务总线统一归口管理各种服务。</w:t>
            </w:r>
          </w:p>
          <w:p w14:paraId="3BD0914C">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（3）平台采用本地化部署，分布式云部署结构，支持负载均衡、集群部署及虚拟化。</w:t>
            </w:r>
          </w:p>
          <w:p w14:paraId="70D4CB30">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（4）采用B/S结构、无须安装客户端软件。</w:t>
            </w:r>
          </w:p>
          <w:p w14:paraId="6278062A">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（5）系统对接严格按照教育部信息化标杆校观测指标要求和学校数据标准进行全量数据对接。</w:t>
            </w:r>
          </w:p>
          <w:p w14:paraId="04C7386A">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2.功能要求</w:t>
            </w:r>
          </w:p>
          <w:p w14:paraId="1D9AC380">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以教学管理全过程为主线、学分制稳步推进为目的、随时随地处理业务的各功能模块共计19个（具体见附件1），所有模块中的具体内容需要结合学校实际，按照学校实际工作要求在原本的系统软件中进行再配制、再修改、二次开发。教务管理系统可与学校数据中台进行全量数据对接，所有数据保证能与学校其他数据平台互通，能按照教育部全国职业教育智慧大脑院校中台数据采集要求自动生成相应的数据表。19个模块分别为：</w:t>
            </w:r>
          </w:p>
          <w:p w14:paraId="5AD76B73">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（1）基础设置模块：包括系统设置、权限设置、操作设置和更新管理。本模块需包含本地化部署相关工作。</w:t>
            </w:r>
          </w:p>
          <w:p w14:paraId="152A12B9">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（2）基本数据管理模块：包括学校学年学期专业班级等数据以及教室等公共资源数据。</w:t>
            </w:r>
          </w:p>
          <w:p w14:paraId="6A30C914">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（3）师资管理模块：包括任课教师信息维护、教学日历填写等。本模块需要支持与其他业务系统对接，拉取数据。</w:t>
            </w:r>
          </w:p>
          <w:p w14:paraId="39CBF94D">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学籍管理模块：包括学生基本信息维护、学籍卡打印、异动处理、学生信息导入导出、报到注册服务、学生奖惩管理、学分及学业预警、学业信息查询、学生数据统计、打印报表等。本模块需要支持与其他业务系统对接，如学工、实习等。</w:t>
            </w:r>
          </w:p>
          <w:p w14:paraId="07D164FC">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（5）课程库管理模块：对课程信息进行维护，支持多种格式导入，同时具有增加、修改、查看、删除和组合查询的功能，课程信息包括课程名称、课程编号、课程性质、课程类别等。</w:t>
            </w:r>
          </w:p>
          <w:p w14:paraId="6B0B7B27">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6）人才培养方案管理模块：包括培养方案制定、审核与查询，可以根据行政班、教师、课程、学时类型、开课周次等不同的维度查看开课统计情况。本模块应为单独的人培系统，支持线上修订、智能导入等功能。</w:t>
            </w:r>
          </w:p>
          <w:p w14:paraId="75AA1651">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7）排课管理模块：灵活设置教师的带课方式和规则，设置每门课的周学时。为满足二级学院排课的管理需要，可针对不同院系设置不同的排课类别，每个类别对应的排课部门、排课教室、开课数据，依据排课算法分类分批次实现课表编排。落实专业人才培养方案、授课任务。本模块要包含人才培养方案落实、授课任务下达、选课、排课等功能，是市场上现行各类教务管理系统人才培养方案落实、授课任务下达、选课、排课等模块的集合。</w:t>
            </w:r>
          </w:p>
          <w:p w14:paraId="3CA553FE">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8）考务管理模块：根据设置的考试参数如教室、课程、考试形式、考试时间、监考资源等自动排考，考试安排、监考安排等可以在线查询，并且可以按学年学期、组考单位、考试批次等统计教职工参与监考的人次、考试安排考场数、参考人数。本模块应支持与考试平台（学校现用的公共课程教学平台以及未来要建设的各类在线课程考试平台）数据联动。</w:t>
            </w:r>
          </w:p>
          <w:p w14:paraId="72BD4A8A">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9）成绩管理模块：包括考试名单生成、成绩录入设置、免修缓考在线申请与审核、成绩录入进度监控、成绩维护与查询等。本模块应能直接获取网络教学平台（学校现用的公共课程教学平台以及未来要建设的各类在线课程考试平台）成绩，并且获得过程成绩。</w:t>
            </w:r>
          </w:p>
          <w:p w14:paraId="1A674B1B">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（10）重修管理模块：生成重修名单，进行重修课程设置、费用计算等。</w:t>
            </w:r>
          </w:p>
          <w:p w14:paraId="21FD8F38">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11）实习管理模块：实习管理系统可实现全过程管理，可以实现对实习实训前中后期全过程管理，包含对实习、实训或劳动实践的计划、执行、评价和改进等各个阶段的管理。实习实训管理平台可以通过技术手段如实时监控、数据分析等，实现对学生实践活动的全程跟踪和管理，以确保实践教学的质量和效果。本模块应提供单独的业务系统，支持签到、日报、月报、实习总结等功能。</w:t>
            </w:r>
          </w:p>
          <w:p w14:paraId="65B8A54B">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（12）教材管理模块：包括基础数据维护、教材基本信息维护、教材库存管理、费用管理和教材发放管理等。</w:t>
            </w:r>
          </w:p>
          <w:p w14:paraId="5EE8E36A">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13）教学过程及工作量管理模块：详细记录教师教学活动全过程，对所有教师生成个人画像，包括个人信息、所教课程、学生人数、在线时长、课堂互动等情况，并按相应指标进行过程性考核。自定义参数和计算公式对工作量进行计算，并可按学期、教师号、工作量类型、工作量区间、姓名、职称、外聘、所在院系等维度查看并统计工作量。支持线上额外工作量申请与审批，教师也可以在线查看和申请修改工作量。</w:t>
            </w:r>
          </w:p>
          <w:p w14:paraId="7D453ED1">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14）评教管理模块：评教管理模块：设置教学质量评价指标体系，根据课程信息设置评价范围，生成评价安排，发放调查问卷。各个评价主体成员通过校园网/互联网、依据评价指标体系与问卷题目，对相应评价范围内的课程/环节、班级、教师进行评价，并处理相应的数据信息。评价包括学生评教师和课程、教师评班级、同行互评、领导（含督导、二级学院教学管理人员）评教师。评价结果提供统计报表和数据分析。对于学生评教，可以设置不参与评教的学生无法查询学期末考试成绩。</w:t>
            </w:r>
          </w:p>
          <w:p w14:paraId="44509FD4">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（15）教学项目评审模块：对项目的申报、开题、中检、结题的信息进行管理。</w:t>
            </w:r>
          </w:p>
          <w:p w14:paraId="5228B247">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16）考勤督查模块：支持多终端使用。支持二维码、手势、位置等签到方式，支持设置多种考勤状态；管理员能在后台设置签到规则；为管理员提供开课、签到详情，课程、学生到课及教师发签到统计数据，能有效解决传统的签到考勤方式效率低下且易出错的问题。本模块需支持全校范围签到考勤执行、数据分析、预警推送等功能。</w:t>
            </w:r>
          </w:p>
          <w:p w14:paraId="2ED2F4F8">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17）毕业管理模块：支持一键审核毕业学生的毕业情况，同时显示审核通过或不通过原因；可设置毕业学分要求和毕业条件，符合学分制要求；支持输出毕业生名单，方便进行数据上报；支持毕业设计上传、教师线上批阅修改，毕业设计资料存档、输出；支持结业换证报名管理、结业换证考试管理、结业换证成绩管理。</w:t>
            </w:r>
          </w:p>
          <w:p w14:paraId="6D1A9306">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18）教务数据分析展示模块：支持全校学生基本数据、学生异动数据等图形分析和导出展示；对教师数据进行分析，可生成不同分析图表展示；可对全校专业数据、各系部和不同培养层次专业数据进行分析统计；可对不同学期的各院系开课数据和选课数据进行分析对比。</w:t>
            </w:r>
          </w:p>
          <w:p w14:paraId="14F115CC">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19）移动客户端模块：学生可进行校历、课表、选课、成绩、学业进程、考试信息、个人信息、空闲教室、学籍预警、教务通知的查询。教师端可进行个人信息、教务通知、教学任务、课表、监考信息、学生成绩、空教室、全校性课表、校历的查询。实现微应用管理，自定义设置各类数据引擎，辅助教务工作。多样化的门户设置和模板，为学校提供门户建设的个性化路径。提供学生和老师的日常问题库，也可对接资源库和大模型，使老师和学生的使用智能化。</w:t>
            </w:r>
          </w:p>
          <w:p w14:paraId="75A9F72A">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3.移动端建设要求</w:t>
            </w:r>
          </w:p>
          <w:p w14:paraId="65CD20B9">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移动端须与学校移动校园集成，覆盖教学全过程管理，通过智能手机或平板电脑，为全体教师、学生提供专有、个性化、订制化移动信息服务。</w:t>
            </w:r>
          </w:p>
          <w:p w14:paraId="49886A40">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4.部署要求</w:t>
            </w:r>
          </w:p>
          <w:p w14:paraId="6F99B68F">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因涉及学校核心数据，平台须本地化部署，系统支持集群部署及虚拟化。集群节点可以随时加入或退出，不同节点实时检查、自动同步，既可提高系统的稳定性，又可提高并发情况的系统性能，系统须支持10000人及以上的并发操作。</w:t>
            </w:r>
          </w:p>
          <w:p w14:paraId="05278BD3">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5.数据迁移要求</w:t>
            </w:r>
          </w:p>
          <w:p w14:paraId="678553D5">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为保证历年来教学管理数据得以保存，平台建设必须保留现有教务管理系统的相关数据结构，实现所有历史数据的无缝迁移。</w:t>
            </w:r>
          </w:p>
          <w:p w14:paraId="5E3FACB0">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6.数据关联严谨性要求</w:t>
            </w:r>
          </w:p>
          <w:p w14:paraId="33C21555">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系统必须具有严谨的数据关联，对于已产生前后关联的数据，系统具备通过改变文字颜色等明显的提醒控制策略，以防止误操作带来的数据安全隐患。</w:t>
            </w:r>
          </w:p>
          <w:p w14:paraId="6D68D6A6">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7.更新机制要求</w:t>
            </w:r>
          </w:p>
          <w:p w14:paraId="79886EA9">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支持系统智能维护，可实现更新包“一键下载、多台应用服务器自动同步更新”，支持系统本地测试更新，不得通过FTP、QQ、邮件等方式传递程序文件，采用手工更新程序文件(更新程序文件时，不能停止应用服务器)，确保系统维护的稳定性。</w:t>
            </w:r>
          </w:p>
          <w:p w14:paraId="41AC96D4">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8.数据集中对接要求</w:t>
            </w:r>
          </w:p>
          <w:p w14:paraId="70FCDC10">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必须提供单点登录和数据集成接口，可与学校数据中台进行全量数据对接。所有数据保证能与其他数据平台互通，如教务管理系统中学生数据来自招生系统或学工系统，教师数据来自人事系统。</w:t>
            </w:r>
          </w:p>
          <w:p w14:paraId="25A4492C">
            <w:pP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9.建设模式要求</w:t>
            </w:r>
          </w:p>
          <w:p w14:paraId="153A2421">
            <w:pPr>
              <w:rPr>
                <w:rFonts w:ascii="仿宋_GB2312" w:hAnsi="仿宋_GB2312" w:eastAsia="仿宋_GB2312" w:cs="仿宋_GB2312"/>
              </w:rPr>
            </w:pPr>
            <w:r>
              <w:rPr>
                <w:rFonts w:hint="eastAsia" w:ascii="仿宋_GB2312" w:hAnsi="仿宋_GB2312" w:eastAsia="仿宋_GB2312" w:cs="仿宋_GB2312"/>
                <w:kern w:val="0"/>
                <w:sz w:val="20"/>
                <w:szCs w:val="20"/>
              </w:rPr>
              <w:t>必须基于我校实际情况，满足一体化教学精细化管理的需要，能够将业务管理过程中的繁琐的、重复性的工作通过技术手段简便化、智能化，以提高教学管理质量及管理效率。能够保证响应学校的个性化需求，使用过程中允许根据实际情况对某些功能进行变更调整。</w:t>
            </w:r>
          </w:p>
        </w:tc>
      </w:tr>
      <w:tr w14:paraId="01E027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02" w:type="dxa"/>
          </w:tcPr>
          <w:p w14:paraId="5BF585E2">
            <w:pPr>
              <w:pStyle w:val="8"/>
              <w:rPr>
                <w:rFonts w:hint="default" w:ascii="仿宋_GB2312" w:hAnsi="仿宋_GB2312" w:eastAsia="仿宋_GB2312" w:cs="仿宋_GB2312"/>
                <w:lang w:eastAsia="zh-CN"/>
              </w:rPr>
            </w:pPr>
            <w:r>
              <w:rPr>
                <w:rFonts w:ascii="仿宋_GB2312" w:hAnsi="仿宋_GB2312" w:eastAsia="仿宋_GB2312" w:cs="仿宋_GB2312"/>
                <w:lang w:eastAsia="zh-CN"/>
              </w:rPr>
              <w:t>2</w:t>
            </w:r>
          </w:p>
        </w:tc>
        <w:tc>
          <w:tcPr>
            <w:tcW w:w="805" w:type="dxa"/>
          </w:tcPr>
          <w:p w14:paraId="2598A428"/>
        </w:tc>
        <w:tc>
          <w:tcPr>
            <w:tcW w:w="6800" w:type="dxa"/>
          </w:tcPr>
          <w:p w14:paraId="45DA4BA6">
            <w:pPr>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二、教务管理系统各模块需求</w:t>
            </w:r>
          </w:p>
          <w:p w14:paraId="01DD6736">
            <w:pPr>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以教学管理全过程为主线、学分制稳步推进为目的、随时随地处理业务的各功能模块共计19个，所有模块中的具体内容需要结合学校实际，按照学校实际工作要求在原本的系统软件中进行再配制、再修改、二次开发。教务管理系统可与学校数据中台进行全量数据对接，所有数据保证能与学校其他数据平台互通，能按照教育部全国职业教育智慧大脑院校中台数据采集要求自动生成相应的数据表。</w:t>
            </w:r>
          </w:p>
          <w:p w14:paraId="048694C0">
            <w:pP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（一）基础设置：</w:t>
            </w:r>
          </w:p>
          <w:tbl>
            <w:tblPr>
              <w:tblStyle w:val="5"/>
              <w:tblW w:w="5000" w:type="pct"/>
              <w:tblInd w:w="0" w:type="dxa"/>
              <w:tblLayout w:type="autofit"/>
              <w:tblCellMar>
                <w:top w:w="0" w:type="dxa"/>
                <w:left w:w="108" w:type="dxa"/>
                <w:bottom w:w="0" w:type="dxa"/>
                <w:right w:w="108" w:type="dxa"/>
              </w:tblCellMar>
            </w:tblPr>
            <w:tblGrid>
              <w:gridCol w:w="6584"/>
            </w:tblGrid>
            <w:tr w14:paraId="4226E4A9">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55D8E665">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1.支持登录页面流程化管理，可根据首页不同模块功能设置的流程图点击进入相应页面，为老师提供方便熟悉系统操作流程，应受权限配置的限制，无相应操作权限的用户无法进入。</w:t>
                  </w:r>
                </w:p>
              </w:tc>
            </w:tr>
            <w:tr w14:paraId="1E403318">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77786F52">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2.系统支持用户登录后不用重新登录的方式进行角色界面灵活切换。</w:t>
                  </w:r>
                </w:p>
              </w:tc>
            </w:tr>
            <w:tr w14:paraId="4E9B0830">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52F3ADF0">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3.支持系统不同角色功能权限的灵活设置，每个角色的功能权限设置可精细到页面的功能点；可以根据不同</w:t>
                  </w:r>
                  <w:r>
                    <w:rPr>
                      <w:rFonts w:hint="eastAsia" w:ascii="仿宋_GB2312" w:hAnsi="仿宋_GB2312" w:eastAsia="仿宋_GB2312" w:cs="仿宋_GB2312"/>
                      <w:kern w:val="0"/>
                      <w:sz w:val="20"/>
                      <w:szCs w:val="20"/>
                      <w:highlight w:val="none"/>
                    </w:rPr>
                    <w:t>功能设置不同的用户权限，并按级别分成不同的权限等级。并支持对权限操作进行记录的功能，包括具体的操作时间、操作类型、操作人等详细信息。为了方便我校的工作划分和流程管理，系统授权除了功能精确授权外还需对数据进行角色以及个人的授权。（包括有课程数据、学生数据和教师数据）</w:t>
                  </w:r>
                </w:p>
              </w:tc>
            </w:tr>
            <w:tr w14:paraId="6B38F41F">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624FF2CA">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4.课程数据权限可实现对院系和专业、教研室权限的管理，方便把课程管理和开课管理、排课管理等权限分配给院系。</w:t>
                  </w:r>
                </w:p>
              </w:tc>
            </w:tr>
            <w:tr w14:paraId="34545C99">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46470EB7">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5.学生数据权限，方便按照校区、院系、专业、班级、年级等对学生进行有效管理。</w:t>
                  </w:r>
                </w:p>
              </w:tc>
            </w:tr>
            <w:tr w14:paraId="407E4439">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0BBD80C7">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6.师资数据权限，方便对教师信息进行分配和维护。</w:t>
                  </w:r>
                </w:p>
              </w:tc>
            </w:tr>
            <w:tr w14:paraId="43AA9E3D">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34C478C7">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7.支持菜单自定义管理，可自定义设置菜单显示的顺序、菜单名称及是否需要该菜单、是否显示等，方便按照学校的使用习惯和命名习惯进行设置。</w:t>
                  </w:r>
                </w:p>
              </w:tc>
            </w:tr>
            <w:tr w14:paraId="1E459236">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7D3CAB2F">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8.支持登陆状态的灵活设置，如根据学生的注册状态、离校状态、教师在职状态、离线时间等设置登陆情况；</w:t>
                  </w:r>
                </w:p>
              </w:tc>
            </w:tr>
            <w:tr w14:paraId="70194ED7">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212DF5ED">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9.支持通知公告的发送和管理，通知公告可针对不同的角色、个人或分组进行发布（可根据需要对用户进行分组）。</w:t>
                  </w:r>
                </w:p>
              </w:tc>
            </w:tr>
            <w:tr w14:paraId="780C1050">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42133BB2">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10.系统日志管理：支持查看系统中的登录及操作日志，可以查看登录用户的IP及时间。</w:t>
                  </w:r>
                </w:p>
              </w:tc>
            </w:tr>
            <w:tr w14:paraId="6A2961CA">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58E5DACC">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11.</w:t>
                  </w:r>
                  <w:r>
                    <w:rPr>
                      <w:rFonts w:hint="eastAsia" w:ascii="仿宋_GB2312" w:hAnsi="仿宋_GB2312" w:eastAsia="仿宋_GB2312" w:cs="仿宋_GB2312"/>
                      <w:kern w:val="0"/>
                      <w:sz w:val="20"/>
                      <w:szCs w:val="20"/>
                      <w:lang w:val="zh-CN"/>
                    </w:rPr>
                    <w:t>系统界面提供智能引导</w:t>
                  </w:r>
                  <w:r>
                    <w:rPr>
                      <w:rFonts w:hint="eastAsia" w:ascii="仿宋_GB2312" w:hAnsi="仿宋_GB2312" w:eastAsia="仿宋_GB2312" w:cs="仿宋_GB2312"/>
                      <w:kern w:val="0"/>
                      <w:sz w:val="20"/>
                      <w:szCs w:val="20"/>
                    </w:rPr>
                    <w:t>机器人</w:t>
                  </w:r>
                  <w:r>
                    <w:rPr>
                      <w:rFonts w:hint="eastAsia" w:ascii="仿宋_GB2312" w:hAnsi="仿宋_GB2312" w:eastAsia="仿宋_GB2312" w:cs="仿宋_GB2312"/>
                      <w:kern w:val="0"/>
                      <w:sz w:val="20"/>
                      <w:szCs w:val="20"/>
                      <w:lang w:val="zh-CN"/>
                    </w:rPr>
                    <w:t>，既可以在线与智能</w:t>
                  </w:r>
                  <w:r>
                    <w:rPr>
                      <w:rFonts w:hint="eastAsia" w:ascii="仿宋_GB2312" w:hAnsi="仿宋_GB2312" w:eastAsia="仿宋_GB2312" w:cs="仿宋_GB2312"/>
                      <w:kern w:val="0"/>
                      <w:sz w:val="20"/>
                      <w:szCs w:val="20"/>
                    </w:rPr>
                    <w:t>引导机器人</w:t>
                  </w:r>
                  <w:r>
                    <w:rPr>
                      <w:rFonts w:hint="eastAsia" w:ascii="仿宋_GB2312" w:hAnsi="仿宋_GB2312" w:eastAsia="仿宋_GB2312" w:cs="仿宋_GB2312"/>
                      <w:kern w:val="0"/>
                      <w:sz w:val="20"/>
                      <w:szCs w:val="20"/>
                      <w:lang w:val="zh-CN"/>
                    </w:rPr>
                    <w:t>解决系统操作和使用问题，也可以转人工在线，为操作员和师生提供便捷。</w:t>
                  </w:r>
                </w:p>
              </w:tc>
            </w:tr>
            <w:tr w14:paraId="4F4C2AC5">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4D670D86">
                  <w:pPr>
                    <w:pStyle w:val="9"/>
                    <w:framePr w:wrap="auto" w:vAnchor="margin" w:hAnchor="text" w:yAlign="inline"/>
                    <w:widowControl/>
                    <w:jc w:val="left"/>
                    <w:rPr>
                      <w:rFonts w:hint="default" w:ascii="仿宋_GB2312" w:hAnsi="仿宋_GB2312" w:eastAsia="仿宋_GB2312" w:cs="仿宋_GB2312"/>
                      <w:kern w:val="0"/>
                      <w:sz w:val="20"/>
                      <w:szCs w:val="20"/>
                    </w:rPr>
                  </w:pPr>
                  <w:r>
                    <w:rPr>
                      <w:rFonts w:ascii="仿宋_GB2312" w:hAnsi="仿宋_GB2312" w:eastAsia="仿宋_GB2312" w:cs="仿宋_GB2312"/>
                      <w:kern w:val="0"/>
                      <w:sz w:val="20"/>
                      <w:szCs w:val="20"/>
                    </w:rPr>
                    <w:t>▲12.系统须支持自定义报表服务（纸质课表、成绩单、学籍卡等），系统可开放上传报表功能，做好报表后管理人员可以随时上传。</w:t>
                  </w:r>
                </w:p>
              </w:tc>
            </w:tr>
            <w:tr w14:paraId="1A731707">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2F73C90C">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13.更新管理：提供系统更新日志查看，缓存刷新，设定系统维护时间等。</w:t>
                  </w:r>
                </w:p>
              </w:tc>
            </w:tr>
            <w:tr w14:paraId="7267E1C2">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5CCB49D7">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14.支持学校需求的个性化定制，支持学校功能模块的顺利使用。</w:t>
                  </w:r>
                </w:p>
              </w:tc>
            </w:tr>
            <w:tr w14:paraId="084DC7D7">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41946DEE">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15.支持与学校的各个平台进行数据对接，实现多个平台的数据互通。</w:t>
                  </w:r>
                </w:p>
              </w:tc>
            </w:tr>
            <w:tr w14:paraId="1191A965">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7E272D80">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16.教材供应商具有单独的角色，供应商登录之后只能看到自己供货的图书信息。</w:t>
                  </w:r>
                </w:p>
              </w:tc>
            </w:tr>
            <w:tr w14:paraId="79808977">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436DEC62">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17.支持学校与智慧大脑的对接。</w:t>
                  </w:r>
                </w:p>
              </w:tc>
            </w:tr>
            <w:tr w14:paraId="3CF98237">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07628BF9">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18.含本地化部署相关工作。</w:t>
                  </w:r>
                </w:p>
              </w:tc>
            </w:tr>
            <w:tr w14:paraId="2E0FCC85">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703AAE6A">
                  <w:pPr>
                    <w:widowControl/>
                    <w:jc w:val="left"/>
                    <w:textAlignment w:val="top"/>
                    <w:rPr>
                      <w:rFonts w:ascii="仿宋_GB2312" w:hAnsi="仿宋_GB2312" w:eastAsia="仿宋_GB2312" w:cs="仿宋_GB2312"/>
                      <w:kern w:val="0"/>
                      <w:sz w:val="20"/>
                      <w:szCs w:val="20"/>
                      <w:highlight w:val="none"/>
                    </w:rPr>
                  </w:pPr>
                  <w:r>
                    <w:rPr>
                      <w:rFonts w:hint="eastAsia" w:ascii="仿宋_GB2312" w:hAnsi="仿宋_GB2312" w:eastAsia="仿宋_GB2312" w:cs="仿宋_GB2312"/>
                      <w:kern w:val="0"/>
                      <w:sz w:val="20"/>
                      <w:szCs w:val="20"/>
                      <w:highlight w:val="none"/>
                    </w:rPr>
                    <w:t>19.系统界面提供AI协助功能，既可以在线采用AI智能体解决系统操作和使用问题，也可以转人工在线，为操作员和师生提供便捷。</w:t>
                  </w:r>
                </w:p>
              </w:tc>
            </w:tr>
          </w:tbl>
          <w:p w14:paraId="35D31604">
            <w:pPr>
              <w:jc w:val="left"/>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（二）基本数据管理：</w:t>
            </w:r>
          </w:p>
          <w:tbl>
            <w:tblPr>
              <w:tblStyle w:val="5"/>
              <w:tblW w:w="5000" w:type="pct"/>
              <w:tblInd w:w="0" w:type="dxa"/>
              <w:tblLayout w:type="autofit"/>
              <w:tblCellMar>
                <w:top w:w="0" w:type="dxa"/>
                <w:left w:w="108" w:type="dxa"/>
                <w:bottom w:w="0" w:type="dxa"/>
                <w:right w:w="108" w:type="dxa"/>
              </w:tblCellMar>
            </w:tblPr>
            <w:tblGrid>
              <w:gridCol w:w="6584"/>
            </w:tblGrid>
            <w:tr w14:paraId="636DA0F5">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6528C4AF">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1.对公共信息如学校信息、校区信息、部门信息、学年学期、专业信息、班级信息、学生信息、教师信息等进行管理和维护。</w:t>
                  </w:r>
                </w:p>
              </w:tc>
            </w:tr>
            <w:tr w14:paraId="25B85DD6">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41E7D8EC">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2.对资源信息如学校的教学楼、功能区、教室等基础资源进行管理和维护，可自定义设置教室类型；</w:t>
                  </w:r>
                </w:p>
              </w:tc>
            </w:tr>
            <w:tr w14:paraId="10E71E32">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6C2D1FE6">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3.支持学校专业和学信专业的对照，方便直接导出报表。</w:t>
                  </w:r>
                </w:p>
              </w:tc>
            </w:tr>
            <w:tr w14:paraId="1B1CE1D1">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08995A5B">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4.学校的所有数据导出都应该设置自定义选择字段和字段排序，方便各用户按照所需要的方式进行导出。</w:t>
                  </w:r>
                </w:p>
              </w:tc>
            </w:tr>
          </w:tbl>
          <w:p w14:paraId="17A54E6A">
            <w:pPr>
              <w:jc w:val="left"/>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（三）师资管理：</w:t>
            </w:r>
          </w:p>
          <w:tbl>
            <w:tblPr>
              <w:tblStyle w:val="5"/>
              <w:tblW w:w="5000" w:type="pct"/>
              <w:tblInd w:w="0" w:type="dxa"/>
              <w:tblLayout w:type="autofit"/>
              <w:tblCellMar>
                <w:top w:w="0" w:type="dxa"/>
                <w:left w:w="108" w:type="dxa"/>
                <w:bottom w:w="0" w:type="dxa"/>
                <w:right w:w="108" w:type="dxa"/>
              </w:tblCellMar>
            </w:tblPr>
            <w:tblGrid>
              <w:gridCol w:w="6584"/>
            </w:tblGrid>
            <w:tr w14:paraId="566B3B8F">
              <w:tc>
                <w:tcPr>
                  <w:tcW w:w="5000" w:type="pct"/>
                  <w:tcBorders>
                    <w:top w:val="single" w:color="000000" w:sz="4" w:space="0"/>
                    <w:left w:val="single" w:color="000000" w:sz="4" w:space="0"/>
                    <w:bottom w:val="single" w:color="000000" w:sz="4" w:space="0"/>
                    <w:right w:val="single" w:color="000000" w:sz="4" w:space="0"/>
                  </w:tcBorders>
                  <w:vAlign w:val="center"/>
                </w:tcPr>
                <w:p w14:paraId="395821FA">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1.师资管理主要对教师的基本信息，教师卡片等信息进行管理及维护。教师信息核心数据可批量导入，实现信息初始化，也可通过教务处和院系来维护上课教师的信息。</w:t>
                  </w:r>
                </w:p>
              </w:tc>
            </w:tr>
            <w:tr w14:paraId="5D217D0D">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288BF2D2">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2.支持师资信息学年学期库管理，可对不同学年学期的师资信息进行继承、维护管理，方便进行查询和工作量统计。</w:t>
                  </w:r>
                </w:p>
              </w:tc>
            </w:tr>
            <w:tr w14:paraId="6AE61E4C">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3345BEC8">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3.须支持教师在线填写教学文件功能，包含教学日历和教学日志等，也可在移动端APP进行填写，并且可以在线记录老师上课的考勤状态。</w:t>
                  </w:r>
                </w:p>
              </w:tc>
            </w:tr>
            <w:tr w14:paraId="2FC6AA9A">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5506C214">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4.须支持教师上传教案功能，教案可自定义设置审批流程，教案可在线查看和下载查看。</w:t>
                  </w:r>
                </w:p>
              </w:tc>
            </w:tr>
            <w:tr w14:paraId="2566532D">
              <w:tc>
                <w:tcPr>
                  <w:tcW w:w="5000" w:type="pct"/>
                  <w:tcBorders>
                    <w:top w:val="single" w:color="000000" w:sz="4" w:space="0"/>
                    <w:left w:val="single" w:color="000000" w:sz="4" w:space="0"/>
                    <w:bottom w:val="single" w:color="000000" w:sz="4" w:space="0"/>
                    <w:right w:val="single" w:color="000000" w:sz="4" w:space="0"/>
                  </w:tcBorders>
                  <w:vAlign w:val="center"/>
                </w:tcPr>
                <w:p w14:paraId="4045B432">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5.须支持教师上传教学任务功能，教学任务可自定义设置审批流程，教案可在线查看和统计。</w:t>
                  </w:r>
                </w:p>
              </w:tc>
            </w:tr>
            <w:tr w14:paraId="252A9E46">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61A2F708">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6.支持与其他业务系统对接，拉取数据。</w:t>
                  </w:r>
                </w:p>
              </w:tc>
            </w:tr>
          </w:tbl>
          <w:p w14:paraId="1A557BD5">
            <w:pPr>
              <w:jc w:val="left"/>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（四）学籍管理：</w:t>
            </w:r>
          </w:p>
          <w:tbl>
            <w:tblPr>
              <w:tblStyle w:val="5"/>
              <w:tblW w:w="5000" w:type="pct"/>
              <w:tblInd w:w="0" w:type="dxa"/>
              <w:tblLayout w:type="autofit"/>
              <w:tblCellMar>
                <w:top w:w="0" w:type="dxa"/>
                <w:left w:w="108" w:type="dxa"/>
                <w:bottom w:w="0" w:type="dxa"/>
                <w:right w:w="108" w:type="dxa"/>
              </w:tblCellMar>
            </w:tblPr>
            <w:tblGrid>
              <w:gridCol w:w="6584"/>
            </w:tblGrid>
            <w:tr w14:paraId="7573217B">
              <w:tblPrEx>
                <w:tblCellMar>
                  <w:top w:w="0" w:type="dxa"/>
                  <w:left w:w="108" w:type="dxa"/>
                  <w:bottom w:w="0" w:type="dxa"/>
                  <w:right w:w="108" w:type="dxa"/>
                </w:tblCellMar>
              </w:tblPrEx>
              <w:trPr>
                <w:trHeight w:val="20" w:hRule="atLeast"/>
              </w:trPr>
              <w:tc>
                <w:tcPr>
                  <w:tcW w:w="5000" w:type="pct"/>
                  <w:tcBorders>
                    <w:top w:val="single" w:color="000000" w:sz="4" w:space="0"/>
                    <w:left w:val="single" w:color="000000" w:sz="4" w:space="0"/>
                    <w:bottom w:val="single" w:color="000000" w:sz="4" w:space="0"/>
                    <w:right w:val="single" w:color="000000" w:sz="4" w:space="0"/>
                  </w:tcBorders>
                  <w:vAlign w:val="center"/>
                </w:tcPr>
                <w:p w14:paraId="4202614E">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1.基本功能：包括学生基本信息维护、学籍卡打印、异动处理、学生信息导入导出、报到注册服务、学生奖惩管理、学分及学业预警、学业信息查询、学生数据统计、打印报表等。</w:t>
                  </w:r>
                </w:p>
              </w:tc>
            </w:tr>
            <w:tr w14:paraId="2D9F161B">
              <w:tblPrEx>
                <w:tblCellMar>
                  <w:top w:w="0" w:type="dxa"/>
                  <w:left w:w="108" w:type="dxa"/>
                  <w:bottom w:w="0" w:type="dxa"/>
                  <w:right w:w="108" w:type="dxa"/>
                </w:tblCellMar>
              </w:tblPrEx>
              <w:trPr>
                <w:trHeight w:val="20" w:hRule="atLeast"/>
              </w:trPr>
              <w:tc>
                <w:tcPr>
                  <w:tcW w:w="5000" w:type="pct"/>
                  <w:tcBorders>
                    <w:top w:val="single" w:color="000000" w:sz="4" w:space="0"/>
                    <w:left w:val="single" w:color="000000" w:sz="4" w:space="0"/>
                    <w:bottom w:val="single" w:color="000000" w:sz="4" w:space="0"/>
                    <w:right w:val="single" w:color="000000" w:sz="4" w:space="0"/>
                  </w:tcBorders>
                  <w:vAlign w:val="center"/>
                </w:tcPr>
                <w:p w14:paraId="3ECAB6E1">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系统支持学生照片的批量上传或单个学生照片上传功能，针对批量上传学生照片功能，可以按学生的学号、考生号、身份证号等关键属性进行关联匹配，针对已有的学生照片，进行单个或批量上传更新。照片可根据需要随时进行维护和导出。人像对比部分可添加四张照片（入学前，入学后，身份证，毕业照）。</w:t>
                  </w:r>
                </w:p>
              </w:tc>
            </w:tr>
            <w:tr w14:paraId="40902ABC">
              <w:tblPrEx>
                <w:tblCellMar>
                  <w:top w:w="0" w:type="dxa"/>
                  <w:left w:w="108" w:type="dxa"/>
                  <w:bottom w:w="0" w:type="dxa"/>
                  <w:right w:w="108" w:type="dxa"/>
                </w:tblCellMar>
              </w:tblPrEx>
              <w:trPr>
                <w:trHeight w:val="20" w:hRule="atLeast"/>
              </w:trPr>
              <w:tc>
                <w:tcPr>
                  <w:tcW w:w="5000" w:type="pct"/>
                  <w:tcBorders>
                    <w:top w:val="single" w:color="000000" w:sz="4" w:space="0"/>
                    <w:left w:val="single" w:color="000000" w:sz="4" w:space="0"/>
                    <w:bottom w:val="single" w:color="000000" w:sz="4" w:space="0"/>
                    <w:right w:val="single" w:color="000000" w:sz="4" w:space="0"/>
                  </w:tcBorders>
                  <w:vAlign w:val="center"/>
                </w:tcPr>
                <w:p w14:paraId="3E57AAEB">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3.须支持与学校现有和未来使用的相关平台进行全量数据对接，支持学生学习全过程的记录与统计。</w:t>
                  </w:r>
                </w:p>
              </w:tc>
            </w:tr>
            <w:tr w14:paraId="6C667BC6">
              <w:tblPrEx>
                <w:tblCellMar>
                  <w:top w:w="0" w:type="dxa"/>
                  <w:left w:w="108" w:type="dxa"/>
                  <w:bottom w:w="0" w:type="dxa"/>
                  <w:right w:w="108" w:type="dxa"/>
                </w:tblCellMar>
              </w:tblPrEx>
              <w:trPr>
                <w:trHeight w:val="20" w:hRule="atLeast"/>
              </w:trPr>
              <w:tc>
                <w:tcPr>
                  <w:tcW w:w="5000" w:type="pct"/>
                  <w:tcBorders>
                    <w:top w:val="single" w:color="000000" w:sz="4" w:space="0"/>
                    <w:left w:val="single" w:color="000000" w:sz="4" w:space="0"/>
                    <w:bottom w:val="single" w:color="000000" w:sz="4" w:space="0"/>
                    <w:right w:val="single" w:color="000000" w:sz="4" w:space="0"/>
                  </w:tcBorders>
                  <w:vAlign w:val="center"/>
                </w:tcPr>
                <w:p w14:paraId="3E2CEC88">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支持学业情况和学籍预警管理，进行学分统计、学籍预警、学业进程监控，可以自定义设置预警类型，针对各种类型的预警提供灵活的预警条件设置功能，支持多个条件组合进行预警。可控制计算对象的学期范围、课程类别范围、课程属性范围（与学分制改革下的培养方案和课程模块化相关联），一键生成预警信息通知学生空间。</w:t>
                  </w:r>
                </w:p>
              </w:tc>
            </w:tr>
            <w:tr w14:paraId="729462DE">
              <w:tblPrEx>
                <w:tblCellMar>
                  <w:top w:w="0" w:type="dxa"/>
                  <w:left w:w="108" w:type="dxa"/>
                  <w:bottom w:w="0" w:type="dxa"/>
                  <w:right w:w="108" w:type="dxa"/>
                </w:tblCellMar>
              </w:tblPrEx>
              <w:trPr>
                <w:trHeight w:val="20" w:hRule="atLeast"/>
              </w:trPr>
              <w:tc>
                <w:tcPr>
                  <w:tcW w:w="5000" w:type="pct"/>
                  <w:tcBorders>
                    <w:top w:val="single" w:color="000000" w:sz="4" w:space="0"/>
                    <w:left w:val="single" w:color="000000" w:sz="4" w:space="0"/>
                    <w:bottom w:val="single" w:color="000000" w:sz="4" w:space="0"/>
                    <w:right w:val="single" w:color="000000" w:sz="4" w:space="0"/>
                  </w:tcBorders>
                  <w:vAlign w:val="center"/>
                </w:tcPr>
                <w:p w14:paraId="42347C7C">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5.学籍异动管理和审批。包括转专业、升降级、参军、休学复学等，异动名称须由学校自行配置，方便灵活。学籍异动既可由学籍管理人员直接进行学籍异动操作，也可按照异动流程由学生提交异动申请进行各级审批处理后完成异动，审核审批流程可以自定义调整。可以设置根据不同异动原因选择是否需要学生上传附件材料，并根据不同原因设置不同申请表单，支持表单下载。异动关联模块灵活设置，学籍异动后，针对一些关联模块会产生影响，系统提供相应的异动联动处理功能，包括：异动后的成绩处理、异动后选课处理等，也可以根据结果自动更新数据，如学生退学休学后自动删除本学期的选课数据。</w:t>
                  </w:r>
                </w:p>
              </w:tc>
            </w:tr>
            <w:tr w14:paraId="616B7CFC">
              <w:trPr>
                <w:trHeight w:val="20" w:hRule="atLeast"/>
              </w:trPr>
              <w:tc>
                <w:tcPr>
                  <w:tcW w:w="5000" w:type="pct"/>
                  <w:tcBorders>
                    <w:top w:val="single" w:color="000000" w:sz="4" w:space="0"/>
                    <w:left w:val="single" w:color="000000" w:sz="4" w:space="0"/>
                    <w:bottom w:val="single" w:color="000000" w:sz="4" w:space="0"/>
                    <w:right w:val="single" w:color="000000" w:sz="4" w:space="0"/>
                  </w:tcBorders>
                  <w:vAlign w:val="center"/>
                </w:tcPr>
                <w:p w14:paraId="18752042">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6.学籍异动可以对学生过程性数据进行调整，如（选课、成绩、学籍状态），确保后续数据的准确性。</w:t>
                  </w:r>
                </w:p>
              </w:tc>
            </w:tr>
            <w:tr w14:paraId="19F93A57">
              <w:tblPrEx>
                <w:tblCellMar>
                  <w:top w:w="0" w:type="dxa"/>
                  <w:left w:w="108" w:type="dxa"/>
                  <w:bottom w:w="0" w:type="dxa"/>
                  <w:right w:w="108" w:type="dxa"/>
                </w:tblCellMar>
              </w:tblPrEx>
              <w:trPr>
                <w:trHeight w:val="20" w:hRule="atLeast"/>
              </w:trPr>
              <w:tc>
                <w:tcPr>
                  <w:tcW w:w="5000" w:type="pct"/>
                  <w:tcBorders>
                    <w:top w:val="single" w:color="000000" w:sz="4" w:space="0"/>
                    <w:left w:val="single" w:color="000000" w:sz="4" w:space="0"/>
                    <w:bottom w:val="single" w:color="000000" w:sz="4" w:space="0"/>
                    <w:right w:val="single" w:color="000000" w:sz="4" w:space="0"/>
                  </w:tcBorders>
                  <w:vAlign w:val="center"/>
                </w:tcPr>
                <w:p w14:paraId="190A1EA3">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7.学籍异动可以根据需要如按原因、类型等进行数据统计分析，并以图标的形式展示。</w:t>
                  </w:r>
                </w:p>
              </w:tc>
            </w:tr>
            <w:tr w14:paraId="5E4AA450">
              <w:tblPrEx>
                <w:tblCellMar>
                  <w:top w:w="0" w:type="dxa"/>
                  <w:left w:w="108" w:type="dxa"/>
                  <w:bottom w:w="0" w:type="dxa"/>
                  <w:right w:w="108" w:type="dxa"/>
                </w:tblCellMar>
              </w:tblPrEx>
              <w:trPr>
                <w:trHeight w:val="20" w:hRule="atLeast"/>
              </w:trPr>
              <w:tc>
                <w:tcPr>
                  <w:tcW w:w="5000" w:type="pct"/>
                  <w:tcBorders>
                    <w:top w:val="single" w:color="000000" w:sz="4" w:space="0"/>
                    <w:left w:val="single" w:color="000000" w:sz="4" w:space="0"/>
                    <w:bottom w:val="single" w:color="000000" w:sz="4" w:space="0"/>
                    <w:right w:val="single" w:color="000000" w:sz="4" w:space="0"/>
                  </w:tcBorders>
                  <w:vAlign w:val="center"/>
                </w:tcPr>
                <w:p w14:paraId="74D51A21">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8.学生奖惩录入，可以录入学生奖惩信息，并可关联毕业审核。</w:t>
                  </w:r>
                </w:p>
              </w:tc>
            </w:tr>
            <w:tr w14:paraId="38FFD2B7">
              <w:tblPrEx>
                <w:tblCellMar>
                  <w:top w:w="0" w:type="dxa"/>
                  <w:left w:w="108" w:type="dxa"/>
                  <w:bottom w:w="0" w:type="dxa"/>
                  <w:right w:w="108" w:type="dxa"/>
                </w:tblCellMar>
              </w:tblPrEx>
              <w:trPr>
                <w:trHeight w:val="20" w:hRule="atLeast"/>
              </w:trPr>
              <w:tc>
                <w:tcPr>
                  <w:tcW w:w="5000" w:type="pct"/>
                  <w:tcBorders>
                    <w:top w:val="single" w:color="000000" w:sz="4" w:space="0"/>
                    <w:left w:val="single" w:color="000000" w:sz="4" w:space="0"/>
                    <w:bottom w:val="single" w:color="000000" w:sz="4" w:space="0"/>
                    <w:right w:val="single" w:color="000000" w:sz="4" w:space="0"/>
                  </w:tcBorders>
                  <w:vAlign w:val="center"/>
                </w:tcPr>
                <w:p w14:paraId="1B9A6730">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9.学分管理：支持查看学生学分修习总体情况，并导出学分报表，提供与学生培养方案中毕业学分要求进行总体对比，以及按照课程性质详细对比，掌握学生学分情况。</w:t>
                  </w:r>
                </w:p>
              </w:tc>
            </w:tr>
            <w:tr w14:paraId="6BF345B7">
              <w:tblPrEx>
                <w:tblCellMar>
                  <w:top w:w="0" w:type="dxa"/>
                  <w:left w:w="108" w:type="dxa"/>
                  <w:bottom w:w="0" w:type="dxa"/>
                  <w:right w:w="108" w:type="dxa"/>
                </w:tblCellMar>
              </w:tblPrEx>
              <w:trPr>
                <w:trHeight w:val="20" w:hRule="atLeast"/>
              </w:trPr>
              <w:tc>
                <w:tcPr>
                  <w:tcW w:w="5000" w:type="pct"/>
                  <w:tcBorders>
                    <w:top w:val="single" w:color="000000" w:sz="4" w:space="0"/>
                    <w:left w:val="single" w:color="000000" w:sz="4" w:space="0"/>
                    <w:bottom w:val="single" w:color="000000" w:sz="4" w:space="0"/>
                    <w:right w:val="single" w:color="000000" w:sz="4" w:space="0"/>
                  </w:tcBorders>
                  <w:vAlign w:val="center"/>
                </w:tcPr>
                <w:p w14:paraId="0A79A124">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10.学生学分认定：当学生参加竞赛/大创项目取得了成果，或有考取相关专业的技能证书，可以认定到学校的某门课程，在毕业时候也能够参与审核。当学生培养方案课程发生变更，也可由学生个人申请认定学分，实现学分银行的功能。</w:t>
                  </w:r>
                </w:p>
              </w:tc>
            </w:tr>
            <w:tr w14:paraId="713563BB">
              <w:tblPrEx>
                <w:tblCellMar>
                  <w:top w:w="0" w:type="dxa"/>
                  <w:left w:w="108" w:type="dxa"/>
                  <w:bottom w:w="0" w:type="dxa"/>
                  <w:right w:w="108" w:type="dxa"/>
                </w:tblCellMar>
              </w:tblPrEx>
              <w:trPr>
                <w:trHeight w:val="20" w:hRule="atLeast"/>
              </w:trPr>
              <w:tc>
                <w:tcPr>
                  <w:tcW w:w="5000" w:type="pct"/>
                  <w:tcBorders>
                    <w:top w:val="single" w:color="000000" w:sz="4" w:space="0"/>
                    <w:left w:val="single" w:color="000000" w:sz="4" w:space="0"/>
                    <w:bottom w:val="single" w:color="000000" w:sz="4" w:space="0"/>
                    <w:right w:val="single" w:color="000000" w:sz="4" w:space="0"/>
                  </w:tcBorders>
                  <w:vAlign w:val="center"/>
                </w:tcPr>
                <w:p w14:paraId="6D9D6CB2">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11.系统具备打印模块，能够灵活选择字段导出教育部、教育厅要求的各类报表，打印模块端口开放，可灵活对接各个厂商的自助打印服务功能，方便学生在校证明、学籍卡等的自助打印。</w:t>
                  </w:r>
                </w:p>
              </w:tc>
            </w:tr>
            <w:tr w14:paraId="610F6FA9">
              <w:trPr>
                <w:trHeight w:val="20" w:hRule="atLeast"/>
              </w:trPr>
              <w:tc>
                <w:tcPr>
                  <w:tcW w:w="5000" w:type="pct"/>
                  <w:tcBorders>
                    <w:top w:val="single" w:color="000000" w:sz="4" w:space="0"/>
                    <w:left w:val="single" w:color="000000" w:sz="4" w:space="0"/>
                    <w:bottom w:val="single" w:color="000000" w:sz="4" w:space="0"/>
                    <w:right w:val="single" w:color="000000" w:sz="4" w:space="0"/>
                  </w:tcBorders>
                  <w:vAlign w:val="center"/>
                </w:tcPr>
                <w:p w14:paraId="292DCEE8">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12.支持与其他业务系统对接，如学工、实习等。</w:t>
                  </w:r>
                </w:p>
              </w:tc>
            </w:tr>
          </w:tbl>
          <w:p w14:paraId="1C87D053">
            <w:pPr>
              <w:jc w:val="left"/>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（五）课程库管理</w:t>
            </w:r>
          </w:p>
          <w:tbl>
            <w:tblPr>
              <w:tblStyle w:val="5"/>
              <w:tblW w:w="5000" w:type="pct"/>
              <w:tblInd w:w="0" w:type="dxa"/>
              <w:tblLayout w:type="autofit"/>
              <w:tblCellMar>
                <w:top w:w="0" w:type="dxa"/>
                <w:left w:w="108" w:type="dxa"/>
                <w:bottom w:w="0" w:type="dxa"/>
                <w:right w:w="108" w:type="dxa"/>
              </w:tblCellMar>
            </w:tblPr>
            <w:tblGrid>
              <w:gridCol w:w="6584"/>
            </w:tblGrid>
            <w:tr w14:paraId="285548B6">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1EB2D58B">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1.对课程信息进行维护，支持多种格式导入，同时具有增加、修改、查看、删除和组合查询的功能，课程信息包括课程名称、课程编号、课程性质、课程类别等。</w:t>
                  </w:r>
                </w:p>
              </w:tc>
            </w:tr>
            <w:tr w14:paraId="329FF4E2">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7906C8D0">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▲2.须提供课程自定义分组的功能，能够根据不同的专业、课程类别定义课程分组，形成一个有固定课程的课程组，在后续添加培养方案和教学计划的时候可以直接添加课程组，减少教师工作量。</w:t>
                  </w:r>
                </w:p>
              </w:tc>
            </w:tr>
            <w:tr w14:paraId="2088BE35">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5D263E1B">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3.课程数据统计，课程数据统计可统计每个课程在不同专业培养方案中的使用情况。</w:t>
                  </w:r>
                </w:p>
              </w:tc>
            </w:tr>
            <w:tr w14:paraId="088F7720">
              <w:tc>
                <w:tcPr>
                  <w:tcW w:w="5000" w:type="pct"/>
                  <w:tcBorders>
                    <w:top w:val="single" w:color="000000" w:sz="4" w:space="0"/>
                    <w:left w:val="single" w:color="000000" w:sz="4" w:space="0"/>
                    <w:bottom w:val="single" w:color="000000" w:sz="4" w:space="0"/>
                    <w:right w:val="single" w:color="000000" w:sz="4" w:space="0"/>
                  </w:tcBorders>
                  <w:vAlign w:val="center"/>
                </w:tcPr>
                <w:p w14:paraId="47A9CAB3">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新开课程需要审核通过后才能加入到课程库中。管理员界面应支持教务处、院系进行新开课程的审核，院系提交申请时默认院系审核通过。提交申请时不用填写课程代码信息，在教务处设置开课申请审核通过时，系统自动生成课程代码，也可以手动输入课程代码。系统需支持为所有审核通过的新开课程批量生成课程代码，支持判重设置，系统识别新添加课程已经存在时，会弹出提示需要用户确认是否需要添加该课程。</w:t>
                  </w:r>
                </w:p>
              </w:tc>
            </w:tr>
            <w:tr w14:paraId="1320820B">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7E603A0A">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5.系统须支持查询近几年未开的课程，选择一个课程或多个课程进行停开，停开的课程在新培养方案修订、培养方案变更、执行计划添加课程的时候是不可见的，不能添加到培养方案、培养方案变更、执行计划中。已经存在培养方案中的课程停开后不会对后续业务有影响，仍然可以进行执行计划生成。可以根据条件，例如：近X年未开课的课程，查询出课程，进行批量停开，可以恢复已经停开的课程。同时，停开的课程也可以恢复开设。</w:t>
                  </w:r>
                </w:p>
              </w:tc>
            </w:tr>
          </w:tbl>
          <w:p w14:paraId="3309B5BC">
            <w:pPr>
              <w:jc w:val="left"/>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（六）人才培养方案管理：</w:t>
            </w:r>
          </w:p>
          <w:tbl>
            <w:tblPr>
              <w:tblStyle w:val="5"/>
              <w:tblW w:w="5000" w:type="pct"/>
              <w:tblInd w:w="0" w:type="dxa"/>
              <w:tblLayout w:type="autofit"/>
              <w:tblCellMar>
                <w:top w:w="0" w:type="dxa"/>
                <w:left w:w="108" w:type="dxa"/>
                <w:bottom w:w="0" w:type="dxa"/>
                <w:right w:w="108" w:type="dxa"/>
              </w:tblCellMar>
            </w:tblPr>
            <w:tblGrid>
              <w:gridCol w:w="6584"/>
            </w:tblGrid>
            <w:tr w14:paraId="77C118E4">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291F7015">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培养方案制定后支持导入和录入，对培养方案的审核可分学期进行审核，对未审核的学期可提交修改后再审核，自动生成人才培养方案，并可对专业课程、教学进程、毕业学分要求等进行设置和管理；设定后可以输入人才培养方案。</w:t>
                  </w:r>
                </w:p>
              </w:tc>
            </w:tr>
            <w:tr w14:paraId="50D9FAD7">
              <w:tc>
                <w:tcPr>
                  <w:tcW w:w="5000" w:type="pct"/>
                  <w:tcBorders>
                    <w:top w:val="single" w:color="000000" w:sz="4" w:space="0"/>
                    <w:left w:val="single" w:color="000000" w:sz="4" w:space="0"/>
                    <w:bottom w:val="single" w:color="000000" w:sz="4" w:space="0"/>
                    <w:right w:val="single" w:color="000000" w:sz="4" w:space="0"/>
                  </w:tcBorders>
                  <w:vAlign w:val="center"/>
                </w:tcPr>
                <w:p w14:paraId="52D10876">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2.支持设置培养方案的课程体系、课程模块、课程组，提供课程组内课程的批量直接引用，方便培养方案的快速制定。</w:t>
                  </w:r>
                </w:p>
              </w:tc>
            </w:tr>
            <w:tr w14:paraId="534C7C14">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72C13300">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3.可以通过培养方案的复制功能把以往的培养方案复制到新学年使用，可按照年级、院系、专业灵活复制，使用前支持培养方案的自定义调整，如学时构成、考查方式等。</w:t>
                  </w:r>
                </w:p>
              </w:tc>
            </w:tr>
            <w:tr w14:paraId="6E204BB1">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28431667">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4.培养方案课程设置内的统计功能，可以统计专业每学期每周的周学时数量，可统计根据行政班、教师、课程、学时类型、开课周次等不同的维度查看开课统计情况。</w:t>
                  </w:r>
                </w:p>
              </w:tc>
            </w:tr>
            <w:tr w14:paraId="0E65B27F">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45D6CF4F">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5.根据国家文件要求和学校实际情况，学校可自行设置学生毕业学分要求，学生只要修满包括通识必修、通识选修、专业基础、专业核心、专业拓展、实践环节等各部分相应学分，即可毕业。</w:t>
                  </w:r>
                </w:p>
              </w:tc>
            </w:tr>
            <w:tr w14:paraId="78012080">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0F6D49F8">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6.系统应支持对学生和与其匹配的专业培养方案进行绑定，应支持自动绑定和手动绑定两种方式，当学生对应多个培养方案时，可以手动选择一个培养方案进行绑定。自动绑定时的关联条件应包括：年级、院系、专业、学历层次、学生类别等；</w:t>
                  </w:r>
                </w:p>
              </w:tc>
            </w:tr>
            <w:tr w14:paraId="72BE22A2">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59414CAC">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7.如果教学运行过程中由于课程的变更、师资教学条件的变化等因素，需要调整培养方案时，学院必须要发起培养方案变更流程，审核通过后才予以执行。变更部分醒目标记，方便管理人员精准定位变更内容并快速审核。详细记录培养方案变更明细，包括变更内容、变更时间、变更原因、申请人员等，为后续培养方案版本修订提供参考依据。</w:t>
                  </w:r>
                </w:p>
              </w:tc>
            </w:tr>
          </w:tbl>
          <w:p w14:paraId="38F3786B">
            <w:pPr>
              <w:jc w:val="left"/>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（七）排课管理：</w:t>
            </w:r>
          </w:p>
          <w:tbl>
            <w:tblPr>
              <w:tblStyle w:val="5"/>
              <w:tblW w:w="5000" w:type="pct"/>
              <w:tblInd w:w="0" w:type="dxa"/>
              <w:tblLayout w:type="autofit"/>
              <w:tblCellMar>
                <w:top w:w="0" w:type="dxa"/>
                <w:left w:w="108" w:type="dxa"/>
                <w:bottom w:w="0" w:type="dxa"/>
                <w:right w:w="108" w:type="dxa"/>
              </w:tblCellMar>
            </w:tblPr>
            <w:tblGrid>
              <w:gridCol w:w="6584"/>
            </w:tblGrid>
            <w:tr w14:paraId="34092CBF">
              <w:tc>
                <w:tcPr>
                  <w:tcW w:w="5000" w:type="pct"/>
                  <w:tcBorders>
                    <w:top w:val="single" w:color="000000" w:sz="4" w:space="0"/>
                    <w:left w:val="single" w:color="000000" w:sz="4" w:space="0"/>
                    <w:bottom w:val="single" w:color="000000" w:sz="4" w:space="0"/>
                    <w:right w:val="single" w:color="000000" w:sz="4" w:space="0"/>
                  </w:tcBorders>
                  <w:vAlign w:val="center"/>
                </w:tcPr>
                <w:p w14:paraId="7E22DF9F">
                  <w:pPr>
                    <w:pStyle w:val="10"/>
                    <w:framePr w:wrap="auto" w:vAnchor="margin" w:hAnchor="text" w:yAlign="inline"/>
                    <w:widowControl w:val="0"/>
                    <w:jc w:val="both"/>
                    <w:rPr>
                      <w:rFonts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1. 包含人才培养方案落实、授课任务下达、选课、排课等功能，在专业教学计划制定完后，在开课管理中根据学时类型自动生成每一学期的开课通知，可以形成合班、添加任课教师信息，生成最终开课通知单，形成“实际开课表”和排课系统原始的排课数据，并转出到选课系统完成选课操作。</w:t>
                  </w:r>
                </w:p>
              </w:tc>
            </w:tr>
            <w:tr w14:paraId="14CDB5A7">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2DF325A3">
                  <w:pPr>
                    <w:pStyle w:val="10"/>
                    <w:framePr w:wrap="auto" w:vAnchor="margin" w:hAnchor="text" w:yAlign="inline"/>
                    <w:widowControl w:val="0"/>
                    <w:jc w:val="both"/>
                    <w:rPr>
                      <w:rFonts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2.支持</w:t>
                  </w:r>
                  <w:r>
                    <w:rPr>
                      <w:rFonts w:hint="eastAsia" w:ascii="仿宋_GB2312" w:hAnsi="仿宋_GB2312" w:eastAsia="仿宋_GB2312" w:cs="仿宋_GB2312"/>
                      <w:sz w:val="20"/>
                      <w:szCs w:val="20"/>
                      <w:lang w:val="zh-CN" w:eastAsia="zh-CN"/>
                    </w:rPr>
                    <w:t>同一门课程多名教师</w:t>
                  </w:r>
                  <w:r>
                    <w:rPr>
                      <w:rFonts w:hint="eastAsia" w:ascii="仿宋_GB2312" w:hAnsi="仿宋_GB2312" w:eastAsia="仿宋_GB2312" w:cs="仿宋_GB2312"/>
                      <w:sz w:val="20"/>
                      <w:szCs w:val="20"/>
                      <w:lang w:val="en-US" w:eastAsia="zh-CN"/>
                    </w:rPr>
                    <w:t>不规则周学时的自定义设置</w:t>
                  </w:r>
                  <w:r>
                    <w:rPr>
                      <w:rFonts w:hint="eastAsia" w:ascii="仿宋_GB2312" w:hAnsi="仿宋_GB2312" w:eastAsia="仿宋_GB2312" w:cs="仿宋_GB2312"/>
                      <w:sz w:val="20"/>
                      <w:szCs w:val="20"/>
                      <w:lang w:val="zh-CN" w:eastAsia="zh-CN"/>
                    </w:rPr>
                    <w:t>，及单双周开课等设置，可通过拖拽进行连、批量的周课时数的设置。一门课程设置两个或两个以上老师上课，后面老师填写周次的时候前面老师已选的周次不可选取或者选取的时候有提醒。</w:t>
                  </w:r>
                </w:p>
              </w:tc>
            </w:tr>
            <w:tr w14:paraId="0FDB3E53">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3141DE51">
                  <w:pPr>
                    <w:pStyle w:val="10"/>
                    <w:framePr w:wrap="auto" w:vAnchor="margin" w:hAnchor="text" w:yAlign="inline"/>
                    <w:widowControl w:val="0"/>
                    <w:jc w:val="both"/>
                    <w:rPr>
                      <w:rFonts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3.针对现有教学模式可设置一门课多名教师，提供指定主辅讲教师以及成绩录入教师功能。</w:t>
                  </w:r>
                </w:p>
              </w:tc>
            </w:tr>
            <w:tr w14:paraId="2A063D6A">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5721F7C7">
                  <w:pPr>
                    <w:pStyle w:val="10"/>
                    <w:framePr w:wrap="auto" w:vAnchor="margin" w:hAnchor="text" w:yAlign="inline"/>
                    <w:widowControl w:val="0"/>
                    <w:jc w:val="both"/>
                    <w:rPr>
                      <w:rFonts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4.针对一门课程既有理论学时又有实践学时的情况，在生成开课任务时，可选择将理论学时和实践学时分开，自动根据拆分的学时类型，生成多个开课任务，支持理论班带实践分组。</w:t>
                  </w:r>
                </w:p>
              </w:tc>
            </w:tr>
            <w:tr w14:paraId="251644B9">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53126048">
                  <w:pPr>
                    <w:pStyle w:val="10"/>
                    <w:framePr w:wrap="auto" w:vAnchor="margin" w:hAnchor="text" w:yAlign="inline"/>
                    <w:widowControl w:val="0"/>
                    <w:jc w:val="both"/>
                    <w:rPr>
                      <w:rFonts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5.系统可自由拆分现有行政班，合班形成新教学班；可实现一门课程灵活设置多条开课信息，多个任务分组，支持不同老师分管不同学生并分别录入成绩。</w:t>
                  </w:r>
                </w:p>
              </w:tc>
            </w:tr>
            <w:tr w14:paraId="2BE9B1D7">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31EB145A">
                  <w:pPr>
                    <w:pStyle w:val="10"/>
                    <w:framePr w:wrap="auto" w:vAnchor="margin" w:hAnchor="text" w:yAlign="inline"/>
                    <w:widowControl w:val="0"/>
                    <w:jc w:val="both"/>
                    <w:rPr>
                      <w:rFonts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6.为解决教学安排中大班上课编排的要求，系统提供的合班功能可以对“课程相同及教学安排中的学时类型和周次相同”的开课任务进行合班操作。同一门课程上课周次不一样，也可以合班。（A班1—7，B班2—5，可以合班）。</w:t>
                  </w:r>
                </w:p>
              </w:tc>
            </w:tr>
            <w:tr w14:paraId="5D8DE94E">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5AB4157D">
                  <w:pPr>
                    <w:pStyle w:val="10"/>
                    <w:framePr w:wrap="auto" w:vAnchor="margin" w:hAnchor="text" w:yAlign="inline"/>
                    <w:widowControl w:val="0"/>
                    <w:jc w:val="both"/>
                    <w:rPr>
                      <w:rFonts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7.根据专业及行政班级的人数生成教学班人数，方便提前进行课程人数的统计和安排。</w:t>
                  </w:r>
                </w:p>
              </w:tc>
            </w:tr>
            <w:tr w14:paraId="177BF532">
              <w:tblPrEx>
                <w:tblCellMar>
                  <w:top w:w="0" w:type="dxa"/>
                  <w:left w:w="108" w:type="dxa"/>
                  <w:bottom w:w="0" w:type="dxa"/>
                  <w:right w:w="108" w:type="dxa"/>
                </w:tblCellMar>
              </w:tblPrEx>
              <w:trPr>
                <w:trHeight w:val="366" w:hRule="atLeast"/>
              </w:trPr>
              <w:tc>
                <w:tcPr>
                  <w:tcW w:w="5000" w:type="pct"/>
                  <w:tcBorders>
                    <w:top w:val="single" w:color="000000" w:sz="4" w:space="0"/>
                    <w:left w:val="single" w:color="000000" w:sz="4" w:space="0"/>
                    <w:bottom w:val="single" w:color="000000" w:sz="4" w:space="0"/>
                    <w:right w:val="single" w:color="000000" w:sz="4" w:space="0"/>
                  </w:tcBorders>
                  <w:vAlign w:val="center"/>
                </w:tcPr>
                <w:p w14:paraId="084E9798">
                  <w:pPr>
                    <w:pStyle w:val="10"/>
                    <w:framePr w:wrap="auto" w:vAnchor="margin" w:hAnchor="text" w:yAlign="inline"/>
                    <w:widowControl w:val="0"/>
                    <w:jc w:val="both"/>
                    <w:rPr>
                      <w:rFonts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8.针对需要进行分层次/分等级教学的课程，提供分级教学的功能，能对课程分级等级、分级学生名单、分级教学班、分级教学安排进行设置。提供分级教学安排的跨学期复制功能。能将同一门课程不同分级的教学班安排在同一个时间点上课，确保同一个专业或班级的学生教学安排的一致性。</w:t>
                  </w:r>
                </w:p>
              </w:tc>
            </w:tr>
            <w:tr w14:paraId="15256379">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0161EDA6">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9.实践环节开课：能对实践环节进行开课管理，实践环节系统中会有标识，提前进行周次占位，并在非实践环节开课时提供冲突检测和提示。</w:t>
                  </w:r>
                </w:p>
              </w:tc>
            </w:tr>
            <w:tr w14:paraId="06E1C4F1">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263C732A">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10.排课系统既能支持学年制、学年学分制下的排课要求，也能支持完全学分制下对排课的要求。能够按照人才培养方案要求落实授课任务，将课程安排带到每个学生、老师。</w:t>
                  </w:r>
                </w:p>
              </w:tc>
            </w:tr>
            <w:tr w14:paraId="1D30CF3D">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72AC367B">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11.为满足二级排课的管理需要：可针对不同院系设置不同的排课类别，每个类别对应的排课部门、排课教室、开课数据，依据排课算法分类分批次实现课表编排。</w:t>
                  </w:r>
                </w:p>
                <w:p w14:paraId="1A0A57AC">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(1)教室时间指定：可指定课程在某个时间或者某个教室排课，时间设置允许排课到小节。</w:t>
                  </w:r>
                </w:p>
                <w:p w14:paraId="36D5E95F">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(2)对应教室管理：可设置学院、专业、班级在某固定教室进行排课，同时可设定预留少量的督导听课、学生旁听的空闲座位。可设置教室排课容量。</w:t>
                  </w:r>
                </w:p>
                <w:p w14:paraId="02238B4B">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(3)节次时间设置：可对学校课表进行分割，确定开课的大节数以及每个大节对应的小节数，确定每小节对应的时间。</w:t>
                  </w:r>
                </w:p>
              </w:tc>
            </w:tr>
            <w:tr w14:paraId="39520D06">
              <w:tc>
                <w:tcPr>
                  <w:tcW w:w="5000" w:type="pct"/>
                  <w:tcBorders>
                    <w:top w:val="single" w:color="000000" w:sz="4" w:space="0"/>
                    <w:left w:val="single" w:color="000000" w:sz="4" w:space="0"/>
                    <w:bottom w:val="single" w:color="000000" w:sz="4" w:space="0"/>
                    <w:right w:val="single" w:color="000000" w:sz="4" w:space="0"/>
                  </w:tcBorders>
                  <w:vAlign w:val="center"/>
                </w:tcPr>
                <w:p w14:paraId="108889AB">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12.支持自动排课参数的灵活设置：</w:t>
                  </w:r>
                </w:p>
                <w:p w14:paraId="78F931C1">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(1)按照设置好的排课基本数据设置以及禁排时间管理界面的指定参数，系统按照最优方式自动进行编排课表。</w:t>
                  </w:r>
                </w:p>
                <w:p w14:paraId="6DBFFDD3">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(2)可为自动排课指定教室，不同课程排课时间优先级，联排节次、排课时间优先级等各类参数，对不同课程分批排课。</w:t>
                  </w:r>
                </w:p>
                <w:p w14:paraId="5D86AAD5">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(3)可根据设置好的排课模型，智能编排课表，自动匹配教室、时间，以及进行冲突检测，可查看排课进程和排课结果统计，确保课表输出准确。</w:t>
                  </w:r>
                </w:p>
                <w:p w14:paraId="699F77DD">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(4)支持多轮次自动排课，可在上一次排课的基础上继续排课。对已经排好的课表可进行手动调整。</w:t>
                  </w:r>
                </w:p>
              </w:tc>
            </w:tr>
            <w:tr w14:paraId="44781CE3">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498288A1">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13.禁排时间个性化设置：禁排时间设置提供了继承功能，可对各个学期设置的禁排情况进行复制并继承；</w:t>
                  </w:r>
                </w:p>
              </w:tc>
            </w:tr>
            <w:tr w14:paraId="248284A9">
              <w:tc>
                <w:tcPr>
                  <w:tcW w:w="5000" w:type="pct"/>
                  <w:tcBorders>
                    <w:top w:val="single" w:color="000000" w:sz="4" w:space="0"/>
                    <w:left w:val="single" w:color="000000" w:sz="4" w:space="0"/>
                    <w:bottom w:val="single" w:color="000000" w:sz="4" w:space="0"/>
                    <w:right w:val="single" w:color="000000" w:sz="4" w:space="0"/>
                  </w:tcBorders>
                  <w:vAlign w:val="center"/>
                </w:tcPr>
                <w:p w14:paraId="725138BF">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14.可生成班级、课程、教师、教室、学生、全校等多维度的课表，方便课表的查询、打印，可生成多种格式，自动适应表格宽度，多选打印。</w:t>
                  </w:r>
                </w:p>
              </w:tc>
            </w:tr>
            <w:tr w14:paraId="4E01EF38">
              <w:tc>
                <w:tcPr>
                  <w:tcW w:w="5000" w:type="pct"/>
                  <w:tcBorders>
                    <w:top w:val="single" w:color="000000" w:sz="4" w:space="0"/>
                    <w:left w:val="single" w:color="000000" w:sz="4" w:space="0"/>
                    <w:bottom w:val="single" w:color="000000" w:sz="4" w:space="0"/>
                    <w:right w:val="single" w:color="000000" w:sz="4" w:space="0"/>
                  </w:tcBorders>
                  <w:vAlign w:val="center"/>
                </w:tcPr>
                <w:p w14:paraId="0A98EEAD">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15.可实现根据班级、教师、教室、课程等多维度排课，一门课程多个教师不同时间不同地点排课。</w:t>
                  </w:r>
                </w:p>
              </w:tc>
            </w:tr>
            <w:tr w14:paraId="354717C6">
              <w:tc>
                <w:tcPr>
                  <w:tcW w:w="5000" w:type="pct"/>
                  <w:tcBorders>
                    <w:top w:val="single" w:color="000000" w:sz="4" w:space="0"/>
                    <w:left w:val="single" w:color="000000" w:sz="4" w:space="0"/>
                    <w:bottom w:val="single" w:color="000000" w:sz="4" w:space="0"/>
                    <w:right w:val="single" w:color="000000" w:sz="4" w:space="0"/>
                  </w:tcBorders>
                  <w:vAlign w:val="center"/>
                </w:tcPr>
                <w:p w14:paraId="2C48A971">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16.可实现在同一排课界面实现班级、教师、教室、课程等不同维度课表的任意切换和冲突信息的切换显示；并可实现锁定任意课程，避免排课教师随意调整课程安排；方便排课和灵活的调课；手动排课支持拖拉拽的形式，并且在手动排课界面支持更换教师，调整教学周次和周学时等操作。</w:t>
                  </w:r>
                </w:p>
              </w:tc>
            </w:tr>
            <w:tr w14:paraId="5B62EDC6">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5F302F3D">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17.可实现在课表中显示不同维度的冲突课程信息，如时间冲突、班级冲突等。</w:t>
                  </w:r>
                </w:p>
              </w:tc>
            </w:tr>
            <w:tr w14:paraId="3C825572">
              <w:tc>
                <w:tcPr>
                  <w:tcW w:w="5000" w:type="pct"/>
                  <w:tcBorders>
                    <w:top w:val="single" w:color="000000" w:sz="4" w:space="0"/>
                    <w:left w:val="single" w:color="000000" w:sz="4" w:space="0"/>
                    <w:bottom w:val="single" w:color="000000" w:sz="4" w:space="0"/>
                    <w:right w:val="single" w:color="000000" w:sz="4" w:space="0"/>
                  </w:tcBorders>
                  <w:vAlign w:val="center"/>
                </w:tcPr>
                <w:p w14:paraId="36258D1D">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18.可根据不同周次排课的需要，调整不规则周学时在每周的排课课时，支持不规则周学时或单双周排课、排教室；</w:t>
                  </w:r>
                </w:p>
              </w:tc>
            </w:tr>
            <w:tr w14:paraId="78947D4E">
              <w:tc>
                <w:tcPr>
                  <w:tcW w:w="5000" w:type="pct"/>
                  <w:tcBorders>
                    <w:top w:val="single" w:color="000000" w:sz="4" w:space="0"/>
                    <w:left w:val="single" w:color="000000" w:sz="4" w:space="0"/>
                    <w:bottom w:val="single" w:color="000000" w:sz="4" w:space="0"/>
                    <w:right w:val="single" w:color="000000" w:sz="4" w:space="0"/>
                  </w:tcBorders>
                  <w:vAlign w:val="center"/>
                </w:tcPr>
                <w:p w14:paraId="02AF02CE">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19.可在同一界面根据不同的搜索条件，行政班、课程、教学班、教师、开课单位、学时类型、排课时间、课程性质、锁定状态等搜索排课任务；</w:t>
                  </w:r>
                </w:p>
              </w:tc>
            </w:tr>
            <w:tr w14:paraId="30909967">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543A29A9">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20.自动检测和显示排课课时状态，如未排、部分排、多排、已排；</w:t>
                  </w:r>
                </w:p>
              </w:tc>
            </w:tr>
            <w:tr w14:paraId="20F41803">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3411E415">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21.自动检测和显示排课地点状态，如已排、未排等</w:t>
                  </w:r>
                </w:p>
              </w:tc>
            </w:tr>
            <w:tr w14:paraId="6C107071">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494FCBE3">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22.可对空教室进行查询和借用：</w:t>
                  </w:r>
                </w:p>
              </w:tc>
            </w:tr>
            <w:tr w14:paraId="0562025D">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6FF61ABB">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23.可以对全校教室使用情况进行查询，可根据学年学期、校区、教学区、教学楼、教室等进行分类检索，显示教室使用情况，显示是否可用等信息；</w:t>
                  </w:r>
                </w:p>
              </w:tc>
            </w:tr>
            <w:tr w14:paraId="73613692">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32793A4D">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24.空教室借用权限和排课权限分开设置，课对空教室借用的权限单独进行设置设置，设置空教室借用的院系权限。</w:t>
                  </w:r>
                </w:p>
              </w:tc>
            </w:tr>
            <w:tr w14:paraId="450823D3">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77D190C9">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25.支持通过调停补课的方式对课程的教师、教师、上课时间进行调整，可进行审批提示，可由教师或管理人员进行申请并产生调课记录。</w:t>
                  </w:r>
                </w:p>
              </w:tc>
            </w:tr>
            <w:tr w14:paraId="2C226954">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55160577">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▲26.支持调停补课、教室、教师课时量、班级课时量等多维度排课情况统计分析并生成各类柱状图、条形图、曲线图、饼状图等图表。</w:t>
                  </w:r>
                </w:p>
              </w:tc>
            </w:tr>
            <w:tr w14:paraId="17397AE9">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09684AAA">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27.可根据教室维度分析每个教室的可用周课时数、已安排周平均周课时数、教室利用率等，并生成可视化图标，按照不同时间段和利用、教室类型进行查询、分析统计。</w:t>
                  </w:r>
                </w:p>
              </w:tc>
            </w:tr>
            <w:tr w14:paraId="0A5CE1F2">
              <w:tc>
                <w:tcPr>
                  <w:tcW w:w="5000" w:type="pct"/>
                  <w:tcBorders>
                    <w:top w:val="single" w:color="000000" w:sz="4" w:space="0"/>
                    <w:left w:val="single" w:color="000000" w:sz="4" w:space="0"/>
                    <w:bottom w:val="single" w:color="000000" w:sz="4" w:space="0"/>
                    <w:right w:val="single" w:color="000000" w:sz="4" w:space="0"/>
                  </w:tcBorders>
                  <w:vAlign w:val="center"/>
                </w:tcPr>
                <w:p w14:paraId="7AC9CB64">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28.可自动统计行政班排课情况，按照院系、专业、年级、班级等不同维度统计行政班每个周次、不同时间段的排课学时数，并通过表格、直方图等不同的显示方式直观展示。</w:t>
                  </w:r>
                </w:p>
              </w:tc>
            </w:tr>
            <w:tr w14:paraId="3C6A2723">
              <w:tc>
                <w:tcPr>
                  <w:tcW w:w="5000" w:type="pct"/>
                  <w:tcBorders>
                    <w:top w:val="single" w:color="000000" w:sz="4" w:space="0"/>
                    <w:left w:val="single" w:color="000000" w:sz="4" w:space="0"/>
                    <w:bottom w:val="single" w:color="000000" w:sz="4" w:space="0"/>
                    <w:right w:val="single" w:color="000000" w:sz="4" w:space="0"/>
                  </w:tcBorders>
                  <w:vAlign w:val="center"/>
                </w:tcPr>
                <w:p w14:paraId="6B0F4BBC">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29.可自动统计每个教师的排课情况，排课总学时、平均学时等自动计算和生成图表及每个学期的排课趋势图。</w:t>
                  </w:r>
                </w:p>
              </w:tc>
            </w:tr>
            <w:tr w14:paraId="1D90464B">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4A40C484">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30.可按照学年学期、院系、调停课次数、统筹次数、课时数、教师等不同维度搜索查询教师的调停课情况，并生成图表。</w:t>
                  </w:r>
                </w:p>
              </w:tc>
            </w:tr>
          </w:tbl>
          <w:p w14:paraId="469F96FA">
            <w:pPr>
              <w:jc w:val="left"/>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（八）考务管理</w:t>
            </w:r>
          </w:p>
          <w:tbl>
            <w:tblPr>
              <w:tblStyle w:val="5"/>
              <w:tblW w:w="5000" w:type="pct"/>
              <w:tblInd w:w="0" w:type="dxa"/>
              <w:tblLayout w:type="autofit"/>
              <w:tblCellMar>
                <w:top w:w="0" w:type="dxa"/>
                <w:left w:w="108" w:type="dxa"/>
                <w:bottom w:w="0" w:type="dxa"/>
                <w:right w:w="108" w:type="dxa"/>
              </w:tblCellMar>
            </w:tblPr>
            <w:tblGrid>
              <w:gridCol w:w="6584"/>
            </w:tblGrid>
            <w:tr w14:paraId="46CE1202">
              <w:tc>
                <w:tcPr>
                  <w:tcW w:w="5000" w:type="pct"/>
                  <w:tcBorders>
                    <w:top w:val="single" w:color="000000" w:sz="4" w:space="0"/>
                    <w:left w:val="single" w:color="000000" w:sz="4" w:space="0"/>
                    <w:bottom w:val="single" w:color="000000" w:sz="4" w:space="0"/>
                    <w:right w:val="single" w:color="000000" w:sz="4" w:space="0"/>
                  </w:tcBorders>
                </w:tcPr>
                <w:p w14:paraId="493BC102">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▲1.须支持多重维度生成试卷编号（按课程编号、教师、校区、年级、教学班、院系），可以自定义试卷编号。</w:t>
                  </w:r>
                </w:p>
              </w:tc>
            </w:tr>
            <w:tr w14:paraId="5DE998BF">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tcPr>
                <w:p w14:paraId="25EB2A27">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2.须支持对考试场次进行灵活的分割和设置：可设置考试场次占用的排课节次或起始时间，避免产生与排课时间的冲突；</w:t>
                  </w:r>
                </w:p>
              </w:tc>
            </w:tr>
            <w:tr w14:paraId="3B399B0C">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tcPr>
                <w:p w14:paraId="2F74617B">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3.须支持对排考的教室进行针对性分配和设置：</w:t>
                  </w:r>
                </w:p>
              </w:tc>
            </w:tr>
            <w:tr w14:paraId="420FB35C">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tcPr>
                <w:p w14:paraId="7E7E5988">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4.须支持教室批量或单独设置使用单位，实现院系排考；</w:t>
                  </w:r>
                </w:p>
              </w:tc>
            </w:tr>
            <w:tr w14:paraId="2F0DEB66">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tcPr>
                <w:p w14:paraId="61AF72B5">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5.须支持教室批量或单独设置排考容量以及可用状态；</w:t>
                  </w:r>
                </w:p>
              </w:tc>
            </w:tr>
            <w:tr w14:paraId="3BE3BCB1">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tcPr>
                <w:p w14:paraId="29E6F2C0">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6.须支持对考试任务进行灵活设置：</w:t>
                  </w:r>
                </w:p>
              </w:tc>
            </w:tr>
            <w:tr w14:paraId="37D55382">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tcPr>
                <w:p w14:paraId="1F89B27C">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7.须支持分批次根据开课院系、课程性质、考试形式、授课方式、是否转入等条件对课程进行查询及实现批量或单门课程的转入；</w:t>
                  </w:r>
                </w:p>
              </w:tc>
            </w:tr>
            <w:tr w14:paraId="0BFD9B2A">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tcPr>
                <w:p w14:paraId="307F50FA">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8.须支持对课程进行单个或批量排考状态的设置，如安排、不安排、未安排等状态</w:t>
                  </w:r>
                </w:p>
              </w:tc>
            </w:tr>
            <w:tr w14:paraId="65A28400">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tcPr>
                <w:p w14:paraId="45001BDF">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9.须支持对课程进行单个或批量考试形式的安排，如集中考试或分散考试；</w:t>
                  </w:r>
                </w:p>
              </w:tc>
            </w:tr>
            <w:tr w14:paraId="4E8A0228">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tcPr>
                <w:p w14:paraId="114891DF">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10.须支持对课程进行单个或批量排考状态的设置，如可设置按照行政班排考、按照教学班排考、按照试卷号排考或按照院系排考等；</w:t>
                  </w:r>
                </w:p>
              </w:tc>
            </w:tr>
            <w:tr w14:paraId="3E65237D">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tcPr>
                <w:p w14:paraId="152F85AF">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11.须支持在设置考务信息后进行自动排考，针对性进行考试时间、区域、教室、监考师资、考试班级设置和考试安排查询，并自动进行考试漏排、考务冲突检查。</w:t>
                  </w:r>
                </w:p>
              </w:tc>
            </w:tr>
            <w:tr w14:paraId="005CD5D0">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tcPr>
                <w:p w14:paraId="7E01D73A">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12.须支持提供补考、重修考试、缓考、免修的统一筛选、管理、申请、报名等。</w:t>
                  </w:r>
                </w:p>
              </w:tc>
            </w:tr>
            <w:tr w14:paraId="53A5839E">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tcPr>
                <w:p w14:paraId="1C7DAB4F">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13.补考能提供普通学期补考、学年补考、毕业补考等。</w:t>
                  </w:r>
                </w:p>
              </w:tc>
            </w:tr>
            <w:tr w14:paraId="29A3A142">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tcPr>
                <w:p w14:paraId="13C13904">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14.提供缓考申请、免考申请等，支持PC端和移动端。</w:t>
                  </w:r>
                </w:p>
              </w:tc>
            </w:tr>
            <w:tr w14:paraId="590573F4">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tcPr>
                <w:p w14:paraId="0EB09017">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15.系统提供多种实用的统计分析报表，如：按学年学期、组考单位、考试批次等统计教职工参与监考的人次、考试安排考场数、参考人数。</w:t>
                  </w:r>
                </w:p>
              </w:tc>
            </w:tr>
            <w:tr w14:paraId="5331E0F8">
              <w:tc>
                <w:tcPr>
                  <w:tcW w:w="5000" w:type="pct"/>
                  <w:tcBorders>
                    <w:top w:val="single" w:color="000000" w:sz="4" w:space="0"/>
                    <w:left w:val="single" w:color="000000" w:sz="4" w:space="0"/>
                    <w:bottom w:val="single" w:color="000000" w:sz="4" w:space="0"/>
                    <w:right w:val="single" w:color="000000" w:sz="4" w:space="0"/>
                  </w:tcBorders>
                </w:tcPr>
                <w:p w14:paraId="7521B480">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16.能够根据需要打印各种各样的表格，如：排考安排总表、学生考试安排表、监考老师监考安排表、准考证、考场座位表、考场签到表、试卷袋标签。</w:t>
                  </w:r>
                </w:p>
              </w:tc>
            </w:tr>
          </w:tbl>
          <w:p w14:paraId="6DA7683B">
            <w:pPr>
              <w:jc w:val="left"/>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（九）成绩管理</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4"/>
            </w:tblGrid>
            <w:tr w14:paraId="2A068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Pr>
                <w:p w14:paraId="650F46BA">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考试名单生成：由于各种原因（休学、复学、留级、退学等）导致的考试名单变动，系统可以自动搜索出“漏排学生名单”，管理人员可以将漏排学生名单添加进入考试名单；可以自动搜索出“教学班退选学生名单”，管理人员可以将退选学生名单从考试名单删除。</w:t>
                  </w:r>
                </w:p>
              </w:tc>
            </w:tr>
            <w:tr w14:paraId="57432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Pr>
                <w:p w14:paraId="52DFEF3D">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2.提供缓考管理功能。支持线上申请和审批，缓考名单可以设置同步到成绩信息。</w:t>
                  </w:r>
                </w:p>
              </w:tc>
            </w:tr>
            <w:tr w14:paraId="400AC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Pr>
                <w:p w14:paraId="0EF6B0A9">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3.针对学生初次考试不及格的同学，系统提供自动筛选名单，并支持管理人员在线安排补考，设置考试时间，补考开关等，同时针对补考学生成绩可设置分数上限。</w:t>
                  </w:r>
                </w:p>
              </w:tc>
            </w:tr>
            <w:tr w14:paraId="52694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Pr>
                <w:p w14:paraId="5D71B3E3">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4.支持成绩录入的灵活设置：</w:t>
                  </w:r>
                </w:p>
                <w:p w14:paraId="0D1DB166">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(1)须支持根据院系、教研室、课程性质、考试形式、录入分项、录入状态、教师、课程等对课程进行灵活筛选，以方便批量或单独设置课程录入规则，及查询各门课程录入情况；</w:t>
                  </w:r>
                </w:p>
                <w:p w14:paraId="0B5BA46A">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(2)支持单独或批量设置每一门课程的录入时间；</w:t>
                  </w:r>
                </w:p>
                <w:p w14:paraId="3008F14B">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(3)支持单独或批量设置每一门课程的成绩分项及成绩分项占比；</w:t>
                  </w:r>
                </w:p>
                <w:p w14:paraId="7E17CC85">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(4)支持每门课程录入级制的灵活设置；</w:t>
                  </w:r>
                </w:p>
                <w:p w14:paraId="6B1B806D">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(5)支持每门课程录入状态的灵活设置；</w:t>
                  </w:r>
                </w:p>
                <w:p w14:paraId="67A2661E">
                  <w:pPr>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(6)支持一门课程根据教学情况、分组情况拆分为多个教师分别录入成绩；</w:t>
                  </w:r>
                </w:p>
              </w:tc>
            </w:tr>
            <w:tr w14:paraId="17B1C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Pr>
                <w:p w14:paraId="3B712482">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5.须支持每门课程分项录入时间的灵活设置，如平时成绩分项、实验成绩分项、期末成绩分项可在不同的时间录入，不同分项可由不同老师录入，记分级制及锁定状态均可单独设置。</w:t>
                  </w:r>
                </w:p>
              </w:tc>
            </w:tr>
            <w:tr w14:paraId="3CC0C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Pr>
                <w:p w14:paraId="65D2C9C7">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6.为了方便老师对学生学习过程的管理，须提供过程性的成绩管理，最终可以合成为学生的平时成绩。如：平时成绩可以细分为作业完成度、到课率等。</w:t>
                  </w:r>
                </w:p>
              </w:tc>
            </w:tr>
            <w:tr w14:paraId="3C0D8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Pr>
                <w:p w14:paraId="3E569355">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▲7.为了方便我校老师在录入成绩时产生误差或学生过多的问题，要求系统支持教师在录入成绩的时候可以一键获取学生在各个线上教学平台的成绩，同步到教务系统。</w:t>
                  </w:r>
                </w:p>
              </w:tc>
            </w:tr>
            <w:tr w14:paraId="47C66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Pr>
                <w:p w14:paraId="447CAA13">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8.系统支持对每个学院进行录入进度的整体监控，包括未录入任务数、部分录入任务数、已录入任务数、整体的录入进度的查看以及未录入成绩课程的一键提醒及导出，并对未在规定时间内完成录入的老师进行记录，工作量统计时按一定比例予以绩效打折。</w:t>
                  </w:r>
                </w:p>
              </w:tc>
            </w:tr>
            <w:tr w14:paraId="1436C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Pr>
                <w:p w14:paraId="5057635E">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9.支持网上进行免修申请与审核。录入成绩时可以根据免修原因与类别默认分数为60或其他。</w:t>
                  </w:r>
                </w:p>
              </w:tc>
            </w:tr>
            <w:tr w14:paraId="264E5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Pr>
                <w:p w14:paraId="1EDAB156">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10.关于成绩相关的审核，系统支持正考成绩录入申请与审核、补考成绩录入申请与审核、正考延期录入申请与审核、成绩复查申请与审核、正考成绩变更申请与审核、补考成绩变更申请与审核、补考延期录入申请与审核、达成性成绩录入申请与审核、达成性成绩变更申请与审核等多种类型的申请与审核。</w:t>
                  </w:r>
                </w:p>
              </w:tc>
            </w:tr>
            <w:tr w14:paraId="68DCC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Pr>
                <w:p w14:paraId="0154783A">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11.可以灵活维护补录成绩，如批量导入、添加、删除等。</w:t>
                  </w:r>
                </w:p>
              </w:tc>
            </w:tr>
            <w:tr w14:paraId="3C9A2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Pr>
                <w:p w14:paraId="778544ED">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12.正考成绩、重修成绩、补考成绩可根据实际操作学年学期录入，可根据实际情况导出报表；</w:t>
                  </w:r>
                </w:p>
              </w:tc>
            </w:tr>
            <w:tr w14:paraId="4CE3B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5000" w:type="pct"/>
                </w:tcPr>
                <w:p w14:paraId="24566CD0">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13.支持学生成绩单的灵活发布、查看及打印：</w:t>
                  </w:r>
                </w:p>
                <w:p w14:paraId="11AC735C">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(1)对成绩单打印进行控制，教师录入成绩后，支持审核后发布成绩单；</w:t>
                  </w:r>
                </w:p>
                <w:p w14:paraId="2981315D">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(2)成绩单自动生成后推送学生端和教师端，包括各手机端，方便查看及打印；</w:t>
                  </w:r>
                </w:p>
                <w:p w14:paraId="0F352DC5">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(3)可灵活根据学校要求配置成绩相关报表，包含学生成绩单、试卷分析单、教学班成绩报表、行政班成绩报表、全校成绩统计等。</w:t>
                  </w:r>
                </w:p>
                <w:p w14:paraId="3AE81E0C">
                  <w:pPr>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(4)提供学分互认，成绩奖励等操作，用户可以自行设定互认规则与加分规则，自动关联学生成绩。</w:t>
                  </w:r>
                </w:p>
              </w:tc>
            </w:tr>
          </w:tbl>
          <w:p w14:paraId="3AC29998">
            <w:pPr>
              <w:jc w:val="left"/>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（十）重修管理</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4"/>
            </w:tblGrid>
            <w:tr w14:paraId="7A08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5000" w:type="pct"/>
                </w:tcPr>
                <w:p w14:paraId="4A2F0A3A">
                  <w:pPr>
                    <w:widowControl/>
                    <w:jc w:val="left"/>
                    <w:textAlignment w:val="top"/>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重修名单生成：可根据不同条件生成需要重修的课程及学生名单，可根据学年学期、培养层次、年级、学生范围（如是否在校、是否注册、是否含往届未通过学生）、学生重修次数、成绩范围（如补考成绩、未参加补考的正考成绩范围）、特殊情况重修（如缓考、缺考、作弊、扰乱考场秩序）、是否实践环节、课程性质等生成课程及学生名单。</w:t>
                  </w:r>
                </w:p>
              </w:tc>
            </w:tr>
            <w:tr w14:paraId="39778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Pr>
                <w:p w14:paraId="6C4C3978">
                  <w:pPr>
                    <w:widowControl/>
                    <w:jc w:val="left"/>
                    <w:textAlignment w:val="top"/>
                    <w:rPr>
                      <w:rFonts w:ascii="仿宋" w:hAnsi="仿宋" w:eastAsia="仿宋" w:cs="仿宋"/>
                      <w:color w:val="000000"/>
                      <w:kern w:val="0"/>
                      <w:szCs w:val="20"/>
                      <w:lang w:bidi="ar"/>
                    </w:rPr>
                  </w:pPr>
                  <w:r>
                    <w:rPr>
                      <w:rFonts w:hint="eastAsia" w:ascii="仿宋" w:hAnsi="仿宋" w:eastAsia="仿宋" w:cs="仿宋"/>
                      <w:color w:val="000000"/>
                      <w:kern w:val="0"/>
                      <w:szCs w:val="20"/>
                      <w:lang w:bidi="ar"/>
                    </w:rPr>
                    <w:t>2.重修课程设置</w:t>
                  </w:r>
                </w:p>
                <w:p w14:paraId="2626B22B">
                  <w:pPr>
                    <w:widowControl/>
                    <w:jc w:val="left"/>
                    <w:textAlignment w:val="top"/>
                    <w:rPr>
                      <w:rFonts w:ascii="仿宋" w:hAnsi="仿宋" w:eastAsia="仿宋" w:cs="仿宋"/>
                      <w:color w:val="000000"/>
                      <w:kern w:val="0"/>
                      <w:szCs w:val="20"/>
                      <w:lang w:bidi="ar"/>
                    </w:rPr>
                  </w:pPr>
                  <w:r>
                    <w:rPr>
                      <w:rFonts w:hint="eastAsia" w:ascii="仿宋_GB2312" w:hAnsi="仿宋_GB2312" w:eastAsia="仿宋_GB2312" w:cs="仿宋_GB2312"/>
                      <w:kern w:val="0"/>
                      <w:sz w:val="20"/>
                      <w:szCs w:val="20"/>
                    </w:rPr>
                    <w:t>▲</w:t>
                  </w:r>
                  <w:r>
                    <w:rPr>
                      <w:rFonts w:hint="eastAsia" w:ascii="仿宋" w:hAnsi="仿宋" w:eastAsia="仿宋" w:cs="仿宋"/>
                      <w:color w:val="000000"/>
                      <w:kern w:val="0"/>
                      <w:szCs w:val="20"/>
                      <w:lang w:bidi="ar"/>
                    </w:rPr>
                    <w:t>(1)可对未开课且不准备开课，且有重修学生的学生进行课程替换，替换为本学期开设的课程，替换后关联学生的成绩和学分；</w:t>
                  </w:r>
                </w:p>
                <w:p w14:paraId="1C337F7C">
                  <w:pPr>
                    <w:jc w:val="left"/>
                    <w:textAlignment w:val="top"/>
                    <w:rPr>
                      <w:rFonts w:ascii="仿宋" w:hAnsi="仿宋" w:eastAsia="仿宋" w:cs="仿宋"/>
                      <w:color w:val="000000"/>
                      <w:kern w:val="0"/>
                      <w:szCs w:val="20"/>
                      <w:lang w:bidi="ar"/>
                    </w:rPr>
                  </w:pPr>
                  <w:r>
                    <w:rPr>
                      <w:rFonts w:hint="eastAsia" w:ascii="仿宋" w:hAnsi="仿宋" w:eastAsia="仿宋" w:cs="仿宋"/>
                      <w:color w:val="000000"/>
                      <w:kern w:val="0"/>
                      <w:szCs w:val="20"/>
                      <w:lang w:bidi="ar"/>
                    </w:rPr>
                    <w:t>(2）系统支持学生重修数据统计，管理和查看学生重修信息，重修人数统计维度分为：重修课程统计和重修课程明细。系统支持统计本学期预计重修的人数，该人数将和计划上课人数一起，作为课程开设教学班人数的依据。如果重修人数多，则要考虑是否单独开设重修班，如果人数少，则考虑在计划人数基础上加上一部分课余量，课余量给重修学生。</w:t>
                  </w:r>
                </w:p>
              </w:tc>
            </w:tr>
            <w:tr w14:paraId="5042D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Pr>
                <w:p w14:paraId="6152C723">
                  <w:pPr>
                    <w:widowControl/>
                    <w:jc w:val="left"/>
                    <w:textAlignment w:val="top"/>
                    <w:rPr>
                      <w:rFonts w:ascii="仿宋" w:hAnsi="仿宋" w:eastAsia="仿宋" w:cs="仿宋"/>
                      <w:color w:val="000000"/>
                      <w:kern w:val="0"/>
                      <w:szCs w:val="20"/>
                      <w:lang w:bidi="ar"/>
                    </w:rPr>
                  </w:pPr>
                  <w:r>
                    <w:rPr>
                      <w:rFonts w:hint="eastAsia" w:ascii="仿宋" w:hAnsi="仿宋" w:eastAsia="仿宋" w:cs="仿宋"/>
                      <w:color w:val="000000"/>
                      <w:kern w:val="0"/>
                      <w:szCs w:val="20"/>
                      <w:lang w:bidi="ar"/>
                    </w:rPr>
                    <w:t>3.重修费用管理</w:t>
                  </w:r>
                </w:p>
                <w:p w14:paraId="76DE5D28">
                  <w:pPr>
                    <w:widowControl/>
                    <w:jc w:val="left"/>
                    <w:textAlignment w:val="top"/>
                    <w:rPr>
                      <w:rFonts w:ascii="仿宋" w:hAnsi="仿宋" w:eastAsia="仿宋" w:cs="仿宋"/>
                      <w:color w:val="000000"/>
                      <w:kern w:val="0"/>
                      <w:szCs w:val="20"/>
                      <w:lang w:bidi="ar"/>
                    </w:rPr>
                  </w:pPr>
                  <w:r>
                    <w:rPr>
                      <w:rFonts w:hint="eastAsia" w:ascii="仿宋" w:hAnsi="仿宋" w:eastAsia="仿宋" w:cs="仿宋"/>
                      <w:color w:val="000000"/>
                      <w:kern w:val="0"/>
                      <w:szCs w:val="20"/>
                      <w:lang w:bidi="ar"/>
                    </w:rPr>
                    <w:t>(1)可根据不同的学院、专业、课程性质进行重修费用的设置；</w:t>
                  </w:r>
                </w:p>
                <w:p w14:paraId="123B01D6">
                  <w:pPr>
                    <w:jc w:val="left"/>
                    <w:textAlignment w:val="top"/>
                    <w:rPr>
                      <w:rFonts w:ascii="仿宋" w:hAnsi="仿宋" w:eastAsia="仿宋" w:cs="仿宋"/>
                      <w:color w:val="000000"/>
                      <w:kern w:val="0"/>
                      <w:szCs w:val="20"/>
                      <w:lang w:bidi="ar"/>
                    </w:rPr>
                  </w:pPr>
                  <w:r>
                    <w:rPr>
                      <w:rFonts w:hint="eastAsia" w:ascii="仿宋" w:hAnsi="仿宋" w:eastAsia="仿宋" w:cs="仿宋"/>
                      <w:color w:val="000000"/>
                      <w:kern w:val="0"/>
                      <w:szCs w:val="20"/>
                      <w:lang w:bidi="ar"/>
                    </w:rPr>
                    <w:t>(2)可根据学生报名和选课情况对重修门数、应收费用等进行统计和记录。</w:t>
                  </w:r>
                </w:p>
              </w:tc>
            </w:tr>
          </w:tbl>
          <w:p w14:paraId="5BDB35CF">
            <w:pPr>
              <w:jc w:val="left"/>
              <w:rPr>
                <w:rFonts w:ascii="仿宋" w:hAnsi="仿宋" w:eastAsia="仿宋" w:cs="仿宋"/>
                <w:sz w:val="20"/>
                <w:szCs w:val="20"/>
              </w:rPr>
            </w:pPr>
            <w:r>
              <w:rPr>
                <w:rFonts w:hint="eastAsia" w:ascii="仿宋" w:hAnsi="仿宋" w:eastAsia="仿宋" w:cs="仿宋"/>
                <w:sz w:val="20"/>
                <w:szCs w:val="20"/>
              </w:rPr>
              <w:t>（十一）实习管理</w:t>
            </w:r>
          </w:p>
          <w:tbl>
            <w:tblPr>
              <w:tblStyle w:val="5"/>
              <w:tblW w:w="5000" w:type="pct"/>
              <w:tblInd w:w="0" w:type="dxa"/>
              <w:tblLayout w:type="autofit"/>
              <w:tblCellMar>
                <w:top w:w="0" w:type="dxa"/>
                <w:left w:w="108" w:type="dxa"/>
                <w:bottom w:w="0" w:type="dxa"/>
                <w:right w:w="108" w:type="dxa"/>
              </w:tblCellMar>
            </w:tblPr>
            <w:tblGrid>
              <w:gridCol w:w="6584"/>
            </w:tblGrid>
            <w:tr w14:paraId="4FE4EAA2">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tcPr>
                <w:p w14:paraId="04A5B80C">
                  <w:pPr>
                    <w:widowControl/>
                    <w:numPr>
                      <w:ilvl w:val="0"/>
                      <w:numId w:val="0"/>
                    </w:numPr>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val="en-US" w:eastAsia="zh-CN" w:bidi="ar"/>
                    </w:rPr>
                    <w:t>1.</w:t>
                  </w:r>
                  <w:r>
                    <w:rPr>
                      <w:rFonts w:hint="eastAsia" w:ascii="仿宋" w:hAnsi="仿宋" w:eastAsia="仿宋" w:cs="仿宋"/>
                      <w:color w:val="000000"/>
                      <w:kern w:val="0"/>
                      <w:sz w:val="20"/>
                      <w:szCs w:val="20"/>
                      <w:lang w:bidi="ar"/>
                    </w:rPr>
                    <w:t>实习管理系统可实现全过程管理，可以实现对实习实训前中后期全过程管理，包含对实习、实训或劳动实践的计划、执行、评价和改进等各个阶段的管理。提供单独的业务系统，支持签到、日报、月报、实习总结等。实习实训管理平台可以通过技术手段如实时监控、数据分析等，实现对学生实践活动的全程跟踪和管理，以确保实践教学的质量和效果。</w:t>
                  </w:r>
                </w:p>
              </w:tc>
            </w:tr>
            <w:tr w14:paraId="69968049">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tcPr>
                <w:p w14:paraId="6F62E8D3">
                  <w:pPr>
                    <w:widowControl/>
                    <w:numPr>
                      <w:ilvl w:val="0"/>
                      <w:numId w:val="0"/>
                    </w:numPr>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val="en-US" w:eastAsia="zh-CN" w:bidi="ar"/>
                    </w:rPr>
                    <w:t>2.</w:t>
                  </w:r>
                  <w:r>
                    <w:rPr>
                      <w:rFonts w:hint="eastAsia" w:ascii="仿宋" w:hAnsi="仿宋" w:eastAsia="仿宋" w:cs="仿宋"/>
                      <w:color w:val="000000"/>
                      <w:kern w:val="0"/>
                      <w:sz w:val="20"/>
                      <w:szCs w:val="20"/>
                      <w:lang w:bidi="ar"/>
                    </w:rPr>
                    <w:t>学校可基于实践教学任务的要求新建实习计划，可维护实习计划名称、面向的学生范围、实习类型、学年学期、补贴标准、实习起止时间、是否购买保险、实习目的、实习内容、实习要求、实习应交日报/周报/月报数量下限、实习签到次数下限等内容。</w:t>
                  </w:r>
                </w:p>
              </w:tc>
            </w:tr>
            <w:tr w14:paraId="4F66EB09">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tcPr>
                <w:p w14:paraId="5383FEBA">
                  <w:pPr>
                    <w:widowControl/>
                    <w:numPr>
                      <w:ilvl w:val="0"/>
                      <w:numId w:val="0"/>
                    </w:numPr>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val="en-US" w:eastAsia="zh-CN" w:bidi="ar"/>
                    </w:rPr>
                    <w:t>3.</w:t>
                  </w:r>
                  <w:r>
                    <w:rPr>
                      <w:rFonts w:hint="eastAsia" w:ascii="仿宋" w:hAnsi="仿宋" w:eastAsia="仿宋" w:cs="仿宋"/>
                      <w:color w:val="000000"/>
                      <w:kern w:val="0"/>
                      <w:sz w:val="20"/>
                      <w:szCs w:val="20"/>
                      <w:lang w:bidi="ar"/>
                    </w:rPr>
                    <w:t>学校可以为每项实习计划设置具体的考核指标，指标项来源于考核指标管理中的指标库，可自定义各考核项目的占比，可维护考核人员（校内导师、校外导师、院系管理员等）。学生实习结束后，考核人按照考核指标对学生进行考核打分，系统基于各考核项目的权重占比，自动汇总计算出学生的考核总成绩。</w:t>
                  </w:r>
                </w:p>
              </w:tc>
            </w:tr>
            <w:tr w14:paraId="5BD8911F">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tcPr>
                <w:p w14:paraId="5547CDEF">
                  <w:pPr>
                    <w:widowControl/>
                    <w:numPr>
                      <w:ilvl w:val="0"/>
                      <w:numId w:val="0"/>
                    </w:numPr>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val="en-US" w:eastAsia="zh-CN" w:bidi="ar"/>
                    </w:rPr>
                    <w:t>4.</w:t>
                  </w:r>
                  <w:r>
                    <w:rPr>
                      <w:rFonts w:hint="eastAsia" w:ascii="仿宋" w:hAnsi="仿宋" w:eastAsia="仿宋" w:cs="仿宋"/>
                      <w:color w:val="000000"/>
                      <w:kern w:val="0"/>
                      <w:sz w:val="20"/>
                      <w:szCs w:val="20"/>
                      <w:lang w:bidi="ar"/>
                    </w:rPr>
                    <w:t>学校可维护各项实习计划对应的实习学生，支持单个添加与批量导入实习学生，支持为每名实习学生指定具体的实习单位和校内导师。</w:t>
                  </w:r>
                </w:p>
              </w:tc>
            </w:tr>
            <w:tr w14:paraId="38DE88A4">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tcPr>
                <w:p w14:paraId="3CA37AF2">
                  <w:pPr>
                    <w:widowControl/>
                    <w:numPr>
                      <w:ilvl w:val="0"/>
                      <w:numId w:val="0"/>
                    </w:numPr>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val="en-US" w:eastAsia="zh-CN" w:bidi="ar"/>
                    </w:rPr>
                    <w:t>5.</w:t>
                  </w:r>
                  <w:r>
                    <w:rPr>
                      <w:rFonts w:hint="eastAsia" w:ascii="仿宋" w:hAnsi="仿宋" w:eastAsia="仿宋" w:cs="仿宋"/>
                      <w:color w:val="000000"/>
                      <w:kern w:val="0"/>
                      <w:sz w:val="20"/>
                      <w:szCs w:val="20"/>
                      <w:lang w:bidi="ar"/>
                    </w:rPr>
                    <w:t>学生既可报名学校集中安排的实习计划，同时也可选择自主实习，即自主选择实习时间、职位导师、实习单位等信息，并由相关管理人员进行审核。</w:t>
                  </w:r>
                </w:p>
              </w:tc>
            </w:tr>
            <w:tr w14:paraId="3FEF32A8">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tcPr>
                <w:p w14:paraId="28FB5367">
                  <w:pPr>
                    <w:widowControl/>
                    <w:numPr>
                      <w:ilvl w:val="0"/>
                      <w:numId w:val="0"/>
                    </w:numPr>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val="en-US" w:eastAsia="zh-CN" w:bidi="ar"/>
                    </w:rPr>
                    <w:t>6.</w:t>
                  </w:r>
                  <w:r>
                    <w:rPr>
                      <w:rFonts w:hint="eastAsia" w:ascii="仿宋" w:hAnsi="仿宋" w:eastAsia="仿宋" w:cs="仿宋"/>
                      <w:color w:val="000000"/>
                      <w:kern w:val="0"/>
                      <w:sz w:val="20"/>
                      <w:szCs w:val="20"/>
                      <w:lang w:bidi="ar"/>
                    </w:rPr>
                    <w:t>实习过程中，支持学生在线填报实习日报、周报、月报、总结内容，支持指导老师在线评阅。学校可自定义学生签到要求及预警规则，学生可通过移动端进行上下班签到打卡，学校可查看学生签到明细、签到预警信息。</w:t>
                  </w:r>
                </w:p>
              </w:tc>
            </w:tr>
            <w:tr w14:paraId="38923AF6">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tcPr>
                <w:p w14:paraId="5BF9CD3A">
                  <w:pPr>
                    <w:widowControl/>
                    <w:numPr>
                      <w:ilvl w:val="0"/>
                      <w:numId w:val="0"/>
                    </w:numPr>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val="en-US" w:eastAsia="zh-CN" w:bidi="ar"/>
                    </w:rPr>
                    <w:t>7.</w:t>
                  </w:r>
                  <w:r>
                    <w:rPr>
                      <w:rFonts w:hint="eastAsia" w:ascii="仿宋" w:hAnsi="仿宋" w:eastAsia="仿宋" w:cs="仿宋"/>
                      <w:color w:val="000000"/>
                      <w:kern w:val="0"/>
                      <w:sz w:val="20"/>
                      <w:szCs w:val="20"/>
                      <w:lang w:bidi="ar"/>
                    </w:rPr>
                    <w:t>系统提供实习变更管理功能，支持实习变更的流程化管理。学生可在线提交实习变更申请，如：变更岗位、变更实习时间、变更实习基地等，并由相关管理人员进行实习变更审核。</w:t>
                  </w:r>
                </w:p>
              </w:tc>
            </w:tr>
            <w:tr w14:paraId="43184354">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tcPr>
                <w:p w14:paraId="192B697E">
                  <w:pPr>
                    <w:widowControl/>
                    <w:numPr>
                      <w:ilvl w:val="0"/>
                      <w:numId w:val="0"/>
                    </w:numPr>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val="en-US" w:eastAsia="zh-CN" w:bidi="ar"/>
                    </w:rPr>
                    <w:t>8.</w:t>
                  </w:r>
                  <w:r>
                    <w:rPr>
                      <w:rFonts w:hint="eastAsia" w:ascii="仿宋" w:hAnsi="仿宋" w:eastAsia="仿宋" w:cs="仿宋"/>
                      <w:color w:val="000000"/>
                      <w:kern w:val="0"/>
                      <w:sz w:val="20"/>
                      <w:szCs w:val="20"/>
                      <w:lang w:bidi="ar"/>
                    </w:rPr>
                    <w:t>校内导师和校外职位导师可按照考核指标对学生进行考核打分，系统基于各考核项目的权重占比，自动汇总计算出学生的考核总成绩。</w:t>
                  </w:r>
                </w:p>
              </w:tc>
            </w:tr>
            <w:tr w14:paraId="7AA4408B">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tcPr>
                <w:p w14:paraId="4568D804">
                  <w:pPr>
                    <w:widowControl/>
                    <w:numPr>
                      <w:ilvl w:val="0"/>
                      <w:numId w:val="0"/>
                    </w:numPr>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val="en-US" w:eastAsia="zh-CN" w:bidi="ar"/>
                    </w:rPr>
                    <w:t>9.</w:t>
                  </w:r>
                  <w:r>
                    <w:rPr>
                      <w:rFonts w:hint="eastAsia" w:ascii="仿宋" w:hAnsi="仿宋" w:eastAsia="仿宋" w:cs="仿宋"/>
                      <w:color w:val="000000"/>
                      <w:kern w:val="0"/>
                      <w:sz w:val="20"/>
                      <w:szCs w:val="20"/>
                      <w:lang w:bidi="ar"/>
                    </w:rPr>
                    <w:t>实习结束后，学生可通过问卷对实习单位评价，相关管理人员可查看评价结果。</w:t>
                  </w:r>
                </w:p>
              </w:tc>
            </w:tr>
          </w:tbl>
          <w:p w14:paraId="32285ED4">
            <w:pPr>
              <w:jc w:val="left"/>
              <w:rPr>
                <w:rFonts w:ascii="仿宋" w:hAnsi="仿宋" w:eastAsia="仿宋" w:cs="仿宋"/>
                <w:sz w:val="20"/>
                <w:szCs w:val="20"/>
              </w:rPr>
            </w:pPr>
            <w:r>
              <w:rPr>
                <w:rFonts w:hint="eastAsia" w:ascii="仿宋" w:hAnsi="仿宋" w:eastAsia="仿宋" w:cs="仿宋"/>
                <w:sz w:val="20"/>
                <w:szCs w:val="20"/>
              </w:rPr>
              <w:t>（十二）教材管理</w:t>
            </w:r>
          </w:p>
          <w:tbl>
            <w:tblPr>
              <w:tblStyle w:val="5"/>
              <w:tblW w:w="5000" w:type="pct"/>
              <w:tblInd w:w="0" w:type="dxa"/>
              <w:tblLayout w:type="autofit"/>
              <w:tblCellMar>
                <w:top w:w="0" w:type="dxa"/>
                <w:left w:w="108" w:type="dxa"/>
                <w:bottom w:w="0" w:type="dxa"/>
                <w:right w:w="108" w:type="dxa"/>
              </w:tblCellMar>
            </w:tblPr>
            <w:tblGrid>
              <w:gridCol w:w="6584"/>
            </w:tblGrid>
            <w:tr w14:paraId="3592B0E8">
              <w:tblPrEx>
                <w:tblCellMar>
                  <w:top w:w="0" w:type="dxa"/>
                  <w:left w:w="108" w:type="dxa"/>
                  <w:bottom w:w="0" w:type="dxa"/>
                  <w:right w:w="108" w:type="dxa"/>
                </w:tblCellMar>
              </w:tblPrEx>
              <w:trPr>
                <w:trHeight w:val="20" w:hRule="atLeast"/>
              </w:trPr>
              <w:tc>
                <w:tcPr>
                  <w:tcW w:w="5000" w:type="pct"/>
                  <w:tcBorders>
                    <w:top w:val="single" w:color="000000" w:sz="4" w:space="0"/>
                    <w:left w:val="single" w:color="000000" w:sz="4" w:space="0"/>
                    <w:right w:val="single" w:color="000000" w:sz="4" w:space="0"/>
                  </w:tcBorders>
                </w:tcPr>
                <w:p w14:paraId="340F8E7B">
                  <w:pPr>
                    <w:widowControl/>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1.教材管理参数设置</w:t>
                  </w:r>
                </w:p>
                <w:p w14:paraId="16C4172D">
                  <w:pPr>
                    <w:widowControl/>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(1)对教材出版社、供书单位、教材书目、供应清单、教材类型、仓库参数、出入库类型等进行基本参数设置。</w:t>
                  </w:r>
                </w:p>
                <w:p w14:paraId="03CCDE7C">
                  <w:pPr>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(2)支持新增教材申请审批设置，可由教师端填写需要新增入库的教材，管理端进行审批。</w:t>
                  </w:r>
                </w:p>
              </w:tc>
            </w:tr>
            <w:tr w14:paraId="2A1CECAD">
              <w:tblPrEx>
                <w:tblCellMar>
                  <w:top w:w="0" w:type="dxa"/>
                  <w:left w:w="108" w:type="dxa"/>
                  <w:bottom w:w="0" w:type="dxa"/>
                  <w:right w:w="108" w:type="dxa"/>
                </w:tblCellMar>
              </w:tblPrEx>
              <w:trPr>
                <w:trHeight w:val="20" w:hRule="atLeast"/>
              </w:trPr>
              <w:tc>
                <w:tcPr>
                  <w:tcW w:w="5000" w:type="pct"/>
                  <w:tcBorders>
                    <w:top w:val="single" w:color="000000" w:sz="4" w:space="0"/>
                    <w:left w:val="single" w:color="000000" w:sz="4" w:space="0"/>
                    <w:right w:val="single" w:color="000000" w:sz="4" w:space="0"/>
                  </w:tcBorders>
                </w:tcPr>
                <w:p w14:paraId="6CA6DFF5">
                  <w:pPr>
                    <w:widowControl/>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2.教材计划管理</w:t>
                  </w:r>
                </w:p>
                <w:p w14:paraId="06A49E5A">
                  <w:pPr>
                    <w:widowControl/>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(1)对教材计划进行管理，支持管理端分权限设置教材计划。</w:t>
                  </w:r>
                </w:p>
                <w:p w14:paraId="39A8165C">
                  <w:pPr>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(2)支持教材计划的申请审批设置，可由教师端填写课程对应的教材，管理端进行审批。</w:t>
                  </w:r>
                </w:p>
              </w:tc>
            </w:tr>
            <w:tr w14:paraId="4FA052BD">
              <w:tblPrEx>
                <w:tblCellMar>
                  <w:top w:w="0" w:type="dxa"/>
                  <w:left w:w="108" w:type="dxa"/>
                  <w:bottom w:w="0" w:type="dxa"/>
                  <w:right w:w="108" w:type="dxa"/>
                </w:tblCellMar>
              </w:tblPrEx>
              <w:trPr>
                <w:trHeight w:val="20" w:hRule="atLeast"/>
              </w:trPr>
              <w:tc>
                <w:tcPr>
                  <w:tcW w:w="5000" w:type="pct"/>
                  <w:tcBorders>
                    <w:top w:val="single" w:color="000000" w:sz="4" w:space="0"/>
                    <w:left w:val="single" w:color="000000" w:sz="4" w:space="0"/>
                    <w:bottom w:val="single" w:color="000000" w:sz="4" w:space="0"/>
                    <w:right w:val="single" w:color="000000" w:sz="4" w:space="0"/>
                  </w:tcBorders>
                </w:tcPr>
                <w:p w14:paraId="6FEE7F1A">
                  <w:pPr>
                    <w:widowControl/>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3.教材禁发管理：可单独或批量设置教材禁发的名单，确保教材发放名单的准确。</w:t>
                  </w:r>
                </w:p>
              </w:tc>
            </w:tr>
            <w:tr w14:paraId="056103EC">
              <w:tblPrEx>
                <w:tblCellMar>
                  <w:top w:w="0" w:type="dxa"/>
                  <w:left w:w="108" w:type="dxa"/>
                  <w:bottom w:w="0" w:type="dxa"/>
                  <w:right w:w="108" w:type="dxa"/>
                </w:tblCellMar>
              </w:tblPrEx>
              <w:trPr>
                <w:trHeight w:val="20" w:hRule="atLeast"/>
              </w:trPr>
              <w:tc>
                <w:tcPr>
                  <w:tcW w:w="5000" w:type="pct"/>
                  <w:tcBorders>
                    <w:top w:val="single" w:color="000000" w:sz="4" w:space="0"/>
                    <w:left w:val="single" w:color="000000" w:sz="4" w:space="0"/>
                    <w:bottom w:val="single" w:color="000000" w:sz="4" w:space="0"/>
                    <w:right w:val="single" w:color="000000" w:sz="4" w:space="0"/>
                  </w:tcBorders>
                </w:tcPr>
                <w:p w14:paraId="181D1ADE">
                  <w:pPr>
                    <w:widowControl/>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4.教材库存管理：提供教材仓库盘点、库存、入库和出库管理，导出预订单。</w:t>
                  </w:r>
                </w:p>
              </w:tc>
            </w:tr>
            <w:tr w14:paraId="027780D7">
              <w:tblPrEx>
                <w:tblCellMar>
                  <w:top w:w="0" w:type="dxa"/>
                  <w:left w:w="108" w:type="dxa"/>
                  <w:bottom w:w="0" w:type="dxa"/>
                  <w:right w:w="108" w:type="dxa"/>
                </w:tblCellMar>
              </w:tblPrEx>
              <w:trPr>
                <w:trHeight w:val="20" w:hRule="atLeast"/>
              </w:trPr>
              <w:tc>
                <w:tcPr>
                  <w:tcW w:w="5000" w:type="pct"/>
                  <w:tcBorders>
                    <w:top w:val="single" w:color="000000" w:sz="4" w:space="0"/>
                    <w:left w:val="single" w:color="000000" w:sz="4" w:space="0"/>
                    <w:bottom w:val="single" w:color="000000" w:sz="4" w:space="0"/>
                    <w:right w:val="single" w:color="000000" w:sz="4" w:space="0"/>
                  </w:tcBorders>
                </w:tcPr>
                <w:p w14:paraId="580E9C77">
                  <w:pPr>
                    <w:widowControl/>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5.教材费用管理：统计教材费用，对学生教材费用明细进行统计和管理。</w:t>
                  </w:r>
                </w:p>
              </w:tc>
            </w:tr>
            <w:tr w14:paraId="1F0E9727">
              <w:tblPrEx>
                <w:tblCellMar>
                  <w:top w:w="0" w:type="dxa"/>
                  <w:left w:w="108" w:type="dxa"/>
                  <w:bottom w:w="0" w:type="dxa"/>
                  <w:right w:w="108" w:type="dxa"/>
                </w:tblCellMar>
              </w:tblPrEx>
              <w:trPr>
                <w:trHeight w:val="20" w:hRule="atLeast"/>
              </w:trPr>
              <w:tc>
                <w:tcPr>
                  <w:tcW w:w="5000" w:type="pct"/>
                  <w:tcBorders>
                    <w:top w:val="single" w:color="000000" w:sz="4" w:space="0"/>
                    <w:left w:val="single" w:color="000000" w:sz="4" w:space="0"/>
                    <w:bottom w:val="single" w:color="000000" w:sz="4" w:space="0"/>
                    <w:right w:val="single" w:color="000000" w:sz="4" w:space="0"/>
                  </w:tcBorders>
                </w:tcPr>
                <w:p w14:paraId="764C7532">
                  <w:pPr>
                    <w:widowControl/>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6.教材发放管理：提供教材收费管理、教材禁发名单管理、教材发放管理等功能。</w:t>
                  </w:r>
                </w:p>
              </w:tc>
            </w:tr>
          </w:tbl>
          <w:p w14:paraId="3CE8930B">
            <w:pPr>
              <w:jc w:val="left"/>
              <w:rPr>
                <w:rFonts w:ascii="仿宋" w:hAnsi="仿宋" w:eastAsia="仿宋" w:cs="仿宋"/>
                <w:sz w:val="20"/>
                <w:szCs w:val="20"/>
              </w:rPr>
            </w:pPr>
            <w:r>
              <w:rPr>
                <w:rFonts w:hint="eastAsia" w:ascii="仿宋" w:hAnsi="仿宋" w:eastAsia="仿宋" w:cs="仿宋"/>
                <w:sz w:val="20"/>
                <w:szCs w:val="20"/>
              </w:rPr>
              <w:t>（十三）教学过程及工作量管理</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4"/>
            </w:tblGrid>
            <w:tr w14:paraId="67069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5000" w:type="pct"/>
                </w:tcPr>
                <w:p w14:paraId="1A3A5BE6">
                  <w:pPr>
                    <w:widowControl/>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1.依据学校需求定制化建设，设置教师工作量参数，进行教师工作量汇总统计；</w:t>
                  </w:r>
                </w:p>
              </w:tc>
            </w:tr>
            <w:tr w14:paraId="5FD2D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Pr>
                <w:p w14:paraId="696D39C6">
                  <w:pPr>
                    <w:widowControl/>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用户可按维度自定义新增、编辑和删除系数，包括系数名称、系数维度、指标和计算公式。其中系数维度分为教师属性（包括工龄、职称、外聘情况、主讲情况）和教学任务属性（包括开课单位、课程性质、课程类别、重复班情况、考试类型、校区情况、教室类型、体育课情况等）两类。</w:t>
                  </w:r>
                </w:p>
              </w:tc>
            </w:tr>
            <w:tr w14:paraId="0214C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Pr>
                <w:p w14:paraId="490107B8">
                  <w:pPr>
                    <w:widowControl/>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教师端可查看工作量统计情况。系统支持工作量确认设置，具体可选择教师自行确认或教务处确认，设置确认的起止时间；对于有异议的工作量系统支持在线提交变更申请。为方便教师确认工作量，系统支持系统内查看工作量系数和计算规则。系统支持授课学时设置，具体授课学时数据来源包括课程总学时、教学任务落实学时和排课已排总学时，可自由选择统计授课学时是否考虑调课学时。</w:t>
                  </w:r>
                </w:p>
              </w:tc>
            </w:tr>
            <w:tr w14:paraId="3A1A9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Pr>
                <w:p w14:paraId="430FA44E">
                  <w:pPr>
                    <w:widowControl/>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系统支持在线申报工作量，包括教学工作量和其他工作量。教学外工作量申请需提交附件材料，审核可以自定义设置审批流程，并设置通过和退回处理。工作量明细统计和汇总统计，可按学期、教师号、工作量类型、工作量区间、姓名、职称、外聘、所在院系等维度查看工作量。</w:t>
                  </w:r>
                </w:p>
              </w:tc>
            </w:tr>
          </w:tbl>
          <w:p w14:paraId="4C2B7472">
            <w:pPr>
              <w:jc w:val="left"/>
              <w:rPr>
                <w:rFonts w:ascii="仿宋" w:hAnsi="仿宋" w:eastAsia="仿宋" w:cs="仿宋"/>
                <w:sz w:val="20"/>
                <w:szCs w:val="20"/>
              </w:rPr>
            </w:pPr>
            <w:r>
              <w:rPr>
                <w:rFonts w:hint="eastAsia" w:ascii="仿宋" w:hAnsi="仿宋" w:eastAsia="仿宋" w:cs="仿宋"/>
                <w:sz w:val="20"/>
                <w:szCs w:val="20"/>
              </w:rPr>
              <w:t>（十四）评教管理</w:t>
            </w:r>
          </w:p>
          <w:tbl>
            <w:tblPr>
              <w:tblStyle w:val="5"/>
              <w:tblW w:w="5000" w:type="pct"/>
              <w:tblInd w:w="0" w:type="dxa"/>
              <w:tblLayout w:type="autofit"/>
              <w:tblCellMar>
                <w:top w:w="0" w:type="dxa"/>
                <w:left w:w="108" w:type="dxa"/>
                <w:bottom w:w="0" w:type="dxa"/>
                <w:right w:w="108" w:type="dxa"/>
              </w:tblCellMar>
            </w:tblPr>
            <w:tblGrid>
              <w:gridCol w:w="6584"/>
            </w:tblGrid>
            <w:tr w14:paraId="4ECCEF35">
              <w:tblPrEx>
                <w:tblCellMar>
                  <w:top w:w="0" w:type="dxa"/>
                  <w:left w:w="108" w:type="dxa"/>
                  <w:bottom w:w="0" w:type="dxa"/>
                  <w:right w:w="108" w:type="dxa"/>
                </w:tblCellMar>
              </w:tblPrEx>
              <w:trPr>
                <w:trHeight w:val="20" w:hRule="atLeast"/>
              </w:trPr>
              <w:tc>
                <w:tcPr>
                  <w:tcW w:w="5000" w:type="pct"/>
                  <w:tcBorders>
                    <w:top w:val="single" w:color="000000" w:sz="4" w:space="0"/>
                    <w:left w:val="single" w:color="000000" w:sz="4" w:space="0"/>
                    <w:bottom w:val="single" w:color="000000" w:sz="4" w:space="0"/>
                    <w:right w:val="single" w:color="000000" w:sz="4" w:space="0"/>
                  </w:tcBorders>
                </w:tcPr>
                <w:p w14:paraId="4D92B5AF">
                  <w:pPr>
                    <w:widowControl/>
                    <w:numPr>
                      <w:ilvl w:val="0"/>
                      <w:numId w:val="0"/>
                    </w:numPr>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val="en-US" w:eastAsia="zh-CN" w:bidi="ar"/>
                    </w:rPr>
                    <w:t>1.</w:t>
                  </w:r>
                  <w:r>
                    <w:rPr>
                      <w:rFonts w:hint="eastAsia" w:ascii="仿宋" w:hAnsi="仿宋" w:eastAsia="仿宋" w:cs="仿宋"/>
                      <w:color w:val="000000"/>
                      <w:kern w:val="0"/>
                      <w:sz w:val="20"/>
                      <w:szCs w:val="20"/>
                      <w:lang w:bidi="ar"/>
                    </w:rPr>
                    <w:t>系统支持对评教类型（学生评教、过程评教、督导评教等）、评教类别（实验课程、理论课程、实践课程等）、评教标签（一般关注课程、重点关注课程等）、指标题型（单选题、主观题、分值题、点赞题、星号题等）等进行管理和维护。</w:t>
                  </w:r>
                </w:p>
              </w:tc>
            </w:tr>
            <w:tr w14:paraId="2A81D977">
              <w:tblPrEx>
                <w:tblCellMar>
                  <w:top w:w="0" w:type="dxa"/>
                  <w:left w:w="108" w:type="dxa"/>
                  <w:bottom w:w="0" w:type="dxa"/>
                  <w:right w:w="108" w:type="dxa"/>
                </w:tblCellMar>
              </w:tblPrEx>
              <w:trPr>
                <w:trHeight w:val="20" w:hRule="atLeast"/>
              </w:trPr>
              <w:tc>
                <w:tcPr>
                  <w:tcW w:w="5000" w:type="pct"/>
                  <w:tcBorders>
                    <w:top w:val="single" w:color="000000" w:sz="4" w:space="0"/>
                    <w:left w:val="single" w:color="000000" w:sz="4" w:space="0"/>
                    <w:bottom w:val="single" w:color="000000" w:sz="4" w:space="0"/>
                    <w:right w:val="single" w:color="000000" w:sz="4" w:space="0"/>
                  </w:tcBorders>
                </w:tcPr>
                <w:p w14:paraId="2942A282">
                  <w:pPr>
                    <w:widowControl/>
                    <w:numPr>
                      <w:ilvl w:val="0"/>
                      <w:numId w:val="0"/>
                    </w:numPr>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val="en-US" w:eastAsia="zh-CN" w:bidi="ar"/>
                    </w:rPr>
                    <w:t>2.</w:t>
                  </w:r>
                  <w:r>
                    <w:rPr>
                      <w:rFonts w:hint="eastAsia" w:ascii="仿宋" w:hAnsi="仿宋" w:eastAsia="仿宋" w:cs="仿宋"/>
                      <w:color w:val="000000"/>
                      <w:kern w:val="0"/>
                      <w:sz w:val="20"/>
                      <w:szCs w:val="20"/>
                      <w:lang w:bidi="ar"/>
                    </w:rPr>
                    <w:t>系统支持评教问卷管理功能，支持管理人员新增和维护评教问卷模板，从而构建出学校整体的评教问卷模板库，方便后续评教管理环节进行问卷模板的快速引用。系统支持设置关键字屏蔽（屏蔽不雅文字）；系统支持发布/取消发布问卷功能；系统支持预览问卷内容。</w:t>
                  </w:r>
                </w:p>
              </w:tc>
            </w:tr>
            <w:tr w14:paraId="3586CEB4">
              <w:tblPrEx>
                <w:tblCellMar>
                  <w:top w:w="0" w:type="dxa"/>
                  <w:left w:w="108" w:type="dxa"/>
                  <w:bottom w:w="0" w:type="dxa"/>
                  <w:right w:w="108" w:type="dxa"/>
                </w:tblCellMar>
              </w:tblPrEx>
              <w:trPr>
                <w:trHeight w:val="20" w:hRule="atLeast"/>
              </w:trPr>
              <w:tc>
                <w:tcPr>
                  <w:tcW w:w="5000" w:type="pct"/>
                  <w:tcBorders>
                    <w:top w:val="single" w:color="000000" w:sz="4" w:space="0"/>
                    <w:left w:val="single" w:color="000000" w:sz="4" w:space="0"/>
                    <w:bottom w:val="single" w:color="000000" w:sz="4" w:space="0"/>
                    <w:right w:val="single" w:color="000000" w:sz="4" w:space="0"/>
                  </w:tcBorders>
                </w:tcPr>
                <w:p w14:paraId="5C7CDE13">
                  <w:pPr>
                    <w:widowControl/>
                    <w:numPr>
                      <w:ilvl w:val="0"/>
                      <w:numId w:val="0"/>
                    </w:numPr>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val="en-US" w:eastAsia="zh-CN" w:bidi="ar"/>
                    </w:rPr>
                    <w:t>3.</w:t>
                  </w:r>
                  <w:r>
                    <w:rPr>
                      <w:rFonts w:hint="eastAsia" w:ascii="仿宋" w:hAnsi="仿宋" w:eastAsia="仿宋" w:cs="仿宋"/>
                      <w:color w:val="000000"/>
                      <w:kern w:val="0"/>
                      <w:sz w:val="20"/>
                      <w:szCs w:val="20"/>
                      <w:lang w:bidi="ar"/>
                    </w:rPr>
                    <w:t>系统支持自定义设置评价模板，支持主观题和客观题的录入，可自定义设置评分标准，系统的模板可在线复制，方便下次使用。</w:t>
                  </w:r>
                </w:p>
              </w:tc>
            </w:tr>
            <w:tr w14:paraId="41C840AC">
              <w:tblPrEx>
                <w:tblCellMar>
                  <w:top w:w="0" w:type="dxa"/>
                  <w:left w:w="108" w:type="dxa"/>
                  <w:bottom w:w="0" w:type="dxa"/>
                  <w:right w:w="108" w:type="dxa"/>
                </w:tblCellMar>
              </w:tblPrEx>
              <w:trPr>
                <w:trHeight w:val="20" w:hRule="atLeast"/>
              </w:trPr>
              <w:tc>
                <w:tcPr>
                  <w:tcW w:w="5000" w:type="pct"/>
                  <w:tcBorders>
                    <w:top w:val="single" w:color="000000" w:sz="4" w:space="0"/>
                    <w:left w:val="single" w:color="000000" w:sz="4" w:space="0"/>
                    <w:bottom w:val="single" w:color="000000" w:sz="4" w:space="0"/>
                    <w:right w:val="single" w:color="000000" w:sz="4" w:space="0"/>
                  </w:tcBorders>
                </w:tcPr>
                <w:p w14:paraId="31573EE8">
                  <w:pPr>
                    <w:widowControl/>
                    <w:numPr>
                      <w:ilvl w:val="0"/>
                      <w:numId w:val="0"/>
                    </w:numPr>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val="en-US" w:eastAsia="zh-CN" w:bidi="ar"/>
                    </w:rPr>
                    <w:t>4.</w:t>
                  </w:r>
                  <w:r>
                    <w:rPr>
                      <w:rFonts w:hint="eastAsia" w:ascii="仿宋" w:hAnsi="仿宋" w:eastAsia="仿宋" w:cs="仿宋"/>
                      <w:color w:val="000000"/>
                      <w:kern w:val="0"/>
                      <w:sz w:val="20"/>
                      <w:szCs w:val="20"/>
                      <w:lang w:bidi="ar"/>
                    </w:rPr>
                    <w:t>系统支持一键同步学期教学任务，生成参评课程；系统支持对参评课程所属的评教类别、评教标签进行维护；系统支持参评课程设置的操作日志查询。</w:t>
                  </w:r>
                </w:p>
              </w:tc>
            </w:tr>
            <w:tr w14:paraId="59A4570A">
              <w:tblPrEx>
                <w:tblCellMar>
                  <w:top w:w="0" w:type="dxa"/>
                  <w:left w:w="108" w:type="dxa"/>
                  <w:bottom w:w="0" w:type="dxa"/>
                  <w:right w:w="108" w:type="dxa"/>
                </w:tblCellMar>
              </w:tblPrEx>
              <w:trPr>
                <w:trHeight w:val="20" w:hRule="atLeast"/>
              </w:trPr>
              <w:tc>
                <w:tcPr>
                  <w:tcW w:w="5000" w:type="pct"/>
                  <w:tcBorders>
                    <w:top w:val="single" w:color="000000" w:sz="4" w:space="0"/>
                    <w:left w:val="single" w:color="000000" w:sz="4" w:space="0"/>
                    <w:bottom w:val="single" w:color="000000" w:sz="4" w:space="0"/>
                    <w:right w:val="single" w:color="000000" w:sz="4" w:space="0"/>
                  </w:tcBorders>
                </w:tcPr>
                <w:p w14:paraId="1791A9A0">
                  <w:pPr>
                    <w:widowControl/>
                    <w:numPr>
                      <w:ilvl w:val="0"/>
                      <w:numId w:val="0"/>
                    </w:numPr>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val="en-US" w:eastAsia="zh-CN" w:bidi="ar"/>
                    </w:rPr>
                    <w:t>5.</w:t>
                  </w:r>
                  <w:r>
                    <w:rPr>
                      <w:rFonts w:hint="eastAsia" w:ascii="仿宋" w:hAnsi="仿宋" w:eastAsia="仿宋" w:cs="仿宋"/>
                      <w:color w:val="000000"/>
                      <w:kern w:val="0"/>
                      <w:sz w:val="20"/>
                      <w:szCs w:val="20"/>
                      <w:lang w:bidi="ar"/>
                    </w:rPr>
                    <w:t>系统支持学生评教、教师互评、督导评教、随堂评教、教师自评。</w:t>
                  </w:r>
                </w:p>
              </w:tc>
            </w:tr>
            <w:tr w14:paraId="475E0B3E">
              <w:tblPrEx>
                <w:tblCellMar>
                  <w:top w:w="0" w:type="dxa"/>
                  <w:left w:w="108" w:type="dxa"/>
                  <w:bottom w:w="0" w:type="dxa"/>
                  <w:right w:w="108" w:type="dxa"/>
                </w:tblCellMar>
              </w:tblPrEx>
              <w:trPr>
                <w:trHeight w:val="20" w:hRule="atLeast"/>
              </w:trPr>
              <w:tc>
                <w:tcPr>
                  <w:tcW w:w="5000" w:type="pct"/>
                  <w:tcBorders>
                    <w:top w:val="single" w:color="000000" w:sz="4" w:space="0"/>
                    <w:left w:val="single" w:color="000000" w:sz="4" w:space="0"/>
                    <w:bottom w:val="single" w:color="000000" w:sz="4" w:space="0"/>
                    <w:right w:val="single" w:color="000000" w:sz="4" w:space="0"/>
                  </w:tcBorders>
                </w:tcPr>
                <w:p w14:paraId="1ACB9DF1">
                  <w:pPr>
                    <w:widowControl/>
                    <w:numPr>
                      <w:ilvl w:val="0"/>
                      <w:numId w:val="0"/>
                    </w:numPr>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val="en-US" w:eastAsia="zh-CN" w:bidi="ar"/>
                    </w:rPr>
                    <w:t>6.</w:t>
                  </w:r>
                  <w:r>
                    <w:rPr>
                      <w:rFonts w:hint="eastAsia" w:ascii="仿宋" w:hAnsi="仿宋" w:eastAsia="仿宋" w:cs="仿宋"/>
                      <w:color w:val="000000"/>
                      <w:kern w:val="0"/>
                      <w:sz w:val="20"/>
                      <w:szCs w:val="20"/>
                      <w:lang w:bidi="ar"/>
                    </w:rPr>
                    <w:t>系统支持管理人员设置评教统计方案，具体方案可以设置最高分去除%、最低分去除x%、最高分去除x个数、最低分去除x个数，可以限制最低参评比例或人数，可以设置不参与排名统计的特殊原因，例如：缓考、旷考、违纪、作弊的学生不参与统计，可以控制课程成绩不及格是否参加评教统计、可以控制重修学生的评教结果不参与统计等。</w:t>
                  </w:r>
                </w:p>
              </w:tc>
            </w:tr>
            <w:tr w14:paraId="3A4A136E">
              <w:tblPrEx>
                <w:tblCellMar>
                  <w:top w:w="0" w:type="dxa"/>
                  <w:left w:w="108" w:type="dxa"/>
                  <w:bottom w:w="0" w:type="dxa"/>
                  <w:right w:w="108" w:type="dxa"/>
                </w:tblCellMar>
              </w:tblPrEx>
              <w:trPr>
                <w:trHeight w:val="20" w:hRule="atLeast"/>
              </w:trPr>
              <w:tc>
                <w:tcPr>
                  <w:tcW w:w="5000" w:type="pct"/>
                  <w:tcBorders>
                    <w:top w:val="single" w:color="000000" w:sz="4" w:space="0"/>
                    <w:left w:val="single" w:color="000000" w:sz="4" w:space="0"/>
                    <w:bottom w:val="single" w:color="000000" w:sz="4" w:space="0"/>
                    <w:right w:val="single" w:color="000000" w:sz="4" w:space="0"/>
                  </w:tcBorders>
                </w:tcPr>
                <w:p w14:paraId="43338BD4">
                  <w:pPr>
                    <w:widowControl/>
                    <w:numPr>
                      <w:ilvl w:val="0"/>
                      <w:numId w:val="0"/>
                    </w:numPr>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val="en-US" w:eastAsia="zh-CN" w:bidi="ar"/>
                    </w:rPr>
                    <w:t>7.</w:t>
                  </w:r>
                  <w:r>
                    <w:rPr>
                      <w:rFonts w:hint="eastAsia" w:ascii="仿宋" w:hAnsi="仿宋" w:eastAsia="仿宋" w:cs="仿宋"/>
                      <w:color w:val="000000"/>
                      <w:kern w:val="0"/>
                      <w:sz w:val="20"/>
                      <w:szCs w:val="20"/>
                      <w:lang w:bidi="ar"/>
                    </w:rPr>
                    <w:t>系统支持根据评教统计方案进行计算，支持对教师评教结果成绩进行加权平均分计算，计算完成后可得出综合评价结果数据，并支持按照多个维度（如：教师、课程、教学任务、全维度评教明细）进行查询。</w:t>
                  </w:r>
                </w:p>
              </w:tc>
            </w:tr>
          </w:tbl>
          <w:p w14:paraId="1660C31E">
            <w:pPr>
              <w:jc w:val="left"/>
              <w:rPr>
                <w:rFonts w:ascii="仿宋" w:hAnsi="仿宋" w:eastAsia="仿宋" w:cs="仿宋"/>
                <w:sz w:val="20"/>
                <w:szCs w:val="20"/>
              </w:rPr>
            </w:pPr>
            <w:r>
              <w:rPr>
                <w:rFonts w:hint="eastAsia" w:ascii="仿宋" w:hAnsi="仿宋" w:eastAsia="仿宋" w:cs="仿宋"/>
                <w:sz w:val="20"/>
                <w:szCs w:val="20"/>
              </w:rPr>
              <w:t>（十五）教学项目评审</w:t>
            </w:r>
          </w:p>
          <w:tbl>
            <w:tblPr>
              <w:tblStyle w:val="5"/>
              <w:tblW w:w="5000" w:type="pct"/>
              <w:tblInd w:w="0" w:type="dxa"/>
              <w:tblLayout w:type="autofit"/>
              <w:tblCellMar>
                <w:top w:w="0" w:type="dxa"/>
                <w:left w:w="108" w:type="dxa"/>
                <w:bottom w:w="0" w:type="dxa"/>
                <w:right w:w="108" w:type="dxa"/>
              </w:tblCellMar>
            </w:tblPr>
            <w:tblGrid>
              <w:gridCol w:w="6584"/>
            </w:tblGrid>
            <w:tr w14:paraId="2EECC9A2">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tcPr>
                <w:p w14:paraId="12B60DDA">
                  <w:pPr>
                    <w:widowControl/>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val="en-US" w:eastAsia="zh-CN" w:bidi="ar"/>
                    </w:rPr>
                    <w:t>1.</w:t>
                  </w:r>
                  <w:r>
                    <w:rPr>
                      <w:rFonts w:hint="eastAsia" w:ascii="仿宋" w:hAnsi="仿宋" w:eastAsia="仿宋" w:cs="仿宋"/>
                      <w:color w:val="000000"/>
                      <w:kern w:val="0"/>
                      <w:sz w:val="20"/>
                      <w:szCs w:val="20"/>
                      <w:lang w:bidi="ar"/>
                    </w:rPr>
                    <w:t>支持自定义设置项目类别，</w:t>
                  </w:r>
                  <w:r>
                    <w:rPr>
                      <w:rFonts w:hint="eastAsia" w:ascii="仿宋" w:hAnsi="仿宋" w:eastAsia="仿宋" w:cs="仿宋"/>
                      <w:color w:val="000000"/>
                      <w:kern w:val="0"/>
                      <w:sz w:val="20"/>
                      <w:szCs w:val="20"/>
                      <w:lang w:val="zh-CN" w:bidi="ar"/>
                    </w:rPr>
                    <w:t>系统</w:t>
                  </w:r>
                  <w:r>
                    <w:rPr>
                      <w:rFonts w:hint="eastAsia" w:ascii="仿宋" w:hAnsi="仿宋" w:eastAsia="仿宋" w:cs="仿宋"/>
                      <w:color w:val="000000"/>
                      <w:kern w:val="0"/>
                      <w:sz w:val="20"/>
                      <w:szCs w:val="20"/>
                      <w:lang w:bidi="ar"/>
                    </w:rPr>
                    <w:t>支持新增与维护项目类型信息，包括：项目类型名称、所属项目大类、项目等级、申报限制条件、立项/中检/结题填报模板（填报模板引用于填报表单配置）等。</w:t>
                  </w:r>
                </w:p>
              </w:tc>
            </w:tr>
            <w:tr w14:paraId="505B174A">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tcPr>
                <w:p w14:paraId="427AA2CC">
                  <w:pPr>
                    <w:widowControl/>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val="en-US" w:eastAsia="zh-CN" w:bidi="ar"/>
                    </w:rPr>
                    <w:t>2.</w:t>
                  </w:r>
                  <w:r>
                    <w:rPr>
                      <w:rFonts w:hint="eastAsia" w:ascii="仿宋" w:hAnsi="仿宋" w:eastAsia="仿宋" w:cs="仿宋"/>
                      <w:color w:val="000000"/>
                      <w:kern w:val="0"/>
                      <w:sz w:val="20"/>
                      <w:szCs w:val="20"/>
                      <w:lang w:val="zh-CN" w:bidi="ar"/>
                    </w:rPr>
                    <w:t>系统</w:t>
                  </w:r>
                  <w:r>
                    <w:rPr>
                      <w:rFonts w:hint="eastAsia" w:ascii="仿宋" w:hAnsi="仿宋" w:eastAsia="仿宋" w:cs="仿宋"/>
                      <w:color w:val="000000"/>
                      <w:kern w:val="0"/>
                      <w:sz w:val="20"/>
                      <w:szCs w:val="20"/>
                      <w:lang w:bidi="ar"/>
                    </w:rPr>
                    <w:t>支持维护项目批次名称、所属项目类型、申报起止时间范围、结项起止时间范围；可控制该项目批次，是否启用立项申请、项目调整、中期检查、结项申请业务流程，如果启用，还可自定义配置项目立项、项目调整、中期检查、项目结项的审核流程；可控制是否启用专家立项或结项评分，如果启用专家评分还可选择专家评分方式（打分制或投票制）；可设置专家立项或结项评分所采用的评审指标（引用于“评审指标库设置”）。</w:t>
                  </w:r>
                </w:p>
              </w:tc>
            </w:tr>
            <w:tr w14:paraId="624A36CF">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tcPr>
                <w:p w14:paraId="175787D3">
                  <w:pPr>
                    <w:widowControl/>
                    <w:numPr>
                      <w:ilvl w:val="0"/>
                      <w:numId w:val="0"/>
                    </w:numPr>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val="en-US" w:eastAsia="zh-CN" w:bidi="ar"/>
                    </w:rPr>
                    <w:t>3.</w:t>
                  </w:r>
                  <w:r>
                    <w:rPr>
                      <w:rFonts w:hint="eastAsia" w:ascii="仿宋" w:hAnsi="仿宋" w:eastAsia="仿宋" w:cs="仿宋"/>
                      <w:color w:val="000000"/>
                      <w:kern w:val="0"/>
                      <w:sz w:val="20"/>
                      <w:szCs w:val="20"/>
                      <w:lang w:val="zh-CN" w:bidi="ar"/>
                    </w:rPr>
                    <w:t>系统</w:t>
                  </w:r>
                  <w:r>
                    <w:rPr>
                      <w:rFonts w:hint="eastAsia" w:ascii="仿宋" w:hAnsi="仿宋" w:eastAsia="仿宋" w:cs="仿宋"/>
                      <w:color w:val="000000"/>
                      <w:kern w:val="0"/>
                      <w:sz w:val="20"/>
                      <w:szCs w:val="20"/>
                      <w:lang w:bidi="ar"/>
                    </w:rPr>
                    <w:t>支持满足申报条件的教师在线自主申报、支持院系或教务处管理人员代为教师申报。</w:t>
                  </w:r>
                  <w:r>
                    <w:rPr>
                      <w:rFonts w:hint="eastAsia" w:ascii="仿宋" w:hAnsi="仿宋" w:eastAsia="仿宋" w:cs="仿宋"/>
                      <w:color w:val="000000"/>
                      <w:kern w:val="0"/>
                      <w:sz w:val="20"/>
                      <w:szCs w:val="20"/>
                      <w:lang w:val="zh-CN" w:bidi="ar"/>
                    </w:rPr>
                    <w:t>系统</w:t>
                  </w:r>
                  <w:r>
                    <w:rPr>
                      <w:rFonts w:hint="eastAsia" w:ascii="仿宋" w:hAnsi="仿宋" w:eastAsia="仿宋" w:cs="仿宋"/>
                      <w:color w:val="000000"/>
                      <w:kern w:val="0"/>
                      <w:sz w:val="20"/>
                      <w:szCs w:val="20"/>
                      <w:lang w:bidi="ar"/>
                    </w:rPr>
                    <w:t>支持为每个申报项目分配评审专家，支持专家基于立项评审指标进行评审打分。支持管理人员根据专家打分情况进行立项审核，填写审核意见，审核通过后项目正式立项。</w:t>
                  </w:r>
                </w:p>
              </w:tc>
            </w:tr>
            <w:tr w14:paraId="7E588E0C">
              <w:tblPrEx>
                <w:tblCellMar>
                  <w:top w:w="0" w:type="dxa"/>
                  <w:left w:w="108" w:type="dxa"/>
                  <w:bottom w:w="0" w:type="dxa"/>
                  <w:right w:w="108" w:type="dxa"/>
                </w:tblCellMar>
              </w:tblPrEx>
              <w:trPr>
                <w:trHeight w:val="90" w:hRule="atLeast"/>
              </w:trPr>
              <w:tc>
                <w:tcPr>
                  <w:tcW w:w="5000" w:type="pct"/>
                  <w:tcBorders>
                    <w:top w:val="single" w:color="000000" w:sz="4" w:space="0"/>
                    <w:left w:val="single" w:color="000000" w:sz="4" w:space="0"/>
                    <w:bottom w:val="single" w:color="000000" w:sz="4" w:space="0"/>
                    <w:right w:val="single" w:color="000000" w:sz="4" w:space="0"/>
                  </w:tcBorders>
                </w:tcPr>
                <w:p w14:paraId="62713068">
                  <w:pPr>
                    <w:widowControl/>
                    <w:numPr>
                      <w:ilvl w:val="0"/>
                      <w:numId w:val="0"/>
                    </w:numPr>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val="en-US" w:eastAsia="zh-CN" w:bidi="ar"/>
                    </w:rPr>
                    <w:t>4.</w:t>
                  </w:r>
                  <w:r>
                    <w:rPr>
                      <w:rFonts w:hint="eastAsia" w:ascii="仿宋" w:hAnsi="仿宋" w:eastAsia="仿宋" w:cs="仿宋"/>
                      <w:color w:val="000000"/>
                      <w:kern w:val="0"/>
                      <w:sz w:val="20"/>
                      <w:szCs w:val="20"/>
                      <w:lang w:bidi="ar"/>
                    </w:rPr>
                    <w:t>教师在线填写和提交项目中期检查申请，管理人员进行项目中期审核。</w:t>
                  </w:r>
                </w:p>
              </w:tc>
            </w:tr>
            <w:tr w14:paraId="32F9C5A9">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tcPr>
                <w:p w14:paraId="144CF693">
                  <w:pPr>
                    <w:widowControl/>
                    <w:numPr>
                      <w:ilvl w:val="0"/>
                      <w:numId w:val="0"/>
                    </w:numPr>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val="en-US" w:eastAsia="zh-CN" w:bidi="ar"/>
                    </w:rPr>
                    <w:t>5.</w:t>
                  </w:r>
                  <w:r>
                    <w:rPr>
                      <w:rFonts w:hint="eastAsia" w:ascii="仿宋" w:hAnsi="仿宋" w:eastAsia="仿宋" w:cs="仿宋"/>
                      <w:color w:val="000000"/>
                      <w:kern w:val="0"/>
                      <w:sz w:val="20"/>
                      <w:szCs w:val="20"/>
                      <w:lang w:val="zh-CN" w:bidi="ar"/>
                    </w:rPr>
                    <w:t>系统</w:t>
                  </w:r>
                  <w:r>
                    <w:rPr>
                      <w:rFonts w:hint="eastAsia" w:ascii="仿宋" w:hAnsi="仿宋" w:eastAsia="仿宋" w:cs="仿宋"/>
                      <w:color w:val="000000"/>
                      <w:kern w:val="0"/>
                      <w:sz w:val="20"/>
                      <w:szCs w:val="20"/>
                      <w:lang w:bidi="ar"/>
                    </w:rPr>
                    <w:t>支持教师提交项目调整申请，如：调整项目成员、项目经费等。相关管理人员对教师提交的项目调整申请进行审核。</w:t>
                  </w:r>
                </w:p>
              </w:tc>
            </w:tr>
            <w:tr w14:paraId="745CB86D">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tcPr>
                <w:p w14:paraId="29236609">
                  <w:pPr>
                    <w:widowControl/>
                    <w:numPr>
                      <w:ilvl w:val="0"/>
                      <w:numId w:val="0"/>
                    </w:numPr>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val="en-US" w:eastAsia="zh-CN" w:bidi="ar"/>
                    </w:rPr>
                    <w:t>6.</w:t>
                  </w:r>
                  <w:r>
                    <w:rPr>
                      <w:rFonts w:hint="eastAsia" w:ascii="仿宋" w:hAnsi="仿宋" w:eastAsia="仿宋" w:cs="仿宋"/>
                      <w:color w:val="000000"/>
                      <w:kern w:val="0"/>
                      <w:sz w:val="20"/>
                      <w:szCs w:val="20"/>
                      <w:lang w:bidi="ar"/>
                    </w:rPr>
                    <w:t>教师进行项目延期申请的提交，管理人员进行项目延期审核。</w:t>
                  </w:r>
                </w:p>
              </w:tc>
            </w:tr>
            <w:tr w14:paraId="451AD201">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tcPr>
                <w:p w14:paraId="4903ED8D">
                  <w:pPr>
                    <w:widowControl/>
                    <w:numPr>
                      <w:ilvl w:val="0"/>
                      <w:numId w:val="0"/>
                    </w:numPr>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val="en-US" w:eastAsia="zh-CN" w:bidi="ar"/>
                    </w:rPr>
                    <w:t>7.</w:t>
                  </w:r>
                  <w:r>
                    <w:rPr>
                      <w:rFonts w:hint="eastAsia" w:ascii="仿宋" w:hAnsi="仿宋" w:eastAsia="仿宋" w:cs="仿宋"/>
                      <w:color w:val="000000"/>
                      <w:kern w:val="0"/>
                      <w:sz w:val="20"/>
                      <w:szCs w:val="20"/>
                      <w:lang w:val="zh-CN" w:bidi="ar"/>
                    </w:rPr>
                    <w:t>系统</w:t>
                  </w:r>
                  <w:r>
                    <w:rPr>
                      <w:rFonts w:hint="eastAsia" w:ascii="仿宋" w:hAnsi="仿宋" w:eastAsia="仿宋" w:cs="仿宋"/>
                      <w:color w:val="000000"/>
                      <w:kern w:val="0"/>
                      <w:sz w:val="20"/>
                      <w:szCs w:val="20"/>
                      <w:lang w:bidi="ar"/>
                    </w:rPr>
                    <w:t>支持教师在线提交项目结项申请，支持为每个待结项项目分配评审专家。</w:t>
                  </w:r>
                </w:p>
                <w:p w14:paraId="7529D077">
                  <w:pPr>
                    <w:widowControl/>
                    <w:numPr>
                      <w:ilvl w:val="0"/>
                      <w:numId w:val="0"/>
                    </w:numPr>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val="en-US" w:eastAsia="zh-CN" w:bidi="ar"/>
                    </w:rPr>
                    <w:t>8.</w:t>
                  </w:r>
                  <w:r>
                    <w:rPr>
                      <w:rFonts w:hint="eastAsia" w:ascii="仿宋" w:hAnsi="仿宋" w:eastAsia="仿宋" w:cs="仿宋"/>
                      <w:color w:val="000000"/>
                      <w:kern w:val="0"/>
                      <w:sz w:val="20"/>
                      <w:szCs w:val="20"/>
                      <w:lang w:bidi="ar"/>
                    </w:rPr>
                    <w:t>支持专家基于结项评审指标进行评审打分（评分方式为投票制时，由专家进行投票）。</w:t>
                  </w:r>
                </w:p>
                <w:p w14:paraId="65685789">
                  <w:pPr>
                    <w:widowControl/>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系统支持管理人员根据专家打分情况进行结项审核，填写审核意见，审核通过后项目正式结项。如果项目需要提前终止，支持教师提交提前终止申请，并由管理人员进行审核。</w:t>
                  </w:r>
                </w:p>
              </w:tc>
            </w:tr>
            <w:tr w14:paraId="1049BBD9">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tcPr>
                <w:p w14:paraId="68A0A3B6">
                  <w:pPr>
                    <w:widowControl/>
                    <w:numPr>
                      <w:ilvl w:val="0"/>
                      <w:numId w:val="0"/>
                    </w:numPr>
                    <w:jc w:val="left"/>
                    <w:textAlignment w:val="top"/>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val="en-US" w:eastAsia="zh-CN" w:bidi="ar"/>
                    </w:rPr>
                    <w:t>9.</w:t>
                  </w:r>
                  <w:r>
                    <w:rPr>
                      <w:rFonts w:hint="eastAsia" w:ascii="仿宋" w:hAnsi="仿宋" w:eastAsia="仿宋" w:cs="仿宋"/>
                      <w:color w:val="000000"/>
                      <w:kern w:val="0"/>
                      <w:sz w:val="20"/>
                      <w:szCs w:val="20"/>
                      <w:lang w:bidi="ar"/>
                    </w:rPr>
                    <w:t>系统支持按照项目名称、项目类别、项目状态、项目批次、教师所属单位等条件对项目情况进行查询统计。</w:t>
                  </w:r>
                </w:p>
              </w:tc>
            </w:tr>
          </w:tbl>
          <w:p w14:paraId="0F8D698F">
            <w:pPr>
              <w:jc w:val="left"/>
              <w:rPr>
                <w:rFonts w:ascii="仿宋" w:hAnsi="仿宋" w:eastAsia="仿宋" w:cs="仿宋"/>
                <w:sz w:val="20"/>
                <w:szCs w:val="20"/>
              </w:rPr>
            </w:pPr>
            <w:r>
              <w:rPr>
                <w:rFonts w:hint="eastAsia" w:ascii="仿宋" w:hAnsi="仿宋" w:eastAsia="仿宋" w:cs="仿宋"/>
                <w:sz w:val="20"/>
                <w:szCs w:val="20"/>
              </w:rPr>
              <w:t>（十六）考勤督查</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4"/>
            </w:tblGrid>
            <w:tr w14:paraId="6CCAD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vAlign w:val="center"/>
                </w:tcPr>
                <w:p w14:paraId="7C3DE6B1">
                  <w:pPr>
                    <w:jc w:val="left"/>
                    <w:rPr>
                      <w:rFonts w:ascii="仿宋" w:hAnsi="仿宋" w:eastAsia="仿宋" w:cs="仿宋"/>
                      <w:sz w:val="20"/>
                      <w:szCs w:val="20"/>
                    </w:rPr>
                  </w:pPr>
                  <w:r>
                    <w:rPr>
                      <w:rFonts w:hint="eastAsia" w:ascii="仿宋" w:hAnsi="仿宋" w:eastAsia="仿宋" w:cs="仿宋"/>
                      <w:sz w:val="20"/>
                      <w:szCs w:val="20"/>
                    </w:rPr>
                    <w:t>1.基本要求</w:t>
                  </w:r>
                </w:p>
                <w:p w14:paraId="1D743EF8">
                  <w:pPr>
                    <w:pStyle w:val="11"/>
                    <w:ind w:firstLine="0" w:firstLineChars="0"/>
                    <w:rPr>
                      <w:rFonts w:ascii="仿宋" w:hAnsi="仿宋" w:eastAsia="仿宋" w:cs="仿宋"/>
                      <w:sz w:val="20"/>
                      <w:szCs w:val="20"/>
                    </w:rPr>
                  </w:pPr>
                  <w:r>
                    <w:rPr>
                      <w:rFonts w:hint="eastAsia" w:ascii="仿宋" w:hAnsi="仿宋" w:eastAsia="仿宋" w:cs="仿宋"/>
                      <w:color w:val="000000"/>
                      <w:kern w:val="0"/>
                      <w:sz w:val="20"/>
                      <w:szCs w:val="20"/>
                      <w:lang w:bidi="ar"/>
                    </w:rPr>
                    <w:t>(1)</w:t>
                  </w:r>
                  <w:r>
                    <w:rPr>
                      <w:rFonts w:hint="eastAsia" w:ascii="仿宋" w:hAnsi="仿宋" w:eastAsia="仿宋" w:cs="仿宋"/>
                      <w:sz w:val="20"/>
                      <w:szCs w:val="20"/>
                    </w:rPr>
                    <w:t>与教务系统同步师生信息、选课、课表等基础数据，每日更新以保障数据有效性，支持全校范围签到考勤执行、数据分析、预警推送等。</w:t>
                  </w:r>
                </w:p>
                <w:p w14:paraId="23521D19">
                  <w:pPr>
                    <w:pStyle w:val="11"/>
                    <w:ind w:firstLine="0" w:firstLineChars="0"/>
                    <w:rPr>
                      <w:rFonts w:ascii="仿宋" w:hAnsi="仿宋" w:eastAsia="仿宋" w:cs="仿宋"/>
                      <w:sz w:val="20"/>
                      <w:szCs w:val="20"/>
                    </w:rPr>
                  </w:pPr>
                  <w:r>
                    <w:rPr>
                      <w:rFonts w:hint="eastAsia" w:ascii="仿宋_GB2312" w:hAnsi="仿宋_GB2312" w:eastAsia="仿宋_GB2312" w:cs="仿宋_GB2312"/>
                      <w:kern w:val="0"/>
                      <w:sz w:val="20"/>
                      <w:szCs w:val="20"/>
                    </w:rPr>
                    <w:t>▲</w:t>
                  </w:r>
                  <w:r>
                    <w:rPr>
                      <w:rFonts w:hint="eastAsia" w:ascii="仿宋" w:hAnsi="仿宋" w:eastAsia="仿宋" w:cs="仿宋"/>
                      <w:color w:val="000000"/>
                      <w:kern w:val="0"/>
                      <w:sz w:val="20"/>
                      <w:szCs w:val="20"/>
                      <w:lang w:bidi="ar"/>
                    </w:rPr>
                    <w:t>(2)</w:t>
                  </w:r>
                  <w:r>
                    <w:rPr>
                      <w:rFonts w:hint="eastAsia" w:ascii="仿宋" w:hAnsi="仿宋" w:eastAsia="仿宋" w:cs="仿宋"/>
                      <w:sz w:val="20"/>
                      <w:szCs w:val="20"/>
                    </w:rPr>
                    <w:t>按校区、教务系统排课结果、课表，有序获取师生签到考勤数据，开展统计分析。</w:t>
                  </w:r>
                </w:p>
              </w:tc>
            </w:tr>
            <w:tr w14:paraId="40B23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vAlign w:val="center"/>
                </w:tcPr>
                <w:p w14:paraId="10433742">
                  <w:pPr>
                    <w:jc w:val="left"/>
                    <w:rPr>
                      <w:rFonts w:ascii="仿宋" w:hAnsi="仿宋" w:eastAsia="仿宋" w:cs="仿宋"/>
                      <w:sz w:val="20"/>
                      <w:szCs w:val="20"/>
                    </w:rPr>
                  </w:pPr>
                  <w:r>
                    <w:rPr>
                      <w:rFonts w:hint="eastAsia" w:ascii="仿宋" w:hAnsi="仿宋" w:eastAsia="仿宋" w:cs="仿宋"/>
                      <w:sz w:val="20"/>
                      <w:szCs w:val="20"/>
                    </w:rPr>
                    <w:t>2.考勤方式</w:t>
                  </w:r>
                </w:p>
                <w:p w14:paraId="1AC7149F">
                  <w:pPr>
                    <w:pStyle w:val="11"/>
                    <w:ind w:firstLine="0" w:firstLineChars="0"/>
                    <w:rPr>
                      <w:rFonts w:ascii="仿宋" w:hAnsi="仿宋" w:eastAsia="仿宋" w:cs="仿宋"/>
                      <w:sz w:val="20"/>
                      <w:szCs w:val="20"/>
                    </w:rPr>
                  </w:pPr>
                  <w:r>
                    <w:rPr>
                      <w:rFonts w:hint="eastAsia" w:ascii="仿宋" w:hAnsi="仿宋" w:eastAsia="仿宋" w:cs="仿宋"/>
                      <w:color w:val="000000"/>
                      <w:kern w:val="0"/>
                      <w:sz w:val="20"/>
                      <w:szCs w:val="20"/>
                      <w:lang w:bidi="ar"/>
                    </w:rPr>
                    <w:t>(1)</w:t>
                  </w:r>
                  <w:r>
                    <w:rPr>
                      <w:rFonts w:hint="eastAsia" w:ascii="仿宋" w:hAnsi="仿宋" w:eastAsia="仿宋" w:cs="仿宋"/>
                      <w:sz w:val="20"/>
                      <w:szCs w:val="20"/>
                    </w:rPr>
                    <w:t>具有移动端APP，支持iOS和Android操作系统，用于手机、Pad等智能移动终端实现实时考勤。</w:t>
                  </w:r>
                </w:p>
                <w:p w14:paraId="428ADBBF">
                  <w:pPr>
                    <w:rPr>
                      <w:rFonts w:ascii="仿宋" w:hAnsi="仿宋" w:eastAsia="仿宋" w:cs="仿宋"/>
                      <w:sz w:val="20"/>
                      <w:szCs w:val="20"/>
                    </w:rPr>
                  </w:pPr>
                  <w:r>
                    <w:rPr>
                      <w:rFonts w:hint="eastAsia" w:ascii="仿宋" w:hAnsi="仿宋" w:eastAsia="仿宋" w:cs="仿宋"/>
                      <w:color w:val="000000"/>
                      <w:kern w:val="0"/>
                      <w:sz w:val="20"/>
                      <w:szCs w:val="20"/>
                      <w:lang w:bidi="ar"/>
                    </w:rPr>
                    <w:t>(2)</w:t>
                  </w:r>
                  <w:r>
                    <w:rPr>
                      <w:rFonts w:hint="eastAsia" w:ascii="仿宋" w:hAnsi="仿宋" w:eastAsia="仿宋" w:cs="仿宋"/>
                      <w:sz w:val="20"/>
                      <w:szCs w:val="20"/>
                    </w:rPr>
                    <w:t>支持对接H5页面，签到活动推送至微信公众号，获取学生的签到数据。</w:t>
                  </w:r>
                </w:p>
                <w:p w14:paraId="0DD9059C">
                  <w:pPr>
                    <w:pStyle w:val="11"/>
                    <w:ind w:firstLine="0" w:firstLineChars="0"/>
                    <w:rPr>
                      <w:rFonts w:ascii="仿宋" w:hAnsi="仿宋" w:eastAsia="仿宋" w:cs="仿宋"/>
                      <w:sz w:val="20"/>
                      <w:szCs w:val="20"/>
                    </w:rPr>
                  </w:pPr>
                  <w:r>
                    <w:rPr>
                      <w:rFonts w:hint="eastAsia" w:ascii="仿宋" w:hAnsi="仿宋" w:eastAsia="仿宋" w:cs="仿宋"/>
                      <w:color w:val="000000"/>
                      <w:kern w:val="0"/>
                      <w:sz w:val="20"/>
                      <w:szCs w:val="20"/>
                      <w:lang w:bidi="ar"/>
                    </w:rPr>
                    <w:t>(3)</w:t>
                  </w:r>
                  <w:r>
                    <w:rPr>
                      <w:rFonts w:hint="eastAsia" w:ascii="仿宋" w:hAnsi="仿宋" w:eastAsia="仿宋" w:cs="仿宋"/>
                      <w:sz w:val="20"/>
                      <w:szCs w:val="20"/>
                    </w:rPr>
                    <w:t>多种签到方式供教师选择，包含普通签到、手势签到、位置签到、二维码签到，为防止签到作弊或程序代签，支持二维码定时更换。</w:t>
                  </w:r>
                </w:p>
                <w:p w14:paraId="32CAD4A7">
                  <w:pPr>
                    <w:rPr>
                      <w:rFonts w:ascii="仿宋" w:hAnsi="仿宋" w:eastAsia="仿宋" w:cs="仿宋"/>
                      <w:sz w:val="20"/>
                      <w:szCs w:val="20"/>
                    </w:rPr>
                  </w:pPr>
                  <w:r>
                    <w:rPr>
                      <w:rFonts w:hint="eastAsia" w:ascii="仿宋" w:hAnsi="仿宋" w:eastAsia="仿宋" w:cs="仿宋"/>
                      <w:color w:val="000000"/>
                      <w:kern w:val="0"/>
                      <w:sz w:val="20"/>
                      <w:szCs w:val="20"/>
                      <w:lang w:bidi="ar"/>
                    </w:rPr>
                    <w:t>(4)</w:t>
                  </w:r>
                  <w:r>
                    <w:rPr>
                      <w:rFonts w:hint="eastAsia" w:ascii="仿宋" w:hAnsi="仿宋" w:eastAsia="仿宋" w:cs="仿宋"/>
                      <w:sz w:val="20"/>
                      <w:szCs w:val="20"/>
                    </w:rPr>
                    <w:t>与教务系统对接课表，通过课表一键并发起签到考勤。</w:t>
                  </w:r>
                </w:p>
                <w:p w14:paraId="734EBA64">
                  <w:pPr>
                    <w:rPr>
                      <w:rFonts w:ascii="仿宋" w:hAnsi="仿宋" w:eastAsia="仿宋" w:cs="仿宋"/>
                      <w:sz w:val="20"/>
                      <w:szCs w:val="20"/>
                    </w:rPr>
                  </w:pPr>
                  <w:r>
                    <w:rPr>
                      <w:rFonts w:hint="eastAsia" w:ascii="仿宋" w:hAnsi="仿宋" w:eastAsia="仿宋" w:cs="仿宋"/>
                      <w:color w:val="000000"/>
                      <w:kern w:val="0"/>
                      <w:sz w:val="20"/>
                      <w:szCs w:val="20"/>
                      <w:lang w:bidi="ar"/>
                    </w:rPr>
                    <w:t>(5)</w:t>
                  </w:r>
                  <w:r>
                    <w:rPr>
                      <w:rFonts w:hint="eastAsia" w:ascii="仿宋" w:hAnsi="仿宋" w:eastAsia="仿宋" w:cs="仿宋"/>
                      <w:sz w:val="20"/>
                      <w:szCs w:val="20"/>
                    </w:rPr>
                    <w:t>教师端可查看已签、未签学生明细，按学生灵活修改签到状态。</w:t>
                  </w:r>
                </w:p>
                <w:p w14:paraId="39AC4826">
                  <w:pPr>
                    <w:pStyle w:val="11"/>
                    <w:ind w:firstLine="0" w:firstLineChars="0"/>
                    <w:rPr>
                      <w:rFonts w:ascii="仿宋" w:hAnsi="仿宋" w:eastAsia="仿宋" w:cs="仿宋"/>
                      <w:sz w:val="20"/>
                      <w:szCs w:val="20"/>
                    </w:rPr>
                  </w:pPr>
                  <w:r>
                    <w:rPr>
                      <w:rFonts w:hint="eastAsia" w:ascii="仿宋" w:hAnsi="仿宋" w:eastAsia="仿宋" w:cs="仿宋"/>
                      <w:color w:val="000000"/>
                      <w:kern w:val="0"/>
                      <w:sz w:val="20"/>
                      <w:szCs w:val="20"/>
                      <w:lang w:bidi="ar"/>
                    </w:rPr>
                    <w:t>(6)</w:t>
                  </w:r>
                  <w:r>
                    <w:rPr>
                      <w:rFonts w:hint="eastAsia" w:ascii="仿宋" w:hAnsi="仿宋" w:eastAsia="仿宋" w:cs="仿宋"/>
                      <w:sz w:val="20"/>
                      <w:szCs w:val="20"/>
                    </w:rPr>
                    <w:t>签到数据自动计入课程运行数据，并按课程统计分析，为学生过程性成绩、教学管理、课程评审提供运行数据支撑。</w:t>
                  </w:r>
                </w:p>
                <w:p w14:paraId="6BC41B17">
                  <w:pPr>
                    <w:pStyle w:val="11"/>
                    <w:ind w:firstLine="0" w:firstLineChars="0"/>
                    <w:rPr>
                      <w:rFonts w:ascii="仿宋" w:hAnsi="仿宋" w:eastAsia="仿宋" w:cs="仿宋"/>
                      <w:sz w:val="20"/>
                      <w:szCs w:val="20"/>
                    </w:rPr>
                  </w:pPr>
                  <w:r>
                    <w:rPr>
                      <w:rFonts w:hint="eastAsia" w:ascii="仿宋" w:hAnsi="仿宋" w:eastAsia="仿宋" w:cs="仿宋"/>
                      <w:color w:val="000000"/>
                      <w:kern w:val="0"/>
                      <w:sz w:val="20"/>
                      <w:szCs w:val="20"/>
                      <w:lang w:bidi="ar"/>
                    </w:rPr>
                    <w:t>(7)</w:t>
                  </w:r>
                  <w:r>
                    <w:rPr>
                      <w:rFonts w:hint="eastAsia" w:ascii="仿宋" w:hAnsi="仿宋" w:eastAsia="仿宋" w:cs="仿宋"/>
                      <w:sz w:val="20"/>
                      <w:szCs w:val="20"/>
                    </w:rPr>
                    <w:t>提供签到白名单功能，指定时间段内产生的签到数据不计入统计结果，解决节假期、运动会批量停课但未更改教务课表等场景问题。</w:t>
                  </w:r>
                </w:p>
              </w:tc>
            </w:tr>
            <w:tr w14:paraId="45AEF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vAlign w:val="center"/>
                </w:tcPr>
                <w:p w14:paraId="5CF1C4E2">
                  <w:pPr>
                    <w:jc w:val="left"/>
                    <w:rPr>
                      <w:rFonts w:ascii="仿宋" w:hAnsi="仿宋" w:eastAsia="仿宋" w:cs="仿宋"/>
                      <w:sz w:val="20"/>
                      <w:szCs w:val="20"/>
                    </w:rPr>
                  </w:pPr>
                  <w:r>
                    <w:rPr>
                      <w:rFonts w:hint="eastAsia" w:ascii="仿宋" w:hAnsi="仿宋" w:eastAsia="仿宋" w:cs="仿宋"/>
                      <w:sz w:val="20"/>
                      <w:szCs w:val="20"/>
                    </w:rPr>
                    <w:t>3.考勤设置</w:t>
                  </w:r>
                </w:p>
                <w:p w14:paraId="66096C24">
                  <w:pPr>
                    <w:pStyle w:val="11"/>
                    <w:ind w:firstLine="0" w:firstLineChars="0"/>
                    <w:rPr>
                      <w:rFonts w:ascii="仿宋" w:hAnsi="仿宋" w:eastAsia="仿宋" w:cs="仿宋"/>
                      <w:sz w:val="20"/>
                      <w:szCs w:val="20"/>
                    </w:rPr>
                  </w:pPr>
                  <w:r>
                    <w:rPr>
                      <w:rFonts w:hint="eastAsia" w:ascii="仿宋" w:hAnsi="仿宋" w:eastAsia="仿宋" w:cs="仿宋"/>
                      <w:color w:val="000000"/>
                      <w:kern w:val="0"/>
                      <w:sz w:val="20"/>
                      <w:szCs w:val="20"/>
                      <w:lang w:bidi="ar"/>
                    </w:rPr>
                    <w:t>(1)</w:t>
                  </w:r>
                  <w:r>
                    <w:rPr>
                      <w:rFonts w:hint="eastAsia" w:ascii="仿宋" w:hAnsi="仿宋" w:eastAsia="仿宋" w:cs="仿宋"/>
                      <w:sz w:val="20"/>
                      <w:szCs w:val="20"/>
                    </w:rPr>
                    <w:t>支持系统按课表自动发签到，设置自动发签到的时间条件，例如：在课堂开始前或开始后几分钟自动发签到。</w:t>
                  </w:r>
                </w:p>
                <w:p w14:paraId="3C3B3076">
                  <w:pPr>
                    <w:pStyle w:val="11"/>
                    <w:ind w:firstLine="0" w:firstLineChars="0"/>
                    <w:rPr>
                      <w:rFonts w:ascii="仿宋" w:hAnsi="仿宋" w:eastAsia="仿宋" w:cs="仿宋"/>
                      <w:sz w:val="20"/>
                      <w:szCs w:val="20"/>
                    </w:rPr>
                  </w:pPr>
                  <w:r>
                    <w:rPr>
                      <w:rFonts w:hint="eastAsia" w:ascii="仿宋" w:hAnsi="仿宋" w:eastAsia="仿宋" w:cs="仿宋"/>
                      <w:color w:val="000000"/>
                      <w:kern w:val="0"/>
                      <w:sz w:val="20"/>
                      <w:szCs w:val="20"/>
                      <w:lang w:bidi="ar"/>
                    </w:rPr>
                    <w:t>(2)</w:t>
                  </w:r>
                  <w:r>
                    <w:rPr>
                      <w:rFonts w:hint="eastAsia" w:ascii="仿宋" w:hAnsi="仿宋" w:eastAsia="仿宋" w:cs="仿宋"/>
                      <w:sz w:val="20"/>
                      <w:szCs w:val="20"/>
                    </w:rPr>
                    <w:t>签到类型支持二维码签到、手势签到、位置签到，二维码支持自定义刷新时间，并校验允许二维码签到的位置，允许范围支持自定义。</w:t>
                  </w:r>
                </w:p>
                <w:p w14:paraId="775AA6AA">
                  <w:pPr>
                    <w:pStyle w:val="11"/>
                    <w:ind w:firstLine="0" w:firstLineChars="0"/>
                    <w:rPr>
                      <w:rFonts w:ascii="仿宋" w:hAnsi="仿宋" w:eastAsia="仿宋" w:cs="仿宋"/>
                      <w:sz w:val="20"/>
                      <w:szCs w:val="20"/>
                    </w:rPr>
                  </w:pPr>
                  <w:r>
                    <w:rPr>
                      <w:rFonts w:hint="eastAsia" w:ascii="仿宋" w:hAnsi="仿宋" w:eastAsia="仿宋" w:cs="仿宋"/>
                      <w:color w:val="000000"/>
                      <w:kern w:val="0"/>
                      <w:sz w:val="20"/>
                      <w:szCs w:val="20"/>
                      <w:lang w:bidi="ar"/>
                    </w:rPr>
                    <w:t>(3)</w:t>
                  </w:r>
                  <w:r>
                    <w:rPr>
                      <w:rFonts w:hint="eastAsia" w:ascii="仿宋" w:hAnsi="仿宋" w:eastAsia="仿宋" w:cs="仿宋"/>
                      <w:sz w:val="20"/>
                      <w:szCs w:val="20"/>
                    </w:rPr>
                    <w:t>支持管理学生签到状态，分为：已签、代签、迟到、早退、事假、病假、公假等。</w:t>
                  </w:r>
                </w:p>
                <w:p w14:paraId="060C4587">
                  <w:pPr>
                    <w:pStyle w:val="11"/>
                    <w:ind w:firstLine="0" w:firstLineChars="0"/>
                    <w:rPr>
                      <w:rFonts w:ascii="仿宋" w:hAnsi="仿宋" w:eastAsia="仿宋" w:cs="仿宋"/>
                      <w:sz w:val="20"/>
                      <w:szCs w:val="20"/>
                    </w:rPr>
                  </w:pPr>
                  <w:r>
                    <w:rPr>
                      <w:rFonts w:hint="eastAsia" w:ascii="仿宋" w:hAnsi="仿宋" w:eastAsia="仿宋" w:cs="仿宋"/>
                      <w:color w:val="000000"/>
                      <w:kern w:val="0"/>
                      <w:sz w:val="20"/>
                      <w:szCs w:val="20"/>
                      <w:lang w:bidi="ar"/>
                    </w:rPr>
                    <w:t>(4)</w:t>
                  </w:r>
                  <w:r>
                    <w:rPr>
                      <w:rFonts w:hint="eastAsia" w:ascii="仿宋" w:hAnsi="仿宋" w:eastAsia="仿宋" w:cs="仿宋"/>
                      <w:sz w:val="20"/>
                      <w:szCs w:val="20"/>
                    </w:rPr>
                    <w:t>支持定制请假审批引擎，对接请假数据至考勤督查系统。审批引擎可选单选、多选、下拉框、单行输入、多行输入、日期选择、图片、附件等元素；支持单独设置每一题是否必填；支持按审批节点设置审批流。</w:t>
                  </w:r>
                </w:p>
              </w:tc>
            </w:tr>
            <w:tr w14:paraId="7F1AF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vAlign w:val="center"/>
                </w:tcPr>
                <w:p w14:paraId="1B25644C">
                  <w:pPr>
                    <w:jc w:val="left"/>
                    <w:rPr>
                      <w:rFonts w:ascii="仿宋" w:hAnsi="仿宋" w:eastAsia="仿宋" w:cs="仿宋"/>
                      <w:sz w:val="20"/>
                      <w:szCs w:val="20"/>
                    </w:rPr>
                  </w:pPr>
                  <w:r>
                    <w:rPr>
                      <w:rFonts w:hint="eastAsia" w:ascii="仿宋" w:hAnsi="仿宋" w:eastAsia="仿宋" w:cs="仿宋"/>
                      <w:sz w:val="20"/>
                      <w:szCs w:val="20"/>
                    </w:rPr>
                    <w:t>4.考勤情况统计</w:t>
                  </w:r>
                </w:p>
                <w:p w14:paraId="4FB22D12">
                  <w:pPr>
                    <w:pStyle w:val="11"/>
                    <w:ind w:firstLine="0" w:firstLineChars="0"/>
                    <w:rPr>
                      <w:rFonts w:ascii="仿宋" w:hAnsi="仿宋" w:eastAsia="仿宋" w:cs="仿宋"/>
                      <w:sz w:val="20"/>
                      <w:szCs w:val="20"/>
                    </w:rPr>
                  </w:pPr>
                  <w:r>
                    <w:rPr>
                      <w:rFonts w:hint="eastAsia" w:ascii="仿宋" w:hAnsi="仿宋" w:eastAsia="仿宋" w:cs="仿宋"/>
                      <w:color w:val="000000"/>
                      <w:kern w:val="0"/>
                      <w:sz w:val="20"/>
                      <w:szCs w:val="20"/>
                      <w:lang w:bidi="ar"/>
                    </w:rPr>
                    <w:t>(1)</w:t>
                  </w:r>
                  <w:r>
                    <w:rPr>
                      <w:rFonts w:hint="eastAsia" w:ascii="仿宋" w:hAnsi="仿宋" w:eastAsia="仿宋" w:cs="仿宋"/>
                      <w:sz w:val="20"/>
                      <w:szCs w:val="20"/>
                    </w:rPr>
                    <w:t>开课详情</w:t>
                  </w:r>
                </w:p>
                <w:p w14:paraId="38F4D430">
                  <w:pPr>
                    <w:pStyle w:val="11"/>
                    <w:ind w:firstLine="0" w:firstLineChars="0"/>
                    <w:rPr>
                      <w:rFonts w:ascii="仿宋" w:hAnsi="仿宋" w:eastAsia="仿宋" w:cs="仿宋"/>
                      <w:sz w:val="20"/>
                      <w:szCs w:val="20"/>
                    </w:rPr>
                  </w:pPr>
                  <w:r>
                    <w:rPr>
                      <w:rFonts w:hint="eastAsia" w:ascii="仿宋" w:hAnsi="仿宋" w:eastAsia="仿宋" w:cs="仿宋"/>
                      <w:sz w:val="20"/>
                      <w:szCs w:val="20"/>
                    </w:rPr>
                    <w:t>提供学期、时间、周次、节次、开课院系、课程名称、教师姓名筛选项。自定义查看项，包含但不限于周次、星期、节次、课程、教学班、教师、教室、上课学生数，并导出目标数据。</w:t>
                  </w:r>
                </w:p>
                <w:p w14:paraId="4BE60F7E">
                  <w:pPr>
                    <w:pStyle w:val="11"/>
                    <w:ind w:left="440" w:hanging="440" w:firstLineChars="0"/>
                    <w:rPr>
                      <w:rFonts w:ascii="仿宋" w:hAnsi="仿宋" w:eastAsia="仿宋" w:cs="仿宋"/>
                      <w:sz w:val="20"/>
                      <w:szCs w:val="20"/>
                    </w:rPr>
                  </w:pPr>
                  <w:r>
                    <w:rPr>
                      <w:rFonts w:hint="eastAsia" w:ascii="仿宋" w:hAnsi="仿宋" w:eastAsia="仿宋" w:cs="仿宋"/>
                      <w:color w:val="000000"/>
                      <w:kern w:val="0"/>
                      <w:sz w:val="20"/>
                      <w:szCs w:val="20"/>
                      <w:lang w:bidi="ar"/>
                    </w:rPr>
                    <w:t>(2)</w:t>
                  </w:r>
                  <w:r>
                    <w:rPr>
                      <w:rFonts w:hint="eastAsia" w:ascii="仿宋" w:hAnsi="仿宋" w:eastAsia="仿宋" w:cs="仿宋"/>
                      <w:sz w:val="20"/>
                      <w:szCs w:val="20"/>
                    </w:rPr>
                    <w:t>签到详情</w:t>
                  </w:r>
                </w:p>
                <w:p w14:paraId="07EB204C">
                  <w:pPr>
                    <w:pStyle w:val="11"/>
                    <w:ind w:firstLine="0" w:firstLineChars="0"/>
                    <w:rPr>
                      <w:rFonts w:ascii="仿宋" w:hAnsi="仿宋" w:eastAsia="仿宋" w:cs="仿宋"/>
                      <w:sz w:val="20"/>
                      <w:szCs w:val="20"/>
                    </w:rPr>
                  </w:pPr>
                  <w:r>
                    <w:rPr>
                      <w:rFonts w:hint="eastAsia" w:ascii="仿宋" w:hAnsi="仿宋" w:eastAsia="仿宋" w:cs="仿宋"/>
                      <w:sz w:val="20"/>
                      <w:szCs w:val="20"/>
                    </w:rPr>
                    <w:t>按上课时间、学生、教师、学院、辅导员查看签到详情数据，提供学期、时间、周次、节次、学院、课程、学生、辅导员等筛选项，并导出目标数据。</w:t>
                  </w:r>
                </w:p>
                <w:p w14:paraId="3EC65A41">
                  <w:pPr>
                    <w:pStyle w:val="11"/>
                    <w:ind w:left="440" w:hanging="440" w:firstLineChars="0"/>
                    <w:rPr>
                      <w:rFonts w:ascii="仿宋" w:hAnsi="仿宋" w:eastAsia="仿宋" w:cs="仿宋"/>
                      <w:sz w:val="20"/>
                      <w:szCs w:val="20"/>
                    </w:rPr>
                  </w:pPr>
                  <w:r>
                    <w:rPr>
                      <w:rFonts w:hint="eastAsia" w:ascii="仿宋" w:hAnsi="仿宋" w:eastAsia="仿宋" w:cs="仿宋"/>
                      <w:color w:val="000000"/>
                      <w:kern w:val="0"/>
                      <w:sz w:val="20"/>
                      <w:szCs w:val="20"/>
                      <w:lang w:bidi="ar"/>
                    </w:rPr>
                    <w:t>(3)</w:t>
                  </w:r>
                  <w:r>
                    <w:rPr>
                      <w:rFonts w:hint="eastAsia" w:ascii="仿宋" w:hAnsi="仿宋" w:eastAsia="仿宋" w:cs="仿宋"/>
                      <w:sz w:val="20"/>
                      <w:szCs w:val="20"/>
                    </w:rPr>
                    <w:t>课程到课统计</w:t>
                  </w:r>
                </w:p>
                <w:p w14:paraId="09BF7331">
                  <w:pPr>
                    <w:pStyle w:val="11"/>
                    <w:ind w:firstLine="0" w:firstLineChars="0"/>
                    <w:rPr>
                      <w:rFonts w:ascii="仿宋" w:hAnsi="仿宋" w:eastAsia="仿宋" w:cs="仿宋"/>
                      <w:sz w:val="20"/>
                      <w:szCs w:val="20"/>
                    </w:rPr>
                  </w:pPr>
                  <w:r>
                    <w:rPr>
                      <w:rFonts w:hint="eastAsia" w:ascii="仿宋" w:hAnsi="仿宋" w:eastAsia="仿宋" w:cs="仿宋"/>
                      <w:sz w:val="20"/>
                      <w:szCs w:val="20"/>
                    </w:rPr>
                    <w:t>按院系统计、按课程统计两个维度。提供学期、时间、开课院系、统计方式、课程、教师等筛选项，任选字段查询。自定义设置查看项，包括但不限于课程名称、课程编号、教学班名称、教学班编号、授课教师工号、学院、到课率、应到课人次、已签到人次、迟到人次、早退人次、事假人次、病假人次、公假人次、缺勤人次等。</w:t>
                  </w:r>
                </w:p>
                <w:p w14:paraId="649E6719">
                  <w:pPr>
                    <w:pStyle w:val="11"/>
                    <w:ind w:left="440" w:hanging="440" w:firstLineChars="0"/>
                    <w:rPr>
                      <w:rFonts w:ascii="仿宋" w:hAnsi="仿宋" w:eastAsia="仿宋" w:cs="仿宋"/>
                      <w:sz w:val="20"/>
                      <w:szCs w:val="20"/>
                    </w:rPr>
                  </w:pPr>
                  <w:r>
                    <w:rPr>
                      <w:rFonts w:hint="eastAsia" w:ascii="仿宋" w:hAnsi="仿宋" w:eastAsia="仿宋" w:cs="仿宋"/>
                      <w:color w:val="000000"/>
                      <w:kern w:val="0"/>
                      <w:sz w:val="20"/>
                      <w:szCs w:val="20"/>
                      <w:lang w:bidi="ar"/>
                    </w:rPr>
                    <w:t>(4)</w:t>
                  </w:r>
                  <w:r>
                    <w:rPr>
                      <w:rFonts w:hint="eastAsia" w:ascii="仿宋" w:hAnsi="仿宋" w:eastAsia="仿宋" w:cs="仿宋"/>
                      <w:sz w:val="20"/>
                      <w:szCs w:val="20"/>
                    </w:rPr>
                    <w:t>学生到课统计</w:t>
                  </w:r>
                </w:p>
                <w:p w14:paraId="13D1A5D5">
                  <w:pPr>
                    <w:pStyle w:val="11"/>
                    <w:ind w:firstLine="0" w:firstLineChars="0"/>
                    <w:rPr>
                      <w:rFonts w:ascii="仿宋" w:hAnsi="仿宋" w:eastAsia="仿宋" w:cs="仿宋"/>
                      <w:sz w:val="20"/>
                      <w:szCs w:val="20"/>
                    </w:rPr>
                  </w:pPr>
                  <w:r>
                    <w:rPr>
                      <w:rFonts w:hint="eastAsia" w:ascii="仿宋" w:hAnsi="仿宋" w:eastAsia="仿宋" w:cs="仿宋"/>
                      <w:sz w:val="20"/>
                      <w:szCs w:val="20"/>
                    </w:rPr>
                    <w:t>提供按院系统计、按人统计、按人课统计三种维度。按日/时间段、开课学院/书院任选字段查询。以学生维度，统计到课率及签到明细，统计字段包含：日期、到课率、学院、应到课人次、签到人次、迟到人次、各类请假人次等，明细数据支持导出。</w:t>
                  </w:r>
                </w:p>
                <w:p w14:paraId="46D58D8D">
                  <w:pPr>
                    <w:pStyle w:val="11"/>
                    <w:ind w:left="440" w:hanging="440" w:firstLineChars="0"/>
                    <w:rPr>
                      <w:rFonts w:ascii="仿宋" w:hAnsi="仿宋" w:eastAsia="仿宋" w:cs="仿宋"/>
                      <w:sz w:val="20"/>
                      <w:szCs w:val="20"/>
                    </w:rPr>
                  </w:pPr>
                  <w:r>
                    <w:rPr>
                      <w:rFonts w:hint="eastAsia" w:ascii="仿宋" w:hAnsi="仿宋" w:eastAsia="仿宋" w:cs="仿宋"/>
                      <w:color w:val="000000"/>
                      <w:kern w:val="0"/>
                      <w:sz w:val="20"/>
                      <w:szCs w:val="20"/>
                      <w:lang w:bidi="ar"/>
                    </w:rPr>
                    <w:t>(5)</w:t>
                  </w:r>
                  <w:r>
                    <w:rPr>
                      <w:rFonts w:hint="eastAsia" w:ascii="仿宋" w:hAnsi="仿宋" w:eastAsia="仿宋" w:cs="仿宋"/>
                      <w:sz w:val="20"/>
                      <w:szCs w:val="20"/>
                    </w:rPr>
                    <w:t>教师发签到统计</w:t>
                  </w:r>
                </w:p>
                <w:p w14:paraId="7075CBE0">
                  <w:pPr>
                    <w:pStyle w:val="11"/>
                    <w:ind w:firstLine="0" w:firstLineChars="0"/>
                    <w:rPr>
                      <w:rFonts w:ascii="仿宋" w:hAnsi="仿宋" w:eastAsia="仿宋" w:cs="仿宋"/>
                      <w:sz w:val="20"/>
                      <w:szCs w:val="20"/>
                    </w:rPr>
                  </w:pPr>
                  <w:r>
                    <w:rPr>
                      <w:rFonts w:hint="eastAsia" w:ascii="仿宋" w:hAnsi="仿宋" w:eastAsia="仿宋" w:cs="仿宋"/>
                      <w:sz w:val="20"/>
                      <w:szCs w:val="20"/>
                    </w:rPr>
                    <w:t>提供按院系统计、按教师统计、按教师课程统计三种维度。按日期、课程、教师、节次，任选字段查询。以教师为统计维度，统计未发布签到的教师数据，字段包含：课程编号及名称、教师工号及姓名、学院、教学班级编号及名称、应发签到次数、有效签到次数、有效签到率。明细数据支持导出。</w:t>
                  </w:r>
                </w:p>
              </w:tc>
            </w:tr>
            <w:tr w14:paraId="39BC9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vAlign w:val="center"/>
                </w:tcPr>
                <w:p w14:paraId="42F9840E">
                  <w:pPr>
                    <w:wordWrap w:val="0"/>
                    <w:overflowPunct w:val="0"/>
                    <w:rPr>
                      <w:rFonts w:ascii="仿宋" w:hAnsi="仿宋" w:eastAsia="仿宋" w:cs="仿宋"/>
                      <w:sz w:val="20"/>
                      <w:szCs w:val="20"/>
                    </w:rPr>
                  </w:pPr>
                  <w:r>
                    <w:rPr>
                      <w:rFonts w:hint="eastAsia" w:ascii="仿宋" w:hAnsi="仿宋" w:eastAsia="仿宋" w:cs="仿宋"/>
                      <w:sz w:val="20"/>
                      <w:szCs w:val="20"/>
                    </w:rPr>
                    <w:t>5.考勤统计移动端</w:t>
                  </w:r>
                </w:p>
                <w:p w14:paraId="42E91FD5">
                  <w:pPr>
                    <w:rPr>
                      <w:rFonts w:ascii="仿宋" w:hAnsi="仿宋" w:eastAsia="仿宋" w:cs="仿宋"/>
                      <w:sz w:val="20"/>
                      <w:szCs w:val="21"/>
                    </w:rPr>
                  </w:pPr>
                  <w:r>
                    <w:rPr>
                      <w:rFonts w:hint="eastAsia" w:ascii="仿宋" w:hAnsi="仿宋" w:eastAsia="仿宋" w:cs="仿宋"/>
                      <w:sz w:val="20"/>
                      <w:szCs w:val="21"/>
                    </w:rPr>
                    <w:t>(1)按时间范围筛选考勤统计数据，含课程基本信息、授课学生数、到课率。</w:t>
                  </w:r>
                </w:p>
                <w:p w14:paraId="5EF8B854">
                  <w:pPr>
                    <w:rPr>
                      <w:rFonts w:ascii="仿宋" w:hAnsi="仿宋" w:eastAsia="仿宋" w:cs="仿宋"/>
                      <w:szCs w:val="20"/>
                    </w:rPr>
                  </w:pPr>
                  <w:r>
                    <w:rPr>
                      <w:rFonts w:hint="eastAsia" w:ascii="仿宋" w:hAnsi="仿宋" w:eastAsia="仿宋" w:cs="仿宋"/>
                      <w:sz w:val="20"/>
                      <w:szCs w:val="21"/>
                    </w:rPr>
                    <w:t>(2)按课程查看考勤统计数据，含班级信息、教师信息、时间范围、到课率、节次签到详情、已到课与未到课学生名单等。</w:t>
                  </w:r>
                </w:p>
              </w:tc>
            </w:tr>
          </w:tbl>
          <w:p w14:paraId="763019C0">
            <w:pPr>
              <w:jc w:val="left"/>
              <w:rPr>
                <w:rFonts w:ascii="仿宋" w:hAnsi="仿宋" w:eastAsia="仿宋" w:cs="仿宋"/>
                <w:sz w:val="20"/>
                <w:szCs w:val="20"/>
              </w:rPr>
            </w:pPr>
            <w:r>
              <w:rPr>
                <w:rFonts w:hint="eastAsia" w:ascii="仿宋" w:hAnsi="仿宋" w:eastAsia="仿宋" w:cs="仿宋"/>
                <w:sz w:val="20"/>
                <w:szCs w:val="20"/>
              </w:rPr>
              <w:t>（十七）毕业管理</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4"/>
            </w:tblGrid>
            <w:tr w14:paraId="7FA29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14:paraId="1D87D8FF">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1.支持一键审核毕业学生的毕业情况和学位情况，或单独处理某个毕业生的毕业情况，同时显示审核通过或不通过原因。</w:t>
                  </w:r>
                </w:p>
                <w:p w14:paraId="28E4F01C">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2.可由教务处设置毕业学分要求和毕业条件。可批量设置毕业审核条件，也可为单个学生设置毕业审核条件，符合学分制要求。</w:t>
                  </w:r>
                </w:p>
                <w:p w14:paraId="2FA0D687">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3.支持输出毕业生名单，方便学校进行数据上报。</w:t>
                  </w:r>
                </w:p>
                <w:p w14:paraId="62C440B3">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4.支持毕业设计上传、教师线上批阅修改，毕业设计资料存档、输出。</w:t>
                  </w:r>
                </w:p>
                <w:p w14:paraId="07E53F2E">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5.结业换证报名管理、结业换证考试管理、结业换证成绩管理。</w:t>
                  </w:r>
                </w:p>
              </w:tc>
            </w:tr>
          </w:tbl>
          <w:p w14:paraId="3AD1E309">
            <w:pPr>
              <w:jc w:val="left"/>
              <w:rPr>
                <w:rFonts w:ascii="仿宋" w:hAnsi="仿宋" w:eastAsia="仿宋" w:cs="仿宋"/>
                <w:sz w:val="20"/>
                <w:szCs w:val="20"/>
              </w:rPr>
            </w:pPr>
            <w:r>
              <w:rPr>
                <w:rFonts w:hint="eastAsia" w:ascii="仿宋" w:hAnsi="仿宋" w:eastAsia="仿宋" w:cs="仿宋"/>
                <w:sz w:val="20"/>
                <w:szCs w:val="20"/>
              </w:rPr>
              <w:t>（十八）教务数据分析展示</w:t>
            </w:r>
          </w:p>
          <w:tbl>
            <w:tblPr>
              <w:tblStyle w:val="5"/>
              <w:tblW w:w="5000" w:type="pct"/>
              <w:tblInd w:w="0" w:type="dxa"/>
              <w:tblLayout w:type="autofit"/>
              <w:tblCellMar>
                <w:top w:w="0" w:type="dxa"/>
                <w:left w:w="108" w:type="dxa"/>
                <w:bottom w:w="0" w:type="dxa"/>
                <w:right w:w="108" w:type="dxa"/>
              </w:tblCellMar>
            </w:tblPr>
            <w:tblGrid>
              <w:gridCol w:w="6584"/>
            </w:tblGrid>
            <w:tr w14:paraId="0E8FD1A6">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618326FA">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1.支持全校学生基本数据、学生异动数据等图形分析和导出展示。</w:t>
                  </w:r>
                </w:p>
                <w:p w14:paraId="22BA6DAA">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2.对教师数据进行分析，可生成饼状图、条形图等不同分析展示。</w:t>
                  </w:r>
                </w:p>
                <w:p w14:paraId="6FF13E76">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3.可对全校专业数据、各系部和不同培养层次专业数据进行分析统计，如专业结构、专业变化、专业布局等。</w:t>
                  </w:r>
                </w:p>
                <w:p w14:paraId="78D6BD55">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4.可对不同学期的各院系开课数据和选课数据进行分析对比。</w:t>
                  </w:r>
                </w:p>
              </w:tc>
            </w:tr>
          </w:tbl>
          <w:p w14:paraId="675C49BA">
            <w:pPr>
              <w:jc w:val="left"/>
              <w:rPr>
                <w:rFonts w:ascii="仿宋" w:hAnsi="仿宋" w:eastAsia="仿宋" w:cs="仿宋"/>
                <w:sz w:val="20"/>
                <w:szCs w:val="20"/>
              </w:rPr>
            </w:pPr>
            <w:r>
              <w:rPr>
                <w:rFonts w:hint="eastAsia" w:ascii="仿宋" w:hAnsi="仿宋" w:eastAsia="仿宋" w:cs="仿宋"/>
                <w:sz w:val="20"/>
                <w:szCs w:val="20"/>
              </w:rPr>
              <w:t>（十九）移动客户端</w:t>
            </w:r>
          </w:p>
          <w:tbl>
            <w:tblPr>
              <w:tblStyle w:val="5"/>
              <w:tblW w:w="5000" w:type="pct"/>
              <w:tblInd w:w="0" w:type="dxa"/>
              <w:tblLayout w:type="autofit"/>
              <w:tblCellMar>
                <w:top w:w="0" w:type="dxa"/>
                <w:left w:w="108" w:type="dxa"/>
                <w:bottom w:w="0" w:type="dxa"/>
                <w:right w:w="108" w:type="dxa"/>
              </w:tblCellMar>
            </w:tblPr>
            <w:tblGrid>
              <w:gridCol w:w="6584"/>
            </w:tblGrid>
            <w:tr w14:paraId="6F92442A">
              <w:tc>
                <w:tcPr>
                  <w:tcW w:w="5000" w:type="pct"/>
                  <w:tcBorders>
                    <w:top w:val="single" w:color="000000" w:sz="4" w:space="0"/>
                    <w:left w:val="single" w:color="000000" w:sz="4" w:space="0"/>
                    <w:bottom w:val="single" w:color="000000" w:sz="4" w:space="0"/>
                    <w:right w:val="single" w:color="000000" w:sz="4" w:space="0"/>
                  </w:tcBorders>
                  <w:vAlign w:val="center"/>
                </w:tcPr>
                <w:p w14:paraId="73F21432">
                  <w:pPr>
                    <w:widowControl/>
                    <w:jc w:val="left"/>
                    <w:textAlignment w:val="center"/>
                    <w:rPr>
                      <w:rFonts w:ascii="仿宋" w:hAnsi="仿宋" w:eastAsia="仿宋" w:cs="仿宋"/>
                      <w:color w:val="000000"/>
                      <w:kern w:val="0"/>
                      <w:sz w:val="20"/>
                      <w:szCs w:val="20"/>
                      <w:lang w:bidi="ar"/>
                    </w:rPr>
                  </w:pPr>
                  <w:bookmarkStart w:id="0" w:name="_Hlk197534662"/>
                  <w:r>
                    <w:rPr>
                      <w:rFonts w:hint="eastAsia" w:ascii="仿宋" w:hAnsi="仿宋" w:eastAsia="仿宋" w:cs="仿宋"/>
                      <w:color w:val="000000"/>
                      <w:kern w:val="0"/>
                      <w:sz w:val="20"/>
                      <w:szCs w:val="20"/>
                      <w:lang w:bidi="ar"/>
                    </w:rPr>
                    <w:t>1.移动端管理</w:t>
                  </w:r>
                </w:p>
                <w:p w14:paraId="56B0860C">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(1)须集成到学校移动校园。</w:t>
                  </w:r>
                </w:p>
                <w:p w14:paraId="40D330EE">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学生可进行校历、课表、选课、成绩、学业进程、考试信息、个人信息、空闲教室、学籍预警、教务通知的查询。教师端可进行个人信息、教务通知、教学任务、课表、监考信息、学生成绩、空教室、全校性课表、校历的查询。</w:t>
                  </w:r>
                </w:p>
                <w:p w14:paraId="1EA56CF7">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(3)支持手机调课、停课、补课、借空教室等各类申请审批，并发送通知到审批人和申请人，调课时可以在单条调课信息中添加多门课程，实现调课课时量的统一核算。</w:t>
                  </w:r>
                </w:p>
                <w:p w14:paraId="1C63FD72">
                  <w:pPr>
                    <w:widowControl/>
                    <w:jc w:val="left"/>
                    <w:textAlignment w:val="center"/>
                    <w:rPr>
                      <w:rFonts w:ascii="仿宋" w:hAnsi="仿宋" w:eastAsia="仿宋" w:cs="仿宋"/>
                      <w:color w:val="000000"/>
                      <w:kern w:val="0"/>
                      <w:sz w:val="20"/>
                      <w:szCs w:val="20"/>
                      <w:lang w:val="zh-CN" w:bidi="ar"/>
                    </w:rPr>
                  </w:pPr>
                  <w:r>
                    <w:rPr>
                      <w:rFonts w:hint="eastAsia" w:ascii="仿宋" w:hAnsi="仿宋" w:eastAsia="仿宋" w:cs="仿宋"/>
                      <w:color w:val="000000"/>
                      <w:kern w:val="0"/>
                      <w:sz w:val="20"/>
                      <w:szCs w:val="20"/>
                      <w:lang w:bidi="ar"/>
                    </w:rPr>
                    <w:t>(4)教师端通过课表查询上课相关资料，</w:t>
                  </w:r>
                  <w:r>
                    <w:rPr>
                      <w:rFonts w:hint="eastAsia" w:ascii="仿宋" w:hAnsi="仿宋" w:eastAsia="仿宋" w:cs="仿宋"/>
                      <w:color w:val="000000"/>
                      <w:kern w:val="0"/>
                      <w:sz w:val="20"/>
                      <w:szCs w:val="20"/>
                      <w:lang w:val="zh-CN" w:bidi="ar"/>
                    </w:rPr>
                    <w:t>支持教师</w:t>
                  </w:r>
                  <w:r>
                    <w:rPr>
                      <w:rFonts w:hint="eastAsia" w:ascii="仿宋" w:hAnsi="仿宋" w:eastAsia="仿宋" w:cs="仿宋"/>
                      <w:color w:val="000000"/>
                      <w:kern w:val="0"/>
                      <w:sz w:val="20"/>
                      <w:szCs w:val="20"/>
                      <w:lang w:bidi="ar"/>
                    </w:rPr>
                    <w:t>在</w:t>
                  </w:r>
                  <w:r>
                    <w:rPr>
                      <w:rFonts w:hint="eastAsia" w:ascii="仿宋" w:hAnsi="仿宋" w:eastAsia="仿宋" w:cs="仿宋"/>
                      <w:color w:val="000000"/>
                      <w:kern w:val="0"/>
                      <w:sz w:val="20"/>
                      <w:szCs w:val="20"/>
                      <w:lang w:val="zh-CN" w:bidi="ar"/>
                    </w:rPr>
                    <w:t>移动端</w:t>
                  </w:r>
                  <w:r>
                    <w:rPr>
                      <w:rFonts w:hint="eastAsia" w:ascii="仿宋" w:hAnsi="仿宋" w:eastAsia="仿宋" w:cs="仿宋"/>
                      <w:color w:val="000000"/>
                      <w:kern w:val="0"/>
                      <w:sz w:val="20"/>
                      <w:szCs w:val="20"/>
                      <w:lang w:bidi="ar"/>
                    </w:rPr>
                    <w:t>查课表，</w:t>
                  </w:r>
                  <w:r>
                    <w:rPr>
                      <w:rFonts w:hint="eastAsia" w:ascii="仿宋" w:hAnsi="仿宋" w:eastAsia="仿宋" w:cs="仿宋"/>
                      <w:color w:val="000000"/>
                      <w:kern w:val="0"/>
                      <w:sz w:val="20"/>
                      <w:szCs w:val="20"/>
                      <w:lang w:val="zh-CN" w:bidi="ar"/>
                    </w:rPr>
                    <w:t>进行上下课打卡签到，教师下课后填写教学日志。</w:t>
                  </w:r>
                </w:p>
                <w:p w14:paraId="2FFDC5A7">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2.门户管理</w:t>
                  </w:r>
                </w:p>
                <w:p w14:paraId="3B43BFFF">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(1)门户系统应支持业内标准的门户框架，提供标准接口和部署的应用组件，可以与不同应用系统或组件进行连接和组合。</w:t>
                  </w:r>
                </w:p>
                <w:p w14:paraId="50405B26">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(2)门户系统符合技术设计要求和系统性能整体要求，并基于数据存储性能以及稳定性要求进行整体设计。</w:t>
                  </w:r>
                </w:p>
                <w:p w14:paraId="23C6344C">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(3)具有高的可用性，建立完善的数据备份与恢复机制，支持异地容灾；充分利用Cluster技术，实现负载与容错处理。支持万级用户同时在线。</w:t>
                  </w:r>
                </w:p>
                <w:p w14:paraId="1EDD97FB">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(4)可以对门户的背景进行设置，可以将门户主题色修改为任意颜色；</w:t>
                  </w:r>
                </w:p>
                <w:p w14:paraId="6D018B1F">
                  <w:pPr>
                    <w:widowControl/>
                    <w:jc w:val="left"/>
                    <w:textAlignment w:val="center"/>
                    <w:rPr>
                      <w:rFonts w:ascii="仿宋" w:hAnsi="仿宋" w:eastAsia="仿宋" w:cs="仿宋"/>
                      <w:color w:val="000000"/>
                      <w:kern w:val="0"/>
                      <w:sz w:val="20"/>
                      <w:szCs w:val="20"/>
                      <w:lang w:bidi="ar"/>
                    </w:rPr>
                  </w:pPr>
                  <w:r>
                    <w:rPr>
                      <w:rFonts w:hint="eastAsia" w:ascii="仿宋_GB2312" w:hAnsi="仿宋_GB2312" w:eastAsia="仿宋_GB2312" w:cs="仿宋_GB2312"/>
                      <w:kern w:val="0"/>
                      <w:sz w:val="20"/>
                      <w:szCs w:val="20"/>
                    </w:rPr>
                    <w:t>▲</w:t>
                  </w:r>
                  <w:r>
                    <w:rPr>
                      <w:rFonts w:hint="eastAsia" w:ascii="仿宋" w:hAnsi="仿宋" w:eastAsia="仿宋" w:cs="仿宋"/>
                      <w:color w:val="000000"/>
                      <w:kern w:val="0"/>
                      <w:sz w:val="20"/>
                      <w:szCs w:val="20"/>
                      <w:lang w:bidi="ar"/>
                    </w:rPr>
                    <w:t>(5)针对首页模块配置，提供基础模块和应用模块两类模块类型，基础模块包括图标列表、图文列表、轮播图等；应用模块可以显示管理平台内对接进门户的应用。可以通过拖拽的形式将模块拖进首页，并可拖拽调整宽度和高度，系统可显示辅助线协助管理员调整。</w:t>
                  </w:r>
                </w:p>
                <w:p w14:paraId="1C6D6602">
                  <w:pPr>
                    <w:pStyle w:val="4"/>
                    <w:spacing w:after="0"/>
                    <w:ind w:left="0" w:leftChars="0" w:firstLine="0" w:firstLineChars="0"/>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(6)模块的内容可以调取本地资源、外接第三方数据；模块的更多页可以调整样式。</w:t>
                  </w:r>
                </w:p>
                <w:p w14:paraId="7A8BC964">
                  <w:pPr>
                    <w:pStyle w:val="4"/>
                    <w:spacing w:after="0"/>
                    <w:ind w:left="0" w:leftChars="0" w:firstLine="0" w:firstLineChars="0"/>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3.微应用管理</w:t>
                  </w:r>
                </w:p>
                <w:p w14:paraId="2E1BB9AE">
                  <w:pPr>
                    <w:pStyle w:val="4"/>
                    <w:spacing w:after="0"/>
                    <w:ind w:left="0" w:leftChars="0" w:firstLine="0" w:firstLineChars="0"/>
                    <w:rPr>
                      <w:rFonts w:ascii="仿宋" w:hAnsi="仿宋" w:eastAsia="仿宋" w:cs="仿宋"/>
                      <w:color w:val="000000"/>
                      <w:kern w:val="0"/>
                      <w:sz w:val="20"/>
                      <w:szCs w:val="20"/>
                      <w:highlight w:val="none"/>
                      <w:lang w:bidi="ar"/>
                    </w:rPr>
                  </w:pPr>
                  <w:r>
                    <w:rPr>
                      <w:rFonts w:hint="eastAsia" w:ascii="仿宋" w:hAnsi="仿宋" w:eastAsia="仿宋" w:cs="仿宋"/>
                      <w:color w:val="000000"/>
                      <w:kern w:val="0"/>
                      <w:sz w:val="20"/>
                      <w:szCs w:val="20"/>
                      <w:lang w:bidi="ar"/>
                    </w:rPr>
                    <w:t>(1)可为学校创建对应的应用中心，并且支持支持学校的教务系统管理员自主从应用中心添加单位应用，并为应用设置相应的二级管理员。指定应用所属分类</w:t>
                  </w:r>
                  <w:r>
                    <w:rPr>
                      <w:rFonts w:hint="eastAsia" w:ascii="仿宋" w:hAnsi="仿宋" w:eastAsia="仿宋" w:cs="仿宋"/>
                      <w:color w:val="000000"/>
                      <w:kern w:val="0"/>
                      <w:sz w:val="20"/>
                      <w:szCs w:val="20"/>
                      <w:highlight w:val="none"/>
                      <w:lang w:bidi="ar"/>
                    </w:rPr>
                    <w:t>，并对分类进行编辑、删除、上/下移动操作；支持对应用进行跨分类拖拽排序，创建学校个性化的应用流程。</w:t>
                  </w:r>
                </w:p>
                <w:p w14:paraId="675BDF91">
                  <w:pPr>
                    <w:pStyle w:val="4"/>
                    <w:spacing w:after="0"/>
                    <w:ind w:left="0" w:leftChars="0" w:firstLine="0" w:firstLineChars="0"/>
                    <w:rPr>
                      <w:rFonts w:ascii="仿宋" w:hAnsi="仿宋" w:eastAsia="仿宋" w:cs="仿宋"/>
                      <w:color w:val="000000"/>
                      <w:kern w:val="0"/>
                      <w:sz w:val="20"/>
                      <w:szCs w:val="20"/>
                      <w:highlight w:val="none"/>
                      <w:lang w:bidi="ar"/>
                    </w:rPr>
                  </w:pPr>
                  <w:r>
                    <w:rPr>
                      <w:rFonts w:hint="eastAsia" w:ascii="仿宋" w:hAnsi="仿宋" w:eastAsia="仿宋" w:cs="仿宋"/>
                      <w:color w:val="000000"/>
                      <w:kern w:val="0"/>
                      <w:sz w:val="20"/>
                      <w:szCs w:val="20"/>
                      <w:highlight w:val="none"/>
                      <w:lang w:bidi="ar"/>
                    </w:rPr>
                    <w:t>(2)提供辅助定制工具，可进行表单、审批、报表、图表、咨询等数据采集等。</w:t>
                  </w:r>
                </w:p>
                <w:p w14:paraId="6B9911F9">
                  <w:pPr>
                    <w:pStyle w:val="4"/>
                    <w:spacing w:after="0"/>
                    <w:ind w:left="0" w:leftChars="0" w:firstLine="0" w:firstLineChars="0"/>
                    <w:rPr>
                      <w:rFonts w:ascii="仿宋" w:hAnsi="仿宋" w:eastAsia="仿宋" w:cs="仿宋"/>
                      <w:color w:val="000000"/>
                      <w:kern w:val="0"/>
                      <w:sz w:val="20"/>
                      <w:szCs w:val="20"/>
                      <w:highlight w:val="none"/>
                      <w:lang w:bidi="ar"/>
                    </w:rPr>
                  </w:pPr>
                  <w:r>
                    <w:rPr>
                      <w:rFonts w:hint="eastAsia" w:ascii="仿宋" w:hAnsi="仿宋" w:eastAsia="仿宋" w:cs="仿宋"/>
                      <w:color w:val="000000"/>
                      <w:kern w:val="0"/>
                      <w:sz w:val="20"/>
                      <w:szCs w:val="20"/>
                      <w:highlight w:val="none"/>
                      <w:lang w:bidi="ar"/>
                    </w:rPr>
                    <w:t>(3)对应用及分类的调整，实时同步到移动端。</w:t>
                  </w:r>
                </w:p>
                <w:p w14:paraId="38CE521B">
                  <w:pPr>
                    <w:pStyle w:val="4"/>
                    <w:spacing w:after="0"/>
                    <w:ind w:left="0" w:leftChars="0" w:firstLine="0" w:firstLineChars="0"/>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(4)可以针对不同角色指定不同应用。</w:t>
                  </w:r>
                </w:p>
                <w:p w14:paraId="4002CCFA">
                  <w:pPr>
                    <w:pStyle w:val="4"/>
                    <w:spacing w:after="0"/>
                    <w:ind w:left="0" w:leftChars="0" w:firstLine="0" w:firstLineChars="0"/>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(5)平台提供以下数据采集工具，表单、审批、报表、图表、咨询采集等。</w:t>
                  </w:r>
                </w:p>
                <w:p w14:paraId="36F3E468">
                  <w:pPr>
                    <w:pStyle w:val="4"/>
                    <w:spacing w:after="0"/>
                    <w:ind w:left="0" w:leftChars="0" w:firstLine="0" w:firstLineChars="0"/>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(6)支持通过url的方式添加自建应用。支持自定义应用的名称、图标、应用详情、应用截图、应用的移动端链接地址、pc端链接地址、后台地址、数据中心地址、统计展示页地址、门户对接地址、大数据屏对接地址。</w:t>
                  </w:r>
                </w:p>
                <w:p w14:paraId="45CF2B3F">
                  <w:pPr>
                    <w:pStyle w:val="4"/>
                    <w:spacing w:after="0"/>
                    <w:ind w:left="0" w:leftChars="0" w:firstLine="0" w:firstLineChars="0"/>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4.客服服务管理</w:t>
                  </w:r>
                </w:p>
                <w:p w14:paraId="66DA0A4F">
                  <w:pPr>
                    <w:pStyle w:val="4"/>
                    <w:spacing w:after="0"/>
                    <w:ind w:left="0" w:leftChars="0" w:firstLine="0" w:firstLineChars="0"/>
                    <w:rPr>
                      <w:rFonts w:ascii="仿宋" w:hAnsi="仿宋" w:eastAsia="仿宋" w:cs="仿宋"/>
                      <w:b/>
                      <w:bCs/>
                      <w:color w:val="000000"/>
                      <w:kern w:val="0"/>
                      <w:sz w:val="20"/>
                      <w:szCs w:val="20"/>
                      <w:lang w:bidi="ar"/>
                    </w:rPr>
                  </w:pPr>
                  <w:r>
                    <w:rPr>
                      <w:rFonts w:hint="eastAsia" w:ascii="仿宋" w:hAnsi="仿宋" w:eastAsia="仿宋" w:cs="仿宋"/>
                      <w:b/>
                      <w:bCs/>
                      <w:color w:val="000000"/>
                      <w:kern w:val="0"/>
                      <w:sz w:val="20"/>
                      <w:szCs w:val="20"/>
                      <w:lang w:bidi="ar"/>
                    </w:rPr>
                    <w:t>智能解答问题</w:t>
                  </w:r>
                </w:p>
                <w:p w14:paraId="03C7E713">
                  <w:pPr>
                    <w:pStyle w:val="4"/>
                    <w:spacing w:after="0"/>
                    <w:ind w:left="0" w:leftChars="0" w:firstLine="0" w:firstLineChars="0"/>
                    <w:rPr>
                      <w:rFonts w:ascii="仿宋" w:hAnsi="仿宋" w:eastAsia="仿宋" w:cs="仿宋"/>
                      <w:color w:val="000000"/>
                      <w:kern w:val="0"/>
                      <w:sz w:val="20"/>
                      <w:szCs w:val="20"/>
                      <w:highlight w:val="none"/>
                      <w:lang w:bidi="ar"/>
                    </w:rPr>
                  </w:pPr>
                  <w:r>
                    <w:rPr>
                      <w:rFonts w:hint="eastAsia" w:ascii="仿宋" w:hAnsi="仿宋" w:eastAsia="仿宋" w:cs="仿宋"/>
                      <w:color w:val="000000"/>
                      <w:kern w:val="0"/>
                      <w:sz w:val="20"/>
                      <w:szCs w:val="20"/>
                      <w:lang w:bidi="ar"/>
                    </w:rPr>
                    <w:t>(1)</w:t>
                  </w:r>
                  <w:r>
                    <w:rPr>
                      <w:rFonts w:hint="eastAsia" w:ascii="仿宋" w:hAnsi="仿宋" w:eastAsia="仿宋" w:cs="仿宋"/>
                      <w:color w:val="000000"/>
                      <w:kern w:val="0"/>
                      <w:sz w:val="20"/>
                      <w:szCs w:val="20"/>
                      <w:highlight w:val="none"/>
                      <w:lang w:bidi="ar"/>
                    </w:rPr>
                    <w:t>具备自定义添加、编辑、删除业务问答分类，分类数量无限制。</w:t>
                  </w:r>
                </w:p>
                <w:p w14:paraId="7A89A2FD">
                  <w:pPr>
                    <w:pStyle w:val="4"/>
                    <w:spacing w:after="0"/>
                    <w:ind w:left="0" w:leftChars="0" w:firstLine="0" w:firstLineChars="0"/>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highlight w:val="none"/>
                      <w:lang w:bidi="ar"/>
                    </w:rPr>
                    <w:t>(2)具备手工添加未</w:t>
                  </w:r>
                  <w:r>
                    <w:rPr>
                      <w:rFonts w:hint="eastAsia" w:ascii="仿宋" w:hAnsi="仿宋" w:eastAsia="仿宋" w:cs="仿宋"/>
                      <w:color w:val="000000"/>
                      <w:kern w:val="0"/>
                      <w:sz w:val="20"/>
                      <w:szCs w:val="20"/>
                      <w:lang w:bidi="ar"/>
                    </w:rPr>
                    <w:t>知问题到业务问答规则，并支持自定义修改。</w:t>
                  </w:r>
                </w:p>
                <w:p w14:paraId="23AFE3AF">
                  <w:pPr>
                    <w:pStyle w:val="4"/>
                    <w:spacing w:after="0"/>
                    <w:ind w:left="0" w:leftChars="0" w:firstLine="0" w:firstLineChars="0"/>
                    <w:rPr>
                      <w:rFonts w:ascii="仿宋" w:hAnsi="仿宋" w:eastAsia="仿宋" w:cs="仿宋"/>
                      <w:color w:val="000000"/>
                      <w:kern w:val="0"/>
                      <w:sz w:val="20"/>
                      <w:szCs w:val="20"/>
                      <w:highlight w:val="none"/>
                      <w:lang w:bidi="ar"/>
                    </w:rPr>
                  </w:pPr>
                  <w:r>
                    <w:rPr>
                      <w:rFonts w:hint="eastAsia" w:ascii="仿宋" w:hAnsi="仿宋" w:eastAsia="仿宋" w:cs="仿宋"/>
                      <w:color w:val="000000"/>
                      <w:kern w:val="0"/>
                      <w:sz w:val="20"/>
                      <w:szCs w:val="20"/>
                      <w:highlight w:val="none"/>
                      <w:lang w:bidi="ar"/>
                    </w:rPr>
                    <w:t>(3)具备自动忽略无意义的问法，比如无效数字字母的组合。</w:t>
                  </w:r>
                </w:p>
                <w:p w14:paraId="179E34ED">
                  <w:pPr>
                    <w:pStyle w:val="4"/>
                    <w:spacing w:after="0"/>
                    <w:ind w:left="0" w:leftChars="0" w:firstLine="0" w:firstLineChars="0"/>
                    <w:rPr>
                      <w:rFonts w:ascii="仿宋" w:hAnsi="仿宋" w:eastAsia="仿宋" w:cs="仿宋"/>
                      <w:color w:val="000000"/>
                      <w:kern w:val="0"/>
                      <w:sz w:val="20"/>
                      <w:szCs w:val="20"/>
                      <w:highlight w:val="none"/>
                      <w:lang w:bidi="ar"/>
                    </w:rPr>
                  </w:pPr>
                  <w:r>
                    <w:rPr>
                      <w:rFonts w:hint="eastAsia" w:ascii="仿宋" w:hAnsi="仿宋" w:eastAsia="仿宋" w:cs="仿宋"/>
                      <w:color w:val="000000"/>
                      <w:kern w:val="0"/>
                      <w:sz w:val="20"/>
                      <w:szCs w:val="20"/>
                      <w:highlight w:val="none"/>
                      <w:lang w:bidi="ar"/>
                    </w:rPr>
                    <w:t>(4)具备根据用户输入问题进行匹配提示。</w:t>
                  </w:r>
                </w:p>
                <w:p w14:paraId="49931212">
                  <w:pPr>
                    <w:pStyle w:val="4"/>
                    <w:spacing w:after="0"/>
                    <w:ind w:left="0" w:leftChars="0" w:firstLine="0" w:firstLineChars="0"/>
                    <w:rPr>
                      <w:rFonts w:ascii="仿宋" w:hAnsi="仿宋" w:eastAsia="仿宋" w:cs="仿宋"/>
                      <w:color w:val="000000"/>
                      <w:kern w:val="0"/>
                      <w:sz w:val="20"/>
                      <w:szCs w:val="20"/>
                      <w:highlight w:val="none"/>
                      <w:lang w:bidi="ar"/>
                    </w:rPr>
                  </w:pPr>
                  <w:r>
                    <w:rPr>
                      <w:rFonts w:hint="eastAsia" w:ascii="仿宋" w:hAnsi="仿宋" w:eastAsia="仿宋" w:cs="仿宋"/>
                      <w:color w:val="000000"/>
                      <w:kern w:val="0"/>
                      <w:sz w:val="20"/>
                      <w:szCs w:val="20"/>
                      <w:highlight w:val="none"/>
                      <w:lang w:bidi="ar"/>
                    </w:rPr>
                    <w:t>(5)具备问答无匹配时，提供用户语义中相似度最高的热门问题。</w:t>
                  </w:r>
                </w:p>
                <w:p w14:paraId="3C214F5A">
                  <w:pPr>
                    <w:pStyle w:val="4"/>
                    <w:spacing w:after="0"/>
                    <w:ind w:left="0" w:leftChars="0" w:firstLine="0" w:firstLineChars="0"/>
                    <w:rPr>
                      <w:rFonts w:ascii="仿宋" w:hAnsi="仿宋" w:eastAsia="仿宋" w:cs="仿宋"/>
                      <w:color w:val="000000"/>
                      <w:kern w:val="0"/>
                      <w:sz w:val="20"/>
                      <w:szCs w:val="20"/>
                      <w:highlight w:val="none"/>
                      <w:lang w:bidi="ar"/>
                    </w:rPr>
                  </w:pPr>
                  <w:r>
                    <w:rPr>
                      <w:rFonts w:hint="eastAsia" w:ascii="仿宋" w:hAnsi="仿宋" w:eastAsia="仿宋" w:cs="仿宋"/>
                      <w:color w:val="000000"/>
                      <w:kern w:val="0"/>
                      <w:sz w:val="20"/>
                      <w:szCs w:val="20"/>
                      <w:highlight w:val="none"/>
                      <w:lang w:bidi="ar"/>
                    </w:rPr>
                    <w:t>(6)对接deepseek、豆包、Kimi、文心、元宝等智能体。</w:t>
                  </w:r>
                </w:p>
                <w:p w14:paraId="7B6CAE31">
                  <w:pPr>
                    <w:pStyle w:val="4"/>
                    <w:spacing w:after="0"/>
                    <w:ind w:left="0" w:leftChars="0" w:firstLine="0" w:firstLineChars="0"/>
                    <w:rPr>
                      <w:rFonts w:ascii="仿宋" w:hAnsi="仿宋" w:eastAsia="仿宋" w:cs="仿宋"/>
                      <w:b/>
                      <w:bCs/>
                      <w:color w:val="000000"/>
                      <w:kern w:val="0"/>
                      <w:sz w:val="20"/>
                      <w:szCs w:val="20"/>
                      <w:highlight w:val="none"/>
                      <w:lang w:bidi="ar"/>
                    </w:rPr>
                  </w:pPr>
                  <w:r>
                    <w:rPr>
                      <w:rFonts w:hint="eastAsia" w:ascii="仿宋" w:hAnsi="仿宋" w:eastAsia="仿宋" w:cs="仿宋"/>
                      <w:b/>
                      <w:bCs/>
                      <w:color w:val="000000"/>
                      <w:kern w:val="0"/>
                      <w:sz w:val="20"/>
                      <w:szCs w:val="20"/>
                      <w:highlight w:val="none"/>
                      <w:lang w:bidi="ar"/>
                    </w:rPr>
                    <w:t>人工客服服务</w:t>
                  </w:r>
                </w:p>
                <w:p w14:paraId="344A5B12">
                  <w:pPr>
                    <w:pStyle w:val="4"/>
                    <w:spacing w:after="0"/>
                    <w:ind w:left="0" w:leftChars="0" w:firstLine="0" w:firstLineChars="0"/>
                    <w:rPr>
                      <w:rFonts w:ascii="仿宋" w:hAnsi="仿宋" w:eastAsia="仿宋" w:cs="仿宋"/>
                      <w:color w:val="000000"/>
                      <w:kern w:val="0"/>
                      <w:sz w:val="20"/>
                      <w:szCs w:val="20"/>
                      <w:highlight w:val="none"/>
                      <w:lang w:bidi="ar"/>
                    </w:rPr>
                  </w:pPr>
                  <w:r>
                    <w:rPr>
                      <w:rFonts w:hint="eastAsia" w:ascii="仿宋" w:hAnsi="仿宋" w:eastAsia="仿宋" w:cs="仿宋"/>
                      <w:color w:val="000000"/>
                      <w:kern w:val="0"/>
                      <w:sz w:val="20"/>
                      <w:szCs w:val="20"/>
                      <w:highlight w:val="none"/>
                      <w:lang w:bidi="ar"/>
                    </w:rPr>
                    <w:t>(1)人工客服会话窗口可以直接添加业务问答规则。</w:t>
                  </w:r>
                </w:p>
                <w:p w14:paraId="160A993D">
                  <w:pPr>
                    <w:pStyle w:val="4"/>
                    <w:spacing w:after="0"/>
                    <w:ind w:left="0" w:leftChars="0" w:firstLine="0" w:firstLineChars="0"/>
                    <w:rPr>
                      <w:rFonts w:ascii="仿宋" w:hAnsi="仿宋" w:eastAsia="仿宋" w:cs="仿宋"/>
                      <w:color w:val="000000"/>
                      <w:kern w:val="0"/>
                      <w:sz w:val="20"/>
                      <w:szCs w:val="20"/>
                      <w:highlight w:val="none"/>
                      <w:lang w:bidi="ar"/>
                    </w:rPr>
                  </w:pPr>
                  <w:r>
                    <w:rPr>
                      <w:rFonts w:hint="eastAsia" w:ascii="仿宋_GB2312" w:hAnsi="仿宋_GB2312" w:eastAsia="仿宋_GB2312" w:cs="仿宋_GB2312"/>
                      <w:kern w:val="0"/>
                      <w:sz w:val="20"/>
                      <w:szCs w:val="20"/>
                      <w:highlight w:val="none"/>
                    </w:rPr>
                    <w:t>▲</w:t>
                  </w:r>
                  <w:r>
                    <w:rPr>
                      <w:rFonts w:hint="eastAsia" w:ascii="仿宋" w:hAnsi="仿宋" w:eastAsia="仿宋" w:cs="仿宋"/>
                      <w:color w:val="000000"/>
                      <w:kern w:val="0"/>
                      <w:sz w:val="20"/>
                      <w:szCs w:val="20"/>
                      <w:highlight w:val="none"/>
                      <w:lang w:bidi="ar"/>
                    </w:rPr>
                    <w:t>(2)支持人工客服分组功能，支持用户选择不同业务组开始对话，比如“成绩查询”、“排课表”。</w:t>
                  </w:r>
                </w:p>
                <w:p w14:paraId="02F020F3">
                  <w:pPr>
                    <w:pStyle w:val="4"/>
                    <w:spacing w:after="0"/>
                    <w:ind w:left="0" w:leftChars="0" w:firstLine="0" w:firstLineChars="0"/>
                    <w:rPr>
                      <w:rFonts w:ascii="仿宋" w:hAnsi="仿宋" w:eastAsia="仿宋" w:cs="仿宋"/>
                      <w:color w:val="000000"/>
                      <w:kern w:val="0"/>
                      <w:sz w:val="20"/>
                      <w:szCs w:val="20"/>
                      <w:highlight w:val="none"/>
                      <w:lang w:bidi="ar"/>
                    </w:rPr>
                  </w:pPr>
                  <w:r>
                    <w:rPr>
                      <w:rFonts w:hint="eastAsia" w:ascii="仿宋" w:hAnsi="仿宋" w:eastAsia="仿宋" w:cs="仿宋"/>
                      <w:color w:val="000000"/>
                      <w:kern w:val="0"/>
                      <w:sz w:val="20"/>
                      <w:szCs w:val="20"/>
                      <w:highlight w:val="none"/>
                      <w:lang w:bidi="ar"/>
                    </w:rPr>
                    <w:t>(3)支持设置通过触发未知问题、关键词、点击转人工客服按钮等来实现自动转接人工客服。</w:t>
                  </w:r>
                </w:p>
                <w:p w14:paraId="768CA50E">
                  <w:pPr>
                    <w:pStyle w:val="4"/>
                    <w:spacing w:after="0"/>
                    <w:ind w:left="0" w:leftChars="0" w:firstLine="0" w:firstLineChars="0"/>
                    <w:rPr>
                      <w:rFonts w:ascii="仿宋" w:hAnsi="仿宋" w:eastAsia="仿宋" w:cs="仿宋"/>
                      <w:color w:val="000000"/>
                      <w:kern w:val="0"/>
                      <w:sz w:val="20"/>
                      <w:szCs w:val="20"/>
                      <w:highlight w:val="none"/>
                      <w:lang w:bidi="ar"/>
                    </w:rPr>
                  </w:pPr>
                  <w:r>
                    <w:rPr>
                      <w:rFonts w:hint="eastAsia" w:ascii="仿宋" w:hAnsi="仿宋" w:eastAsia="仿宋" w:cs="仿宋"/>
                      <w:color w:val="000000"/>
                      <w:kern w:val="0"/>
                      <w:sz w:val="20"/>
                      <w:szCs w:val="20"/>
                      <w:highlight w:val="none"/>
                      <w:lang w:bidi="ar"/>
                    </w:rPr>
                    <w:t>(4)支持人工客服不在线时留言。</w:t>
                  </w:r>
                </w:p>
                <w:p w14:paraId="5EE51230">
                  <w:pPr>
                    <w:pStyle w:val="4"/>
                    <w:spacing w:after="0"/>
                    <w:ind w:left="0" w:leftChars="0" w:firstLine="0" w:firstLineChars="0"/>
                    <w:rPr>
                      <w:rFonts w:ascii="仿宋" w:hAnsi="仿宋" w:eastAsia="仿宋" w:cs="仿宋"/>
                      <w:color w:val="000000"/>
                      <w:kern w:val="0"/>
                      <w:sz w:val="20"/>
                      <w:szCs w:val="20"/>
                      <w:highlight w:val="none"/>
                      <w:lang w:bidi="ar"/>
                    </w:rPr>
                  </w:pPr>
                  <w:r>
                    <w:rPr>
                      <w:rFonts w:hint="eastAsia" w:ascii="仿宋" w:hAnsi="仿宋" w:eastAsia="仿宋" w:cs="仿宋"/>
                      <w:color w:val="000000"/>
                      <w:kern w:val="0"/>
                      <w:sz w:val="20"/>
                      <w:szCs w:val="20"/>
                      <w:highlight w:val="none"/>
                      <w:lang w:bidi="ar"/>
                    </w:rPr>
                    <w:t>(5)支持留言工单批量导出、批量删除。</w:t>
                  </w:r>
                </w:p>
                <w:p w14:paraId="6C57414D">
                  <w:pPr>
                    <w:pStyle w:val="4"/>
                    <w:spacing w:after="0"/>
                    <w:ind w:left="0" w:leftChars="0" w:firstLine="0" w:firstLineChars="0"/>
                    <w:rPr>
                      <w:rFonts w:ascii="仿宋" w:hAnsi="仿宋" w:eastAsia="仿宋" w:cs="仿宋"/>
                      <w:color w:val="000000"/>
                      <w:kern w:val="0"/>
                      <w:sz w:val="20"/>
                      <w:szCs w:val="20"/>
                      <w:lang w:bidi="ar"/>
                    </w:rPr>
                  </w:pPr>
                  <w:r>
                    <w:rPr>
                      <w:rFonts w:hint="eastAsia" w:ascii="仿宋_GB2312" w:hAnsi="仿宋_GB2312" w:eastAsia="仿宋_GB2312" w:cs="仿宋_GB2312"/>
                      <w:kern w:val="0"/>
                      <w:sz w:val="20"/>
                      <w:szCs w:val="20"/>
                      <w:highlight w:val="none"/>
                    </w:rPr>
                    <w:t>▲</w:t>
                  </w:r>
                  <w:r>
                    <w:rPr>
                      <w:rFonts w:hint="eastAsia" w:ascii="仿宋" w:hAnsi="仿宋" w:eastAsia="仿宋" w:cs="仿宋"/>
                      <w:color w:val="000000"/>
                      <w:kern w:val="0"/>
                      <w:sz w:val="20"/>
                      <w:szCs w:val="20"/>
                      <w:highlight w:val="none"/>
                      <w:lang w:bidi="ar"/>
                    </w:rPr>
                    <w:t>(6)支持问答历史纪录查看，根据时间、来源筛选指定历史会话内容，同时可以批量导出机器人历史会话记录。</w:t>
                  </w:r>
                </w:p>
              </w:tc>
            </w:tr>
            <w:tr w14:paraId="41749485">
              <w:tblPrEx>
                <w:tblCellMar>
                  <w:top w:w="0" w:type="dxa"/>
                  <w:left w:w="108" w:type="dxa"/>
                  <w:bottom w:w="0" w:type="dxa"/>
                  <w:right w:w="108" w:type="dxa"/>
                </w:tblCellMar>
              </w:tblPrEx>
              <w:tc>
                <w:tcPr>
                  <w:tcW w:w="5000" w:type="pct"/>
                  <w:tcBorders>
                    <w:top w:val="single" w:color="000000" w:sz="4" w:space="0"/>
                    <w:left w:val="single" w:color="000000" w:sz="4" w:space="0"/>
                    <w:bottom w:val="single" w:color="000000" w:sz="4" w:space="0"/>
                    <w:right w:val="single" w:color="000000" w:sz="4" w:space="0"/>
                  </w:tcBorders>
                  <w:vAlign w:val="center"/>
                </w:tcPr>
                <w:p w14:paraId="473BF81B">
                  <w:pPr>
                    <w:pStyle w:val="4"/>
                    <w:spacing w:after="0"/>
                    <w:ind w:left="0" w:leftChars="0" w:firstLine="0" w:firstLineChars="0"/>
                    <w:rPr>
                      <w:rFonts w:hint="eastAsia" w:ascii="仿宋_GB2312" w:hAnsi="仿宋_GB2312" w:eastAsia="仿宋_GB2312" w:cs="仿宋_GB2312"/>
                      <w:kern w:val="0"/>
                      <w:sz w:val="20"/>
                      <w:szCs w:val="20"/>
                      <w:highlight w:val="none"/>
                    </w:rPr>
                  </w:pPr>
                </w:p>
              </w:tc>
            </w:tr>
            <w:bookmarkEnd w:id="0"/>
          </w:tbl>
          <w:p w14:paraId="5F7B9B42">
            <w:pPr>
              <w:spacing w:line="560" w:lineRule="exact"/>
              <w:rPr>
                <w:rFonts w:ascii="仿宋_GB2312" w:hAnsi="仿宋_GB2312" w:eastAsia="仿宋_GB2312" w:cs="仿宋_GB2312"/>
                <w:kern w:val="0"/>
                <w:sz w:val="20"/>
                <w:szCs w:val="20"/>
              </w:rPr>
            </w:pPr>
          </w:p>
        </w:tc>
      </w:tr>
    </w:tbl>
    <w:p w14:paraId="77AB4DEF">
      <w:pPr>
        <w:pStyle w:val="8"/>
        <w:rPr>
          <w:rFonts w:hint="default"/>
        </w:rPr>
      </w:pPr>
      <w:r>
        <w:rPr>
          <w:rFonts w:ascii="仿宋_GB2312" w:hAnsi="仿宋_GB2312" w:eastAsia="仿宋_GB2312" w:cs="仿宋_GB2312"/>
        </w:rPr>
        <w:t>采购包2：</w:t>
      </w:r>
    </w:p>
    <w:p w14:paraId="1E9E3AC7">
      <w:pPr>
        <w:pStyle w:val="8"/>
        <w:rPr>
          <w:rFonts w:hint="default" w:eastAsia="仿宋_GB2312"/>
          <w:lang w:eastAsia="zh-CN"/>
        </w:rPr>
      </w:pPr>
      <w:r>
        <w:rPr>
          <w:rFonts w:ascii="仿宋_GB2312" w:hAnsi="仿宋_GB2312" w:eastAsia="仿宋_GB2312" w:cs="仿宋_GB2312"/>
        </w:rPr>
        <w:t>标的名称：纸质图书</w:t>
      </w:r>
    </w:p>
    <w:tbl>
      <w:tblPr>
        <w:tblStyle w:val="5"/>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02"/>
        <w:gridCol w:w="805"/>
        <w:gridCol w:w="6800"/>
      </w:tblGrid>
      <w:tr w14:paraId="52A231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5" w:hRule="atLeast"/>
        </w:trPr>
        <w:tc>
          <w:tcPr>
            <w:tcW w:w="702" w:type="dxa"/>
          </w:tcPr>
          <w:p w14:paraId="08B1BD35">
            <w:pPr>
              <w:pStyle w:val="8"/>
              <w:rPr>
                <w:rFonts w:hint="default"/>
              </w:rPr>
            </w:pPr>
            <w:r>
              <w:rPr>
                <w:rFonts w:ascii="仿宋_GB2312" w:hAnsi="仿宋_GB2312" w:eastAsia="仿宋_GB2312" w:cs="仿宋_GB2312"/>
              </w:rPr>
              <w:t>序号</w:t>
            </w:r>
          </w:p>
        </w:tc>
        <w:tc>
          <w:tcPr>
            <w:tcW w:w="805" w:type="dxa"/>
          </w:tcPr>
          <w:p w14:paraId="0DB6D91F">
            <w:pPr>
              <w:pStyle w:val="8"/>
              <w:rPr>
                <w:rFonts w:hint="default" w:ascii="仿宋_GB2312" w:hAnsi="仿宋_GB2312" w:eastAsia="仿宋_GB2312" w:cs="仿宋_GB2312"/>
              </w:rPr>
            </w:pPr>
            <w:r>
              <w:rPr>
                <w:rFonts w:ascii="仿宋_GB2312" w:hAnsi="仿宋_GB2312" w:eastAsia="仿宋_GB2312" w:cs="仿宋_GB2312"/>
              </w:rPr>
              <w:t>参数</w:t>
            </w:r>
          </w:p>
          <w:p w14:paraId="7A93CDAD">
            <w:pPr>
              <w:pStyle w:val="8"/>
              <w:rPr>
                <w:rFonts w:hint="default"/>
              </w:rPr>
            </w:pPr>
            <w:r>
              <w:rPr>
                <w:rFonts w:ascii="仿宋_GB2312" w:hAnsi="仿宋_GB2312" w:eastAsia="仿宋_GB2312" w:cs="仿宋_GB2312"/>
              </w:rPr>
              <w:t>性质</w:t>
            </w:r>
          </w:p>
        </w:tc>
        <w:tc>
          <w:tcPr>
            <w:tcW w:w="6800" w:type="dxa"/>
          </w:tcPr>
          <w:p w14:paraId="390EFEE2">
            <w:pPr>
              <w:pStyle w:val="8"/>
              <w:rPr>
                <w:rFonts w:hint="default"/>
                <w:highlight w:val="none"/>
              </w:rPr>
            </w:pPr>
            <w:r>
              <w:rPr>
                <w:rFonts w:ascii="仿宋_GB2312" w:hAnsi="仿宋_GB2312" w:eastAsia="仿宋_GB2312" w:cs="仿宋_GB2312"/>
                <w:highlight w:val="none"/>
              </w:rPr>
              <w:t xml:space="preserve"> 技术参数与性能指标</w:t>
            </w:r>
          </w:p>
        </w:tc>
      </w:tr>
      <w:tr w14:paraId="5FB2B7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02" w:type="dxa"/>
          </w:tcPr>
          <w:p w14:paraId="09B6A6E9">
            <w:pPr>
              <w:pStyle w:val="8"/>
              <w:rPr>
                <w:rFonts w:hint="default"/>
              </w:rPr>
            </w:pPr>
            <w:r>
              <w:rPr>
                <w:rFonts w:ascii="仿宋_GB2312" w:hAnsi="仿宋_GB2312" w:eastAsia="仿宋_GB2312" w:cs="仿宋_GB2312"/>
              </w:rPr>
              <w:t>1</w:t>
            </w:r>
          </w:p>
        </w:tc>
        <w:tc>
          <w:tcPr>
            <w:tcW w:w="805" w:type="dxa"/>
          </w:tcPr>
          <w:p w14:paraId="7EA807C7"/>
        </w:tc>
        <w:tc>
          <w:tcPr>
            <w:tcW w:w="6800" w:type="dxa"/>
          </w:tcPr>
          <w:p w14:paraId="5AE9B869">
            <w:pPr>
              <w:pStyle w:val="8"/>
              <w:rPr>
                <w:rFonts w:hint="default"/>
                <w:highlight w:val="none"/>
                <w:lang w:eastAsia="zh-CN"/>
              </w:rPr>
            </w:pPr>
            <w:r>
              <w:rPr>
                <w:rFonts w:hint="eastAsia" w:ascii="仿宋_GB2312" w:hAnsi="仿宋_GB2312" w:eastAsia="仿宋_GB2312" w:cs="仿宋_GB2312"/>
                <w:highlight w:val="none"/>
                <w:lang w:val="en-US" w:eastAsia="zh-CN"/>
              </w:rPr>
              <w:t>至少6万册纸质图书，目录详见附件《2025年纸质图书采购目录》</w:t>
            </w:r>
            <w:r>
              <w:rPr>
                <w:rFonts w:hint="eastAsia" w:ascii="仿宋_GB2312" w:hAnsi="仿宋_GB2312" w:eastAsia="仿宋_GB2312" w:cs="仿宋_GB2312"/>
                <w:highlight w:val="none"/>
                <w:lang w:val="en-US" w:eastAsia="zh-CN"/>
              </w:rPr>
              <w:object>
                <v:shape id="_x0000_i1025" o:spt="75" type="#_x0000_t75" style="height:66pt;width:72.75pt;" o:ole="t" filled="f" o:preferrelative="t" stroked="f" coordsize="21600,21600">
                  <v:fill on="f" focussize="0,0"/>
                  <v:stroke on="f"/>
                  <v:imagedata r:id="rId5" o:title=""/>
                  <o:lock v:ext="edit" aspectratio="t"/>
                  <w10:wrap type="none"/>
                  <w10:anchorlock/>
                </v:shape>
                <o:OLEObject Type="Embed" ProgID="Excel.Sheet.12" ShapeID="_x0000_i1025" DrawAspect="Icon" ObjectID="_1468075725" r:id="rId4">
                  <o:LockedField>false</o:LockedField>
                </o:OLEObject>
              </w:object>
            </w:r>
          </w:p>
        </w:tc>
      </w:tr>
    </w:tbl>
    <w:p w14:paraId="60292E7E">
      <w:pPr>
        <w:pStyle w:val="8"/>
        <w:rPr>
          <w:rFonts w:hint="default"/>
        </w:rPr>
      </w:pPr>
      <w:r>
        <w:rPr>
          <w:rFonts w:ascii="仿宋_GB2312" w:hAnsi="仿宋_GB2312" w:eastAsia="仿宋_GB2312" w:cs="仿宋_GB2312"/>
        </w:rPr>
        <w:t>采购包3：</w:t>
      </w:r>
    </w:p>
    <w:p w14:paraId="0460398B">
      <w:pPr>
        <w:pStyle w:val="8"/>
        <w:rPr>
          <w:rFonts w:hint="default"/>
        </w:rPr>
      </w:pPr>
      <w:r>
        <w:rPr>
          <w:rFonts w:ascii="仿宋_GB2312" w:hAnsi="仿宋_GB2312" w:eastAsia="仿宋_GB2312" w:cs="仿宋_GB2312"/>
        </w:rPr>
        <w:t>标的名称：图书电子资源采购</w:t>
      </w:r>
    </w:p>
    <w:tbl>
      <w:tblPr>
        <w:tblStyle w:val="5"/>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16"/>
        <w:gridCol w:w="717"/>
        <w:gridCol w:w="7389"/>
      </w:tblGrid>
      <w:tr w14:paraId="60F3DE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5" w:hRule="atLeast"/>
        </w:trPr>
        <w:tc>
          <w:tcPr>
            <w:tcW w:w="416" w:type="dxa"/>
          </w:tcPr>
          <w:p w14:paraId="6A933C6D">
            <w:pPr>
              <w:pStyle w:val="8"/>
              <w:rPr>
                <w:rFonts w:hint="eastAsia" w:ascii="仿宋" w:hAnsi="仿宋" w:eastAsia="仿宋" w:cs="仿宋"/>
                <w:sz w:val="20"/>
                <w:szCs w:val="20"/>
              </w:rPr>
            </w:pPr>
            <w:r>
              <w:rPr>
                <w:rFonts w:hint="eastAsia" w:ascii="仿宋" w:hAnsi="仿宋" w:eastAsia="仿宋" w:cs="仿宋"/>
                <w:sz w:val="20"/>
                <w:szCs w:val="20"/>
              </w:rPr>
              <w:t>序号</w:t>
            </w:r>
          </w:p>
        </w:tc>
        <w:tc>
          <w:tcPr>
            <w:tcW w:w="717" w:type="dxa"/>
          </w:tcPr>
          <w:p w14:paraId="6B788E76">
            <w:pPr>
              <w:pStyle w:val="8"/>
              <w:rPr>
                <w:rFonts w:hint="eastAsia" w:ascii="仿宋" w:hAnsi="仿宋" w:eastAsia="仿宋" w:cs="仿宋"/>
                <w:sz w:val="20"/>
                <w:szCs w:val="20"/>
              </w:rPr>
            </w:pPr>
            <w:r>
              <w:rPr>
                <w:rFonts w:hint="eastAsia" w:ascii="仿宋" w:hAnsi="仿宋" w:eastAsia="仿宋" w:cs="仿宋"/>
                <w:sz w:val="20"/>
                <w:szCs w:val="20"/>
              </w:rPr>
              <w:t>参数</w:t>
            </w:r>
          </w:p>
          <w:p w14:paraId="2F216DFE">
            <w:pPr>
              <w:pStyle w:val="8"/>
              <w:rPr>
                <w:rFonts w:hint="eastAsia" w:ascii="仿宋" w:hAnsi="仿宋" w:eastAsia="仿宋" w:cs="仿宋"/>
                <w:sz w:val="20"/>
                <w:szCs w:val="20"/>
              </w:rPr>
            </w:pPr>
            <w:r>
              <w:rPr>
                <w:rFonts w:hint="eastAsia" w:ascii="仿宋" w:hAnsi="仿宋" w:eastAsia="仿宋" w:cs="仿宋"/>
                <w:sz w:val="20"/>
                <w:szCs w:val="20"/>
              </w:rPr>
              <w:t>性质</w:t>
            </w:r>
          </w:p>
        </w:tc>
        <w:tc>
          <w:tcPr>
            <w:tcW w:w="7389" w:type="dxa"/>
          </w:tcPr>
          <w:p w14:paraId="5CE5BF59">
            <w:pPr>
              <w:pStyle w:val="8"/>
              <w:rPr>
                <w:rFonts w:hint="eastAsia" w:ascii="仿宋" w:hAnsi="仿宋" w:eastAsia="仿宋" w:cs="仿宋"/>
                <w:sz w:val="20"/>
                <w:szCs w:val="20"/>
              </w:rPr>
            </w:pPr>
            <w:r>
              <w:rPr>
                <w:rFonts w:hint="eastAsia" w:ascii="仿宋" w:hAnsi="仿宋" w:eastAsia="仿宋" w:cs="仿宋"/>
                <w:sz w:val="20"/>
                <w:szCs w:val="20"/>
              </w:rPr>
              <w:t xml:space="preserve"> 技术参数与性能指标</w:t>
            </w:r>
          </w:p>
        </w:tc>
      </w:tr>
      <w:tr w14:paraId="479EBE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569361D4">
            <w:pPr>
              <w:pStyle w:val="8"/>
              <w:rPr>
                <w:rFonts w:hint="eastAsia" w:ascii="仿宋" w:hAnsi="仿宋" w:eastAsia="仿宋" w:cs="仿宋"/>
                <w:sz w:val="20"/>
                <w:szCs w:val="20"/>
              </w:rPr>
            </w:pPr>
            <w:r>
              <w:rPr>
                <w:rFonts w:hint="eastAsia" w:ascii="仿宋" w:hAnsi="仿宋" w:eastAsia="仿宋" w:cs="仿宋"/>
                <w:sz w:val="20"/>
                <w:szCs w:val="20"/>
              </w:rPr>
              <w:t>1</w:t>
            </w:r>
          </w:p>
        </w:tc>
        <w:tc>
          <w:tcPr>
            <w:tcW w:w="717" w:type="dxa"/>
          </w:tcPr>
          <w:p w14:paraId="001CAF3A">
            <w:pPr>
              <w:rPr>
                <w:rFonts w:hint="eastAsia" w:ascii="仿宋" w:hAnsi="仿宋" w:eastAsia="仿宋" w:cs="仿宋"/>
                <w:sz w:val="20"/>
                <w:szCs w:val="20"/>
              </w:rPr>
            </w:pPr>
          </w:p>
        </w:tc>
        <w:tc>
          <w:tcPr>
            <w:tcW w:w="7389" w:type="dxa"/>
          </w:tcPr>
          <w:p w14:paraId="05D8F093">
            <w:pPr>
              <w:pStyle w:val="8"/>
              <w:numPr>
                <w:ilvl w:val="0"/>
                <w:numId w:val="0"/>
              </w:numPr>
              <w:rPr>
                <w:rFonts w:hint="eastAsia" w:ascii="仿宋" w:hAnsi="仿宋" w:eastAsia="仿宋" w:cs="仿宋"/>
                <w:sz w:val="20"/>
                <w:szCs w:val="20"/>
              </w:rPr>
            </w:pPr>
            <w:r>
              <w:rPr>
                <w:rFonts w:hint="eastAsia" w:ascii="仿宋" w:hAnsi="仿宋" w:eastAsia="仿宋" w:cs="仿宋"/>
                <w:sz w:val="20"/>
                <w:szCs w:val="20"/>
                <w:lang w:val="en-US" w:eastAsia="zh-CN"/>
              </w:rPr>
              <w:t>一、</w:t>
            </w:r>
            <w:r>
              <w:rPr>
                <w:rFonts w:hint="eastAsia" w:ascii="仿宋" w:hAnsi="仿宋" w:eastAsia="仿宋" w:cs="仿宋"/>
                <w:sz w:val="20"/>
                <w:szCs w:val="20"/>
              </w:rPr>
              <w:t>计划采购表</w:t>
            </w:r>
          </w:p>
          <w:tbl>
            <w:tblPr>
              <w:tblStyle w:val="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4551"/>
              <w:gridCol w:w="1821"/>
            </w:tblGrid>
            <w:tr w14:paraId="42200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51" w:type="pct"/>
                  <w:noWrap w:val="0"/>
                  <w:vAlign w:val="center"/>
                </w:tcPr>
                <w:p w14:paraId="438BA09E">
                  <w:pPr>
                    <w:numPr>
                      <w:ilvl w:val="0"/>
                      <w:numId w:val="0"/>
                    </w:numPr>
                    <w:jc w:val="center"/>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序号</w:t>
                  </w:r>
                </w:p>
              </w:tc>
              <w:tc>
                <w:tcPr>
                  <w:tcW w:w="3176" w:type="pct"/>
                  <w:noWrap w:val="0"/>
                  <w:vAlign w:val="center"/>
                </w:tcPr>
                <w:p w14:paraId="0CA2AB00">
                  <w:pPr>
                    <w:numPr>
                      <w:ilvl w:val="0"/>
                      <w:numId w:val="0"/>
                    </w:numPr>
                    <w:jc w:val="center"/>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产品</w:t>
                  </w:r>
                </w:p>
              </w:tc>
              <w:tc>
                <w:tcPr>
                  <w:tcW w:w="1271" w:type="pct"/>
                  <w:noWrap w:val="0"/>
                  <w:vAlign w:val="center"/>
                </w:tcPr>
                <w:p w14:paraId="74CFCFC8">
                  <w:pPr>
                    <w:numPr>
                      <w:ilvl w:val="0"/>
                      <w:numId w:val="0"/>
                    </w:numPr>
                    <w:jc w:val="center"/>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备注</w:t>
                  </w:r>
                </w:p>
              </w:tc>
            </w:tr>
            <w:tr w14:paraId="78197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51" w:type="pct"/>
                  <w:noWrap w:val="0"/>
                  <w:vAlign w:val="center"/>
                </w:tcPr>
                <w:p w14:paraId="71F2EF73">
                  <w:pPr>
                    <w:numPr>
                      <w:ilvl w:val="0"/>
                      <w:numId w:val="0"/>
                    </w:numPr>
                    <w:jc w:val="center"/>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1</w:t>
                  </w:r>
                </w:p>
              </w:tc>
              <w:tc>
                <w:tcPr>
                  <w:tcW w:w="3176" w:type="pct"/>
                  <w:noWrap w:val="0"/>
                  <w:vAlign w:val="center"/>
                </w:tcPr>
                <w:p w14:paraId="202AF675">
                  <w:pPr>
                    <w:numPr>
                      <w:ilvl w:val="0"/>
                      <w:numId w:val="0"/>
                    </w:numPr>
                    <w:jc w:val="center"/>
                    <w:rPr>
                      <w:rFonts w:hint="eastAsia" w:ascii="仿宋" w:hAnsi="仿宋" w:eastAsia="仿宋" w:cs="仿宋"/>
                      <w:sz w:val="20"/>
                      <w:szCs w:val="20"/>
                      <w:vertAlign w:val="baseline"/>
                      <w:lang w:val="en-US" w:eastAsia="zh-CN"/>
                    </w:rPr>
                  </w:pPr>
                  <w:r>
                    <w:rPr>
                      <w:rFonts w:hint="eastAsia" w:ascii="仿宋" w:hAnsi="仿宋" w:eastAsia="仿宋" w:cs="仿宋"/>
                      <w:sz w:val="20"/>
                      <w:szCs w:val="20"/>
                      <w:highlight w:val="none"/>
                      <w:vertAlign w:val="baseline"/>
                      <w:lang w:val="en-US" w:eastAsia="zh-CN"/>
                    </w:rPr>
                    <w:t>知网系列数据库</w:t>
                  </w:r>
                </w:p>
              </w:tc>
              <w:tc>
                <w:tcPr>
                  <w:tcW w:w="1271" w:type="pct"/>
                  <w:noWrap w:val="0"/>
                  <w:vAlign w:val="center"/>
                </w:tcPr>
                <w:p w14:paraId="1CD33B9B">
                  <w:pPr>
                    <w:numPr>
                      <w:ilvl w:val="0"/>
                      <w:numId w:val="0"/>
                    </w:numPr>
                    <w:jc w:val="center"/>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满足教科研</w:t>
                  </w:r>
                </w:p>
              </w:tc>
            </w:tr>
            <w:tr w14:paraId="31F30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51" w:type="pct"/>
                  <w:noWrap w:val="0"/>
                  <w:vAlign w:val="center"/>
                </w:tcPr>
                <w:p w14:paraId="6F411139">
                  <w:pPr>
                    <w:numPr>
                      <w:ilvl w:val="0"/>
                      <w:numId w:val="0"/>
                    </w:numPr>
                    <w:jc w:val="center"/>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2</w:t>
                  </w:r>
                </w:p>
              </w:tc>
              <w:tc>
                <w:tcPr>
                  <w:tcW w:w="3176" w:type="pct"/>
                  <w:noWrap w:val="0"/>
                  <w:vAlign w:val="center"/>
                </w:tcPr>
                <w:p w14:paraId="7BBFE01D">
                  <w:pPr>
                    <w:numPr>
                      <w:ilvl w:val="0"/>
                      <w:numId w:val="0"/>
                    </w:numPr>
                    <w:jc w:val="center"/>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掌阅精选数字资源</w:t>
                  </w:r>
                </w:p>
              </w:tc>
              <w:tc>
                <w:tcPr>
                  <w:tcW w:w="1271" w:type="pct"/>
                  <w:vMerge w:val="restart"/>
                  <w:noWrap w:val="0"/>
                  <w:vAlign w:val="center"/>
                </w:tcPr>
                <w:p w14:paraId="535F4348">
                  <w:pPr>
                    <w:numPr>
                      <w:ilvl w:val="0"/>
                      <w:numId w:val="0"/>
                    </w:numPr>
                    <w:jc w:val="center"/>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满足图书达标配比（6:4）</w:t>
                  </w:r>
                </w:p>
              </w:tc>
            </w:tr>
            <w:tr w14:paraId="481E1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51" w:type="pct"/>
                  <w:noWrap w:val="0"/>
                  <w:vAlign w:val="center"/>
                </w:tcPr>
                <w:p w14:paraId="54DD1564">
                  <w:pPr>
                    <w:numPr>
                      <w:ilvl w:val="0"/>
                      <w:numId w:val="0"/>
                    </w:numPr>
                    <w:jc w:val="center"/>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3</w:t>
                  </w:r>
                </w:p>
              </w:tc>
              <w:tc>
                <w:tcPr>
                  <w:tcW w:w="3176" w:type="pct"/>
                  <w:noWrap w:val="0"/>
                  <w:vAlign w:val="center"/>
                </w:tcPr>
                <w:p w14:paraId="44DAD539">
                  <w:pPr>
                    <w:numPr>
                      <w:ilvl w:val="0"/>
                      <w:numId w:val="0"/>
                    </w:numPr>
                    <w:jc w:val="center"/>
                    <w:rPr>
                      <w:rFonts w:hint="eastAsia" w:ascii="仿宋" w:hAnsi="仿宋" w:eastAsia="仿宋" w:cs="仿宋"/>
                      <w:sz w:val="20"/>
                      <w:szCs w:val="20"/>
                      <w:vertAlign w:val="baseline"/>
                      <w:lang w:val="en-US" w:eastAsia="zh-CN"/>
                    </w:rPr>
                  </w:pPr>
                  <w:r>
                    <w:rPr>
                      <w:rFonts w:hint="eastAsia" w:ascii="仿宋" w:hAnsi="仿宋" w:eastAsia="仿宋" w:cs="仿宋"/>
                      <w:bCs/>
                      <w:sz w:val="20"/>
                      <w:szCs w:val="20"/>
                    </w:rPr>
                    <w:t>书香中国阅读</w:t>
                  </w:r>
                  <w:r>
                    <w:rPr>
                      <w:rFonts w:hint="eastAsia" w:ascii="仿宋" w:hAnsi="仿宋" w:eastAsia="仿宋" w:cs="仿宋"/>
                      <w:bCs/>
                      <w:sz w:val="20"/>
                      <w:szCs w:val="20"/>
                      <w:lang w:val="en-US" w:eastAsia="zh-CN"/>
                    </w:rPr>
                    <w:t>资源</w:t>
                  </w:r>
                </w:p>
              </w:tc>
              <w:tc>
                <w:tcPr>
                  <w:tcW w:w="1271" w:type="pct"/>
                  <w:vMerge w:val="continue"/>
                  <w:noWrap w:val="0"/>
                  <w:vAlign w:val="center"/>
                </w:tcPr>
                <w:p w14:paraId="77A4F40A">
                  <w:pPr>
                    <w:numPr>
                      <w:ilvl w:val="0"/>
                      <w:numId w:val="0"/>
                    </w:numPr>
                    <w:jc w:val="center"/>
                    <w:rPr>
                      <w:rFonts w:hint="eastAsia" w:ascii="仿宋" w:hAnsi="仿宋" w:eastAsia="仿宋" w:cs="仿宋"/>
                      <w:sz w:val="20"/>
                      <w:szCs w:val="20"/>
                      <w:vertAlign w:val="baseline"/>
                      <w:lang w:val="en-US" w:eastAsia="zh-CN"/>
                    </w:rPr>
                  </w:pPr>
                </w:p>
              </w:tc>
            </w:tr>
            <w:tr w14:paraId="3C640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51" w:type="pct"/>
                  <w:noWrap w:val="0"/>
                  <w:vAlign w:val="center"/>
                </w:tcPr>
                <w:p w14:paraId="039F48E5">
                  <w:pPr>
                    <w:numPr>
                      <w:ilvl w:val="0"/>
                      <w:numId w:val="0"/>
                    </w:numPr>
                    <w:jc w:val="center"/>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4</w:t>
                  </w:r>
                </w:p>
              </w:tc>
              <w:tc>
                <w:tcPr>
                  <w:tcW w:w="3176" w:type="pct"/>
                  <w:noWrap w:val="0"/>
                  <w:vAlign w:val="center"/>
                </w:tcPr>
                <w:p w14:paraId="2C4C49A4">
                  <w:pPr>
                    <w:numPr>
                      <w:ilvl w:val="0"/>
                      <w:numId w:val="0"/>
                    </w:numPr>
                    <w:jc w:val="center"/>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中科VIPExam考试学习资源数据库</w:t>
                  </w:r>
                </w:p>
              </w:tc>
              <w:tc>
                <w:tcPr>
                  <w:tcW w:w="1271" w:type="pct"/>
                  <w:vMerge w:val="continue"/>
                  <w:noWrap w:val="0"/>
                  <w:vAlign w:val="center"/>
                </w:tcPr>
                <w:p w14:paraId="4223E4C7">
                  <w:pPr>
                    <w:numPr>
                      <w:ilvl w:val="0"/>
                      <w:numId w:val="0"/>
                    </w:numPr>
                    <w:jc w:val="center"/>
                    <w:rPr>
                      <w:rFonts w:hint="eastAsia" w:ascii="仿宋" w:hAnsi="仿宋" w:eastAsia="仿宋" w:cs="仿宋"/>
                      <w:sz w:val="20"/>
                      <w:szCs w:val="20"/>
                      <w:vertAlign w:val="baseline"/>
                      <w:lang w:val="en-US" w:eastAsia="zh-CN"/>
                    </w:rPr>
                  </w:pPr>
                </w:p>
              </w:tc>
            </w:tr>
          </w:tbl>
          <w:p w14:paraId="529A849E">
            <w:pPr>
              <w:pStyle w:val="8"/>
              <w:numPr>
                <w:ilvl w:val="0"/>
                <w:numId w:val="0"/>
              </w:numPr>
              <w:rPr>
                <w:rFonts w:hint="eastAsia" w:ascii="仿宋" w:hAnsi="仿宋" w:eastAsia="仿宋" w:cs="仿宋"/>
                <w:sz w:val="20"/>
                <w:szCs w:val="20"/>
              </w:rPr>
            </w:pPr>
          </w:p>
        </w:tc>
      </w:tr>
      <w:tr w14:paraId="5CC7AD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6FF0AD10">
            <w:pPr>
              <w:pStyle w:val="8"/>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2</w:t>
            </w:r>
          </w:p>
        </w:tc>
        <w:tc>
          <w:tcPr>
            <w:tcW w:w="717" w:type="dxa"/>
          </w:tcPr>
          <w:p w14:paraId="652F57C3">
            <w:pPr>
              <w:rPr>
                <w:rFonts w:hint="eastAsia" w:ascii="仿宋" w:hAnsi="仿宋" w:eastAsia="仿宋" w:cs="仿宋"/>
                <w:sz w:val="20"/>
                <w:szCs w:val="20"/>
              </w:rPr>
            </w:pPr>
          </w:p>
        </w:tc>
        <w:tc>
          <w:tcPr>
            <w:tcW w:w="7389" w:type="dxa"/>
          </w:tcPr>
          <w:p w14:paraId="2049C965">
            <w:pPr>
              <w:pStyle w:val="8"/>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sz w:val="20"/>
                <w:szCs w:val="20"/>
              </w:rPr>
            </w:pPr>
            <w:r>
              <w:rPr>
                <w:rFonts w:hint="eastAsia" w:ascii="仿宋" w:hAnsi="仿宋" w:eastAsia="仿宋" w:cs="仿宋"/>
                <w:sz w:val="20"/>
                <w:szCs w:val="20"/>
                <w:lang w:val="en-US" w:eastAsia="zh-CN"/>
              </w:rPr>
              <w:t>二、</w:t>
            </w:r>
            <w:r>
              <w:rPr>
                <w:rFonts w:hint="eastAsia" w:ascii="仿宋" w:hAnsi="仿宋" w:eastAsia="仿宋" w:cs="仿宋"/>
                <w:sz w:val="20"/>
                <w:szCs w:val="20"/>
              </w:rPr>
              <w:t>电子资源详细采购方案</w:t>
            </w:r>
          </w:p>
          <w:p w14:paraId="3637F3A0">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（一）知网系列数据库</w:t>
            </w:r>
          </w:p>
          <w:p w14:paraId="5F9EC91E">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1.</w:t>
            </w:r>
            <w:r>
              <w:rPr>
                <w:rFonts w:hint="eastAsia" w:ascii="仿宋" w:hAnsi="仿宋" w:eastAsia="仿宋" w:cs="仿宋"/>
                <w:color w:val="auto"/>
                <w:sz w:val="20"/>
                <w:szCs w:val="20"/>
                <w:highlight w:val="none"/>
              </w:rPr>
              <w:t>订购产品</w:t>
            </w:r>
            <w:r>
              <w:rPr>
                <w:rFonts w:hint="eastAsia" w:ascii="仿宋" w:hAnsi="仿宋" w:eastAsia="仿宋" w:cs="仿宋"/>
                <w:color w:val="auto"/>
                <w:sz w:val="20"/>
                <w:szCs w:val="20"/>
                <w:highlight w:val="none"/>
                <w:lang w:val="en-US" w:eastAsia="zh-CN"/>
              </w:rPr>
              <w:t>内容</w:t>
            </w:r>
          </w:p>
          <w:p w14:paraId="07C1CA1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000000"/>
                <w:kern w:val="0"/>
                <w:sz w:val="20"/>
                <w:szCs w:val="20"/>
                <w:lang w:val="en-US" w:eastAsia="zh-CN"/>
              </w:rPr>
            </w:pPr>
            <w:r>
              <w:rPr>
                <w:rFonts w:hint="eastAsia" w:ascii="仿宋" w:hAnsi="仿宋" w:eastAsia="仿宋" w:cs="仿宋"/>
                <w:b/>
                <w:bCs/>
                <w:color w:val="000000"/>
                <w:kern w:val="0"/>
                <w:sz w:val="20"/>
                <w:szCs w:val="20"/>
                <w:lang w:val="en-US" w:eastAsia="zh-CN"/>
              </w:rPr>
              <w:t>2025年订购方案</w:t>
            </w:r>
            <w:bookmarkStart w:id="1" w:name="_Toc17971"/>
            <w:bookmarkStart w:id="2" w:name="_Toc12745"/>
          </w:p>
          <w:tbl>
            <w:tblPr>
              <w:tblStyle w:val="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85"/>
              <w:gridCol w:w="828"/>
              <w:gridCol w:w="1275"/>
              <w:gridCol w:w="771"/>
              <w:gridCol w:w="700"/>
            </w:tblGrid>
            <w:tr w14:paraId="1863F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503" w:type="pct"/>
                  <w:shd w:val="clear" w:color="000000" w:fill="FFFFFF"/>
                  <w:noWrap w:val="0"/>
                  <w:vAlign w:val="center"/>
                </w:tcPr>
                <w:p w14:paraId="2023C21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产品类型</w:t>
                  </w:r>
                </w:p>
              </w:tc>
              <w:tc>
                <w:tcPr>
                  <w:tcW w:w="578" w:type="pct"/>
                  <w:shd w:val="clear" w:color="000000" w:fill="FFFFFF"/>
                  <w:noWrap w:val="0"/>
                  <w:vAlign w:val="center"/>
                </w:tcPr>
                <w:p w14:paraId="452DF12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仿宋" w:hAnsi="仿宋" w:eastAsia="仿宋" w:cs="仿宋"/>
                      <w:b/>
                      <w:bCs/>
                      <w:color w:val="000000"/>
                      <w:kern w:val="0"/>
                      <w:sz w:val="20"/>
                      <w:szCs w:val="20"/>
                      <w:lang w:val="en-US" w:eastAsia="zh-CN"/>
                    </w:rPr>
                  </w:pPr>
                  <w:r>
                    <w:rPr>
                      <w:rFonts w:hint="default" w:ascii="仿宋" w:hAnsi="仿宋" w:eastAsia="仿宋" w:cs="仿宋"/>
                      <w:b/>
                      <w:bCs/>
                      <w:color w:val="000000"/>
                      <w:kern w:val="0"/>
                      <w:sz w:val="20"/>
                      <w:szCs w:val="20"/>
                      <w:lang w:val="en-US" w:eastAsia="zh-CN"/>
                    </w:rPr>
                    <w:t>专辑</w:t>
                  </w:r>
                </w:p>
              </w:tc>
              <w:tc>
                <w:tcPr>
                  <w:tcW w:w="890" w:type="pct"/>
                  <w:shd w:val="clear" w:color="000000" w:fill="FFFFFF"/>
                  <w:noWrap w:val="0"/>
                  <w:vAlign w:val="center"/>
                </w:tcPr>
                <w:p w14:paraId="579D4C8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000000"/>
                      <w:kern w:val="0"/>
                      <w:sz w:val="20"/>
                      <w:szCs w:val="20"/>
                      <w:lang w:val="en-US" w:eastAsia="zh-CN"/>
                    </w:rPr>
                  </w:pPr>
                  <w:r>
                    <w:rPr>
                      <w:rFonts w:hint="eastAsia" w:ascii="仿宋" w:hAnsi="仿宋" w:eastAsia="仿宋" w:cs="仿宋"/>
                      <w:b/>
                      <w:bCs/>
                      <w:color w:val="000000"/>
                      <w:kern w:val="0"/>
                      <w:sz w:val="20"/>
                      <w:szCs w:val="20"/>
                      <w:lang w:val="en-US" w:eastAsia="zh-CN"/>
                    </w:rPr>
                    <w:t>2025年计划出版数量</w:t>
                  </w:r>
                </w:p>
              </w:tc>
              <w:tc>
                <w:tcPr>
                  <w:tcW w:w="538" w:type="pct"/>
                  <w:shd w:val="clear" w:color="000000" w:fill="FFFFFF"/>
                  <w:noWrap w:val="0"/>
                  <w:vAlign w:val="center"/>
                </w:tcPr>
                <w:p w14:paraId="563E843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使用</w:t>
                  </w:r>
                </w:p>
                <w:p w14:paraId="104F587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模式</w:t>
                  </w:r>
                </w:p>
              </w:tc>
              <w:tc>
                <w:tcPr>
                  <w:tcW w:w="488" w:type="pct"/>
                  <w:shd w:val="clear" w:color="000000" w:fill="FFFFFF"/>
                  <w:noWrap w:val="0"/>
                  <w:vAlign w:val="center"/>
                </w:tcPr>
                <w:p w14:paraId="467450F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产品</w:t>
                  </w:r>
                </w:p>
                <w:p w14:paraId="64C38D3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年度</w:t>
                  </w:r>
                </w:p>
              </w:tc>
            </w:tr>
            <w:tr w14:paraId="7B28C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3" w:type="pct"/>
                  <w:shd w:val="clear" w:color="000000" w:fill="FFFFFF"/>
                  <w:noWrap w:val="0"/>
                  <w:vAlign w:val="center"/>
                </w:tcPr>
                <w:p w14:paraId="507E6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《中国期刊全文数据库》</w:t>
                  </w:r>
                </w:p>
              </w:tc>
              <w:tc>
                <w:tcPr>
                  <w:tcW w:w="578" w:type="pct"/>
                  <w:shd w:val="clear" w:color="000000" w:fill="FFFFFF"/>
                  <w:noWrap w:val="0"/>
                  <w:vAlign w:val="center"/>
                </w:tcPr>
                <w:p w14:paraId="389D7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仿宋" w:hAnsi="仿宋" w:eastAsia="仿宋" w:cs="仿宋"/>
                      <w:color w:val="auto"/>
                      <w:kern w:val="0"/>
                      <w:sz w:val="20"/>
                      <w:szCs w:val="20"/>
                      <w:lang w:val="en-US" w:eastAsia="zh-CN"/>
                    </w:rPr>
                  </w:pPr>
                  <w:r>
                    <w:rPr>
                      <w:rFonts w:hint="eastAsia" w:ascii="仿宋" w:hAnsi="仿宋" w:eastAsia="仿宋" w:cs="仿宋"/>
                      <w:color w:val="auto"/>
                      <w:kern w:val="0"/>
                      <w:sz w:val="20"/>
                      <w:szCs w:val="20"/>
                      <w:lang w:val="en-US" w:eastAsia="zh-CN"/>
                    </w:rPr>
                    <w:t>/</w:t>
                  </w:r>
                </w:p>
              </w:tc>
              <w:tc>
                <w:tcPr>
                  <w:tcW w:w="890" w:type="pct"/>
                  <w:shd w:val="clear" w:color="000000" w:fill="FFFFFF"/>
                  <w:noWrap w:val="0"/>
                  <w:vAlign w:val="center"/>
                </w:tcPr>
                <w:p w14:paraId="24DC0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0"/>
                      <w:szCs w:val="20"/>
                      <w:lang w:val="en-US" w:eastAsia="zh-CN"/>
                    </w:rPr>
                  </w:pPr>
                  <w:r>
                    <w:rPr>
                      <w:rFonts w:hint="eastAsia" w:ascii="仿宋" w:hAnsi="仿宋" w:eastAsia="仿宋" w:cs="仿宋"/>
                      <w:color w:val="auto"/>
                      <w:kern w:val="0"/>
                      <w:sz w:val="20"/>
                      <w:szCs w:val="20"/>
                      <w:lang w:val="en-US" w:eastAsia="zh-CN"/>
                    </w:rPr>
                    <w:t>109万篇</w:t>
                  </w:r>
                </w:p>
              </w:tc>
              <w:tc>
                <w:tcPr>
                  <w:tcW w:w="538" w:type="pct"/>
                  <w:vMerge w:val="restart"/>
                  <w:shd w:val="clear" w:color="000000" w:fill="FFFFFF"/>
                  <w:noWrap w:val="0"/>
                  <w:vAlign w:val="center"/>
                </w:tcPr>
                <w:p w14:paraId="78626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云托管</w:t>
                  </w:r>
                </w:p>
                <w:p w14:paraId="743DD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kern w:val="0"/>
                      <w:sz w:val="20"/>
                      <w:szCs w:val="20"/>
                      <w:lang w:val="en-US" w:eastAsia="zh-CN"/>
                    </w:rPr>
                  </w:pPr>
                </w:p>
              </w:tc>
              <w:tc>
                <w:tcPr>
                  <w:tcW w:w="488" w:type="pct"/>
                  <w:vMerge w:val="restart"/>
                  <w:shd w:val="clear" w:color="000000" w:fill="FFFFFF"/>
                  <w:noWrap w:val="0"/>
                  <w:vAlign w:val="center"/>
                </w:tcPr>
                <w:p w14:paraId="62E56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202</w:t>
                  </w:r>
                  <w:r>
                    <w:rPr>
                      <w:rFonts w:hint="eastAsia" w:ascii="仿宋" w:hAnsi="仿宋" w:eastAsia="仿宋" w:cs="仿宋"/>
                      <w:color w:val="000000"/>
                      <w:kern w:val="0"/>
                      <w:sz w:val="20"/>
                      <w:szCs w:val="20"/>
                      <w:lang w:val="en-US" w:eastAsia="zh-CN"/>
                    </w:rPr>
                    <w:t>5</w:t>
                  </w:r>
                  <w:r>
                    <w:rPr>
                      <w:rFonts w:hint="eastAsia" w:ascii="仿宋" w:hAnsi="仿宋" w:eastAsia="仿宋" w:cs="仿宋"/>
                      <w:color w:val="000000"/>
                      <w:kern w:val="0"/>
                      <w:sz w:val="20"/>
                      <w:szCs w:val="20"/>
                    </w:rPr>
                    <w:t>年度</w:t>
                  </w:r>
                </w:p>
              </w:tc>
            </w:tr>
            <w:tr w14:paraId="47CBC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3" w:type="pct"/>
                  <w:shd w:val="clear" w:color="000000" w:fill="FFFFFF"/>
                  <w:noWrap w:val="0"/>
                  <w:vAlign w:val="center"/>
                </w:tcPr>
                <w:p w14:paraId="1A046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《中国博士学位论文全文数据库》</w:t>
                  </w:r>
                </w:p>
              </w:tc>
              <w:tc>
                <w:tcPr>
                  <w:tcW w:w="578" w:type="pct"/>
                  <w:shd w:val="clear" w:color="000000" w:fill="FFFFFF"/>
                  <w:noWrap w:val="0"/>
                  <w:vAlign w:val="center"/>
                </w:tcPr>
                <w:p w14:paraId="3124B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0"/>
                      <w:szCs w:val="20"/>
                    </w:rPr>
                  </w:pPr>
                  <w:r>
                    <w:rPr>
                      <w:rFonts w:hint="eastAsia" w:ascii="仿宋" w:hAnsi="仿宋" w:eastAsia="仿宋" w:cs="仿宋"/>
                      <w:color w:val="auto"/>
                      <w:kern w:val="0"/>
                      <w:sz w:val="20"/>
                      <w:szCs w:val="20"/>
                      <w:lang w:val="en-US" w:eastAsia="zh-CN"/>
                    </w:rPr>
                    <w:t>/</w:t>
                  </w:r>
                </w:p>
              </w:tc>
              <w:tc>
                <w:tcPr>
                  <w:tcW w:w="890" w:type="pct"/>
                  <w:noWrap w:val="0"/>
                  <w:vAlign w:val="center"/>
                </w:tcPr>
                <w:p w14:paraId="4C248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0"/>
                      <w:szCs w:val="20"/>
                      <w:lang w:val="en-US" w:eastAsia="zh-CN"/>
                    </w:rPr>
                  </w:pPr>
                  <w:r>
                    <w:rPr>
                      <w:rFonts w:hint="eastAsia" w:ascii="仿宋" w:hAnsi="仿宋" w:eastAsia="仿宋" w:cs="仿宋"/>
                      <w:color w:val="auto"/>
                      <w:kern w:val="0"/>
                      <w:sz w:val="20"/>
                      <w:szCs w:val="20"/>
                      <w:lang w:val="en-US" w:eastAsia="zh-CN"/>
                    </w:rPr>
                    <w:t>1.4万篇</w:t>
                  </w:r>
                </w:p>
              </w:tc>
              <w:tc>
                <w:tcPr>
                  <w:tcW w:w="538" w:type="pct"/>
                  <w:vMerge w:val="continue"/>
                  <w:noWrap w:val="0"/>
                  <w:vAlign w:val="center"/>
                </w:tcPr>
                <w:p w14:paraId="1C2ED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kern w:val="0"/>
                      <w:sz w:val="20"/>
                      <w:szCs w:val="20"/>
                    </w:rPr>
                  </w:pPr>
                </w:p>
              </w:tc>
              <w:tc>
                <w:tcPr>
                  <w:tcW w:w="488" w:type="pct"/>
                  <w:vMerge w:val="continue"/>
                  <w:noWrap w:val="0"/>
                  <w:vAlign w:val="center"/>
                </w:tcPr>
                <w:p w14:paraId="026E4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kern w:val="0"/>
                      <w:sz w:val="20"/>
                      <w:szCs w:val="20"/>
                    </w:rPr>
                  </w:pPr>
                </w:p>
              </w:tc>
            </w:tr>
            <w:tr w14:paraId="336AF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3" w:type="pct"/>
                  <w:shd w:val="clear" w:color="000000" w:fill="FFFFFF"/>
                  <w:noWrap w:val="0"/>
                  <w:vAlign w:val="center"/>
                </w:tcPr>
                <w:p w14:paraId="2535C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《中国优秀硕士学位论文全文数据库》</w:t>
                  </w:r>
                </w:p>
              </w:tc>
              <w:tc>
                <w:tcPr>
                  <w:tcW w:w="578" w:type="pct"/>
                  <w:shd w:val="clear" w:color="000000" w:fill="FFFFFF"/>
                  <w:noWrap w:val="0"/>
                  <w:vAlign w:val="center"/>
                </w:tcPr>
                <w:p w14:paraId="71F80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0"/>
                      <w:szCs w:val="20"/>
                    </w:rPr>
                  </w:pPr>
                  <w:r>
                    <w:rPr>
                      <w:rFonts w:hint="eastAsia" w:ascii="仿宋" w:hAnsi="仿宋" w:eastAsia="仿宋" w:cs="仿宋"/>
                      <w:color w:val="auto"/>
                      <w:kern w:val="0"/>
                      <w:sz w:val="20"/>
                      <w:szCs w:val="20"/>
                      <w:lang w:val="en-US" w:eastAsia="zh-CN"/>
                    </w:rPr>
                    <w:t>/</w:t>
                  </w:r>
                </w:p>
              </w:tc>
              <w:tc>
                <w:tcPr>
                  <w:tcW w:w="890" w:type="pct"/>
                  <w:noWrap w:val="0"/>
                  <w:vAlign w:val="center"/>
                </w:tcPr>
                <w:p w14:paraId="6D9E7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0"/>
                      <w:szCs w:val="20"/>
                      <w:lang w:val="en-US" w:eastAsia="zh-CN"/>
                    </w:rPr>
                  </w:pPr>
                  <w:r>
                    <w:rPr>
                      <w:rFonts w:hint="eastAsia" w:ascii="仿宋" w:hAnsi="仿宋" w:eastAsia="仿宋" w:cs="仿宋"/>
                      <w:color w:val="auto"/>
                      <w:kern w:val="0"/>
                      <w:sz w:val="20"/>
                      <w:szCs w:val="20"/>
                      <w:lang w:val="en-US" w:eastAsia="zh-CN"/>
                    </w:rPr>
                    <w:t>19万篇</w:t>
                  </w:r>
                </w:p>
              </w:tc>
              <w:tc>
                <w:tcPr>
                  <w:tcW w:w="538" w:type="pct"/>
                  <w:vMerge w:val="continue"/>
                  <w:noWrap w:val="0"/>
                  <w:vAlign w:val="center"/>
                </w:tcPr>
                <w:p w14:paraId="5F086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kern w:val="0"/>
                      <w:sz w:val="20"/>
                      <w:szCs w:val="20"/>
                    </w:rPr>
                  </w:pPr>
                </w:p>
              </w:tc>
              <w:tc>
                <w:tcPr>
                  <w:tcW w:w="488" w:type="pct"/>
                  <w:vMerge w:val="continue"/>
                  <w:noWrap w:val="0"/>
                  <w:vAlign w:val="center"/>
                </w:tcPr>
                <w:p w14:paraId="79CFE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kern w:val="0"/>
                      <w:sz w:val="20"/>
                      <w:szCs w:val="20"/>
                    </w:rPr>
                  </w:pPr>
                </w:p>
              </w:tc>
            </w:tr>
            <w:tr w14:paraId="54FEC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3" w:type="pct"/>
                  <w:shd w:val="clear" w:color="000000" w:fill="FFFFFF"/>
                  <w:noWrap w:val="0"/>
                  <w:vAlign w:val="center"/>
                </w:tcPr>
                <w:p w14:paraId="0EFE9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《中国重要会议论文全文数据库》</w:t>
                  </w:r>
                </w:p>
              </w:tc>
              <w:tc>
                <w:tcPr>
                  <w:tcW w:w="578" w:type="pct"/>
                  <w:shd w:val="clear" w:color="000000" w:fill="FFFFFF"/>
                  <w:noWrap w:val="0"/>
                  <w:vAlign w:val="center"/>
                </w:tcPr>
                <w:p w14:paraId="65867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0"/>
                      <w:szCs w:val="20"/>
                    </w:rPr>
                  </w:pPr>
                  <w:r>
                    <w:rPr>
                      <w:rFonts w:hint="eastAsia" w:ascii="仿宋" w:hAnsi="仿宋" w:eastAsia="仿宋" w:cs="仿宋"/>
                      <w:color w:val="auto"/>
                      <w:kern w:val="0"/>
                      <w:sz w:val="20"/>
                      <w:szCs w:val="20"/>
                      <w:lang w:val="en-US" w:eastAsia="zh-CN"/>
                    </w:rPr>
                    <w:t>/</w:t>
                  </w:r>
                </w:p>
              </w:tc>
              <w:tc>
                <w:tcPr>
                  <w:tcW w:w="890" w:type="pct"/>
                  <w:noWrap w:val="0"/>
                  <w:vAlign w:val="center"/>
                </w:tcPr>
                <w:p w14:paraId="36992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0"/>
                      <w:szCs w:val="20"/>
                      <w:lang w:val="en-US" w:eastAsia="zh-CN"/>
                    </w:rPr>
                  </w:pPr>
                  <w:r>
                    <w:rPr>
                      <w:rFonts w:hint="eastAsia" w:ascii="仿宋" w:hAnsi="仿宋" w:eastAsia="仿宋" w:cs="仿宋"/>
                      <w:color w:val="auto"/>
                      <w:kern w:val="0"/>
                      <w:sz w:val="20"/>
                      <w:szCs w:val="20"/>
                      <w:lang w:val="en-US" w:eastAsia="zh-CN"/>
                    </w:rPr>
                    <w:t>4.7万篇</w:t>
                  </w:r>
                </w:p>
              </w:tc>
              <w:tc>
                <w:tcPr>
                  <w:tcW w:w="538" w:type="pct"/>
                  <w:vMerge w:val="continue"/>
                  <w:noWrap w:val="0"/>
                  <w:vAlign w:val="center"/>
                </w:tcPr>
                <w:p w14:paraId="0DA1E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kern w:val="0"/>
                      <w:sz w:val="20"/>
                      <w:szCs w:val="20"/>
                    </w:rPr>
                  </w:pPr>
                </w:p>
              </w:tc>
              <w:tc>
                <w:tcPr>
                  <w:tcW w:w="488" w:type="pct"/>
                  <w:vMerge w:val="continue"/>
                  <w:noWrap w:val="0"/>
                  <w:vAlign w:val="center"/>
                </w:tcPr>
                <w:p w14:paraId="66A7F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kern w:val="0"/>
                      <w:sz w:val="20"/>
                      <w:szCs w:val="20"/>
                    </w:rPr>
                  </w:pPr>
                </w:p>
              </w:tc>
            </w:tr>
            <w:tr w14:paraId="0350E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3" w:type="pct"/>
                  <w:shd w:val="clear" w:color="000000" w:fill="FFFFFF"/>
                  <w:noWrap w:val="0"/>
                  <w:vAlign w:val="center"/>
                </w:tcPr>
                <w:p w14:paraId="15467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《中国重要报纸全文数据库》</w:t>
                  </w:r>
                </w:p>
              </w:tc>
              <w:tc>
                <w:tcPr>
                  <w:tcW w:w="578" w:type="pct"/>
                  <w:shd w:val="clear" w:color="000000" w:fill="FFFFFF"/>
                  <w:noWrap w:val="0"/>
                  <w:vAlign w:val="center"/>
                </w:tcPr>
                <w:p w14:paraId="415BB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0"/>
                      <w:szCs w:val="20"/>
                    </w:rPr>
                  </w:pPr>
                </w:p>
              </w:tc>
              <w:tc>
                <w:tcPr>
                  <w:tcW w:w="890" w:type="pct"/>
                  <w:noWrap w:val="0"/>
                  <w:vAlign w:val="center"/>
                </w:tcPr>
                <w:p w14:paraId="597DF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0"/>
                      <w:szCs w:val="20"/>
                      <w:lang w:val="en-US" w:eastAsia="zh-CN"/>
                    </w:rPr>
                  </w:pPr>
                  <w:r>
                    <w:rPr>
                      <w:rFonts w:hint="eastAsia" w:ascii="仿宋" w:hAnsi="仿宋" w:eastAsia="仿宋" w:cs="仿宋"/>
                      <w:color w:val="auto"/>
                      <w:kern w:val="0"/>
                      <w:sz w:val="20"/>
                      <w:szCs w:val="20"/>
                      <w:lang w:val="en-US" w:eastAsia="zh-CN"/>
                    </w:rPr>
                    <w:t>57万篇</w:t>
                  </w:r>
                </w:p>
              </w:tc>
              <w:tc>
                <w:tcPr>
                  <w:tcW w:w="538" w:type="pct"/>
                  <w:vMerge w:val="continue"/>
                  <w:noWrap w:val="0"/>
                  <w:vAlign w:val="center"/>
                </w:tcPr>
                <w:p w14:paraId="28D43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kern w:val="0"/>
                      <w:sz w:val="20"/>
                      <w:szCs w:val="20"/>
                    </w:rPr>
                  </w:pPr>
                </w:p>
              </w:tc>
              <w:tc>
                <w:tcPr>
                  <w:tcW w:w="488" w:type="pct"/>
                  <w:vMerge w:val="continue"/>
                  <w:noWrap w:val="0"/>
                  <w:vAlign w:val="center"/>
                </w:tcPr>
                <w:p w14:paraId="3A607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kern w:val="0"/>
                      <w:sz w:val="20"/>
                      <w:szCs w:val="20"/>
                    </w:rPr>
                  </w:pPr>
                </w:p>
              </w:tc>
            </w:tr>
            <w:tr w14:paraId="612FA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3" w:type="pct"/>
                  <w:shd w:val="clear" w:color="000000" w:fill="FFFFFF"/>
                  <w:noWrap w:val="0"/>
                  <w:vAlign w:val="center"/>
                </w:tcPr>
                <w:p w14:paraId="2471B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kern w:val="0"/>
                      <w:sz w:val="20"/>
                      <w:szCs w:val="20"/>
                      <w:lang w:val="en-US" w:eastAsia="zh-CN" w:bidi="ar-SA"/>
                    </w:rPr>
                  </w:pPr>
                  <w:r>
                    <w:rPr>
                      <w:rFonts w:hint="eastAsia" w:ascii="仿宋" w:hAnsi="仿宋" w:eastAsia="仿宋" w:cs="仿宋"/>
                      <w:color w:val="000000"/>
                      <w:kern w:val="0"/>
                      <w:sz w:val="20"/>
                      <w:szCs w:val="20"/>
                      <w:lang w:val="en-US" w:eastAsia="zh-CN"/>
                    </w:rPr>
                    <w:t>漫游账号</w:t>
                  </w:r>
                </w:p>
              </w:tc>
              <w:tc>
                <w:tcPr>
                  <w:tcW w:w="578" w:type="pct"/>
                  <w:shd w:val="clear" w:color="000000" w:fill="FFFFFF"/>
                  <w:noWrap w:val="0"/>
                  <w:vAlign w:val="center"/>
                </w:tcPr>
                <w:p w14:paraId="1BBD1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kern w:val="0"/>
                      <w:sz w:val="20"/>
                      <w:szCs w:val="20"/>
                      <w:lang w:val="en-US" w:eastAsia="zh-CN" w:bidi="ar-SA"/>
                    </w:rPr>
                  </w:pPr>
                  <w:r>
                    <w:rPr>
                      <w:rFonts w:hint="eastAsia" w:ascii="仿宋" w:hAnsi="仿宋" w:eastAsia="仿宋" w:cs="仿宋"/>
                      <w:color w:val="000000"/>
                      <w:kern w:val="0"/>
                      <w:sz w:val="20"/>
                      <w:szCs w:val="20"/>
                      <w:lang w:val="en-US" w:eastAsia="zh-CN"/>
                    </w:rPr>
                    <w:t>100个</w:t>
                  </w:r>
                </w:p>
              </w:tc>
              <w:tc>
                <w:tcPr>
                  <w:tcW w:w="890" w:type="pct"/>
                  <w:noWrap w:val="0"/>
                  <w:vAlign w:val="center"/>
                </w:tcPr>
                <w:p w14:paraId="1156C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kern w:val="0"/>
                      <w:sz w:val="20"/>
                      <w:szCs w:val="20"/>
                      <w:lang w:val="en-US" w:eastAsia="zh-CN"/>
                    </w:rPr>
                  </w:pPr>
                </w:p>
              </w:tc>
              <w:tc>
                <w:tcPr>
                  <w:tcW w:w="538" w:type="pct"/>
                  <w:noWrap w:val="0"/>
                  <w:vAlign w:val="center"/>
                </w:tcPr>
                <w:p w14:paraId="6F1CB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云租用</w:t>
                  </w:r>
                </w:p>
              </w:tc>
              <w:tc>
                <w:tcPr>
                  <w:tcW w:w="488" w:type="pct"/>
                  <w:vMerge w:val="continue"/>
                  <w:noWrap w:val="0"/>
                  <w:vAlign w:val="center"/>
                </w:tcPr>
                <w:p w14:paraId="3063C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kern w:val="0"/>
                      <w:sz w:val="20"/>
                      <w:szCs w:val="20"/>
                    </w:rPr>
                  </w:pPr>
                </w:p>
              </w:tc>
            </w:tr>
          </w:tbl>
          <w:p w14:paraId="03937630">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lang w:val="en-US" w:eastAsia="zh-CN"/>
              </w:rPr>
              <w:t>2.</w:t>
            </w:r>
            <w:bookmarkEnd w:id="1"/>
            <w:bookmarkEnd w:id="2"/>
            <w:r>
              <w:rPr>
                <w:rFonts w:hint="eastAsia" w:ascii="仿宋" w:hAnsi="仿宋" w:eastAsia="仿宋" w:cs="仿宋"/>
                <w:color w:val="auto"/>
                <w:sz w:val="20"/>
                <w:szCs w:val="20"/>
                <w:highlight w:val="none"/>
                <w:lang w:val="en-US" w:eastAsia="zh-CN"/>
              </w:rPr>
              <w:t>功能要求</w:t>
            </w:r>
          </w:p>
          <w:p w14:paraId="05FF08E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0"/>
                <w:szCs w:val="20"/>
              </w:rPr>
            </w:pPr>
            <w:r>
              <w:rPr>
                <w:rFonts w:hint="eastAsia" w:ascii="仿宋" w:hAnsi="仿宋" w:eastAsia="仿宋" w:cs="仿宋"/>
                <w:sz w:val="20"/>
                <w:szCs w:val="20"/>
              </w:rPr>
              <w:t>【中国学术期刊（网络版）（CN11-6037/Z）】</w:t>
            </w:r>
          </w:p>
          <w:p w14:paraId="722F527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0"/>
                <w:szCs w:val="20"/>
              </w:rPr>
            </w:pPr>
            <w:r>
              <w:rPr>
                <w:rFonts w:hint="eastAsia" w:ascii="仿宋" w:hAnsi="仿宋" w:eastAsia="仿宋" w:cs="仿宋"/>
                <w:sz w:val="20"/>
                <w:szCs w:val="20"/>
              </w:rPr>
              <w:t>该库共分十大专辑出版光盘版和网络版，均有正式出版物号（见刊号表）。</w:t>
            </w:r>
          </w:p>
          <w:p w14:paraId="509621D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0"/>
                <w:szCs w:val="20"/>
              </w:rPr>
            </w:pPr>
            <w:r>
              <w:rPr>
                <w:rFonts w:hint="eastAsia" w:ascii="仿宋" w:hAnsi="仿宋" w:eastAsia="仿宋" w:cs="仿宋"/>
                <w:sz w:val="20"/>
                <w:szCs w:val="20"/>
              </w:rPr>
              <w:t>收录范围</w:t>
            </w:r>
            <w:r>
              <w:rPr>
                <w:rFonts w:hint="eastAsia" w:ascii="仿宋" w:hAnsi="仿宋" w:eastAsia="仿宋" w:cs="仿宋"/>
                <w:sz w:val="20"/>
                <w:szCs w:val="20"/>
                <w:lang w:eastAsia="zh-CN"/>
              </w:rPr>
              <w:t>：</w:t>
            </w:r>
            <w:r>
              <w:rPr>
                <w:rFonts w:hint="eastAsia" w:ascii="仿宋" w:hAnsi="仿宋" w:eastAsia="仿宋" w:cs="仿宋"/>
                <w:sz w:val="20"/>
                <w:szCs w:val="20"/>
              </w:rPr>
              <w:t>我国公开出版发行的学术期刊（含英文版）全文文献，包括基础与应用基础研究、技术研究、工程研究、工程与项目管理、技术开发、实用工程技术、行业技术发展与评论、高级科普、学科教育教学类期刊。</w:t>
            </w:r>
          </w:p>
          <w:p w14:paraId="61AD733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0"/>
                <w:szCs w:val="20"/>
              </w:rPr>
            </w:pPr>
            <w:r>
              <w:rPr>
                <w:rFonts w:hint="eastAsia" w:ascii="仿宋" w:hAnsi="仿宋" w:eastAsia="仿宋" w:cs="仿宋"/>
                <w:sz w:val="20"/>
                <w:szCs w:val="20"/>
              </w:rPr>
              <w:t>文献总量</w:t>
            </w:r>
            <w:r>
              <w:rPr>
                <w:rFonts w:hint="eastAsia" w:ascii="仿宋" w:hAnsi="仿宋" w:eastAsia="仿宋" w:cs="仿宋"/>
                <w:sz w:val="20"/>
                <w:szCs w:val="20"/>
                <w:lang w:eastAsia="zh-CN"/>
              </w:rPr>
              <w:t>：</w:t>
            </w:r>
            <w:r>
              <w:rPr>
                <w:rFonts w:hint="eastAsia" w:ascii="仿宋" w:hAnsi="仿宋" w:eastAsia="仿宋" w:cs="仿宋"/>
                <w:sz w:val="20"/>
                <w:szCs w:val="20"/>
              </w:rPr>
              <w:t>截至</w:t>
            </w:r>
            <w:r>
              <w:rPr>
                <w:rFonts w:hint="eastAsia" w:ascii="仿宋" w:hAnsi="仿宋" w:eastAsia="仿宋" w:cs="仿宋"/>
                <w:sz w:val="20"/>
                <w:szCs w:val="20"/>
                <w:lang w:val="en-US" w:eastAsia="zh-CN"/>
              </w:rPr>
              <w:t>202</w:t>
            </w:r>
            <w:r>
              <w:rPr>
                <w:rFonts w:hint="eastAsia" w:ascii="仿宋" w:hAnsi="仿宋" w:eastAsia="仿宋" w:cs="仿宋"/>
                <w:sz w:val="20"/>
                <w:szCs w:val="20"/>
                <w:lang w:val="en-US" w:eastAsia="zh"/>
              </w:rPr>
              <w:t>5</w:t>
            </w:r>
            <w:r>
              <w:rPr>
                <w:rFonts w:hint="eastAsia" w:ascii="仿宋" w:hAnsi="仿宋" w:eastAsia="仿宋" w:cs="仿宋"/>
                <w:sz w:val="20"/>
                <w:szCs w:val="20"/>
              </w:rPr>
              <w:t>年2月</w:t>
            </w:r>
            <w:r>
              <w:rPr>
                <w:rFonts w:hint="eastAsia" w:ascii="仿宋" w:hAnsi="仿宋" w:eastAsia="仿宋" w:cs="仿宋"/>
                <w:sz w:val="20"/>
                <w:szCs w:val="20"/>
                <w:lang w:val="en-US" w:eastAsia="zh-CN"/>
              </w:rPr>
              <w:t>底</w:t>
            </w:r>
            <w:r>
              <w:rPr>
                <w:rFonts w:hint="eastAsia" w:ascii="仿宋" w:hAnsi="仿宋" w:eastAsia="仿宋" w:cs="仿宋"/>
                <w:sz w:val="20"/>
                <w:szCs w:val="20"/>
              </w:rPr>
              <w:t>，</w:t>
            </w:r>
            <w:r>
              <w:rPr>
                <w:rFonts w:hint="eastAsia" w:ascii="仿宋" w:hAnsi="仿宋" w:eastAsia="仿宋" w:cs="仿宋"/>
                <w:sz w:val="20"/>
                <w:szCs w:val="20"/>
                <w:lang w:val="en-US" w:eastAsia="zh-CN"/>
              </w:rPr>
              <w:t>全库</w:t>
            </w:r>
            <w:r>
              <w:rPr>
                <w:rFonts w:hint="eastAsia" w:ascii="仿宋" w:hAnsi="仿宋" w:eastAsia="仿宋" w:cs="仿宋"/>
                <w:sz w:val="20"/>
                <w:szCs w:val="20"/>
              </w:rPr>
              <w:t>累计收录8</w:t>
            </w:r>
            <w:r>
              <w:rPr>
                <w:rFonts w:hint="eastAsia" w:ascii="仿宋" w:hAnsi="仿宋" w:eastAsia="仿宋" w:cs="仿宋"/>
                <w:sz w:val="20"/>
                <w:szCs w:val="20"/>
                <w:lang w:eastAsia="zh"/>
              </w:rPr>
              <w:t>5</w:t>
            </w:r>
            <w:r>
              <w:rPr>
                <w:rFonts w:hint="eastAsia" w:ascii="仿宋" w:hAnsi="仿宋" w:eastAsia="仿宋" w:cs="仿宋"/>
                <w:sz w:val="20"/>
                <w:szCs w:val="20"/>
                <w:lang w:val="en-US" w:eastAsia="zh-CN"/>
              </w:rPr>
              <w:t>00</w:t>
            </w:r>
            <w:r>
              <w:rPr>
                <w:rFonts w:hint="eastAsia" w:ascii="仿宋" w:hAnsi="仿宋" w:eastAsia="仿宋" w:cs="仿宋"/>
                <w:sz w:val="20"/>
                <w:szCs w:val="20"/>
              </w:rPr>
              <w:t>余种期刊，</w:t>
            </w:r>
            <w:r>
              <w:rPr>
                <w:rFonts w:hint="eastAsia" w:ascii="仿宋" w:hAnsi="仿宋" w:eastAsia="仿宋" w:cs="仿宋"/>
                <w:sz w:val="20"/>
                <w:szCs w:val="20"/>
                <w:lang w:val="en-US" w:eastAsia="zh-CN"/>
              </w:rPr>
              <w:t>中文</w:t>
            </w:r>
            <w:r>
              <w:rPr>
                <w:rFonts w:hint="eastAsia" w:ascii="仿宋" w:hAnsi="仿宋" w:eastAsia="仿宋" w:cs="仿宋"/>
                <w:sz w:val="20"/>
                <w:szCs w:val="20"/>
              </w:rPr>
              <w:t>全文文献总量达</w:t>
            </w:r>
            <w:r>
              <w:rPr>
                <w:rFonts w:hint="eastAsia" w:ascii="仿宋" w:hAnsi="仿宋" w:eastAsia="仿宋" w:cs="仿宋"/>
                <w:sz w:val="20"/>
                <w:szCs w:val="20"/>
                <w:lang w:val="en-US" w:eastAsia="zh-CN"/>
              </w:rPr>
              <w:t>6</w:t>
            </w:r>
            <w:r>
              <w:rPr>
                <w:rFonts w:hint="eastAsia" w:ascii="仿宋" w:hAnsi="仿宋" w:eastAsia="仿宋" w:cs="仿宋"/>
                <w:sz w:val="20"/>
                <w:szCs w:val="20"/>
                <w:lang w:val="en-US" w:eastAsia="zh"/>
              </w:rPr>
              <w:t>400余万</w:t>
            </w:r>
            <w:r>
              <w:rPr>
                <w:rFonts w:hint="eastAsia" w:ascii="仿宋" w:hAnsi="仿宋" w:eastAsia="仿宋" w:cs="仿宋"/>
                <w:sz w:val="20"/>
                <w:szCs w:val="20"/>
              </w:rPr>
              <w:t>篇。其中，收录核心期刊1970余种。</w:t>
            </w:r>
            <w:r>
              <w:rPr>
                <w:rFonts w:hint="eastAsia" w:ascii="仿宋" w:hAnsi="仿宋" w:eastAsia="仿宋" w:cs="仿宋"/>
                <w:sz w:val="20"/>
                <w:szCs w:val="20"/>
                <w:lang w:val="en-US" w:eastAsia="zh-CN"/>
              </w:rPr>
              <w:t>202</w:t>
            </w:r>
            <w:r>
              <w:rPr>
                <w:rFonts w:hint="eastAsia" w:ascii="仿宋" w:hAnsi="仿宋" w:eastAsia="仿宋" w:cs="仿宋"/>
                <w:sz w:val="20"/>
                <w:szCs w:val="20"/>
                <w:lang w:val="en-US" w:eastAsia="zh"/>
              </w:rPr>
              <w:t>5</w:t>
            </w:r>
            <w:r>
              <w:rPr>
                <w:rFonts w:hint="eastAsia" w:ascii="仿宋" w:hAnsi="仿宋" w:eastAsia="仿宋" w:cs="仿宋"/>
                <w:sz w:val="20"/>
                <w:szCs w:val="20"/>
              </w:rPr>
              <w:t>年计划出版期刊</w:t>
            </w:r>
            <w:r>
              <w:rPr>
                <w:rFonts w:hint="eastAsia" w:ascii="仿宋" w:hAnsi="仿宋" w:eastAsia="仿宋" w:cs="仿宋"/>
                <w:sz w:val="20"/>
                <w:szCs w:val="20"/>
                <w:lang w:val="en-US" w:eastAsia="zh-CN"/>
              </w:rPr>
              <w:t>6884</w:t>
            </w:r>
            <w:r>
              <w:rPr>
                <w:rFonts w:hint="eastAsia" w:ascii="仿宋" w:hAnsi="仿宋" w:eastAsia="仿宋" w:cs="仿宋"/>
                <w:sz w:val="20"/>
                <w:szCs w:val="20"/>
              </w:rPr>
              <w:t>种，预计出版总文献量</w:t>
            </w:r>
            <w:r>
              <w:rPr>
                <w:rFonts w:hint="eastAsia" w:ascii="仿宋" w:hAnsi="仿宋" w:eastAsia="仿宋" w:cs="仿宋"/>
                <w:sz w:val="20"/>
                <w:szCs w:val="20"/>
                <w:lang w:val="en-US" w:eastAsia="zh-CN"/>
              </w:rPr>
              <w:t>1</w:t>
            </w:r>
            <w:r>
              <w:rPr>
                <w:rFonts w:hint="eastAsia" w:ascii="仿宋" w:hAnsi="仿宋" w:eastAsia="仿宋" w:cs="仿宋"/>
                <w:sz w:val="20"/>
                <w:szCs w:val="20"/>
                <w:lang w:val="en-US" w:eastAsia="zh"/>
              </w:rPr>
              <w:t>65万</w:t>
            </w:r>
            <w:r>
              <w:rPr>
                <w:rFonts w:hint="eastAsia" w:ascii="仿宋" w:hAnsi="仿宋" w:eastAsia="仿宋" w:cs="仿宋"/>
                <w:sz w:val="20"/>
                <w:szCs w:val="20"/>
                <w:lang w:val="en-US" w:eastAsia="zh-CN"/>
              </w:rPr>
              <w:t>余</w:t>
            </w:r>
            <w:r>
              <w:rPr>
                <w:rFonts w:hint="eastAsia" w:ascii="仿宋" w:hAnsi="仿宋" w:eastAsia="仿宋" w:cs="仿宋"/>
                <w:sz w:val="20"/>
                <w:szCs w:val="20"/>
              </w:rPr>
              <w:t>篇。</w:t>
            </w:r>
          </w:p>
          <w:p w14:paraId="41D02A0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0"/>
                <w:szCs w:val="20"/>
              </w:rPr>
            </w:pPr>
            <w:r>
              <w:rPr>
                <w:rFonts w:hint="eastAsia" w:ascii="仿宋" w:hAnsi="仿宋" w:eastAsia="仿宋" w:cs="仿宋"/>
                <w:sz w:val="20"/>
                <w:szCs w:val="20"/>
              </w:rPr>
              <w:t>收录年限</w:t>
            </w:r>
            <w:r>
              <w:rPr>
                <w:rFonts w:hint="eastAsia" w:ascii="仿宋" w:hAnsi="仿宋" w:eastAsia="仿宋" w:cs="仿宋"/>
                <w:sz w:val="20"/>
                <w:szCs w:val="20"/>
                <w:lang w:eastAsia="zh-CN"/>
              </w:rPr>
              <w:t>：</w:t>
            </w:r>
            <w:r>
              <w:rPr>
                <w:rFonts w:hint="eastAsia" w:ascii="仿宋" w:hAnsi="仿宋" w:eastAsia="仿宋" w:cs="仿宋"/>
                <w:sz w:val="20"/>
                <w:szCs w:val="20"/>
              </w:rPr>
              <w:t>1915年至今（4739种期刊收录回溯至创刊）</w:t>
            </w:r>
          </w:p>
          <w:p w14:paraId="03DCAB9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0"/>
                <w:szCs w:val="20"/>
              </w:rPr>
            </w:pPr>
            <w:r>
              <w:rPr>
                <w:rFonts w:hint="eastAsia" w:ascii="仿宋" w:hAnsi="仿宋" w:eastAsia="仿宋" w:cs="仿宋"/>
                <w:sz w:val="20"/>
                <w:szCs w:val="20"/>
              </w:rPr>
              <w:t>期刊文献收录完整率</w:t>
            </w:r>
            <w:r>
              <w:rPr>
                <w:rFonts w:hint="eastAsia" w:ascii="仿宋" w:hAnsi="仿宋" w:eastAsia="仿宋" w:cs="仿宋"/>
                <w:sz w:val="20"/>
                <w:szCs w:val="20"/>
                <w:lang w:eastAsia="zh-CN"/>
              </w:rPr>
              <w:t>：</w:t>
            </w:r>
            <w:r>
              <w:rPr>
                <w:rFonts w:hint="eastAsia" w:ascii="仿宋" w:hAnsi="仿宋" w:eastAsia="仿宋" w:cs="仿宋"/>
                <w:sz w:val="20"/>
                <w:szCs w:val="20"/>
              </w:rPr>
              <w:t>核心期刊、重要评价性数据库来源期刊完整率高于9</w:t>
            </w:r>
            <w:r>
              <w:rPr>
                <w:rFonts w:hint="eastAsia" w:ascii="仿宋" w:hAnsi="仿宋" w:eastAsia="仿宋" w:cs="仿宋"/>
                <w:sz w:val="20"/>
                <w:szCs w:val="20"/>
                <w:lang w:val="en-US" w:eastAsia="zh-CN"/>
              </w:rPr>
              <w:t>8</w:t>
            </w:r>
            <w:r>
              <w:rPr>
                <w:rFonts w:hint="eastAsia" w:ascii="仿宋" w:hAnsi="仿宋" w:eastAsia="仿宋" w:cs="仿宋"/>
                <w:sz w:val="20"/>
                <w:szCs w:val="20"/>
              </w:rPr>
              <w:t>%；</w:t>
            </w:r>
          </w:p>
          <w:p w14:paraId="7DDF861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0"/>
                <w:szCs w:val="20"/>
              </w:rPr>
            </w:pPr>
            <w:r>
              <w:rPr>
                <w:rFonts w:hint="eastAsia" w:ascii="仿宋" w:hAnsi="仿宋" w:eastAsia="仿宋" w:cs="仿宋"/>
                <w:sz w:val="20"/>
                <w:szCs w:val="20"/>
              </w:rPr>
              <w:t>文献期数收录完整率</w:t>
            </w:r>
            <w:r>
              <w:rPr>
                <w:rFonts w:hint="eastAsia" w:ascii="仿宋" w:hAnsi="仿宋" w:eastAsia="仿宋" w:cs="仿宋"/>
                <w:sz w:val="20"/>
                <w:szCs w:val="20"/>
                <w:lang w:eastAsia="zh-CN"/>
              </w:rPr>
              <w:t>：</w:t>
            </w:r>
            <w:r>
              <w:rPr>
                <w:rFonts w:hint="eastAsia" w:ascii="仿宋" w:hAnsi="仿宋" w:eastAsia="仿宋" w:cs="仿宋"/>
                <w:sz w:val="20"/>
                <w:szCs w:val="20"/>
              </w:rPr>
              <w:t>文献收录期数完整率高于99％。</w:t>
            </w:r>
          </w:p>
          <w:p w14:paraId="4BDD15E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0"/>
                <w:szCs w:val="20"/>
              </w:rPr>
            </w:pPr>
            <w:r>
              <w:rPr>
                <w:rFonts w:hint="eastAsia" w:ascii="仿宋" w:hAnsi="仿宋" w:eastAsia="仿宋" w:cs="仿宋"/>
                <w:sz w:val="20"/>
                <w:szCs w:val="20"/>
              </w:rPr>
              <w:t>文献篇数收录完整率</w:t>
            </w:r>
            <w:r>
              <w:rPr>
                <w:rFonts w:hint="eastAsia" w:ascii="仿宋" w:hAnsi="仿宋" w:eastAsia="仿宋" w:cs="仿宋"/>
                <w:sz w:val="20"/>
                <w:szCs w:val="20"/>
                <w:lang w:eastAsia="zh-CN"/>
              </w:rPr>
              <w:t>：</w:t>
            </w:r>
            <w:r>
              <w:rPr>
                <w:rFonts w:hint="eastAsia" w:ascii="仿宋" w:hAnsi="仿宋" w:eastAsia="仿宋" w:cs="仿宋"/>
                <w:sz w:val="20"/>
                <w:szCs w:val="20"/>
              </w:rPr>
              <w:t>文献篇数收录完整率高于99％。</w:t>
            </w:r>
          </w:p>
          <w:p w14:paraId="46DE90B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0"/>
                <w:szCs w:val="20"/>
              </w:rPr>
            </w:pPr>
            <w:r>
              <w:rPr>
                <w:rFonts w:hint="eastAsia" w:ascii="仿宋" w:hAnsi="仿宋" w:eastAsia="仿宋" w:cs="仿宋"/>
                <w:sz w:val="20"/>
                <w:szCs w:val="20"/>
              </w:rPr>
              <w:t>出版时效</w:t>
            </w:r>
            <w:r>
              <w:rPr>
                <w:rFonts w:hint="eastAsia" w:ascii="仿宋" w:hAnsi="仿宋" w:eastAsia="仿宋" w:cs="仿宋"/>
                <w:sz w:val="20"/>
                <w:szCs w:val="20"/>
                <w:lang w:eastAsia="zh-CN"/>
              </w:rPr>
              <w:t>：</w:t>
            </w:r>
            <w:r>
              <w:rPr>
                <w:rFonts w:hint="eastAsia" w:ascii="仿宋" w:hAnsi="仿宋" w:eastAsia="仿宋" w:cs="仿宋"/>
                <w:sz w:val="20"/>
                <w:szCs w:val="20"/>
              </w:rPr>
              <w:t>网络数据实时更新。</w:t>
            </w:r>
            <w:r>
              <w:rPr>
                <w:rFonts w:hint="eastAsia" w:ascii="仿宋" w:hAnsi="仿宋" w:eastAsia="仿宋" w:cs="仿宋"/>
                <w:sz w:val="20"/>
                <w:szCs w:val="20"/>
                <w:lang w:val="en-US" w:eastAsia="zh-CN"/>
              </w:rPr>
              <w:t>网络首发的数字出版模式</w:t>
            </w:r>
            <w:r>
              <w:rPr>
                <w:rFonts w:hint="eastAsia" w:ascii="仿宋" w:hAnsi="仿宋" w:eastAsia="仿宋" w:cs="仿宋"/>
                <w:sz w:val="20"/>
                <w:szCs w:val="20"/>
              </w:rPr>
              <w:t>平均提前</w:t>
            </w:r>
            <w:r>
              <w:rPr>
                <w:rFonts w:hint="eastAsia" w:ascii="仿宋" w:hAnsi="仿宋" w:eastAsia="仿宋" w:cs="仿宋"/>
                <w:sz w:val="20"/>
                <w:szCs w:val="20"/>
                <w:lang w:eastAsia="zh"/>
              </w:rPr>
              <w:t>114</w:t>
            </w:r>
            <w:r>
              <w:rPr>
                <w:rFonts w:hint="eastAsia" w:ascii="仿宋" w:hAnsi="仿宋" w:eastAsia="仿宋" w:cs="仿宋"/>
                <w:sz w:val="20"/>
                <w:szCs w:val="20"/>
              </w:rPr>
              <w:t>天与读者见面。</w:t>
            </w:r>
          </w:p>
          <w:p w14:paraId="18F53F4B">
            <w:pPr>
              <w:bidi w:val="0"/>
              <w:rPr>
                <w:rFonts w:hint="eastAsia" w:ascii="仿宋" w:hAnsi="仿宋" w:eastAsia="仿宋" w:cs="仿宋"/>
                <w:sz w:val="20"/>
                <w:szCs w:val="20"/>
              </w:rPr>
            </w:pPr>
            <w:r>
              <w:rPr>
                <w:rFonts w:hint="eastAsia" w:ascii="仿宋" w:hAnsi="仿宋" w:eastAsia="仿宋" w:cs="仿宋"/>
                <w:sz w:val="20"/>
                <w:szCs w:val="20"/>
              </w:rPr>
              <w:t>更新频率</w:t>
            </w:r>
            <w:r>
              <w:rPr>
                <w:rFonts w:hint="eastAsia" w:ascii="仿宋" w:hAnsi="仿宋" w:eastAsia="仿宋" w:cs="仿宋"/>
                <w:sz w:val="20"/>
                <w:szCs w:val="20"/>
                <w:lang w:eastAsia="zh-CN"/>
              </w:rPr>
              <w:t>：</w:t>
            </w:r>
            <w:r>
              <w:rPr>
                <w:rFonts w:hint="eastAsia" w:ascii="仿宋" w:hAnsi="仿宋" w:eastAsia="仿宋" w:cs="仿宋"/>
                <w:sz w:val="20"/>
                <w:szCs w:val="20"/>
              </w:rPr>
              <w:t>中心网站版实时发布，网络镜像版、光盘版每月更新。</w:t>
            </w:r>
          </w:p>
          <w:p w14:paraId="6677506C">
            <w:pPr>
              <w:bidi w:val="0"/>
              <w:rPr>
                <w:rFonts w:hint="eastAsia" w:ascii="仿宋" w:hAnsi="仿宋" w:eastAsia="仿宋" w:cs="仿宋"/>
                <w:sz w:val="20"/>
                <w:szCs w:val="20"/>
              </w:rPr>
            </w:pPr>
            <w:r>
              <w:rPr>
                <w:rFonts w:hint="eastAsia" w:ascii="仿宋" w:hAnsi="仿宋" w:eastAsia="仿宋" w:cs="仿宋"/>
                <w:sz w:val="20"/>
                <w:szCs w:val="20"/>
              </w:rPr>
              <w:t>导航体系</w:t>
            </w:r>
            <w:r>
              <w:rPr>
                <w:rFonts w:hint="eastAsia" w:ascii="仿宋" w:hAnsi="仿宋" w:eastAsia="仿宋" w:cs="仿宋"/>
                <w:sz w:val="20"/>
                <w:szCs w:val="20"/>
                <w:lang w:eastAsia="zh-CN"/>
              </w:rPr>
              <w:t>：</w:t>
            </w:r>
            <w:r>
              <w:rPr>
                <w:rFonts w:hint="eastAsia" w:ascii="仿宋" w:hAnsi="仿宋" w:eastAsia="仿宋" w:cs="仿宋"/>
                <w:sz w:val="20"/>
                <w:szCs w:val="20"/>
              </w:rPr>
              <w:t>学科导航、卓越期刊导航、数据库刊源导航、主办单位导航、出版周期导航、出版地导航、核心期刊导航、社科基金资助期刊导航。</w:t>
            </w:r>
          </w:p>
          <w:p w14:paraId="7C470AB3">
            <w:pPr>
              <w:bidi w:val="0"/>
              <w:rPr>
                <w:rFonts w:hint="eastAsia" w:ascii="仿宋" w:hAnsi="仿宋" w:eastAsia="仿宋" w:cs="仿宋"/>
                <w:sz w:val="20"/>
                <w:szCs w:val="20"/>
              </w:rPr>
            </w:pPr>
            <w:r>
              <w:rPr>
                <w:rFonts w:hint="eastAsia" w:ascii="仿宋" w:hAnsi="仿宋" w:eastAsia="仿宋" w:cs="仿宋"/>
                <w:sz w:val="20"/>
                <w:szCs w:val="20"/>
              </w:rPr>
              <w:t>检索字段</w:t>
            </w:r>
            <w:r>
              <w:rPr>
                <w:rFonts w:hint="eastAsia" w:ascii="仿宋" w:hAnsi="仿宋" w:eastAsia="仿宋" w:cs="仿宋"/>
                <w:sz w:val="20"/>
                <w:szCs w:val="20"/>
                <w:lang w:eastAsia="zh-CN"/>
              </w:rPr>
              <w:t>：</w:t>
            </w:r>
            <w:r>
              <w:rPr>
                <w:rFonts w:hint="eastAsia" w:ascii="仿宋" w:hAnsi="仿宋" w:eastAsia="仿宋" w:cs="仿宋"/>
                <w:sz w:val="20"/>
                <w:szCs w:val="20"/>
              </w:rPr>
              <w:t>主题、篇关摘、篇名、关键词、摘要</w:t>
            </w:r>
            <w:bookmarkStart w:id="24" w:name="_GoBack"/>
            <w:bookmarkEnd w:id="24"/>
            <w:r>
              <w:rPr>
                <w:rFonts w:hint="eastAsia" w:ascii="仿宋" w:hAnsi="仿宋" w:eastAsia="仿宋" w:cs="仿宋"/>
                <w:sz w:val="20"/>
                <w:szCs w:val="20"/>
              </w:rPr>
              <w:t>、小标题、全文、参考文献、中图分类号、DOI、栏目信息、基金、作者、第一作者、通讯作者、作者单位、第一单位、期刊名称、年、期、ISSN、CN、来源类别。</w:t>
            </w:r>
          </w:p>
          <w:p w14:paraId="17DB85D6">
            <w:pPr>
              <w:bidi w:val="0"/>
              <w:rPr>
                <w:rFonts w:hint="eastAsia" w:ascii="仿宋" w:hAnsi="仿宋" w:eastAsia="仿宋" w:cs="仿宋"/>
                <w:sz w:val="20"/>
                <w:szCs w:val="20"/>
              </w:rPr>
            </w:pPr>
            <w:r>
              <w:rPr>
                <w:rFonts w:hint="eastAsia" w:ascii="仿宋" w:hAnsi="仿宋" w:eastAsia="仿宋" w:cs="仿宋"/>
                <w:sz w:val="20"/>
                <w:szCs w:val="20"/>
              </w:rPr>
              <w:t>知网节模块</w:t>
            </w:r>
            <w:r>
              <w:rPr>
                <w:rFonts w:hint="eastAsia" w:ascii="仿宋" w:hAnsi="仿宋" w:eastAsia="仿宋" w:cs="仿宋"/>
                <w:sz w:val="20"/>
                <w:szCs w:val="20"/>
                <w:lang w:eastAsia="zh-CN"/>
              </w:rPr>
              <w:t>：</w:t>
            </w:r>
            <w:r>
              <w:rPr>
                <w:rFonts w:hint="eastAsia" w:ascii="仿宋" w:hAnsi="仿宋" w:eastAsia="仿宋" w:cs="仿宋"/>
                <w:sz w:val="20"/>
                <w:szCs w:val="20"/>
              </w:rPr>
              <w:t>“知网节”是以揭示不同文献或知识之间的关联关系为目标，以某篇文献或者某个知识点为中心的知识网络。它通过文献或知识的聚类功能，将不同文献或知识之间的内在关系进行有机整合，将CNKI数据库中期刊、学位论文、报纸、会议论文、图书等不同类型的文献进行关联，在此基础上，进一步形成了文献知网节、作者知网节、基金知网节、机构知网节等，从而构建系统的知识网络和内容解释体系。</w:t>
            </w:r>
          </w:p>
          <w:p w14:paraId="2F3B375B">
            <w:pPr>
              <w:bidi w:val="0"/>
              <w:rPr>
                <w:rFonts w:hint="eastAsia" w:ascii="仿宋" w:hAnsi="仿宋" w:eastAsia="仿宋" w:cs="仿宋"/>
                <w:sz w:val="20"/>
                <w:szCs w:val="20"/>
              </w:rPr>
            </w:pPr>
            <w:r>
              <w:rPr>
                <w:rFonts w:hint="eastAsia" w:ascii="仿宋" w:hAnsi="仿宋" w:eastAsia="仿宋" w:cs="仿宋"/>
                <w:sz w:val="20"/>
                <w:szCs w:val="20"/>
              </w:rPr>
              <w:t>检索结果处理</w:t>
            </w:r>
            <w:r>
              <w:rPr>
                <w:rFonts w:hint="eastAsia" w:ascii="仿宋" w:hAnsi="仿宋" w:eastAsia="仿宋" w:cs="仿宋"/>
                <w:sz w:val="20"/>
                <w:szCs w:val="20"/>
                <w:lang w:eastAsia="zh-CN"/>
              </w:rPr>
              <w:t>：</w:t>
            </w:r>
            <w:r>
              <w:rPr>
                <w:rFonts w:hint="eastAsia" w:ascii="仿宋" w:hAnsi="仿宋" w:eastAsia="仿宋" w:cs="仿宋"/>
                <w:sz w:val="20"/>
                <w:szCs w:val="20"/>
              </w:rPr>
              <w:t>支持通过分组排序检索结果进行进一步筛选，可按照主题（主要主题、次要主题）、年度、研究层次、期刊、来源类别、学科、基金、作者、机构</w:t>
            </w:r>
            <w:r>
              <w:rPr>
                <w:rFonts w:hint="eastAsia" w:ascii="仿宋" w:hAnsi="仿宋" w:eastAsia="仿宋" w:cs="仿宋"/>
                <w:sz w:val="20"/>
                <w:szCs w:val="20"/>
                <w:lang w:eastAsia="zh-CN"/>
              </w:rPr>
              <w:t>、</w:t>
            </w:r>
            <w:r>
              <w:rPr>
                <w:rFonts w:hint="eastAsia" w:ascii="仿宋" w:hAnsi="仿宋" w:eastAsia="仿宋" w:cs="仿宋"/>
                <w:sz w:val="20"/>
                <w:szCs w:val="20"/>
                <w:lang w:val="en-US" w:eastAsia="zh-CN"/>
              </w:rPr>
              <w:t>OA出版</w:t>
            </w:r>
            <w:r>
              <w:rPr>
                <w:rFonts w:hint="eastAsia" w:ascii="仿宋" w:hAnsi="仿宋" w:eastAsia="仿宋" w:cs="仿宋"/>
                <w:sz w:val="20"/>
                <w:szCs w:val="20"/>
              </w:rPr>
              <w:t>等条件进行分组聚类，并且对于检索结果还能够按照相关度、发表时间、被引频次、下载频次</w:t>
            </w:r>
            <w:r>
              <w:rPr>
                <w:rFonts w:hint="eastAsia" w:ascii="仿宋" w:hAnsi="仿宋" w:eastAsia="仿宋" w:cs="仿宋"/>
                <w:sz w:val="20"/>
                <w:szCs w:val="20"/>
                <w:lang w:eastAsia="zh-CN"/>
              </w:rPr>
              <w:t>、</w:t>
            </w:r>
            <w:r>
              <w:rPr>
                <w:rFonts w:hint="eastAsia" w:ascii="仿宋" w:hAnsi="仿宋" w:eastAsia="仿宋" w:cs="仿宋"/>
                <w:sz w:val="20"/>
                <w:szCs w:val="20"/>
                <w:lang w:val="en-US" w:eastAsia="zh-CN"/>
              </w:rPr>
              <w:t>综合</w:t>
            </w:r>
            <w:r>
              <w:rPr>
                <w:rFonts w:hint="eastAsia" w:ascii="仿宋" w:hAnsi="仿宋" w:eastAsia="仿宋" w:cs="仿宋"/>
                <w:sz w:val="20"/>
                <w:szCs w:val="20"/>
              </w:rPr>
              <w:t>进行排序。提供批量下载、按多种格式导出文献、可视化分析、在线阅读功能方便读者使用文献。</w:t>
            </w:r>
          </w:p>
          <w:p w14:paraId="428A9697">
            <w:pPr>
              <w:bidi w:val="0"/>
              <w:rPr>
                <w:rFonts w:hint="eastAsia" w:ascii="仿宋" w:hAnsi="仿宋" w:eastAsia="仿宋" w:cs="仿宋"/>
                <w:sz w:val="20"/>
                <w:szCs w:val="20"/>
                <w:lang w:eastAsia="zh-CN"/>
              </w:rPr>
            </w:pPr>
            <w:r>
              <w:rPr>
                <w:rFonts w:hint="eastAsia" w:ascii="仿宋" w:hAnsi="仿宋" w:eastAsia="仿宋" w:cs="仿宋"/>
                <w:sz w:val="20"/>
                <w:szCs w:val="20"/>
              </w:rPr>
              <w:t>刊号表</w:t>
            </w:r>
            <w:r>
              <w:rPr>
                <w:rFonts w:hint="eastAsia" w:ascii="仿宋" w:hAnsi="仿宋" w:eastAsia="仿宋" w:cs="仿宋"/>
                <w:sz w:val="20"/>
                <w:szCs w:val="20"/>
                <w:lang w:eastAsia="zh-CN"/>
              </w:rPr>
              <w:t>：</w:t>
            </w:r>
          </w:p>
          <w:p w14:paraId="2F0B9483">
            <w:pPr>
              <w:tabs>
                <w:tab w:val="left" w:pos="1830"/>
              </w:tabs>
              <w:spacing w:line="360" w:lineRule="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drawing>
                <wp:anchor distT="0" distB="0" distL="114300" distR="114300" simplePos="0" relativeHeight="251659264" behindDoc="0" locked="0" layoutInCell="1" allowOverlap="1">
                  <wp:simplePos x="0" y="0"/>
                  <wp:positionH relativeFrom="column">
                    <wp:posOffset>437515</wp:posOffset>
                  </wp:positionH>
                  <wp:positionV relativeFrom="paragraph">
                    <wp:posOffset>22860</wp:posOffset>
                  </wp:positionV>
                  <wp:extent cx="3638550" cy="1970405"/>
                  <wp:effectExtent l="0" t="0" r="0" b="1079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638550" cy="1970405"/>
                          </a:xfrm>
                          <a:prstGeom prst="rect">
                            <a:avLst/>
                          </a:prstGeom>
                          <a:noFill/>
                          <a:ln>
                            <a:noFill/>
                          </a:ln>
                        </pic:spPr>
                      </pic:pic>
                    </a:graphicData>
                  </a:graphic>
                </wp:anchor>
              </w:drawing>
            </w:r>
          </w:p>
          <w:p w14:paraId="1285DB07">
            <w:pPr>
              <w:bidi w:val="0"/>
              <w:rPr>
                <w:rFonts w:hint="eastAsia" w:ascii="仿宋" w:hAnsi="仿宋" w:eastAsia="仿宋" w:cs="仿宋"/>
                <w:sz w:val="20"/>
                <w:szCs w:val="20"/>
              </w:rPr>
            </w:pPr>
            <w:r>
              <w:rPr>
                <w:rFonts w:hint="eastAsia" w:ascii="仿宋" w:hAnsi="仿宋" w:eastAsia="仿宋" w:cs="仿宋"/>
                <w:sz w:val="20"/>
                <w:szCs w:val="20"/>
              </w:rPr>
              <w:t>网络首发：网络首发是指先将论文网络出版，按出版网址和发布时间确认论文首发权，之后将论文全部或其根文本在期刊印刷版出版的出版方式。按照首发时的编辑状态分为3种：录用定稿、排版定稿、整期定稿。202</w:t>
            </w:r>
            <w:r>
              <w:rPr>
                <w:rFonts w:hint="eastAsia" w:ascii="仿宋" w:hAnsi="仿宋" w:eastAsia="仿宋" w:cs="仿宋"/>
                <w:sz w:val="20"/>
                <w:szCs w:val="20"/>
                <w:lang w:eastAsia="zh"/>
              </w:rPr>
              <w:t>4</w:t>
            </w:r>
            <w:r>
              <w:rPr>
                <w:rFonts w:hint="eastAsia" w:ascii="仿宋" w:hAnsi="仿宋" w:eastAsia="仿宋" w:cs="仿宋"/>
                <w:sz w:val="20"/>
                <w:szCs w:val="20"/>
              </w:rPr>
              <w:t>年，中国知网遴选高质量期刊及学科特色期刊开展网络首发，年网络首发文献量</w:t>
            </w:r>
            <w:r>
              <w:rPr>
                <w:rFonts w:hint="eastAsia" w:ascii="仿宋" w:hAnsi="仿宋" w:eastAsia="仿宋" w:cs="仿宋"/>
                <w:sz w:val="20"/>
                <w:szCs w:val="20"/>
                <w:lang w:eastAsia="zh"/>
              </w:rPr>
              <w:t>20</w:t>
            </w:r>
            <w:r>
              <w:rPr>
                <w:rFonts w:hint="eastAsia" w:ascii="仿宋" w:hAnsi="仿宋" w:eastAsia="仿宋" w:cs="仿宋"/>
                <w:sz w:val="20"/>
                <w:szCs w:val="20"/>
              </w:rPr>
              <w:t>万篇，截至202</w:t>
            </w:r>
            <w:r>
              <w:rPr>
                <w:rFonts w:hint="eastAsia" w:ascii="仿宋" w:hAnsi="仿宋" w:eastAsia="仿宋" w:cs="仿宋"/>
                <w:sz w:val="20"/>
                <w:szCs w:val="20"/>
                <w:lang w:eastAsia="zh"/>
              </w:rPr>
              <w:t>4</w:t>
            </w:r>
            <w:r>
              <w:rPr>
                <w:rFonts w:hint="eastAsia" w:ascii="仿宋" w:hAnsi="仿宋" w:eastAsia="仿宋" w:cs="仿宋"/>
                <w:sz w:val="20"/>
                <w:szCs w:val="20"/>
              </w:rPr>
              <w:t>年</w:t>
            </w:r>
            <w:r>
              <w:rPr>
                <w:rFonts w:hint="eastAsia" w:ascii="仿宋" w:hAnsi="仿宋" w:eastAsia="仿宋" w:cs="仿宋"/>
                <w:sz w:val="20"/>
                <w:szCs w:val="20"/>
                <w:lang w:val="en-US" w:eastAsia="zh-CN"/>
              </w:rPr>
              <w:t>1</w:t>
            </w:r>
            <w:r>
              <w:rPr>
                <w:rFonts w:hint="eastAsia" w:ascii="仿宋" w:hAnsi="仿宋" w:eastAsia="仿宋" w:cs="仿宋"/>
                <w:sz w:val="20"/>
                <w:szCs w:val="20"/>
                <w:lang w:val="en-US" w:eastAsia="zh"/>
              </w:rPr>
              <w:t>1</w:t>
            </w:r>
            <w:r>
              <w:rPr>
                <w:rFonts w:hint="eastAsia" w:ascii="仿宋" w:hAnsi="仿宋" w:eastAsia="仿宋" w:cs="仿宋"/>
                <w:sz w:val="20"/>
                <w:szCs w:val="20"/>
              </w:rPr>
              <w:t>月底累计首发发文</w:t>
            </w:r>
            <w:r>
              <w:rPr>
                <w:rFonts w:hint="eastAsia" w:ascii="仿宋" w:hAnsi="仿宋" w:eastAsia="仿宋" w:cs="仿宋"/>
                <w:sz w:val="20"/>
                <w:szCs w:val="20"/>
                <w:lang w:eastAsia="zh"/>
              </w:rPr>
              <w:t>10</w:t>
            </w:r>
            <w:r>
              <w:rPr>
                <w:rFonts w:hint="eastAsia" w:ascii="仿宋" w:hAnsi="仿宋" w:eastAsia="仿宋" w:cs="仿宋"/>
                <w:sz w:val="20"/>
                <w:szCs w:val="20"/>
                <w:lang w:val="en-US" w:eastAsia="zh-CN"/>
              </w:rPr>
              <w:t>7</w:t>
            </w:r>
            <w:r>
              <w:rPr>
                <w:rFonts w:hint="eastAsia" w:ascii="仿宋" w:hAnsi="仿宋" w:eastAsia="仿宋" w:cs="仿宋"/>
                <w:sz w:val="20"/>
                <w:szCs w:val="20"/>
              </w:rPr>
              <w:t>万余篇，提升了高质量学术期刊的传播时效性。</w:t>
            </w:r>
          </w:p>
          <w:p w14:paraId="626D541B">
            <w:pPr>
              <w:bidi w:val="0"/>
              <w:rPr>
                <w:rFonts w:hint="eastAsia" w:ascii="仿宋" w:hAnsi="仿宋" w:eastAsia="仿宋" w:cs="仿宋"/>
                <w:sz w:val="20"/>
                <w:szCs w:val="20"/>
                <w:lang w:eastAsia="zh-CN"/>
              </w:rPr>
            </w:pPr>
            <w:r>
              <w:rPr>
                <w:rFonts w:hint="eastAsia" w:ascii="仿宋" w:hAnsi="仿宋" w:eastAsia="仿宋" w:cs="仿宋"/>
                <w:sz w:val="20"/>
                <w:szCs w:val="20"/>
              </w:rPr>
              <w:t>增强出版：指将根文本以及与之关联的其他数字资源经过组织和封装，形成一个有内在联系的复合数字作品的数字出版方式。其作品称为增强出版论文。其中的根文本部分可以用印刷方式或数字方式刊出，但增强内容仅通过网络呈现</w:t>
            </w:r>
            <w:r>
              <w:rPr>
                <w:rFonts w:hint="eastAsia" w:ascii="仿宋" w:hAnsi="仿宋" w:eastAsia="仿宋" w:cs="仿宋"/>
                <w:sz w:val="20"/>
                <w:szCs w:val="20"/>
                <w:lang w:eastAsia="zh-CN"/>
              </w:rPr>
              <w:t>。</w:t>
            </w:r>
          </w:p>
          <w:p w14:paraId="4E0B2F6A">
            <w:pPr>
              <w:bidi w:val="0"/>
              <w:rPr>
                <w:rFonts w:hint="eastAsia" w:ascii="仿宋" w:hAnsi="仿宋" w:eastAsia="仿宋" w:cs="仿宋"/>
                <w:color w:val="auto"/>
                <w:sz w:val="20"/>
                <w:szCs w:val="20"/>
                <w:highlight w:val="none"/>
              </w:rPr>
            </w:pPr>
            <w:r>
              <w:rPr>
                <w:rFonts w:hint="eastAsia" w:ascii="仿宋" w:hAnsi="仿宋" w:eastAsia="仿宋" w:cs="仿宋"/>
                <w:sz w:val="20"/>
                <w:szCs w:val="20"/>
              </w:rPr>
              <w:t>期刊视频：2015年12月，学术期刊视频上线。学术期刊视频</w:t>
            </w:r>
            <w:r>
              <w:rPr>
                <w:rFonts w:hint="eastAsia" w:ascii="仿宋" w:hAnsi="仿宋" w:eastAsia="仿宋" w:cs="仿宋"/>
                <w:sz w:val="20"/>
                <w:szCs w:val="20"/>
                <w:lang w:val="en-US" w:eastAsia="zh-CN"/>
              </w:rPr>
              <w:t>是</w:t>
            </w:r>
            <w:r>
              <w:rPr>
                <w:rFonts w:hint="eastAsia" w:ascii="仿宋" w:hAnsi="仿宋" w:eastAsia="仿宋" w:cs="仿宋"/>
                <w:sz w:val="20"/>
                <w:szCs w:val="20"/>
              </w:rPr>
              <w:t>将电子期刊内的视频加工制作上网，主要包括医学类学术报告、手术操作实例等内容。</w:t>
            </w:r>
          </w:p>
          <w:p w14:paraId="28E03ECB">
            <w:pPr>
              <w:bidi w:val="0"/>
              <w:rPr>
                <w:rFonts w:hint="eastAsia" w:ascii="仿宋" w:hAnsi="仿宋" w:eastAsia="仿宋" w:cs="仿宋"/>
                <w:sz w:val="20"/>
                <w:szCs w:val="20"/>
                <w:lang w:val="en-US" w:eastAsia="zh-CN"/>
              </w:rPr>
            </w:pPr>
            <w:bookmarkStart w:id="3" w:name="_Toc1714"/>
            <w:r>
              <w:rPr>
                <w:rFonts w:hint="eastAsia" w:ascii="仿宋" w:hAnsi="仿宋" w:eastAsia="仿宋" w:cs="仿宋"/>
                <w:sz w:val="20"/>
                <w:szCs w:val="20"/>
                <w:lang w:val="en-US" w:eastAsia="zh-CN"/>
              </w:rPr>
              <w:t>【中国博士学位论文全文数据库（CDFD）】</w:t>
            </w:r>
            <w:bookmarkEnd w:id="3"/>
          </w:p>
          <w:p w14:paraId="211BE13B">
            <w:pPr>
              <w:bidi w:val="0"/>
              <w:rPr>
                <w:rFonts w:hint="eastAsia" w:ascii="仿宋" w:hAnsi="仿宋" w:eastAsia="仿宋" w:cs="仿宋"/>
                <w:sz w:val="20"/>
                <w:szCs w:val="20"/>
              </w:rPr>
            </w:pPr>
            <w:r>
              <w:rPr>
                <w:rFonts w:hint="eastAsia" w:ascii="仿宋" w:hAnsi="仿宋" w:eastAsia="仿宋" w:cs="仿宋"/>
                <w:sz w:val="20"/>
                <w:szCs w:val="20"/>
              </w:rPr>
              <w:t>《中国博士学位论文全文数据库》是目前国内资源完备、质量上乘、连续动态更新的中国博士学位论文全文数据库，覆盖基础科学、工程技术、农业、医学、哲学、人文、社会科学等各个领域。</w:t>
            </w:r>
          </w:p>
          <w:p w14:paraId="47C5D575">
            <w:pPr>
              <w:bidi w:val="0"/>
              <w:rPr>
                <w:rFonts w:hint="eastAsia" w:ascii="仿宋" w:hAnsi="仿宋" w:eastAsia="仿宋" w:cs="仿宋"/>
                <w:sz w:val="20"/>
                <w:szCs w:val="20"/>
              </w:rPr>
            </w:pPr>
            <w:r>
              <w:rPr>
                <w:rFonts w:hint="eastAsia" w:ascii="仿宋" w:hAnsi="仿宋" w:eastAsia="仿宋" w:cs="仿宋"/>
                <w:sz w:val="20"/>
                <w:szCs w:val="20"/>
              </w:rPr>
              <w:t>刊号</w:t>
            </w:r>
            <w:r>
              <w:rPr>
                <w:rFonts w:hint="eastAsia" w:ascii="仿宋" w:hAnsi="仿宋" w:eastAsia="仿宋" w:cs="仿宋"/>
                <w:sz w:val="20"/>
                <w:szCs w:val="20"/>
                <w:lang w:eastAsia="zh-CN"/>
              </w:rPr>
              <w:t>：</w:t>
            </w:r>
            <w:r>
              <w:rPr>
                <w:rFonts w:hint="eastAsia" w:ascii="仿宋" w:hAnsi="仿宋" w:eastAsia="仿宋" w:cs="仿宋"/>
                <w:sz w:val="20"/>
                <w:szCs w:val="20"/>
                <w:lang w:val="en-US" w:eastAsia="zh-CN"/>
              </w:rPr>
              <w:t>国内</w:t>
            </w:r>
            <w:r>
              <w:rPr>
                <w:rFonts w:hint="eastAsia" w:ascii="仿宋" w:hAnsi="仿宋" w:eastAsia="仿宋" w:cs="仿宋"/>
                <w:sz w:val="20"/>
                <w:szCs w:val="20"/>
              </w:rPr>
              <w:t xml:space="preserve">统一刊号：CN 11-9133/G  </w:t>
            </w:r>
          </w:p>
          <w:p w14:paraId="11420FB9">
            <w:pPr>
              <w:bidi w:val="0"/>
              <w:rPr>
                <w:rFonts w:hint="eastAsia" w:ascii="仿宋" w:hAnsi="仿宋" w:eastAsia="仿宋" w:cs="仿宋"/>
                <w:sz w:val="20"/>
                <w:szCs w:val="20"/>
              </w:rPr>
            </w:pPr>
            <w:r>
              <w:rPr>
                <w:rFonts w:hint="eastAsia" w:ascii="仿宋" w:hAnsi="仿宋" w:eastAsia="仿宋" w:cs="仿宋"/>
                <w:sz w:val="20"/>
                <w:szCs w:val="20"/>
              </w:rPr>
              <w:t xml:space="preserve">    </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国际标准刊号：ISSN 1674-022X</w:t>
            </w:r>
          </w:p>
          <w:p w14:paraId="6C506460">
            <w:pPr>
              <w:bidi w:val="0"/>
              <w:rPr>
                <w:rFonts w:hint="eastAsia" w:ascii="仿宋" w:hAnsi="仿宋" w:eastAsia="仿宋" w:cs="仿宋"/>
                <w:sz w:val="20"/>
                <w:szCs w:val="20"/>
              </w:rPr>
            </w:pPr>
            <w:r>
              <w:rPr>
                <w:rFonts w:hint="eastAsia" w:ascii="仿宋" w:hAnsi="仿宋" w:eastAsia="仿宋" w:cs="仿宋"/>
                <w:sz w:val="20"/>
                <w:szCs w:val="20"/>
              </w:rPr>
              <w:t>收录范围</w:t>
            </w:r>
            <w:r>
              <w:rPr>
                <w:rFonts w:hint="eastAsia" w:ascii="仿宋" w:hAnsi="仿宋" w:eastAsia="仿宋" w:cs="仿宋"/>
                <w:sz w:val="20"/>
                <w:szCs w:val="20"/>
                <w:lang w:eastAsia="zh-CN"/>
              </w:rPr>
              <w:t>：</w:t>
            </w:r>
            <w:r>
              <w:rPr>
                <w:rFonts w:hint="eastAsia" w:ascii="仿宋" w:hAnsi="仿宋" w:eastAsia="仿宋" w:cs="仿宋"/>
                <w:sz w:val="20"/>
                <w:szCs w:val="20"/>
              </w:rPr>
              <w:t>具有博士学位授予权的研究生培养单位的博士学位论文（涉及国家保密的论文除外）。</w:t>
            </w:r>
          </w:p>
          <w:p w14:paraId="31CA63E6">
            <w:pPr>
              <w:bidi w:val="0"/>
              <w:rPr>
                <w:rFonts w:hint="eastAsia" w:ascii="仿宋" w:hAnsi="仿宋" w:eastAsia="仿宋" w:cs="仿宋"/>
                <w:sz w:val="20"/>
                <w:szCs w:val="20"/>
              </w:rPr>
            </w:pPr>
            <w:r>
              <w:rPr>
                <w:rFonts w:hint="eastAsia" w:ascii="仿宋" w:hAnsi="仿宋" w:eastAsia="仿宋" w:cs="仿宋"/>
                <w:sz w:val="20"/>
                <w:szCs w:val="20"/>
              </w:rPr>
              <w:t>文献总量</w:t>
            </w:r>
            <w:r>
              <w:rPr>
                <w:rFonts w:hint="eastAsia" w:ascii="仿宋" w:hAnsi="仿宋" w:eastAsia="仿宋" w:cs="仿宋"/>
                <w:sz w:val="20"/>
                <w:szCs w:val="20"/>
                <w:lang w:eastAsia="zh-CN"/>
              </w:rPr>
              <w:t>：</w:t>
            </w:r>
            <w:r>
              <w:rPr>
                <w:rFonts w:hint="eastAsia" w:ascii="仿宋" w:hAnsi="仿宋" w:eastAsia="仿宋" w:cs="仿宋"/>
                <w:sz w:val="20"/>
                <w:szCs w:val="20"/>
              </w:rPr>
              <w:t>截止</w:t>
            </w:r>
            <w:r>
              <w:rPr>
                <w:rFonts w:hint="eastAsia" w:ascii="仿宋" w:hAnsi="仿宋" w:eastAsia="仿宋" w:cs="仿宋"/>
                <w:sz w:val="20"/>
                <w:szCs w:val="20"/>
                <w:lang w:val="en-US" w:eastAsia="zh-CN"/>
              </w:rPr>
              <w:t>2024年11月</w:t>
            </w:r>
            <w:r>
              <w:rPr>
                <w:rFonts w:hint="eastAsia" w:ascii="仿宋" w:hAnsi="仿宋" w:eastAsia="仿宋" w:cs="仿宋"/>
                <w:sz w:val="20"/>
                <w:szCs w:val="20"/>
              </w:rPr>
              <w:t>，</w:t>
            </w:r>
            <w:r>
              <w:rPr>
                <w:rFonts w:hint="eastAsia" w:ascii="仿宋" w:hAnsi="仿宋" w:eastAsia="仿宋" w:cs="仿宋"/>
                <w:sz w:val="20"/>
                <w:szCs w:val="20"/>
                <w:lang w:val="en-US" w:eastAsia="zh-CN"/>
              </w:rPr>
              <w:t>全库</w:t>
            </w:r>
            <w:r>
              <w:rPr>
                <w:rFonts w:hint="eastAsia" w:ascii="仿宋" w:hAnsi="仿宋" w:eastAsia="仿宋" w:cs="仿宋"/>
                <w:sz w:val="20"/>
                <w:szCs w:val="20"/>
              </w:rPr>
              <w:t>收录博士学位论文</w:t>
            </w:r>
            <w:r>
              <w:rPr>
                <w:rFonts w:hint="eastAsia" w:ascii="仿宋" w:hAnsi="仿宋" w:eastAsia="仿宋" w:cs="仿宋"/>
                <w:sz w:val="20"/>
                <w:szCs w:val="20"/>
                <w:lang w:val="en-US" w:eastAsia="zh-CN"/>
              </w:rPr>
              <w:t>59.7</w:t>
            </w:r>
            <w:r>
              <w:rPr>
                <w:rFonts w:hint="eastAsia" w:ascii="仿宋" w:hAnsi="仿宋" w:eastAsia="仿宋" w:cs="仿宋"/>
                <w:sz w:val="20"/>
                <w:szCs w:val="20"/>
              </w:rPr>
              <w:t>万余篇。</w:t>
            </w:r>
            <w:r>
              <w:rPr>
                <w:rFonts w:hint="eastAsia" w:ascii="仿宋" w:hAnsi="仿宋" w:eastAsia="仿宋" w:cs="仿宋"/>
                <w:sz w:val="20"/>
                <w:szCs w:val="20"/>
                <w:lang w:val="en-US" w:eastAsia="zh-CN"/>
              </w:rPr>
              <w:t>2025</w:t>
            </w:r>
            <w:r>
              <w:rPr>
                <w:rFonts w:hint="eastAsia" w:ascii="仿宋" w:hAnsi="仿宋" w:eastAsia="仿宋" w:cs="仿宋"/>
                <w:sz w:val="20"/>
                <w:szCs w:val="20"/>
              </w:rPr>
              <w:t>年计划出版</w:t>
            </w:r>
            <w:r>
              <w:rPr>
                <w:rFonts w:hint="eastAsia" w:ascii="仿宋" w:hAnsi="仿宋" w:eastAsia="仿宋" w:cs="仿宋"/>
                <w:sz w:val="20"/>
                <w:szCs w:val="20"/>
                <w:lang w:val="en-US" w:eastAsia="zh-CN"/>
              </w:rPr>
              <w:t>3.8</w:t>
            </w:r>
            <w:r>
              <w:rPr>
                <w:rFonts w:hint="eastAsia" w:ascii="仿宋" w:hAnsi="仿宋" w:eastAsia="仿宋" w:cs="仿宋"/>
                <w:sz w:val="20"/>
                <w:szCs w:val="20"/>
              </w:rPr>
              <w:t>万篇</w:t>
            </w:r>
          </w:p>
          <w:p w14:paraId="59F0296F">
            <w:pPr>
              <w:bidi w:val="0"/>
              <w:rPr>
                <w:rFonts w:hint="eastAsia" w:ascii="仿宋" w:hAnsi="仿宋" w:eastAsia="仿宋" w:cs="仿宋"/>
                <w:sz w:val="20"/>
                <w:szCs w:val="20"/>
              </w:rPr>
            </w:pPr>
            <w:r>
              <w:rPr>
                <w:rFonts w:hint="eastAsia" w:ascii="仿宋" w:hAnsi="仿宋" w:eastAsia="仿宋" w:cs="仿宋"/>
                <w:sz w:val="20"/>
                <w:szCs w:val="20"/>
              </w:rPr>
              <w:t>收录年限</w:t>
            </w:r>
            <w:r>
              <w:rPr>
                <w:rFonts w:hint="eastAsia" w:ascii="仿宋" w:hAnsi="仿宋" w:eastAsia="仿宋" w:cs="仿宋"/>
                <w:sz w:val="20"/>
                <w:szCs w:val="20"/>
                <w:lang w:val="en-US" w:eastAsia="zh-CN"/>
              </w:rPr>
              <w:t>：</w:t>
            </w:r>
            <w:r>
              <w:rPr>
                <w:rFonts w:hint="eastAsia" w:ascii="仿宋" w:hAnsi="仿宋" w:eastAsia="仿宋" w:cs="仿宋"/>
                <w:sz w:val="20"/>
                <w:szCs w:val="20"/>
              </w:rPr>
              <w:t>从1984年至今的博士学位论文。</w:t>
            </w:r>
          </w:p>
          <w:p w14:paraId="55BAF27B">
            <w:pPr>
              <w:bidi w:val="0"/>
              <w:rPr>
                <w:rFonts w:hint="eastAsia" w:ascii="仿宋" w:hAnsi="仿宋" w:eastAsia="仿宋" w:cs="仿宋"/>
                <w:sz w:val="20"/>
                <w:szCs w:val="20"/>
              </w:rPr>
            </w:pPr>
            <w:r>
              <w:rPr>
                <w:rFonts w:hint="eastAsia" w:ascii="仿宋" w:hAnsi="仿宋" w:eastAsia="仿宋" w:cs="仿宋"/>
                <w:sz w:val="20"/>
                <w:szCs w:val="20"/>
              </w:rPr>
              <w:t>文献来源完整率</w:t>
            </w:r>
            <w:r>
              <w:rPr>
                <w:rFonts w:hint="eastAsia" w:ascii="仿宋" w:hAnsi="仿宋" w:eastAsia="仿宋" w:cs="仿宋"/>
                <w:sz w:val="20"/>
                <w:szCs w:val="20"/>
                <w:lang w:val="en-US" w:eastAsia="zh-CN"/>
              </w:rPr>
              <w:t>：</w:t>
            </w:r>
            <w:r>
              <w:rPr>
                <w:rFonts w:hint="eastAsia" w:ascii="仿宋" w:hAnsi="仿宋" w:eastAsia="仿宋" w:cs="仿宋"/>
                <w:sz w:val="20"/>
                <w:szCs w:val="20"/>
              </w:rPr>
              <w:t>收录来自</w:t>
            </w:r>
            <w:r>
              <w:rPr>
                <w:rFonts w:hint="eastAsia" w:ascii="仿宋" w:hAnsi="仿宋" w:eastAsia="仿宋" w:cs="仿宋"/>
                <w:sz w:val="20"/>
                <w:szCs w:val="20"/>
                <w:lang w:val="en-US" w:eastAsia="zh-CN"/>
              </w:rPr>
              <w:t>530</w:t>
            </w:r>
            <w:r>
              <w:rPr>
                <w:rFonts w:hint="eastAsia" w:ascii="仿宋" w:hAnsi="仿宋" w:eastAsia="仿宋" w:cs="仿宋"/>
                <w:sz w:val="20"/>
                <w:szCs w:val="20"/>
              </w:rPr>
              <w:t>余家博士培养单位（涉及国家保密的单位除外）的博士学位论文。“双一流”建设高校覆盖率达到100%。国家重点学科覆盖率达98%，收全率达9</w:t>
            </w:r>
            <w:r>
              <w:rPr>
                <w:rFonts w:hint="eastAsia" w:ascii="仿宋" w:hAnsi="仿宋" w:eastAsia="仿宋" w:cs="仿宋"/>
                <w:sz w:val="20"/>
                <w:szCs w:val="20"/>
                <w:lang w:val="en-US" w:eastAsia="zh-CN"/>
              </w:rPr>
              <w:t>0</w:t>
            </w:r>
            <w:r>
              <w:rPr>
                <w:rFonts w:hint="eastAsia" w:ascii="仿宋" w:hAnsi="仿宋" w:eastAsia="仿宋" w:cs="仿宋"/>
                <w:sz w:val="20"/>
                <w:szCs w:val="20"/>
              </w:rPr>
              <w:t>%。特色学科覆盖率达100%，收全率9</w:t>
            </w:r>
            <w:r>
              <w:rPr>
                <w:rFonts w:hint="eastAsia" w:ascii="仿宋" w:hAnsi="仿宋" w:eastAsia="仿宋" w:cs="仿宋"/>
                <w:sz w:val="20"/>
                <w:szCs w:val="20"/>
                <w:lang w:val="en-US" w:eastAsia="zh-CN"/>
              </w:rPr>
              <w:t>0</w:t>
            </w:r>
            <w:r>
              <w:rPr>
                <w:rFonts w:hint="eastAsia" w:ascii="仿宋" w:hAnsi="仿宋" w:eastAsia="仿宋" w:cs="仿宋"/>
                <w:sz w:val="20"/>
                <w:szCs w:val="20"/>
              </w:rPr>
              <w:t>%。</w:t>
            </w:r>
          </w:p>
          <w:p w14:paraId="32365E4F">
            <w:pPr>
              <w:bidi w:val="0"/>
              <w:rPr>
                <w:rFonts w:hint="eastAsia" w:ascii="仿宋" w:hAnsi="仿宋" w:eastAsia="仿宋" w:cs="仿宋"/>
                <w:sz w:val="20"/>
                <w:szCs w:val="20"/>
              </w:rPr>
            </w:pPr>
            <w:r>
              <w:rPr>
                <w:rFonts w:hint="eastAsia" w:ascii="仿宋" w:hAnsi="仿宋" w:eastAsia="仿宋" w:cs="仿宋"/>
                <w:sz w:val="20"/>
                <w:szCs w:val="20"/>
              </w:rPr>
              <w:t>文献收录完整率</w:t>
            </w:r>
            <w:r>
              <w:rPr>
                <w:rFonts w:hint="eastAsia" w:ascii="仿宋" w:hAnsi="仿宋" w:eastAsia="仿宋" w:cs="仿宋"/>
                <w:sz w:val="20"/>
                <w:szCs w:val="20"/>
                <w:lang w:val="en-US" w:eastAsia="zh-CN"/>
              </w:rPr>
              <w:t>：</w:t>
            </w:r>
            <w:r>
              <w:rPr>
                <w:rFonts w:hint="eastAsia" w:ascii="仿宋" w:hAnsi="仿宋" w:eastAsia="仿宋" w:cs="仿宋"/>
                <w:sz w:val="20"/>
                <w:szCs w:val="20"/>
              </w:rPr>
              <w:t>201</w:t>
            </w:r>
            <w:r>
              <w:rPr>
                <w:rFonts w:hint="eastAsia" w:ascii="仿宋" w:hAnsi="仿宋" w:eastAsia="仿宋" w:cs="仿宋"/>
                <w:sz w:val="20"/>
                <w:szCs w:val="20"/>
                <w:lang w:eastAsia="zh"/>
              </w:rPr>
              <w:t>7</w:t>
            </w:r>
            <w:r>
              <w:rPr>
                <w:rFonts w:hint="eastAsia" w:ascii="仿宋" w:hAnsi="仿宋" w:eastAsia="仿宋" w:cs="仿宋"/>
                <w:sz w:val="20"/>
                <w:szCs w:val="20"/>
              </w:rPr>
              <w:t>年、201</w:t>
            </w:r>
            <w:r>
              <w:rPr>
                <w:rFonts w:hint="eastAsia" w:ascii="仿宋" w:hAnsi="仿宋" w:eastAsia="仿宋" w:cs="仿宋"/>
                <w:sz w:val="20"/>
                <w:szCs w:val="20"/>
                <w:lang w:eastAsia="zh"/>
              </w:rPr>
              <w:t>8</w:t>
            </w:r>
            <w:r>
              <w:rPr>
                <w:rFonts w:hint="eastAsia" w:ascii="仿宋" w:hAnsi="仿宋" w:eastAsia="仿宋" w:cs="仿宋"/>
                <w:sz w:val="20"/>
                <w:szCs w:val="20"/>
              </w:rPr>
              <w:t>年、201</w:t>
            </w:r>
            <w:r>
              <w:rPr>
                <w:rFonts w:hint="eastAsia" w:ascii="仿宋" w:hAnsi="仿宋" w:eastAsia="仿宋" w:cs="仿宋"/>
                <w:sz w:val="20"/>
                <w:szCs w:val="20"/>
                <w:lang w:eastAsia="zh"/>
              </w:rPr>
              <w:t>9</w:t>
            </w:r>
            <w:r>
              <w:rPr>
                <w:rFonts w:hint="eastAsia" w:ascii="仿宋" w:hAnsi="仿宋" w:eastAsia="仿宋" w:cs="仿宋"/>
                <w:sz w:val="20"/>
                <w:szCs w:val="20"/>
              </w:rPr>
              <w:t>年、20</w:t>
            </w:r>
            <w:r>
              <w:rPr>
                <w:rFonts w:hint="eastAsia" w:ascii="仿宋" w:hAnsi="仿宋" w:eastAsia="仿宋" w:cs="仿宋"/>
                <w:sz w:val="20"/>
                <w:szCs w:val="20"/>
                <w:lang w:eastAsia="zh"/>
              </w:rPr>
              <w:t>20</w:t>
            </w:r>
            <w:r>
              <w:rPr>
                <w:rFonts w:hint="eastAsia" w:ascii="仿宋" w:hAnsi="仿宋" w:eastAsia="仿宋" w:cs="仿宋"/>
                <w:sz w:val="20"/>
                <w:szCs w:val="20"/>
              </w:rPr>
              <w:t>年、20</w:t>
            </w:r>
            <w:r>
              <w:rPr>
                <w:rFonts w:hint="eastAsia" w:ascii="仿宋" w:hAnsi="仿宋" w:eastAsia="仿宋" w:cs="仿宋"/>
                <w:sz w:val="20"/>
                <w:szCs w:val="20"/>
                <w:lang w:val="en-US" w:eastAsia="zh-CN"/>
              </w:rPr>
              <w:t>2</w:t>
            </w:r>
            <w:r>
              <w:rPr>
                <w:rFonts w:hint="eastAsia" w:ascii="仿宋" w:hAnsi="仿宋" w:eastAsia="仿宋" w:cs="仿宋"/>
                <w:sz w:val="20"/>
                <w:szCs w:val="20"/>
                <w:lang w:val="en-US" w:eastAsia="zh"/>
              </w:rPr>
              <w:t>1</w:t>
            </w:r>
            <w:r>
              <w:rPr>
                <w:rFonts w:hint="eastAsia" w:ascii="仿宋" w:hAnsi="仿宋" w:eastAsia="仿宋" w:cs="仿宋"/>
                <w:sz w:val="20"/>
                <w:szCs w:val="20"/>
              </w:rPr>
              <w:t>年、202</w:t>
            </w:r>
            <w:r>
              <w:rPr>
                <w:rFonts w:hint="eastAsia" w:ascii="仿宋" w:hAnsi="仿宋" w:eastAsia="仿宋" w:cs="仿宋"/>
                <w:sz w:val="20"/>
                <w:szCs w:val="20"/>
                <w:lang w:eastAsia="zh"/>
              </w:rPr>
              <w:t>2</w:t>
            </w:r>
            <w:r>
              <w:rPr>
                <w:rFonts w:hint="eastAsia" w:ascii="仿宋" w:hAnsi="仿宋" w:eastAsia="仿宋" w:cs="仿宋"/>
                <w:sz w:val="20"/>
                <w:szCs w:val="20"/>
              </w:rPr>
              <w:t>年、202</w:t>
            </w:r>
            <w:r>
              <w:rPr>
                <w:rFonts w:hint="eastAsia" w:ascii="仿宋" w:hAnsi="仿宋" w:eastAsia="仿宋" w:cs="仿宋"/>
                <w:sz w:val="20"/>
                <w:szCs w:val="20"/>
                <w:lang w:eastAsia="zh"/>
              </w:rPr>
              <w:t>3</w:t>
            </w:r>
            <w:r>
              <w:rPr>
                <w:rFonts w:hint="eastAsia" w:ascii="仿宋" w:hAnsi="仿宋" w:eastAsia="仿宋" w:cs="仿宋"/>
                <w:sz w:val="20"/>
                <w:szCs w:val="20"/>
              </w:rPr>
              <w:t>年、202</w:t>
            </w:r>
            <w:r>
              <w:rPr>
                <w:rFonts w:hint="eastAsia" w:ascii="仿宋" w:hAnsi="仿宋" w:eastAsia="仿宋" w:cs="仿宋"/>
                <w:sz w:val="20"/>
                <w:szCs w:val="20"/>
                <w:lang w:eastAsia="zh"/>
              </w:rPr>
              <w:t>4</w:t>
            </w:r>
            <w:r>
              <w:rPr>
                <w:rFonts w:hint="eastAsia" w:ascii="仿宋" w:hAnsi="仿宋" w:eastAsia="仿宋" w:cs="仿宋"/>
                <w:sz w:val="20"/>
                <w:szCs w:val="20"/>
              </w:rPr>
              <w:t>年博士学位论文出版数量占全国当年可公开出版的博士学位论文总量的</w:t>
            </w:r>
            <w:r>
              <w:rPr>
                <w:rFonts w:hint="eastAsia" w:ascii="仿宋" w:hAnsi="仿宋" w:eastAsia="仿宋" w:cs="仿宋"/>
                <w:sz w:val="20"/>
                <w:szCs w:val="20"/>
                <w:lang w:val="en-US" w:eastAsia="zh-CN"/>
              </w:rPr>
              <w:t>85</w:t>
            </w:r>
            <w:r>
              <w:rPr>
                <w:rFonts w:hint="eastAsia" w:ascii="仿宋" w:hAnsi="仿宋" w:eastAsia="仿宋" w:cs="仿宋"/>
                <w:sz w:val="20"/>
                <w:szCs w:val="20"/>
              </w:rPr>
              <w:t>％以上。</w:t>
            </w:r>
          </w:p>
          <w:p w14:paraId="5D525CA2">
            <w:pPr>
              <w:bidi w:val="0"/>
              <w:rPr>
                <w:rFonts w:hint="eastAsia" w:ascii="仿宋" w:hAnsi="仿宋" w:eastAsia="仿宋" w:cs="仿宋"/>
                <w:sz w:val="20"/>
                <w:szCs w:val="20"/>
              </w:rPr>
            </w:pPr>
            <w:r>
              <w:rPr>
                <w:rFonts w:hint="eastAsia" w:ascii="仿宋" w:hAnsi="仿宋" w:eastAsia="仿宋" w:cs="仿宋"/>
                <w:sz w:val="20"/>
                <w:szCs w:val="20"/>
              </w:rPr>
              <w:t>出版时效</w:t>
            </w:r>
            <w:r>
              <w:rPr>
                <w:rFonts w:hint="eastAsia" w:ascii="仿宋" w:hAnsi="仿宋" w:eastAsia="仿宋" w:cs="仿宋"/>
                <w:sz w:val="20"/>
                <w:szCs w:val="20"/>
                <w:lang w:val="en-US" w:eastAsia="zh-CN"/>
              </w:rPr>
              <w:t>：</w:t>
            </w:r>
            <w:r>
              <w:rPr>
                <w:rFonts w:hint="eastAsia" w:ascii="仿宋" w:hAnsi="仿宋" w:eastAsia="仿宋" w:cs="仿宋"/>
                <w:sz w:val="20"/>
                <w:szCs w:val="20"/>
              </w:rPr>
              <w:t>论文按篇出版，平均不晚于授予学位之后2个月。</w:t>
            </w:r>
          </w:p>
          <w:p w14:paraId="799FE13B">
            <w:pPr>
              <w:bidi w:val="0"/>
              <w:rPr>
                <w:rFonts w:hint="eastAsia" w:ascii="仿宋" w:hAnsi="仿宋" w:eastAsia="仿宋" w:cs="仿宋"/>
                <w:sz w:val="20"/>
                <w:szCs w:val="20"/>
              </w:rPr>
            </w:pPr>
            <w:r>
              <w:rPr>
                <w:rFonts w:hint="eastAsia" w:ascii="仿宋" w:hAnsi="仿宋" w:eastAsia="仿宋" w:cs="仿宋"/>
                <w:sz w:val="20"/>
                <w:szCs w:val="20"/>
              </w:rPr>
              <w:t>更新频率</w:t>
            </w:r>
            <w:r>
              <w:rPr>
                <w:rFonts w:hint="eastAsia" w:ascii="仿宋" w:hAnsi="仿宋" w:eastAsia="仿宋" w:cs="仿宋"/>
                <w:sz w:val="20"/>
                <w:szCs w:val="20"/>
                <w:lang w:val="en-US" w:eastAsia="zh-CN"/>
              </w:rPr>
              <w:t>：</w:t>
            </w:r>
            <w:r>
              <w:rPr>
                <w:rFonts w:hint="eastAsia" w:ascii="仿宋" w:hAnsi="仿宋" w:eastAsia="仿宋" w:cs="仿宋"/>
                <w:sz w:val="20"/>
                <w:szCs w:val="20"/>
              </w:rPr>
              <w:t>1、实时更新：云租用、云托管、云机构馆托管。</w:t>
            </w:r>
          </w:p>
          <w:p w14:paraId="0A0EB0AF">
            <w:pPr>
              <w:bidi w:val="0"/>
              <w:rPr>
                <w:rFonts w:hint="eastAsia" w:ascii="仿宋" w:hAnsi="仿宋" w:eastAsia="仿宋" w:cs="仿宋"/>
                <w:sz w:val="20"/>
                <w:szCs w:val="20"/>
              </w:rPr>
            </w:pP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2、月出版：镜像版，每月10日出版。</w:t>
            </w:r>
          </w:p>
          <w:p w14:paraId="1BEB43E3">
            <w:pPr>
              <w:bidi w:val="0"/>
              <w:rPr>
                <w:rFonts w:hint="eastAsia" w:ascii="仿宋" w:hAnsi="仿宋" w:eastAsia="仿宋" w:cs="仿宋"/>
                <w:sz w:val="20"/>
                <w:szCs w:val="20"/>
              </w:rPr>
            </w:pPr>
            <w:r>
              <w:rPr>
                <w:rFonts w:hint="eastAsia" w:ascii="仿宋" w:hAnsi="仿宋" w:eastAsia="仿宋" w:cs="仿宋"/>
                <w:sz w:val="20"/>
                <w:szCs w:val="20"/>
              </w:rPr>
              <w:t>导航体系</w:t>
            </w:r>
            <w:r>
              <w:rPr>
                <w:rFonts w:hint="eastAsia" w:ascii="仿宋" w:hAnsi="仿宋" w:eastAsia="仿宋" w:cs="仿宋"/>
                <w:sz w:val="20"/>
                <w:szCs w:val="20"/>
                <w:lang w:val="en-US" w:eastAsia="zh-CN"/>
              </w:rPr>
              <w:t>：</w:t>
            </w:r>
            <w:r>
              <w:rPr>
                <w:rFonts w:hint="eastAsia" w:ascii="仿宋" w:hAnsi="仿宋" w:eastAsia="仿宋" w:cs="仿宋"/>
                <w:sz w:val="20"/>
                <w:szCs w:val="20"/>
              </w:rPr>
              <w:t>学位授予单位导航</w:t>
            </w:r>
            <w:r>
              <w:rPr>
                <w:rFonts w:hint="eastAsia" w:ascii="仿宋" w:hAnsi="仿宋" w:eastAsia="仿宋" w:cs="仿宋"/>
                <w:sz w:val="20"/>
                <w:szCs w:val="20"/>
                <w:lang w:eastAsia="zh-CN"/>
              </w:rPr>
              <w:t>（</w:t>
            </w:r>
            <w:r>
              <w:rPr>
                <w:rFonts w:hint="eastAsia" w:ascii="仿宋" w:hAnsi="仿宋" w:eastAsia="仿宋" w:cs="仿宋"/>
                <w:sz w:val="20"/>
                <w:szCs w:val="20"/>
              </w:rPr>
              <w:t>包括</w:t>
            </w:r>
            <w:r>
              <w:rPr>
                <w:rFonts w:hint="eastAsia" w:ascii="仿宋" w:hAnsi="仿宋" w:eastAsia="仿宋" w:cs="仿宋"/>
                <w:sz w:val="20"/>
                <w:szCs w:val="20"/>
                <w:lang w:val="en-US" w:eastAsia="zh-CN"/>
              </w:rPr>
              <w:t>一流高校及学科导航、地域导航、学术型学科专业导航、专业型学科专业</w:t>
            </w:r>
            <w:r>
              <w:rPr>
                <w:rFonts w:hint="eastAsia" w:ascii="仿宋" w:hAnsi="仿宋" w:eastAsia="仿宋" w:cs="仿宋"/>
                <w:sz w:val="20"/>
                <w:szCs w:val="20"/>
              </w:rPr>
              <w:t>导航</w:t>
            </w:r>
            <w:r>
              <w:rPr>
                <w:rFonts w:hint="eastAsia" w:ascii="仿宋" w:hAnsi="仿宋" w:eastAsia="仿宋" w:cs="仿宋"/>
                <w:sz w:val="20"/>
                <w:szCs w:val="20"/>
                <w:lang w:eastAsia="zh-CN"/>
              </w:rPr>
              <w:t>）</w:t>
            </w:r>
            <w:r>
              <w:rPr>
                <w:rFonts w:hint="eastAsia" w:ascii="仿宋" w:hAnsi="仿宋" w:eastAsia="仿宋" w:cs="仿宋"/>
                <w:sz w:val="20"/>
                <w:szCs w:val="20"/>
              </w:rPr>
              <w:t>、文献分类导航</w:t>
            </w:r>
            <w:r>
              <w:rPr>
                <w:rFonts w:hint="eastAsia" w:ascii="仿宋" w:hAnsi="仿宋" w:eastAsia="仿宋" w:cs="仿宋"/>
                <w:sz w:val="20"/>
                <w:szCs w:val="20"/>
                <w:lang w:eastAsia="zh-CN"/>
              </w:rPr>
              <w:t>（</w:t>
            </w:r>
            <w:r>
              <w:rPr>
                <w:rFonts w:hint="eastAsia" w:ascii="仿宋" w:hAnsi="仿宋" w:eastAsia="仿宋" w:cs="仿宋"/>
                <w:sz w:val="20"/>
                <w:szCs w:val="20"/>
                <w:lang w:val="en-US" w:eastAsia="zh-CN"/>
              </w:rPr>
              <w:t>包括专辑专题</w:t>
            </w:r>
            <w:r>
              <w:rPr>
                <w:rFonts w:hint="eastAsia" w:ascii="仿宋" w:hAnsi="仿宋" w:eastAsia="仿宋" w:cs="仿宋"/>
                <w:sz w:val="20"/>
                <w:szCs w:val="20"/>
              </w:rPr>
              <w:t>导航</w:t>
            </w:r>
            <w:r>
              <w:rPr>
                <w:rFonts w:hint="eastAsia" w:ascii="仿宋" w:hAnsi="仿宋" w:eastAsia="仿宋" w:cs="仿宋"/>
                <w:sz w:val="20"/>
                <w:szCs w:val="20"/>
                <w:lang w:eastAsia="zh-CN"/>
              </w:rPr>
              <w:t>、</w:t>
            </w:r>
            <w:r>
              <w:rPr>
                <w:rFonts w:hint="eastAsia" w:ascii="仿宋" w:hAnsi="仿宋" w:eastAsia="仿宋" w:cs="仿宋"/>
                <w:sz w:val="20"/>
                <w:szCs w:val="20"/>
                <w:lang w:val="en-US" w:eastAsia="zh-CN"/>
              </w:rPr>
              <w:t>学科专业导航</w:t>
            </w:r>
            <w:r>
              <w:rPr>
                <w:rFonts w:hint="eastAsia" w:ascii="仿宋" w:hAnsi="仿宋" w:eastAsia="仿宋" w:cs="仿宋"/>
                <w:sz w:val="20"/>
                <w:szCs w:val="20"/>
                <w:lang w:eastAsia="zh-CN"/>
              </w:rPr>
              <w:t>）</w:t>
            </w:r>
            <w:r>
              <w:rPr>
                <w:rFonts w:hint="eastAsia" w:ascii="仿宋" w:hAnsi="仿宋" w:eastAsia="仿宋" w:cs="仿宋"/>
                <w:sz w:val="20"/>
                <w:szCs w:val="20"/>
              </w:rPr>
              <w:t>。</w:t>
            </w:r>
          </w:p>
          <w:p w14:paraId="38516D40">
            <w:pPr>
              <w:bidi w:val="0"/>
              <w:rPr>
                <w:rFonts w:hint="eastAsia" w:ascii="仿宋" w:hAnsi="仿宋" w:eastAsia="仿宋" w:cs="仿宋"/>
                <w:sz w:val="20"/>
                <w:szCs w:val="20"/>
              </w:rPr>
            </w:pPr>
            <w:r>
              <w:rPr>
                <w:rFonts w:hint="eastAsia" w:ascii="仿宋" w:hAnsi="仿宋" w:eastAsia="仿宋" w:cs="仿宋"/>
                <w:sz w:val="20"/>
                <w:szCs w:val="20"/>
              </w:rPr>
              <w:t>检索字段</w:t>
            </w:r>
            <w:r>
              <w:rPr>
                <w:rFonts w:hint="eastAsia" w:ascii="仿宋" w:hAnsi="仿宋" w:eastAsia="仿宋" w:cs="仿宋"/>
                <w:sz w:val="20"/>
                <w:szCs w:val="20"/>
                <w:lang w:val="en-US" w:eastAsia="zh-CN"/>
              </w:rPr>
              <w:t>：</w:t>
            </w:r>
            <w:r>
              <w:rPr>
                <w:rFonts w:hint="eastAsia" w:ascii="仿宋" w:hAnsi="仿宋" w:eastAsia="仿宋" w:cs="仿宋"/>
                <w:sz w:val="20"/>
                <w:szCs w:val="20"/>
              </w:rPr>
              <w:t>主题、篇关摘、关键词、题名、全文、作者、作者单位、导师、第一导师、学位授予单位、基金、摘要、目录、参考文献、中图分类号、学科专业名称、DOI。</w:t>
            </w:r>
          </w:p>
          <w:p w14:paraId="1D8A55C4">
            <w:pPr>
              <w:bidi w:val="0"/>
              <w:rPr>
                <w:rFonts w:hint="eastAsia" w:ascii="仿宋" w:hAnsi="仿宋" w:eastAsia="仿宋" w:cs="仿宋"/>
                <w:color w:val="auto"/>
                <w:sz w:val="20"/>
                <w:szCs w:val="20"/>
                <w:highlight w:val="none"/>
              </w:rPr>
            </w:pPr>
            <w:r>
              <w:rPr>
                <w:rFonts w:hint="eastAsia" w:ascii="仿宋" w:hAnsi="仿宋" w:eastAsia="仿宋" w:cs="仿宋"/>
                <w:sz w:val="20"/>
                <w:szCs w:val="20"/>
              </w:rPr>
              <w:t>下载方式</w:t>
            </w:r>
            <w:r>
              <w:rPr>
                <w:rFonts w:hint="eastAsia" w:ascii="仿宋" w:hAnsi="仿宋" w:eastAsia="仿宋" w:cs="仿宋"/>
                <w:sz w:val="20"/>
                <w:szCs w:val="20"/>
                <w:lang w:val="en-US" w:eastAsia="zh-CN"/>
              </w:rPr>
              <w:t>：原版阅读</w:t>
            </w:r>
            <w:r>
              <w:rPr>
                <w:rFonts w:hint="eastAsia" w:ascii="仿宋" w:hAnsi="仿宋" w:eastAsia="仿宋" w:cs="仿宋"/>
                <w:color w:val="auto"/>
                <w:kern w:val="2"/>
                <w:sz w:val="20"/>
                <w:szCs w:val="20"/>
                <w:highlight w:val="none"/>
                <w:lang w:val="en-US" w:eastAsia="zh-CN" w:bidi="ar"/>
              </w:rPr>
              <w:t>、</w:t>
            </w:r>
            <w:r>
              <w:rPr>
                <w:rFonts w:hint="eastAsia" w:ascii="仿宋" w:hAnsi="仿宋" w:eastAsia="仿宋" w:cs="仿宋"/>
                <w:color w:val="auto"/>
                <w:sz w:val="20"/>
                <w:szCs w:val="20"/>
                <w:highlight w:val="none"/>
              </w:rPr>
              <w:t>CAJ下载、</w:t>
            </w:r>
            <w:r>
              <w:rPr>
                <w:rFonts w:hint="eastAsia" w:ascii="仿宋" w:hAnsi="仿宋" w:eastAsia="仿宋" w:cs="仿宋"/>
                <w:color w:val="auto"/>
                <w:sz w:val="20"/>
                <w:szCs w:val="20"/>
                <w:highlight w:val="none"/>
                <w:lang w:val="en-US" w:eastAsia="zh-CN"/>
              </w:rPr>
              <w:t>PDF下载、章节下载（</w:t>
            </w:r>
            <w:r>
              <w:rPr>
                <w:rFonts w:hint="eastAsia" w:ascii="仿宋" w:hAnsi="仿宋" w:eastAsia="仿宋" w:cs="仿宋"/>
                <w:color w:val="auto"/>
                <w:sz w:val="20"/>
                <w:szCs w:val="20"/>
                <w:highlight w:val="none"/>
              </w:rPr>
              <w:t>分页下载、分章下载</w:t>
            </w:r>
            <w:r>
              <w:rPr>
                <w:rFonts w:hint="eastAsia" w:ascii="仿宋" w:hAnsi="仿宋" w:eastAsia="仿宋" w:cs="仿宋"/>
                <w:color w:val="auto"/>
                <w:sz w:val="20"/>
                <w:szCs w:val="20"/>
                <w:highlight w:val="none"/>
                <w:lang w:val="en-US" w:eastAsia="zh-CN"/>
              </w:rPr>
              <w:t>）</w:t>
            </w:r>
            <w:r>
              <w:rPr>
                <w:rFonts w:hint="eastAsia" w:ascii="仿宋" w:hAnsi="仿宋" w:eastAsia="仿宋" w:cs="仿宋"/>
                <w:color w:val="auto"/>
                <w:sz w:val="20"/>
                <w:szCs w:val="20"/>
                <w:highlight w:val="none"/>
              </w:rPr>
              <w:t>。</w:t>
            </w:r>
          </w:p>
          <w:p w14:paraId="34A4B190">
            <w:pPr>
              <w:bidi w:val="0"/>
              <w:rPr>
                <w:rFonts w:hint="eastAsia" w:ascii="仿宋" w:hAnsi="仿宋" w:eastAsia="仿宋" w:cs="仿宋"/>
                <w:sz w:val="20"/>
                <w:szCs w:val="20"/>
              </w:rPr>
            </w:pPr>
            <w:r>
              <w:rPr>
                <w:rFonts w:hint="eastAsia" w:ascii="仿宋" w:hAnsi="仿宋" w:eastAsia="仿宋" w:cs="仿宋"/>
                <w:sz w:val="20"/>
                <w:szCs w:val="20"/>
              </w:rPr>
              <w:t>知网节模块</w:t>
            </w:r>
            <w:r>
              <w:rPr>
                <w:rFonts w:hint="eastAsia" w:ascii="仿宋" w:hAnsi="仿宋" w:eastAsia="仿宋" w:cs="仿宋"/>
                <w:sz w:val="20"/>
                <w:szCs w:val="20"/>
                <w:lang w:val="en-US" w:eastAsia="zh-CN"/>
              </w:rPr>
              <w:t>：</w:t>
            </w:r>
            <w:r>
              <w:rPr>
                <w:rFonts w:hint="eastAsia" w:ascii="仿宋" w:hAnsi="仿宋" w:eastAsia="仿宋" w:cs="仿宋"/>
                <w:sz w:val="20"/>
                <w:szCs w:val="20"/>
              </w:rPr>
              <w:t>节点文献的二级参考文献、参考文献、共引文献、同被引文献、引证文献、二级引证文献、相似文献、读者推荐</w:t>
            </w:r>
            <w:r>
              <w:rPr>
                <w:rFonts w:hint="eastAsia" w:ascii="仿宋" w:hAnsi="仿宋" w:eastAsia="仿宋" w:cs="仿宋"/>
                <w:sz w:val="20"/>
                <w:szCs w:val="20"/>
                <w:lang w:eastAsia="zh-CN"/>
              </w:rPr>
              <w:t>、</w:t>
            </w:r>
            <w:r>
              <w:rPr>
                <w:rFonts w:hint="eastAsia" w:ascii="仿宋" w:hAnsi="仿宋" w:eastAsia="仿宋" w:cs="仿宋"/>
                <w:sz w:val="20"/>
                <w:szCs w:val="20"/>
              </w:rPr>
              <w:t>相关基金文献</w:t>
            </w:r>
            <w:r>
              <w:rPr>
                <w:rFonts w:hint="eastAsia" w:ascii="仿宋" w:hAnsi="仿宋" w:eastAsia="仿宋" w:cs="仿宋"/>
                <w:sz w:val="20"/>
                <w:szCs w:val="20"/>
                <w:lang w:eastAsia="zh-CN"/>
              </w:rPr>
              <w:t>、</w:t>
            </w:r>
            <w:r>
              <w:rPr>
                <w:rFonts w:hint="eastAsia" w:ascii="仿宋" w:hAnsi="仿宋" w:eastAsia="仿宋" w:cs="仿宋"/>
                <w:sz w:val="20"/>
                <w:szCs w:val="20"/>
              </w:rPr>
              <w:t>关联作者、攻读期成果、相关视频，可以链接到期刊、学位论文、会议、报纸、专利、标准、年鉴、国际期刊、科技成果、图书等数据库使用。</w:t>
            </w:r>
          </w:p>
          <w:p w14:paraId="513C915D">
            <w:pPr>
              <w:bidi w:val="0"/>
              <w:rPr>
                <w:rFonts w:hint="eastAsia" w:ascii="仿宋" w:hAnsi="仿宋" w:eastAsia="仿宋" w:cs="仿宋"/>
                <w:color w:val="auto"/>
                <w:sz w:val="20"/>
                <w:szCs w:val="20"/>
                <w:highlight w:val="none"/>
              </w:rPr>
            </w:pPr>
            <w:r>
              <w:rPr>
                <w:rFonts w:hint="eastAsia" w:ascii="仿宋" w:hAnsi="仿宋" w:eastAsia="仿宋" w:cs="仿宋"/>
                <w:sz w:val="20"/>
                <w:szCs w:val="20"/>
              </w:rPr>
              <w:t>检索结果处理</w:t>
            </w:r>
            <w:r>
              <w:rPr>
                <w:rFonts w:hint="eastAsia" w:ascii="仿宋" w:hAnsi="仿宋" w:eastAsia="仿宋" w:cs="仿宋"/>
                <w:sz w:val="20"/>
                <w:szCs w:val="20"/>
                <w:lang w:val="en-US" w:eastAsia="zh-CN"/>
              </w:rPr>
              <w:t>：</w:t>
            </w:r>
            <w:r>
              <w:rPr>
                <w:rFonts w:hint="eastAsia" w:ascii="仿宋" w:hAnsi="仿宋" w:eastAsia="仿宋" w:cs="仿宋"/>
                <w:sz w:val="20"/>
                <w:szCs w:val="20"/>
              </w:rPr>
              <w:t>支持通过分组排序检索结果进行进一步筛选，可按照主题（主要主题、次要主题）、学科、学位授予年度、研究层次、学位授予单位、基金、导师、学科专业等条件进行分组聚类，并且对于检索结果还能够按照相关度、出版时间、被引频次、下载频次、学位授予年度、综合等进行排序。还可以对结果进行批量下载、</w:t>
            </w:r>
            <w:r>
              <w:rPr>
                <w:rFonts w:hint="eastAsia" w:ascii="仿宋" w:hAnsi="仿宋" w:eastAsia="仿宋" w:cs="仿宋"/>
                <w:sz w:val="20"/>
                <w:szCs w:val="20"/>
                <w:lang w:val="en-US" w:eastAsia="zh-CN"/>
              </w:rPr>
              <w:t>≥</w:t>
            </w:r>
            <w:r>
              <w:rPr>
                <w:rFonts w:hint="eastAsia" w:ascii="仿宋" w:hAnsi="仿宋" w:eastAsia="仿宋" w:cs="仿宋"/>
                <w:sz w:val="20"/>
                <w:szCs w:val="20"/>
              </w:rPr>
              <w:t>12种格式的文献导出。</w:t>
            </w:r>
          </w:p>
          <w:p w14:paraId="798DCD5A">
            <w:pPr>
              <w:keepNext w:val="0"/>
              <w:keepLines w:val="0"/>
              <w:pageBreakBefore w:val="0"/>
              <w:widowControl w:val="0"/>
              <w:kinsoku/>
              <w:wordWrap/>
              <w:overflowPunct/>
              <w:topLinePunct w:val="0"/>
              <w:autoSpaceDE/>
              <w:autoSpaceDN/>
              <w:bidi w:val="0"/>
              <w:adjustRightInd/>
              <w:snapToGrid/>
              <w:spacing w:line="240" w:lineRule="auto"/>
              <w:ind w:firstLine="400" w:firstLineChars="200"/>
              <w:textAlignment w:val="auto"/>
              <w:rPr>
                <w:rFonts w:hint="eastAsia" w:ascii="仿宋" w:hAnsi="仿宋" w:eastAsia="仿宋" w:cs="仿宋"/>
                <w:color w:val="auto"/>
                <w:sz w:val="20"/>
                <w:szCs w:val="20"/>
                <w:highlight w:val="none"/>
                <w:lang w:val="en-US" w:eastAsia="zh-CN"/>
              </w:rPr>
            </w:pPr>
            <w:bookmarkStart w:id="4" w:name="_Toc9984"/>
            <w:bookmarkStart w:id="5" w:name="_Toc23710"/>
            <w:r>
              <w:rPr>
                <w:rFonts w:hint="eastAsia" w:ascii="仿宋" w:hAnsi="仿宋" w:eastAsia="仿宋" w:cs="仿宋"/>
                <w:color w:val="auto"/>
                <w:sz w:val="20"/>
                <w:szCs w:val="20"/>
                <w:highlight w:val="none"/>
                <w:lang w:val="en-US" w:eastAsia="zh-CN"/>
              </w:rPr>
              <w:t>【中国优秀硕士学位论文全文数据库（CMFD）】</w:t>
            </w:r>
            <w:bookmarkEnd w:id="4"/>
            <w:bookmarkEnd w:id="5"/>
          </w:p>
          <w:p w14:paraId="78BF33BE">
            <w:pPr>
              <w:keepNext w:val="0"/>
              <w:keepLines w:val="0"/>
              <w:pageBreakBefore w:val="0"/>
              <w:widowControl w:val="0"/>
              <w:kinsoku/>
              <w:wordWrap/>
              <w:overflowPunct/>
              <w:topLinePunct w:val="0"/>
              <w:autoSpaceDE/>
              <w:autoSpaceDN/>
              <w:bidi w:val="0"/>
              <w:adjustRightInd/>
              <w:snapToGrid/>
              <w:spacing w:line="240" w:lineRule="auto"/>
              <w:ind w:firstLine="392" w:firstLineChars="196"/>
              <w:textAlignment w:val="auto"/>
              <w:rPr>
                <w:rFonts w:hint="eastAsia" w:ascii="仿宋" w:hAnsi="仿宋" w:eastAsia="仿宋" w:cs="仿宋"/>
                <w:color w:val="auto"/>
                <w:sz w:val="20"/>
                <w:szCs w:val="20"/>
                <w:highlight w:val="none"/>
                <w:shd w:val="pct10" w:color="auto" w:fill="FFFFFF"/>
              </w:rPr>
            </w:pPr>
            <w:r>
              <w:rPr>
                <w:rFonts w:hint="eastAsia" w:ascii="仿宋" w:hAnsi="仿宋" w:eastAsia="仿宋" w:cs="仿宋"/>
                <w:color w:val="auto"/>
                <w:sz w:val="20"/>
                <w:szCs w:val="20"/>
                <w:highlight w:val="none"/>
              </w:rPr>
              <w:t>《中国优秀硕士学位论文全文数据库》是目前国内资源完备、质量上乘、连续动态更新的中国硕士学位论文全文数据库，覆盖基础科学、工程技术、农业、医学、哲学、人文、社会科学等各个领域。</w:t>
            </w:r>
          </w:p>
          <w:p w14:paraId="270E307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0"/>
                <w:szCs w:val="20"/>
              </w:rPr>
            </w:pPr>
            <w:r>
              <w:rPr>
                <w:rFonts w:hint="eastAsia" w:ascii="仿宋" w:hAnsi="仿宋" w:eastAsia="仿宋" w:cs="仿宋"/>
                <w:sz w:val="20"/>
                <w:szCs w:val="20"/>
              </w:rPr>
              <w:t>刊号</w:t>
            </w:r>
            <w:r>
              <w:rPr>
                <w:rFonts w:hint="eastAsia" w:ascii="仿宋" w:hAnsi="仿宋" w:eastAsia="仿宋" w:cs="仿宋"/>
                <w:sz w:val="20"/>
                <w:szCs w:val="20"/>
                <w:lang w:val="en-US" w:eastAsia="zh-CN"/>
              </w:rPr>
              <w:t>：国内</w:t>
            </w:r>
            <w:r>
              <w:rPr>
                <w:rFonts w:hint="eastAsia" w:ascii="仿宋" w:hAnsi="仿宋" w:eastAsia="仿宋" w:cs="仿宋"/>
                <w:sz w:val="20"/>
                <w:szCs w:val="20"/>
              </w:rPr>
              <w:t xml:space="preserve">统一刊号：CN 11-9144/G  </w:t>
            </w:r>
          </w:p>
          <w:p w14:paraId="48F3AE4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0"/>
                <w:szCs w:val="20"/>
              </w:rPr>
            </w:pPr>
            <w:r>
              <w:rPr>
                <w:rFonts w:hint="eastAsia" w:ascii="仿宋" w:hAnsi="仿宋" w:eastAsia="仿宋" w:cs="仿宋"/>
                <w:sz w:val="20"/>
                <w:szCs w:val="20"/>
              </w:rPr>
              <w:t xml:space="preserve">    </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国际标准刊号：ISSN 1674-0246</w:t>
            </w:r>
          </w:p>
          <w:p w14:paraId="307D1F7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0"/>
                <w:szCs w:val="20"/>
              </w:rPr>
            </w:pPr>
            <w:r>
              <w:rPr>
                <w:rFonts w:hint="eastAsia" w:ascii="仿宋" w:hAnsi="仿宋" w:eastAsia="仿宋" w:cs="仿宋"/>
                <w:sz w:val="20"/>
                <w:szCs w:val="20"/>
              </w:rPr>
              <w:t>收录范围</w:t>
            </w:r>
            <w:r>
              <w:rPr>
                <w:rFonts w:hint="eastAsia" w:ascii="仿宋" w:hAnsi="仿宋" w:eastAsia="仿宋" w:cs="仿宋"/>
                <w:sz w:val="20"/>
                <w:szCs w:val="20"/>
                <w:lang w:val="en-US" w:eastAsia="zh-CN"/>
              </w:rPr>
              <w:t>：</w:t>
            </w:r>
            <w:r>
              <w:rPr>
                <w:rFonts w:hint="eastAsia" w:ascii="仿宋" w:hAnsi="仿宋" w:eastAsia="仿宋" w:cs="仿宋"/>
                <w:sz w:val="20"/>
                <w:szCs w:val="20"/>
              </w:rPr>
              <w:t>具有硕士学位授予权的研究生培养单位的硕士学位论文。以优先保证文献质量为基本原则。</w:t>
            </w:r>
          </w:p>
          <w:p w14:paraId="385B4F1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0"/>
                <w:szCs w:val="20"/>
              </w:rPr>
            </w:pPr>
            <w:r>
              <w:rPr>
                <w:rFonts w:hint="eastAsia" w:ascii="仿宋" w:hAnsi="仿宋" w:eastAsia="仿宋" w:cs="仿宋"/>
                <w:sz w:val="20"/>
                <w:szCs w:val="20"/>
              </w:rPr>
              <w:t>文献总量</w:t>
            </w:r>
            <w:r>
              <w:rPr>
                <w:rFonts w:hint="eastAsia" w:ascii="仿宋" w:hAnsi="仿宋" w:eastAsia="仿宋" w:cs="仿宋"/>
                <w:sz w:val="20"/>
                <w:szCs w:val="20"/>
                <w:lang w:val="en-US" w:eastAsia="zh-CN"/>
              </w:rPr>
              <w:t>：</w:t>
            </w:r>
            <w:r>
              <w:rPr>
                <w:rFonts w:hint="eastAsia" w:ascii="仿宋" w:hAnsi="仿宋" w:eastAsia="仿宋" w:cs="仿宋"/>
                <w:sz w:val="20"/>
                <w:szCs w:val="20"/>
              </w:rPr>
              <w:t>截止</w:t>
            </w:r>
            <w:r>
              <w:rPr>
                <w:rFonts w:hint="eastAsia" w:ascii="仿宋" w:hAnsi="仿宋" w:eastAsia="仿宋" w:cs="仿宋"/>
                <w:sz w:val="20"/>
                <w:szCs w:val="20"/>
                <w:lang w:val="en-US" w:eastAsia="zh-CN"/>
              </w:rPr>
              <w:t>2024年11月</w:t>
            </w:r>
            <w:r>
              <w:rPr>
                <w:rFonts w:hint="eastAsia" w:ascii="仿宋" w:hAnsi="仿宋" w:eastAsia="仿宋" w:cs="仿宋"/>
                <w:sz w:val="20"/>
                <w:szCs w:val="20"/>
              </w:rPr>
              <w:t>，</w:t>
            </w:r>
            <w:r>
              <w:rPr>
                <w:rFonts w:hint="eastAsia" w:ascii="仿宋" w:hAnsi="仿宋" w:eastAsia="仿宋" w:cs="仿宋"/>
                <w:sz w:val="20"/>
                <w:szCs w:val="20"/>
                <w:lang w:val="en-US" w:eastAsia="zh-CN"/>
              </w:rPr>
              <w:t>全库</w:t>
            </w:r>
            <w:r>
              <w:rPr>
                <w:rFonts w:hint="eastAsia" w:ascii="仿宋" w:hAnsi="仿宋" w:eastAsia="仿宋" w:cs="仿宋"/>
                <w:sz w:val="20"/>
                <w:szCs w:val="20"/>
              </w:rPr>
              <w:t>收录硕士学位论文</w:t>
            </w:r>
            <w:r>
              <w:rPr>
                <w:rFonts w:hint="eastAsia" w:ascii="仿宋" w:hAnsi="仿宋" w:eastAsia="仿宋" w:cs="仿宋"/>
                <w:sz w:val="20"/>
                <w:szCs w:val="20"/>
                <w:lang w:val="en-US" w:eastAsia="zh-CN"/>
              </w:rPr>
              <w:t>625.4</w:t>
            </w:r>
            <w:r>
              <w:rPr>
                <w:rFonts w:hint="eastAsia" w:ascii="仿宋" w:hAnsi="仿宋" w:eastAsia="仿宋" w:cs="仿宋"/>
                <w:sz w:val="20"/>
                <w:szCs w:val="20"/>
              </w:rPr>
              <w:t>万余篇。</w:t>
            </w:r>
            <w:r>
              <w:rPr>
                <w:rFonts w:hint="eastAsia" w:ascii="仿宋" w:hAnsi="仿宋" w:eastAsia="仿宋" w:cs="仿宋"/>
                <w:sz w:val="20"/>
                <w:szCs w:val="20"/>
                <w:lang w:val="en-US" w:eastAsia="zh-CN"/>
              </w:rPr>
              <w:t>2025</w:t>
            </w:r>
            <w:r>
              <w:rPr>
                <w:rFonts w:hint="eastAsia" w:ascii="仿宋" w:hAnsi="仿宋" w:eastAsia="仿宋" w:cs="仿宋"/>
                <w:sz w:val="20"/>
                <w:szCs w:val="20"/>
              </w:rPr>
              <w:t>年计划出版</w:t>
            </w:r>
            <w:r>
              <w:rPr>
                <w:rFonts w:hint="eastAsia" w:ascii="仿宋" w:hAnsi="仿宋" w:eastAsia="仿宋" w:cs="仿宋"/>
                <w:sz w:val="20"/>
                <w:szCs w:val="20"/>
                <w:lang w:val="en-US" w:eastAsia="zh-CN"/>
              </w:rPr>
              <w:t>43.5</w:t>
            </w:r>
            <w:r>
              <w:rPr>
                <w:rFonts w:hint="eastAsia" w:ascii="仿宋" w:hAnsi="仿宋" w:eastAsia="仿宋" w:cs="仿宋"/>
                <w:sz w:val="20"/>
                <w:szCs w:val="20"/>
              </w:rPr>
              <w:t>万篇。</w:t>
            </w:r>
          </w:p>
          <w:p w14:paraId="1201D0C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0"/>
                <w:szCs w:val="20"/>
              </w:rPr>
            </w:pPr>
            <w:r>
              <w:rPr>
                <w:rFonts w:hint="eastAsia" w:ascii="仿宋" w:hAnsi="仿宋" w:eastAsia="仿宋" w:cs="仿宋"/>
                <w:sz w:val="20"/>
                <w:szCs w:val="20"/>
              </w:rPr>
              <w:t>文献来源完整率</w:t>
            </w:r>
            <w:r>
              <w:rPr>
                <w:rFonts w:hint="eastAsia" w:ascii="仿宋" w:hAnsi="仿宋" w:eastAsia="仿宋" w:cs="仿宋"/>
                <w:sz w:val="20"/>
                <w:szCs w:val="20"/>
                <w:lang w:val="en-US" w:eastAsia="zh-CN"/>
              </w:rPr>
              <w:t>：</w:t>
            </w:r>
            <w:r>
              <w:rPr>
                <w:rFonts w:hint="eastAsia" w:ascii="仿宋" w:hAnsi="仿宋" w:eastAsia="仿宋" w:cs="仿宋"/>
                <w:sz w:val="20"/>
                <w:szCs w:val="20"/>
              </w:rPr>
              <w:t>收录来自</w:t>
            </w:r>
            <w:r>
              <w:rPr>
                <w:rFonts w:hint="eastAsia" w:ascii="仿宋" w:hAnsi="仿宋" w:eastAsia="仿宋" w:cs="仿宋"/>
                <w:sz w:val="20"/>
                <w:szCs w:val="20"/>
                <w:lang w:val="en-US" w:eastAsia="zh-CN"/>
              </w:rPr>
              <w:t>810</w:t>
            </w:r>
            <w:r>
              <w:rPr>
                <w:rFonts w:hint="eastAsia" w:ascii="仿宋" w:hAnsi="仿宋" w:eastAsia="仿宋" w:cs="仿宋"/>
                <w:sz w:val="20"/>
                <w:szCs w:val="20"/>
              </w:rPr>
              <w:t>余家硕士培养单位（涉及国家保密的单位除外）的硕士学位论文。“双一流”建设高校覆盖率达到100%。国家重点学科覆盖率达98%，收全率达9</w:t>
            </w:r>
            <w:r>
              <w:rPr>
                <w:rFonts w:hint="eastAsia" w:ascii="仿宋" w:hAnsi="仿宋" w:eastAsia="仿宋" w:cs="仿宋"/>
                <w:sz w:val="20"/>
                <w:szCs w:val="20"/>
                <w:lang w:val="en-US" w:eastAsia="zh-CN"/>
              </w:rPr>
              <w:t>0</w:t>
            </w:r>
            <w:r>
              <w:rPr>
                <w:rFonts w:hint="eastAsia" w:ascii="仿宋" w:hAnsi="仿宋" w:eastAsia="仿宋" w:cs="仿宋"/>
                <w:sz w:val="20"/>
                <w:szCs w:val="20"/>
              </w:rPr>
              <w:t>%。特色学科覆盖率达100%，收全率9</w:t>
            </w:r>
            <w:r>
              <w:rPr>
                <w:rFonts w:hint="eastAsia" w:ascii="仿宋" w:hAnsi="仿宋" w:eastAsia="仿宋" w:cs="仿宋"/>
                <w:sz w:val="20"/>
                <w:szCs w:val="20"/>
                <w:lang w:val="en-US" w:eastAsia="zh-CN"/>
              </w:rPr>
              <w:t>0</w:t>
            </w:r>
            <w:r>
              <w:rPr>
                <w:rFonts w:hint="eastAsia" w:ascii="仿宋" w:hAnsi="仿宋" w:eastAsia="仿宋" w:cs="仿宋"/>
                <w:sz w:val="20"/>
                <w:szCs w:val="20"/>
              </w:rPr>
              <w:t>%。</w:t>
            </w:r>
          </w:p>
          <w:p w14:paraId="22236E9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0"/>
                <w:szCs w:val="20"/>
              </w:rPr>
            </w:pPr>
            <w:r>
              <w:rPr>
                <w:rFonts w:hint="eastAsia" w:ascii="仿宋" w:hAnsi="仿宋" w:eastAsia="仿宋" w:cs="仿宋"/>
                <w:sz w:val="20"/>
                <w:szCs w:val="20"/>
              </w:rPr>
              <w:t>文献收录完整率</w:t>
            </w:r>
            <w:r>
              <w:rPr>
                <w:rFonts w:hint="eastAsia" w:ascii="仿宋" w:hAnsi="仿宋" w:eastAsia="仿宋" w:cs="仿宋"/>
                <w:sz w:val="20"/>
                <w:szCs w:val="20"/>
                <w:lang w:val="en-US" w:eastAsia="zh-CN"/>
              </w:rPr>
              <w:t>：</w:t>
            </w:r>
            <w:r>
              <w:rPr>
                <w:rFonts w:hint="eastAsia" w:ascii="仿宋" w:hAnsi="仿宋" w:eastAsia="仿宋" w:cs="仿宋"/>
                <w:sz w:val="20"/>
                <w:szCs w:val="20"/>
              </w:rPr>
              <w:t>201</w:t>
            </w:r>
            <w:r>
              <w:rPr>
                <w:rFonts w:hint="eastAsia" w:ascii="仿宋" w:hAnsi="仿宋" w:eastAsia="仿宋" w:cs="仿宋"/>
                <w:sz w:val="20"/>
                <w:szCs w:val="20"/>
                <w:lang w:eastAsia="zh"/>
              </w:rPr>
              <w:t>7</w:t>
            </w:r>
            <w:r>
              <w:rPr>
                <w:rFonts w:hint="eastAsia" w:ascii="仿宋" w:hAnsi="仿宋" w:eastAsia="仿宋" w:cs="仿宋"/>
                <w:sz w:val="20"/>
                <w:szCs w:val="20"/>
              </w:rPr>
              <w:t>年、201</w:t>
            </w:r>
            <w:r>
              <w:rPr>
                <w:rFonts w:hint="eastAsia" w:ascii="仿宋" w:hAnsi="仿宋" w:eastAsia="仿宋" w:cs="仿宋"/>
                <w:sz w:val="20"/>
                <w:szCs w:val="20"/>
                <w:lang w:eastAsia="zh"/>
              </w:rPr>
              <w:t>8</w:t>
            </w:r>
            <w:r>
              <w:rPr>
                <w:rFonts w:hint="eastAsia" w:ascii="仿宋" w:hAnsi="仿宋" w:eastAsia="仿宋" w:cs="仿宋"/>
                <w:sz w:val="20"/>
                <w:szCs w:val="20"/>
              </w:rPr>
              <w:t>年、201</w:t>
            </w:r>
            <w:r>
              <w:rPr>
                <w:rFonts w:hint="eastAsia" w:ascii="仿宋" w:hAnsi="仿宋" w:eastAsia="仿宋" w:cs="仿宋"/>
                <w:sz w:val="20"/>
                <w:szCs w:val="20"/>
                <w:lang w:eastAsia="zh"/>
              </w:rPr>
              <w:t>9</w:t>
            </w:r>
            <w:r>
              <w:rPr>
                <w:rFonts w:hint="eastAsia" w:ascii="仿宋" w:hAnsi="仿宋" w:eastAsia="仿宋" w:cs="仿宋"/>
                <w:sz w:val="20"/>
                <w:szCs w:val="20"/>
              </w:rPr>
              <w:t>年、20</w:t>
            </w:r>
            <w:r>
              <w:rPr>
                <w:rFonts w:hint="eastAsia" w:ascii="仿宋" w:hAnsi="仿宋" w:eastAsia="仿宋" w:cs="仿宋"/>
                <w:sz w:val="20"/>
                <w:szCs w:val="20"/>
                <w:lang w:eastAsia="zh"/>
              </w:rPr>
              <w:t>20</w:t>
            </w:r>
            <w:r>
              <w:rPr>
                <w:rFonts w:hint="eastAsia" w:ascii="仿宋" w:hAnsi="仿宋" w:eastAsia="仿宋" w:cs="仿宋"/>
                <w:sz w:val="20"/>
                <w:szCs w:val="20"/>
              </w:rPr>
              <w:t>年、20</w:t>
            </w:r>
            <w:r>
              <w:rPr>
                <w:rFonts w:hint="eastAsia" w:ascii="仿宋" w:hAnsi="仿宋" w:eastAsia="仿宋" w:cs="仿宋"/>
                <w:sz w:val="20"/>
                <w:szCs w:val="20"/>
                <w:lang w:val="en-US" w:eastAsia="zh-CN"/>
              </w:rPr>
              <w:t>2</w:t>
            </w:r>
            <w:r>
              <w:rPr>
                <w:rFonts w:hint="eastAsia" w:ascii="仿宋" w:hAnsi="仿宋" w:eastAsia="仿宋" w:cs="仿宋"/>
                <w:sz w:val="20"/>
                <w:szCs w:val="20"/>
                <w:lang w:val="en-US" w:eastAsia="zh"/>
              </w:rPr>
              <w:t>1</w:t>
            </w:r>
            <w:r>
              <w:rPr>
                <w:rFonts w:hint="eastAsia" w:ascii="仿宋" w:hAnsi="仿宋" w:eastAsia="仿宋" w:cs="仿宋"/>
                <w:sz w:val="20"/>
                <w:szCs w:val="20"/>
              </w:rPr>
              <w:t>年、202</w:t>
            </w:r>
            <w:r>
              <w:rPr>
                <w:rFonts w:hint="eastAsia" w:ascii="仿宋" w:hAnsi="仿宋" w:eastAsia="仿宋" w:cs="仿宋"/>
                <w:sz w:val="20"/>
                <w:szCs w:val="20"/>
                <w:lang w:eastAsia="zh"/>
              </w:rPr>
              <w:t>2</w:t>
            </w:r>
            <w:r>
              <w:rPr>
                <w:rFonts w:hint="eastAsia" w:ascii="仿宋" w:hAnsi="仿宋" w:eastAsia="仿宋" w:cs="仿宋"/>
                <w:sz w:val="20"/>
                <w:szCs w:val="20"/>
              </w:rPr>
              <w:t>年、202</w:t>
            </w:r>
            <w:r>
              <w:rPr>
                <w:rFonts w:hint="eastAsia" w:ascii="仿宋" w:hAnsi="仿宋" w:eastAsia="仿宋" w:cs="仿宋"/>
                <w:sz w:val="20"/>
                <w:szCs w:val="20"/>
                <w:lang w:eastAsia="zh"/>
              </w:rPr>
              <w:t>3</w:t>
            </w:r>
            <w:r>
              <w:rPr>
                <w:rFonts w:hint="eastAsia" w:ascii="仿宋" w:hAnsi="仿宋" w:eastAsia="仿宋" w:cs="仿宋"/>
                <w:sz w:val="20"/>
                <w:szCs w:val="20"/>
              </w:rPr>
              <w:t>年、202</w:t>
            </w:r>
            <w:r>
              <w:rPr>
                <w:rFonts w:hint="eastAsia" w:ascii="仿宋" w:hAnsi="仿宋" w:eastAsia="仿宋" w:cs="仿宋"/>
                <w:sz w:val="20"/>
                <w:szCs w:val="20"/>
                <w:lang w:eastAsia="zh"/>
              </w:rPr>
              <w:t>4</w:t>
            </w:r>
            <w:r>
              <w:rPr>
                <w:rFonts w:hint="eastAsia" w:ascii="仿宋" w:hAnsi="仿宋" w:eastAsia="仿宋" w:cs="仿宋"/>
                <w:sz w:val="20"/>
                <w:szCs w:val="20"/>
              </w:rPr>
              <w:t>年硕士学位论文出版数量占全国当年可公开出版的硕士学位论文总量的</w:t>
            </w:r>
            <w:r>
              <w:rPr>
                <w:rFonts w:hint="eastAsia" w:ascii="仿宋" w:hAnsi="仿宋" w:eastAsia="仿宋" w:cs="仿宋"/>
                <w:sz w:val="20"/>
                <w:szCs w:val="20"/>
                <w:lang w:val="en-US" w:eastAsia="zh-CN"/>
              </w:rPr>
              <w:t>85</w:t>
            </w:r>
            <w:r>
              <w:rPr>
                <w:rFonts w:hint="eastAsia" w:ascii="仿宋" w:hAnsi="仿宋" w:eastAsia="仿宋" w:cs="仿宋"/>
                <w:sz w:val="20"/>
                <w:szCs w:val="20"/>
              </w:rPr>
              <w:t>％以上。</w:t>
            </w:r>
          </w:p>
          <w:p w14:paraId="224D652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0"/>
                <w:szCs w:val="20"/>
              </w:rPr>
            </w:pPr>
            <w:r>
              <w:rPr>
                <w:rFonts w:hint="eastAsia" w:ascii="仿宋" w:hAnsi="仿宋" w:eastAsia="仿宋" w:cs="仿宋"/>
                <w:sz w:val="20"/>
                <w:szCs w:val="20"/>
              </w:rPr>
              <w:t>收录年限</w:t>
            </w:r>
            <w:r>
              <w:rPr>
                <w:rFonts w:hint="eastAsia" w:ascii="仿宋" w:hAnsi="仿宋" w:eastAsia="仿宋" w:cs="仿宋"/>
                <w:sz w:val="20"/>
                <w:szCs w:val="20"/>
                <w:lang w:val="en-US" w:eastAsia="zh-CN"/>
              </w:rPr>
              <w:t>：</w:t>
            </w:r>
            <w:r>
              <w:rPr>
                <w:rFonts w:hint="eastAsia" w:ascii="仿宋" w:hAnsi="仿宋" w:eastAsia="仿宋" w:cs="仿宋"/>
                <w:sz w:val="20"/>
                <w:szCs w:val="20"/>
              </w:rPr>
              <w:t>从1984年至今的硕士学位论文。</w:t>
            </w:r>
          </w:p>
          <w:p w14:paraId="19CFD45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0"/>
                <w:szCs w:val="20"/>
              </w:rPr>
            </w:pPr>
            <w:r>
              <w:rPr>
                <w:rFonts w:hint="eastAsia" w:ascii="仿宋" w:hAnsi="仿宋" w:eastAsia="仿宋" w:cs="仿宋"/>
                <w:sz w:val="20"/>
                <w:szCs w:val="20"/>
              </w:rPr>
              <w:t>出版时效</w:t>
            </w:r>
            <w:r>
              <w:rPr>
                <w:rFonts w:hint="eastAsia" w:ascii="仿宋" w:hAnsi="仿宋" w:eastAsia="仿宋" w:cs="仿宋"/>
                <w:sz w:val="20"/>
                <w:szCs w:val="20"/>
                <w:lang w:val="en-US" w:eastAsia="zh-CN"/>
              </w:rPr>
              <w:t>：</w:t>
            </w:r>
            <w:r>
              <w:rPr>
                <w:rFonts w:hint="eastAsia" w:ascii="仿宋" w:hAnsi="仿宋" w:eastAsia="仿宋" w:cs="仿宋"/>
                <w:sz w:val="20"/>
                <w:szCs w:val="20"/>
              </w:rPr>
              <w:t>论文按篇出版，平均不晚于授予学位之后2个月。</w:t>
            </w:r>
          </w:p>
          <w:p w14:paraId="0654D7C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0"/>
                <w:szCs w:val="20"/>
              </w:rPr>
            </w:pPr>
            <w:r>
              <w:rPr>
                <w:rFonts w:hint="eastAsia" w:ascii="仿宋" w:hAnsi="仿宋" w:eastAsia="仿宋" w:cs="仿宋"/>
                <w:sz w:val="20"/>
                <w:szCs w:val="20"/>
              </w:rPr>
              <w:t>更新频率</w:t>
            </w:r>
            <w:r>
              <w:rPr>
                <w:rFonts w:hint="eastAsia" w:ascii="仿宋" w:hAnsi="仿宋" w:eastAsia="仿宋" w:cs="仿宋"/>
                <w:sz w:val="20"/>
                <w:szCs w:val="20"/>
                <w:lang w:val="en-US" w:eastAsia="zh-CN"/>
              </w:rPr>
              <w:t>：</w:t>
            </w:r>
            <w:r>
              <w:rPr>
                <w:rFonts w:hint="eastAsia" w:ascii="仿宋" w:hAnsi="仿宋" w:eastAsia="仿宋" w:cs="仿宋"/>
                <w:sz w:val="20"/>
                <w:szCs w:val="20"/>
              </w:rPr>
              <w:t>1、实时更新：云租用、云托管、云机构馆托管。</w:t>
            </w:r>
          </w:p>
          <w:p w14:paraId="12C66E4C">
            <w:pPr>
              <w:keepNext w:val="0"/>
              <w:keepLines w:val="0"/>
              <w:pageBreakBefore w:val="0"/>
              <w:widowControl w:val="0"/>
              <w:kinsoku/>
              <w:wordWrap/>
              <w:overflowPunct/>
              <w:topLinePunct w:val="0"/>
              <w:autoSpaceDE/>
              <w:autoSpaceDN/>
              <w:bidi w:val="0"/>
              <w:adjustRightInd/>
              <w:snapToGrid/>
              <w:spacing w:line="240" w:lineRule="auto"/>
              <w:ind w:firstLine="1000" w:firstLineChars="500"/>
              <w:textAlignment w:val="auto"/>
              <w:rPr>
                <w:rFonts w:hint="eastAsia" w:ascii="仿宋" w:hAnsi="仿宋" w:eastAsia="仿宋" w:cs="仿宋"/>
                <w:sz w:val="20"/>
                <w:szCs w:val="20"/>
              </w:rPr>
            </w:pPr>
            <w:r>
              <w:rPr>
                <w:rFonts w:hint="eastAsia" w:ascii="仿宋" w:hAnsi="仿宋" w:eastAsia="仿宋" w:cs="仿宋"/>
                <w:sz w:val="20"/>
                <w:szCs w:val="20"/>
              </w:rPr>
              <w:t>2、月出版：镜像版，每月10日出版。</w:t>
            </w:r>
          </w:p>
          <w:p w14:paraId="4CD3B8D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0"/>
                <w:szCs w:val="20"/>
              </w:rPr>
            </w:pPr>
            <w:r>
              <w:rPr>
                <w:rFonts w:hint="eastAsia" w:ascii="仿宋" w:hAnsi="仿宋" w:eastAsia="仿宋" w:cs="仿宋"/>
                <w:sz w:val="20"/>
                <w:szCs w:val="20"/>
              </w:rPr>
              <w:t>导航体系</w:t>
            </w:r>
            <w:r>
              <w:rPr>
                <w:rFonts w:hint="eastAsia" w:ascii="仿宋" w:hAnsi="仿宋" w:eastAsia="仿宋" w:cs="仿宋"/>
                <w:sz w:val="20"/>
                <w:szCs w:val="20"/>
                <w:lang w:val="en-US" w:eastAsia="zh-CN"/>
              </w:rPr>
              <w:t>：</w:t>
            </w:r>
            <w:r>
              <w:rPr>
                <w:rFonts w:hint="eastAsia" w:ascii="仿宋" w:hAnsi="仿宋" w:eastAsia="仿宋" w:cs="仿宋"/>
                <w:sz w:val="20"/>
                <w:szCs w:val="20"/>
              </w:rPr>
              <w:t>学位授予单位导航</w:t>
            </w:r>
            <w:r>
              <w:rPr>
                <w:rFonts w:hint="eastAsia" w:ascii="仿宋" w:hAnsi="仿宋" w:eastAsia="仿宋" w:cs="仿宋"/>
                <w:sz w:val="20"/>
                <w:szCs w:val="20"/>
                <w:lang w:eastAsia="zh-CN"/>
              </w:rPr>
              <w:t>（</w:t>
            </w:r>
            <w:r>
              <w:rPr>
                <w:rFonts w:hint="eastAsia" w:ascii="仿宋" w:hAnsi="仿宋" w:eastAsia="仿宋" w:cs="仿宋"/>
                <w:sz w:val="20"/>
                <w:szCs w:val="20"/>
              </w:rPr>
              <w:t>包括</w:t>
            </w:r>
            <w:r>
              <w:rPr>
                <w:rFonts w:hint="eastAsia" w:ascii="仿宋" w:hAnsi="仿宋" w:eastAsia="仿宋" w:cs="仿宋"/>
                <w:sz w:val="20"/>
                <w:szCs w:val="20"/>
                <w:lang w:val="en-US" w:eastAsia="zh-CN"/>
              </w:rPr>
              <w:t>一流高校及学科导航、地域导航、学术型学科专业导航、专业型学科专业</w:t>
            </w:r>
            <w:r>
              <w:rPr>
                <w:rFonts w:hint="eastAsia" w:ascii="仿宋" w:hAnsi="仿宋" w:eastAsia="仿宋" w:cs="仿宋"/>
                <w:sz w:val="20"/>
                <w:szCs w:val="20"/>
              </w:rPr>
              <w:t>导航</w:t>
            </w:r>
            <w:r>
              <w:rPr>
                <w:rFonts w:hint="eastAsia" w:ascii="仿宋" w:hAnsi="仿宋" w:eastAsia="仿宋" w:cs="仿宋"/>
                <w:sz w:val="20"/>
                <w:szCs w:val="20"/>
                <w:lang w:eastAsia="zh-CN"/>
              </w:rPr>
              <w:t>）</w:t>
            </w:r>
            <w:r>
              <w:rPr>
                <w:rFonts w:hint="eastAsia" w:ascii="仿宋" w:hAnsi="仿宋" w:eastAsia="仿宋" w:cs="仿宋"/>
                <w:sz w:val="20"/>
                <w:szCs w:val="20"/>
              </w:rPr>
              <w:t>、文献分类导航</w:t>
            </w:r>
            <w:r>
              <w:rPr>
                <w:rFonts w:hint="eastAsia" w:ascii="仿宋" w:hAnsi="仿宋" w:eastAsia="仿宋" w:cs="仿宋"/>
                <w:sz w:val="20"/>
                <w:szCs w:val="20"/>
                <w:lang w:eastAsia="zh-CN"/>
              </w:rPr>
              <w:t>（</w:t>
            </w:r>
            <w:r>
              <w:rPr>
                <w:rFonts w:hint="eastAsia" w:ascii="仿宋" w:hAnsi="仿宋" w:eastAsia="仿宋" w:cs="仿宋"/>
                <w:sz w:val="20"/>
                <w:szCs w:val="20"/>
                <w:lang w:val="en-US" w:eastAsia="zh-CN"/>
              </w:rPr>
              <w:t>包括专辑专题</w:t>
            </w:r>
            <w:r>
              <w:rPr>
                <w:rFonts w:hint="eastAsia" w:ascii="仿宋" w:hAnsi="仿宋" w:eastAsia="仿宋" w:cs="仿宋"/>
                <w:sz w:val="20"/>
                <w:szCs w:val="20"/>
              </w:rPr>
              <w:t>导航</w:t>
            </w:r>
            <w:r>
              <w:rPr>
                <w:rFonts w:hint="eastAsia" w:ascii="仿宋" w:hAnsi="仿宋" w:eastAsia="仿宋" w:cs="仿宋"/>
                <w:sz w:val="20"/>
                <w:szCs w:val="20"/>
                <w:lang w:eastAsia="zh-CN"/>
              </w:rPr>
              <w:t>、</w:t>
            </w:r>
            <w:r>
              <w:rPr>
                <w:rFonts w:hint="eastAsia" w:ascii="仿宋" w:hAnsi="仿宋" w:eastAsia="仿宋" w:cs="仿宋"/>
                <w:sz w:val="20"/>
                <w:szCs w:val="20"/>
                <w:lang w:val="en-US" w:eastAsia="zh-CN"/>
              </w:rPr>
              <w:t>学科专业导航</w:t>
            </w:r>
            <w:r>
              <w:rPr>
                <w:rFonts w:hint="eastAsia" w:ascii="仿宋" w:hAnsi="仿宋" w:eastAsia="仿宋" w:cs="仿宋"/>
                <w:sz w:val="20"/>
                <w:szCs w:val="20"/>
                <w:lang w:eastAsia="zh-CN"/>
              </w:rPr>
              <w:t>）</w:t>
            </w:r>
            <w:r>
              <w:rPr>
                <w:rFonts w:hint="eastAsia" w:ascii="仿宋" w:hAnsi="仿宋" w:eastAsia="仿宋" w:cs="仿宋"/>
                <w:sz w:val="20"/>
                <w:szCs w:val="20"/>
              </w:rPr>
              <w:t>。</w:t>
            </w:r>
          </w:p>
          <w:p w14:paraId="27CFDF0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0"/>
                <w:szCs w:val="20"/>
              </w:rPr>
            </w:pPr>
            <w:r>
              <w:rPr>
                <w:rFonts w:hint="eastAsia" w:ascii="仿宋" w:hAnsi="仿宋" w:eastAsia="仿宋" w:cs="仿宋"/>
                <w:sz w:val="20"/>
                <w:szCs w:val="20"/>
              </w:rPr>
              <w:t>检索字段</w:t>
            </w:r>
            <w:r>
              <w:rPr>
                <w:rFonts w:hint="eastAsia" w:ascii="仿宋" w:hAnsi="仿宋" w:eastAsia="仿宋" w:cs="仿宋"/>
                <w:sz w:val="20"/>
                <w:szCs w:val="20"/>
                <w:lang w:val="en-US" w:eastAsia="zh-CN"/>
              </w:rPr>
              <w:t>：</w:t>
            </w:r>
            <w:r>
              <w:rPr>
                <w:rFonts w:hint="eastAsia" w:ascii="仿宋" w:hAnsi="仿宋" w:eastAsia="仿宋" w:cs="仿宋"/>
                <w:sz w:val="20"/>
                <w:szCs w:val="20"/>
              </w:rPr>
              <w:t>主题、篇关摘、关键词、题名、全文、作者、作者单位、导师、第一导师、学位授予单位、基金、摘要、目录、参考文献、中图分类号、学科专业名称、DOI。</w:t>
            </w:r>
          </w:p>
          <w:p w14:paraId="40681F2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0"/>
                <w:szCs w:val="20"/>
              </w:rPr>
            </w:pPr>
            <w:r>
              <w:rPr>
                <w:rFonts w:hint="eastAsia" w:ascii="仿宋" w:hAnsi="仿宋" w:eastAsia="仿宋" w:cs="仿宋"/>
                <w:sz w:val="20"/>
                <w:szCs w:val="20"/>
              </w:rPr>
              <w:t>下载方式</w:t>
            </w:r>
            <w:r>
              <w:rPr>
                <w:rFonts w:hint="eastAsia" w:ascii="仿宋" w:hAnsi="仿宋" w:eastAsia="仿宋" w:cs="仿宋"/>
                <w:sz w:val="20"/>
                <w:szCs w:val="20"/>
                <w:lang w:val="en-US" w:eastAsia="zh-CN"/>
              </w:rPr>
              <w:t>：原版目录、CAJ下载、PDF下载、章节下载（分页下载、分章下载）</w:t>
            </w:r>
            <w:r>
              <w:rPr>
                <w:rFonts w:hint="eastAsia" w:ascii="仿宋" w:hAnsi="仿宋" w:eastAsia="仿宋" w:cs="仿宋"/>
                <w:sz w:val="20"/>
                <w:szCs w:val="20"/>
              </w:rPr>
              <w:t>。</w:t>
            </w:r>
          </w:p>
          <w:p w14:paraId="596F3C7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0"/>
                <w:szCs w:val="20"/>
              </w:rPr>
            </w:pPr>
            <w:r>
              <w:rPr>
                <w:rFonts w:hint="eastAsia" w:ascii="仿宋" w:hAnsi="仿宋" w:eastAsia="仿宋" w:cs="仿宋"/>
                <w:sz w:val="20"/>
                <w:szCs w:val="20"/>
              </w:rPr>
              <w:t>知网节模块</w:t>
            </w:r>
            <w:r>
              <w:rPr>
                <w:rFonts w:hint="eastAsia" w:ascii="仿宋" w:hAnsi="仿宋" w:eastAsia="仿宋" w:cs="仿宋"/>
                <w:sz w:val="20"/>
                <w:szCs w:val="20"/>
                <w:lang w:val="en-US" w:eastAsia="zh-CN"/>
              </w:rPr>
              <w:t>：</w:t>
            </w:r>
            <w:r>
              <w:rPr>
                <w:rFonts w:hint="eastAsia" w:ascii="仿宋" w:hAnsi="仿宋" w:eastAsia="仿宋" w:cs="仿宋"/>
                <w:sz w:val="20"/>
                <w:szCs w:val="20"/>
              </w:rPr>
              <w:t>节点文献的二级参考文献、参考文献、共引文献、同被引文献、</w:t>
            </w:r>
          </w:p>
          <w:p w14:paraId="60C4E6D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0"/>
                <w:szCs w:val="20"/>
              </w:rPr>
            </w:pPr>
            <w:r>
              <w:rPr>
                <w:rFonts w:hint="eastAsia" w:ascii="仿宋" w:hAnsi="仿宋" w:eastAsia="仿宋" w:cs="仿宋"/>
                <w:sz w:val="20"/>
                <w:szCs w:val="20"/>
              </w:rPr>
              <w:t>引证文献、二级引证文献、相似文献、读者推荐</w:t>
            </w:r>
            <w:r>
              <w:rPr>
                <w:rFonts w:hint="eastAsia" w:ascii="仿宋" w:hAnsi="仿宋" w:eastAsia="仿宋" w:cs="仿宋"/>
                <w:sz w:val="20"/>
                <w:szCs w:val="20"/>
                <w:lang w:eastAsia="zh-CN"/>
              </w:rPr>
              <w:t>、</w:t>
            </w:r>
            <w:r>
              <w:rPr>
                <w:rFonts w:hint="eastAsia" w:ascii="仿宋" w:hAnsi="仿宋" w:eastAsia="仿宋" w:cs="仿宋"/>
                <w:sz w:val="20"/>
                <w:szCs w:val="20"/>
              </w:rPr>
              <w:t>相关基金文献</w:t>
            </w:r>
            <w:r>
              <w:rPr>
                <w:rFonts w:hint="eastAsia" w:ascii="仿宋" w:hAnsi="仿宋" w:eastAsia="仿宋" w:cs="仿宋"/>
                <w:sz w:val="20"/>
                <w:szCs w:val="20"/>
                <w:lang w:eastAsia="zh-CN"/>
              </w:rPr>
              <w:t>、</w:t>
            </w:r>
            <w:r>
              <w:rPr>
                <w:rFonts w:hint="eastAsia" w:ascii="仿宋" w:hAnsi="仿宋" w:eastAsia="仿宋" w:cs="仿宋"/>
                <w:sz w:val="20"/>
                <w:szCs w:val="20"/>
              </w:rPr>
              <w:t>关联作者、攻读期成果、相关视频，可以链接到期刊、学位论文、会议、报纸、专利、标准、年鉴、国际期刊、科技成果、图书等数据库使用。</w:t>
            </w:r>
          </w:p>
          <w:p w14:paraId="7AC51BB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0"/>
                <w:szCs w:val="20"/>
              </w:rPr>
            </w:pPr>
            <w:r>
              <w:rPr>
                <w:rFonts w:hint="eastAsia" w:ascii="仿宋" w:hAnsi="仿宋" w:eastAsia="仿宋" w:cs="仿宋"/>
                <w:sz w:val="20"/>
                <w:szCs w:val="20"/>
              </w:rPr>
              <w:t>检索结果处理</w:t>
            </w:r>
            <w:r>
              <w:rPr>
                <w:rFonts w:hint="eastAsia" w:ascii="仿宋" w:hAnsi="仿宋" w:eastAsia="仿宋" w:cs="仿宋"/>
                <w:sz w:val="20"/>
                <w:szCs w:val="20"/>
                <w:lang w:val="en-US" w:eastAsia="zh-CN"/>
              </w:rPr>
              <w:t>：</w:t>
            </w:r>
            <w:r>
              <w:rPr>
                <w:rFonts w:hint="eastAsia" w:ascii="仿宋" w:hAnsi="仿宋" w:eastAsia="仿宋" w:cs="仿宋"/>
                <w:sz w:val="20"/>
                <w:szCs w:val="20"/>
              </w:rPr>
              <w:t>支持通过分组排序检索结果进行进一步筛选，可按照主题（主要主题、次要主题）、学科、学位授予年度、研究层次、学位授予单位、导师、基金、学科专业等条件进行分组聚类，并且对于检索结果还能够按照相关度、出版时间、被引频次、下载频次、学位授予年度、综合等进行排序。还可以对结果进行批量下载、</w:t>
            </w:r>
            <w:ins w:id="0" w:author="rq [2]" w:date="2025-12-02T17:02:29Z">
              <w:r>
                <w:rPr>
                  <w:rFonts w:hint="eastAsia" w:ascii="仿宋" w:hAnsi="仿宋" w:eastAsia="仿宋" w:cs="仿宋"/>
                  <w:sz w:val="20"/>
                  <w:szCs w:val="20"/>
                  <w:lang w:val="en-US" w:eastAsia="zh-CN"/>
                </w:rPr>
                <w:t>≥</w:t>
              </w:r>
            </w:ins>
            <w:r>
              <w:rPr>
                <w:rFonts w:hint="eastAsia" w:ascii="仿宋" w:hAnsi="仿宋" w:eastAsia="仿宋" w:cs="仿宋"/>
                <w:sz w:val="20"/>
                <w:szCs w:val="20"/>
              </w:rPr>
              <w:t>12种格式的文献导出。</w:t>
            </w:r>
          </w:p>
          <w:p w14:paraId="7FACEBCA">
            <w:pPr>
              <w:bidi w:val="0"/>
              <w:rPr>
                <w:rFonts w:hint="eastAsia" w:ascii="仿宋" w:hAnsi="仿宋" w:eastAsia="仿宋" w:cs="仿宋"/>
                <w:sz w:val="20"/>
                <w:szCs w:val="20"/>
                <w:lang w:val="en-US" w:eastAsia="zh-CN"/>
              </w:rPr>
            </w:pPr>
            <w:bookmarkStart w:id="6" w:name="_Toc18498"/>
            <w:bookmarkStart w:id="7" w:name="_Toc2128"/>
            <w:bookmarkStart w:id="8" w:name="_Toc3192960"/>
            <w:r>
              <w:rPr>
                <w:rFonts w:hint="eastAsia" w:ascii="仿宋" w:hAnsi="仿宋" w:eastAsia="仿宋" w:cs="仿宋"/>
                <w:sz w:val="20"/>
                <w:szCs w:val="20"/>
                <w:lang w:val="en-US" w:eastAsia="zh-CN"/>
              </w:rPr>
              <w:t>【中国重要会议论文全文数据库（CPFD）】</w:t>
            </w:r>
            <w:bookmarkEnd w:id="6"/>
            <w:bookmarkEnd w:id="7"/>
          </w:p>
          <w:p w14:paraId="0C87E9C9">
            <w:pPr>
              <w:bidi w:val="0"/>
              <w:rPr>
                <w:rFonts w:hint="eastAsia" w:ascii="仿宋" w:hAnsi="仿宋" w:eastAsia="仿宋" w:cs="仿宋"/>
                <w:sz w:val="20"/>
                <w:szCs w:val="20"/>
              </w:rPr>
            </w:pPr>
            <w:r>
              <w:rPr>
                <w:rFonts w:hint="eastAsia" w:ascii="仿宋" w:hAnsi="仿宋" w:eastAsia="仿宋" w:cs="仿宋"/>
                <w:sz w:val="20"/>
                <w:szCs w:val="20"/>
              </w:rPr>
              <w:t>《中国重要会议论文全文数据库》遴选国内</w:t>
            </w:r>
            <w:r>
              <w:rPr>
                <w:rFonts w:hint="eastAsia" w:ascii="仿宋" w:hAnsi="仿宋" w:eastAsia="仿宋" w:cs="仿宋"/>
                <w:sz w:val="20"/>
                <w:szCs w:val="20"/>
                <w:lang w:eastAsia="zh"/>
              </w:rPr>
              <w:t>一万余</w:t>
            </w:r>
            <w:r>
              <w:rPr>
                <w:rFonts w:hint="eastAsia" w:ascii="仿宋" w:hAnsi="仿宋" w:eastAsia="仿宋" w:cs="仿宋"/>
                <w:sz w:val="20"/>
                <w:szCs w:val="20"/>
              </w:rPr>
              <w:t>家重要会议主办单位或论文汇编单位书面授权投稿的学术会议文献，基本囊括了我国各学科重要会议论文，是我国连续出版重要会议论文的全文数据库。</w:t>
            </w:r>
          </w:p>
          <w:p w14:paraId="3A75F376">
            <w:pPr>
              <w:bidi w:val="0"/>
              <w:rPr>
                <w:rFonts w:hint="eastAsia" w:ascii="仿宋" w:hAnsi="仿宋" w:eastAsia="仿宋" w:cs="仿宋"/>
                <w:sz w:val="20"/>
                <w:szCs w:val="20"/>
              </w:rPr>
            </w:pPr>
            <w:r>
              <w:rPr>
                <w:rFonts w:hint="eastAsia" w:ascii="仿宋" w:hAnsi="仿宋" w:eastAsia="仿宋" w:cs="仿宋"/>
                <w:sz w:val="20"/>
                <w:szCs w:val="20"/>
              </w:rPr>
              <w:t>刊号</w:t>
            </w:r>
            <w:r>
              <w:rPr>
                <w:rFonts w:hint="eastAsia" w:ascii="仿宋" w:hAnsi="仿宋" w:eastAsia="仿宋" w:cs="仿宋"/>
                <w:sz w:val="20"/>
                <w:szCs w:val="20"/>
                <w:lang w:eastAsia="zh-CN"/>
              </w:rPr>
              <w:t>：</w:t>
            </w:r>
            <w:r>
              <w:rPr>
                <w:rFonts w:hint="eastAsia" w:ascii="仿宋" w:hAnsi="仿宋" w:eastAsia="仿宋" w:cs="仿宋"/>
                <w:sz w:val="20"/>
                <w:szCs w:val="20"/>
              </w:rPr>
              <w:t>全国统一刊号CN</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11-9251/G  国际标准刊号 ISSN</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1671-6787</w:t>
            </w:r>
          </w:p>
          <w:p w14:paraId="5A5FB4AB">
            <w:pPr>
              <w:bidi w:val="0"/>
              <w:rPr>
                <w:rFonts w:hint="eastAsia" w:ascii="仿宋" w:hAnsi="仿宋" w:eastAsia="仿宋" w:cs="仿宋"/>
                <w:sz w:val="20"/>
                <w:szCs w:val="20"/>
              </w:rPr>
            </w:pPr>
            <w:r>
              <w:rPr>
                <w:rFonts w:hint="eastAsia" w:ascii="仿宋" w:hAnsi="仿宋" w:eastAsia="仿宋" w:cs="仿宋"/>
                <w:sz w:val="20"/>
                <w:szCs w:val="20"/>
              </w:rPr>
              <w:t>文献来源</w:t>
            </w:r>
            <w:r>
              <w:rPr>
                <w:rFonts w:hint="eastAsia" w:ascii="仿宋" w:hAnsi="仿宋" w:eastAsia="仿宋" w:cs="仿宋"/>
                <w:sz w:val="20"/>
                <w:szCs w:val="20"/>
                <w:lang w:eastAsia="zh-CN"/>
              </w:rPr>
              <w:t>：</w:t>
            </w:r>
            <w:r>
              <w:rPr>
                <w:rFonts w:hint="eastAsia" w:ascii="仿宋" w:hAnsi="仿宋" w:eastAsia="仿宋" w:cs="仿宋"/>
                <w:sz w:val="20"/>
                <w:szCs w:val="20"/>
              </w:rPr>
              <w:t>高校重点实验室、研究中心及院系主办的学术会议。</w:t>
            </w:r>
          </w:p>
          <w:p w14:paraId="4E422461">
            <w:pPr>
              <w:bidi w:val="0"/>
              <w:rPr>
                <w:rFonts w:hint="eastAsia" w:ascii="仿宋" w:hAnsi="仿宋" w:eastAsia="仿宋" w:cs="仿宋"/>
                <w:sz w:val="20"/>
                <w:szCs w:val="20"/>
              </w:rPr>
            </w:pPr>
            <w:r>
              <w:rPr>
                <w:rFonts w:hint="eastAsia" w:ascii="仿宋" w:hAnsi="仿宋" w:eastAsia="仿宋" w:cs="仿宋"/>
                <w:sz w:val="20"/>
                <w:szCs w:val="20"/>
              </w:rPr>
              <w:t>全国性学会及其分会、专业委员会主办的学术会议或论文评选。</w:t>
            </w:r>
          </w:p>
          <w:p w14:paraId="3C84A4E2">
            <w:pPr>
              <w:bidi w:val="0"/>
              <w:rPr>
                <w:rFonts w:hint="eastAsia" w:ascii="仿宋" w:hAnsi="仿宋" w:eastAsia="仿宋" w:cs="仿宋"/>
                <w:sz w:val="20"/>
                <w:szCs w:val="20"/>
              </w:rPr>
            </w:pPr>
            <w:r>
              <w:rPr>
                <w:rFonts w:hint="eastAsia" w:ascii="仿宋" w:hAnsi="仿宋" w:eastAsia="仿宋" w:cs="仿宋"/>
                <w:sz w:val="20"/>
                <w:szCs w:val="20"/>
              </w:rPr>
              <w:t>全国性行业协会及其分会主办的行业活动或发布的行业报告。</w:t>
            </w:r>
          </w:p>
          <w:p w14:paraId="7872FE85">
            <w:pPr>
              <w:bidi w:val="0"/>
              <w:rPr>
                <w:rFonts w:hint="eastAsia" w:ascii="仿宋" w:hAnsi="仿宋" w:eastAsia="仿宋" w:cs="仿宋"/>
                <w:sz w:val="20"/>
                <w:szCs w:val="20"/>
              </w:rPr>
            </w:pPr>
            <w:r>
              <w:rPr>
                <w:rFonts w:hint="eastAsia" w:ascii="仿宋" w:hAnsi="仿宋" w:eastAsia="仿宋" w:cs="仿宋"/>
                <w:sz w:val="20"/>
                <w:szCs w:val="20"/>
              </w:rPr>
              <w:t>地方性学会/协会主办的特色会议（选择性收录）。</w:t>
            </w:r>
          </w:p>
          <w:p w14:paraId="7D82B5D2">
            <w:pPr>
              <w:bidi w:val="0"/>
              <w:rPr>
                <w:rFonts w:hint="eastAsia" w:ascii="仿宋" w:hAnsi="仿宋" w:eastAsia="仿宋" w:cs="仿宋"/>
                <w:sz w:val="20"/>
                <w:szCs w:val="20"/>
              </w:rPr>
            </w:pPr>
            <w:r>
              <w:rPr>
                <w:rFonts w:hint="eastAsia" w:ascii="仿宋" w:hAnsi="仿宋" w:eastAsia="仿宋" w:cs="仿宋"/>
                <w:sz w:val="20"/>
                <w:szCs w:val="20"/>
              </w:rPr>
              <w:t>出版特点</w:t>
            </w:r>
            <w:r>
              <w:rPr>
                <w:rFonts w:hint="eastAsia" w:ascii="仿宋" w:hAnsi="仿宋" w:eastAsia="仿宋" w:cs="仿宋"/>
                <w:sz w:val="20"/>
                <w:szCs w:val="20"/>
                <w:lang w:eastAsia="zh-CN"/>
              </w:rPr>
              <w:t>：</w:t>
            </w:r>
            <w:r>
              <w:rPr>
                <w:rFonts w:hint="eastAsia" w:ascii="仿宋" w:hAnsi="仿宋" w:eastAsia="仿宋" w:cs="仿宋"/>
                <w:sz w:val="20"/>
                <w:szCs w:val="20"/>
              </w:rPr>
              <w:t>系列化：学术组织举办的重要会议具有固定的周期且连续性召开的特点，系列化出版完整体现了该学科领域不同阶段的热点问题，同时便于读者进行追溯研究。到目前为止，60% 的重要会议文献已实现系列化收录，可以为读者提供完整的系列化调研资料。</w:t>
            </w:r>
          </w:p>
          <w:p w14:paraId="049369FC">
            <w:pPr>
              <w:bidi w:val="0"/>
              <w:rPr>
                <w:rFonts w:hint="eastAsia" w:ascii="仿宋" w:hAnsi="仿宋" w:eastAsia="仿宋" w:cs="仿宋"/>
                <w:sz w:val="20"/>
                <w:szCs w:val="20"/>
              </w:rPr>
            </w:pPr>
            <w:r>
              <w:rPr>
                <w:rFonts w:hint="eastAsia" w:ascii="仿宋" w:hAnsi="仿宋" w:eastAsia="仿宋" w:cs="仿宋"/>
                <w:sz w:val="20"/>
                <w:szCs w:val="20"/>
              </w:rPr>
              <w:t>系统化：通过跨库检索、知网节功能与其他文献结合，实现与不同类型文献重新整合。</w:t>
            </w:r>
          </w:p>
          <w:p w14:paraId="3607CE71">
            <w:pPr>
              <w:bidi w:val="0"/>
              <w:rPr>
                <w:rFonts w:hint="eastAsia" w:ascii="仿宋" w:hAnsi="仿宋" w:eastAsia="仿宋" w:cs="仿宋"/>
                <w:sz w:val="20"/>
                <w:szCs w:val="20"/>
              </w:rPr>
            </w:pPr>
            <w:r>
              <w:rPr>
                <w:rFonts w:hint="eastAsia" w:ascii="仿宋" w:hAnsi="仿宋" w:eastAsia="仿宋" w:cs="仿宋"/>
                <w:sz w:val="20"/>
                <w:szCs w:val="20"/>
              </w:rPr>
              <w:t>出版授权</w:t>
            </w:r>
            <w:r>
              <w:rPr>
                <w:rFonts w:hint="eastAsia" w:ascii="仿宋" w:hAnsi="仿宋" w:eastAsia="仿宋" w:cs="仿宋"/>
                <w:sz w:val="20"/>
                <w:szCs w:val="20"/>
                <w:lang w:eastAsia="zh-CN"/>
              </w:rPr>
              <w:t>：</w:t>
            </w:r>
            <w:r>
              <w:rPr>
                <w:rFonts w:hint="eastAsia" w:ascii="仿宋" w:hAnsi="仿宋" w:eastAsia="仿宋" w:cs="仿宋"/>
                <w:sz w:val="20"/>
                <w:szCs w:val="20"/>
              </w:rPr>
              <w:t>签定会议论文出版授权协议书，取得会议主办方或汇编方及论文作者出版授权。</w:t>
            </w:r>
          </w:p>
          <w:p w14:paraId="7088ECDD">
            <w:pPr>
              <w:bidi w:val="0"/>
              <w:rPr>
                <w:rFonts w:hint="eastAsia" w:ascii="仿宋" w:hAnsi="仿宋" w:eastAsia="仿宋" w:cs="仿宋"/>
                <w:sz w:val="20"/>
                <w:szCs w:val="20"/>
              </w:rPr>
            </w:pPr>
            <w:r>
              <w:rPr>
                <w:rFonts w:hint="eastAsia" w:ascii="仿宋" w:hAnsi="仿宋" w:eastAsia="仿宋" w:cs="仿宋"/>
                <w:sz w:val="20"/>
                <w:szCs w:val="20"/>
              </w:rPr>
              <w:t>收录范围</w:t>
            </w:r>
            <w:r>
              <w:rPr>
                <w:rFonts w:hint="eastAsia" w:ascii="仿宋" w:hAnsi="仿宋" w:eastAsia="仿宋" w:cs="仿宋"/>
                <w:sz w:val="20"/>
                <w:szCs w:val="20"/>
                <w:lang w:eastAsia="zh-CN"/>
              </w:rPr>
              <w:t>：</w:t>
            </w:r>
            <w:r>
              <w:rPr>
                <w:rFonts w:hint="eastAsia" w:ascii="仿宋" w:hAnsi="仿宋" w:eastAsia="仿宋" w:cs="仿宋"/>
                <w:sz w:val="20"/>
                <w:szCs w:val="20"/>
              </w:rPr>
              <w:t>收录了由国内外近3500余家授权单位推荐的3万余次国内重要学术会议的论文。</w:t>
            </w:r>
          </w:p>
          <w:p w14:paraId="17B863CF">
            <w:pPr>
              <w:bidi w:val="0"/>
              <w:rPr>
                <w:rFonts w:hint="eastAsia" w:ascii="仿宋" w:hAnsi="仿宋" w:eastAsia="仿宋" w:cs="仿宋"/>
                <w:sz w:val="20"/>
                <w:szCs w:val="20"/>
              </w:rPr>
            </w:pPr>
            <w:r>
              <w:rPr>
                <w:rFonts w:hint="eastAsia" w:ascii="仿宋" w:hAnsi="仿宋" w:eastAsia="仿宋" w:cs="仿宋"/>
                <w:sz w:val="20"/>
                <w:szCs w:val="20"/>
              </w:rPr>
              <w:t>文献总量</w:t>
            </w:r>
            <w:r>
              <w:rPr>
                <w:rFonts w:hint="eastAsia" w:ascii="仿宋" w:hAnsi="仿宋" w:eastAsia="仿宋" w:cs="仿宋"/>
                <w:sz w:val="20"/>
                <w:szCs w:val="20"/>
                <w:lang w:eastAsia="zh-CN"/>
              </w:rPr>
              <w:t>：</w:t>
            </w:r>
            <w:r>
              <w:rPr>
                <w:rFonts w:hint="eastAsia" w:ascii="仿宋" w:hAnsi="仿宋" w:eastAsia="仿宋" w:cs="仿宋"/>
                <w:sz w:val="20"/>
                <w:szCs w:val="20"/>
              </w:rPr>
              <w:t>截至202</w:t>
            </w:r>
            <w:r>
              <w:rPr>
                <w:rFonts w:hint="eastAsia" w:ascii="仿宋" w:hAnsi="仿宋" w:eastAsia="仿宋" w:cs="仿宋"/>
                <w:sz w:val="20"/>
                <w:szCs w:val="20"/>
                <w:lang w:eastAsia="zh"/>
              </w:rPr>
              <w:t>5</w:t>
            </w:r>
            <w:r>
              <w:rPr>
                <w:rFonts w:hint="eastAsia" w:ascii="仿宋" w:hAnsi="仿宋" w:eastAsia="仿宋" w:cs="仿宋"/>
                <w:sz w:val="20"/>
                <w:szCs w:val="20"/>
              </w:rPr>
              <w:t>年1月收录</w:t>
            </w:r>
            <w:r>
              <w:rPr>
                <w:rFonts w:hint="eastAsia" w:ascii="仿宋" w:hAnsi="仿宋" w:eastAsia="仿宋" w:cs="仿宋"/>
                <w:sz w:val="20"/>
                <w:szCs w:val="20"/>
                <w:lang w:val="en-US" w:eastAsia="zh-CN"/>
              </w:rPr>
              <w:t>全库</w:t>
            </w:r>
            <w:r>
              <w:rPr>
                <w:rFonts w:hint="eastAsia" w:ascii="仿宋" w:hAnsi="仿宋" w:eastAsia="仿宋" w:cs="仿宋"/>
                <w:sz w:val="20"/>
                <w:szCs w:val="20"/>
              </w:rPr>
              <w:t>论文28</w:t>
            </w:r>
            <w:r>
              <w:rPr>
                <w:rFonts w:hint="eastAsia" w:ascii="仿宋" w:hAnsi="仿宋" w:eastAsia="仿宋" w:cs="仿宋"/>
                <w:sz w:val="20"/>
                <w:szCs w:val="20"/>
                <w:lang w:eastAsia="zh"/>
              </w:rPr>
              <w:t>9</w:t>
            </w:r>
            <w:r>
              <w:rPr>
                <w:rFonts w:hint="eastAsia" w:ascii="仿宋" w:hAnsi="仿宋" w:eastAsia="仿宋" w:cs="仿宋"/>
                <w:sz w:val="20"/>
                <w:szCs w:val="20"/>
              </w:rPr>
              <w:t>万余篇。202</w:t>
            </w:r>
            <w:r>
              <w:rPr>
                <w:rFonts w:hint="eastAsia" w:ascii="仿宋" w:hAnsi="仿宋" w:eastAsia="仿宋" w:cs="仿宋"/>
                <w:sz w:val="20"/>
                <w:szCs w:val="20"/>
                <w:lang w:eastAsia="zh"/>
              </w:rPr>
              <w:t>5</w:t>
            </w:r>
            <w:r>
              <w:rPr>
                <w:rFonts w:hint="eastAsia" w:ascii="仿宋" w:hAnsi="仿宋" w:eastAsia="仿宋" w:cs="仿宋"/>
                <w:sz w:val="20"/>
                <w:szCs w:val="20"/>
              </w:rPr>
              <w:t>年计划出版：80000篇。</w:t>
            </w:r>
          </w:p>
          <w:p w14:paraId="1A22E215">
            <w:pPr>
              <w:bidi w:val="0"/>
              <w:rPr>
                <w:rFonts w:hint="eastAsia" w:ascii="仿宋" w:hAnsi="仿宋" w:eastAsia="仿宋" w:cs="仿宋"/>
                <w:sz w:val="20"/>
                <w:szCs w:val="20"/>
              </w:rPr>
            </w:pPr>
            <w:r>
              <w:rPr>
                <w:rFonts w:hint="eastAsia" w:ascii="仿宋" w:hAnsi="仿宋" w:eastAsia="仿宋" w:cs="仿宋"/>
                <w:sz w:val="20"/>
                <w:szCs w:val="20"/>
              </w:rPr>
              <w:t>收录年限</w:t>
            </w:r>
            <w:r>
              <w:rPr>
                <w:rFonts w:hint="eastAsia" w:ascii="仿宋" w:hAnsi="仿宋" w:eastAsia="仿宋" w:cs="仿宋"/>
                <w:sz w:val="20"/>
                <w:szCs w:val="20"/>
                <w:lang w:eastAsia="zh-CN"/>
              </w:rPr>
              <w:t>：</w:t>
            </w:r>
            <w:r>
              <w:rPr>
                <w:rFonts w:hint="eastAsia" w:ascii="仿宋" w:hAnsi="仿宋" w:eastAsia="仿宋" w:cs="仿宋"/>
                <w:sz w:val="20"/>
                <w:szCs w:val="20"/>
              </w:rPr>
              <w:t>1953年至今。</w:t>
            </w:r>
          </w:p>
          <w:p w14:paraId="4E5E627B">
            <w:pPr>
              <w:bidi w:val="0"/>
              <w:rPr>
                <w:rFonts w:hint="eastAsia" w:ascii="仿宋" w:hAnsi="仿宋" w:eastAsia="仿宋" w:cs="仿宋"/>
                <w:sz w:val="20"/>
                <w:szCs w:val="20"/>
              </w:rPr>
            </w:pPr>
            <w:r>
              <w:rPr>
                <w:rFonts w:hint="eastAsia" w:ascii="仿宋" w:hAnsi="仿宋" w:eastAsia="仿宋" w:cs="仿宋"/>
                <w:sz w:val="20"/>
                <w:szCs w:val="20"/>
              </w:rPr>
              <w:t>出版时效</w:t>
            </w:r>
            <w:r>
              <w:rPr>
                <w:rFonts w:hint="eastAsia" w:ascii="仿宋" w:hAnsi="仿宋" w:eastAsia="仿宋" w:cs="仿宋"/>
                <w:sz w:val="20"/>
                <w:szCs w:val="20"/>
                <w:lang w:eastAsia="zh-CN"/>
              </w:rPr>
              <w:t>：</w:t>
            </w:r>
            <w:r>
              <w:rPr>
                <w:rFonts w:hint="eastAsia" w:ascii="仿宋" w:hAnsi="仿宋" w:eastAsia="仿宋" w:cs="仿宋"/>
                <w:sz w:val="20"/>
                <w:szCs w:val="20"/>
                <w:lang w:val="en-US" w:eastAsia="zh-CN"/>
              </w:rPr>
              <w:t>平均</w:t>
            </w:r>
            <w:r>
              <w:rPr>
                <w:rFonts w:hint="eastAsia" w:ascii="仿宋" w:hAnsi="仿宋" w:eastAsia="仿宋" w:cs="仿宋"/>
                <w:sz w:val="20"/>
                <w:szCs w:val="20"/>
              </w:rPr>
              <w:t>当年会议结束之后</w:t>
            </w:r>
            <w:r>
              <w:rPr>
                <w:rFonts w:hint="eastAsia" w:ascii="仿宋" w:hAnsi="仿宋" w:eastAsia="仿宋" w:cs="仿宋"/>
                <w:sz w:val="20"/>
                <w:szCs w:val="20"/>
                <w:lang w:val="en-US" w:eastAsia="zh-CN"/>
              </w:rPr>
              <w:t>2</w:t>
            </w:r>
            <w:r>
              <w:rPr>
                <w:rFonts w:hint="eastAsia" w:ascii="仿宋" w:hAnsi="仿宋" w:eastAsia="仿宋" w:cs="仿宋"/>
                <w:sz w:val="20"/>
                <w:szCs w:val="20"/>
              </w:rPr>
              <w:t>个月内出版会议论文网络版。</w:t>
            </w:r>
          </w:p>
          <w:p w14:paraId="394B6849">
            <w:pPr>
              <w:bidi w:val="0"/>
              <w:rPr>
                <w:rFonts w:hint="eastAsia" w:ascii="仿宋" w:hAnsi="仿宋" w:eastAsia="仿宋" w:cs="仿宋"/>
                <w:sz w:val="20"/>
                <w:szCs w:val="20"/>
              </w:rPr>
            </w:pPr>
            <w:r>
              <w:rPr>
                <w:rFonts w:hint="eastAsia" w:ascii="仿宋" w:hAnsi="仿宋" w:eastAsia="仿宋" w:cs="仿宋"/>
                <w:sz w:val="20"/>
                <w:szCs w:val="20"/>
              </w:rPr>
              <w:t>更新频率</w:t>
            </w:r>
            <w:r>
              <w:rPr>
                <w:rFonts w:hint="eastAsia" w:ascii="仿宋" w:hAnsi="仿宋" w:eastAsia="仿宋" w:cs="仿宋"/>
                <w:sz w:val="20"/>
                <w:szCs w:val="20"/>
                <w:lang w:eastAsia="zh-CN"/>
              </w:rPr>
              <w:t>：</w:t>
            </w:r>
            <w:r>
              <w:rPr>
                <w:rFonts w:hint="eastAsia" w:ascii="仿宋" w:hAnsi="仿宋" w:eastAsia="仿宋" w:cs="仿宋"/>
                <w:sz w:val="20"/>
                <w:szCs w:val="20"/>
              </w:rPr>
              <w:t>1、实时更新：云租用、云托管、云机构馆托管。</w:t>
            </w:r>
          </w:p>
          <w:p w14:paraId="49B4A392">
            <w:pPr>
              <w:bidi w:val="0"/>
              <w:ind w:firstLine="1000" w:firstLineChars="500"/>
              <w:rPr>
                <w:rFonts w:hint="eastAsia" w:ascii="仿宋" w:hAnsi="仿宋" w:eastAsia="仿宋" w:cs="仿宋"/>
                <w:sz w:val="20"/>
                <w:szCs w:val="20"/>
              </w:rPr>
            </w:pPr>
            <w:r>
              <w:rPr>
                <w:rFonts w:hint="eastAsia" w:ascii="仿宋" w:hAnsi="仿宋" w:eastAsia="仿宋" w:cs="仿宋"/>
                <w:sz w:val="20"/>
                <w:szCs w:val="20"/>
              </w:rPr>
              <w:t>2、月出版：镜像版，每月10日出版。</w:t>
            </w:r>
          </w:p>
          <w:p w14:paraId="50C64B46">
            <w:pPr>
              <w:bidi w:val="0"/>
              <w:rPr>
                <w:rFonts w:hint="eastAsia" w:ascii="仿宋" w:hAnsi="仿宋" w:eastAsia="仿宋" w:cs="仿宋"/>
                <w:sz w:val="20"/>
                <w:szCs w:val="20"/>
              </w:rPr>
            </w:pPr>
            <w:r>
              <w:rPr>
                <w:rFonts w:hint="eastAsia" w:ascii="仿宋" w:hAnsi="仿宋" w:eastAsia="仿宋" w:cs="仿宋"/>
                <w:sz w:val="20"/>
                <w:szCs w:val="20"/>
              </w:rPr>
              <w:t>导航体系</w:t>
            </w:r>
            <w:r>
              <w:rPr>
                <w:rFonts w:hint="eastAsia" w:ascii="仿宋" w:hAnsi="仿宋" w:eastAsia="仿宋" w:cs="仿宋"/>
                <w:sz w:val="20"/>
                <w:szCs w:val="20"/>
                <w:lang w:eastAsia="zh-CN"/>
              </w:rPr>
              <w:t>：</w:t>
            </w:r>
            <w:r>
              <w:rPr>
                <w:rFonts w:hint="eastAsia" w:ascii="仿宋" w:hAnsi="仿宋" w:eastAsia="仿宋" w:cs="仿宋"/>
                <w:sz w:val="20"/>
                <w:szCs w:val="20"/>
              </w:rPr>
              <w:t>文献分类导航、会议导航、论文集导航、主办单位导航。</w:t>
            </w:r>
          </w:p>
          <w:p w14:paraId="1258BE79">
            <w:pPr>
              <w:bidi w:val="0"/>
              <w:rPr>
                <w:rFonts w:hint="eastAsia" w:ascii="仿宋" w:hAnsi="仿宋" w:eastAsia="仿宋" w:cs="仿宋"/>
                <w:sz w:val="20"/>
                <w:szCs w:val="20"/>
              </w:rPr>
            </w:pPr>
            <w:r>
              <w:rPr>
                <w:rFonts w:hint="eastAsia" w:ascii="仿宋" w:hAnsi="仿宋" w:eastAsia="仿宋" w:cs="仿宋"/>
                <w:sz w:val="20"/>
                <w:szCs w:val="20"/>
              </w:rPr>
              <w:t>检索字段</w:t>
            </w:r>
            <w:r>
              <w:rPr>
                <w:rFonts w:hint="eastAsia" w:ascii="仿宋" w:hAnsi="仿宋" w:eastAsia="仿宋" w:cs="仿宋"/>
                <w:sz w:val="20"/>
                <w:szCs w:val="20"/>
                <w:lang w:eastAsia="zh-CN"/>
              </w:rPr>
              <w:t>：</w:t>
            </w:r>
            <w:r>
              <w:rPr>
                <w:rFonts w:hint="eastAsia" w:ascii="仿宋" w:hAnsi="仿宋" w:eastAsia="仿宋" w:cs="仿宋"/>
                <w:sz w:val="20"/>
                <w:szCs w:val="20"/>
              </w:rPr>
              <w:t>主题、篇关摘、篇名、关键词、摘要、作者、第一作者、单位、论文集名称、会议名称、主办单位、全文、参考文献、基金、小标题、中图分类号、DOI、会议时间、更新时间、报告级别、论文集类型、语种。</w:t>
            </w:r>
          </w:p>
          <w:p w14:paraId="58C5302B">
            <w:pPr>
              <w:bidi w:val="0"/>
              <w:rPr>
                <w:rFonts w:hint="eastAsia" w:ascii="仿宋" w:hAnsi="仿宋" w:eastAsia="仿宋" w:cs="仿宋"/>
                <w:sz w:val="20"/>
                <w:szCs w:val="20"/>
              </w:rPr>
            </w:pPr>
            <w:r>
              <w:rPr>
                <w:rFonts w:hint="eastAsia" w:ascii="仿宋" w:hAnsi="仿宋" w:eastAsia="仿宋" w:cs="仿宋"/>
                <w:sz w:val="20"/>
                <w:szCs w:val="20"/>
              </w:rPr>
              <w:t>检索结果处理</w:t>
            </w:r>
            <w:r>
              <w:rPr>
                <w:rFonts w:hint="eastAsia" w:ascii="仿宋" w:hAnsi="仿宋" w:eastAsia="仿宋" w:cs="仿宋"/>
                <w:sz w:val="20"/>
                <w:szCs w:val="20"/>
                <w:lang w:eastAsia="zh-CN"/>
              </w:rPr>
              <w:t>：</w:t>
            </w:r>
            <w:r>
              <w:rPr>
                <w:rFonts w:hint="eastAsia" w:ascii="仿宋" w:hAnsi="仿宋" w:eastAsia="仿宋" w:cs="仿宋"/>
                <w:sz w:val="20"/>
                <w:szCs w:val="20"/>
              </w:rPr>
              <w:t>支持通过分组排序对检索结果进行进一步筛选，可以按照科技、社科、主题（主要主题、次要主题）、主办单位、学科、会议论文集、基金、作者、单位、发表年度等进行分组浏览，也可以按照会议召开时间、相关度、被引频次、下载频次等进行排序浏览。</w:t>
            </w:r>
          </w:p>
          <w:p w14:paraId="0CA20003">
            <w:pPr>
              <w:bidi w:val="0"/>
              <w:rPr>
                <w:rFonts w:hint="eastAsia" w:ascii="仿宋" w:hAnsi="仿宋" w:eastAsia="仿宋" w:cs="仿宋"/>
                <w:sz w:val="20"/>
                <w:szCs w:val="20"/>
              </w:rPr>
            </w:pPr>
            <w:r>
              <w:rPr>
                <w:rFonts w:hint="eastAsia" w:ascii="仿宋" w:hAnsi="仿宋" w:eastAsia="仿宋" w:cs="仿宋"/>
                <w:sz w:val="20"/>
                <w:szCs w:val="20"/>
              </w:rPr>
              <w:t>知网节模块</w:t>
            </w:r>
            <w:r>
              <w:rPr>
                <w:rFonts w:hint="eastAsia" w:ascii="仿宋" w:hAnsi="仿宋" w:eastAsia="仿宋" w:cs="仿宋"/>
                <w:sz w:val="20"/>
                <w:szCs w:val="20"/>
                <w:lang w:eastAsia="zh-CN"/>
              </w:rPr>
              <w:t>：</w:t>
            </w:r>
            <w:r>
              <w:rPr>
                <w:rFonts w:hint="eastAsia" w:ascii="仿宋" w:hAnsi="仿宋" w:eastAsia="仿宋" w:cs="仿宋"/>
                <w:sz w:val="20"/>
                <w:szCs w:val="20"/>
              </w:rPr>
              <w:t>会议论文的基本信息、会议论文集名称、摘要、关键词、会议名称、会议时间、会议地点、专辑、专题、DOI、分类号、作者知网节、机构知网节、关键词知网节、基金知网节、节点文献的二级参考文献、参考文献、共引文献、同被引文献、引证文献、二级引证文献、相似文献、关联作者、读者推荐文献、相关基金文献、相关视频，并图示节点文献的引文网络，可以链接到期刊、博硕、会议、报纸、专利、标准、年鉴、国际期刊、科技成果、图书等数据库使用。</w:t>
            </w:r>
          </w:p>
          <w:p w14:paraId="73D704C7">
            <w:pPr>
              <w:tabs>
                <w:tab w:val="left" w:pos="1830"/>
              </w:tabs>
              <w:spacing w:line="360" w:lineRule="auto"/>
              <w:ind w:left="1680" w:hanging="1400" w:hangingChars="700"/>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各专辑文献来源一级学会（部分）列表：</w:t>
            </w:r>
          </w:p>
          <w:tbl>
            <w:tblPr>
              <w:tblStyle w:val="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5961"/>
            </w:tblGrid>
            <w:tr w14:paraId="4C343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838" w:type="pct"/>
                  <w:noWrap w:val="0"/>
                  <w:vAlign w:val="top"/>
                </w:tcPr>
                <w:p w14:paraId="7D98E32E">
                  <w:pPr>
                    <w:jc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专辑</w:t>
                  </w:r>
                </w:p>
              </w:tc>
              <w:tc>
                <w:tcPr>
                  <w:tcW w:w="4161" w:type="pct"/>
                  <w:noWrap w:val="0"/>
                  <w:vAlign w:val="top"/>
                </w:tcPr>
                <w:p w14:paraId="36060E98">
                  <w:pPr>
                    <w:jc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学会名称</w:t>
                  </w:r>
                </w:p>
              </w:tc>
            </w:tr>
            <w:tr w14:paraId="7417B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38" w:type="pct"/>
                  <w:noWrap w:val="0"/>
                  <w:vAlign w:val="center"/>
                </w:tcPr>
                <w:p w14:paraId="0C9DEFA3">
                  <w:pPr>
                    <w:jc w:val="left"/>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基础科学</w:t>
                  </w:r>
                </w:p>
              </w:tc>
              <w:tc>
                <w:tcPr>
                  <w:tcW w:w="4161" w:type="pct"/>
                  <w:noWrap w:val="0"/>
                  <w:vAlign w:val="top"/>
                </w:tcPr>
                <w:p w14:paraId="71F44142">
                  <w:pP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中国科学技术协会、中国力学学会、中国气象学会、中国地质学会、中国天文学会、中国地球物理学会、中国地理学会、中国海洋学会、中国生物物理学会</w:t>
                  </w:r>
                </w:p>
              </w:tc>
            </w:tr>
            <w:tr w14:paraId="28F34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838" w:type="pct"/>
                  <w:noWrap w:val="0"/>
                  <w:vAlign w:val="center"/>
                </w:tcPr>
                <w:p w14:paraId="4F2A74C6">
                  <w:pPr>
                    <w:jc w:val="left"/>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工程科技Ⅰ辑</w:t>
                  </w:r>
                </w:p>
              </w:tc>
              <w:tc>
                <w:tcPr>
                  <w:tcW w:w="4161" w:type="pct"/>
                  <w:noWrap w:val="0"/>
                  <w:vAlign w:val="top"/>
                </w:tcPr>
                <w:p w14:paraId="2540834B">
                  <w:pP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中国化学会、中国金属学会、中国煤炭学会、中国纺织工程学会、中国材料研究学会、中国环境科学学会、中国营养学会、中国食品科学技术学会</w:t>
                  </w:r>
                </w:p>
              </w:tc>
            </w:tr>
            <w:tr w14:paraId="6E8D2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38" w:type="pct"/>
                  <w:noWrap w:val="0"/>
                  <w:vAlign w:val="center"/>
                </w:tcPr>
                <w:p w14:paraId="4AA1B367">
                  <w:pPr>
                    <w:jc w:val="left"/>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工程科技Ⅱ辑</w:t>
                  </w:r>
                </w:p>
              </w:tc>
              <w:tc>
                <w:tcPr>
                  <w:tcW w:w="4161" w:type="pct"/>
                  <w:noWrap w:val="0"/>
                  <w:vAlign w:val="top"/>
                </w:tcPr>
                <w:p w14:paraId="33AB78DE">
                  <w:pP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中国核学会、中国机械工程学会、中国土木工程学会、中国造船工程学会、中国水力发电工程学会、中国城市科学研究会、中国建筑学会、中国公路学会</w:t>
                  </w:r>
                </w:p>
              </w:tc>
            </w:tr>
            <w:tr w14:paraId="58A64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838" w:type="pct"/>
                  <w:noWrap w:val="0"/>
                  <w:vAlign w:val="center"/>
                </w:tcPr>
                <w:p w14:paraId="1DA840F4">
                  <w:pPr>
                    <w:jc w:val="left"/>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农业科技</w:t>
                  </w:r>
                </w:p>
              </w:tc>
              <w:tc>
                <w:tcPr>
                  <w:tcW w:w="4161" w:type="pct"/>
                  <w:noWrap w:val="0"/>
                  <w:vAlign w:val="top"/>
                </w:tcPr>
                <w:p w14:paraId="7E89D9EB">
                  <w:pP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中国农学会、中国林学会、中国畜牧兽医学会、中国植物学会、中国园艺学会、中国作物学会、中国风景园林学会、中国植物保护学会</w:t>
                  </w:r>
                </w:p>
              </w:tc>
            </w:tr>
            <w:tr w14:paraId="0BEEF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38" w:type="pct"/>
                  <w:noWrap w:val="0"/>
                  <w:vAlign w:val="center"/>
                </w:tcPr>
                <w:p w14:paraId="6C0AA6BD">
                  <w:pPr>
                    <w:jc w:val="left"/>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医药卫生科技</w:t>
                  </w:r>
                </w:p>
              </w:tc>
              <w:tc>
                <w:tcPr>
                  <w:tcW w:w="4161" w:type="pct"/>
                  <w:noWrap w:val="0"/>
                  <w:vAlign w:val="top"/>
                </w:tcPr>
                <w:p w14:paraId="796B852A">
                  <w:pP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中华医学会、中华中医药学会、中国中西医结合学会、中华预防医学会、中国药学会、中国医院协会、中国康复医学会、中华口腔医学会、</w:t>
                  </w:r>
                  <w:r>
                    <w:rPr>
                      <w:rFonts w:hint="eastAsia" w:ascii="仿宋" w:hAnsi="仿宋" w:eastAsia="仿宋" w:cs="仿宋"/>
                      <w:color w:val="auto"/>
                      <w:sz w:val="20"/>
                      <w:szCs w:val="20"/>
                      <w:highlight w:val="none"/>
                    </w:rPr>
                    <w:fldChar w:fldCharType="begin"/>
                  </w:r>
                  <w:r>
                    <w:rPr>
                      <w:rFonts w:hint="eastAsia" w:ascii="仿宋" w:hAnsi="仿宋" w:eastAsia="仿宋" w:cs="仿宋"/>
                      <w:color w:val="auto"/>
                      <w:sz w:val="20"/>
                      <w:szCs w:val="20"/>
                      <w:highlight w:val="none"/>
                    </w:rPr>
                    <w:instrText xml:space="preserve"> HYPERLINK "http://www.chntox.org/" </w:instrText>
                  </w:r>
                  <w:r>
                    <w:rPr>
                      <w:rFonts w:hint="eastAsia" w:ascii="仿宋" w:hAnsi="仿宋" w:eastAsia="仿宋" w:cs="仿宋"/>
                      <w:color w:val="auto"/>
                      <w:sz w:val="20"/>
                      <w:szCs w:val="20"/>
                      <w:highlight w:val="none"/>
                    </w:rPr>
                    <w:fldChar w:fldCharType="separate"/>
                  </w:r>
                  <w:r>
                    <w:rPr>
                      <w:rFonts w:hint="eastAsia" w:ascii="仿宋" w:hAnsi="仿宋" w:eastAsia="仿宋" w:cs="仿宋"/>
                      <w:color w:val="auto"/>
                      <w:sz w:val="20"/>
                      <w:szCs w:val="20"/>
                      <w:highlight w:val="none"/>
                    </w:rPr>
                    <w:t>中国毒理学会</w:t>
                  </w:r>
                  <w:r>
                    <w:rPr>
                      <w:rFonts w:hint="eastAsia" w:ascii="仿宋" w:hAnsi="仿宋" w:eastAsia="仿宋" w:cs="仿宋"/>
                      <w:color w:val="auto"/>
                      <w:sz w:val="20"/>
                      <w:szCs w:val="20"/>
                      <w:highlight w:val="none"/>
                    </w:rPr>
                    <w:fldChar w:fldCharType="end"/>
                  </w:r>
                </w:p>
              </w:tc>
            </w:tr>
            <w:tr w14:paraId="1F804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838" w:type="pct"/>
                  <w:noWrap w:val="0"/>
                  <w:vAlign w:val="center"/>
                </w:tcPr>
                <w:p w14:paraId="3F798F97">
                  <w:pPr>
                    <w:jc w:val="left"/>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信息科技</w:t>
                  </w:r>
                </w:p>
              </w:tc>
              <w:tc>
                <w:tcPr>
                  <w:tcW w:w="4161" w:type="pct"/>
                  <w:noWrap w:val="0"/>
                  <w:vAlign w:val="top"/>
                </w:tcPr>
                <w:p w14:paraId="47D0D1BC">
                  <w:pP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中国电子学会、中国通信学会、中国计算机学会、中国自动化学会</w:t>
                  </w:r>
                </w:p>
              </w:tc>
            </w:tr>
            <w:tr w14:paraId="4446E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38" w:type="pct"/>
                  <w:noWrap w:val="0"/>
                  <w:vAlign w:val="center"/>
                </w:tcPr>
                <w:p w14:paraId="29518221">
                  <w:pPr>
                    <w:widowControl/>
                    <w:jc w:val="left"/>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文史哲</w:t>
                  </w:r>
                </w:p>
              </w:tc>
              <w:tc>
                <w:tcPr>
                  <w:tcW w:w="4161" w:type="pct"/>
                  <w:noWrap w:val="0"/>
                  <w:vAlign w:val="top"/>
                </w:tcPr>
                <w:p w14:paraId="11F001B1">
                  <w:pP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中国艺术研究院、中国社会主义文艺学会、中国国际共产主义运动史学会、中国科普研究所</w:t>
                  </w:r>
                </w:p>
              </w:tc>
            </w:tr>
            <w:tr w14:paraId="688FD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38" w:type="pct"/>
                  <w:noWrap w:val="0"/>
                  <w:vAlign w:val="center"/>
                </w:tcPr>
                <w:p w14:paraId="59D6F624">
                  <w:pPr>
                    <w:widowControl/>
                    <w:jc w:val="left"/>
                    <w:rPr>
                      <w:rFonts w:hint="eastAsia" w:ascii="仿宋" w:hAnsi="仿宋" w:eastAsia="仿宋" w:cs="仿宋"/>
                      <w:color w:val="auto"/>
                      <w:kern w:val="0"/>
                      <w:sz w:val="20"/>
                      <w:szCs w:val="20"/>
                      <w:highlight w:val="none"/>
                    </w:rPr>
                  </w:pPr>
                  <w:r>
                    <w:rPr>
                      <w:rFonts w:hint="eastAsia" w:ascii="仿宋" w:hAnsi="仿宋" w:eastAsia="仿宋" w:cs="仿宋"/>
                      <w:color w:val="auto"/>
                      <w:sz w:val="20"/>
                      <w:szCs w:val="20"/>
                      <w:highlight w:val="none"/>
                    </w:rPr>
                    <w:t>社会科学Ⅰ辑</w:t>
                  </w:r>
                </w:p>
              </w:tc>
              <w:tc>
                <w:tcPr>
                  <w:tcW w:w="4161" w:type="pct"/>
                  <w:noWrap w:val="0"/>
                  <w:vAlign w:val="top"/>
                </w:tcPr>
                <w:p w14:paraId="13413B7F">
                  <w:pP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中国领导科学研究会、中共中央党校哲学教研部、中国青少年研究中心、国家法官学院、上海市法学会</w:t>
                  </w:r>
                </w:p>
              </w:tc>
            </w:tr>
            <w:tr w14:paraId="7DA50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38" w:type="pct"/>
                  <w:noWrap w:val="0"/>
                  <w:vAlign w:val="center"/>
                </w:tcPr>
                <w:p w14:paraId="224A51E2">
                  <w:pPr>
                    <w:widowControl/>
                    <w:jc w:val="left"/>
                    <w:rPr>
                      <w:rFonts w:hint="eastAsia" w:ascii="仿宋" w:hAnsi="仿宋" w:eastAsia="仿宋" w:cs="仿宋"/>
                      <w:color w:val="auto"/>
                      <w:kern w:val="0"/>
                      <w:sz w:val="20"/>
                      <w:szCs w:val="20"/>
                      <w:highlight w:val="none"/>
                    </w:rPr>
                  </w:pPr>
                  <w:r>
                    <w:rPr>
                      <w:rFonts w:hint="eastAsia" w:ascii="仿宋" w:hAnsi="仿宋" w:eastAsia="仿宋" w:cs="仿宋"/>
                      <w:color w:val="auto"/>
                      <w:sz w:val="20"/>
                      <w:szCs w:val="20"/>
                      <w:highlight w:val="none"/>
                    </w:rPr>
                    <w:t>社会科学Ⅱ辑</w:t>
                  </w:r>
                </w:p>
              </w:tc>
              <w:tc>
                <w:tcPr>
                  <w:tcW w:w="4161" w:type="pct"/>
                  <w:noWrap w:val="0"/>
                  <w:vAlign w:val="top"/>
                </w:tcPr>
                <w:p w14:paraId="27DE88AD">
                  <w:pP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中国高等教育学会、中国体育科学学会、中国统计教育学会、中文教学现代化学会</w:t>
                  </w:r>
                </w:p>
              </w:tc>
            </w:tr>
            <w:tr w14:paraId="31B11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838" w:type="pct"/>
                  <w:noWrap w:val="0"/>
                  <w:vAlign w:val="center"/>
                </w:tcPr>
                <w:p w14:paraId="253EBBDF">
                  <w:pPr>
                    <w:widowControl/>
                    <w:jc w:val="left"/>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经济与管理</w:t>
                  </w:r>
                </w:p>
              </w:tc>
              <w:tc>
                <w:tcPr>
                  <w:tcW w:w="4161" w:type="pct"/>
                  <w:noWrap w:val="0"/>
                  <w:vAlign w:val="top"/>
                </w:tcPr>
                <w:p w14:paraId="013AFD64">
                  <w:pP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中国国际经济交流中心、中国企业改革与发展研究会、中国财政学会、中国证券业协会</w:t>
                  </w:r>
                </w:p>
              </w:tc>
            </w:tr>
          </w:tbl>
          <w:p w14:paraId="09C0579F">
            <w:pPr>
              <w:spacing w:line="360" w:lineRule="auto"/>
              <w:rPr>
                <w:rFonts w:hint="eastAsia" w:ascii="仿宋" w:hAnsi="仿宋" w:eastAsia="仿宋" w:cs="仿宋"/>
                <w:color w:val="auto"/>
                <w:sz w:val="20"/>
                <w:szCs w:val="20"/>
                <w:highlight w:val="none"/>
                <w:lang w:val="en-US" w:eastAsia="zh-CN"/>
              </w:rPr>
            </w:pPr>
            <w:bookmarkStart w:id="9" w:name="_Toc27012"/>
            <w:r>
              <w:rPr>
                <w:rFonts w:hint="eastAsia" w:ascii="仿宋" w:hAnsi="仿宋" w:eastAsia="仿宋" w:cs="仿宋"/>
                <w:color w:val="auto"/>
                <w:sz w:val="20"/>
                <w:szCs w:val="20"/>
                <w:highlight w:val="none"/>
                <w:lang w:val="en-US" w:eastAsia="zh-CN"/>
              </w:rPr>
              <w:t>【中国重要报纸全文数据库（CCND）】</w:t>
            </w:r>
            <w:bookmarkEnd w:id="9"/>
          </w:p>
          <w:bookmarkEnd w:id="8"/>
          <w:p w14:paraId="1BBF45C7">
            <w:pPr>
              <w:spacing w:line="336" w:lineRule="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《中国重要报纸全文数据库》是以重要报纸刊载的学术性、资料性文献为收录对象的连续动态更新的报纸全文数据库。</w:t>
            </w:r>
          </w:p>
          <w:p w14:paraId="51A2269C">
            <w:pPr>
              <w:bidi w:val="0"/>
              <w:rPr>
                <w:rFonts w:hint="eastAsia" w:ascii="仿宋" w:hAnsi="仿宋" w:eastAsia="仿宋" w:cs="仿宋"/>
                <w:sz w:val="20"/>
                <w:szCs w:val="20"/>
              </w:rPr>
            </w:pPr>
            <w:r>
              <w:rPr>
                <w:rFonts w:hint="eastAsia" w:ascii="仿宋" w:hAnsi="仿宋" w:eastAsia="仿宋" w:cs="仿宋"/>
                <w:sz w:val="20"/>
                <w:szCs w:val="20"/>
              </w:rPr>
              <w:t>刊号</w:t>
            </w:r>
            <w:r>
              <w:rPr>
                <w:rFonts w:hint="eastAsia" w:ascii="仿宋" w:hAnsi="仿宋" w:eastAsia="仿宋" w:cs="仿宋"/>
                <w:sz w:val="20"/>
                <w:szCs w:val="20"/>
                <w:lang w:eastAsia="zh-CN"/>
              </w:rPr>
              <w:t>：</w:t>
            </w:r>
            <w:r>
              <w:rPr>
                <w:rFonts w:hint="eastAsia" w:ascii="仿宋" w:hAnsi="仿宋" w:eastAsia="仿宋" w:cs="仿宋"/>
                <w:sz w:val="20"/>
                <w:szCs w:val="20"/>
              </w:rPr>
              <w:t>全国统一刊号CN</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11-9247/G  国际标准刊号 ISSN</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1671-6744</w:t>
            </w:r>
          </w:p>
          <w:p w14:paraId="40E32D1E">
            <w:pPr>
              <w:bidi w:val="0"/>
              <w:rPr>
                <w:rFonts w:hint="eastAsia" w:ascii="仿宋" w:hAnsi="仿宋" w:eastAsia="仿宋" w:cs="仿宋"/>
                <w:sz w:val="20"/>
                <w:szCs w:val="20"/>
              </w:rPr>
            </w:pPr>
            <w:r>
              <w:rPr>
                <w:rFonts w:hint="eastAsia" w:ascii="仿宋" w:hAnsi="仿宋" w:eastAsia="仿宋" w:cs="仿宋"/>
                <w:sz w:val="20"/>
                <w:szCs w:val="20"/>
              </w:rPr>
              <w:t>收录范围</w:t>
            </w:r>
            <w:r>
              <w:rPr>
                <w:rFonts w:hint="eastAsia" w:ascii="仿宋" w:hAnsi="仿宋" w:eastAsia="仿宋" w:cs="仿宋"/>
                <w:sz w:val="20"/>
                <w:szCs w:val="20"/>
                <w:lang w:eastAsia="zh-CN"/>
              </w:rPr>
              <w:t>：</w:t>
            </w:r>
            <w:r>
              <w:rPr>
                <w:rFonts w:hint="eastAsia" w:ascii="仿宋" w:hAnsi="仿宋" w:eastAsia="仿宋" w:cs="仿宋"/>
                <w:sz w:val="20"/>
                <w:szCs w:val="20"/>
              </w:rPr>
              <w:t>中央级各类报纸，各省、自治区、直辖市及其他地市级城市党报，以及面向全国公开发行的具有一定影响力的特色重要行业性报纸。</w:t>
            </w:r>
          </w:p>
          <w:p w14:paraId="30446EC2">
            <w:pPr>
              <w:bidi w:val="0"/>
              <w:rPr>
                <w:rFonts w:hint="eastAsia" w:ascii="仿宋" w:hAnsi="仿宋" w:eastAsia="仿宋" w:cs="仿宋"/>
                <w:sz w:val="20"/>
                <w:szCs w:val="20"/>
              </w:rPr>
            </w:pPr>
            <w:r>
              <w:rPr>
                <w:rFonts w:hint="eastAsia" w:ascii="仿宋" w:hAnsi="仿宋" w:eastAsia="仿宋" w:cs="仿宋"/>
                <w:sz w:val="20"/>
                <w:szCs w:val="20"/>
              </w:rPr>
              <w:t>文献总量</w:t>
            </w:r>
            <w:r>
              <w:rPr>
                <w:rFonts w:hint="eastAsia" w:ascii="仿宋" w:hAnsi="仿宋" w:eastAsia="仿宋" w:cs="仿宋"/>
                <w:sz w:val="20"/>
                <w:szCs w:val="20"/>
                <w:lang w:eastAsia="zh-CN"/>
              </w:rPr>
              <w:t>：</w:t>
            </w:r>
            <w:r>
              <w:rPr>
                <w:rFonts w:hint="eastAsia" w:ascii="仿宋" w:hAnsi="仿宋" w:eastAsia="仿宋" w:cs="仿宋"/>
                <w:sz w:val="20"/>
                <w:szCs w:val="20"/>
              </w:rPr>
              <w:t>截至202</w:t>
            </w:r>
            <w:r>
              <w:rPr>
                <w:rFonts w:hint="eastAsia" w:ascii="仿宋" w:hAnsi="仿宋" w:eastAsia="仿宋" w:cs="仿宋"/>
                <w:sz w:val="20"/>
                <w:szCs w:val="20"/>
                <w:lang w:eastAsia="zh"/>
              </w:rPr>
              <w:t>4</w:t>
            </w:r>
            <w:r>
              <w:rPr>
                <w:rFonts w:hint="eastAsia" w:ascii="仿宋" w:hAnsi="仿宋" w:eastAsia="仿宋" w:cs="仿宋"/>
                <w:sz w:val="20"/>
                <w:szCs w:val="20"/>
              </w:rPr>
              <w:t>年12月末，共收录各级党报及特色行业报等重要报纸约500种，</w:t>
            </w:r>
            <w:r>
              <w:rPr>
                <w:rFonts w:hint="eastAsia" w:ascii="仿宋" w:hAnsi="仿宋" w:eastAsia="仿宋" w:cs="仿宋"/>
                <w:sz w:val="20"/>
                <w:szCs w:val="20"/>
                <w:lang w:val="en-US" w:eastAsia="zh-CN"/>
              </w:rPr>
              <w:t>全库</w:t>
            </w:r>
            <w:r>
              <w:rPr>
                <w:rFonts w:hint="eastAsia" w:ascii="仿宋" w:hAnsi="仿宋" w:eastAsia="仿宋" w:cs="仿宋"/>
                <w:sz w:val="20"/>
                <w:szCs w:val="20"/>
              </w:rPr>
              <w:t>出版文献总量达16</w:t>
            </w:r>
            <w:r>
              <w:rPr>
                <w:rFonts w:hint="eastAsia" w:ascii="仿宋" w:hAnsi="仿宋" w:eastAsia="仿宋" w:cs="仿宋"/>
                <w:sz w:val="20"/>
                <w:szCs w:val="20"/>
                <w:lang w:eastAsia="zh"/>
              </w:rPr>
              <w:t>90</w:t>
            </w:r>
            <w:r>
              <w:rPr>
                <w:rFonts w:hint="eastAsia" w:ascii="仿宋" w:hAnsi="仿宋" w:eastAsia="仿宋" w:cs="仿宋"/>
                <w:sz w:val="20"/>
                <w:szCs w:val="20"/>
              </w:rPr>
              <w:t>万余篇。202</w:t>
            </w:r>
            <w:r>
              <w:rPr>
                <w:rFonts w:hint="eastAsia" w:ascii="仿宋" w:hAnsi="仿宋" w:eastAsia="仿宋" w:cs="仿宋"/>
                <w:sz w:val="20"/>
                <w:szCs w:val="20"/>
                <w:lang w:eastAsia="zh"/>
              </w:rPr>
              <w:t>5</w:t>
            </w:r>
            <w:r>
              <w:rPr>
                <w:rFonts w:hint="eastAsia" w:ascii="仿宋" w:hAnsi="仿宋" w:eastAsia="仿宋" w:cs="仿宋"/>
                <w:sz w:val="20"/>
                <w:szCs w:val="20"/>
              </w:rPr>
              <w:t>年计划出版：10</w:t>
            </w:r>
            <w:r>
              <w:rPr>
                <w:rFonts w:hint="eastAsia" w:ascii="仿宋" w:hAnsi="仿宋" w:eastAsia="仿宋" w:cs="仿宋"/>
                <w:sz w:val="20"/>
                <w:szCs w:val="20"/>
                <w:lang w:eastAsia="zh"/>
              </w:rPr>
              <w:t>3</w:t>
            </w:r>
            <w:r>
              <w:rPr>
                <w:rFonts w:hint="eastAsia" w:ascii="仿宋" w:hAnsi="仿宋" w:eastAsia="仿宋" w:cs="仿宋"/>
                <w:sz w:val="20"/>
                <w:szCs w:val="20"/>
              </w:rPr>
              <w:t>万篇。</w:t>
            </w:r>
          </w:p>
          <w:p w14:paraId="328A1000">
            <w:pPr>
              <w:bidi w:val="0"/>
              <w:rPr>
                <w:rFonts w:hint="eastAsia" w:ascii="仿宋" w:hAnsi="仿宋" w:eastAsia="仿宋" w:cs="仿宋"/>
                <w:sz w:val="20"/>
                <w:szCs w:val="20"/>
              </w:rPr>
            </w:pPr>
            <w:r>
              <w:rPr>
                <w:rFonts w:hint="eastAsia" w:ascii="仿宋" w:hAnsi="仿宋" w:eastAsia="仿宋" w:cs="仿宋"/>
                <w:sz w:val="20"/>
                <w:szCs w:val="20"/>
              </w:rPr>
              <w:t>收录内容</w:t>
            </w:r>
            <w:r>
              <w:rPr>
                <w:rFonts w:hint="eastAsia" w:ascii="仿宋" w:hAnsi="仿宋" w:eastAsia="仿宋" w:cs="仿宋"/>
                <w:sz w:val="20"/>
                <w:szCs w:val="20"/>
                <w:lang w:eastAsia="zh-CN"/>
              </w:rPr>
              <w:t>：</w:t>
            </w:r>
            <w:r>
              <w:rPr>
                <w:rFonts w:hint="eastAsia" w:ascii="仿宋" w:hAnsi="仿宋" w:eastAsia="仿宋" w:cs="仿宋"/>
                <w:sz w:val="20"/>
                <w:szCs w:val="20"/>
              </w:rPr>
              <w:t>重要新闻和学术文献资料。</w:t>
            </w:r>
          </w:p>
          <w:p w14:paraId="2D9E47B8">
            <w:pPr>
              <w:bidi w:val="0"/>
              <w:rPr>
                <w:rFonts w:hint="eastAsia" w:ascii="仿宋" w:hAnsi="仿宋" w:eastAsia="仿宋" w:cs="仿宋"/>
                <w:sz w:val="20"/>
                <w:szCs w:val="20"/>
              </w:rPr>
            </w:pPr>
            <w:r>
              <w:rPr>
                <w:rFonts w:hint="eastAsia" w:ascii="仿宋" w:hAnsi="仿宋" w:eastAsia="仿宋" w:cs="仿宋"/>
                <w:sz w:val="20"/>
                <w:szCs w:val="20"/>
              </w:rPr>
              <w:t>收录方式</w:t>
            </w:r>
            <w:r>
              <w:rPr>
                <w:rFonts w:hint="eastAsia" w:ascii="仿宋" w:hAnsi="仿宋" w:eastAsia="仿宋" w:cs="仿宋"/>
                <w:sz w:val="20"/>
                <w:szCs w:val="20"/>
                <w:lang w:eastAsia="zh-CN"/>
              </w:rPr>
              <w:t>：</w:t>
            </w:r>
            <w:r>
              <w:rPr>
                <w:rFonts w:hint="eastAsia" w:ascii="仿宋" w:hAnsi="仿宋" w:eastAsia="仿宋" w:cs="仿宋"/>
                <w:sz w:val="20"/>
                <w:szCs w:val="20"/>
              </w:rPr>
              <w:t>摘录全文。</w:t>
            </w:r>
          </w:p>
          <w:p w14:paraId="498988F2">
            <w:pPr>
              <w:bidi w:val="0"/>
              <w:rPr>
                <w:rFonts w:hint="eastAsia" w:ascii="仿宋" w:hAnsi="仿宋" w:eastAsia="仿宋" w:cs="仿宋"/>
                <w:sz w:val="20"/>
                <w:szCs w:val="20"/>
              </w:rPr>
            </w:pPr>
            <w:r>
              <w:rPr>
                <w:rFonts w:hint="eastAsia" w:ascii="仿宋" w:hAnsi="仿宋" w:eastAsia="仿宋" w:cs="仿宋"/>
                <w:sz w:val="20"/>
                <w:szCs w:val="20"/>
              </w:rPr>
              <w:t>收录年限</w:t>
            </w:r>
            <w:r>
              <w:rPr>
                <w:rFonts w:hint="eastAsia" w:ascii="仿宋" w:hAnsi="仿宋" w:eastAsia="仿宋" w:cs="仿宋"/>
                <w:sz w:val="20"/>
                <w:szCs w:val="20"/>
                <w:lang w:eastAsia="zh-CN"/>
              </w:rPr>
              <w:t>：</w:t>
            </w:r>
            <w:r>
              <w:rPr>
                <w:rFonts w:hint="eastAsia" w:ascii="仿宋" w:hAnsi="仿宋" w:eastAsia="仿宋" w:cs="仿宋"/>
                <w:sz w:val="20"/>
                <w:szCs w:val="20"/>
              </w:rPr>
              <w:t>2000年以来。</w:t>
            </w:r>
          </w:p>
          <w:p w14:paraId="651D0518">
            <w:pPr>
              <w:bidi w:val="0"/>
              <w:rPr>
                <w:rFonts w:hint="eastAsia" w:ascii="仿宋" w:hAnsi="仿宋" w:eastAsia="仿宋" w:cs="仿宋"/>
                <w:sz w:val="20"/>
                <w:szCs w:val="20"/>
              </w:rPr>
            </w:pPr>
            <w:r>
              <w:rPr>
                <w:rFonts w:hint="eastAsia" w:ascii="仿宋" w:hAnsi="仿宋" w:eastAsia="仿宋" w:cs="仿宋"/>
                <w:sz w:val="20"/>
                <w:szCs w:val="20"/>
              </w:rPr>
              <w:t>出版时效</w:t>
            </w:r>
            <w:r>
              <w:rPr>
                <w:rFonts w:hint="eastAsia" w:ascii="仿宋" w:hAnsi="仿宋" w:eastAsia="仿宋" w:cs="仿宋"/>
                <w:sz w:val="20"/>
                <w:szCs w:val="20"/>
                <w:lang w:eastAsia="zh-CN"/>
              </w:rPr>
              <w:t>：</w:t>
            </w:r>
            <w:r>
              <w:rPr>
                <w:rFonts w:hint="eastAsia" w:ascii="仿宋" w:hAnsi="仿宋" w:eastAsia="仿宋" w:cs="仿宋"/>
                <w:sz w:val="20"/>
                <w:szCs w:val="20"/>
              </w:rPr>
              <w:t>报纸网络出版平均滞后报纸印刷出版3天，其中当天更新当日出版报纸种类约300种。</w:t>
            </w:r>
          </w:p>
          <w:p w14:paraId="52B18C4F">
            <w:pPr>
              <w:bidi w:val="0"/>
              <w:rPr>
                <w:rFonts w:hint="eastAsia" w:ascii="仿宋" w:hAnsi="仿宋" w:eastAsia="仿宋" w:cs="仿宋"/>
                <w:sz w:val="20"/>
                <w:szCs w:val="20"/>
              </w:rPr>
            </w:pPr>
            <w:r>
              <w:rPr>
                <w:rFonts w:hint="eastAsia" w:ascii="仿宋" w:hAnsi="仿宋" w:eastAsia="仿宋" w:cs="仿宋"/>
                <w:sz w:val="20"/>
                <w:szCs w:val="20"/>
              </w:rPr>
              <w:t>更新频率</w:t>
            </w:r>
            <w:r>
              <w:rPr>
                <w:rFonts w:hint="eastAsia" w:ascii="仿宋" w:hAnsi="仿宋" w:eastAsia="仿宋" w:cs="仿宋"/>
                <w:sz w:val="20"/>
                <w:szCs w:val="20"/>
                <w:lang w:eastAsia="zh-CN"/>
              </w:rPr>
              <w:t>：</w:t>
            </w:r>
            <w:r>
              <w:rPr>
                <w:rFonts w:hint="eastAsia" w:ascii="仿宋" w:hAnsi="仿宋" w:eastAsia="仿宋" w:cs="仿宋"/>
                <w:sz w:val="20"/>
                <w:szCs w:val="20"/>
              </w:rPr>
              <w:t>中心网站版实时发布，镜像每月更新。</w:t>
            </w:r>
          </w:p>
          <w:p w14:paraId="26EED841">
            <w:pPr>
              <w:bidi w:val="0"/>
              <w:rPr>
                <w:rFonts w:hint="eastAsia" w:ascii="仿宋" w:hAnsi="仿宋" w:eastAsia="仿宋" w:cs="仿宋"/>
                <w:sz w:val="20"/>
                <w:szCs w:val="20"/>
              </w:rPr>
            </w:pPr>
            <w:r>
              <w:rPr>
                <w:rFonts w:hint="eastAsia" w:ascii="仿宋" w:hAnsi="仿宋" w:eastAsia="仿宋" w:cs="仿宋"/>
                <w:sz w:val="20"/>
                <w:szCs w:val="20"/>
              </w:rPr>
              <w:t>导航体系</w:t>
            </w:r>
            <w:r>
              <w:rPr>
                <w:rFonts w:hint="eastAsia" w:ascii="仿宋" w:hAnsi="仿宋" w:eastAsia="仿宋" w:cs="仿宋"/>
                <w:sz w:val="20"/>
                <w:szCs w:val="20"/>
                <w:lang w:eastAsia="zh-CN"/>
              </w:rPr>
              <w:t>：</w:t>
            </w:r>
            <w:r>
              <w:rPr>
                <w:rFonts w:hint="eastAsia" w:ascii="仿宋" w:hAnsi="仿宋" w:eastAsia="仿宋" w:cs="仿宋"/>
                <w:sz w:val="20"/>
                <w:szCs w:val="20"/>
              </w:rPr>
              <w:t>专辑导航、地域导航、报纸导航（级别、出版周期导航）。</w:t>
            </w:r>
          </w:p>
          <w:p w14:paraId="010A81B8">
            <w:pPr>
              <w:bidi w:val="0"/>
              <w:rPr>
                <w:rFonts w:hint="eastAsia" w:ascii="仿宋" w:hAnsi="仿宋" w:eastAsia="仿宋" w:cs="仿宋"/>
                <w:sz w:val="20"/>
                <w:szCs w:val="20"/>
              </w:rPr>
            </w:pPr>
            <w:r>
              <w:rPr>
                <w:rFonts w:hint="eastAsia" w:ascii="仿宋" w:hAnsi="仿宋" w:eastAsia="仿宋" w:cs="仿宋"/>
                <w:sz w:val="20"/>
                <w:szCs w:val="20"/>
              </w:rPr>
              <w:t>检索字段</w:t>
            </w:r>
            <w:r>
              <w:rPr>
                <w:rFonts w:hint="eastAsia" w:ascii="仿宋" w:hAnsi="仿宋" w:eastAsia="仿宋" w:cs="仿宋"/>
                <w:sz w:val="20"/>
                <w:szCs w:val="20"/>
                <w:lang w:eastAsia="zh-CN"/>
              </w:rPr>
              <w:t>：</w:t>
            </w:r>
            <w:r>
              <w:rPr>
                <w:rFonts w:hint="eastAsia" w:ascii="仿宋" w:hAnsi="仿宋" w:eastAsia="仿宋" w:cs="仿宋"/>
                <w:sz w:val="20"/>
                <w:szCs w:val="20"/>
              </w:rPr>
              <w:t>主题、题名、关键词、小标题、作者、第一作者、作者单位、全文、报纸名称、报纸日期、更新时间、国内统一刊号、中图分类号、DOI。</w:t>
            </w:r>
          </w:p>
          <w:p w14:paraId="5B2855B1">
            <w:pPr>
              <w:bidi w:val="0"/>
              <w:rPr>
                <w:rFonts w:hint="eastAsia" w:ascii="仿宋" w:hAnsi="仿宋" w:eastAsia="仿宋" w:cs="仿宋"/>
                <w:sz w:val="20"/>
                <w:szCs w:val="20"/>
              </w:rPr>
            </w:pPr>
            <w:r>
              <w:rPr>
                <w:rFonts w:hint="eastAsia" w:ascii="仿宋" w:hAnsi="仿宋" w:eastAsia="仿宋" w:cs="仿宋"/>
                <w:sz w:val="20"/>
                <w:szCs w:val="20"/>
              </w:rPr>
              <w:t>知网节功能</w:t>
            </w:r>
            <w:r>
              <w:rPr>
                <w:rFonts w:hint="eastAsia" w:ascii="仿宋" w:hAnsi="仿宋" w:eastAsia="仿宋" w:cs="仿宋"/>
                <w:sz w:val="20"/>
                <w:szCs w:val="20"/>
                <w:lang w:eastAsia="zh-CN"/>
              </w:rPr>
              <w:t>：</w:t>
            </w:r>
            <w:r>
              <w:rPr>
                <w:rFonts w:hint="eastAsia" w:ascii="仿宋" w:hAnsi="仿宋" w:eastAsia="仿宋" w:cs="仿宋"/>
                <w:sz w:val="20"/>
                <w:szCs w:val="20"/>
              </w:rPr>
              <w:t>报纸文献的基本信息、相关文献推荐（相似文献、读者推荐、相关视频）、相关图书、相关工具书、作者知网节、关键词知网节，可以链接到期刊、博硕、会议、报纸、专利、标准、年鉴、国际期刊、科技成果、图书等数据库使用。</w:t>
            </w:r>
          </w:p>
          <w:p w14:paraId="405BF19E">
            <w:pPr>
              <w:bidi w:val="0"/>
              <w:rPr>
                <w:rFonts w:hint="eastAsia" w:ascii="仿宋" w:hAnsi="仿宋" w:eastAsia="仿宋" w:cs="仿宋"/>
                <w:sz w:val="20"/>
                <w:szCs w:val="20"/>
              </w:rPr>
            </w:pPr>
            <w:r>
              <w:rPr>
                <w:rFonts w:hint="eastAsia" w:ascii="仿宋" w:hAnsi="仿宋" w:eastAsia="仿宋" w:cs="仿宋"/>
                <w:sz w:val="20"/>
                <w:szCs w:val="20"/>
              </w:rPr>
              <w:t>检索结果处理</w:t>
            </w:r>
            <w:r>
              <w:rPr>
                <w:rFonts w:hint="eastAsia" w:ascii="仿宋" w:hAnsi="仿宋" w:eastAsia="仿宋" w:cs="仿宋"/>
                <w:sz w:val="20"/>
                <w:szCs w:val="20"/>
                <w:lang w:eastAsia="zh-CN"/>
              </w:rPr>
              <w:t>：</w:t>
            </w:r>
            <w:r>
              <w:rPr>
                <w:rFonts w:hint="eastAsia" w:ascii="仿宋" w:hAnsi="仿宋" w:eastAsia="仿宋" w:cs="仿宋"/>
                <w:sz w:val="20"/>
                <w:szCs w:val="20"/>
              </w:rPr>
              <w:t>支持对检索结果进行进一步的筛选，可以按照指标进行分组排序，包括按照科技、社科、主题（主要主题、次要主题）、学科、报纸名称、发表年度、作者、单位等进行分组浏览；按照相关度、报纸日期、下载频次、被引频次、综合进行排序浏览。</w:t>
            </w:r>
          </w:p>
          <w:p w14:paraId="09CBD0F2">
            <w:pPr>
              <w:bidi w:val="0"/>
              <w:rPr>
                <w:rFonts w:hint="default" w:ascii="仿宋" w:hAnsi="仿宋" w:eastAsia="仿宋" w:cs="仿宋"/>
                <w:sz w:val="20"/>
                <w:szCs w:val="20"/>
                <w:lang w:val="en-US" w:eastAsia="zh-CN"/>
              </w:rPr>
            </w:pPr>
            <w:bookmarkStart w:id="10" w:name="_Toc17777"/>
            <w:r>
              <w:rPr>
                <w:rFonts w:hint="eastAsia" w:ascii="仿宋" w:hAnsi="仿宋" w:eastAsia="仿宋" w:cs="仿宋"/>
                <w:sz w:val="20"/>
                <w:szCs w:val="20"/>
                <w:lang w:val="en-US" w:eastAsia="zh-CN"/>
              </w:rPr>
              <w:t>3.售后服务</w:t>
            </w:r>
            <w:bookmarkEnd w:id="10"/>
            <w:r>
              <w:rPr>
                <w:rFonts w:hint="eastAsia" w:ascii="仿宋" w:hAnsi="仿宋" w:eastAsia="仿宋" w:cs="仿宋"/>
                <w:sz w:val="20"/>
                <w:szCs w:val="20"/>
                <w:lang w:val="en-US" w:eastAsia="zh-CN"/>
              </w:rPr>
              <w:t>要求</w:t>
            </w:r>
          </w:p>
          <w:p w14:paraId="709D9773">
            <w:pPr>
              <w:bidi w:val="0"/>
              <w:rPr>
                <w:rFonts w:hint="eastAsia" w:ascii="仿宋" w:hAnsi="仿宋" w:eastAsia="仿宋" w:cs="仿宋"/>
                <w:sz w:val="20"/>
                <w:szCs w:val="20"/>
              </w:rPr>
            </w:pPr>
            <w:r>
              <w:rPr>
                <w:rFonts w:hint="eastAsia" w:ascii="仿宋" w:hAnsi="仿宋" w:eastAsia="仿宋" w:cs="仿宋"/>
                <w:sz w:val="20"/>
                <w:szCs w:val="20"/>
                <w:lang w:val="en-US" w:eastAsia="zh-CN"/>
              </w:rPr>
              <w:t>3.1</w:t>
            </w:r>
            <w:r>
              <w:rPr>
                <w:rFonts w:hint="eastAsia" w:ascii="仿宋" w:hAnsi="仿宋" w:eastAsia="仿宋" w:cs="仿宋"/>
                <w:sz w:val="20"/>
                <w:szCs w:val="20"/>
              </w:rPr>
              <w:t>服务内容</w:t>
            </w:r>
          </w:p>
          <w:p w14:paraId="238C6789">
            <w:pPr>
              <w:bidi w:val="0"/>
              <w:rPr>
                <w:rFonts w:hint="eastAsia" w:ascii="仿宋" w:hAnsi="仿宋" w:eastAsia="仿宋" w:cs="仿宋"/>
                <w:sz w:val="20"/>
                <w:szCs w:val="20"/>
              </w:rPr>
            </w:pPr>
            <w:r>
              <w:rPr>
                <w:rFonts w:hint="eastAsia" w:ascii="仿宋" w:hAnsi="仿宋" w:eastAsia="仿宋" w:cs="仿宋"/>
                <w:sz w:val="20"/>
                <w:szCs w:val="20"/>
                <w:lang w:val="en-US" w:eastAsia="zh-CN"/>
              </w:rPr>
              <w:t>3.1.1</w:t>
            </w:r>
            <w:r>
              <w:rPr>
                <w:rFonts w:hint="eastAsia" w:ascii="仿宋" w:hAnsi="仿宋" w:eastAsia="仿宋" w:cs="仿宋"/>
                <w:sz w:val="20"/>
                <w:szCs w:val="20"/>
              </w:rPr>
              <w:t>安装调试</w:t>
            </w:r>
          </w:p>
          <w:p w14:paraId="4E6FF9CC">
            <w:pPr>
              <w:bidi w:val="0"/>
              <w:rPr>
                <w:rFonts w:hint="eastAsia" w:ascii="仿宋" w:hAnsi="仿宋" w:eastAsia="仿宋" w:cs="仿宋"/>
                <w:sz w:val="20"/>
                <w:szCs w:val="20"/>
              </w:rPr>
            </w:pPr>
            <w:r>
              <w:rPr>
                <w:rFonts w:hint="eastAsia" w:ascii="仿宋" w:hAnsi="仿宋" w:eastAsia="仿宋" w:cs="仿宋"/>
                <w:sz w:val="20"/>
                <w:szCs w:val="20"/>
              </w:rPr>
              <w:t>镜像模式：</w:t>
            </w:r>
            <w:r>
              <w:rPr>
                <w:rFonts w:hint="eastAsia" w:ascii="仿宋" w:hAnsi="仿宋" w:eastAsia="仿宋" w:cs="仿宋"/>
                <w:sz w:val="20"/>
                <w:szCs w:val="20"/>
                <w:lang w:val="en-US" w:eastAsia="zh-CN"/>
              </w:rPr>
              <w:t>由供应商</w:t>
            </w:r>
            <w:r>
              <w:rPr>
                <w:rFonts w:hint="eastAsia" w:ascii="仿宋" w:hAnsi="仿宋" w:eastAsia="仿宋" w:cs="仿宋"/>
                <w:sz w:val="20"/>
                <w:szCs w:val="20"/>
              </w:rPr>
              <w:t>提供产品的首次安装调试服</w:t>
            </w:r>
            <w:r>
              <w:rPr>
                <w:rFonts w:hint="eastAsia" w:ascii="仿宋" w:hAnsi="仿宋" w:eastAsia="仿宋" w:cs="仿宋"/>
                <w:sz w:val="20"/>
                <w:szCs w:val="20"/>
                <w:highlight w:val="none"/>
              </w:rPr>
              <w:t>务，</w:t>
            </w:r>
            <w:r>
              <w:rPr>
                <w:rFonts w:hint="eastAsia" w:ascii="仿宋" w:hAnsi="仿宋" w:eastAsia="仿宋" w:cs="仿宋"/>
                <w:sz w:val="20"/>
                <w:szCs w:val="20"/>
                <w:highlight w:val="none"/>
                <w:lang w:val="en-US" w:eastAsia="zh-CN"/>
              </w:rPr>
              <w:t>学校图书馆牵头，联合纪委、国资处、计划财务处等组成验收小组，</w:t>
            </w:r>
            <w:r>
              <w:rPr>
                <w:rFonts w:hint="eastAsia" w:ascii="仿宋" w:hAnsi="仿宋" w:eastAsia="仿宋" w:cs="仿宋"/>
                <w:sz w:val="20"/>
                <w:szCs w:val="20"/>
                <w:highlight w:val="none"/>
              </w:rPr>
              <w:t>共同组织验收。</w:t>
            </w:r>
          </w:p>
          <w:p w14:paraId="1AF75A8E">
            <w:pPr>
              <w:bidi w:val="0"/>
              <w:rPr>
                <w:rFonts w:hint="eastAsia" w:ascii="仿宋" w:hAnsi="仿宋" w:eastAsia="仿宋" w:cs="仿宋"/>
                <w:sz w:val="20"/>
                <w:szCs w:val="20"/>
              </w:rPr>
            </w:pPr>
            <w:r>
              <w:rPr>
                <w:rFonts w:hint="eastAsia" w:ascii="仿宋" w:hAnsi="仿宋" w:eastAsia="仿宋" w:cs="仿宋"/>
                <w:sz w:val="20"/>
                <w:szCs w:val="20"/>
                <w:lang w:val="en-US" w:eastAsia="zh-CN"/>
              </w:rPr>
              <w:t>为采购人</w:t>
            </w:r>
            <w:r>
              <w:rPr>
                <w:rFonts w:hint="eastAsia" w:ascii="仿宋" w:hAnsi="仿宋" w:eastAsia="仿宋" w:cs="仿宋"/>
                <w:sz w:val="20"/>
                <w:szCs w:val="20"/>
              </w:rPr>
              <w:t>培训系统管理员。</w:t>
            </w:r>
          </w:p>
          <w:p w14:paraId="6218EF81">
            <w:pPr>
              <w:bidi w:val="0"/>
              <w:rPr>
                <w:rFonts w:hint="eastAsia" w:ascii="仿宋" w:hAnsi="仿宋" w:eastAsia="仿宋" w:cs="仿宋"/>
                <w:sz w:val="20"/>
                <w:szCs w:val="20"/>
              </w:rPr>
            </w:pPr>
            <w:r>
              <w:rPr>
                <w:rFonts w:hint="eastAsia" w:ascii="仿宋" w:hAnsi="仿宋" w:eastAsia="仿宋" w:cs="仿宋"/>
                <w:sz w:val="20"/>
                <w:szCs w:val="20"/>
                <w:lang w:val="en-US" w:eastAsia="zh-CN"/>
              </w:rPr>
              <w:t>3.1.2</w:t>
            </w:r>
            <w:r>
              <w:rPr>
                <w:rFonts w:hint="eastAsia" w:ascii="仿宋" w:hAnsi="仿宋" w:eastAsia="仿宋" w:cs="仿宋"/>
                <w:sz w:val="20"/>
                <w:szCs w:val="20"/>
              </w:rPr>
              <w:t>系统维护</w:t>
            </w:r>
          </w:p>
          <w:p w14:paraId="585B42BF">
            <w:pPr>
              <w:bidi w:val="0"/>
              <w:rPr>
                <w:rFonts w:hint="eastAsia" w:ascii="仿宋" w:hAnsi="仿宋" w:eastAsia="仿宋" w:cs="仿宋"/>
                <w:sz w:val="20"/>
                <w:szCs w:val="20"/>
              </w:rPr>
            </w:pPr>
            <w:r>
              <w:rPr>
                <w:rFonts w:hint="eastAsia" w:ascii="仿宋" w:hAnsi="仿宋" w:eastAsia="仿宋" w:cs="仿宋"/>
                <w:sz w:val="20"/>
                <w:szCs w:val="20"/>
              </w:rPr>
              <w:t>每月通过远程对产品运行状况进行一次全面监测，对系统运行管理状况提供管理建议。</w:t>
            </w:r>
            <w:r>
              <w:rPr>
                <w:rFonts w:hint="eastAsia" w:ascii="仿宋" w:hAnsi="仿宋" w:eastAsia="仿宋" w:cs="仿宋"/>
                <w:sz w:val="20"/>
                <w:szCs w:val="20"/>
                <w:lang w:val="en-US" w:eastAsia="zh-CN"/>
              </w:rPr>
              <w:t>若采购人</w:t>
            </w:r>
            <w:r>
              <w:rPr>
                <w:rFonts w:hint="eastAsia" w:ascii="仿宋" w:hAnsi="仿宋" w:eastAsia="仿宋" w:cs="仿宋"/>
                <w:sz w:val="20"/>
                <w:szCs w:val="20"/>
              </w:rPr>
              <w:t>原因造成的产品使用故障，通过电话支持、网络服务等方式协助用户排查。特殊情况下可派技术人员上门协助解决。产品本身原因造成的使用故障由</w:t>
            </w:r>
            <w:r>
              <w:rPr>
                <w:rFonts w:hint="eastAsia" w:ascii="仿宋" w:hAnsi="仿宋" w:eastAsia="仿宋" w:cs="仿宋"/>
                <w:sz w:val="20"/>
                <w:szCs w:val="20"/>
                <w:lang w:val="en-US" w:eastAsia="zh-CN"/>
              </w:rPr>
              <w:t>供应商</w:t>
            </w:r>
            <w:r>
              <w:rPr>
                <w:rFonts w:hint="eastAsia" w:ascii="仿宋" w:hAnsi="仿宋" w:eastAsia="仿宋" w:cs="仿宋"/>
                <w:sz w:val="20"/>
                <w:szCs w:val="20"/>
              </w:rPr>
              <w:t>负责排除。</w:t>
            </w:r>
          </w:p>
          <w:p w14:paraId="5163E300">
            <w:pPr>
              <w:bidi w:val="0"/>
              <w:rPr>
                <w:rFonts w:hint="eastAsia" w:ascii="仿宋" w:hAnsi="仿宋" w:eastAsia="仿宋" w:cs="仿宋"/>
                <w:sz w:val="20"/>
                <w:szCs w:val="20"/>
              </w:rPr>
            </w:pPr>
            <w:r>
              <w:rPr>
                <w:rFonts w:hint="eastAsia" w:ascii="仿宋" w:hAnsi="仿宋" w:eastAsia="仿宋" w:cs="仿宋"/>
                <w:sz w:val="20"/>
                <w:szCs w:val="20"/>
                <w:lang w:val="en-US" w:eastAsia="zh-CN"/>
              </w:rPr>
              <w:t>3.1.3</w:t>
            </w:r>
            <w:r>
              <w:rPr>
                <w:rFonts w:hint="eastAsia" w:ascii="仿宋" w:hAnsi="仿宋" w:eastAsia="仿宋" w:cs="仿宋"/>
                <w:sz w:val="20"/>
                <w:szCs w:val="20"/>
              </w:rPr>
              <w:t>紧急服务</w:t>
            </w:r>
          </w:p>
          <w:p w14:paraId="73CDF409">
            <w:pPr>
              <w:bidi w:val="0"/>
              <w:rPr>
                <w:rFonts w:hint="eastAsia" w:ascii="仿宋" w:hAnsi="仿宋" w:eastAsia="仿宋" w:cs="仿宋"/>
                <w:sz w:val="20"/>
                <w:szCs w:val="20"/>
              </w:rPr>
            </w:pPr>
            <w:r>
              <w:rPr>
                <w:rFonts w:hint="eastAsia" w:ascii="仿宋" w:hAnsi="仿宋" w:eastAsia="仿宋" w:cs="仿宋"/>
                <w:sz w:val="20"/>
                <w:szCs w:val="20"/>
              </w:rPr>
              <w:t>向</w:t>
            </w:r>
            <w:r>
              <w:rPr>
                <w:rFonts w:hint="eastAsia" w:ascii="仿宋" w:hAnsi="仿宋" w:eastAsia="仿宋" w:cs="仿宋"/>
                <w:sz w:val="20"/>
                <w:szCs w:val="20"/>
                <w:lang w:val="en-US" w:eastAsia="zh-CN"/>
              </w:rPr>
              <w:t>采购人</w:t>
            </w:r>
            <w:r>
              <w:rPr>
                <w:rFonts w:hint="eastAsia" w:ascii="仿宋" w:hAnsi="仿宋" w:eastAsia="仿宋" w:cs="仿宋"/>
                <w:sz w:val="20"/>
                <w:szCs w:val="20"/>
              </w:rPr>
              <w:t>提供产品的紧急备份访问服务，保证</w:t>
            </w:r>
            <w:r>
              <w:rPr>
                <w:rFonts w:hint="eastAsia" w:ascii="仿宋" w:hAnsi="仿宋" w:eastAsia="仿宋" w:cs="仿宋"/>
                <w:sz w:val="20"/>
                <w:szCs w:val="20"/>
                <w:lang w:val="en-US" w:eastAsia="zh-CN"/>
              </w:rPr>
              <w:t>采购人</w:t>
            </w:r>
            <w:r>
              <w:rPr>
                <w:rFonts w:hint="eastAsia" w:ascii="仿宋" w:hAnsi="仿宋" w:eastAsia="仿宋" w:cs="仿宋"/>
                <w:sz w:val="20"/>
                <w:szCs w:val="20"/>
              </w:rPr>
              <w:t>可持续使用产品。镜像服务中断时，经</w:t>
            </w:r>
            <w:r>
              <w:rPr>
                <w:rFonts w:hint="eastAsia" w:ascii="仿宋" w:hAnsi="仿宋" w:eastAsia="仿宋" w:cs="仿宋"/>
                <w:sz w:val="20"/>
                <w:szCs w:val="20"/>
                <w:lang w:val="en-US" w:eastAsia="zh-CN"/>
              </w:rPr>
              <w:t>采购人</w:t>
            </w:r>
            <w:r>
              <w:rPr>
                <w:rFonts w:hint="eastAsia" w:ascii="仿宋" w:hAnsi="仿宋" w:eastAsia="仿宋" w:cs="仿宋"/>
                <w:sz w:val="20"/>
                <w:szCs w:val="20"/>
              </w:rPr>
              <w:t>申请、</w:t>
            </w:r>
            <w:r>
              <w:rPr>
                <w:rFonts w:hint="eastAsia" w:ascii="仿宋" w:hAnsi="仿宋" w:eastAsia="仿宋" w:cs="仿宋"/>
                <w:sz w:val="20"/>
                <w:szCs w:val="20"/>
                <w:lang w:val="en-US" w:eastAsia="zh-CN"/>
              </w:rPr>
              <w:t>供应商</w:t>
            </w:r>
            <w:r>
              <w:rPr>
                <w:rFonts w:hint="eastAsia" w:ascii="仿宋" w:hAnsi="仿宋" w:eastAsia="仿宋" w:cs="仿宋"/>
                <w:sz w:val="20"/>
                <w:szCs w:val="20"/>
              </w:rPr>
              <w:t>核实后即为用户开通CNKI中心网站或交换服务中心的备用账号。</w:t>
            </w:r>
          </w:p>
          <w:p w14:paraId="081A3138">
            <w:pPr>
              <w:bidi w:val="0"/>
              <w:rPr>
                <w:rFonts w:hint="eastAsia" w:ascii="仿宋" w:hAnsi="仿宋" w:eastAsia="仿宋" w:cs="仿宋"/>
                <w:sz w:val="20"/>
                <w:szCs w:val="20"/>
              </w:rPr>
            </w:pPr>
            <w:r>
              <w:rPr>
                <w:rFonts w:hint="eastAsia" w:ascii="仿宋" w:hAnsi="仿宋" w:eastAsia="仿宋" w:cs="仿宋"/>
                <w:sz w:val="20"/>
                <w:szCs w:val="20"/>
                <w:lang w:val="en-US" w:eastAsia="zh-CN"/>
              </w:rPr>
              <w:t>采购人</w:t>
            </w:r>
            <w:r>
              <w:rPr>
                <w:rFonts w:hint="eastAsia" w:ascii="仿宋" w:hAnsi="仿宋" w:eastAsia="仿宋" w:cs="仿宋"/>
                <w:sz w:val="20"/>
                <w:szCs w:val="20"/>
              </w:rPr>
              <w:t>原因造成的服务中断，每年使用备用账号累计时间不超过3个月。</w:t>
            </w:r>
          </w:p>
          <w:p w14:paraId="1A7D7031">
            <w:pPr>
              <w:bidi w:val="0"/>
              <w:rPr>
                <w:rFonts w:hint="eastAsia" w:ascii="仿宋" w:hAnsi="仿宋" w:eastAsia="仿宋" w:cs="仿宋"/>
                <w:sz w:val="20"/>
                <w:szCs w:val="20"/>
              </w:rPr>
            </w:pPr>
            <w:r>
              <w:rPr>
                <w:rFonts w:hint="eastAsia" w:ascii="仿宋" w:hAnsi="仿宋" w:eastAsia="仿宋" w:cs="仿宋"/>
                <w:sz w:val="20"/>
                <w:szCs w:val="20"/>
              </w:rPr>
              <w:t>产品本身原因造成的服务中断，备用账号使用到产品恢复正常使用时为止。</w:t>
            </w:r>
          </w:p>
          <w:p w14:paraId="4F7DB113">
            <w:pPr>
              <w:bidi w:val="0"/>
              <w:rPr>
                <w:rFonts w:hint="eastAsia" w:ascii="仿宋" w:hAnsi="仿宋" w:eastAsia="仿宋" w:cs="仿宋"/>
                <w:sz w:val="20"/>
                <w:szCs w:val="20"/>
              </w:rPr>
            </w:pPr>
            <w:r>
              <w:rPr>
                <w:rFonts w:hint="eastAsia" w:ascii="仿宋" w:hAnsi="仿宋" w:eastAsia="仿宋" w:cs="仿宋"/>
                <w:sz w:val="20"/>
                <w:szCs w:val="20"/>
                <w:lang w:val="en-US" w:eastAsia="zh-CN"/>
              </w:rPr>
              <w:t>3.1.4</w:t>
            </w:r>
            <w:r>
              <w:rPr>
                <w:rFonts w:hint="eastAsia" w:ascii="仿宋" w:hAnsi="仿宋" w:eastAsia="仿宋" w:cs="仿宋"/>
                <w:sz w:val="20"/>
                <w:szCs w:val="20"/>
              </w:rPr>
              <w:t>技术支持</w:t>
            </w:r>
          </w:p>
          <w:p w14:paraId="497602C7">
            <w:pPr>
              <w:bidi w:val="0"/>
              <w:rPr>
                <w:rFonts w:hint="eastAsia" w:ascii="仿宋" w:hAnsi="仿宋" w:eastAsia="仿宋" w:cs="仿宋"/>
                <w:sz w:val="20"/>
                <w:szCs w:val="20"/>
              </w:rPr>
            </w:pPr>
            <w:r>
              <w:rPr>
                <w:rFonts w:hint="eastAsia" w:ascii="仿宋" w:hAnsi="仿宋" w:eastAsia="仿宋" w:cs="仿宋"/>
                <w:sz w:val="20"/>
                <w:szCs w:val="20"/>
              </w:rPr>
              <w:t>向</w:t>
            </w:r>
            <w:r>
              <w:rPr>
                <w:rFonts w:hint="eastAsia" w:ascii="仿宋" w:hAnsi="仿宋" w:eastAsia="仿宋" w:cs="仿宋"/>
                <w:sz w:val="20"/>
                <w:szCs w:val="20"/>
                <w:lang w:val="en-US" w:eastAsia="zh-CN"/>
              </w:rPr>
              <w:t>采购人</w:t>
            </w:r>
            <w:r>
              <w:rPr>
                <w:rFonts w:hint="eastAsia" w:ascii="仿宋" w:hAnsi="仿宋" w:eastAsia="仿宋" w:cs="仿宋"/>
                <w:sz w:val="20"/>
                <w:szCs w:val="20"/>
              </w:rPr>
              <w:t>提供热线、邮件、网络、上门等服务方式的咨询解答和技术支持服务。</w:t>
            </w:r>
          </w:p>
          <w:p w14:paraId="2DDA56F1">
            <w:pPr>
              <w:bidi w:val="0"/>
              <w:rPr>
                <w:rFonts w:hint="eastAsia" w:ascii="仿宋" w:hAnsi="仿宋" w:eastAsia="仿宋" w:cs="仿宋"/>
                <w:sz w:val="20"/>
                <w:szCs w:val="20"/>
              </w:rPr>
            </w:pPr>
            <w:r>
              <w:rPr>
                <w:rFonts w:hint="eastAsia" w:ascii="仿宋" w:hAnsi="仿宋" w:eastAsia="仿宋" w:cs="仿宋"/>
                <w:sz w:val="20"/>
                <w:szCs w:val="20"/>
              </w:rPr>
              <w:t>经和</w:t>
            </w:r>
            <w:r>
              <w:rPr>
                <w:rFonts w:hint="eastAsia" w:ascii="仿宋" w:hAnsi="仿宋" w:eastAsia="仿宋" w:cs="仿宋"/>
                <w:sz w:val="20"/>
                <w:szCs w:val="20"/>
                <w:lang w:val="en-US" w:eastAsia="zh-CN"/>
              </w:rPr>
              <w:t>采购人</w:t>
            </w:r>
            <w:r>
              <w:rPr>
                <w:rFonts w:hint="eastAsia" w:ascii="仿宋" w:hAnsi="仿宋" w:eastAsia="仿宋" w:cs="仿宋"/>
                <w:sz w:val="20"/>
                <w:szCs w:val="20"/>
              </w:rPr>
              <w:t>沟通，选定时间、地点、人员，由公司指派讲师进行培训。</w:t>
            </w:r>
          </w:p>
          <w:p w14:paraId="5DEF388C">
            <w:pPr>
              <w:bidi w:val="0"/>
              <w:rPr>
                <w:rFonts w:hint="eastAsia" w:ascii="仿宋" w:hAnsi="仿宋" w:eastAsia="仿宋" w:cs="仿宋"/>
                <w:sz w:val="20"/>
                <w:szCs w:val="20"/>
              </w:rPr>
            </w:pPr>
            <w:r>
              <w:rPr>
                <w:rFonts w:hint="eastAsia" w:ascii="仿宋" w:hAnsi="仿宋" w:eastAsia="仿宋" w:cs="仿宋"/>
                <w:sz w:val="20"/>
                <w:szCs w:val="20"/>
                <w:lang w:val="en-US" w:eastAsia="zh-CN"/>
              </w:rPr>
              <w:t>3.2</w:t>
            </w:r>
            <w:r>
              <w:rPr>
                <w:rFonts w:hint="eastAsia" w:ascii="仿宋" w:hAnsi="仿宋" w:eastAsia="仿宋" w:cs="仿宋"/>
                <w:sz w:val="20"/>
                <w:szCs w:val="20"/>
              </w:rPr>
              <w:t>产品服务项目完成期限</w:t>
            </w:r>
          </w:p>
          <w:p w14:paraId="5328FBEA">
            <w:pPr>
              <w:bidi w:val="0"/>
              <w:rPr>
                <w:rFonts w:hint="eastAsia" w:ascii="仿宋" w:hAnsi="仿宋" w:eastAsia="仿宋" w:cs="仿宋"/>
                <w:sz w:val="20"/>
                <w:szCs w:val="20"/>
              </w:rPr>
            </w:pPr>
            <w:r>
              <w:rPr>
                <w:rFonts w:hint="eastAsia" w:ascii="仿宋" w:hAnsi="仿宋" w:eastAsia="仿宋" w:cs="仿宋"/>
                <w:sz w:val="20"/>
                <w:szCs w:val="20"/>
              </w:rPr>
              <w:t>客户服务项目应按规定完成期限完成，各种产品提供方式下的客户服务项目的完成期限规定如下。</w:t>
            </w:r>
          </w:p>
          <w:p w14:paraId="5A97AD01">
            <w:pPr>
              <w:bidi w:val="0"/>
              <w:rPr>
                <w:rFonts w:hint="eastAsia" w:ascii="仿宋" w:hAnsi="仿宋" w:eastAsia="仿宋" w:cs="仿宋"/>
                <w:sz w:val="20"/>
                <w:szCs w:val="20"/>
              </w:rPr>
            </w:pPr>
            <w:r>
              <w:rPr>
                <w:rFonts w:hint="eastAsia" w:ascii="仿宋" w:hAnsi="仿宋" w:eastAsia="仿宋" w:cs="仿宋"/>
                <w:sz w:val="20"/>
                <w:szCs w:val="20"/>
                <w:lang w:val="en-US" w:eastAsia="zh-CN"/>
              </w:rPr>
              <w:t>3.2.1</w:t>
            </w:r>
            <w:r>
              <w:rPr>
                <w:rFonts w:hint="eastAsia" w:ascii="仿宋" w:hAnsi="仿宋" w:eastAsia="仿宋" w:cs="仿宋"/>
                <w:sz w:val="20"/>
                <w:szCs w:val="20"/>
              </w:rPr>
              <w:t>包库</w:t>
            </w:r>
          </w:p>
          <w:p w14:paraId="23A2976C">
            <w:pPr>
              <w:bidi w:val="0"/>
              <w:rPr>
                <w:rFonts w:hint="eastAsia" w:ascii="仿宋" w:hAnsi="仿宋" w:eastAsia="仿宋" w:cs="仿宋"/>
                <w:sz w:val="20"/>
                <w:szCs w:val="20"/>
              </w:rPr>
            </w:pPr>
            <w:r>
              <w:rPr>
                <w:rFonts w:hint="eastAsia" w:ascii="仿宋" w:hAnsi="仿宋" w:eastAsia="仿宋" w:cs="仿宋"/>
                <w:sz w:val="20"/>
                <w:szCs w:val="20"/>
              </w:rPr>
              <w:t>使用故障</w:t>
            </w:r>
            <w:r>
              <w:rPr>
                <w:rFonts w:hint="eastAsia" w:ascii="仿宋" w:hAnsi="仿宋" w:eastAsia="仿宋" w:cs="仿宋"/>
                <w:sz w:val="20"/>
                <w:szCs w:val="20"/>
                <w:lang w:val="en-US" w:eastAsia="zh-CN"/>
              </w:rPr>
              <w:t>3</w:t>
            </w:r>
            <w:r>
              <w:rPr>
                <w:rFonts w:hint="eastAsia" w:ascii="仿宋" w:hAnsi="仿宋" w:eastAsia="仿宋" w:cs="仿宋"/>
                <w:sz w:val="20"/>
                <w:szCs w:val="20"/>
              </w:rPr>
              <w:t>个工作日内解决。</w:t>
            </w:r>
          </w:p>
          <w:p w14:paraId="0F4C4129">
            <w:pPr>
              <w:bidi w:val="0"/>
              <w:rPr>
                <w:rFonts w:hint="eastAsia" w:ascii="仿宋" w:hAnsi="仿宋" w:eastAsia="仿宋" w:cs="仿宋"/>
                <w:sz w:val="20"/>
                <w:szCs w:val="20"/>
              </w:rPr>
            </w:pPr>
            <w:r>
              <w:rPr>
                <w:rFonts w:hint="eastAsia" w:ascii="仿宋" w:hAnsi="仿宋" w:eastAsia="仿宋" w:cs="仿宋"/>
                <w:sz w:val="20"/>
                <w:szCs w:val="20"/>
                <w:lang w:val="en-US" w:eastAsia="zh-CN"/>
              </w:rPr>
              <w:t>3.2.2</w:t>
            </w:r>
            <w:r>
              <w:rPr>
                <w:rFonts w:hint="eastAsia" w:ascii="仿宋" w:hAnsi="仿宋" w:eastAsia="仿宋" w:cs="仿宋"/>
                <w:sz w:val="20"/>
                <w:szCs w:val="20"/>
              </w:rPr>
              <w:t>镜像</w:t>
            </w:r>
          </w:p>
          <w:p w14:paraId="4CF5776E">
            <w:pPr>
              <w:bidi w:val="0"/>
              <w:rPr>
                <w:rFonts w:hint="eastAsia" w:ascii="仿宋" w:hAnsi="仿宋" w:eastAsia="仿宋" w:cs="仿宋"/>
                <w:sz w:val="20"/>
                <w:szCs w:val="20"/>
              </w:rPr>
            </w:pPr>
            <w:r>
              <w:rPr>
                <w:rFonts w:hint="eastAsia" w:ascii="仿宋" w:hAnsi="仿宋" w:eastAsia="仿宋" w:cs="仿宋"/>
                <w:sz w:val="20"/>
                <w:szCs w:val="20"/>
              </w:rPr>
              <w:t>镜像专辑用户首次安装开始时间：自订购合同生效之日起5个工作日。</w:t>
            </w:r>
          </w:p>
          <w:p w14:paraId="4D9D90DB">
            <w:pPr>
              <w:bidi w:val="0"/>
              <w:rPr>
                <w:rFonts w:hint="eastAsia" w:ascii="仿宋" w:hAnsi="仿宋" w:eastAsia="仿宋" w:cs="仿宋"/>
                <w:sz w:val="20"/>
                <w:szCs w:val="20"/>
              </w:rPr>
            </w:pPr>
            <w:r>
              <w:rPr>
                <w:rFonts w:hint="eastAsia" w:ascii="仿宋" w:hAnsi="仿宋" w:eastAsia="仿宋" w:cs="仿宋"/>
                <w:sz w:val="20"/>
                <w:szCs w:val="20"/>
                <w:lang w:val="en-US" w:eastAsia="zh-CN"/>
              </w:rPr>
              <w:t>3.2.3</w:t>
            </w:r>
            <w:r>
              <w:rPr>
                <w:rFonts w:hint="eastAsia" w:ascii="仿宋" w:hAnsi="仿宋" w:eastAsia="仿宋" w:cs="仿宋"/>
                <w:sz w:val="20"/>
                <w:szCs w:val="20"/>
              </w:rPr>
              <w:t>安装完成期限与用户商定。</w:t>
            </w:r>
          </w:p>
          <w:p w14:paraId="7ED32EBC">
            <w:pPr>
              <w:bidi w:val="0"/>
              <w:rPr>
                <w:rFonts w:hint="eastAsia" w:ascii="仿宋" w:hAnsi="仿宋" w:eastAsia="仿宋" w:cs="仿宋"/>
                <w:sz w:val="20"/>
                <w:szCs w:val="20"/>
              </w:rPr>
            </w:pPr>
            <w:r>
              <w:rPr>
                <w:rFonts w:hint="eastAsia" w:ascii="仿宋" w:hAnsi="仿宋" w:eastAsia="仿宋" w:cs="仿宋"/>
                <w:sz w:val="20"/>
                <w:szCs w:val="20"/>
              </w:rPr>
              <w:t>3个工作日内排除系统故障；5个工作日内排除专辑数据故障；10个工作日内排除专题数据故障。</w:t>
            </w:r>
          </w:p>
          <w:p w14:paraId="1D2AF4F4">
            <w:pPr>
              <w:bidi w:val="0"/>
              <w:rPr>
                <w:rFonts w:hint="eastAsia" w:ascii="仿宋" w:hAnsi="仿宋" w:eastAsia="仿宋" w:cs="仿宋"/>
                <w:sz w:val="20"/>
                <w:szCs w:val="20"/>
                <w:highlight w:val="none"/>
              </w:rPr>
            </w:pPr>
            <w:r>
              <w:rPr>
                <w:rFonts w:hint="eastAsia" w:ascii="仿宋" w:hAnsi="仿宋" w:eastAsia="仿宋" w:cs="仿宋"/>
                <w:sz w:val="20"/>
                <w:szCs w:val="20"/>
                <w:highlight w:val="none"/>
                <w:lang w:val="en-US" w:eastAsia="zh-CN"/>
              </w:rPr>
              <w:t>3.3</w:t>
            </w:r>
            <w:r>
              <w:rPr>
                <w:rFonts w:hint="eastAsia" w:ascii="仿宋" w:hAnsi="仿宋" w:eastAsia="仿宋" w:cs="仿宋"/>
                <w:sz w:val="20"/>
                <w:szCs w:val="20"/>
                <w:highlight w:val="none"/>
              </w:rPr>
              <w:t>客户服务联系方式与响应时间</w:t>
            </w:r>
          </w:p>
          <w:p w14:paraId="75FC6E9C">
            <w:pPr>
              <w:bidi w:val="0"/>
              <w:rPr>
                <w:rFonts w:hint="default" w:ascii="仿宋" w:hAnsi="仿宋" w:eastAsia="仿宋" w:cs="仿宋"/>
                <w:b/>
                <w:bCs/>
                <w:sz w:val="20"/>
                <w:szCs w:val="20"/>
                <w:highlight w:val="none"/>
                <w:u w:val="single"/>
                <w:lang w:val="en-US" w:eastAsia="zh-CN"/>
              </w:rPr>
            </w:pPr>
            <w:r>
              <w:rPr>
                <w:rFonts w:hint="eastAsia" w:ascii="仿宋" w:hAnsi="仿宋" w:eastAsia="仿宋" w:cs="仿宋"/>
                <w:b/>
                <w:bCs/>
                <w:sz w:val="20"/>
                <w:szCs w:val="20"/>
                <w:highlight w:val="none"/>
                <w:u w:val="single"/>
                <w:lang w:val="en-US" w:eastAsia="zh-CN"/>
              </w:rPr>
              <w:t>提供</w:t>
            </w:r>
            <w:r>
              <w:rPr>
                <w:rFonts w:hint="eastAsia" w:ascii="仿宋" w:hAnsi="仿宋" w:eastAsia="仿宋" w:cs="仿宋"/>
                <w:b/>
                <w:bCs/>
                <w:sz w:val="20"/>
                <w:szCs w:val="20"/>
                <w:highlight w:val="none"/>
                <w:u w:val="single"/>
              </w:rPr>
              <w:t>热线电话</w:t>
            </w:r>
            <w:r>
              <w:rPr>
                <w:rFonts w:hint="eastAsia" w:ascii="仿宋" w:hAnsi="仿宋" w:eastAsia="仿宋" w:cs="仿宋"/>
                <w:b/>
                <w:bCs/>
                <w:sz w:val="20"/>
                <w:szCs w:val="20"/>
                <w:highlight w:val="none"/>
                <w:u w:val="single"/>
                <w:lang w:eastAsia="zh-CN"/>
              </w:rPr>
              <w:t>、</w:t>
            </w:r>
            <w:r>
              <w:rPr>
                <w:rFonts w:hint="eastAsia" w:ascii="仿宋" w:hAnsi="仿宋" w:eastAsia="仿宋" w:cs="仿宋"/>
                <w:b/>
                <w:bCs/>
                <w:sz w:val="20"/>
                <w:szCs w:val="20"/>
                <w:highlight w:val="none"/>
                <w:u w:val="single"/>
                <w:lang w:val="en-US" w:eastAsia="zh-CN"/>
              </w:rPr>
              <w:t>电子邮件、网络远程服务。</w:t>
            </w:r>
          </w:p>
          <w:p w14:paraId="03991B9A">
            <w:pPr>
              <w:bidi w:val="0"/>
              <w:rPr>
                <w:rFonts w:hint="eastAsia" w:ascii="仿宋" w:hAnsi="仿宋" w:eastAsia="仿宋" w:cs="仿宋"/>
                <w:sz w:val="20"/>
                <w:szCs w:val="20"/>
                <w:highlight w:val="none"/>
              </w:rPr>
            </w:pPr>
            <w:r>
              <w:rPr>
                <w:rFonts w:hint="eastAsia" w:ascii="仿宋" w:hAnsi="仿宋" w:eastAsia="仿宋" w:cs="仿宋"/>
                <w:sz w:val="20"/>
                <w:szCs w:val="20"/>
                <w:highlight w:val="none"/>
                <w:lang w:val="en-US" w:eastAsia="zh-CN"/>
              </w:rPr>
              <w:t>3.3.4</w:t>
            </w:r>
            <w:r>
              <w:rPr>
                <w:rFonts w:hint="eastAsia" w:ascii="仿宋" w:hAnsi="仿宋" w:eastAsia="仿宋" w:cs="仿宋"/>
                <w:sz w:val="20"/>
                <w:szCs w:val="20"/>
                <w:highlight w:val="none"/>
              </w:rPr>
              <w:t>回访</w:t>
            </w:r>
            <w:r>
              <w:rPr>
                <w:rFonts w:hint="eastAsia" w:ascii="仿宋" w:hAnsi="仿宋" w:eastAsia="仿宋" w:cs="仿宋"/>
                <w:sz w:val="20"/>
                <w:szCs w:val="20"/>
                <w:highlight w:val="none"/>
                <w:lang w:eastAsia="zh-CN"/>
              </w:rPr>
              <w:t>：</w:t>
            </w:r>
            <w:r>
              <w:rPr>
                <w:rFonts w:hint="eastAsia" w:ascii="仿宋" w:hAnsi="仿宋" w:eastAsia="仿宋" w:cs="仿宋"/>
                <w:sz w:val="20"/>
                <w:szCs w:val="20"/>
                <w:highlight w:val="none"/>
              </w:rPr>
              <w:t>每月电话回访一次机构用户。</w:t>
            </w:r>
          </w:p>
          <w:p w14:paraId="2891A401">
            <w:pPr>
              <w:bidi w:val="0"/>
              <w:rPr>
                <w:rFonts w:hint="eastAsia" w:ascii="仿宋" w:hAnsi="仿宋" w:eastAsia="仿宋" w:cs="仿宋"/>
                <w:sz w:val="20"/>
                <w:szCs w:val="20"/>
              </w:rPr>
            </w:pPr>
            <w:r>
              <w:rPr>
                <w:rFonts w:hint="eastAsia" w:ascii="仿宋" w:hAnsi="仿宋" w:eastAsia="仿宋" w:cs="仿宋"/>
                <w:sz w:val="20"/>
                <w:szCs w:val="20"/>
                <w:lang w:val="en-US" w:eastAsia="zh-CN"/>
              </w:rPr>
              <w:t>3.4</w:t>
            </w:r>
            <w:r>
              <w:rPr>
                <w:rFonts w:hint="eastAsia" w:ascii="仿宋" w:hAnsi="仿宋" w:eastAsia="仿宋" w:cs="仿宋"/>
                <w:sz w:val="20"/>
                <w:szCs w:val="20"/>
              </w:rPr>
              <w:t>培训及活动计划</w:t>
            </w:r>
            <w:bookmarkStart w:id="11" w:name="_Toc10842"/>
          </w:p>
          <w:p w14:paraId="1AC1E5D1">
            <w:pPr>
              <w:bidi w:val="0"/>
              <w:rPr>
                <w:rFonts w:hint="eastAsia" w:ascii="仿宋" w:hAnsi="仿宋" w:eastAsia="仿宋" w:cs="仿宋"/>
                <w:sz w:val="20"/>
                <w:szCs w:val="20"/>
              </w:rPr>
            </w:pPr>
            <w:r>
              <w:rPr>
                <w:rFonts w:hint="eastAsia" w:ascii="仿宋" w:hAnsi="仿宋" w:eastAsia="仿宋" w:cs="仿宋"/>
                <w:sz w:val="20"/>
                <w:szCs w:val="20"/>
              </w:rPr>
              <w:t>根据</w:t>
            </w:r>
            <w:r>
              <w:rPr>
                <w:rFonts w:hint="eastAsia" w:ascii="仿宋" w:hAnsi="仿宋" w:eastAsia="仿宋" w:cs="仿宋"/>
                <w:sz w:val="20"/>
                <w:szCs w:val="20"/>
                <w:lang w:val="en-US" w:eastAsia="zh-CN"/>
              </w:rPr>
              <w:t>采购人</w:t>
            </w:r>
            <w:r>
              <w:rPr>
                <w:rFonts w:hint="eastAsia" w:ascii="仿宋" w:hAnsi="仿宋" w:eastAsia="仿宋" w:cs="仿宋"/>
                <w:sz w:val="20"/>
                <w:szCs w:val="20"/>
              </w:rPr>
              <w:t>需求安排系列讲座、根据</w:t>
            </w:r>
            <w:r>
              <w:rPr>
                <w:rFonts w:hint="eastAsia" w:ascii="仿宋" w:hAnsi="仿宋" w:eastAsia="仿宋" w:cs="仿宋"/>
                <w:sz w:val="20"/>
                <w:szCs w:val="20"/>
                <w:lang w:val="en-US" w:eastAsia="zh-CN"/>
              </w:rPr>
              <w:t>采购人</w:t>
            </w:r>
            <w:r>
              <w:rPr>
                <w:rFonts w:hint="eastAsia" w:ascii="仿宋" w:hAnsi="仿宋" w:eastAsia="仿宋" w:cs="仿宋"/>
                <w:sz w:val="20"/>
                <w:szCs w:val="20"/>
              </w:rPr>
              <w:t>需求组织开展读书月、开学季宣传活动。</w:t>
            </w:r>
            <w:bookmarkEnd w:id="11"/>
          </w:p>
          <w:p w14:paraId="23403B0E">
            <w:pPr>
              <w:bidi w:val="0"/>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（二）掌阅精选数字资源</w:t>
            </w:r>
          </w:p>
          <w:p w14:paraId="71CA324A">
            <w:pPr>
              <w:bidi w:val="0"/>
              <w:rPr>
                <w:rFonts w:hint="eastAsia" w:ascii="仿宋" w:hAnsi="仿宋" w:eastAsia="仿宋" w:cs="仿宋"/>
                <w:sz w:val="20"/>
                <w:szCs w:val="20"/>
              </w:rPr>
            </w:pPr>
            <w:bookmarkStart w:id="12" w:name="_Toc38291125"/>
            <w:r>
              <w:rPr>
                <w:rFonts w:hint="eastAsia" w:ascii="仿宋" w:hAnsi="仿宋" w:eastAsia="仿宋" w:cs="仿宋"/>
                <w:sz w:val="20"/>
                <w:szCs w:val="20"/>
                <w:lang w:val="en-US" w:eastAsia="zh-CN"/>
              </w:rPr>
              <w:t>1.</w:t>
            </w:r>
            <w:r>
              <w:rPr>
                <w:rFonts w:hint="eastAsia" w:ascii="仿宋" w:hAnsi="仿宋" w:eastAsia="仿宋" w:cs="仿宋"/>
                <w:sz w:val="20"/>
                <w:szCs w:val="20"/>
              </w:rPr>
              <w:t>掌阅精选数字图书馆</w:t>
            </w:r>
            <w:bookmarkEnd w:id="12"/>
            <w:r>
              <w:rPr>
                <w:rFonts w:hint="eastAsia" w:ascii="仿宋" w:hAnsi="仿宋" w:eastAsia="仿宋" w:cs="仿宋"/>
                <w:sz w:val="20"/>
                <w:szCs w:val="20"/>
                <w:lang w:eastAsia="zh-CN"/>
              </w:rPr>
              <w:t>：</w:t>
            </w:r>
            <w:r>
              <w:rPr>
                <w:rFonts w:hint="eastAsia" w:ascii="仿宋" w:hAnsi="仿宋" w:eastAsia="仿宋" w:cs="仿宋"/>
                <w:sz w:val="20"/>
                <w:szCs w:val="20"/>
              </w:rPr>
              <w:t>掌阅精选数字图书馆是掌阅专门高校图书馆定制的高品质阅读服务，通过功能定制和内容定制，为学校提供数字图书馆解决方案。</w:t>
            </w:r>
          </w:p>
          <w:p w14:paraId="73489F2C">
            <w:pPr>
              <w:bidi w:val="0"/>
              <w:rPr>
                <w:rFonts w:hint="eastAsia" w:ascii="仿宋" w:hAnsi="仿宋" w:eastAsia="仿宋" w:cs="仿宋"/>
                <w:sz w:val="20"/>
                <w:szCs w:val="20"/>
              </w:rPr>
            </w:pPr>
            <w:r>
              <w:rPr>
                <w:rFonts w:hint="eastAsia" w:ascii="仿宋" w:hAnsi="仿宋" w:eastAsia="仿宋" w:cs="仿宋"/>
                <w:sz w:val="20"/>
                <w:szCs w:val="20"/>
              </w:rPr>
              <w:t>旨在帮助图书馆建立线上资源库，丰富阅读场景，打破只能线下阅读的边界，通过线上活动开展创新阅读形式，促进成员学习积极性，营造良好的阅读氛围。</w:t>
            </w:r>
          </w:p>
          <w:p w14:paraId="44CBA912">
            <w:pPr>
              <w:bidi w:val="0"/>
              <w:rPr>
                <w:rFonts w:hint="eastAsia" w:ascii="仿宋" w:hAnsi="仿宋" w:eastAsia="仿宋" w:cs="仿宋"/>
                <w:sz w:val="20"/>
                <w:szCs w:val="20"/>
              </w:rPr>
            </w:pPr>
            <w:r>
              <w:rPr>
                <w:rFonts w:hint="eastAsia" w:ascii="仿宋" w:hAnsi="仿宋" w:eastAsia="仿宋" w:cs="仿宋"/>
                <w:sz w:val="20"/>
                <w:szCs w:val="20"/>
              </w:rPr>
              <w:t>掌阅精选同时为高校图书馆提供一整套打包阅读服务，包括：</w:t>
            </w:r>
          </w:p>
          <w:p w14:paraId="005686D9">
            <w:pPr>
              <w:bidi w:val="0"/>
              <w:rPr>
                <w:rFonts w:hint="eastAsia" w:ascii="仿宋" w:hAnsi="仿宋" w:eastAsia="仿宋" w:cs="仿宋"/>
                <w:sz w:val="20"/>
                <w:szCs w:val="20"/>
              </w:rPr>
            </w:pPr>
            <w:r>
              <w:rPr>
                <w:rFonts w:hint="eastAsia" w:ascii="仿宋" w:hAnsi="仿宋" w:eastAsia="仿宋" w:cs="仿宋"/>
                <w:sz w:val="20"/>
                <w:szCs w:val="20"/>
                <w:lang w:val="en-US" w:eastAsia="zh-CN"/>
              </w:rPr>
              <w:t xml:space="preserve">1.1 </w:t>
            </w:r>
            <w:r>
              <w:rPr>
                <w:rFonts w:hint="eastAsia" w:ascii="仿宋" w:hAnsi="仿宋" w:eastAsia="仿宋" w:cs="仿宋"/>
                <w:sz w:val="20"/>
                <w:szCs w:val="20"/>
              </w:rPr>
              <w:t>国内领先的精品图书资源</w:t>
            </w:r>
            <w:r>
              <w:rPr>
                <w:rFonts w:hint="eastAsia" w:ascii="仿宋" w:hAnsi="仿宋" w:eastAsia="仿宋" w:cs="仿宋"/>
                <w:sz w:val="20"/>
                <w:szCs w:val="20"/>
                <w:lang w:eastAsia="zh-CN"/>
              </w:rPr>
              <w:t>，</w:t>
            </w:r>
            <w:r>
              <w:rPr>
                <w:rFonts w:hint="eastAsia" w:ascii="仿宋" w:hAnsi="仿宋" w:eastAsia="仿宋" w:cs="仿宋"/>
                <w:sz w:val="20"/>
                <w:szCs w:val="20"/>
              </w:rPr>
              <w:t>并涵盖诺贝尔文学奖、布克奖、龚古尔文学奖、鲁迅文学奖、日本芥川奖、日本直木奖、雨果奖等十几种大奖书系</w:t>
            </w:r>
            <w:r>
              <w:rPr>
                <w:rFonts w:hint="eastAsia" w:ascii="仿宋" w:hAnsi="仿宋" w:eastAsia="仿宋" w:cs="仿宋"/>
                <w:sz w:val="20"/>
                <w:szCs w:val="20"/>
                <w:lang w:eastAsia="zh-CN"/>
              </w:rPr>
              <w:t>。</w:t>
            </w:r>
          </w:p>
          <w:p w14:paraId="2EEDCE3B">
            <w:pPr>
              <w:bidi w:val="0"/>
              <w:rPr>
                <w:rFonts w:hint="eastAsia" w:ascii="仿宋" w:hAnsi="仿宋" w:eastAsia="仿宋" w:cs="仿宋"/>
                <w:sz w:val="20"/>
                <w:szCs w:val="20"/>
              </w:rPr>
            </w:pPr>
            <w:r>
              <w:rPr>
                <w:rFonts w:hint="eastAsia" w:ascii="仿宋" w:hAnsi="仿宋" w:eastAsia="仿宋" w:cs="仿宋"/>
                <w:sz w:val="20"/>
                <w:szCs w:val="20"/>
                <w:lang w:val="en-US" w:eastAsia="zh-CN"/>
              </w:rPr>
              <w:t xml:space="preserve">1.2 </w:t>
            </w:r>
            <w:r>
              <w:rPr>
                <w:rFonts w:hint="eastAsia" w:ascii="仿宋" w:hAnsi="仿宋" w:eastAsia="仿宋" w:cs="仿宋"/>
                <w:sz w:val="20"/>
                <w:szCs w:val="20"/>
              </w:rPr>
              <w:t>数字图书馆管理平台（将阅读数据量化，可统计阅读书目，阅读人群，阅读时长，阅读量）</w:t>
            </w:r>
            <w:r>
              <w:rPr>
                <w:rFonts w:hint="eastAsia" w:ascii="仿宋" w:hAnsi="仿宋" w:eastAsia="仿宋" w:cs="仿宋"/>
                <w:sz w:val="20"/>
                <w:szCs w:val="20"/>
                <w:lang w:eastAsia="zh-CN"/>
              </w:rPr>
              <w:t>。</w:t>
            </w:r>
          </w:p>
          <w:p w14:paraId="0BA1F261">
            <w:pPr>
              <w:bidi w:val="0"/>
              <w:rPr>
                <w:rFonts w:hint="eastAsia" w:ascii="仿宋" w:hAnsi="仿宋" w:eastAsia="仿宋" w:cs="仿宋"/>
                <w:sz w:val="20"/>
                <w:szCs w:val="20"/>
              </w:rPr>
            </w:pPr>
            <w:r>
              <w:rPr>
                <w:rFonts w:hint="eastAsia" w:ascii="仿宋" w:hAnsi="仿宋" w:eastAsia="仿宋" w:cs="仿宋"/>
                <w:sz w:val="20"/>
                <w:szCs w:val="20"/>
                <w:lang w:val="en-US" w:eastAsia="zh-CN"/>
              </w:rPr>
              <w:t xml:space="preserve">1.3 </w:t>
            </w:r>
            <w:r>
              <w:rPr>
                <w:rFonts w:hint="eastAsia" w:ascii="仿宋" w:hAnsi="仿宋" w:eastAsia="仿宋" w:cs="仿宋"/>
                <w:sz w:val="20"/>
                <w:szCs w:val="20"/>
              </w:rPr>
              <w:t>阅读运营服务包（全年线上线下的阅读推广服务）</w:t>
            </w:r>
            <w:r>
              <w:rPr>
                <w:rFonts w:hint="eastAsia" w:ascii="仿宋" w:hAnsi="仿宋" w:eastAsia="仿宋" w:cs="仿宋"/>
                <w:sz w:val="20"/>
                <w:szCs w:val="20"/>
                <w:lang w:eastAsia="zh-CN"/>
              </w:rPr>
              <w:t>。</w:t>
            </w:r>
          </w:p>
          <w:p w14:paraId="41FB2717">
            <w:pPr>
              <w:bidi w:val="0"/>
              <w:rPr>
                <w:rFonts w:hint="eastAsia" w:ascii="仿宋" w:hAnsi="仿宋" w:eastAsia="仿宋" w:cs="仿宋"/>
                <w:sz w:val="20"/>
                <w:szCs w:val="20"/>
              </w:rPr>
            </w:pPr>
            <w:r>
              <w:rPr>
                <w:rFonts w:hint="eastAsia" w:ascii="仿宋" w:hAnsi="仿宋" w:eastAsia="仿宋" w:cs="仿宋"/>
                <w:sz w:val="20"/>
                <w:szCs w:val="20"/>
                <w:lang w:val="en-US" w:eastAsia="zh-CN"/>
              </w:rPr>
              <w:t xml:space="preserve">1.4 </w:t>
            </w:r>
            <w:r>
              <w:rPr>
                <w:rFonts w:hint="eastAsia" w:ascii="仿宋" w:hAnsi="仿宋" w:eastAsia="仿宋" w:cs="仿宋"/>
                <w:sz w:val="20"/>
                <w:szCs w:val="20"/>
              </w:rPr>
              <w:t>售后服务</w:t>
            </w:r>
            <w:r>
              <w:rPr>
                <w:rFonts w:hint="eastAsia" w:ascii="仿宋" w:hAnsi="仿宋" w:eastAsia="仿宋" w:cs="仿宋"/>
                <w:sz w:val="20"/>
                <w:szCs w:val="20"/>
                <w:lang w:eastAsia="zh-CN"/>
              </w:rPr>
              <w:t>。</w:t>
            </w:r>
          </w:p>
          <w:p w14:paraId="427A732A">
            <w:pPr>
              <w:bidi w:val="0"/>
              <w:rPr>
                <w:rFonts w:hint="eastAsia" w:ascii="仿宋" w:hAnsi="仿宋" w:eastAsia="仿宋" w:cs="仿宋"/>
                <w:sz w:val="20"/>
                <w:szCs w:val="20"/>
              </w:rPr>
            </w:pPr>
            <w:r>
              <w:rPr>
                <w:rFonts w:hint="eastAsia" w:ascii="仿宋" w:hAnsi="仿宋" w:eastAsia="仿宋" w:cs="仿宋"/>
                <w:sz w:val="20"/>
                <w:szCs w:val="20"/>
                <w:lang w:val="en-US" w:eastAsia="zh-CN"/>
              </w:rPr>
              <w:t xml:space="preserve">1.5 </w:t>
            </w:r>
            <w:r>
              <w:rPr>
                <w:rFonts w:hint="eastAsia" w:ascii="仿宋" w:hAnsi="仿宋" w:eastAsia="仿宋" w:cs="仿宋"/>
                <w:sz w:val="20"/>
                <w:szCs w:val="20"/>
              </w:rPr>
              <w:t>有效期内组织成员免费阅读（打破空间，时间的限制，无需每人都借阅一本纸质书就可组织共读一本书的活动，线上交流，线下也可组织活动）</w:t>
            </w:r>
            <w:r>
              <w:rPr>
                <w:rFonts w:hint="eastAsia" w:ascii="仿宋" w:hAnsi="仿宋" w:eastAsia="仿宋" w:cs="仿宋"/>
                <w:sz w:val="20"/>
                <w:szCs w:val="20"/>
                <w:lang w:eastAsia="zh-CN"/>
              </w:rPr>
              <w:t>。</w:t>
            </w:r>
          </w:p>
          <w:p w14:paraId="71CBFB66">
            <w:pPr>
              <w:bidi w:val="0"/>
              <w:rPr>
                <w:ins w:id="1" w:author="rq" w:date="2025-11-24T15:26:54Z"/>
                <w:rFonts w:hint="eastAsia" w:ascii="仿宋" w:hAnsi="仿宋" w:eastAsia="仿宋" w:cs="仿宋"/>
                <w:sz w:val="20"/>
                <w:szCs w:val="20"/>
              </w:rPr>
            </w:pPr>
            <w:r>
              <w:rPr>
                <w:rFonts w:hint="eastAsia" w:ascii="仿宋" w:hAnsi="仿宋" w:eastAsia="仿宋" w:cs="仿宋"/>
                <w:sz w:val="20"/>
                <w:szCs w:val="20"/>
                <w:lang w:val="en-US" w:eastAsia="zh-CN"/>
              </w:rPr>
              <w:t>1.6</w:t>
            </w:r>
            <w:r>
              <w:rPr>
                <w:rFonts w:hint="eastAsia" w:ascii="仿宋" w:hAnsi="仿宋" w:eastAsia="仿宋" w:cs="仿宋"/>
                <w:sz w:val="20"/>
                <w:szCs w:val="20"/>
              </w:rPr>
              <w:t>书库自动更新</w:t>
            </w:r>
          </w:p>
          <w:p w14:paraId="26CFAD67">
            <w:pPr>
              <w:bidi w:val="0"/>
              <w:rPr>
                <w:rFonts w:hint="eastAsia" w:ascii="仿宋" w:hAnsi="仿宋" w:eastAsia="仿宋" w:cs="仿宋"/>
                <w:sz w:val="20"/>
                <w:szCs w:val="20"/>
              </w:rPr>
            </w:pPr>
            <w:r>
              <w:rPr>
                <w:rFonts w:hint="eastAsia" w:ascii="仿宋" w:hAnsi="仿宋" w:eastAsia="仿宋" w:cs="仿宋"/>
                <w:sz w:val="20"/>
                <w:szCs w:val="20"/>
                <w:lang w:val="en-US" w:eastAsia="zh-CN"/>
              </w:rPr>
              <w:t>2.服务内容</w:t>
            </w:r>
          </w:p>
          <w:tbl>
            <w:tblPr>
              <w:tblStyle w:val="5"/>
              <w:tblW w:w="7286" w:type="dxa"/>
              <w:tblInd w:w="0" w:type="dxa"/>
              <w:shd w:val="clear" w:color="auto" w:fill="FFFFFF" w:themeFill="background1"/>
              <w:tblLayout w:type="fixed"/>
              <w:tblCellMar>
                <w:top w:w="0" w:type="dxa"/>
                <w:left w:w="0" w:type="dxa"/>
                <w:bottom w:w="0" w:type="dxa"/>
                <w:right w:w="0" w:type="dxa"/>
              </w:tblCellMar>
            </w:tblPr>
            <w:tblGrid>
              <w:gridCol w:w="793"/>
              <w:gridCol w:w="6493"/>
            </w:tblGrid>
            <w:tr w14:paraId="5C2D5470">
              <w:tblPrEx>
                <w:shd w:val="clear" w:color="auto" w:fill="FFFFFF" w:themeFill="background1"/>
                <w:tblCellMar>
                  <w:top w:w="0" w:type="dxa"/>
                  <w:left w:w="0" w:type="dxa"/>
                  <w:bottom w:w="0" w:type="dxa"/>
                  <w:right w:w="0" w:type="dxa"/>
                </w:tblCellMar>
              </w:tblPrEx>
              <w:trPr>
                <w:trHeight w:val="449" w:hRule="atLeast"/>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5" w:type="dxa"/>
                    <w:left w:w="15" w:type="dxa"/>
                    <w:right w:w="15" w:type="dxa"/>
                  </w:tcMar>
                  <w:vAlign w:val="center"/>
                </w:tcPr>
                <w:p w14:paraId="174EBB9A">
                  <w:pPr>
                    <w:keepNext w:val="0"/>
                    <w:keepLines w:val="0"/>
                    <w:widowControl/>
                    <w:suppressLineNumbers w:val="0"/>
                    <w:shd w:val="clear"/>
                    <w:jc w:val="center"/>
                    <w:textAlignment w:val="center"/>
                    <w:rPr>
                      <w:rFonts w:hint="eastAsia" w:ascii="仿宋" w:hAnsi="仿宋" w:eastAsia="仿宋" w:cs="仿宋"/>
                      <w:b/>
                      <w:i w:val="0"/>
                      <w:color w:val="FFFFFF"/>
                      <w:sz w:val="20"/>
                      <w:szCs w:val="20"/>
                      <w:u w:val="none"/>
                      <w:lang w:val="en-US"/>
                    </w:rPr>
                  </w:pPr>
                  <w:bookmarkStart w:id="13" w:name="_Toc21857"/>
                  <w:bookmarkStart w:id="14" w:name="_Toc2901"/>
                  <w:bookmarkStart w:id="15" w:name="_Toc22567"/>
                  <w:r>
                    <w:rPr>
                      <w:rFonts w:hint="eastAsia" w:ascii="仿宋" w:hAnsi="仿宋" w:eastAsia="仿宋" w:cs="仿宋"/>
                      <w:b/>
                      <w:i w:val="0"/>
                      <w:color w:val="auto"/>
                      <w:sz w:val="20"/>
                      <w:szCs w:val="20"/>
                      <w:u w:val="none"/>
                      <w:lang w:val="en-US"/>
                    </w:rPr>
                    <w:t>掌阅精选书城</w:t>
                  </w:r>
                </w:p>
              </w:tc>
            </w:tr>
            <w:tr w14:paraId="3392522E">
              <w:tblPrEx>
                <w:tblCellMar>
                  <w:top w:w="0" w:type="dxa"/>
                  <w:left w:w="0" w:type="dxa"/>
                  <w:bottom w:w="0" w:type="dxa"/>
                  <w:right w:w="0" w:type="dxa"/>
                </w:tblCellMar>
              </w:tblPrEx>
              <w:trPr>
                <w:trHeight w:val="385" w:hRule="atLeast"/>
              </w:trPr>
              <w:tc>
                <w:tcPr>
                  <w:tcW w:w="544"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5" w:type="dxa"/>
                    <w:left w:w="15" w:type="dxa"/>
                    <w:right w:w="15" w:type="dxa"/>
                  </w:tcMar>
                  <w:vAlign w:val="center"/>
                </w:tcPr>
                <w:p w14:paraId="74FBF8DA">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类别</w:t>
                  </w:r>
                </w:p>
              </w:tc>
              <w:tc>
                <w:tcPr>
                  <w:tcW w:w="4455"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5" w:type="dxa"/>
                    <w:left w:w="15" w:type="dxa"/>
                    <w:right w:w="15" w:type="dxa"/>
                  </w:tcMar>
                  <w:vAlign w:val="center"/>
                </w:tcPr>
                <w:p w14:paraId="20F9272A">
                  <w:pPr>
                    <w:keepNext w:val="0"/>
                    <w:keepLines w:val="0"/>
                    <w:widowControl/>
                    <w:suppressLineNumbers w:val="0"/>
                    <w:jc w:val="center"/>
                    <w:textAlignment w:val="center"/>
                    <w:rPr>
                      <w:rFonts w:hint="eastAsia" w:ascii="仿宋" w:hAnsi="仿宋" w:eastAsia="仿宋" w:cs="仿宋"/>
                      <w:b/>
                      <w:i w:val="0"/>
                      <w:color w:val="000000"/>
                      <w:sz w:val="20"/>
                      <w:szCs w:val="20"/>
                      <w:u w:val="none"/>
                      <w:lang w:eastAsia="zh-CN"/>
                    </w:rPr>
                  </w:pPr>
                  <w:r>
                    <w:rPr>
                      <w:rFonts w:hint="eastAsia" w:ascii="仿宋" w:hAnsi="仿宋" w:eastAsia="仿宋" w:cs="仿宋"/>
                      <w:b/>
                      <w:i w:val="0"/>
                      <w:color w:val="000000"/>
                      <w:kern w:val="0"/>
                      <w:sz w:val="20"/>
                      <w:szCs w:val="20"/>
                      <w:u w:val="none"/>
                      <w:lang w:val="en-US" w:eastAsia="zh-CN" w:bidi="ar"/>
                    </w:rPr>
                    <w:t>内容</w:t>
                  </w:r>
                </w:p>
              </w:tc>
            </w:tr>
            <w:tr w14:paraId="7476A6D7">
              <w:tblPrEx>
                <w:shd w:val="clear" w:color="auto" w:fill="FFFFFF" w:themeFill="background1"/>
                <w:tblCellMar>
                  <w:top w:w="0" w:type="dxa"/>
                  <w:left w:w="0" w:type="dxa"/>
                  <w:bottom w:w="0" w:type="dxa"/>
                  <w:right w:w="0" w:type="dxa"/>
                </w:tblCellMar>
              </w:tblPrEx>
              <w:trPr>
                <w:trHeight w:val="765" w:hRule="atLeast"/>
              </w:trPr>
              <w:tc>
                <w:tcPr>
                  <w:tcW w:w="544" w:type="pct"/>
                  <w:tcBorders>
                    <w:top w:val="single" w:color="000000" w:sz="4" w:space="0"/>
                    <w:left w:val="single" w:color="000000" w:sz="4" w:space="0"/>
                    <w:right w:val="single" w:color="000000" w:sz="4" w:space="0"/>
                  </w:tcBorders>
                  <w:shd w:val="clear" w:color="auto" w:fill="FFFFFF" w:themeFill="background1"/>
                  <w:noWrap w:val="0"/>
                  <w:tcMar>
                    <w:top w:w="15" w:type="dxa"/>
                    <w:left w:w="15" w:type="dxa"/>
                    <w:right w:w="15" w:type="dxa"/>
                  </w:tcMar>
                  <w:vAlign w:val="center"/>
                </w:tcPr>
                <w:p w14:paraId="3ABE2B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i w:val="0"/>
                      <w:color w:val="000000"/>
                      <w:sz w:val="20"/>
                      <w:szCs w:val="20"/>
                      <w:u w:val="none"/>
                      <w:lang w:val="en-US"/>
                    </w:rPr>
                  </w:pPr>
                  <w:r>
                    <w:rPr>
                      <w:rFonts w:hint="eastAsia" w:ascii="仿宋" w:hAnsi="仿宋" w:eastAsia="仿宋" w:cs="仿宋"/>
                      <w:b w:val="0"/>
                      <w:bCs/>
                      <w:i w:val="0"/>
                      <w:color w:val="000000"/>
                      <w:kern w:val="0"/>
                      <w:sz w:val="20"/>
                      <w:szCs w:val="20"/>
                      <w:u w:val="none"/>
                      <w:lang w:val="en-US" w:eastAsia="zh-CN" w:bidi="ar"/>
                    </w:rPr>
                    <w:t>资源及服务</w:t>
                  </w:r>
                </w:p>
              </w:tc>
              <w:tc>
                <w:tcPr>
                  <w:tcW w:w="4455"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5" w:type="dxa"/>
                    <w:left w:w="15" w:type="dxa"/>
                    <w:right w:w="15" w:type="dxa"/>
                  </w:tcMar>
                  <w:vAlign w:val="center"/>
                </w:tcPr>
                <w:p w14:paraId="46AA5902">
                  <w:pPr>
                    <w:keepNext w:val="0"/>
                    <w:keepLines w:val="0"/>
                    <w:pageBreakBefore w:val="0"/>
                    <w:kinsoku/>
                    <w:wordWrap/>
                    <w:overflowPunct/>
                    <w:topLinePunct w:val="0"/>
                    <w:autoSpaceDE/>
                    <w:autoSpaceDN/>
                    <w:bidi w:val="0"/>
                    <w:adjustRightInd/>
                    <w:snapToGrid/>
                    <w:spacing w:line="24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1.资源数量:电子图书数量不少于5万种，有声图书数量不少于5万集。</w:t>
                  </w:r>
                </w:p>
                <w:p w14:paraId="5EEE995F">
                  <w:pPr>
                    <w:keepNext w:val="0"/>
                    <w:keepLines w:val="0"/>
                    <w:pageBreakBefore w:val="0"/>
                    <w:kinsoku/>
                    <w:wordWrap/>
                    <w:overflowPunct/>
                    <w:topLinePunct w:val="0"/>
                    <w:autoSpaceDE/>
                    <w:autoSpaceDN/>
                    <w:bidi w:val="0"/>
                    <w:adjustRightInd/>
                    <w:snapToGrid/>
                    <w:spacing w:line="24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2.资源年更新量:电子图书不少于 20000 种，有声图书不少于6000 集。</w:t>
                  </w:r>
                </w:p>
                <w:p w14:paraId="2E7C4253">
                  <w:pPr>
                    <w:keepNext w:val="0"/>
                    <w:keepLines w:val="0"/>
                    <w:pageBreakBefore w:val="0"/>
                    <w:kinsoku/>
                    <w:wordWrap/>
                    <w:overflowPunct/>
                    <w:topLinePunct w:val="0"/>
                    <w:autoSpaceDE/>
                    <w:autoSpaceDN/>
                    <w:bidi w:val="0"/>
                    <w:adjustRightInd/>
                    <w:snapToGrid/>
                    <w:spacing w:line="24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3.电子图书和有声图书须在同一平台上运行,</w:t>
                  </w:r>
                </w:p>
                <w:p w14:paraId="1376AAC5">
                  <w:pPr>
                    <w:keepNext w:val="0"/>
                    <w:keepLines w:val="0"/>
                    <w:pageBreakBefore w:val="0"/>
                    <w:kinsoku/>
                    <w:wordWrap/>
                    <w:overflowPunct/>
                    <w:topLinePunct w:val="0"/>
                    <w:autoSpaceDE/>
                    <w:autoSpaceDN/>
                    <w:bidi w:val="0"/>
                    <w:adjustRightInd/>
                    <w:snapToGrid/>
                    <w:spacing w:line="24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4.资源恪式:所有电子图书均须为 EPUB 格式，有声图书为 MP3格式，以保证图书的阅读体验和阅读质量，</w:t>
                  </w:r>
                </w:p>
                <w:p w14:paraId="4578C497">
                  <w:pPr>
                    <w:keepNext w:val="0"/>
                    <w:keepLines w:val="0"/>
                    <w:pageBreakBefore w:val="0"/>
                    <w:kinsoku/>
                    <w:wordWrap/>
                    <w:overflowPunct/>
                    <w:topLinePunct w:val="0"/>
                    <w:autoSpaceDE/>
                    <w:autoSpaceDN/>
                    <w:bidi w:val="0"/>
                    <w:adjustRightInd/>
                    <w:snapToGrid/>
                    <w:spacing w:line="24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5.资源内容:</w:t>
                  </w:r>
                </w:p>
                <w:p w14:paraId="169C42D2">
                  <w:pPr>
                    <w:keepNext w:val="0"/>
                    <w:keepLines w:val="0"/>
                    <w:pageBreakBefore w:val="0"/>
                    <w:kinsoku/>
                    <w:wordWrap/>
                    <w:overflowPunct/>
                    <w:topLinePunct w:val="0"/>
                    <w:autoSpaceDE/>
                    <w:autoSpaceDN/>
                    <w:bidi w:val="0"/>
                    <w:adjustRightInd/>
                    <w:snapToGrid/>
                    <w:spacing w:line="24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电子图书图书资源内容包含小说、文学、艺术、影视原著社会科学、历史、哲学、心理、法律、医学、青春、传记、生活、“政治/军事”、“ 科普/互咲网+”、“经济/管理”、“运动/养生”等分类优质电子图书;</w:t>
                  </w:r>
                </w:p>
                <w:p w14:paraId="619688F5">
                  <w:pPr>
                    <w:keepNext w:val="0"/>
                    <w:keepLines w:val="0"/>
                    <w:pageBreakBefore w:val="0"/>
                    <w:kinsoku/>
                    <w:wordWrap/>
                    <w:overflowPunct/>
                    <w:topLinePunct w:val="0"/>
                    <w:autoSpaceDE/>
                    <w:autoSpaceDN/>
                    <w:bidi w:val="0"/>
                    <w:adjustRightInd/>
                    <w:snapToGrid/>
                    <w:spacing w:line="24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有声图书包含解读书、人文社科、经管、文学、励志、亲子儿童、国学、广播剧等优质有声资源；</w:t>
                  </w:r>
                </w:p>
              </w:tc>
            </w:tr>
            <w:tr w14:paraId="6A6A86BD">
              <w:tblPrEx>
                <w:shd w:val="clear" w:color="auto" w:fill="FFFFFF" w:themeFill="background1"/>
                <w:tblCellMar>
                  <w:top w:w="0" w:type="dxa"/>
                  <w:left w:w="0" w:type="dxa"/>
                  <w:bottom w:w="0" w:type="dxa"/>
                  <w:right w:w="0" w:type="dxa"/>
                </w:tblCellMar>
              </w:tblPrEx>
              <w:trPr>
                <w:trHeight w:val="247" w:hRule="atLeast"/>
              </w:trPr>
              <w:tc>
                <w:tcPr>
                  <w:tcW w:w="544"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5" w:type="dxa"/>
                    <w:left w:w="15" w:type="dxa"/>
                    <w:right w:w="15" w:type="dxa"/>
                  </w:tcMar>
                  <w:vAlign w:val="center"/>
                </w:tcPr>
                <w:p w14:paraId="1788A6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sz w:val="20"/>
                      <w:szCs w:val="20"/>
                      <w:lang w:val="en-US" w:eastAsia="zh-CN"/>
                    </w:rPr>
                    <w:t>可提供机构用户售后服务</w:t>
                  </w:r>
                </w:p>
              </w:tc>
              <w:tc>
                <w:tcPr>
                  <w:tcW w:w="4455"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5" w:type="dxa"/>
                    <w:left w:w="15" w:type="dxa"/>
                    <w:right w:w="15" w:type="dxa"/>
                  </w:tcMar>
                  <w:vAlign w:val="center"/>
                </w:tcPr>
                <w:p w14:paraId="3EE53B7F">
                  <w:pPr>
                    <w:keepNext w:val="0"/>
                    <w:keepLines w:val="0"/>
                    <w:pageBreakBefore w:val="0"/>
                    <w:kinsoku/>
                    <w:wordWrap/>
                    <w:overflowPunct/>
                    <w:topLinePunct w:val="0"/>
                    <w:autoSpaceDE/>
                    <w:autoSpaceDN/>
                    <w:bidi w:val="0"/>
                    <w:adjustRightInd/>
                    <w:snapToGrid/>
                    <w:spacing w:line="24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 xml:space="preserve">1.提供完整的阅读行为数据：含用户阅读排行、书籍阅读排行等多维度统计数据分析，系统自动生成，也可手动导出。                               </w:t>
                  </w:r>
                </w:p>
                <w:p w14:paraId="353BD803">
                  <w:pPr>
                    <w:keepNext w:val="0"/>
                    <w:keepLines w:val="0"/>
                    <w:pageBreakBefore w:val="0"/>
                    <w:kinsoku/>
                    <w:wordWrap/>
                    <w:overflowPunct/>
                    <w:topLinePunct w:val="0"/>
                    <w:autoSpaceDE/>
                    <w:autoSpaceDN/>
                    <w:bidi w:val="0"/>
                    <w:adjustRightInd/>
                    <w:snapToGrid/>
                    <w:spacing w:line="24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2.提供全年阅读推广微信运营包含4次全国性线上活动方案和礼品，如：线上线下共读活动、评选阅读之星活动、专题阅读活动。</w:t>
                  </w:r>
                </w:p>
              </w:tc>
            </w:tr>
          </w:tbl>
          <w:p w14:paraId="6409898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（三）书香中国阅读资源</w:t>
            </w:r>
          </w:p>
          <w:p w14:paraId="098B530D">
            <w:pPr>
              <w:spacing w:line="240" w:lineRule="auto"/>
              <w:ind w:firstLine="0" w:firstLineChars="0"/>
              <w:rPr>
                <w:rFonts w:hint="eastAsia" w:ascii="仿宋" w:hAnsi="仿宋" w:eastAsia="仿宋" w:cs="仿宋"/>
                <w:bCs/>
                <w:sz w:val="20"/>
                <w:szCs w:val="20"/>
              </w:rPr>
            </w:pPr>
            <w:r>
              <w:rPr>
                <w:rFonts w:hint="eastAsia" w:ascii="仿宋" w:hAnsi="仿宋" w:eastAsia="仿宋" w:cs="仿宋"/>
                <w:bCs/>
                <w:sz w:val="20"/>
                <w:szCs w:val="20"/>
                <w:lang w:val="en-US" w:eastAsia="zh-CN"/>
              </w:rPr>
              <w:t>1.书香中国平台：</w:t>
            </w:r>
            <w:r>
              <w:rPr>
                <w:rFonts w:hint="eastAsia" w:ascii="仿宋" w:hAnsi="仿宋" w:eastAsia="仿宋" w:cs="仿宋"/>
                <w:bCs/>
                <w:sz w:val="20"/>
                <w:szCs w:val="20"/>
                <w:shd w:val="clear" w:color="auto" w:fill="FFFFFF"/>
              </w:rPr>
              <w:t>“书香中国”是专为教育领域精心打造的在线数据库，数字内容类型覆盖全面、分类详尽，能满足各种类型读者不同的阅读需求。</w:t>
            </w:r>
            <w:r>
              <w:rPr>
                <w:rFonts w:hint="eastAsia" w:ascii="仿宋" w:hAnsi="仿宋" w:eastAsia="仿宋" w:cs="仿宋"/>
                <w:bCs/>
                <w:sz w:val="20"/>
                <w:szCs w:val="20"/>
              </w:rPr>
              <w:t>平台拥有20万余种正版数字图书，汇集近300家出版机构， 包括人民出版社、高等教育出版社、作家出版社、电子工业出版社、清华大学出版社等。</w:t>
            </w:r>
          </w:p>
          <w:p w14:paraId="0FA027A2">
            <w:pPr>
              <w:keepNext w:val="0"/>
              <w:keepLines w:val="0"/>
              <w:pageBreakBefore w:val="0"/>
              <w:widowControl w:val="0"/>
              <w:kinsoku/>
              <w:wordWrap/>
              <w:overflowPunct/>
              <w:topLinePunct w:val="0"/>
              <w:autoSpaceDE/>
              <w:autoSpaceDN/>
              <w:bidi w:val="0"/>
              <w:adjustRightInd/>
              <w:snapToGrid/>
              <w:spacing w:line="240" w:lineRule="auto"/>
              <w:ind w:firstLine="400" w:firstLineChars="200"/>
              <w:textAlignment w:val="auto"/>
              <w:rPr>
                <w:rFonts w:hint="eastAsia" w:ascii="仿宋" w:hAnsi="仿宋" w:eastAsia="仿宋" w:cs="仿宋"/>
                <w:bCs/>
                <w:sz w:val="20"/>
                <w:szCs w:val="20"/>
              </w:rPr>
            </w:pPr>
            <w:r>
              <w:rPr>
                <w:rFonts w:hint="eastAsia" w:ascii="仿宋" w:hAnsi="仿宋" w:eastAsia="仿宋" w:cs="仿宋"/>
                <w:bCs/>
                <w:sz w:val="20"/>
                <w:szCs w:val="20"/>
              </w:rPr>
              <w:t>库中涵盖2000多位知名作家的近2000部大奖作品和知名作品，包括巴金、郭沫若、余秋雨、梁晓声、张恨水、贾平凹、二月河、熊召政、刘震云、丁玲、汪国真等。</w:t>
            </w:r>
            <w:r>
              <w:rPr>
                <w:rFonts w:hint="eastAsia" w:ascii="仿宋" w:hAnsi="仿宋" w:eastAsia="仿宋" w:cs="仿宋"/>
                <w:bCs/>
                <w:spacing w:val="63"/>
                <w:sz w:val="20"/>
                <w:szCs w:val="20"/>
              </w:rPr>
              <w:t xml:space="preserve"> </w:t>
            </w:r>
          </w:p>
          <w:p w14:paraId="0B95D5ED">
            <w:pPr>
              <w:spacing w:line="360" w:lineRule="auto"/>
              <w:ind w:firstLine="560"/>
              <w:rPr>
                <w:rFonts w:hint="eastAsia" w:ascii="仿宋" w:hAnsi="仿宋" w:eastAsia="仿宋" w:cs="仿宋"/>
                <w:bCs/>
                <w:sz w:val="20"/>
                <w:szCs w:val="20"/>
                <w:lang w:val="en-US" w:eastAsia="zh-CN"/>
              </w:rPr>
            </w:pPr>
            <w:r>
              <w:rPr>
                <w:rFonts w:hint="eastAsia" w:ascii="仿宋" w:hAnsi="仿宋" w:eastAsia="仿宋" w:cs="仿宋"/>
                <w:bCs/>
                <w:sz w:val="20"/>
                <w:szCs w:val="20"/>
              </w:rPr>
              <w:drawing>
                <wp:inline distT="0" distB="0" distL="114300" distR="114300">
                  <wp:extent cx="3962400" cy="874395"/>
                  <wp:effectExtent l="0" t="0" r="0" b="1905"/>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a:picLocks noChangeAspect="1"/>
                          </pic:cNvPicPr>
                        </pic:nvPicPr>
                        <pic:blipFill>
                          <a:blip r:embed="rId7"/>
                          <a:stretch>
                            <a:fillRect/>
                          </a:stretch>
                        </pic:blipFill>
                        <pic:spPr>
                          <a:xfrm>
                            <a:off x="0" y="0"/>
                            <a:ext cx="3962400" cy="874395"/>
                          </a:xfrm>
                          <a:prstGeom prst="rect">
                            <a:avLst/>
                          </a:prstGeom>
                          <a:noFill/>
                          <a:ln>
                            <a:noFill/>
                          </a:ln>
                        </pic:spPr>
                      </pic:pic>
                    </a:graphicData>
                  </a:graphic>
                </wp:inline>
              </w:drawing>
            </w:r>
          </w:p>
          <w:p w14:paraId="394E3F90">
            <w:pPr>
              <w:spacing w:line="360" w:lineRule="auto"/>
              <w:rPr>
                <w:rFonts w:hint="eastAsia" w:ascii="仿宋" w:hAnsi="仿宋" w:eastAsia="仿宋" w:cs="仿宋"/>
                <w:bCs/>
                <w:sz w:val="20"/>
                <w:szCs w:val="20"/>
                <w:lang w:val="en-US" w:eastAsia="zh-CN"/>
              </w:rPr>
            </w:pPr>
            <w:r>
              <w:rPr>
                <w:rFonts w:hint="eastAsia" w:ascii="仿宋" w:hAnsi="仿宋" w:eastAsia="仿宋" w:cs="仿宋"/>
                <w:bCs/>
                <w:sz w:val="20"/>
                <w:szCs w:val="20"/>
                <w:lang w:val="en-US" w:eastAsia="zh-CN"/>
              </w:rPr>
              <w:t>2.资源内容</w:t>
            </w:r>
          </w:p>
          <w:tbl>
            <w:tblPr>
              <w:tblStyle w:val="5"/>
              <w:tblW w:w="7083" w:type="dxa"/>
              <w:jc w:val="center"/>
              <w:tblLayout w:type="fixed"/>
              <w:tblCellMar>
                <w:top w:w="0" w:type="dxa"/>
                <w:left w:w="108" w:type="dxa"/>
                <w:bottom w:w="0" w:type="dxa"/>
                <w:right w:w="108" w:type="dxa"/>
              </w:tblCellMar>
            </w:tblPr>
            <w:tblGrid>
              <w:gridCol w:w="2045"/>
              <w:gridCol w:w="2618"/>
              <w:gridCol w:w="1144"/>
              <w:gridCol w:w="1276"/>
            </w:tblGrid>
            <w:tr w14:paraId="480ACEA5">
              <w:tblPrEx>
                <w:tblCellMar>
                  <w:top w:w="0" w:type="dxa"/>
                  <w:left w:w="108" w:type="dxa"/>
                  <w:bottom w:w="0" w:type="dxa"/>
                  <w:right w:w="108" w:type="dxa"/>
                </w:tblCellMar>
              </w:tblPrEx>
              <w:trPr>
                <w:trHeight w:val="540" w:hRule="atLeast"/>
                <w:jc w:val="center"/>
              </w:trPr>
              <w:tc>
                <w:tcPr>
                  <w:tcW w:w="7083" w:type="dxa"/>
                  <w:gridSpan w:val="4"/>
                  <w:tcBorders>
                    <w:top w:val="single" w:color="auto" w:sz="4" w:space="0"/>
                    <w:left w:val="single" w:color="auto" w:sz="4" w:space="0"/>
                    <w:bottom w:val="single" w:color="auto" w:sz="4" w:space="0"/>
                    <w:right w:val="single" w:color="auto" w:sz="4" w:space="0"/>
                  </w:tcBorders>
                  <w:noWrap/>
                  <w:vAlign w:val="center"/>
                </w:tcPr>
                <w:p w14:paraId="43857D17">
                  <w:pPr>
                    <w:widowControl/>
                    <w:spacing w:line="360" w:lineRule="auto"/>
                    <w:ind w:firstLine="200" w:firstLineChars="0"/>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四库合一资源类型汇总</w:t>
                  </w:r>
                </w:p>
              </w:tc>
            </w:tr>
            <w:tr w14:paraId="14B7B39E">
              <w:tblPrEx>
                <w:tblCellMar>
                  <w:top w:w="0" w:type="dxa"/>
                  <w:left w:w="108" w:type="dxa"/>
                  <w:bottom w:w="0" w:type="dxa"/>
                  <w:right w:w="108" w:type="dxa"/>
                </w:tblCellMar>
              </w:tblPrEx>
              <w:trPr>
                <w:trHeight w:val="540" w:hRule="atLeast"/>
                <w:jc w:val="center"/>
              </w:trPr>
              <w:tc>
                <w:tcPr>
                  <w:tcW w:w="2045" w:type="dxa"/>
                  <w:tcBorders>
                    <w:top w:val="nil"/>
                    <w:left w:val="single" w:color="auto" w:sz="4" w:space="0"/>
                    <w:bottom w:val="single" w:color="auto" w:sz="4" w:space="0"/>
                    <w:right w:val="single" w:color="auto" w:sz="4" w:space="0"/>
                  </w:tcBorders>
                  <w:noWrap/>
                  <w:vAlign w:val="center"/>
                </w:tcPr>
                <w:p w14:paraId="34546E87">
                  <w:pPr>
                    <w:widowControl/>
                    <w:spacing w:line="360" w:lineRule="auto"/>
                    <w:ind w:firstLine="200" w:firstLineChars="0"/>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电子图书（册）</w:t>
                  </w:r>
                </w:p>
              </w:tc>
              <w:tc>
                <w:tcPr>
                  <w:tcW w:w="2618" w:type="dxa"/>
                  <w:tcBorders>
                    <w:top w:val="nil"/>
                    <w:left w:val="nil"/>
                    <w:bottom w:val="single" w:color="auto" w:sz="4" w:space="0"/>
                    <w:right w:val="single" w:color="auto" w:sz="4" w:space="0"/>
                  </w:tcBorders>
                  <w:noWrap/>
                  <w:vAlign w:val="center"/>
                </w:tcPr>
                <w:p w14:paraId="76D83DF0">
                  <w:pPr>
                    <w:widowControl/>
                    <w:spacing w:line="360" w:lineRule="auto"/>
                    <w:ind w:firstLine="200" w:firstLineChars="0"/>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原版有声听书（册）</w:t>
                  </w:r>
                </w:p>
              </w:tc>
              <w:tc>
                <w:tcPr>
                  <w:tcW w:w="1144" w:type="dxa"/>
                  <w:tcBorders>
                    <w:top w:val="nil"/>
                    <w:left w:val="nil"/>
                    <w:bottom w:val="single" w:color="auto" w:sz="4" w:space="0"/>
                    <w:right w:val="single" w:color="auto" w:sz="4" w:space="0"/>
                  </w:tcBorders>
                  <w:noWrap/>
                  <w:vAlign w:val="center"/>
                </w:tcPr>
                <w:p w14:paraId="0FF54CD7">
                  <w:pPr>
                    <w:widowControl/>
                    <w:spacing w:line="360" w:lineRule="auto"/>
                    <w:ind w:firstLine="200" w:firstLineChars="0"/>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期刊种</w:t>
                  </w:r>
                </w:p>
              </w:tc>
              <w:tc>
                <w:tcPr>
                  <w:tcW w:w="1276" w:type="dxa"/>
                  <w:tcBorders>
                    <w:top w:val="nil"/>
                    <w:left w:val="nil"/>
                    <w:bottom w:val="single" w:color="auto" w:sz="4" w:space="0"/>
                    <w:right w:val="single" w:color="auto" w:sz="4" w:space="0"/>
                  </w:tcBorders>
                  <w:noWrap/>
                  <w:vAlign w:val="center"/>
                </w:tcPr>
                <w:p w14:paraId="65F1F0FE">
                  <w:pPr>
                    <w:widowControl/>
                    <w:spacing w:line="360" w:lineRule="auto"/>
                    <w:ind w:firstLine="200" w:firstLineChars="0"/>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AI 工具</w:t>
                  </w:r>
                </w:p>
              </w:tc>
            </w:tr>
            <w:tr w14:paraId="7620B7D2">
              <w:tblPrEx>
                <w:tblCellMar>
                  <w:top w:w="0" w:type="dxa"/>
                  <w:left w:w="108" w:type="dxa"/>
                  <w:bottom w:w="0" w:type="dxa"/>
                  <w:right w:w="108" w:type="dxa"/>
                </w:tblCellMar>
              </w:tblPrEx>
              <w:trPr>
                <w:trHeight w:val="540" w:hRule="atLeast"/>
                <w:jc w:val="center"/>
              </w:trPr>
              <w:tc>
                <w:tcPr>
                  <w:tcW w:w="2045" w:type="dxa"/>
                  <w:tcBorders>
                    <w:top w:val="nil"/>
                    <w:left w:val="single" w:color="auto" w:sz="4" w:space="0"/>
                    <w:bottom w:val="single" w:color="auto" w:sz="4" w:space="0"/>
                    <w:right w:val="single" w:color="auto" w:sz="4" w:space="0"/>
                  </w:tcBorders>
                  <w:noWrap/>
                  <w:vAlign w:val="center"/>
                </w:tcPr>
                <w:p w14:paraId="656EEE58">
                  <w:pPr>
                    <w:widowControl/>
                    <w:spacing w:line="360" w:lineRule="auto"/>
                    <w:ind w:firstLine="200" w:firstLineChars="0"/>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240489</w:t>
                  </w:r>
                </w:p>
              </w:tc>
              <w:tc>
                <w:tcPr>
                  <w:tcW w:w="2618" w:type="dxa"/>
                  <w:tcBorders>
                    <w:top w:val="nil"/>
                    <w:left w:val="nil"/>
                    <w:bottom w:val="single" w:color="auto" w:sz="4" w:space="0"/>
                    <w:right w:val="single" w:color="auto" w:sz="4" w:space="0"/>
                  </w:tcBorders>
                  <w:noWrap/>
                  <w:vAlign w:val="center"/>
                </w:tcPr>
                <w:p w14:paraId="354C8C86">
                  <w:pPr>
                    <w:widowControl/>
                    <w:spacing w:line="360" w:lineRule="auto"/>
                    <w:ind w:firstLine="200" w:firstLineChars="0"/>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70000</w:t>
                  </w:r>
                </w:p>
              </w:tc>
              <w:tc>
                <w:tcPr>
                  <w:tcW w:w="1144" w:type="dxa"/>
                  <w:tcBorders>
                    <w:top w:val="nil"/>
                    <w:left w:val="nil"/>
                    <w:bottom w:val="single" w:color="auto" w:sz="4" w:space="0"/>
                    <w:right w:val="single" w:color="auto" w:sz="4" w:space="0"/>
                  </w:tcBorders>
                  <w:noWrap/>
                  <w:vAlign w:val="center"/>
                </w:tcPr>
                <w:p w14:paraId="78FC542A">
                  <w:pPr>
                    <w:widowControl/>
                    <w:spacing w:line="360" w:lineRule="auto"/>
                    <w:ind w:firstLine="200" w:firstLineChars="0"/>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800</w:t>
                  </w:r>
                </w:p>
              </w:tc>
              <w:tc>
                <w:tcPr>
                  <w:tcW w:w="1276" w:type="dxa"/>
                  <w:tcBorders>
                    <w:top w:val="nil"/>
                    <w:left w:val="nil"/>
                    <w:bottom w:val="single" w:color="auto" w:sz="4" w:space="0"/>
                    <w:right w:val="single" w:color="auto" w:sz="4" w:space="0"/>
                  </w:tcBorders>
                  <w:noWrap/>
                  <w:vAlign w:val="center"/>
                </w:tcPr>
                <w:p w14:paraId="23C52F56">
                  <w:pPr>
                    <w:widowControl/>
                    <w:spacing w:line="360" w:lineRule="auto"/>
                    <w:ind w:firstLine="200" w:firstLineChars="0"/>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1套</w:t>
                  </w:r>
                </w:p>
              </w:tc>
            </w:tr>
          </w:tbl>
          <w:p w14:paraId="0485B06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rPr>
            </w:pPr>
            <w:r>
              <w:rPr>
                <w:rFonts w:hint="eastAsia" w:ascii="仿宋" w:hAnsi="仿宋" w:eastAsia="仿宋" w:cs="仿宋"/>
                <w:bCs/>
                <w:sz w:val="20"/>
                <w:szCs w:val="20"/>
                <w:shd w:val="clear" w:color="auto" w:fill="FFFFFF"/>
                <w:lang w:val="en-US" w:eastAsia="zh-CN"/>
              </w:rPr>
              <w:t>2.1</w:t>
            </w:r>
            <w:r>
              <w:rPr>
                <w:rFonts w:hint="eastAsia" w:ascii="仿宋" w:hAnsi="仿宋" w:eastAsia="仿宋" w:cs="仿宋"/>
                <w:bCs/>
                <w:sz w:val="20"/>
                <w:szCs w:val="20"/>
                <w:shd w:val="clear" w:color="auto" w:fill="FFFFFF"/>
              </w:rPr>
              <w:t>平台拥有超20万余种正版数字图书，覆盖中图法22大类。图书内容涵盖畅销经典、名家名作、大奖书系、党政读物、人文历史、教育科普、经管理财等类型，</w:t>
            </w:r>
          </w:p>
          <w:p w14:paraId="6E492CD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rPr>
            </w:pPr>
            <w:r>
              <w:rPr>
                <w:rFonts w:hint="eastAsia" w:ascii="仿宋" w:hAnsi="仿宋" w:eastAsia="仿宋" w:cs="仿宋"/>
                <w:bCs/>
                <w:sz w:val="20"/>
                <w:szCs w:val="20"/>
                <w:shd w:val="clear" w:color="auto" w:fill="FFFFFF"/>
              </w:rPr>
              <w:t>2.</w:t>
            </w:r>
            <w:r>
              <w:rPr>
                <w:rFonts w:hint="eastAsia" w:ascii="仿宋" w:hAnsi="仿宋" w:eastAsia="仿宋" w:cs="仿宋"/>
                <w:bCs/>
                <w:sz w:val="20"/>
                <w:szCs w:val="20"/>
                <w:shd w:val="clear" w:color="auto" w:fill="FFFFFF"/>
                <w:lang w:val="en-US" w:eastAsia="zh-CN"/>
              </w:rPr>
              <w:t>2</w:t>
            </w:r>
            <w:r>
              <w:rPr>
                <w:rFonts w:hint="eastAsia" w:ascii="仿宋" w:hAnsi="仿宋" w:eastAsia="仿宋" w:cs="仿宋"/>
                <w:bCs/>
                <w:sz w:val="20"/>
                <w:szCs w:val="20"/>
                <w:shd w:val="clear" w:color="auto" w:fill="FFFFFF"/>
              </w:rPr>
              <w:t>畅销书目多，包含巴金、周梅森、阿来、刘醒龙、熊召政、刘慈欣等多位知名作家的2000多部精品畅销作品。</w:t>
            </w:r>
          </w:p>
          <w:p w14:paraId="1242707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rPr>
            </w:pPr>
            <w:r>
              <w:rPr>
                <w:rFonts w:hint="eastAsia" w:ascii="仿宋" w:hAnsi="仿宋" w:eastAsia="仿宋" w:cs="仿宋"/>
                <w:bCs/>
                <w:sz w:val="20"/>
                <w:szCs w:val="20"/>
                <w:shd w:val="clear" w:color="auto" w:fill="FFFFFF"/>
                <w:lang w:val="en-US" w:eastAsia="zh-CN"/>
              </w:rPr>
              <w:t>2.</w:t>
            </w:r>
            <w:r>
              <w:rPr>
                <w:rFonts w:hint="eastAsia" w:ascii="仿宋" w:hAnsi="仿宋" w:eastAsia="仿宋" w:cs="仿宋"/>
                <w:bCs/>
                <w:sz w:val="20"/>
                <w:szCs w:val="20"/>
                <w:shd w:val="clear" w:color="auto" w:fill="FFFFFF"/>
              </w:rPr>
              <w:t>3大奖图书：诺贝尔文学奖、矛盾文学奖、五个一工程奖，中华优秀出版物奖、鲁迅文学奖、中国好书奖、中国国家图书奖、文津图书奖等十几种大奖书系。</w:t>
            </w:r>
          </w:p>
          <w:p w14:paraId="1137C43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rPr>
            </w:pPr>
            <w:r>
              <w:rPr>
                <w:rFonts w:hint="eastAsia" w:ascii="仿宋" w:hAnsi="仿宋" w:eastAsia="仿宋" w:cs="仿宋"/>
                <w:bCs/>
                <w:sz w:val="20"/>
                <w:szCs w:val="20"/>
                <w:shd w:val="clear" w:color="auto" w:fill="FFFFFF"/>
                <w:lang w:val="en-US" w:eastAsia="zh-CN"/>
              </w:rPr>
              <w:t>2.</w:t>
            </w:r>
            <w:r>
              <w:rPr>
                <w:rFonts w:hint="eastAsia" w:ascii="仿宋" w:hAnsi="仿宋" w:eastAsia="仿宋" w:cs="仿宋"/>
                <w:bCs/>
                <w:sz w:val="20"/>
                <w:szCs w:val="20"/>
                <w:shd w:val="clear" w:color="auto" w:fill="FFFFFF"/>
              </w:rPr>
              <w:t>4有声图书馆拥有听书7万多集，其中包括名家作品、经典文学、曲艺作品、当代小说、历史武侠、个人励志、国学诗词等多个分类。签约了大量的著名演播艺术家，包含连丽如、纪涵邦、王传霖、孙一等国家级演播者作品。给读者提供了更加丰富的一站式数字阅读服务。</w:t>
            </w:r>
          </w:p>
          <w:p w14:paraId="2F69E80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rPr>
            </w:pPr>
            <w:r>
              <w:rPr>
                <w:rFonts w:hint="eastAsia" w:ascii="仿宋" w:hAnsi="仿宋" w:eastAsia="仿宋" w:cs="仿宋"/>
                <w:bCs/>
                <w:sz w:val="20"/>
                <w:szCs w:val="20"/>
                <w:shd w:val="clear" w:color="auto" w:fill="FFFFFF"/>
                <w:lang w:val="en-US" w:eastAsia="zh-CN"/>
              </w:rPr>
              <w:t>2.5</w:t>
            </w:r>
            <w:r>
              <w:rPr>
                <w:rFonts w:hint="eastAsia" w:ascii="仿宋" w:hAnsi="仿宋" w:eastAsia="仿宋" w:cs="仿宋"/>
                <w:bCs/>
                <w:sz w:val="20"/>
                <w:szCs w:val="20"/>
                <w:shd w:val="clear" w:color="auto" w:fill="FFFFFF"/>
              </w:rPr>
              <w:t>《新时代经典——学习习近平新时代中国特色社会主义思想重点数字图书专栏》中正版授权作品50册以上（可提供书目）。</w:t>
            </w:r>
          </w:p>
          <w:p w14:paraId="4E062AC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rPr>
            </w:pPr>
            <w:r>
              <w:rPr>
                <w:rFonts w:hint="eastAsia" w:ascii="仿宋" w:hAnsi="仿宋" w:eastAsia="仿宋" w:cs="仿宋"/>
                <w:bCs/>
                <w:sz w:val="20"/>
                <w:szCs w:val="20"/>
                <w:shd w:val="clear" w:color="auto" w:fill="FFFFFF"/>
                <w:lang w:val="en-US" w:eastAsia="zh-CN"/>
              </w:rPr>
              <w:t>2.6</w:t>
            </w:r>
            <w:r>
              <w:rPr>
                <w:rFonts w:hint="eastAsia" w:ascii="仿宋" w:hAnsi="仿宋" w:eastAsia="仿宋" w:cs="仿宋"/>
                <w:bCs/>
                <w:sz w:val="20"/>
                <w:szCs w:val="20"/>
                <w:shd w:val="clear" w:color="auto" w:fill="FFFFFF"/>
              </w:rPr>
              <w:t>期刊供应资源：中邮期刊（800种），涵盖12个主题分类，家庭生活、教育教学、科技科普、汽车数码、商业财经、时尚运动、文学文艺、新闻人物、休闲娱乐、医药健康、游戏动漫、政法军事分类。</w:t>
            </w:r>
          </w:p>
          <w:p w14:paraId="3EEA56C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rPr>
            </w:pPr>
            <w:r>
              <w:rPr>
                <w:rFonts w:hint="eastAsia" w:ascii="仿宋" w:hAnsi="仿宋" w:eastAsia="仿宋" w:cs="仿宋"/>
                <w:bCs/>
                <w:sz w:val="20"/>
                <w:szCs w:val="20"/>
                <w:shd w:val="clear" w:color="auto" w:fill="FFFFFF"/>
                <w:lang w:val="en-US" w:eastAsia="zh-CN"/>
              </w:rPr>
              <w:t>2.7</w:t>
            </w:r>
            <w:r>
              <w:rPr>
                <w:rFonts w:hint="eastAsia" w:ascii="仿宋" w:hAnsi="仿宋" w:eastAsia="仿宋" w:cs="仿宋"/>
                <w:bCs/>
                <w:sz w:val="20"/>
                <w:szCs w:val="20"/>
                <w:shd w:val="clear" w:color="auto" w:fill="FFFFFF"/>
              </w:rPr>
              <w:t>资源年更新量：电子图书不少于2万种，有声图书不少于3000集。</w:t>
            </w:r>
          </w:p>
          <w:p w14:paraId="03D125D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rPr>
            </w:pPr>
            <w:r>
              <w:rPr>
                <w:rFonts w:hint="eastAsia" w:ascii="仿宋" w:hAnsi="仿宋" w:eastAsia="仿宋" w:cs="仿宋"/>
                <w:bCs/>
                <w:sz w:val="20"/>
                <w:szCs w:val="20"/>
                <w:shd w:val="clear" w:color="auto" w:fill="FFFFFF"/>
                <w:lang w:val="en-US" w:eastAsia="zh-CN"/>
              </w:rPr>
              <w:t>2.8</w:t>
            </w:r>
            <w:r>
              <w:rPr>
                <w:rFonts w:hint="eastAsia" w:ascii="仿宋" w:hAnsi="仿宋" w:eastAsia="仿宋" w:cs="仿宋"/>
                <w:bCs/>
                <w:sz w:val="20"/>
                <w:szCs w:val="20"/>
                <w:shd w:val="clear" w:color="auto" w:fill="FFFFFF"/>
              </w:rPr>
              <w:t>资源格式：电子图书须为EPUB或PDF格式，其中EPUB格式图书不少于2万种，以保证图书的阅读体验和阅读质量。</w:t>
            </w:r>
          </w:p>
          <w:bookmarkEnd w:id="13"/>
          <w:bookmarkEnd w:id="14"/>
          <w:bookmarkEnd w:id="15"/>
          <w:p w14:paraId="1FF9880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rPr>
            </w:pPr>
            <w:r>
              <w:rPr>
                <w:rFonts w:hint="eastAsia" w:ascii="仿宋" w:hAnsi="仿宋" w:eastAsia="仿宋" w:cs="仿宋"/>
                <w:bCs/>
                <w:sz w:val="20"/>
                <w:szCs w:val="20"/>
                <w:shd w:val="clear" w:color="auto" w:fill="FFFFFF"/>
                <w:lang w:val="en-US" w:eastAsia="zh-CN"/>
              </w:rPr>
              <w:t>2.9</w:t>
            </w:r>
            <w:r>
              <w:rPr>
                <w:rFonts w:hint="eastAsia" w:ascii="仿宋" w:hAnsi="仿宋" w:eastAsia="仿宋" w:cs="仿宋"/>
                <w:bCs/>
                <w:sz w:val="20"/>
                <w:szCs w:val="20"/>
                <w:shd w:val="clear" w:color="auto" w:fill="FFFFFF"/>
              </w:rPr>
              <w:t>阅读形式：目前APP、H5、PC站、小程序、借阅机，瀑布流，扫码听，数字大屏等等多种阅读形式，能够满足群体中不同用户的阅读需求。</w:t>
            </w:r>
          </w:p>
          <w:p w14:paraId="6FFEC8E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rPr>
            </w:pPr>
            <w:r>
              <w:rPr>
                <w:rFonts w:hint="eastAsia" w:ascii="仿宋" w:hAnsi="仿宋" w:eastAsia="仿宋" w:cs="仿宋"/>
                <w:bCs/>
                <w:sz w:val="20"/>
                <w:szCs w:val="20"/>
                <w:shd w:val="clear" w:color="auto" w:fill="FFFFFF"/>
                <w:lang w:val="en-US" w:eastAsia="zh-CN"/>
              </w:rPr>
              <w:t>2.10</w:t>
            </w:r>
            <w:r>
              <w:rPr>
                <w:rFonts w:hint="eastAsia" w:ascii="仿宋" w:hAnsi="仿宋" w:eastAsia="仿宋" w:cs="仿宋"/>
                <w:bCs/>
                <w:sz w:val="20"/>
                <w:szCs w:val="20"/>
                <w:shd w:val="clear" w:color="auto" w:fill="FFFFFF"/>
              </w:rPr>
              <w:t>阅读听书功能:APP移动端支持AI朗读听书功能，同时实现了语速调整及28种语调可以选择其中包括经典女声、经典男声、广东女声、湖北男声、四川女声、上海女声。</w:t>
            </w:r>
          </w:p>
          <w:p w14:paraId="1468353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rPr>
            </w:pPr>
            <w:r>
              <w:rPr>
                <w:rFonts w:hint="eastAsia" w:ascii="仿宋" w:hAnsi="仿宋" w:eastAsia="仿宋" w:cs="仿宋"/>
                <w:bCs/>
                <w:sz w:val="20"/>
                <w:szCs w:val="20"/>
                <w:shd w:val="clear" w:color="auto" w:fill="FFFFFF"/>
                <w:lang w:val="en-US" w:eastAsia="zh-CN"/>
              </w:rPr>
              <w:t xml:space="preserve">2.11 </w:t>
            </w:r>
            <w:r>
              <w:rPr>
                <w:rFonts w:hint="eastAsia" w:ascii="仿宋" w:hAnsi="仿宋" w:eastAsia="仿宋" w:cs="仿宋"/>
                <w:bCs/>
                <w:sz w:val="20"/>
                <w:szCs w:val="20"/>
                <w:shd w:val="clear" w:color="auto" w:fill="FFFFFF"/>
              </w:rPr>
              <w:t>AI精品速读：提供博览群书栏目，可浏览精品速读卡片及一句话总结此书。智能提炼书籍目录大纲、核心内容导读及思维导图。涵盖各领域经典和热门书籍。</w:t>
            </w:r>
          </w:p>
          <w:p w14:paraId="36CF314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rPr>
            </w:pPr>
            <w:r>
              <w:rPr>
                <w:rFonts w:hint="eastAsia" w:ascii="仿宋" w:hAnsi="仿宋" w:eastAsia="仿宋" w:cs="仿宋"/>
                <w:bCs/>
                <w:sz w:val="20"/>
                <w:szCs w:val="20"/>
                <w:shd w:val="clear" w:color="auto" w:fill="FFFFFF"/>
                <w:lang w:val="en-US" w:eastAsia="zh-CN"/>
              </w:rPr>
              <w:t xml:space="preserve">2.12 </w:t>
            </w:r>
            <w:r>
              <w:rPr>
                <w:rFonts w:hint="eastAsia" w:ascii="仿宋" w:hAnsi="仿宋" w:eastAsia="仿宋" w:cs="仿宋"/>
                <w:bCs/>
                <w:sz w:val="20"/>
                <w:szCs w:val="20"/>
                <w:shd w:val="clear" w:color="auto" w:fill="FFFFFF"/>
              </w:rPr>
              <w:t>AI书童阅读：能够学习和理解人类的语言，进行多轮对话，回答问题辅助阅读；包括AI知道、AI荐书、AI找书、AI聊书等板块</w:t>
            </w:r>
          </w:p>
          <w:p w14:paraId="665BF68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lang w:val="en-US" w:eastAsia="zh-CN"/>
              </w:rPr>
            </w:pPr>
            <w:r>
              <w:rPr>
                <w:rFonts w:hint="eastAsia" w:ascii="仿宋" w:hAnsi="仿宋" w:eastAsia="仿宋" w:cs="仿宋"/>
                <w:bCs/>
                <w:sz w:val="20"/>
                <w:szCs w:val="20"/>
                <w:shd w:val="clear" w:color="auto" w:fill="FFFFFF"/>
                <w:lang w:val="en-US" w:eastAsia="zh-CN"/>
              </w:rPr>
              <w:t>3.售后服务和保障</w:t>
            </w:r>
          </w:p>
          <w:p w14:paraId="1077B3B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val="0"/>
                <w:bCs/>
                <w:sz w:val="20"/>
                <w:szCs w:val="20"/>
                <w:shd w:val="clear" w:color="auto" w:fill="FFFFFF"/>
              </w:rPr>
            </w:pPr>
            <w:r>
              <w:rPr>
                <w:rFonts w:hint="eastAsia" w:ascii="仿宋" w:hAnsi="仿宋" w:eastAsia="仿宋" w:cs="仿宋"/>
                <w:bCs/>
                <w:sz w:val="20"/>
                <w:szCs w:val="20"/>
                <w:shd w:val="clear" w:color="auto" w:fill="FFFFFF"/>
                <w:lang w:val="en-US" w:eastAsia="zh-CN"/>
              </w:rPr>
              <w:t>3.</w:t>
            </w:r>
            <w:r>
              <w:rPr>
                <w:rFonts w:hint="eastAsia" w:ascii="仿宋" w:hAnsi="仿宋" w:eastAsia="仿宋" w:cs="仿宋"/>
                <w:b w:val="0"/>
                <w:bCs/>
                <w:sz w:val="20"/>
                <w:szCs w:val="20"/>
                <w:shd w:val="clear" w:color="auto" w:fill="FFFFFF"/>
                <w:lang w:val="en-US" w:eastAsia="zh-CN"/>
              </w:rPr>
              <w:t>1</w:t>
            </w:r>
            <w:r>
              <w:rPr>
                <w:rFonts w:hint="eastAsia" w:ascii="仿宋" w:hAnsi="仿宋" w:eastAsia="仿宋" w:cs="仿宋"/>
                <w:b w:val="0"/>
                <w:bCs/>
                <w:sz w:val="20"/>
                <w:szCs w:val="20"/>
                <w:shd w:val="clear" w:color="auto" w:fill="FFFFFF"/>
              </w:rPr>
              <w:t>资源服务</w:t>
            </w:r>
          </w:p>
          <w:p w14:paraId="122D66D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val="0"/>
                <w:bCs/>
                <w:strike/>
                <w:dstrike w:val="0"/>
                <w:sz w:val="20"/>
                <w:szCs w:val="20"/>
                <w:shd w:val="clear" w:color="auto" w:fill="FFFFFF"/>
              </w:rPr>
            </w:pPr>
            <w:r>
              <w:rPr>
                <w:rFonts w:hint="eastAsia" w:ascii="仿宋" w:hAnsi="仿宋" w:eastAsia="仿宋" w:cs="仿宋"/>
                <w:b w:val="0"/>
                <w:bCs/>
                <w:sz w:val="20"/>
                <w:szCs w:val="20"/>
                <w:shd w:val="clear" w:color="auto" w:fill="FFFFFF"/>
                <w:lang w:val="en-US" w:eastAsia="zh-CN"/>
              </w:rPr>
              <w:t>3.1.</w:t>
            </w:r>
            <w:r>
              <w:rPr>
                <w:rFonts w:hint="eastAsia" w:ascii="仿宋" w:hAnsi="仿宋" w:eastAsia="仿宋" w:cs="仿宋"/>
                <w:b w:val="0"/>
                <w:bCs/>
                <w:sz w:val="20"/>
                <w:szCs w:val="20"/>
                <w:highlight w:val="none"/>
                <w:shd w:val="clear" w:color="auto" w:fill="FFFFFF"/>
                <w:lang w:val="en-US" w:eastAsia="zh-CN"/>
              </w:rPr>
              <w:t>1</w:t>
            </w:r>
            <w:r>
              <w:rPr>
                <w:rFonts w:hint="eastAsia" w:ascii="仿宋" w:hAnsi="仿宋" w:eastAsia="仿宋" w:cs="仿宋"/>
                <w:b w:val="0"/>
                <w:bCs/>
                <w:sz w:val="20"/>
                <w:szCs w:val="20"/>
                <w:highlight w:val="none"/>
                <w:u w:val="none"/>
                <w:shd w:val="clear" w:color="auto" w:fill="FFFFFF"/>
              </w:rPr>
              <w:t>可实现对用户</w:t>
            </w:r>
            <w:r>
              <w:rPr>
                <w:rFonts w:hint="eastAsia" w:ascii="仿宋" w:hAnsi="仿宋" w:eastAsia="仿宋" w:cs="仿宋"/>
                <w:b w:val="0"/>
                <w:bCs/>
                <w:sz w:val="20"/>
                <w:szCs w:val="20"/>
                <w:highlight w:val="none"/>
                <w:u w:val="none"/>
                <w:shd w:val="clear" w:color="auto" w:fill="FFFFFF"/>
                <w:lang w:val="en-US" w:eastAsia="zh-CN"/>
              </w:rPr>
              <w:t>的个性化空间进行</w:t>
            </w:r>
            <w:r>
              <w:rPr>
                <w:rFonts w:hint="eastAsia" w:ascii="仿宋" w:hAnsi="仿宋" w:eastAsia="仿宋" w:cs="仿宋"/>
                <w:b w:val="0"/>
                <w:bCs/>
                <w:sz w:val="20"/>
                <w:szCs w:val="20"/>
                <w:highlight w:val="none"/>
                <w:u w:val="none"/>
                <w:shd w:val="clear" w:color="auto" w:fill="FFFFFF"/>
              </w:rPr>
              <w:t>账户的管理；</w:t>
            </w:r>
          </w:p>
          <w:p w14:paraId="0289A18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rPr>
            </w:pPr>
            <w:r>
              <w:rPr>
                <w:rFonts w:hint="eastAsia" w:ascii="仿宋" w:hAnsi="仿宋" w:eastAsia="仿宋" w:cs="仿宋"/>
                <w:bCs/>
                <w:sz w:val="20"/>
                <w:szCs w:val="20"/>
                <w:shd w:val="clear" w:color="auto" w:fill="FFFFFF"/>
                <w:lang w:val="en-US" w:eastAsia="zh-CN"/>
              </w:rPr>
              <w:t>3.1.2</w:t>
            </w:r>
            <w:r>
              <w:rPr>
                <w:rFonts w:hint="eastAsia" w:ascii="仿宋" w:hAnsi="仿宋" w:eastAsia="仿宋" w:cs="仿宋"/>
                <w:bCs/>
                <w:sz w:val="20"/>
                <w:szCs w:val="20"/>
                <w:shd w:val="clear" w:color="auto" w:fill="FFFFFF"/>
              </w:rPr>
              <w:t>统计数据，定期提供用户阅读数据。</w:t>
            </w:r>
          </w:p>
          <w:p w14:paraId="25ABC4B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rPr>
            </w:pPr>
            <w:r>
              <w:rPr>
                <w:rFonts w:hint="eastAsia" w:ascii="仿宋" w:hAnsi="仿宋" w:eastAsia="仿宋" w:cs="仿宋"/>
                <w:bCs/>
                <w:sz w:val="20"/>
                <w:szCs w:val="20"/>
                <w:shd w:val="clear" w:color="auto" w:fill="FFFFFF"/>
                <w:lang w:val="en-US" w:eastAsia="zh-CN"/>
              </w:rPr>
              <w:t>3.1.3</w:t>
            </w:r>
            <w:r>
              <w:rPr>
                <w:rFonts w:hint="eastAsia" w:ascii="仿宋" w:hAnsi="仿宋" w:eastAsia="仿宋" w:cs="仿宋"/>
                <w:bCs/>
                <w:sz w:val="20"/>
                <w:szCs w:val="20"/>
                <w:shd w:val="clear" w:color="auto" w:fill="FFFFFF"/>
              </w:rPr>
              <w:t>专题运营活动：可根据节假日、政策等专题定制阅读运营活动；线上活动每月</w:t>
            </w:r>
            <w:r>
              <w:rPr>
                <w:rFonts w:hint="eastAsia" w:ascii="仿宋" w:hAnsi="仿宋" w:eastAsia="仿宋" w:cs="仿宋"/>
                <w:bCs/>
                <w:sz w:val="20"/>
                <w:szCs w:val="20"/>
                <w:shd w:val="clear" w:color="auto" w:fill="FFFFFF"/>
                <w:lang w:val="en-US" w:eastAsia="zh-CN"/>
              </w:rPr>
              <w:t>举行</w:t>
            </w:r>
            <w:r>
              <w:rPr>
                <w:rFonts w:hint="eastAsia" w:ascii="仿宋" w:hAnsi="仿宋" w:eastAsia="仿宋" w:cs="仿宋"/>
                <w:bCs/>
                <w:sz w:val="20"/>
                <w:szCs w:val="20"/>
                <w:shd w:val="clear" w:color="auto" w:fill="FFFFFF"/>
              </w:rPr>
              <w:t>，学校可选择加入。线下运营活动每年2-4场，奖品由</w:t>
            </w:r>
            <w:r>
              <w:rPr>
                <w:rFonts w:hint="eastAsia" w:ascii="仿宋" w:hAnsi="仿宋" w:eastAsia="仿宋" w:cs="仿宋"/>
                <w:bCs/>
                <w:sz w:val="20"/>
                <w:szCs w:val="20"/>
                <w:shd w:val="clear" w:color="auto" w:fill="FFFFFF"/>
                <w:lang w:val="en-US" w:eastAsia="zh-CN"/>
              </w:rPr>
              <w:t>供应商</w:t>
            </w:r>
            <w:r>
              <w:rPr>
                <w:rFonts w:hint="eastAsia" w:ascii="仿宋" w:hAnsi="仿宋" w:eastAsia="仿宋" w:cs="仿宋"/>
                <w:bCs/>
                <w:sz w:val="20"/>
                <w:szCs w:val="20"/>
                <w:shd w:val="clear" w:color="auto" w:fill="FFFFFF"/>
              </w:rPr>
              <w:t>提供。</w:t>
            </w:r>
          </w:p>
          <w:p w14:paraId="32F1D3C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rPr>
            </w:pPr>
            <w:r>
              <w:rPr>
                <w:rFonts w:hint="eastAsia" w:ascii="仿宋" w:hAnsi="仿宋" w:eastAsia="仿宋" w:cs="仿宋"/>
                <w:bCs/>
                <w:sz w:val="20"/>
                <w:szCs w:val="20"/>
                <w:shd w:val="clear" w:color="auto" w:fill="FFFFFF"/>
                <w:lang w:val="en-US" w:eastAsia="zh-CN"/>
              </w:rPr>
              <w:t>3.1.4</w:t>
            </w:r>
            <w:r>
              <w:rPr>
                <w:rFonts w:hint="eastAsia" w:ascii="仿宋" w:hAnsi="仿宋" w:eastAsia="仿宋" w:cs="仿宋"/>
                <w:bCs/>
                <w:sz w:val="20"/>
                <w:szCs w:val="20"/>
                <w:shd w:val="clear" w:color="auto" w:fill="FFFFFF"/>
              </w:rPr>
              <w:t>网检部随时关注图书内容，保证所有图书符合中央新形势下意识形态工作有关要求。</w:t>
            </w:r>
          </w:p>
          <w:p w14:paraId="467224B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rPr>
            </w:pPr>
            <w:r>
              <w:rPr>
                <w:rFonts w:hint="eastAsia" w:ascii="仿宋" w:hAnsi="仿宋" w:eastAsia="仿宋" w:cs="仿宋"/>
                <w:bCs/>
                <w:sz w:val="20"/>
                <w:szCs w:val="20"/>
                <w:shd w:val="clear" w:color="auto" w:fill="FFFFFF"/>
                <w:lang w:val="en-US" w:eastAsia="zh-CN"/>
              </w:rPr>
              <w:t>3.2</w:t>
            </w:r>
            <w:r>
              <w:rPr>
                <w:rFonts w:hint="eastAsia" w:ascii="仿宋" w:hAnsi="仿宋" w:eastAsia="仿宋" w:cs="仿宋"/>
                <w:bCs/>
                <w:sz w:val="20"/>
                <w:szCs w:val="20"/>
                <w:shd w:val="clear" w:color="auto" w:fill="FFFFFF"/>
              </w:rPr>
              <w:t>售后保障</w:t>
            </w:r>
          </w:p>
          <w:p w14:paraId="589AB52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rPr>
            </w:pPr>
            <w:r>
              <w:rPr>
                <w:rFonts w:hint="eastAsia" w:ascii="仿宋" w:hAnsi="仿宋" w:eastAsia="仿宋" w:cs="仿宋"/>
                <w:bCs/>
                <w:sz w:val="20"/>
                <w:szCs w:val="20"/>
                <w:shd w:val="clear" w:color="auto" w:fill="FFFFFF"/>
                <w:lang w:val="en-US" w:eastAsia="zh-CN"/>
              </w:rPr>
              <w:t>3.2.1</w:t>
            </w:r>
            <w:r>
              <w:rPr>
                <w:rFonts w:hint="eastAsia" w:ascii="仿宋" w:hAnsi="仿宋" w:eastAsia="仿宋" w:cs="仿宋"/>
                <w:bCs/>
                <w:sz w:val="20"/>
                <w:szCs w:val="20"/>
                <w:shd w:val="clear" w:color="auto" w:fill="FFFFFF"/>
              </w:rPr>
              <w:t>所提供的所有资源，均具有相应的内容版权证书。</w:t>
            </w:r>
            <w:r>
              <w:rPr>
                <w:rFonts w:hint="eastAsia" w:ascii="仿宋" w:hAnsi="仿宋" w:eastAsia="仿宋" w:cs="仿宋"/>
                <w:bCs/>
                <w:sz w:val="20"/>
                <w:szCs w:val="20"/>
                <w:shd w:val="clear" w:color="auto" w:fill="FFFFFF"/>
                <w:lang w:val="en-US" w:eastAsia="zh-CN"/>
              </w:rPr>
              <w:t>确保</w:t>
            </w:r>
            <w:r>
              <w:rPr>
                <w:rFonts w:hint="eastAsia" w:ascii="仿宋" w:hAnsi="仿宋" w:eastAsia="仿宋" w:cs="仿宋"/>
                <w:bCs/>
                <w:sz w:val="20"/>
                <w:szCs w:val="20"/>
                <w:shd w:val="clear" w:color="auto" w:fill="FFFFFF"/>
              </w:rPr>
              <w:t>不给</w:t>
            </w:r>
            <w:r>
              <w:rPr>
                <w:rFonts w:hint="eastAsia" w:ascii="仿宋" w:hAnsi="仿宋" w:eastAsia="仿宋" w:cs="仿宋"/>
                <w:bCs/>
                <w:sz w:val="20"/>
                <w:szCs w:val="20"/>
                <w:shd w:val="clear" w:color="auto" w:fill="FFFFFF"/>
                <w:lang w:val="en-US" w:eastAsia="zh-CN"/>
              </w:rPr>
              <w:t>采购人</w:t>
            </w:r>
            <w:r>
              <w:rPr>
                <w:rFonts w:hint="eastAsia" w:ascii="仿宋" w:hAnsi="仿宋" w:eastAsia="仿宋" w:cs="仿宋"/>
                <w:bCs/>
                <w:sz w:val="20"/>
                <w:szCs w:val="20"/>
                <w:shd w:val="clear" w:color="auto" w:fill="FFFFFF"/>
              </w:rPr>
              <w:t>带来版权纠纷。</w:t>
            </w:r>
          </w:p>
          <w:p w14:paraId="39E355F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rPr>
            </w:pPr>
            <w:r>
              <w:rPr>
                <w:rFonts w:hint="eastAsia" w:ascii="仿宋" w:hAnsi="仿宋" w:eastAsia="仿宋" w:cs="仿宋"/>
                <w:bCs/>
                <w:sz w:val="20"/>
                <w:szCs w:val="20"/>
                <w:shd w:val="clear" w:color="auto" w:fill="FFFFFF"/>
                <w:lang w:val="en-US" w:eastAsia="zh-CN"/>
              </w:rPr>
              <w:t xml:space="preserve">3.2.2 </w:t>
            </w:r>
            <w:r>
              <w:rPr>
                <w:rFonts w:hint="eastAsia" w:ascii="仿宋" w:hAnsi="仿宋" w:eastAsia="仿宋" w:cs="仿宋"/>
                <w:bCs/>
                <w:sz w:val="20"/>
                <w:szCs w:val="20"/>
                <w:shd w:val="clear" w:color="auto" w:fill="FFFFFF"/>
              </w:rPr>
              <w:t>每年与学校共同组织2-4次阅读活动。活动奖品由</w:t>
            </w:r>
            <w:r>
              <w:rPr>
                <w:rFonts w:hint="eastAsia" w:ascii="仿宋" w:hAnsi="仿宋" w:eastAsia="仿宋" w:cs="仿宋"/>
                <w:bCs/>
                <w:sz w:val="20"/>
                <w:szCs w:val="20"/>
                <w:shd w:val="clear" w:color="auto" w:fill="FFFFFF"/>
                <w:lang w:val="en-US" w:eastAsia="zh-CN"/>
              </w:rPr>
              <w:t>供应商</w:t>
            </w:r>
            <w:r>
              <w:rPr>
                <w:rFonts w:hint="eastAsia" w:ascii="仿宋" w:hAnsi="仿宋" w:eastAsia="仿宋" w:cs="仿宋"/>
                <w:bCs/>
                <w:sz w:val="20"/>
                <w:szCs w:val="20"/>
                <w:shd w:val="clear" w:color="auto" w:fill="FFFFFF"/>
              </w:rPr>
              <w:t>提供。</w:t>
            </w:r>
          </w:p>
          <w:p w14:paraId="14D1885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rPr>
            </w:pPr>
            <w:r>
              <w:rPr>
                <w:rFonts w:hint="eastAsia" w:ascii="仿宋" w:hAnsi="仿宋" w:eastAsia="仿宋" w:cs="仿宋"/>
                <w:bCs/>
                <w:sz w:val="20"/>
                <w:szCs w:val="20"/>
                <w:shd w:val="clear" w:color="auto" w:fill="FFFFFF"/>
                <w:lang w:val="en-US" w:eastAsia="zh-CN"/>
              </w:rPr>
              <w:t xml:space="preserve">3.2.3 </w:t>
            </w:r>
            <w:r>
              <w:rPr>
                <w:rFonts w:hint="eastAsia" w:ascii="仿宋" w:hAnsi="仿宋" w:eastAsia="仿宋" w:cs="仿宋"/>
                <w:bCs/>
                <w:sz w:val="20"/>
                <w:szCs w:val="20"/>
                <w:shd w:val="clear" w:color="auto" w:fill="FFFFFF"/>
              </w:rPr>
              <w:t>在甲方指定的时间和地点交付中文在线图书数据库 ，</w:t>
            </w:r>
            <w:r>
              <w:rPr>
                <w:rFonts w:hint="eastAsia" w:ascii="仿宋" w:hAnsi="仿宋" w:eastAsia="仿宋" w:cs="仿宋"/>
                <w:bCs/>
                <w:sz w:val="20"/>
                <w:szCs w:val="20"/>
                <w:shd w:val="clear" w:color="auto" w:fill="FFFFFF"/>
                <w:lang w:val="en-US" w:eastAsia="zh-CN"/>
              </w:rPr>
              <w:t>供应商</w:t>
            </w:r>
            <w:r>
              <w:rPr>
                <w:rFonts w:hint="eastAsia" w:ascii="仿宋" w:hAnsi="仿宋" w:eastAsia="仿宋" w:cs="仿宋"/>
                <w:bCs/>
                <w:sz w:val="20"/>
                <w:szCs w:val="20"/>
                <w:shd w:val="clear" w:color="auto" w:fill="FFFFFF"/>
              </w:rPr>
              <w:t>负责免费安装、调试并保证系统正常运行。</w:t>
            </w:r>
          </w:p>
          <w:p w14:paraId="67E3FCF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rPr>
            </w:pPr>
            <w:r>
              <w:rPr>
                <w:rFonts w:hint="eastAsia" w:ascii="仿宋" w:hAnsi="仿宋" w:eastAsia="仿宋" w:cs="仿宋"/>
                <w:bCs/>
                <w:sz w:val="20"/>
                <w:szCs w:val="20"/>
                <w:shd w:val="clear" w:color="auto" w:fill="FFFFFF"/>
                <w:lang w:val="en-US" w:eastAsia="zh-CN"/>
              </w:rPr>
              <w:t>3.2.4 供应商</w:t>
            </w:r>
            <w:r>
              <w:rPr>
                <w:rFonts w:hint="eastAsia" w:ascii="仿宋" w:hAnsi="仿宋" w:eastAsia="仿宋" w:cs="仿宋"/>
                <w:bCs/>
                <w:sz w:val="20"/>
                <w:szCs w:val="20"/>
                <w:shd w:val="clear" w:color="auto" w:fill="FFFFFF"/>
              </w:rPr>
              <w:t>对一般的技术支持响应时间：系统运行故障，将在30分钟内电话响应；若出现重大问题，技术支持工程师将在3小时内到达现场进行技术维护。</w:t>
            </w:r>
          </w:p>
          <w:p w14:paraId="186F62C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rPr>
            </w:pPr>
            <w:bookmarkStart w:id="16" w:name="_Toc27372"/>
            <w:bookmarkEnd w:id="16"/>
            <w:bookmarkStart w:id="17" w:name="_Toc31617"/>
            <w:bookmarkEnd w:id="17"/>
            <w:bookmarkStart w:id="18" w:name="_Toc29320"/>
            <w:bookmarkEnd w:id="18"/>
            <w:bookmarkStart w:id="19" w:name="_Toc28390"/>
            <w:bookmarkEnd w:id="19"/>
            <w:r>
              <w:rPr>
                <w:rFonts w:hint="eastAsia" w:ascii="仿宋" w:hAnsi="仿宋" w:eastAsia="仿宋" w:cs="仿宋"/>
                <w:bCs/>
                <w:sz w:val="20"/>
                <w:szCs w:val="20"/>
                <w:shd w:val="clear" w:color="auto" w:fill="FFFFFF"/>
                <w:lang w:val="en-US" w:eastAsia="zh-CN"/>
              </w:rPr>
              <w:t>3.2.5 供应商</w:t>
            </w:r>
            <w:r>
              <w:rPr>
                <w:rFonts w:hint="eastAsia" w:ascii="仿宋" w:hAnsi="仿宋" w:eastAsia="仿宋" w:cs="仿宋"/>
                <w:bCs/>
                <w:sz w:val="20"/>
                <w:szCs w:val="20"/>
                <w:shd w:val="clear" w:color="auto" w:fill="FFFFFF"/>
              </w:rPr>
              <w:t>定期如实、准确地反馈甲方用户电子书的使用情况等数据。</w:t>
            </w:r>
          </w:p>
          <w:p w14:paraId="53D5110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rPr>
            </w:pPr>
            <w:r>
              <w:rPr>
                <w:rFonts w:hint="eastAsia" w:ascii="仿宋" w:hAnsi="仿宋" w:eastAsia="仿宋" w:cs="仿宋"/>
                <w:bCs/>
                <w:sz w:val="20"/>
                <w:szCs w:val="20"/>
                <w:shd w:val="clear" w:color="auto" w:fill="FFFFFF"/>
                <w:lang w:val="en-US" w:eastAsia="zh-CN"/>
              </w:rPr>
              <w:t>3.2.6 供应商</w:t>
            </w:r>
            <w:r>
              <w:rPr>
                <w:rFonts w:hint="eastAsia" w:ascii="仿宋" w:hAnsi="仿宋" w:eastAsia="仿宋" w:cs="仿宋"/>
                <w:bCs/>
                <w:sz w:val="20"/>
                <w:szCs w:val="20"/>
                <w:shd w:val="clear" w:color="auto" w:fill="FFFFFF"/>
              </w:rPr>
              <w:t>为甲方提供免费终身维护。</w:t>
            </w:r>
            <w:r>
              <w:rPr>
                <w:rFonts w:hint="eastAsia" w:ascii="仿宋" w:hAnsi="仿宋" w:eastAsia="仿宋" w:cs="仿宋"/>
                <w:bCs/>
                <w:sz w:val="20"/>
                <w:szCs w:val="20"/>
                <w:shd w:val="clear" w:color="auto" w:fill="FFFFFF"/>
                <w:lang w:val="en-US" w:eastAsia="zh-CN"/>
              </w:rPr>
              <w:t>并</w:t>
            </w:r>
            <w:r>
              <w:rPr>
                <w:rFonts w:hint="eastAsia" w:ascii="仿宋" w:hAnsi="仿宋" w:eastAsia="仿宋" w:cs="仿宋"/>
                <w:bCs/>
                <w:sz w:val="20"/>
                <w:szCs w:val="20"/>
                <w:shd w:val="clear" w:color="auto" w:fill="FFFFFF"/>
              </w:rPr>
              <w:t>负责平台的日常维护、数据更新、系统安全与稳定，排除故障，确保甲方站点保持正常工作。</w:t>
            </w:r>
          </w:p>
          <w:p w14:paraId="51D2DF6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rPr>
            </w:pPr>
            <w:r>
              <w:rPr>
                <w:rFonts w:hint="eastAsia" w:ascii="仿宋" w:hAnsi="仿宋" w:eastAsia="仿宋" w:cs="仿宋"/>
                <w:bCs/>
                <w:sz w:val="20"/>
                <w:szCs w:val="20"/>
                <w:shd w:val="clear" w:color="auto" w:fill="FFFFFF"/>
                <w:lang w:val="en-US" w:eastAsia="zh-CN"/>
              </w:rPr>
              <w:t xml:space="preserve">3.2.7 </w:t>
            </w:r>
            <w:r>
              <w:rPr>
                <w:rFonts w:hint="eastAsia" w:ascii="仿宋" w:hAnsi="仿宋" w:eastAsia="仿宋" w:cs="仿宋"/>
                <w:bCs/>
                <w:sz w:val="20"/>
                <w:szCs w:val="20"/>
                <w:shd w:val="clear" w:color="auto" w:fill="FFFFFF"/>
              </w:rPr>
              <w:t>如遇校方服务器故障，免费恢复数据；随时提供远程协助和系统维护。</w:t>
            </w:r>
          </w:p>
          <w:p w14:paraId="45BBDCC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rPr>
            </w:pPr>
            <w:bookmarkStart w:id="20" w:name="_Toc24454"/>
            <w:bookmarkEnd w:id="20"/>
            <w:bookmarkStart w:id="21" w:name="_Toc32043"/>
            <w:bookmarkEnd w:id="21"/>
            <w:bookmarkStart w:id="22" w:name="_Toc8226"/>
            <w:bookmarkEnd w:id="22"/>
            <w:bookmarkStart w:id="23" w:name="_Toc31723"/>
            <w:bookmarkEnd w:id="23"/>
            <w:r>
              <w:rPr>
                <w:rFonts w:hint="eastAsia" w:ascii="仿宋" w:hAnsi="仿宋" w:eastAsia="仿宋" w:cs="仿宋"/>
                <w:bCs/>
                <w:sz w:val="20"/>
                <w:szCs w:val="20"/>
                <w:shd w:val="clear" w:color="auto" w:fill="FFFFFF"/>
                <w:lang w:val="en-US" w:eastAsia="zh-CN"/>
              </w:rPr>
              <w:t>3.2.8 供应商</w:t>
            </w:r>
            <w:r>
              <w:rPr>
                <w:rFonts w:hint="eastAsia" w:ascii="仿宋" w:hAnsi="仿宋" w:eastAsia="仿宋" w:cs="仿宋"/>
                <w:bCs/>
                <w:sz w:val="20"/>
                <w:szCs w:val="20"/>
                <w:shd w:val="clear" w:color="auto" w:fill="FFFFFF"/>
              </w:rPr>
              <w:t>不定期提供相关技术培训，组织讲座活动。</w:t>
            </w:r>
          </w:p>
          <w:p w14:paraId="76B26136">
            <w:pPr>
              <w:spacing w:line="360" w:lineRule="auto"/>
              <w:rPr>
                <w:rFonts w:hint="eastAsia" w:ascii="仿宋" w:hAnsi="仿宋" w:eastAsia="仿宋" w:cs="仿宋"/>
                <w:bCs/>
                <w:sz w:val="20"/>
                <w:szCs w:val="20"/>
                <w:shd w:val="clear" w:color="auto" w:fill="FFFFFF"/>
                <w:lang w:val="en-US" w:eastAsia="zh-CN"/>
              </w:rPr>
            </w:pPr>
            <w:r>
              <w:rPr>
                <w:rFonts w:hint="eastAsia" w:ascii="仿宋" w:hAnsi="仿宋" w:eastAsia="仿宋" w:cs="仿宋"/>
                <w:bCs/>
                <w:sz w:val="20"/>
                <w:szCs w:val="20"/>
                <w:shd w:val="clear" w:color="auto" w:fill="FFFFFF"/>
                <w:lang w:val="en-US" w:eastAsia="zh-CN"/>
              </w:rPr>
              <w:t>4.采购清单</w:t>
            </w:r>
          </w:p>
          <w:tbl>
            <w:tblPr>
              <w:tblStyle w:val="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3"/>
              <w:gridCol w:w="4409"/>
            </w:tblGrid>
            <w:tr w14:paraId="3BF41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2" w:type="pct"/>
                  <w:noWrap w:val="0"/>
                  <w:vAlign w:val="center"/>
                </w:tcPr>
                <w:p w14:paraId="573FE9DF">
                  <w:pPr>
                    <w:pStyle w:val="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仿宋" w:hAnsi="仿宋" w:eastAsia="仿宋" w:cs="仿宋"/>
                      <w:sz w:val="20"/>
                      <w:szCs w:val="20"/>
                    </w:rPr>
                  </w:pPr>
                </w:p>
              </w:tc>
              <w:tc>
                <w:tcPr>
                  <w:tcW w:w="3077" w:type="pct"/>
                  <w:noWrap w:val="0"/>
                  <w:vAlign w:val="center"/>
                </w:tcPr>
                <w:p w14:paraId="3DB7633B">
                  <w:pPr>
                    <w:pStyle w:val="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仿宋" w:hAnsi="仿宋" w:eastAsia="仿宋" w:cs="仿宋"/>
                      <w:sz w:val="20"/>
                      <w:szCs w:val="20"/>
                    </w:rPr>
                  </w:pPr>
                  <w:r>
                    <w:rPr>
                      <w:rFonts w:hint="eastAsia" w:ascii="仿宋" w:hAnsi="仿宋" w:eastAsia="仿宋" w:cs="仿宋"/>
                      <w:sz w:val="20"/>
                      <w:szCs w:val="20"/>
                    </w:rPr>
                    <w:t>资源及说明</w:t>
                  </w:r>
                </w:p>
              </w:tc>
            </w:tr>
            <w:tr w14:paraId="6C77A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2" w:type="pct"/>
                  <w:noWrap w:val="0"/>
                  <w:vAlign w:val="center"/>
                </w:tcPr>
                <w:p w14:paraId="1A49AE06">
                  <w:pPr>
                    <w:pStyle w:val="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仿宋" w:hAnsi="仿宋" w:eastAsia="仿宋" w:cs="仿宋"/>
                      <w:sz w:val="20"/>
                      <w:szCs w:val="20"/>
                    </w:rPr>
                  </w:pPr>
                  <w:r>
                    <w:rPr>
                      <w:rFonts w:hint="eastAsia" w:ascii="仿宋" w:hAnsi="仿宋" w:eastAsia="仿宋" w:cs="仿宋"/>
                      <w:sz w:val="20"/>
                      <w:szCs w:val="20"/>
                    </w:rPr>
                    <w:t>书香渭职院</w:t>
                  </w:r>
                </w:p>
              </w:tc>
              <w:tc>
                <w:tcPr>
                  <w:tcW w:w="3077" w:type="pct"/>
                  <w:noWrap w:val="0"/>
                  <w:vAlign w:val="center"/>
                </w:tcPr>
                <w:p w14:paraId="7819CF95">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sz w:val="20"/>
                      <w:szCs w:val="20"/>
                    </w:rPr>
                  </w:pPr>
                  <w:r>
                    <w:rPr>
                      <w:rFonts w:hint="eastAsia" w:ascii="仿宋" w:hAnsi="仿宋" w:eastAsia="仿宋" w:cs="仿宋"/>
                      <w:sz w:val="20"/>
                      <w:szCs w:val="20"/>
                      <w:lang w:val="en-US" w:eastAsia="zh-CN"/>
                    </w:rPr>
                    <w:t>结合学校专业设置:</w:t>
                  </w:r>
                  <w:r>
                    <w:rPr>
                      <w:rFonts w:hint="eastAsia" w:ascii="仿宋" w:hAnsi="仿宋" w:eastAsia="仿宋" w:cs="仿宋"/>
                      <w:sz w:val="20"/>
                      <w:szCs w:val="20"/>
                    </w:rPr>
                    <w:t>20万余册电子书</w:t>
                  </w:r>
                </w:p>
                <w:p w14:paraId="0DEDA7CD">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0"/>
                      <w:szCs w:val="20"/>
                    </w:rPr>
                  </w:pPr>
                  <w:r>
                    <w:rPr>
                      <w:rFonts w:hint="eastAsia" w:ascii="仿宋" w:hAnsi="仿宋" w:eastAsia="仿宋" w:cs="仿宋"/>
                      <w:sz w:val="20"/>
                      <w:szCs w:val="20"/>
                    </w:rPr>
                    <w:t>7万余集听书</w:t>
                  </w:r>
                </w:p>
                <w:p w14:paraId="7112EC67">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0"/>
                      <w:szCs w:val="20"/>
                    </w:rPr>
                  </w:pPr>
                  <w:r>
                    <w:rPr>
                      <w:rFonts w:hint="eastAsia" w:ascii="仿宋" w:hAnsi="仿宋" w:eastAsia="仿宋" w:cs="仿宋"/>
                      <w:sz w:val="20"/>
                      <w:szCs w:val="20"/>
                    </w:rPr>
                    <w:t>800多种期刊</w:t>
                  </w:r>
                </w:p>
              </w:tc>
            </w:tr>
            <w:tr w14:paraId="6ED07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2" w:type="pct"/>
                  <w:noWrap w:val="0"/>
                  <w:vAlign w:val="center"/>
                </w:tcPr>
                <w:p w14:paraId="1D2B3CAB">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0"/>
                      <w:szCs w:val="20"/>
                    </w:rPr>
                  </w:pPr>
                  <w:r>
                    <w:rPr>
                      <w:rFonts w:hint="eastAsia" w:ascii="仿宋" w:hAnsi="仿宋" w:eastAsia="仿宋" w:cs="仿宋"/>
                      <w:sz w:val="20"/>
                      <w:szCs w:val="20"/>
                    </w:rPr>
                    <w:t>定制本校师生阅读活动</w:t>
                  </w:r>
                </w:p>
              </w:tc>
              <w:tc>
                <w:tcPr>
                  <w:tcW w:w="3077" w:type="pct"/>
                  <w:noWrap w:val="0"/>
                  <w:vAlign w:val="center"/>
                </w:tcPr>
                <w:p w14:paraId="6658492F">
                  <w:pPr>
                    <w:pStyle w:val="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仿宋" w:hAnsi="仿宋" w:eastAsia="仿宋" w:cs="仿宋"/>
                      <w:sz w:val="20"/>
                      <w:szCs w:val="20"/>
                    </w:rPr>
                  </w:pPr>
                  <w:r>
                    <w:rPr>
                      <w:rFonts w:hint="eastAsia" w:ascii="仿宋" w:hAnsi="仿宋" w:eastAsia="仿宋" w:cs="仿宋"/>
                      <w:sz w:val="20"/>
                      <w:szCs w:val="20"/>
                    </w:rPr>
                    <w:t>2场/年</w:t>
                  </w:r>
                </w:p>
              </w:tc>
            </w:tr>
          </w:tbl>
          <w:p w14:paraId="102E2B3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（四）中科VIPExam考试学习资源数据库</w:t>
            </w:r>
          </w:p>
          <w:p w14:paraId="5D1C423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sz w:val="20"/>
                <w:szCs w:val="20"/>
              </w:rPr>
            </w:pPr>
            <w:r>
              <w:rPr>
                <w:rFonts w:hint="eastAsia" w:ascii="仿宋" w:hAnsi="仿宋" w:eastAsia="仿宋" w:cs="仿宋"/>
                <w:bCs/>
                <w:sz w:val="20"/>
                <w:szCs w:val="20"/>
              </w:rPr>
              <w:t>集各项职业资格</w:t>
            </w:r>
            <w:r>
              <w:rPr>
                <w:rFonts w:hint="eastAsia" w:ascii="仿宋" w:hAnsi="仿宋" w:eastAsia="仿宋" w:cs="仿宋"/>
                <w:bCs/>
                <w:sz w:val="20"/>
                <w:szCs w:val="20"/>
                <w:lang w:val="en-US" w:eastAsia="zh-CN"/>
              </w:rPr>
              <w:t>考试</w:t>
            </w:r>
            <w:r>
              <w:rPr>
                <w:rFonts w:hint="eastAsia" w:ascii="仿宋" w:hAnsi="仿宋" w:eastAsia="仿宋" w:cs="仿宋"/>
                <w:bCs/>
                <w:sz w:val="20"/>
                <w:szCs w:val="20"/>
              </w:rPr>
              <w:t>资源于一体，包含海量试题试卷</w:t>
            </w:r>
            <w:r>
              <w:rPr>
                <w:rFonts w:hint="eastAsia" w:ascii="仿宋" w:hAnsi="仿宋" w:eastAsia="仿宋" w:cs="仿宋"/>
                <w:bCs/>
                <w:sz w:val="20"/>
                <w:szCs w:val="20"/>
                <w:lang w:val="en-US" w:eastAsia="zh-CN"/>
              </w:rPr>
              <w:t>与视频资源</w:t>
            </w:r>
            <w:r>
              <w:rPr>
                <w:rFonts w:hint="eastAsia" w:ascii="仿宋" w:hAnsi="仿宋" w:eastAsia="仿宋" w:cs="仿宋"/>
                <w:bCs/>
                <w:sz w:val="20"/>
                <w:szCs w:val="20"/>
              </w:rPr>
              <w:t>，并提供试题试卷浏览及查询、多渠道考前练习的考试、学习辅助系统。</w:t>
            </w:r>
          </w:p>
          <w:p w14:paraId="5E4A6D6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lang w:val="en-US" w:eastAsia="zh-CN"/>
              </w:rPr>
            </w:pPr>
            <w:r>
              <w:rPr>
                <w:rFonts w:hint="eastAsia" w:ascii="仿宋" w:hAnsi="仿宋" w:eastAsia="仿宋" w:cs="仿宋"/>
                <w:bCs/>
                <w:sz w:val="20"/>
                <w:szCs w:val="20"/>
                <w:shd w:val="clear" w:color="auto" w:fill="FFFFFF"/>
                <w:lang w:val="en-US" w:eastAsia="zh-CN"/>
              </w:rPr>
              <w:t>1.资源内容</w:t>
            </w:r>
          </w:p>
          <w:p w14:paraId="68D643F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rPr>
            </w:pPr>
            <w:r>
              <w:rPr>
                <w:rFonts w:hint="eastAsia" w:ascii="仿宋" w:hAnsi="仿宋" w:eastAsia="仿宋" w:cs="仿宋"/>
                <w:bCs/>
                <w:sz w:val="20"/>
                <w:szCs w:val="20"/>
                <w:shd w:val="clear" w:color="auto" w:fill="FFFFFF"/>
                <w:lang w:val="en-US" w:eastAsia="zh-CN"/>
              </w:rPr>
              <w:t xml:space="preserve">1.1 </w:t>
            </w:r>
            <w:r>
              <w:rPr>
                <w:rFonts w:hint="eastAsia" w:ascii="仿宋" w:hAnsi="仿宋" w:eastAsia="仿宋" w:cs="仿宋"/>
                <w:bCs/>
                <w:sz w:val="20"/>
                <w:szCs w:val="20"/>
                <w:shd w:val="clear" w:color="auto" w:fill="FFFFFF"/>
              </w:rPr>
              <w:t>学科范围：应至少包含</w:t>
            </w:r>
            <w:r>
              <w:rPr>
                <w:rFonts w:hint="eastAsia" w:ascii="仿宋" w:hAnsi="仿宋" w:eastAsia="仿宋" w:cs="仿宋"/>
                <w:bCs/>
                <w:sz w:val="20"/>
                <w:szCs w:val="20"/>
                <w:shd w:val="clear" w:color="auto" w:fill="FFFFFF"/>
                <w:lang w:val="en-US" w:eastAsia="zh-CN"/>
              </w:rPr>
              <w:t>专升本、</w:t>
            </w:r>
            <w:r>
              <w:rPr>
                <w:rFonts w:hint="eastAsia" w:ascii="仿宋" w:hAnsi="仿宋" w:eastAsia="仿宋" w:cs="仿宋"/>
                <w:bCs/>
                <w:sz w:val="20"/>
                <w:szCs w:val="20"/>
                <w:shd w:val="clear" w:color="auto" w:fill="FFFFFF"/>
              </w:rPr>
              <w:t>外语、计算机、司法、职业资格、财经、工程、医学等12大专辑，收录科目细类不得低于</w:t>
            </w:r>
            <w:r>
              <w:rPr>
                <w:rFonts w:hint="eastAsia" w:ascii="仿宋" w:hAnsi="仿宋" w:eastAsia="仿宋" w:cs="仿宋"/>
                <w:bCs/>
                <w:sz w:val="20"/>
                <w:szCs w:val="20"/>
                <w:shd w:val="clear" w:color="auto" w:fill="FFFFFF"/>
                <w:lang w:val="en-US" w:eastAsia="zh-CN"/>
              </w:rPr>
              <w:t>22</w:t>
            </w:r>
            <w:r>
              <w:rPr>
                <w:rFonts w:hint="eastAsia" w:ascii="仿宋" w:hAnsi="仿宋" w:eastAsia="仿宋" w:cs="仿宋"/>
                <w:bCs/>
                <w:sz w:val="20"/>
                <w:szCs w:val="20"/>
                <w:shd w:val="clear" w:color="auto" w:fill="FFFFFF"/>
              </w:rPr>
              <w:t>00个，以满足学生的多样化学习需求。</w:t>
            </w:r>
          </w:p>
          <w:p w14:paraId="68218EA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rPr>
            </w:pPr>
            <w:r>
              <w:rPr>
                <w:rFonts w:hint="eastAsia" w:ascii="仿宋" w:hAnsi="仿宋" w:eastAsia="仿宋" w:cs="仿宋"/>
                <w:bCs/>
                <w:sz w:val="20"/>
                <w:szCs w:val="20"/>
                <w:shd w:val="clear" w:color="auto" w:fill="FFFFFF"/>
                <w:lang w:val="en-US" w:eastAsia="zh-CN"/>
              </w:rPr>
              <w:t xml:space="preserve">1.2 </w:t>
            </w:r>
            <w:r>
              <w:rPr>
                <w:rFonts w:hint="eastAsia" w:ascii="仿宋" w:hAnsi="仿宋" w:eastAsia="仿宋" w:cs="仿宋"/>
                <w:bCs/>
                <w:sz w:val="20"/>
                <w:szCs w:val="20"/>
                <w:shd w:val="clear" w:color="auto" w:fill="FFFFFF"/>
              </w:rPr>
              <w:t>试卷资源：收录试卷总量不得低于</w:t>
            </w:r>
            <w:r>
              <w:rPr>
                <w:rFonts w:hint="eastAsia" w:ascii="仿宋" w:hAnsi="仿宋" w:eastAsia="仿宋" w:cs="仿宋"/>
                <w:bCs/>
                <w:sz w:val="20"/>
                <w:szCs w:val="20"/>
                <w:shd w:val="clear" w:color="auto" w:fill="FFFFFF"/>
                <w:lang w:val="en-US" w:eastAsia="zh-CN"/>
              </w:rPr>
              <w:t>35</w:t>
            </w:r>
            <w:r>
              <w:rPr>
                <w:rFonts w:hint="eastAsia" w:ascii="仿宋" w:hAnsi="仿宋" w:eastAsia="仿宋" w:cs="仿宋"/>
                <w:bCs/>
                <w:sz w:val="20"/>
                <w:szCs w:val="20"/>
                <w:shd w:val="clear" w:color="auto" w:fill="FFFFFF"/>
              </w:rPr>
              <w:t>万套</w:t>
            </w:r>
            <w:r>
              <w:rPr>
                <w:rFonts w:hint="eastAsia" w:ascii="仿宋" w:hAnsi="仿宋" w:eastAsia="仿宋" w:cs="仿宋"/>
                <w:bCs/>
                <w:sz w:val="20"/>
                <w:szCs w:val="20"/>
                <w:shd w:val="clear" w:color="auto" w:fill="FFFFFF"/>
                <w:lang w:eastAsia="zh-CN"/>
              </w:rPr>
              <w:t>，视频</w:t>
            </w:r>
            <w:r>
              <w:rPr>
                <w:rFonts w:hint="eastAsia" w:ascii="仿宋" w:hAnsi="仿宋" w:eastAsia="仿宋" w:cs="仿宋"/>
                <w:bCs/>
                <w:sz w:val="20"/>
                <w:szCs w:val="20"/>
                <w:shd w:val="clear" w:color="auto" w:fill="FFFFFF"/>
              </w:rPr>
              <w:t>总量不得低于</w:t>
            </w:r>
            <w:r>
              <w:rPr>
                <w:rFonts w:hint="eastAsia" w:ascii="仿宋" w:hAnsi="仿宋" w:eastAsia="仿宋" w:cs="仿宋"/>
                <w:bCs/>
                <w:sz w:val="20"/>
                <w:szCs w:val="20"/>
                <w:shd w:val="clear" w:color="auto" w:fill="FFFFFF"/>
                <w:lang w:val="en-US" w:eastAsia="zh-CN"/>
              </w:rPr>
              <w:t>160万分钟</w:t>
            </w:r>
            <w:r>
              <w:rPr>
                <w:rFonts w:hint="eastAsia" w:ascii="仿宋" w:hAnsi="仿宋" w:eastAsia="仿宋" w:cs="仿宋"/>
                <w:bCs/>
                <w:sz w:val="20"/>
                <w:szCs w:val="20"/>
                <w:shd w:val="clear" w:color="auto" w:fill="FFFFFF"/>
              </w:rPr>
              <w:t>。此外，鉴于试卷类资源的时效性较强，因此要求投标产品中201</w:t>
            </w:r>
            <w:r>
              <w:rPr>
                <w:rFonts w:hint="eastAsia" w:ascii="仿宋" w:hAnsi="仿宋" w:eastAsia="仿宋" w:cs="仿宋"/>
                <w:bCs/>
                <w:sz w:val="20"/>
                <w:szCs w:val="20"/>
                <w:shd w:val="clear" w:color="auto" w:fill="FFFFFF"/>
                <w:lang w:val="en-US" w:eastAsia="zh-CN"/>
              </w:rPr>
              <w:t>6</w:t>
            </w:r>
            <w:r>
              <w:rPr>
                <w:rFonts w:hint="eastAsia" w:ascii="仿宋" w:hAnsi="仿宋" w:eastAsia="仿宋" w:cs="仿宋"/>
                <w:bCs/>
                <w:sz w:val="20"/>
                <w:szCs w:val="20"/>
                <w:shd w:val="clear" w:color="auto" w:fill="FFFFFF"/>
              </w:rPr>
              <w:t>年至今出版的试卷不得低于1</w:t>
            </w:r>
            <w:r>
              <w:rPr>
                <w:rFonts w:hint="eastAsia" w:ascii="仿宋" w:hAnsi="仿宋" w:eastAsia="仿宋" w:cs="仿宋"/>
                <w:bCs/>
                <w:sz w:val="20"/>
                <w:szCs w:val="20"/>
                <w:shd w:val="clear" w:color="auto" w:fill="FFFFFF"/>
                <w:lang w:val="en-US" w:eastAsia="zh-CN"/>
              </w:rPr>
              <w:t>5</w:t>
            </w:r>
            <w:r>
              <w:rPr>
                <w:rFonts w:hint="eastAsia" w:ascii="仿宋" w:hAnsi="仿宋" w:eastAsia="仿宋" w:cs="仿宋"/>
                <w:bCs/>
                <w:sz w:val="20"/>
                <w:szCs w:val="20"/>
                <w:shd w:val="clear" w:color="auto" w:fill="FFFFFF"/>
              </w:rPr>
              <w:t>万套。</w:t>
            </w:r>
          </w:p>
          <w:p w14:paraId="690B232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lang w:val="en-US" w:eastAsia="zh-CN"/>
              </w:rPr>
            </w:pPr>
            <w:r>
              <w:rPr>
                <w:rFonts w:hint="eastAsia" w:ascii="仿宋" w:hAnsi="仿宋" w:eastAsia="仿宋" w:cs="仿宋"/>
                <w:bCs/>
                <w:sz w:val="20"/>
                <w:szCs w:val="20"/>
                <w:shd w:val="clear" w:color="auto" w:fill="FFFFFF"/>
                <w:lang w:val="en-US" w:eastAsia="zh-CN"/>
              </w:rPr>
              <w:t>1.3 数据库可以随时查看视频和试卷的资源量统计。</w:t>
            </w:r>
          </w:p>
          <w:p w14:paraId="72A960B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lang w:val="en-US" w:eastAsia="zh-CN"/>
              </w:rPr>
            </w:pPr>
            <w:r>
              <w:rPr>
                <w:rFonts w:hint="eastAsia" w:ascii="仿宋" w:hAnsi="仿宋" w:eastAsia="仿宋" w:cs="仿宋"/>
                <w:bCs/>
                <w:sz w:val="20"/>
                <w:szCs w:val="20"/>
                <w:shd w:val="clear" w:color="auto" w:fill="FFFFFF"/>
                <w:lang w:val="en-US" w:eastAsia="zh-CN"/>
              </w:rPr>
              <w:t>2.平台功能方面</w:t>
            </w:r>
          </w:p>
          <w:p w14:paraId="540EEF0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lang w:eastAsia="zh-CN"/>
              </w:rPr>
            </w:pPr>
            <w:r>
              <w:rPr>
                <w:rFonts w:hint="eastAsia" w:ascii="仿宋" w:hAnsi="仿宋" w:eastAsia="仿宋" w:cs="仿宋"/>
                <w:bCs/>
                <w:sz w:val="20"/>
                <w:szCs w:val="20"/>
                <w:shd w:val="clear" w:color="auto" w:fill="FFFFFF"/>
                <w:lang w:val="en-US" w:eastAsia="zh-CN"/>
              </w:rPr>
              <w:t xml:space="preserve">2.1 </w:t>
            </w:r>
            <w:r>
              <w:rPr>
                <w:rFonts w:hint="eastAsia" w:ascii="仿宋" w:hAnsi="仿宋" w:eastAsia="仿宋" w:cs="仿宋"/>
                <w:bCs/>
                <w:sz w:val="20"/>
                <w:szCs w:val="20"/>
                <w:shd w:val="clear" w:color="auto" w:fill="FFFFFF"/>
              </w:rPr>
              <w:t>数据库应提供学习进展功能，错题记录和错题组卷功能</w:t>
            </w:r>
            <w:r>
              <w:rPr>
                <w:rFonts w:hint="eastAsia" w:ascii="仿宋" w:hAnsi="仿宋" w:eastAsia="仿宋" w:cs="仿宋"/>
                <w:bCs/>
                <w:sz w:val="20"/>
                <w:szCs w:val="20"/>
                <w:shd w:val="clear" w:color="auto" w:fill="FFFFFF"/>
                <w:lang w:eastAsia="zh-CN"/>
              </w:rPr>
              <w:t>；</w:t>
            </w:r>
          </w:p>
          <w:p w14:paraId="74F40FA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rPr>
            </w:pPr>
            <w:r>
              <w:rPr>
                <w:rFonts w:hint="eastAsia" w:ascii="仿宋" w:hAnsi="仿宋" w:eastAsia="仿宋" w:cs="仿宋"/>
                <w:bCs/>
                <w:sz w:val="20"/>
                <w:szCs w:val="20"/>
                <w:shd w:val="clear" w:color="auto" w:fill="FFFFFF"/>
                <w:lang w:val="en-US" w:eastAsia="zh-CN"/>
              </w:rPr>
              <w:t xml:space="preserve">2.2 </w:t>
            </w:r>
            <w:r>
              <w:rPr>
                <w:rFonts w:hint="eastAsia" w:ascii="仿宋" w:hAnsi="仿宋" w:eastAsia="仿宋" w:cs="仿宋"/>
                <w:bCs/>
                <w:sz w:val="20"/>
                <w:szCs w:val="20"/>
                <w:shd w:val="clear" w:color="auto" w:fill="FFFFFF"/>
              </w:rPr>
              <w:t>应提供快速检索、标准检索、高级检索、学科导航检索等检索方式。</w:t>
            </w:r>
          </w:p>
          <w:p w14:paraId="7FD543B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lang w:val="en-US" w:eastAsia="zh-CN"/>
              </w:rPr>
            </w:pPr>
            <w:r>
              <w:rPr>
                <w:rFonts w:hint="eastAsia" w:ascii="仿宋" w:hAnsi="仿宋" w:eastAsia="仿宋" w:cs="仿宋"/>
                <w:bCs/>
                <w:sz w:val="20"/>
                <w:szCs w:val="20"/>
                <w:shd w:val="clear" w:color="auto" w:fill="FFFFFF"/>
                <w:lang w:val="en-US" w:eastAsia="zh-CN"/>
              </w:rPr>
              <w:t>3.售后服务能力要求</w:t>
            </w:r>
          </w:p>
          <w:p w14:paraId="4DFA9D1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Cs/>
                <w:sz w:val="20"/>
                <w:szCs w:val="20"/>
                <w:shd w:val="clear" w:color="auto" w:fill="FFFFFF"/>
              </w:rPr>
            </w:pPr>
            <w:r>
              <w:rPr>
                <w:rFonts w:hint="eastAsia" w:ascii="仿宋" w:hAnsi="仿宋" w:eastAsia="仿宋" w:cs="仿宋"/>
                <w:bCs/>
                <w:sz w:val="20"/>
                <w:szCs w:val="20"/>
                <w:shd w:val="clear" w:color="auto" w:fill="FFFFFF"/>
                <w:lang w:val="en-US" w:eastAsia="zh-CN"/>
              </w:rPr>
              <w:t xml:space="preserve">3.1 </w:t>
            </w:r>
            <w:r>
              <w:rPr>
                <w:rFonts w:hint="eastAsia" w:ascii="仿宋" w:hAnsi="仿宋" w:eastAsia="仿宋" w:cs="仿宋"/>
                <w:bCs/>
                <w:sz w:val="20"/>
                <w:szCs w:val="20"/>
                <w:shd w:val="clear" w:color="auto" w:fill="FFFFFF"/>
              </w:rPr>
              <w:t>提供网络、电话及EMAIL等远程服务，响应时间不超过1小时。若远程服务无法解决问题的，供应商须承诺24小时内提供免费现场服务。</w:t>
            </w:r>
          </w:p>
          <w:p w14:paraId="1D85305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0"/>
                <w:szCs w:val="20"/>
              </w:rPr>
            </w:pPr>
            <w:r>
              <w:rPr>
                <w:rFonts w:hint="eastAsia" w:ascii="仿宋" w:hAnsi="仿宋" w:eastAsia="仿宋" w:cs="仿宋"/>
                <w:bCs/>
                <w:sz w:val="20"/>
                <w:szCs w:val="20"/>
                <w:shd w:val="clear" w:color="auto" w:fill="FFFFFF"/>
                <w:lang w:val="en-US" w:eastAsia="zh-CN"/>
              </w:rPr>
              <w:t xml:space="preserve">3.2 </w:t>
            </w:r>
            <w:r>
              <w:rPr>
                <w:rFonts w:hint="eastAsia" w:ascii="仿宋" w:hAnsi="仿宋" w:eastAsia="仿宋" w:cs="仿宋"/>
                <w:bCs/>
                <w:sz w:val="20"/>
                <w:szCs w:val="20"/>
                <w:shd w:val="clear" w:color="auto" w:fill="FFFFFF"/>
              </w:rPr>
              <w:t>在使用过程中，无论任何原因导致的数据库异常或无法使用的情况，均由供应商提供免费维护服务。</w:t>
            </w:r>
          </w:p>
        </w:tc>
      </w:tr>
    </w:tbl>
    <w:p w14:paraId="76BC977B">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行楷简体">
    <w:panose1 w:val="02010601030101010101"/>
    <w:charset w:val="86"/>
    <w:family w:val="auto"/>
    <w:pitch w:val="default"/>
    <w:sig w:usb0="00000001" w:usb1="080E0000" w:usb2="00000000" w:usb3="00000000" w:csb0="00040000"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rq">
    <w15:presenceInfo w15:providerId="WPS Office" w15:userId="682342011"/>
  </w15:person>
  <w15:person w15:author="rq [2]">
    <w15:presenceInfo w15:providerId="WPS Office" w15:userId="6823420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2131BC"/>
    <w:rsid w:val="4D2131BC"/>
    <w:rsid w:val="5CB85D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99"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w:basedOn w:val="1"/>
    <w:next w:val="1"/>
    <w:unhideWhenUsed/>
    <w:qFormat/>
    <w:uiPriority w:val="99"/>
    <w:pPr>
      <w:spacing w:after="120"/>
    </w:pPr>
    <w:rPr>
      <w:rFonts w:ascii="Calibri" w:hAnsi="Calibri"/>
    </w:rPr>
  </w:style>
  <w:style w:type="paragraph" w:styleId="3">
    <w:name w:val="Body Text Indent"/>
    <w:basedOn w:val="1"/>
    <w:semiHidden/>
    <w:unhideWhenUsed/>
    <w:qFormat/>
    <w:uiPriority w:val="99"/>
    <w:pPr>
      <w:spacing w:after="120"/>
      <w:ind w:left="420" w:leftChars="200"/>
    </w:pPr>
  </w:style>
  <w:style w:type="paragraph" w:styleId="4">
    <w:name w:val="Body Text First Indent 2"/>
    <w:basedOn w:val="3"/>
    <w:qFormat/>
    <w:uiPriority w:val="0"/>
    <w:pPr>
      <w:ind w:firstLine="420" w:firstLineChars="200"/>
    </w:p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null3"/>
    <w:hidden/>
    <w:qFormat/>
    <w:uiPriority w:val="0"/>
    <w:rPr>
      <w:rFonts w:hint="eastAsia" w:asciiTheme="minorHAnsi" w:hAnsiTheme="minorHAnsi" w:eastAsiaTheme="minorEastAsia" w:cstheme="minorBidi"/>
      <w:lang w:val="en-US" w:eastAsia="zh-Hans" w:bidi="ar-SA"/>
    </w:rPr>
  </w:style>
  <w:style w:type="paragraph" w:customStyle="1" w:styleId="9">
    <w:name w:val="正文 A"/>
    <w:qFormat/>
    <w:uiPriority w:val="0"/>
    <w:pPr>
      <w:framePr w:wrap="around" w:vAnchor="margin" w:hAnchor="text" w:y="1"/>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paragraph" w:customStyle="1" w:styleId="10">
    <w:name w:val="默认 A"/>
    <w:qFormat/>
    <w:uiPriority w:val="0"/>
    <w:pPr>
      <w:framePr w:wrap="around" w:vAnchor="margin" w:hAnchor="text" w:y="1"/>
    </w:pPr>
    <w:rPr>
      <w:rFonts w:ascii="Arial Unicode MS" w:hAnsi="Arial Unicode MS" w:eastAsia="Arial Unicode MS" w:cs="Arial Unicode MS"/>
      <w:color w:val="000000"/>
      <w:sz w:val="22"/>
      <w:szCs w:val="22"/>
      <w:u w:color="000000"/>
      <w:lang w:val="zh-TW" w:eastAsia="zh-TW" w:bidi="ar-SA"/>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microsoft.com/office/2011/relationships/people" Target="people.xml"/><Relationship Id="rId8" Type="http://schemas.openxmlformats.org/officeDocument/2006/relationships/fontTable" Target="fontTable.xml"/><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26</Pages>
  <Words>0</Words>
  <Characters>0</Characters>
  <Lines>0</Lines>
  <Paragraphs>0</Paragraphs>
  <TotalTime>0</TotalTime>
  <ScaleCrop>false</ScaleCrop>
  <LinksUpToDate>false</LinksUpToDate>
  <CharactersWithSpaces>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2025-12-16T06:00:00Z</dcterms:created>
  <dc:creator>rq</dc:creator>
  <cp:lastModifiedBy>rq</cp:lastModifiedBy>
  <dcterms:modified xsi:type="dcterms:W3CDTF">2025-12-16T06:01:58Z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18B45151F1AD4B5BA592A8A82C6D1AFA_11</vt:lpwstr>
  </property>
  <property fmtid="{D5CDD505-2E9C-101B-9397-08002B2CF9AE}" pid="4" name="KSOTemplateDocerSaveRecord">
    <vt:lpwstr>eyJoZGlkIjoiYWMzOGEyM2JhNDIyMWNjZTJhZTY0M2ZhNjhhYjc0MWYiLCJ1c2VySWQiOiI0MDgxNjMwMjcifQ==</vt:lpwstr>
  </property>
</Properties>
</file>