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EE661">
      <w:pPr>
        <w:keepNext w:val="0"/>
        <w:keepLines w:val="0"/>
        <w:pageBreakBefore w:val="0"/>
        <w:widowControl/>
        <w:shd w:val="clear"/>
        <w:kinsoku/>
        <w:wordWrap/>
        <w:bidi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2"/>
          <w:sz w:val="36"/>
          <w:szCs w:val="36"/>
          <w:highlight w:val="none"/>
        </w:rPr>
        <w:t>采购内容及商务要求</w:t>
      </w:r>
    </w:p>
    <w:p w14:paraId="729E856A">
      <w:pPr>
        <w:keepNext w:val="0"/>
        <w:keepLines w:val="0"/>
        <w:pageBreakBefore w:val="0"/>
        <w:shd w:val="clear"/>
        <w:kinsoku/>
        <w:wordWrap/>
        <w:bidi w:val="0"/>
        <w:adjustRightInd w:val="0"/>
        <w:snapToGrid w:val="0"/>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一、采购内容</w:t>
      </w:r>
    </w:p>
    <w:p w14:paraId="1FBB3A76">
      <w:pPr>
        <w:keepNext w:val="0"/>
        <w:keepLines w:val="0"/>
        <w:pageBreakBefore w:val="0"/>
        <w:shd w:val="clear"/>
        <w:kinsoku/>
        <w:wordWrap/>
        <w:bidi w:val="0"/>
        <w:adjustRightInd w:val="0"/>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Cs w:val="24"/>
          <w:highlight w:val="none"/>
          <w:lang w:bidi="ar"/>
        </w:rPr>
        <w:t xml:space="preserve">车辆租赁项目概况 </w:t>
      </w:r>
    </w:p>
    <w:p w14:paraId="309D0FF5">
      <w:pPr>
        <w:keepNext w:val="0"/>
        <w:keepLines w:val="0"/>
        <w:pageBreakBefore w:val="0"/>
        <w:widowControl/>
        <w:shd w:val="clear"/>
        <w:kinsoku/>
        <w:wordWrap/>
        <w:bidi w:val="0"/>
        <w:spacing w:line="360" w:lineRule="auto"/>
        <w:ind w:firstLine="480" w:firstLineChars="200"/>
        <w:jc w:val="left"/>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202</w:t>
      </w:r>
      <w:r>
        <w:rPr>
          <w:rFonts w:hint="eastAsia" w:ascii="宋体" w:hAnsi="宋体" w:eastAsia="宋体" w:cs="宋体"/>
          <w:color w:val="auto"/>
          <w:szCs w:val="24"/>
          <w:highlight w:val="none"/>
          <w:lang w:val="en-US" w:eastAsia="zh-CN" w:bidi="ar"/>
        </w:rPr>
        <w:t>6</w:t>
      </w:r>
      <w:r>
        <w:rPr>
          <w:rFonts w:hint="eastAsia" w:ascii="宋体" w:hAnsi="宋体" w:eastAsia="宋体" w:cs="宋体"/>
          <w:color w:val="auto"/>
          <w:szCs w:val="24"/>
          <w:highlight w:val="none"/>
          <w:lang w:bidi="ar"/>
        </w:rPr>
        <w:t>年沣西新城公务用车租赁服务，包括各部门机要保密、应急保障、调研、接待、执法执勤、综合执法等公务活动保障服务，全年预算不超过</w:t>
      </w:r>
      <w:r>
        <w:rPr>
          <w:rFonts w:hint="eastAsia" w:ascii="宋体" w:hAnsi="宋体" w:eastAsia="宋体" w:cs="宋体"/>
          <w:color w:val="auto"/>
          <w:szCs w:val="24"/>
          <w:highlight w:val="none"/>
          <w:lang w:val="en-US" w:eastAsia="zh-CN" w:bidi="ar"/>
        </w:rPr>
        <w:t>30</w:t>
      </w:r>
      <w:r>
        <w:rPr>
          <w:rFonts w:hint="eastAsia" w:ascii="宋体" w:hAnsi="宋体" w:eastAsia="宋体" w:cs="宋体"/>
          <w:color w:val="auto"/>
          <w:szCs w:val="24"/>
          <w:highlight w:val="none"/>
          <w:lang w:bidi="ar"/>
        </w:rPr>
        <w:t xml:space="preserve">0万元。 </w:t>
      </w:r>
    </w:p>
    <w:p w14:paraId="188E7969">
      <w:pPr>
        <w:keepNext w:val="0"/>
        <w:keepLines w:val="0"/>
        <w:pageBreakBefore w:val="0"/>
        <w:shd w:val="clear"/>
        <w:kinsoku/>
        <w:wordWrap/>
        <w:bidi w:val="0"/>
        <w:adjustRightInd w:val="0"/>
        <w:snapToGrid w:val="0"/>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二、采购车辆类型数量及最高限价</w:t>
      </w:r>
    </w:p>
    <w:tbl>
      <w:tblPr>
        <w:tblStyle w:val="2"/>
        <w:tblW w:w="5193" w:type="pct"/>
        <w:tblInd w:w="-170" w:type="dxa"/>
        <w:tblLayout w:type="fixed"/>
        <w:tblCellMar>
          <w:top w:w="0" w:type="dxa"/>
          <w:left w:w="108" w:type="dxa"/>
          <w:bottom w:w="0" w:type="dxa"/>
          <w:right w:w="108" w:type="dxa"/>
        </w:tblCellMar>
      </w:tblPr>
      <w:tblGrid>
        <w:gridCol w:w="627"/>
        <w:gridCol w:w="1463"/>
        <w:gridCol w:w="468"/>
        <w:gridCol w:w="999"/>
        <w:gridCol w:w="987"/>
        <w:gridCol w:w="917"/>
        <w:gridCol w:w="763"/>
        <w:gridCol w:w="917"/>
        <w:gridCol w:w="1028"/>
        <w:gridCol w:w="987"/>
        <w:gridCol w:w="725"/>
      </w:tblGrid>
      <w:tr w14:paraId="093EB952">
        <w:tblPrEx>
          <w:tblCellMar>
            <w:top w:w="0" w:type="dxa"/>
            <w:left w:w="108" w:type="dxa"/>
            <w:bottom w:w="0" w:type="dxa"/>
            <w:right w:w="108" w:type="dxa"/>
          </w:tblCellMar>
        </w:tblPrEx>
        <w:trPr>
          <w:trHeight w:val="800" w:hRule="atLeast"/>
        </w:trPr>
        <w:tc>
          <w:tcPr>
            <w:tcW w:w="5000" w:type="pct"/>
            <w:gridSpan w:val="11"/>
            <w:tcBorders>
              <w:top w:val="nil"/>
              <w:left w:val="nil"/>
              <w:bottom w:val="nil"/>
              <w:right w:val="nil"/>
            </w:tcBorders>
            <w:noWrap/>
            <w:vAlign w:val="center"/>
          </w:tcPr>
          <w:p w14:paraId="71981EE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bidi="ar"/>
              </w:rPr>
              <w:t>沣西新城公务用车最高限价</w:t>
            </w:r>
          </w:p>
        </w:tc>
      </w:tr>
      <w:tr w14:paraId="5734F2EB">
        <w:tblPrEx>
          <w:tblCellMar>
            <w:top w:w="0" w:type="dxa"/>
            <w:left w:w="108" w:type="dxa"/>
            <w:bottom w:w="0" w:type="dxa"/>
            <w:right w:w="108" w:type="dxa"/>
          </w:tblCellMar>
        </w:tblPrEx>
        <w:trPr>
          <w:trHeight w:val="580" w:hRule="atLeast"/>
        </w:trPr>
        <w:tc>
          <w:tcPr>
            <w:tcW w:w="317" w:type="pct"/>
            <w:vMerge w:val="restart"/>
            <w:tcBorders>
              <w:top w:val="single" w:color="000000" w:sz="4" w:space="0"/>
              <w:left w:val="single" w:color="000000" w:sz="4" w:space="0"/>
              <w:bottom w:val="single" w:color="000000" w:sz="4" w:space="0"/>
              <w:right w:val="single" w:color="000000" w:sz="4" w:space="0"/>
            </w:tcBorders>
            <w:noWrap/>
            <w:vAlign w:val="center"/>
          </w:tcPr>
          <w:p w14:paraId="6CE0C87A">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序号</w:t>
            </w:r>
          </w:p>
        </w:tc>
        <w:tc>
          <w:tcPr>
            <w:tcW w:w="740" w:type="pct"/>
            <w:vMerge w:val="restart"/>
            <w:tcBorders>
              <w:top w:val="single" w:color="000000" w:sz="4" w:space="0"/>
              <w:left w:val="single" w:color="000000" w:sz="4" w:space="0"/>
              <w:bottom w:val="single" w:color="000000" w:sz="4" w:space="0"/>
              <w:right w:val="single" w:color="000000" w:sz="4" w:space="0"/>
            </w:tcBorders>
            <w:noWrap/>
            <w:vAlign w:val="center"/>
          </w:tcPr>
          <w:p w14:paraId="2253B366">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车辆类型</w:t>
            </w:r>
          </w:p>
        </w:tc>
        <w:tc>
          <w:tcPr>
            <w:tcW w:w="2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828D4FB">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座位数</w:t>
            </w:r>
          </w:p>
        </w:tc>
        <w:tc>
          <w:tcPr>
            <w:tcW w:w="1855" w:type="pct"/>
            <w:gridSpan w:val="4"/>
            <w:tcBorders>
              <w:top w:val="single" w:color="000000" w:sz="4" w:space="0"/>
              <w:left w:val="single" w:color="000000" w:sz="4" w:space="0"/>
              <w:bottom w:val="single" w:color="000000" w:sz="4" w:space="0"/>
              <w:right w:val="single" w:color="000000" w:sz="4" w:space="0"/>
            </w:tcBorders>
            <w:noWrap w:val="0"/>
            <w:vAlign w:val="center"/>
          </w:tcPr>
          <w:p w14:paraId="06803E99">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含司机费用</w:t>
            </w:r>
          </w:p>
        </w:tc>
        <w:tc>
          <w:tcPr>
            <w:tcW w:w="1483" w:type="pct"/>
            <w:gridSpan w:val="3"/>
            <w:tcBorders>
              <w:top w:val="single" w:color="000000" w:sz="4" w:space="0"/>
              <w:left w:val="single" w:color="000000" w:sz="4" w:space="0"/>
              <w:bottom w:val="single" w:color="000000" w:sz="4" w:space="0"/>
              <w:right w:val="single" w:color="000000" w:sz="4" w:space="0"/>
            </w:tcBorders>
            <w:noWrap w:val="0"/>
            <w:vAlign w:val="center"/>
          </w:tcPr>
          <w:p w14:paraId="6312CADB">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不含司机费用</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7A86F66">
            <w:pPr>
              <w:keepNext w:val="0"/>
              <w:keepLines w:val="0"/>
              <w:pageBreakBefore w:val="0"/>
              <w:shd w:val="clear"/>
              <w:kinsoku/>
              <w:wordWrap/>
              <w:bidi w:val="0"/>
              <w:spacing w:line="360" w:lineRule="auto"/>
              <w:rPr>
                <w:rFonts w:hint="eastAsia" w:ascii="宋体" w:hAnsi="宋体" w:eastAsia="宋体" w:cs="宋体"/>
                <w:color w:val="auto"/>
                <w:sz w:val="22"/>
                <w:szCs w:val="22"/>
                <w:highlight w:val="none"/>
              </w:rPr>
            </w:pPr>
          </w:p>
        </w:tc>
      </w:tr>
      <w:tr w14:paraId="38A59E94">
        <w:tblPrEx>
          <w:tblCellMar>
            <w:top w:w="0" w:type="dxa"/>
            <w:left w:w="108" w:type="dxa"/>
            <w:bottom w:w="0" w:type="dxa"/>
            <w:right w:w="108" w:type="dxa"/>
          </w:tblCellMar>
        </w:tblPrEx>
        <w:trPr>
          <w:trHeight w:val="720" w:hRule="atLeast"/>
        </w:trPr>
        <w:tc>
          <w:tcPr>
            <w:tcW w:w="317" w:type="pct"/>
            <w:vMerge w:val="continue"/>
            <w:tcBorders>
              <w:top w:val="single" w:color="000000" w:sz="4" w:space="0"/>
              <w:left w:val="single" w:color="000000" w:sz="4" w:space="0"/>
              <w:bottom w:val="single" w:color="000000" w:sz="4" w:space="0"/>
              <w:right w:val="single" w:color="000000" w:sz="4" w:space="0"/>
            </w:tcBorders>
            <w:noWrap/>
            <w:vAlign w:val="center"/>
          </w:tcPr>
          <w:p w14:paraId="20AA5F82">
            <w:pPr>
              <w:keepNext w:val="0"/>
              <w:keepLines w:val="0"/>
              <w:pageBreakBefore w:val="0"/>
              <w:shd w:val="clear"/>
              <w:kinsoku/>
              <w:wordWrap/>
              <w:bidi w:val="0"/>
              <w:spacing w:line="360" w:lineRule="auto"/>
              <w:jc w:val="center"/>
              <w:rPr>
                <w:rFonts w:hint="eastAsia" w:ascii="宋体" w:hAnsi="宋体" w:eastAsia="宋体" w:cs="宋体"/>
                <w:b/>
                <w:bCs/>
                <w:color w:val="auto"/>
                <w:sz w:val="22"/>
                <w:szCs w:val="22"/>
                <w:highlight w:val="none"/>
              </w:rPr>
            </w:pPr>
          </w:p>
        </w:tc>
        <w:tc>
          <w:tcPr>
            <w:tcW w:w="740" w:type="pct"/>
            <w:vMerge w:val="continue"/>
            <w:tcBorders>
              <w:top w:val="single" w:color="000000" w:sz="4" w:space="0"/>
              <w:left w:val="single" w:color="000000" w:sz="4" w:space="0"/>
              <w:bottom w:val="single" w:color="000000" w:sz="4" w:space="0"/>
              <w:right w:val="single" w:color="000000" w:sz="4" w:space="0"/>
            </w:tcBorders>
            <w:noWrap/>
            <w:vAlign w:val="center"/>
          </w:tcPr>
          <w:p w14:paraId="01371500">
            <w:pPr>
              <w:keepNext w:val="0"/>
              <w:keepLines w:val="0"/>
              <w:pageBreakBefore w:val="0"/>
              <w:shd w:val="clear"/>
              <w:kinsoku/>
              <w:wordWrap/>
              <w:bidi w:val="0"/>
              <w:spacing w:line="360" w:lineRule="auto"/>
              <w:jc w:val="center"/>
              <w:rPr>
                <w:rFonts w:hint="eastAsia" w:ascii="宋体" w:hAnsi="宋体" w:eastAsia="宋体" w:cs="宋体"/>
                <w:b/>
                <w:bCs/>
                <w:color w:val="auto"/>
                <w:sz w:val="22"/>
                <w:szCs w:val="22"/>
                <w:highlight w:val="none"/>
              </w:rPr>
            </w:pPr>
          </w:p>
        </w:tc>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4FD822">
            <w:pPr>
              <w:keepNext w:val="0"/>
              <w:keepLines w:val="0"/>
              <w:pageBreakBefore w:val="0"/>
              <w:shd w:val="clear"/>
              <w:kinsoku/>
              <w:wordWrap/>
              <w:bidi w:val="0"/>
              <w:spacing w:line="360" w:lineRule="auto"/>
              <w:jc w:val="center"/>
              <w:rPr>
                <w:rFonts w:hint="eastAsia" w:ascii="宋体" w:hAnsi="宋体" w:eastAsia="宋体" w:cs="宋体"/>
                <w:b/>
                <w:bCs/>
                <w:color w:val="auto"/>
                <w:sz w:val="22"/>
                <w:szCs w:val="22"/>
                <w:highlight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FC52057">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起步价</w:t>
            </w:r>
            <w:r>
              <w:rPr>
                <w:rFonts w:hint="eastAsia" w:ascii="宋体" w:hAnsi="宋体" w:eastAsia="宋体" w:cs="宋体"/>
                <w:b/>
                <w:bCs/>
                <w:color w:val="auto"/>
                <w:sz w:val="22"/>
                <w:szCs w:val="22"/>
                <w:highlight w:val="none"/>
                <w:lang w:bidi="ar"/>
              </w:rPr>
              <w:br w:type="textWrapping"/>
            </w:r>
            <w:r>
              <w:rPr>
                <w:rFonts w:hint="eastAsia" w:ascii="宋体" w:hAnsi="宋体" w:eastAsia="宋体" w:cs="宋体"/>
                <w:b/>
                <w:bCs/>
                <w:color w:val="auto"/>
                <w:sz w:val="22"/>
                <w:szCs w:val="22"/>
                <w:highlight w:val="none"/>
                <w:lang w:bidi="ar"/>
              </w:rPr>
              <w:t>（元/日）</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63DFF3F">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起步价</w:t>
            </w:r>
            <w:r>
              <w:rPr>
                <w:rFonts w:hint="eastAsia" w:ascii="宋体" w:hAnsi="宋体" w:eastAsia="宋体" w:cs="宋体"/>
                <w:b/>
                <w:bCs/>
                <w:color w:val="auto"/>
                <w:sz w:val="22"/>
                <w:szCs w:val="22"/>
                <w:highlight w:val="none"/>
                <w:lang w:bidi="ar"/>
              </w:rPr>
              <w:br w:type="textWrapping"/>
            </w:r>
            <w:r>
              <w:rPr>
                <w:rFonts w:hint="eastAsia" w:ascii="宋体" w:hAnsi="宋体" w:eastAsia="宋体" w:cs="宋体"/>
                <w:b/>
                <w:bCs/>
                <w:color w:val="auto"/>
                <w:sz w:val="22"/>
                <w:szCs w:val="22"/>
                <w:highlight w:val="none"/>
                <w:lang w:bidi="ar"/>
              </w:rPr>
              <w:t>（元/半日）</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E2FB527">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里程价</w:t>
            </w:r>
            <w:r>
              <w:rPr>
                <w:rFonts w:hint="eastAsia" w:ascii="宋体" w:hAnsi="宋体" w:eastAsia="宋体" w:cs="宋体"/>
                <w:b/>
                <w:bCs/>
                <w:color w:val="auto"/>
                <w:sz w:val="22"/>
                <w:szCs w:val="22"/>
                <w:highlight w:val="none"/>
                <w:lang w:bidi="ar"/>
              </w:rPr>
              <w:br w:type="textWrapping"/>
            </w:r>
            <w:r>
              <w:rPr>
                <w:rFonts w:hint="eastAsia" w:ascii="宋体" w:hAnsi="宋体" w:eastAsia="宋体" w:cs="宋体"/>
                <w:b/>
                <w:bCs/>
                <w:color w:val="auto"/>
                <w:sz w:val="22"/>
                <w:szCs w:val="22"/>
                <w:highlight w:val="none"/>
                <w:lang w:bidi="ar"/>
              </w:rPr>
              <w:t>（元/公里）</w:t>
            </w:r>
          </w:p>
        </w:tc>
        <w:tc>
          <w:tcPr>
            <w:tcW w:w="386" w:type="pct"/>
            <w:tcBorders>
              <w:top w:val="single" w:color="000000" w:sz="4" w:space="0"/>
              <w:left w:val="nil"/>
              <w:bottom w:val="single" w:color="000000" w:sz="4" w:space="0"/>
              <w:right w:val="single" w:color="000000" w:sz="4" w:space="0"/>
            </w:tcBorders>
            <w:noWrap w:val="0"/>
            <w:vAlign w:val="center"/>
          </w:tcPr>
          <w:p w14:paraId="69B07F13">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数量（辆）</w:t>
            </w:r>
          </w:p>
        </w:tc>
        <w:tc>
          <w:tcPr>
            <w:tcW w:w="464" w:type="pct"/>
            <w:tcBorders>
              <w:top w:val="nil"/>
              <w:left w:val="nil"/>
              <w:bottom w:val="single" w:color="000000" w:sz="4" w:space="0"/>
              <w:right w:val="single" w:color="000000" w:sz="4" w:space="0"/>
            </w:tcBorders>
            <w:noWrap w:val="0"/>
            <w:vAlign w:val="center"/>
          </w:tcPr>
          <w:p w14:paraId="38D46817">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起步价</w:t>
            </w:r>
            <w:r>
              <w:rPr>
                <w:rFonts w:hint="eastAsia" w:ascii="宋体" w:hAnsi="宋体" w:eastAsia="宋体" w:cs="宋体"/>
                <w:b/>
                <w:bCs/>
                <w:color w:val="auto"/>
                <w:sz w:val="22"/>
                <w:szCs w:val="22"/>
                <w:highlight w:val="none"/>
                <w:lang w:bidi="ar"/>
              </w:rPr>
              <w:br w:type="textWrapping"/>
            </w:r>
            <w:r>
              <w:rPr>
                <w:rFonts w:hint="eastAsia" w:ascii="宋体" w:hAnsi="宋体" w:eastAsia="宋体" w:cs="宋体"/>
                <w:b/>
                <w:bCs/>
                <w:color w:val="auto"/>
                <w:sz w:val="22"/>
                <w:szCs w:val="22"/>
                <w:highlight w:val="none"/>
                <w:lang w:bidi="ar"/>
              </w:rPr>
              <w:t>（元/日）</w:t>
            </w:r>
          </w:p>
        </w:tc>
        <w:tc>
          <w:tcPr>
            <w:tcW w:w="519" w:type="pct"/>
            <w:tcBorders>
              <w:top w:val="nil"/>
              <w:left w:val="single" w:color="000000" w:sz="4" w:space="0"/>
              <w:bottom w:val="single" w:color="000000" w:sz="4" w:space="0"/>
              <w:right w:val="single" w:color="000000" w:sz="4" w:space="0"/>
            </w:tcBorders>
            <w:noWrap w:val="0"/>
            <w:vAlign w:val="center"/>
          </w:tcPr>
          <w:p w14:paraId="6509ED26">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起步价</w:t>
            </w:r>
            <w:r>
              <w:rPr>
                <w:rFonts w:hint="eastAsia" w:ascii="宋体" w:hAnsi="宋体" w:eastAsia="宋体" w:cs="宋体"/>
                <w:b/>
                <w:bCs/>
                <w:color w:val="auto"/>
                <w:sz w:val="22"/>
                <w:szCs w:val="22"/>
                <w:highlight w:val="none"/>
                <w:lang w:bidi="ar"/>
              </w:rPr>
              <w:br w:type="textWrapping"/>
            </w:r>
            <w:r>
              <w:rPr>
                <w:rFonts w:hint="eastAsia" w:ascii="宋体" w:hAnsi="宋体" w:eastAsia="宋体" w:cs="宋体"/>
                <w:b/>
                <w:bCs/>
                <w:color w:val="auto"/>
                <w:sz w:val="22"/>
                <w:szCs w:val="22"/>
                <w:highlight w:val="none"/>
                <w:lang w:bidi="ar"/>
              </w:rPr>
              <w:t>（元/半日）</w:t>
            </w:r>
          </w:p>
        </w:tc>
        <w:tc>
          <w:tcPr>
            <w:tcW w:w="500" w:type="pct"/>
            <w:tcBorders>
              <w:top w:val="nil"/>
              <w:left w:val="single" w:color="000000" w:sz="4" w:space="0"/>
              <w:bottom w:val="single" w:color="000000" w:sz="4" w:space="0"/>
              <w:right w:val="single" w:color="000000" w:sz="4" w:space="0"/>
            </w:tcBorders>
            <w:noWrap w:val="0"/>
            <w:vAlign w:val="center"/>
          </w:tcPr>
          <w:p w14:paraId="5000FACA">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里程价</w:t>
            </w:r>
            <w:r>
              <w:rPr>
                <w:rFonts w:hint="eastAsia" w:ascii="宋体" w:hAnsi="宋体" w:eastAsia="宋体" w:cs="宋体"/>
                <w:b/>
                <w:bCs/>
                <w:color w:val="auto"/>
                <w:sz w:val="22"/>
                <w:szCs w:val="22"/>
                <w:highlight w:val="none"/>
                <w:lang w:bidi="ar"/>
              </w:rPr>
              <w:br w:type="textWrapping"/>
            </w:r>
            <w:r>
              <w:rPr>
                <w:rFonts w:hint="eastAsia" w:ascii="宋体" w:hAnsi="宋体" w:eastAsia="宋体" w:cs="宋体"/>
                <w:b/>
                <w:bCs/>
                <w:color w:val="auto"/>
                <w:sz w:val="22"/>
                <w:szCs w:val="22"/>
                <w:highlight w:val="none"/>
                <w:lang w:bidi="ar"/>
              </w:rPr>
              <w:t>（元/公里）</w:t>
            </w:r>
          </w:p>
        </w:tc>
        <w:tc>
          <w:tcPr>
            <w:tcW w:w="366" w:type="pct"/>
            <w:tcBorders>
              <w:top w:val="single" w:color="000000" w:sz="4" w:space="0"/>
              <w:left w:val="nil"/>
              <w:bottom w:val="single" w:color="000000" w:sz="4" w:space="0"/>
              <w:right w:val="single" w:color="000000" w:sz="4" w:space="0"/>
            </w:tcBorders>
            <w:noWrap w:val="0"/>
            <w:vAlign w:val="center"/>
          </w:tcPr>
          <w:p w14:paraId="4938F6EF">
            <w:pPr>
              <w:keepNext w:val="0"/>
              <w:keepLines w:val="0"/>
              <w:pageBreakBefore w:val="0"/>
              <w:widowControl/>
              <w:shd w:val="clear"/>
              <w:kinsoku/>
              <w:wordWrap/>
              <w:bidi w:val="0"/>
              <w:spacing w:line="36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ar"/>
              </w:rPr>
              <w:t>数量（辆）</w:t>
            </w:r>
          </w:p>
        </w:tc>
      </w:tr>
      <w:tr w14:paraId="19BA2FA8">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74BA7B6B">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1</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00F04FA2">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小轿车A</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（小于等于12万元）</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12FF9ACC">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5</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62A5E1F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550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75634AE1">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275</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1C63FC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60FC50">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1</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D1024C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90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CC4836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45</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608837B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1.6</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7A4AF4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38D4B6E0">
        <w:tblPrEx>
          <w:tblCellMar>
            <w:top w:w="0" w:type="dxa"/>
            <w:left w:w="108" w:type="dxa"/>
            <w:bottom w:w="0" w:type="dxa"/>
            <w:right w:w="108" w:type="dxa"/>
          </w:tblCellMar>
        </w:tblPrEx>
        <w:trPr>
          <w:trHeight w:val="140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6F58DE2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2</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270EF272">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小轿车B</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（大于12万元小于等于16万元）</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848070C">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5</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13B82895">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600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3D46A8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300</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8A7C86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A5F1D9C">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3</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B98466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120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32D847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60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650D9A6">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2.2</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ABAB6D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1B4B5647">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64F6E18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3</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48C9F805">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小轿车C</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（大于16万元）</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7E7C3A85">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5</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68189338">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675</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15E0FA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340</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AA29B47">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AC8DBB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38230E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130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F1DB63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65</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11813162">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2.7</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64F8FC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4CC824FB">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568976AB">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4</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4F232AE6">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面包车</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（小于等于12万元）</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2C18C05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7</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1044537C">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71411792">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8396E21">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410BFE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6BF00B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120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0D6AB5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60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11A1160">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1.6</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9E72907">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bidi="ar"/>
              </w:rPr>
              <w:t>36</w:t>
            </w:r>
          </w:p>
        </w:tc>
      </w:tr>
      <w:tr w14:paraId="4D6F211A">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262442C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5</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7FF1BF5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商务车</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（大于12万元）</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87FF815">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7</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06EA28B1">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650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6D6E51D7">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325</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A6D1987">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12FE527">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2</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E1DA9E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A4258F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0E0382D8">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5734A9B">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55706CC2">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1EFAB46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6</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5EAFF8A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客车A</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（10座以下）</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12569F31">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9</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11ED3A4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800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0CF3E54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400</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6E85FC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3B4903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1</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DF697B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26C632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BCA3A78">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20074C1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3F1353B6">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278BB5D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7</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2CF6654B">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客车B</w:t>
            </w:r>
          </w:p>
          <w:p w14:paraId="1061CBC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（10-19座）</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8F660B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17</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0159AC6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850</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48E4C27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425</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870D3F6">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0E1788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1</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AA65D6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D57A7F6">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10FE440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31295EF">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0B76CFEA">
        <w:tblPrEx>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18DC79EC">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8</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133ADDEF">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客车C</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（20座以上）</w:t>
            </w:r>
          </w:p>
        </w:tc>
        <w:tc>
          <w:tcPr>
            <w:tcW w:w="237" w:type="pct"/>
            <w:tcBorders>
              <w:top w:val="single" w:color="000000" w:sz="4" w:space="0"/>
              <w:left w:val="single" w:color="000000" w:sz="4" w:space="0"/>
              <w:bottom w:val="nil"/>
              <w:right w:val="single" w:color="000000" w:sz="4" w:space="0"/>
            </w:tcBorders>
            <w:noWrap/>
            <w:vAlign w:val="center"/>
          </w:tcPr>
          <w:p w14:paraId="5395FBE9">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50</w:t>
            </w:r>
          </w:p>
        </w:tc>
        <w:tc>
          <w:tcPr>
            <w:tcW w:w="505" w:type="pct"/>
            <w:tcBorders>
              <w:top w:val="single" w:color="000000" w:sz="4" w:space="0"/>
              <w:left w:val="single" w:color="000000" w:sz="4" w:space="0"/>
              <w:bottom w:val="nil"/>
              <w:right w:val="single" w:color="000000" w:sz="4" w:space="0"/>
            </w:tcBorders>
            <w:noWrap/>
            <w:vAlign w:val="center"/>
          </w:tcPr>
          <w:p w14:paraId="1D1F56C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1200</w:t>
            </w:r>
          </w:p>
        </w:tc>
        <w:tc>
          <w:tcPr>
            <w:tcW w:w="500" w:type="pct"/>
            <w:tcBorders>
              <w:top w:val="single" w:color="000000" w:sz="4" w:space="0"/>
              <w:left w:val="single" w:color="000000" w:sz="4" w:space="0"/>
              <w:bottom w:val="nil"/>
              <w:right w:val="single" w:color="000000" w:sz="4" w:space="0"/>
            </w:tcBorders>
            <w:noWrap/>
            <w:vAlign w:val="center"/>
          </w:tcPr>
          <w:p w14:paraId="23435B37">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464" w:type="pct"/>
            <w:tcBorders>
              <w:top w:val="single" w:color="000000" w:sz="4" w:space="0"/>
              <w:left w:val="single" w:color="000000" w:sz="4" w:space="0"/>
              <w:bottom w:val="nil"/>
              <w:right w:val="single" w:color="000000" w:sz="4" w:space="0"/>
            </w:tcBorders>
            <w:noWrap/>
            <w:vAlign w:val="center"/>
          </w:tcPr>
          <w:p w14:paraId="5A1B3B8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4.5</w:t>
            </w:r>
          </w:p>
        </w:tc>
        <w:tc>
          <w:tcPr>
            <w:tcW w:w="386" w:type="pct"/>
            <w:tcBorders>
              <w:top w:val="single" w:color="000000" w:sz="4" w:space="0"/>
              <w:left w:val="single" w:color="000000" w:sz="4" w:space="0"/>
              <w:bottom w:val="nil"/>
              <w:right w:val="single" w:color="000000" w:sz="4" w:space="0"/>
            </w:tcBorders>
            <w:noWrap/>
            <w:vAlign w:val="center"/>
          </w:tcPr>
          <w:p w14:paraId="2CE7ABE3">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bidi="ar"/>
              </w:rPr>
              <w:t>数量不定</w:t>
            </w:r>
          </w:p>
        </w:tc>
        <w:tc>
          <w:tcPr>
            <w:tcW w:w="464" w:type="pct"/>
            <w:tcBorders>
              <w:top w:val="single" w:color="000000" w:sz="4" w:space="0"/>
              <w:left w:val="single" w:color="000000" w:sz="4" w:space="0"/>
              <w:bottom w:val="nil"/>
              <w:right w:val="single" w:color="000000" w:sz="4" w:space="0"/>
            </w:tcBorders>
            <w:noWrap/>
            <w:vAlign w:val="center"/>
          </w:tcPr>
          <w:p w14:paraId="732305A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19" w:type="pct"/>
            <w:tcBorders>
              <w:top w:val="single" w:color="000000" w:sz="4" w:space="0"/>
              <w:left w:val="single" w:color="000000" w:sz="4" w:space="0"/>
              <w:bottom w:val="nil"/>
              <w:right w:val="single" w:color="000000" w:sz="4" w:space="0"/>
            </w:tcBorders>
            <w:noWrap/>
            <w:vAlign w:val="center"/>
          </w:tcPr>
          <w:p w14:paraId="4AF933D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500" w:type="pct"/>
            <w:tcBorders>
              <w:top w:val="single" w:color="000000" w:sz="4" w:space="0"/>
              <w:left w:val="single" w:color="000000" w:sz="4" w:space="0"/>
              <w:bottom w:val="nil"/>
              <w:right w:val="single" w:color="000000" w:sz="4" w:space="0"/>
            </w:tcBorders>
            <w:noWrap/>
            <w:vAlign w:val="center"/>
          </w:tcPr>
          <w:p w14:paraId="5B6C902E">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c>
          <w:tcPr>
            <w:tcW w:w="366" w:type="pct"/>
            <w:tcBorders>
              <w:top w:val="single" w:color="000000" w:sz="4" w:space="0"/>
              <w:left w:val="single" w:color="000000" w:sz="4" w:space="0"/>
              <w:bottom w:val="nil"/>
              <w:right w:val="single" w:color="000000" w:sz="4" w:space="0"/>
            </w:tcBorders>
            <w:noWrap/>
            <w:vAlign w:val="center"/>
          </w:tcPr>
          <w:p w14:paraId="57BE5A1D">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w:t>
            </w:r>
          </w:p>
        </w:tc>
      </w:tr>
      <w:tr w14:paraId="2ECE4846">
        <w:tblPrEx>
          <w:tblCellMar>
            <w:top w:w="0" w:type="dxa"/>
            <w:left w:w="108" w:type="dxa"/>
            <w:bottom w:w="0" w:type="dxa"/>
            <w:right w:w="108" w:type="dxa"/>
          </w:tblCellMar>
        </w:tblPrEx>
        <w:trPr>
          <w:trHeight w:val="1638"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6CDC1ADA">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9</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31172074">
            <w:pPr>
              <w:keepNext w:val="0"/>
              <w:keepLines w:val="0"/>
              <w:pageBreakBefore w:val="0"/>
              <w:widowControl/>
              <w:shd w:val="clear"/>
              <w:kinsoku/>
              <w:wordWrap/>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备注</w:t>
            </w:r>
          </w:p>
        </w:tc>
        <w:tc>
          <w:tcPr>
            <w:tcW w:w="3942" w:type="pct"/>
            <w:gridSpan w:val="9"/>
            <w:tcBorders>
              <w:top w:val="single" w:color="000000" w:sz="4" w:space="0"/>
              <w:left w:val="single" w:color="000000" w:sz="4" w:space="0"/>
              <w:bottom w:val="single" w:color="000000" w:sz="4" w:space="0"/>
              <w:right w:val="single" w:color="000000" w:sz="4" w:space="0"/>
            </w:tcBorders>
            <w:noWrap w:val="0"/>
            <w:vAlign w:val="center"/>
          </w:tcPr>
          <w:p w14:paraId="4D3550EC">
            <w:pPr>
              <w:keepNext w:val="0"/>
              <w:keepLines w:val="0"/>
              <w:pageBreakBefore w:val="0"/>
              <w:widowControl/>
              <w:shd w:val="clear"/>
              <w:kinsoku/>
              <w:wordWrap/>
              <w:bidi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1.用车时长12小时内按一日计算费用，6小时内按半日计算费用（按取车还车时间）。</w:t>
            </w:r>
            <w:r>
              <w:rPr>
                <w:rFonts w:hint="eastAsia" w:ascii="宋体" w:hAnsi="宋体" w:eastAsia="宋体" w:cs="宋体"/>
                <w:color w:val="auto"/>
                <w:sz w:val="22"/>
                <w:szCs w:val="22"/>
                <w:highlight w:val="none"/>
                <w:lang w:bidi="ar"/>
              </w:rPr>
              <w:br w:type="textWrapping"/>
            </w:r>
            <w:r>
              <w:rPr>
                <w:rFonts w:hint="eastAsia" w:ascii="宋体" w:hAnsi="宋体" w:eastAsia="宋体" w:cs="宋体"/>
                <w:color w:val="auto"/>
                <w:sz w:val="22"/>
                <w:szCs w:val="22"/>
                <w:highlight w:val="none"/>
                <w:lang w:bidi="ar"/>
              </w:rPr>
              <w:t>2.以上价格为含税价，包含油料、车辆保险、维修保养、路桥停车费用，不含公务交通保障范围以外的路桥、停车费及驾驶员食宿费用，含司机的起步价中除包含以上费用外，还包含驾驶员费用。</w:t>
            </w:r>
            <w:r>
              <w:rPr>
                <w:rFonts w:hint="eastAsia" w:ascii="宋体" w:hAnsi="宋体" w:eastAsia="宋体" w:cs="宋体"/>
                <w:color w:val="auto"/>
                <w:sz w:val="22"/>
                <w:szCs w:val="22"/>
                <w:highlight w:val="none"/>
                <w:lang w:bidi="ar"/>
              </w:rPr>
              <w:br w:type="textWrapping"/>
            </w:r>
            <w:r>
              <w:rPr>
                <w:rFonts w:hint="eastAsia" w:ascii="宋体" w:hAnsi="宋体" w:eastAsia="宋体" w:cs="宋体"/>
                <w:color w:val="auto"/>
                <w:sz w:val="22"/>
                <w:szCs w:val="22"/>
                <w:highlight w:val="none"/>
                <w:lang w:bidi="ar"/>
              </w:rPr>
              <w:t>3.以上价格根据市场物价水平及西咸新区相关费用标准制定，如外部因素导致变化时，价格适当调整。</w:t>
            </w:r>
          </w:p>
          <w:p w14:paraId="1344A424">
            <w:pPr>
              <w:keepNext w:val="0"/>
              <w:keepLines w:val="0"/>
              <w:pageBreakBefore w:val="0"/>
              <w:widowControl/>
              <w:shd w:val="clear"/>
              <w:kinsoku/>
              <w:wordWrap/>
              <w:bidi w:val="0"/>
              <w:spacing w:line="360" w:lineRule="auto"/>
              <w:jc w:val="left"/>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4.具体以实际车辆购置价格结算费用。</w:t>
            </w:r>
          </w:p>
        </w:tc>
      </w:tr>
    </w:tbl>
    <w:p w14:paraId="0852B498">
      <w:pPr>
        <w:keepNext w:val="0"/>
        <w:keepLines w:val="0"/>
        <w:pageBreakBefore w:val="0"/>
        <w:shd w:val="clear"/>
        <w:kinsoku/>
        <w:wordWrap/>
        <w:bidi w:val="0"/>
        <w:spacing w:line="360" w:lineRule="auto"/>
        <w:ind w:left="480" w:leftChars="200"/>
        <w:jc w:val="left"/>
        <w:outlineLvl w:val="2"/>
        <w:rPr>
          <w:rFonts w:hint="eastAsia" w:ascii="宋体" w:hAnsi="宋体" w:eastAsia="宋体" w:cs="宋体"/>
          <w:b/>
          <w:bCs/>
          <w:color w:val="auto"/>
          <w:szCs w:val="24"/>
          <w:highlight w:val="none"/>
        </w:rPr>
      </w:pPr>
      <w:r>
        <w:rPr>
          <w:rFonts w:hint="eastAsia" w:ascii="宋体" w:hAnsi="宋体" w:eastAsia="宋体" w:cs="宋体"/>
          <w:color w:val="auto"/>
          <w:szCs w:val="24"/>
          <w:highlight w:val="none"/>
          <w:lang w:bidi="ar"/>
        </w:rPr>
        <w:t xml:space="preserve"> </w:t>
      </w:r>
      <w:r>
        <w:rPr>
          <w:rFonts w:hint="eastAsia" w:ascii="宋体" w:hAnsi="宋体" w:eastAsia="宋体" w:cs="宋体"/>
          <w:b/>
          <w:color w:val="auto"/>
          <w:szCs w:val="24"/>
          <w:highlight w:val="none"/>
        </w:rPr>
        <w:t>三、采购服务要求</w:t>
      </w:r>
    </w:p>
    <w:p w14:paraId="66B01CCC">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1.按照采购人对车辆数量、型号等相关要求，提供车辆租赁服务，所租赁车辆要车况良好。</w:t>
      </w:r>
    </w:p>
    <w:p w14:paraId="3D2A4F3B">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2.负担出租车辆的加油费、保险费、车船使用税、年审、定期保养检修、车辆物资配备、</w:t>
      </w:r>
      <w:r>
        <w:rPr>
          <w:rFonts w:hint="eastAsia" w:ascii="宋体" w:hAnsi="宋体" w:eastAsia="宋体" w:cs="宋体"/>
          <w:bCs/>
          <w:snapToGrid w:val="0"/>
          <w:color w:val="auto"/>
          <w:szCs w:val="24"/>
          <w:highlight w:val="none"/>
        </w:rPr>
        <w:t>甲方交通保障范围以内的路桥停车等相应费用</w:t>
      </w:r>
      <w:r>
        <w:rPr>
          <w:rFonts w:hint="eastAsia" w:ascii="宋体" w:hAnsi="宋体" w:eastAsia="宋体" w:cs="宋体"/>
          <w:color w:val="auto"/>
          <w:szCs w:val="24"/>
          <w:highlight w:val="none"/>
        </w:rPr>
        <w:t>，为采购人承租车辆购买全额保险，其中三责险不低于100万。</w:t>
      </w:r>
    </w:p>
    <w:p w14:paraId="49AB5263">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3.向采购人提供技术状况为二级标准以上、设备齐全的租赁车辆，并提供车辆行驶所需有效证件。</w:t>
      </w:r>
    </w:p>
    <w:p w14:paraId="171C8F27">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4.负有对事故车辆及丢失车辆直</w:t>
      </w:r>
      <w:bookmarkStart w:id="0" w:name="_GoBack"/>
      <w:bookmarkEnd w:id="0"/>
      <w:r>
        <w:rPr>
          <w:rFonts w:hint="eastAsia" w:ascii="宋体" w:hAnsi="宋体" w:eastAsia="宋体" w:cs="宋体"/>
          <w:color w:val="auto"/>
          <w:szCs w:val="24"/>
          <w:highlight w:val="none"/>
        </w:rPr>
        <w:t>接向保险公司理赔的责任。</w:t>
      </w:r>
    </w:p>
    <w:p w14:paraId="510748E4">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5.提供车辆故障、事故的24小时救援服务。</w:t>
      </w:r>
    </w:p>
    <w:p w14:paraId="10FBB1A2">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6.保证车辆随车物件配备齐全，车内应该备有随车工具、备胎、灭火器，及采购人所需其他相关物资。</w:t>
      </w:r>
    </w:p>
    <w:p w14:paraId="0A7B21B2">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定期对车辆进行日常检查，特别对机油、刹车油、冷却液、电解液、轮胎气压的检查，对制动、转向、灯光、刮水器、喇叭性能的检查，在使用过程中，如发现异常，应立即通知采购人，并按照工作流程到指定维修场所进行维修及保养。</w:t>
      </w:r>
    </w:p>
    <w:p w14:paraId="09A00278">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8.负责按采购人要求落实所租赁车辆日常管理责任，做好车辆相关设备设施安装工作，确保采购人正常有序使用车辆。</w:t>
      </w:r>
    </w:p>
    <w:p w14:paraId="4C10DFC1">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9.负责审核驾驶员信息，按照采购人要求确定驾驶员名单。</w:t>
      </w:r>
    </w:p>
    <w:p w14:paraId="2712886A">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10.负责出租车辆的安全管理及使用纪律管理。</w:t>
      </w:r>
    </w:p>
    <w:p w14:paraId="24ABE466">
      <w:pPr>
        <w:keepNext w:val="0"/>
        <w:keepLines w:val="0"/>
        <w:pageBreakBefore w:val="0"/>
        <w:shd w:val="clear"/>
        <w:kinsoku/>
        <w:wordWrap/>
        <w:bidi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11.配合采购人落实与租赁车辆有关的其他工作。</w:t>
      </w:r>
    </w:p>
    <w:p w14:paraId="703E8E60">
      <w:pPr>
        <w:keepNext w:val="0"/>
        <w:keepLines w:val="0"/>
        <w:pageBreakBefore w:val="0"/>
        <w:widowControl/>
        <w:shd w:val="clear"/>
        <w:kinsoku/>
        <w:wordWrap/>
        <w:bidi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Cs w:val="24"/>
          <w:highlight w:val="none"/>
        </w:rPr>
        <w:t>12.对所获得的采购方信息负有保密义务。</w:t>
      </w:r>
    </w:p>
    <w:p w14:paraId="2F62DC2D">
      <w:pPr>
        <w:keepNext w:val="0"/>
        <w:keepLines w:val="0"/>
        <w:pageBreakBefore w:val="0"/>
        <w:widowControl/>
        <w:shd w:val="clear"/>
        <w:tabs>
          <w:tab w:val="left" w:pos="1155"/>
        </w:tabs>
        <w:kinsoku/>
        <w:wordWrap/>
        <w:overflowPunct w:val="0"/>
        <w:topLinePunct/>
        <w:bidi w:val="0"/>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五、商务要求</w:t>
      </w:r>
    </w:p>
    <w:p w14:paraId="24CFC1F3">
      <w:pPr>
        <w:keepNext w:val="0"/>
        <w:keepLines w:val="0"/>
        <w:pageBreakBefore w:val="0"/>
        <w:widowControl/>
        <w:shd w:val="clear"/>
        <w:tabs>
          <w:tab w:val="left" w:pos="1155"/>
        </w:tabs>
        <w:kinsoku/>
        <w:wordWrap/>
        <w:overflowPunct w:val="0"/>
        <w:topLinePunct/>
        <w:bidi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1、服务地点：采购人指定地点</w:t>
      </w:r>
    </w:p>
    <w:p w14:paraId="6C77F989">
      <w:pPr>
        <w:keepNext w:val="0"/>
        <w:keepLines w:val="0"/>
        <w:pageBreakBefore w:val="0"/>
        <w:widowControl/>
        <w:shd w:val="clear"/>
        <w:tabs>
          <w:tab w:val="left" w:pos="1155"/>
        </w:tabs>
        <w:kinsoku/>
        <w:wordWrap/>
        <w:overflowPunct w:val="0"/>
        <w:topLinePunct/>
        <w:bidi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2、服务期限：202</w:t>
      </w:r>
      <w:r>
        <w:rPr>
          <w:rFonts w:hint="eastAsia" w:ascii="宋体" w:hAnsi="宋体" w:eastAsia="宋体" w:cs="宋体"/>
          <w:bCs/>
          <w:color w:val="auto"/>
          <w:szCs w:val="24"/>
          <w:highlight w:val="none"/>
          <w:lang w:val="en-US" w:eastAsia="zh-CN"/>
        </w:rPr>
        <w:t>6</w:t>
      </w:r>
      <w:r>
        <w:rPr>
          <w:rFonts w:hint="eastAsia" w:ascii="宋体" w:hAnsi="宋体" w:eastAsia="宋体" w:cs="宋体"/>
          <w:bCs/>
          <w:color w:val="auto"/>
          <w:szCs w:val="24"/>
          <w:highlight w:val="none"/>
        </w:rPr>
        <w:t>年01月18日至202</w:t>
      </w:r>
      <w:r>
        <w:rPr>
          <w:rFonts w:hint="eastAsia" w:ascii="宋体" w:hAnsi="宋体" w:eastAsia="宋体" w:cs="宋体"/>
          <w:bCs/>
          <w:color w:val="auto"/>
          <w:szCs w:val="24"/>
          <w:highlight w:val="none"/>
          <w:lang w:val="en-US" w:eastAsia="zh-CN"/>
        </w:rPr>
        <w:t>7</w:t>
      </w:r>
      <w:r>
        <w:rPr>
          <w:rFonts w:hint="eastAsia" w:ascii="宋体" w:hAnsi="宋体" w:eastAsia="宋体" w:cs="宋体"/>
          <w:bCs/>
          <w:color w:val="auto"/>
          <w:szCs w:val="24"/>
          <w:highlight w:val="none"/>
        </w:rPr>
        <w:t>年01月17日。</w:t>
      </w:r>
    </w:p>
    <w:p w14:paraId="3FBF3AF9">
      <w:pPr>
        <w:keepNext w:val="0"/>
        <w:keepLines w:val="0"/>
        <w:pageBreakBefore w:val="0"/>
        <w:widowControl/>
        <w:shd w:val="clear"/>
        <w:tabs>
          <w:tab w:val="left" w:pos="1155"/>
        </w:tabs>
        <w:kinsoku/>
        <w:wordWrap/>
        <w:overflowPunct w:val="0"/>
        <w:topLinePunct/>
        <w:bidi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3、服务费用付款结算方式</w:t>
      </w:r>
    </w:p>
    <w:p w14:paraId="29DEAC02">
      <w:pPr>
        <w:keepNext w:val="0"/>
        <w:keepLines w:val="0"/>
        <w:pageBreakBefore w:val="0"/>
        <w:widowControl/>
        <w:numPr>
          <w:ilvl w:val="0"/>
          <w:numId w:val="1"/>
        </w:numPr>
        <w:shd w:val="clear"/>
        <w:kinsoku/>
        <w:wordWrap/>
        <w:bidi w:val="0"/>
        <w:adjustRightInd w:val="0"/>
        <w:snapToGrid w:val="0"/>
        <w:spacing w:line="360" w:lineRule="auto"/>
        <w:ind w:firstLine="480" w:firstLineChars="200"/>
        <w:jc w:val="left"/>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公务用车部分</w:t>
      </w:r>
    </w:p>
    <w:p w14:paraId="57E701AF">
      <w:pPr>
        <w:keepNext w:val="0"/>
        <w:keepLines w:val="0"/>
        <w:pageBreakBefore w:val="0"/>
        <w:widowControl/>
        <w:shd w:val="clear"/>
        <w:kinsoku/>
        <w:wordWrap/>
        <w:bidi w:val="0"/>
        <w:adjustRightInd w:val="0"/>
        <w:snapToGrid w:val="0"/>
        <w:spacing w:line="360" w:lineRule="auto"/>
        <w:ind w:firstLine="480" w:firstLineChars="200"/>
        <w:jc w:val="left"/>
        <w:rPr>
          <w:rFonts w:hint="eastAsia" w:ascii="宋体" w:hAnsi="宋体" w:eastAsia="宋体" w:cs="宋体"/>
          <w:color w:val="auto"/>
          <w:szCs w:val="24"/>
          <w:highlight w:val="none"/>
          <w:shd w:val="clear" w:color="auto" w:fill="FFFFFF"/>
        </w:rPr>
      </w:pPr>
      <w:r>
        <w:rPr>
          <w:rFonts w:hint="eastAsia" w:ascii="宋体" w:hAnsi="宋体" w:eastAsia="宋体" w:cs="宋体"/>
          <w:bCs/>
          <w:snapToGrid w:val="0"/>
          <w:color w:val="auto"/>
          <w:szCs w:val="24"/>
          <w:highlight w:val="none"/>
        </w:rPr>
        <w:t>1.乙方提供用车服务按服务期满后进行结算，</w:t>
      </w:r>
      <w:r>
        <w:rPr>
          <w:rFonts w:hint="eastAsia" w:ascii="宋体" w:hAnsi="宋体" w:eastAsia="宋体" w:cs="宋体"/>
          <w:color w:val="auto"/>
          <w:szCs w:val="24"/>
          <w:highlight w:val="none"/>
          <w:shd w:val="clear" w:color="auto" w:fill="FFFFFF"/>
        </w:rPr>
        <w:t>其中定向化服务用车天数按实际工作日计算，其他服务车辆按实际使用天数计算。</w:t>
      </w:r>
    </w:p>
    <w:p w14:paraId="5998B106">
      <w:pPr>
        <w:keepNext w:val="0"/>
        <w:keepLines w:val="0"/>
        <w:pageBreakBefore w:val="0"/>
        <w:widowControl/>
        <w:shd w:val="clear"/>
        <w:kinsoku/>
        <w:wordWrap/>
        <w:bidi w:val="0"/>
        <w:adjustRightInd w:val="0"/>
        <w:snapToGrid w:val="0"/>
        <w:spacing w:line="360" w:lineRule="auto"/>
        <w:ind w:firstLine="480" w:firstLineChars="200"/>
        <w:jc w:val="left"/>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2.服务收费价格计算方法为：起步价标准*用车次数+里程价标准*行驶里程。</w:t>
      </w:r>
    </w:p>
    <w:p w14:paraId="0F58F38F">
      <w:pPr>
        <w:keepNext w:val="0"/>
        <w:keepLines w:val="0"/>
        <w:pageBreakBefore w:val="0"/>
        <w:widowControl/>
        <w:shd w:val="clear"/>
        <w:kinsoku/>
        <w:wordWrap/>
        <w:bidi w:val="0"/>
        <w:adjustRightInd w:val="0"/>
        <w:snapToGrid w:val="0"/>
        <w:spacing w:line="360" w:lineRule="auto"/>
        <w:ind w:firstLine="480" w:firstLineChars="200"/>
        <w:jc w:val="left"/>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（里程价说明：里程价=里程价标准*行驶里程，其中行驶里程等于结束里程减去开始里程，驾驶人员接到派车单从管委会出发时行程开始，将乘车人送达目的地返回管委会时行程结束。）</w:t>
      </w:r>
    </w:p>
    <w:p w14:paraId="4D97273A">
      <w:pPr>
        <w:keepNext w:val="0"/>
        <w:keepLines w:val="0"/>
        <w:pageBreakBefore w:val="0"/>
        <w:widowControl/>
        <w:shd w:val="clear"/>
        <w:kinsoku/>
        <w:wordWrap/>
        <w:bidi w:val="0"/>
        <w:adjustRightInd w:val="0"/>
        <w:snapToGrid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bCs/>
          <w:snapToGrid w:val="0"/>
          <w:color w:val="auto"/>
          <w:szCs w:val="24"/>
          <w:highlight w:val="none"/>
        </w:rPr>
        <w:t>甲方根据《沣西新城管委会本级公务用车服务保障平台考核管理办法（试行）》文件，定期对乙方的服务进行评价考核，考核结果100分为满分，高于90分的甲方按全款支付当期租赁费；80分至90分之间的，扣减当期租赁费全款的3%；70分至80分之间的，扣减当期租赁费全款的6%；70分以下的，扣减当期租赁费全款的10%。平台出现以下情况之一的实行“一票否决制”：公务用车出现一次一般以上（含）安全事故、其他车辆因车况问题出现一次一般以上（含）安全事故、违反公务用车使用纪律被问责的直接评定为不合格，扣减当季租赁费的10%。乙方服务保障工作开展优异或有重大贡献的，</w:t>
      </w:r>
      <w:r>
        <w:rPr>
          <w:rFonts w:hint="eastAsia" w:ascii="宋体" w:hAnsi="宋体" w:eastAsia="宋体" w:cs="宋体"/>
          <w:bCs/>
          <w:snapToGrid w:val="0"/>
          <w:color w:val="auto"/>
          <w:szCs w:val="24"/>
          <w:highlight w:val="none"/>
          <w:lang w:val="en-US" w:eastAsia="zh-CN"/>
        </w:rPr>
        <w:t>甲</w:t>
      </w:r>
      <w:r>
        <w:rPr>
          <w:rFonts w:hint="eastAsia" w:ascii="宋体" w:hAnsi="宋体" w:eastAsia="宋体" w:cs="宋体"/>
          <w:bCs/>
          <w:snapToGrid w:val="0"/>
          <w:color w:val="auto"/>
          <w:szCs w:val="24"/>
          <w:highlight w:val="none"/>
        </w:rPr>
        <w:t>方可视情况进行奖励。具体由甲方出具考核结果为准且最终结算服务费用不得超过本合同总价</w:t>
      </w:r>
      <w:r>
        <w:rPr>
          <w:rFonts w:hint="eastAsia" w:ascii="宋体" w:hAnsi="宋体" w:eastAsia="宋体" w:cs="宋体"/>
          <w:color w:val="auto"/>
          <w:szCs w:val="24"/>
          <w:highlight w:val="none"/>
        </w:rPr>
        <w:t>。</w:t>
      </w:r>
    </w:p>
    <w:p w14:paraId="7F6FCF35">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4.乙方服务结束后10日内向甲方提供费用明细，甲方根据评价考核结果，对乙方提供的费用明细进行核算，乙方根据甲方核算的租赁费结果，向甲方开具等额、合法的增值税普通发票。如因乙方责任而造成采购人损失的，由乙方承担所有责任并进行赔偿。合同后附中小企业声明函（服务）的证明资料。</w:t>
      </w:r>
    </w:p>
    <w:p w14:paraId="1BE7DA79">
      <w:pPr>
        <w:keepNext w:val="0"/>
        <w:keepLines w:val="0"/>
        <w:pageBreakBefore w:val="0"/>
        <w:widowControl/>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（二）</w:t>
      </w:r>
      <w:r>
        <w:rPr>
          <w:rFonts w:hint="eastAsia" w:ascii="宋体" w:hAnsi="宋体" w:eastAsia="宋体" w:cs="宋体"/>
          <w:color w:val="auto"/>
          <w:szCs w:val="24"/>
          <w:highlight w:val="none"/>
          <w:lang w:val="en-US" w:eastAsia="zh-CN"/>
        </w:rPr>
        <w:t>甲方开票信息及乙方收款账户信息</w:t>
      </w:r>
    </w:p>
    <w:p w14:paraId="51423539">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甲方开票信息如下：</w:t>
      </w:r>
    </w:p>
    <w:p w14:paraId="7F1E94E1">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en-US" w:eastAsia="zh-CN"/>
        </w:rPr>
        <w:t>开</w:t>
      </w:r>
      <w:r>
        <w:rPr>
          <w:rFonts w:hint="eastAsia" w:ascii="宋体" w:hAnsi="宋体" w:eastAsia="宋体" w:cs="宋体"/>
          <w:color w:val="auto"/>
          <w:szCs w:val="24"/>
          <w:highlight w:val="none"/>
        </w:rPr>
        <w:t>户名称：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p>
    <w:p w14:paraId="5161EA5A">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words"/>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6452FECA">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rPr>
        <w:t>地址和电话</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38EA972F">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rPr>
        <w:t>开户行及账号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04E1FEC8">
      <w:pPr>
        <w:pStyle w:val="4"/>
        <w:keepNext w:val="0"/>
        <w:keepLines w:val="0"/>
        <w:pageBreakBefore w:val="0"/>
        <w:widowControl/>
        <w:shd w:val="clear"/>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乙方要求甲方付款前，应向甲方提供与待付款金额等额的增值税普通发票，否则甲方有权迟延付款且无需承担任何责任，同时不免除乙方所应履行的合同义务。乙方应当对其开具发票的合法性、合规性负责，如果因为乙方开具发票的合法性、合规性而导致甲方无法抵扣税款或遭受其他损失</w:t>
      </w:r>
      <w:r>
        <w:rPr>
          <w:rFonts w:hint="eastAsia" w:ascii="宋体" w:hAnsi="宋体" w:eastAsia="宋体" w:cs="宋体"/>
          <w:color w:val="auto"/>
          <w:spacing w:val="0"/>
          <w:sz w:val="24"/>
          <w:szCs w:val="24"/>
          <w:highlight w:val="none"/>
        </w:rPr>
        <w:t>（包括但不限于税款、滞纳金、罚款及相关损失等）</w:t>
      </w:r>
      <w:r>
        <w:rPr>
          <w:rFonts w:hint="eastAsia" w:ascii="宋体" w:hAnsi="宋体" w:eastAsia="宋体" w:cs="宋体"/>
          <w:color w:val="auto"/>
          <w:sz w:val="24"/>
          <w:szCs w:val="24"/>
          <w:highlight w:val="none"/>
        </w:rPr>
        <w:t>的，乙方应承担赔偿责任，并在甲方要求的期限内重新开具合法有效的发票</w:t>
      </w:r>
      <w:r>
        <w:rPr>
          <w:rFonts w:hint="eastAsia" w:ascii="宋体" w:hAnsi="宋体" w:eastAsia="宋体" w:cs="宋体"/>
          <w:color w:val="auto"/>
          <w:sz w:val="24"/>
          <w:szCs w:val="24"/>
          <w:highlight w:val="none"/>
          <w:lang w:eastAsia="zh-CN"/>
        </w:rPr>
        <w:t>。</w:t>
      </w:r>
    </w:p>
    <w:p w14:paraId="2A07EA9A">
      <w:pPr>
        <w:keepNext w:val="0"/>
        <w:keepLines w:val="0"/>
        <w:pageBreakBefore w:val="0"/>
        <w:widowControl/>
        <w:shd w:val="clear"/>
        <w:kinsoku/>
        <w:wordWrap/>
        <w:bidi w:val="0"/>
        <w:adjustRightInd w:val="0"/>
        <w:snapToGrid w:val="0"/>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上述租金为含税价格，由甲方汇入乙方指定账户，</w:t>
      </w:r>
      <w:r>
        <w:rPr>
          <w:rFonts w:hint="eastAsia" w:ascii="宋体" w:hAnsi="宋体" w:eastAsia="宋体" w:cs="宋体"/>
          <w:color w:val="auto"/>
          <w:szCs w:val="24"/>
          <w:highlight w:val="none"/>
          <w:lang w:val="en-US" w:eastAsia="zh-CN"/>
        </w:rPr>
        <w:t>乙方指定收款账户信息如下：</w:t>
      </w:r>
    </w:p>
    <w:p w14:paraId="13E533BA">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en-US" w:eastAsia="zh-CN"/>
        </w:rPr>
        <w:t>账</w:t>
      </w:r>
      <w:r>
        <w:rPr>
          <w:rFonts w:hint="eastAsia" w:ascii="宋体" w:hAnsi="宋体" w:eastAsia="宋体" w:cs="宋体"/>
          <w:color w:val="auto"/>
          <w:szCs w:val="24"/>
          <w:highlight w:val="none"/>
        </w:rPr>
        <w:t>户名称：</w:t>
      </w:r>
      <w:r>
        <w:rPr>
          <w:rFonts w:hint="eastAsia" w:ascii="宋体" w:hAnsi="宋体" w:eastAsia="宋体" w:cs="宋体"/>
          <w:color w:val="auto"/>
          <w:szCs w:val="24"/>
          <w:highlight w:val="none"/>
          <w:u w:val="single"/>
        </w:rPr>
        <w:t xml:space="preserve">                               </w:t>
      </w:r>
    </w:p>
    <w:p w14:paraId="26408E6C">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words"/>
        </w:rPr>
      </w:pP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30527632">
      <w:pPr>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0B66B49D">
      <w:pPr>
        <w:keepNext w:val="0"/>
        <w:keepLines w:val="0"/>
        <w:pageBreakBefore w:val="0"/>
        <w:widowControl/>
        <w:shd w:val="clear"/>
        <w:kinsoku/>
        <w:wordWrap/>
        <w:bidi w:val="0"/>
        <w:adjustRightInd w:val="0"/>
        <w:snapToGrid w:val="0"/>
        <w:spacing w:line="360" w:lineRule="auto"/>
        <w:ind w:firstLine="480" w:firstLineChars="200"/>
        <w:jc w:val="left"/>
        <w:rPr>
          <w:rFonts w:hint="eastAsia" w:ascii="宋体" w:hAnsi="宋体" w:eastAsia="宋体" w:cs="宋体"/>
          <w:snapToGrid w:val="0"/>
          <w:color w:val="auto"/>
          <w:szCs w:val="24"/>
          <w:highlight w:val="none"/>
        </w:rPr>
      </w:pPr>
      <w:r>
        <w:rPr>
          <w:rFonts w:hint="eastAsia" w:ascii="宋体" w:hAnsi="宋体" w:eastAsia="宋体" w:cs="宋体"/>
          <w:color w:val="auto"/>
          <w:szCs w:val="24"/>
          <w:highlight w:val="none"/>
        </w:rPr>
        <w:t>乙</w:t>
      </w:r>
      <w:r>
        <w:rPr>
          <w:rFonts w:hint="eastAsia" w:ascii="宋体" w:hAnsi="宋体" w:eastAsia="宋体" w:cs="宋体"/>
          <w:snapToGrid w:val="0"/>
          <w:color w:val="auto"/>
          <w:szCs w:val="24"/>
          <w:highlight w:val="none"/>
        </w:rPr>
        <w:t>方确保上述账户的真实准确性，若要变更需提前十日书面通知甲方。否则，甲方不承担因账户信息有误等原因造成的延期付款责任。</w:t>
      </w:r>
    </w:p>
    <w:p w14:paraId="6411AA7D">
      <w:pPr>
        <w:keepNext w:val="0"/>
        <w:keepLines w:val="0"/>
        <w:pageBreakBefore w:val="0"/>
        <w:kinsoku/>
        <w:wordWrap/>
        <w:bidi w:val="0"/>
        <w:spacing w:line="360" w:lineRule="auto"/>
      </w:pPr>
      <w:r>
        <w:rPr>
          <w:rFonts w:hint="eastAsia" w:ascii="宋体" w:hAnsi="宋体" w:eastAsia="宋体" w:cs="宋体"/>
          <w:snapToGrid w:val="0"/>
          <w:color w:val="auto"/>
          <w:szCs w:val="24"/>
          <w:highlight w:val="none"/>
        </w:rPr>
        <w:t>（三）</w:t>
      </w:r>
      <w:r>
        <w:rPr>
          <w:rFonts w:hint="eastAsia" w:ascii="宋体" w:hAnsi="宋体" w:eastAsia="宋体" w:cs="宋体"/>
          <w:color w:val="auto"/>
          <w:szCs w:val="24"/>
          <w:highlight w:val="none"/>
        </w:rPr>
        <w:t>甲乙双方就用车服务价格进行协商可以根据市场状况、运营成本、税费等因素发生明显变化的对价格协商，乙方有权利适时向甲方提出定价申请。</w:t>
      </w:r>
      <w:r>
        <w:rPr>
          <w:rFonts w:hint="eastAsia" w:ascii="宋体" w:hAnsi="宋体" w:eastAsia="宋体" w:cs="宋体"/>
          <w:color w:val="auto"/>
          <w:szCs w:val="24"/>
          <w:highlight w:val="none"/>
          <w:lang w:val="en-US" w:eastAsia="zh-CN"/>
        </w:rPr>
        <w:t>如需对租赁价格进行调整，双方可另行签订补充协议。</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ì.">
    <w:altName w:val="宋体"/>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FB59C"/>
    <w:multiLevelType w:val="singleLevel"/>
    <w:tmpl w:val="8FEFB5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2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pPr>
    <w:rPr>
      <w:rFonts w:hint="eastAsia" w:ascii="..ì." w:hAnsi="..ì." w:eastAsia="..ì."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2025-12-18T02:59:25Z</dcterms:created>
  <dc:creator>Administrator</dc:creator>
  <cp:lastModifiedBy>燕子</cp:lastModifiedBy>
  <dcterms:modified xsi:type="dcterms:W3CDTF">2025-12-18T02:59:52Z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eyJoZGlkIjoiYjMwZGU0MTRkNDY2ZTZiMjQ1YTE0M2NiYTViN2JmM2YiLCJ1c2VySWQiOiI5MTIwMzg4MjQifQ==</vt:lpwstr>
  </property>
  <property fmtid="{D5CDD505-2E9C-101B-9397-08002B2CF9AE}" pid="4" name="ICV">
    <vt:lpwstr>3D8E39913C4543798F7B881EC11E708B_12</vt:lpwstr>
  </property>
</Properties>
</file>