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4BAA9">
      <w:pPr>
        <w:numPr>
          <w:numId w:val="0"/>
        </w:numPr>
        <w:jc w:val="center"/>
        <w:rPr>
          <w:rFonts w:hint="eastAsia" w:ascii="宋体" w:hAnsi="宋体" w:eastAsia="宋体" w:cs="宋体"/>
          <w:b/>
          <w:bCs/>
          <w:color w:val="auto"/>
          <w:sz w:val="32"/>
          <w:szCs w:val="32"/>
          <w:highlight w:val="none"/>
        </w:rPr>
      </w:pPr>
      <w:bookmarkStart w:id="4" w:name="_GoBack"/>
      <w:bookmarkEnd w:id="4"/>
      <w:r>
        <w:rPr>
          <w:rFonts w:hint="eastAsia" w:ascii="宋体" w:hAnsi="宋体" w:eastAsia="宋体" w:cs="宋体"/>
          <w:b/>
          <w:bCs/>
          <w:color w:val="auto"/>
          <w:sz w:val="32"/>
          <w:szCs w:val="32"/>
          <w:highlight w:val="none"/>
        </w:rPr>
        <w:t>采购内容及要求</w:t>
      </w:r>
    </w:p>
    <w:p w14:paraId="523B4BD1">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一、项目概况及解决方案</w:t>
      </w:r>
    </w:p>
    <w:p w14:paraId="131970E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生活饮用水卫生标准》（GB5749-2024），《西安市城市供水用水条例》，《西安市生活饮用水二次供水管理和卫生监督规定》等法律法规之规定，针对二次供水专家验收意见等要求，对《西安医学院第一附属医院项目二次供水竣工联合验收现场查验意见》做出以下改造：</w:t>
      </w:r>
    </w:p>
    <w:p w14:paraId="455A85D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存在问题一：生活水泵房生活水箱同侧进出水，造成死水区过大、循环差情况；</w:t>
      </w:r>
    </w:p>
    <w:p w14:paraId="653F9D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解决方案：</w:t>
      </w:r>
    </w:p>
    <w:p w14:paraId="41A43DA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1.核心改造动作：通过加装弯头与法兰焊接，沿水箱顶外沿侧部延伸至对角远点开孔进水，形成异侧进出水，从根本上解决死水区过大、循环差的问题。</w:t>
      </w:r>
    </w:p>
    <w:p w14:paraId="189FAD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2.进水系统优化：设置两路进水管道及配套控制阀门，实现进水双路控制，提升供水稳定性与检修灵活性。</w:t>
      </w:r>
    </w:p>
    <w:p w14:paraId="3F9FC8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问题二：依据给水标准、生活水泵房应设置入侵报警、水箱水位控制和溢流报警装置、及地面水浸报警；入侵报警（信号均需引入中控室或值班室）</w:t>
      </w:r>
    </w:p>
    <w:p w14:paraId="29FFCE5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一、核心安装改造目标</w:t>
      </w:r>
    </w:p>
    <w:p w14:paraId="02A14E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1.安防层面：为水泵房增设门禁入侵报警系统，实现非法闯入实时预警，保障设备及水质安全；</w:t>
      </w:r>
    </w:p>
    <w:p w14:paraId="4BE62D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2.液位管控层面：为水箱配置水位监测与溢流报警装置，实现液位实时监控、溢流提前干预，避免设备损坏与安全事故；</w:t>
      </w:r>
    </w:p>
    <w:p w14:paraId="432213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3.信号传输：所有安防及液位报警信号统一接入中控室或值班室，支持本地+远程双重预警。 所有探测器数据接入报警主机，主机部署于中控室，支持本地声光报警（声光报警器安装在中控室显眼位置）；配置远程推送功能，通过手机APP/短信绑定管理人员手机号，实现报警信息实时同步，确保快速响应。</w:t>
      </w:r>
    </w:p>
    <w:p w14:paraId="076878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问题三：储水设备需安装水质在线实时监测消毒设备。</w:t>
      </w:r>
    </w:p>
    <w:p w14:paraId="04F9CB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w:t>
      </w:r>
      <w:r>
        <w:rPr>
          <w:rFonts w:hint="eastAsia" w:ascii="宋体" w:hAnsi="宋体" w:eastAsia="宋体" w:cs="宋体"/>
          <w:color w:val="auto"/>
          <w:sz w:val="21"/>
          <w:szCs w:val="21"/>
          <w:highlight w:val="none"/>
          <w:lang w:eastAsia="zh-Hans"/>
        </w:rPr>
        <w:t>水质在线实时</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eastAsia="zh-Hans"/>
        </w:rPr>
        <w:t>及自动化消毒投药系统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通过</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eastAsia="zh-Hans"/>
        </w:rPr>
        <w:t>的</w:t>
      </w:r>
      <w:r>
        <w:rPr>
          <w:rFonts w:hint="eastAsia" w:ascii="宋体" w:hAnsi="宋体" w:eastAsia="宋体" w:cs="宋体"/>
          <w:color w:val="auto"/>
          <w:sz w:val="21"/>
          <w:szCs w:val="21"/>
          <w:highlight w:val="none"/>
          <w:lang w:val="en-US" w:eastAsia="zh-CN"/>
        </w:rPr>
        <w:t>水质</w:t>
      </w:r>
      <w:r>
        <w:rPr>
          <w:rFonts w:hint="eastAsia" w:ascii="宋体" w:hAnsi="宋体" w:eastAsia="宋体" w:cs="宋体"/>
          <w:color w:val="auto"/>
          <w:sz w:val="21"/>
          <w:szCs w:val="21"/>
          <w:highlight w:val="none"/>
        </w:rPr>
        <w:t>监测设备对水质的余氯含量进行</w:t>
      </w:r>
      <w:r>
        <w:rPr>
          <w:rFonts w:hint="eastAsia" w:ascii="宋体" w:hAnsi="宋体" w:eastAsia="宋体" w:cs="宋体"/>
          <w:color w:val="auto"/>
          <w:sz w:val="21"/>
          <w:szCs w:val="21"/>
          <w:highlight w:val="none"/>
          <w:lang w:eastAsia="zh-Hans"/>
        </w:rPr>
        <w:t>实时</w:t>
      </w:r>
      <w:r>
        <w:rPr>
          <w:rFonts w:hint="eastAsia" w:ascii="宋体" w:hAnsi="宋体" w:eastAsia="宋体" w:cs="宋体"/>
          <w:color w:val="auto"/>
          <w:sz w:val="21"/>
          <w:szCs w:val="21"/>
          <w:highlight w:val="none"/>
        </w:rPr>
        <w:t>监测，判断水质是否达标。</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配置加药系统，</w:t>
      </w:r>
      <w:r>
        <w:rPr>
          <w:rFonts w:hint="eastAsia" w:ascii="宋体" w:hAnsi="宋体" w:eastAsia="宋体" w:cs="宋体"/>
          <w:color w:val="auto"/>
          <w:sz w:val="21"/>
          <w:szCs w:val="21"/>
          <w:highlight w:val="none"/>
          <w:lang w:eastAsia="zh-Hans"/>
        </w:rPr>
        <w:t>当系统</w:t>
      </w:r>
      <w:r>
        <w:rPr>
          <w:rFonts w:hint="eastAsia" w:ascii="宋体" w:hAnsi="宋体" w:eastAsia="宋体" w:cs="宋体"/>
          <w:color w:val="auto"/>
          <w:sz w:val="21"/>
          <w:szCs w:val="21"/>
          <w:highlight w:val="none"/>
        </w:rPr>
        <w:t>检测水里</w:t>
      </w:r>
      <w:r>
        <w:rPr>
          <w:rFonts w:hint="eastAsia" w:ascii="宋体" w:hAnsi="宋体" w:eastAsia="宋体" w:cs="宋体"/>
          <w:color w:val="auto"/>
          <w:sz w:val="21"/>
          <w:szCs w:val="21"/>
          <w:highlight w:val="none"/>
          <w:lang w:val="en-US" w:eastAsia="zh-CN"/>
        </w:rPr>
        <w:t>指标</w:t>
      </w:r>
      <w:r>
        <w:rPr>
          <w:rFonts w:hint="eastAsia" w:ascii="宋体" w:hAnsi="宋体" w:eastAsia="宋体" w:cs="宋体"/>
          <w:color w:val="auto"/>
          <w:sz w:val="21"/>
          <w:szCs w:val="21"/>
          <w:highlight w:val="none"/>
          <w:lang w:eastAsia="zh-Hans"/>
        </w:rPr>
        <w:t>含量低于限定值时</w:t>
      </w:r>
      <w:r>
        <w:rPr>
          <w:rFonts w:hint="eastAsia" w:ascii="宋体" w:hAnsi="宋体" w:eastAsia="宋体" w:cs="宋体"/>
          <w:color w:val="auto"/>
          <w:sz w:val="21"/>
          <w:szCs w:val="21"/>
          <w:highlight w:val="none"/>
        </w:rPr>
        <w:t>，本地、远程开启或</w:t>
      </w:r>
      <w:r>
        <w:rPr>
          <w:rFonts w:hint="eastAsia" w:ascii="宋体" w:hAnsi="宋体" w:eastAsia="宋体" w:cs="宋体"/>
          <w:color w:val="auto"/>
          <w:sz w:val="21"/>
          <w:szCs w:val="21"/>
          <w:highlight w:val="none"/>
          <w:lang w:eastAsia="zh-Hans"/>
        </w:rPr>
        <w:t>设备</w:t>
      </w:r>
      <w:r>
        <w:rPr>
          <w:rFonts w:hint="eastAsia" w:ascii="宋体" w:hAnsi="宋体" w:eastAsia="宋体" w:cs="宋体"/>
          <w:color w:val="auto"/>
          <w:sz w:val="21"/>
          <w:szCs w:val="21"/>
          <w:highlight w:val="none"/>
        </w:rPr>
        <w:t>自动添加药剂，对</w:t>
      </w:r>
      <w:r>
        <w:rPr>
          <w:rFonts w:hint="eastAsia" w:ascii="宋体" w:hAnsi="宋体" w:eastAsia="宋体" w:cs="宋体"/>
          <w:color w:val="auto"/>
          <w:sz w:val="21"/>
          <w:szCs w:val="21"/>
          <w:highlight w:val="none"/>
          <w:lang w:eastAsia="zh-Hans"/>
        </w:rPr>
        <w:t>水箱</w:t>
      </w:r>
      <w:r>
        <w:rPr>
          <w:rFonts w:hint="eastAsia" w:ascii="宋体" w:hAnsi="宋体" w:eastAsia="宋体" w:cs="宋体"/>
          <w:color w:val="auto"/>
          <w:sz w:val="21"/>
          <w:szCs w:val="21"/>
          <w:highlight w:val="none"/>
        </w:rPr>
        <w:t>进行消毒灭菌工作，</w:t>
      </w:r>
      <w:r>
        <w:rPr>
          <w:rFonts w:hint="eastAsia" w:ascii="宋体" w:hAnsi="宋体" w:eastAsia="宋体" w:cs="宋体"/>
          <w:color w:val="auto"/>
          <w:sz w:val="21"/>
          <w:szCs w:val="21"/>
          <w:highlight w:val="none"/>
          <w:lang w:eastAsia="zh-Hans"/>
        </w:rPr>
        <w:t>确保出水水质</w:t>
      </w:r>
      <w:r>
        <w:rPr>
          <w:rFonts w:hint="eastAsia" w:ascii="宋体" w:hAnsi="宋体" w:eastAsia="宋体" w:cs="宋体"/>
          <w:color w:val="auto"/>
          <w:sz w:val="21"/>
          <w:szCs w:val="21"/>
          <w:highlight w:val="none"/>
        </w:rPr>
        <w:t>达到国家</w:t>
      </w:r>
      <w:r>
        <w:rPr>
          <w:rFonts w:hint="eastAsia" w:ascii="宋体" w:hAnsi="宋体" w:eastAsia="宋体" w:cs="宋体"/>
          <w:color w:val="auto"/>
          <w:sz w:val="21"/>
          <w:szCs w:val="21"/>
          <w:highlight w:val="none"/>
          <w:lang w:eastAsia="zh-Hans"/>
        </w:rPr>
        <w:t>GB5749-20</w:t>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Hans"/>
        </w:rPr>
        <w:t>生活饮用水标准</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主管部门及</w:t>
      </w:r>
      <w:r>
        <w:rPr>
          <w:rFonts w:hint="eastAsia" w:ascii="宋体" w:hAnsi="宋体" w:eastAsia="宋体" w:cs="宋体"/>
          <w:color w:val="auto"/>
          <w:sz w:val="21"/>
          <w:szCs w:val="21"/>
          <w:highlight w:val="none"/>
        </w:rPr>
        <w:t>卫生监督部门的相关管理要求。</w:t>
      </w:r>
    </w:p>
    <w:p w14:paraId="39A85F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水质的各类指标进行实时监测。借助物联网技术，监测传感技术，大数据分析技术，本地；远程开启或关闭投加设备，以毫秒级响应速度智慧运行。</w:t>
      </w:r>
    </w:p>
    <w:p w14:paraId="1E402D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sz w:val="21"/>
          <w:szCs w:val="21"/>
          <w:highlight w:val="none"/>
          <w:lang w:val="en-US"/>
        </w:rPr>
      </w:pPr>
      <w:r>
        <w:rPr>
          <w:rFonts w:hint="eastAsia"/>
          <w:color w:val="auto"/>
          <w:sz w:val="21"/>
          <w:szCs w:val="21"/>
          <w:highlight w:val="none"/>
          <w:lang w:val="en-US"/>
        </w:rPr>
        <w:t>由乙方办理验收通过手续，确保该项目整改结果通过西安市供水管理中心《二次供水竣工验收》，并将相关材料向相关主管部门移交。</w:t>
      </w:r>
    </w:p>
    <w:p w14:paraId="1ADB8BBA">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二、改造内容</w:t>
      </w:r>
    </w:p>
    <w:p w14:paraId="763565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1、生活水箱改造</w:t>
      </w:r>
    </w:p>
    <w:p w14:paraId="2AB343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2、水泵机组改造：压力表调试及维修一项</w:t>
      </w:r>
    </w:p>
    <w:p w14:paraId="53149A8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3、报警装置工程改造内容：入侵报警系统一项：水箱水位控制和溢流报警装置一项：入侵报警（信号均需引入中控室或值班室）及地面水浸报警；</w:t>
      </w:r>
    </w:p>
    <w:p w14:paraId="590D59F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4、管网末端改造</w:t>
      </w:r>
    </w:p>
    <w:p w14:paraId="1BEFF64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5、泄水管及溢流管改造： 泄水管及溢流管改造一项</w:t>
      </w:r>
    </w:p>
    <w:p w14:paraId="3CBB53F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6、实时监测消毒设备：</w:t>
      </w:r>
      <w:r>
        <w:rPr>
          <w:rFonts w:hint="eastAsia" w:ascii="宋体" w:hAnsi="宋体" w:eastAsia="宋体" w:cs="宋体"/>
          <w:b w:val="0"/>
          <w:bCs w:val="0"/>
          <w:color w:val="auto"/>
          <w:sz w:val="21"/>
          <w:szCs w:val="21"/>
          <w:highlight w:val="none"/>
          <w:lang w:eastAsia="zh-Hans"/>
        </w:rPr>
        <w:t>水质在线实时</w:t>
      </w:r>
      <w:r>
        <w:rPr>
          <w:rFonts w:hint="eastAsia" w:ascii="宋体" w:hAnsi="宋体" w:eastAsia="宋体" w:cs="宋体"/>
          <w:b w:val="0"/>
          <w:bCs w:val="0"/>
          <w:color w:val="auto"/>
          <w:sz w:val="21"/>
          <w:szCs w:val="21"/>
          <w:highlight w:val="none"/>
        </w:rPr>
        <w:t>监测</w:t>
      </w:r>
      <w:r>
        <w:rPr>
          <w:rFonts w:hint="eastAsia" w:ascii="宋体" w:hAnsi="宋体" w:eastAsia="宋体" w:cs="宋体"/>
          <w:b w:val="0"/>
          <w:bCs w:val="0"/>
          <w:color w:val="auto"/>
          <w:sz w:val="21"/>
          <w:szCs w:val="21"/>
          <w:highlight w:val="none"/>
          <w:lang w:eastAsia="zh-Hans"/>
        </w:rPr>
        <w:t>及自动化消毒投药系统</w:t>
      </w:r>
      <w:r>
        <w:rPr>
          <w:rFonts w:hint="eastAsia" w:ascii="宋体" w:hAnsi="宋体" w:eastAsia="宋体" w:cs="宋体"/>
          <w:b w:val="0"/>
          <w:bCs w:val="0"/>
          <w:color w:val="auto"/>
          <w:sz w:val="21"/>
          <w:szCs w:val="21"/>
          <w:highlight w:val="none"/>
          <w:lang w:val="en-US" w:eastAsia="zh-CN"/>
        </w:rPr>
        <w:t>一套。</w:t>
      </w:r>
    </w:p>
    <w:p w14:paraId="36ED19E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7、水泵房各项管理制度一项。</w:t>
      </w:r>
    </w:p>
    <w:p w14:paraId="4DAC0776">
      <w:pP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商务要求</w:t>
      </w:r>
    </w:p>
    <w:p w14:paraId="1FC08684">
      <w:pPr>
        <w:widowControl/>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1、合同工期：</w:t>
      </w:r>
      <w:bookmarkStart w:id="0" w:name="OLE_LINK16"/>
      <w:bookmarkStart w:id="1" w:name="OLE_LINK15"/>
      <w:r>
        <w:rPr>
          <w:rFonts w:hint="eastAsia" w:ascii="宋体" w:hAnsi="宋体" w:eastAsia="宋体" w:cs="宋体"/>
          <w:bCs/>
          <w:color w:val="auto"/>
          <w:kern w:val="0"/>
          <w:sz w:val="21"/>
          <w:szCs w:val="21"/>
          <w:highlight w:val="none"/>
        </w:rPr>
        <w:t>自接到甲方通知之日起</w:t>
      </w:r>
      <w:r>
        <w:rPr>
          <w:rFonts w:hint="eastAsia" w:ascii="宋体" w:hAnsi="宋体" w:eastAsia="宋体" w:cs="宋体"/>
          <w:bCs/>
          <w:color w:val="auto"/>
          <w:kern w:val="0"/>
          <w:sz w:val="21"/>
          <w:szCs w:val="21"/>
          <w:highlight w:val="none"/>
          <w:lang w:val="en-US" w:eastAsia="zh-CN"/>
        </w:rPr>
        <w:t>14</w:t>
      </w:r>
      <w:r>
        <w:rPr>
          <w:rFonts w:hint="eastAsia" w:ascii="宋体" w:hAnsi="宋体" w:eastAsia="宋体" w:cs="宋体"/>
          <w:bCs/>
          <w:color w:val="auto"/>
          <w:kern w:val="0"/>
          <w:sz w:val="21"/>
          <w:szCs w:val="21"/>
          <w:highlight w:val="none"/>
        </w:rPr>
        <w:t>日历日内完成。</w:t>
      </w:r>
      <w:bookmarkEnd w:id="0"/>
      <w:bookmarkEnd w:id="1"/>
    </w:p>
    <w:p w14:paraId="414ACBC6">
      <w:pPr>
        <w:widowControl/>
        <w:spacing w:line="360" w:lineRule="auto"/>
        <w:ind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2、付款方式</w:t>
      </w:r>
      <w:r>
        <w:rPr>
          <w:rFonts w:hint="eastAsia" w:ascii="宋体" w:hAnsi="宋体" w:eastAsia="宋体" w:cs="宋体"/>
          <w:bCs/>
          <w:color w:val="auto"/>
          <w:kern w:val="0"/>
          <w:sz w:val="21"/>
          <w:szCs w:val="21"/>
          <w:highlight w:val="none"/>
          <w:lang w:eastAsia="zh-CN"/>
        </w:rPr>
        <w:t>：</w:t>
      </w:r>
      <w:bookmarkStart w:id="2" w:name="OLE_LINK14"/>
      <w:bookmarkStart w:id="3" w:name="OLE_LINK12"/>
    </w:p>
    <w:p w14:paraId="079D9E89">
      <w:pPr>
        <w:widowControl/>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（1）项目完工并验收合格后支付合同总价的75%，</w:t>
      </w:r>
    </w:p>
    <w:p w14:paraId="4EBBF3FA">
      <w:pPr>
        <w:widowControl/>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（2）审计结束，资料归档支付至审计结算总价的97%，</w:t>
      </w:r>
    </w:p>
    <w:p w14:paraId="6957866A">
      <w:pPr>
        <w:widowControl/>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（3）验收合格满</w:t>
      </w:r>
      <w:r>
        <w:rPr>
          <w:rFonts w:hint="eastAsia" w:ascii="宋体" w:hAnsi="宋体" w:eastAsia="宋体" w:cs="宋体"/>
          <w:bCs/>
          <w:color w:val="auto"/>
          <w:sz w:val="21"/>
          <w:szCs w:val="21"/>
          <w:highlight w:val="none"/>
          <w:lang w:eastAsia="zh-CN"/>
        </w:rPr>
        <w:t>贰</w:t>
      </w:r>
      <w:r>
        <w:rPr>
          <w:rFonts w:hint="eastAsia" w:ascii="宋体" w:hAnsi="宋体" w:eastAsia="宋体" w:cs="宋体"/>
          <w:bCs/>
          <w:color w:val="auto"/>
          <w:sz w:val="21"/>
          <w:szCs w:val="21"/>
          <w:highlight w:val="none"/>
        </w:rPr>
        <w:t>年后支付至审计结算总价的100%。</w:t>
      </w:r>
    </w:p>
    <w:p w14:paraId="26EE12A3">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3、质量要求：</w:t>
      </w:r>
    </w:p>
    <w:p w14:paraId="10D4F18D">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3.1 </w:t>
      </w:r>
      <w:r>
        <w:rPr>
          <w:rFonts w:hint="eastAsia" w:ascii="宋体" w:hAnsi="宋体" w:eastAsia="宋体" w:cs="宋体"/>
          <w:bCs/>
          <w:color w:val="auto"/>
          <w:kern w:val="0"/>
          <w:sz w:val="21"/>
          <w:szCs w:val="21"/>
          <w:highlight w:val="none"/>
          <w:lang w:val="en-US" w:eastAsia="zh-CN"/>
        </w:rPr>
        <w:t>投标人所供货物须是原品牌制造厂商制造的且经过办理正常手续的全新产品。所供货物是经过国家法定检验、注册、准许市场销售的合法产品。货物性能稳定、具有较好的使用效果，质量保证措施完善，且权属清楚，不得侵害他人的知识产权。</w:t>
      </w:r>
    </w:p>
    <w:p w14:paraId="64F296EE">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rPr>
        <w:t>3.2</w:t>
      </w:r>
      <w:r>
        <w:rPr>
          <w:rFonts w:hint="eastAsia" w:ascii="宋体" w:hAnsi="宋体" w:eastAsia="宋体" w:cs="宋体"/>
          <w:color w:val="auto"/>
          <w:kern w:val="0"/>
          <w:sz w:val="21"/>
          <w:szCs w:val="21"/>
          <w:highlight w:val="none"/>
        </w:rPr>
        <w:t>采购人使用产品过程中因产品质量、产品缺陷及安装质量等造成人身伤亡、财产损失的，由供应商负责解决并承担全部责任。</w:t>
      </w:r>
    </w:p>
    <w:bookmarkEnd w:id="2"/>
    <w:bookmarkEnd w:id="3"/>
    <w:p w14:paraId="4537DFC7">
      <w:pPr>
        <w:widowControl/>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、质保期及质保保修要求</w:t>
      </w:r>
    </w:p>
    <w:p w14:paraId="3824131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（1）本工程整体自验收合格之日起质保2年，水电等隐蔽工程质保五年；</w:t>
      </w:r>
    </w:p>
    <w:p w14:paraId="653F78B8">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（2）质保期保修要求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属于保修范围和内容的项目，承包人应在接到维修通知后，</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天内派人维修。发生紧急抢修事故（如供电设施漏、断电等），承包人应在接到事故通知后</w:t>
      </w:r>
      <w:r>
        <w:rPr>
          <w:rFonts w:hint="eastAsia" w:ascii="宋体" w:hAnsi="宋体" w:eastAsia="宋体" w:cs="宋体"/>
          <w:bCs/>
          <w:color w:val="auto"/>
          <w:sz w:val="21"/>
          <w:szCs w:val="21"/>
          <w:highlight w:val="none"/>
          <w:u w:val="single"/>
        </w:rPr>
        <w:t xml:space="preserve"> 4 </w:t>
      </w:r>
      <w:r>
        <w:rPr>
          <w:rFonts w:hint="eastAsia" w:ascii="宋体" w:hAnsi="宋体" w:eastAsia="宋体" w:cs="宋体"/>
          <w:bCs/>
          <w:color w:val="auto"/>
          <w:sz w:val="21"/>
          <w:szCs w:val="21"/>
          <w:highlight w:val="none"/>
        </w:rPr>
        <w:t>小时内到达事故现场并于</w:t>
      </w:r>
      <w:r>
        <w:rPr>
          <w:rFonts w:hint="eastAsia" w:ascii="宋体" w:hAnsi="宋体" w:eastAsia="宋体" w:cs="宋体"/>
          <w:bCs/>
          <w:color w:val="auto"/>
          <w:sz w:val="21"/>
          <w:szCs w:val="21"/>
          <w:highlight w:val="none"/>
          <w:u w:val="single"/>
        </w:rPr>
        <w:t xml:space="preserve"> 12 </w:t>
      </w:r>
      <w:r>
        <w:rPr>
          <w:rFonts w:hint="eastAsia" w:ascii="宋体" w:hAnsi="宋体" w:eastAsia="宋体" w:cs="宋体"/>
          <w:bCs/>
          <w:color w:val="auto"/>
          <w:sz w:val="21"/>
          <w:szCs w:val="21"/>
          <w:highlight w:val="none"/>
        </w:rPr>
        <w:t>小时内完成应急维修。</w:t>
      </w:r>
    </w:p>
    <w:p w14:paraId="417939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、验收：（1）施工完成后，由供应商（施工单位）进行自检合格后，准备验收文件，并书面通知采购人。</w:t>
      </w:r>
      <w:r>
        <w:rPr>
          <w:rFonts w:hint="eastAsia" w:ascii="宋体" w:hAnsi="宋体" w:eastAsia="宋体" w:cs="宋体"/>
          <w:color w:val="auto"/>
          <w:sz w:val="21"/>
          <w:szCs w:val="21"/>
          <w:highlight w:val="none"/>
          <w:lang w:val="en-US" w:eastAsia="zh-CN"/>
        </w:rPr>
        <w:t>(2)供应商须办理相关手续（卫生许可证）并负责验收通过拿到验收合格证后，书面通知采购人进行最终验收。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）采购人确认供应商（施工单位）工程质量能够达到招标要求后，组织供应商（施工单位）进行项目验收，验收合格后，填写项目验收单作为对项目的最终认可</w:t>
      </w:r>
      <w:r>
        <w:rPr>
          <w:rFonts w:hint="eastAsia" w:ascii="宋体" w:hAnsi="宋体" w:eastAsia="宋体" w:cs="宋体"/>
          <w:color w:val="auto"/>
          <w:sz w:val="21"/>
          <w:szCs w:val="21"/>
          <w:highlight w:val="none"/>
          <w:lang w:val="en-US" w:eastAsia="zh-CN"/>
        </w:rPr>
        <w:t>。</w:t>
      </w:r>
    </w:p>
    <w:p w14:paraId="771D7C57">
      <w:pPr>
        <w:spacing w:line="360" w:lineRule="auto"/>
        <w:rPr>
          <w:rFonts w:ascii="宋体" w:hAnsi="宋体"/>
          <w:b/>
          <w:bCs/>
          <w:color w:val="auto"/>
          <w:kern w:val="0"/>
          <w:sz w:val="24"/>
          <w:highlight w:val="none"/>
        </w:rPr>
      </w:pPr>
      <w:r>
        <w:rPr>
          <w:rFonts w:hint="eastAsia" w:ascii="宋体" w:hAnsi="宋体"/>
          <w:b/>
          <w:bCs/>
          <w:color w:val="auto"/>
          <w:kern w:val="0"/>
          <w:sz w:val="24"/>
          <w:highlight w:val="none"/>
        </w:rPr>
        <w:t>四、其他要求</w:t>
      </w:r>
    </w:p>
    <w:p w14:paraId="779398CD">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val="en-US" w:eastAsia="zh-CN"/>
        </w:rPr>
        <w:t>项目实施</w:t>
      </w:r>
      <w:r>
        <w:rPr>
          <w:rFonts w:hint="eastAsia" w:ascii="宋体" w:hAnsi="宋体" w:eastAsia="宋体" w:cs="宋体"/>
          <w:bCs/>
          <w:color w:val="auto"/>
          <w:kern w:val="0"/>
          <w:sz w:val="21"/>
          <w:szCs w:val="21"/>
          <w:highlight w:val="none"/>
        </w:rPr>
        <w:t>期间保证室内主体结构、设施设备完好，因</w:t>
      </w:r>
      <w:r>
        <w:rPr>
          <w:rFonts w:hint="eastAsia" w:ascii="宋体" w:hAnsi="宋体" w:eastAsia="宋体" w:cs="宋体"/>
          <w:bCs/>
          <w:color w:val="auto"/>
          <w:kern w:val="0"/>
          <w:sz w:val="21"/>
          <w:szCs w:val="21"/>
          <w:highlight w:val="none"/>
          <w:lang w:val="en-US" w:eastAsia="zh-CN"/>
        </w:rPr>
        <w:t>实施</w:t>
      </w:r>
      <w:r>
        <w:rPr>
          <w:rFonts w:hint="eastAsia" w:ascii="宋体" w:hAnsi="宋体" w:eastAsia="宋体" w:cs="宋体"/>
          <w:bCs/>
          <w:color w:val="auto"/>
          <w:kern w:val="0"/>
          <w:sz w:val="21"/>
          <w:szCs w:val="21"/>
          <w:highlight w:val="none"/>
        </w:rPr>
        <w:t>不当造成的危害、设施设备损坏由</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单位无偿修复。</w:t>
      </w:r>
    </w:p>
    <w:p w14:paraId="79FFD91E">
      <w:pPr>
        <w:snapToGrid w:val="0"/>
        <w:spacing w:line="360" w:lineRule="auto"/>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投标人提供设备、材料及部件须是原品牌制造厂商制造的且经过办理正常手续的全新产品。所供货物是经过国家法定检验、注册、准许市场销售的合法产品。货物性能稳定、具有较好的使用效果，质量保证措施完善，且权属清楚，不得侵害他人的知识产权。</w:t>
      </w:r>
    </w:p>
    <w:p w14:paraId="09F5D57A">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设备</w:t>
      </w:r>
      <w:r>
        <w:rPr>
          <w:rFonts w:hint="eastAsia" w:ascii="宋体" w:hAnsi="宋体" w:eastAsia="宋体" w:cs="宋体"/>
          <w:bCs/>
          <w:color w:val="auto"/>
          <w:kern w:val="0"/>
          <w:sz w:val="21"/>
          <w:szCs w:val="21"/>
          <w:highlight w:val="none"/>
        </w:rPr>
        <w:t>到货经采购方施工现场负责人核对无误后，方可进行施工。</w:t>
      </w:r>
    </w:p>
    <w:p w14:paraId="7F95FB01">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4.现场施工应结合具体施工条件，对重大问题，经采购方同意后方可实施。</w:t>
      </w:r>
    </w:p>
    <w:p w14:paraId="4513D657">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5.其他不详之处，请参照有关国家标准规范执行。</w:t>
      </w:r>
    </w:p>
    <w:p w14:paraId="17AD562F">
      <w:pPr>
        <w:snapToGrid w:val="0"/>
        <w:spacing w:line="360" w:lineRule="auto"/>
        <w:ind w:firstLine="420" w:firstLineChars="200"/>
        <w:rPr>
          <w:rFonts w:hint="eastAsia" w:ascii="宋体" w:hAnsi="宋体" w:eastAsia="宋体" w:cs="宋体"/>
          <w:bCs/>
          <w:color w:val="auto"/>
          <w:kern w:val="0"/>
          <w:sz w:val="21"/>
          <w:szCs w:val="21"/>
          <w:highlight w:val="none"/>
        </w:rPr>
      </w:pPr>
    </w:p>
    <w:p w14:paraId="7CD17787">
      <w:pPr>
        <w:snapToGrid w:val="0"/>
        <w:spacing w:line="360" w:lineRule="auto"/>
        <w:ind w:firstLine="420" w:firstLineChars="200"/>
        <w:rPr>
          <w:rFonts w:hint="eastAsia" w:ascii="宋体" w:hAnsi="宋体" w:eastAsia="宋体" w:cs="宋体"/>
          <w:bCs/>
          <w:color w:val="auto"/>
          <w:kern w:val="0"/>
          <w:sz w:val="21"/>
          <w:szCs w:val="21"/>
          <w:highlight w:val="none"/>
        </w:rPr>
      </w:pPr>
    </w:p>
    <w:p w14:paraId="3E32FD75">
      <w:pPr>
        <w:snapToGrid w:val="0"/>
        <w:spacing w:line="360" w:lineRule="auto"/>
        <w:ind w:firstLine="420" w:firstLineChars="200"/>
        <w:rPr>
          <w:rFonts w:hint="eastAsia" w:ascii="宋体" w:hAnsi="宋体" w:eastAsia="宋体" w:cs="宋体"/>
          <w:bCs/>
          <w:color w:val="auto"/>
          <w:kern w:val="0"/>
          <w:sz w:val="21"/>
          <w:szCs w:val="21"/>
          <w:highlight w:val="none"/>
        </w:rPr>
      </w:pPr>
      <w:r>
        <w:rPr>
          <w:color w:val="auto"/>
          <w:highlight w:val="none"/>
        </w:rPr>
        <w:drawing>
          <wp:inline distT="0" distB="0" distL="114300" distR="114300">
            <wp:extent cx="5268595" cy="8250555"/>
            <wp:effectExtent l="0" t="0" r="825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8250555"/>
                    </a:xfrm>
                    <a:prstGeom prst="rect">
                      <a:avLst/>
                    </a:prstGeom>
                    <a:noFill/>
                    <a:ln>
                      <a:noFill/>
                    </a:ln>
                  </pic:spPr>
                </pic:pic>
              </a:graphicData>
            </a:graphic>
          </wp:inline>
        </w:drawing>
      </w:r>
    </w:p>
    <w:p w14:paraId="04939D85">
      <w:pPr>
        <w:widowControl/>
        <w:spacing w:line="360" w:lineRule="auto"/>
        <w:ind w:firstLine="480" w:firstLineChars="200"/>
        <w:jc w:val="left"/>
        <w:rPr>
          <w:rFonts w:hint="eastAsia" w:ascii="宋体" w:hAnsi="宋体" w:cs="宋体"/>
          <w:color w:val="auto"/>
          <w:kern w:val="0"/>
          <w:sz w:val="24"/>
          <w:highlight w:val="none"/>
        </w:rPr>
      </w:pPr>
    </w:p>
    <w:p w14:paraId="5BB8276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2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2025-12-18T02:36:33Z</dcterms:created>
  <dc:creator>杨光</dc:creator>
  <cp:lastModifiedBy>亿诚</cp:lastModifiedBy>
  <dcterms:modified xsi:type="dcterms:W3CDTF">2025-12-18T02:36:50Z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eyJoZGlkIjoiM2NmYTlkNmQyOWE5NjNjOWY3Y2ZiMGFkYTc1MDQ4YzciLCJ1c2VySWQiOiIxNjk5OTM3MzU2In0=</vt:lpwstr>
  </property>
  <property fmtid="{D5CDD505-2E9C-101B-9397-08002B2CF9AE}" pid="4" name="ICV">
    <vt:lpwstr>5150DD62984B4238AB85DCF311DD2B1C_12</vt:lpwstr>
  </property>
</Properties>
</file>