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版本号：CGZC-2025-078、XBZB-2025-095.20251204001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建设工程质量及特种起重设备检测服务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CGZC-2025-078、XBZB-2025-095.</w:t>
      </w:r>
      <w:r>
        <w:br/>
      </w:r>
      <w:r>
        <w:br/>
      </w:r>
      <w:r>
        <w:br/>
      </w:r>
    </w:p>
    <w:p>
      <w:pPr>
        <w:pStyle w:val="null3"/>
        <w:jc w:val="center"/>
        <w:outlineLvl w:val="2"/>
      </w:pPr>
      <w:r>
        <w:rPr>
          <w:rFonts w:ascii="仿宋_GB2312" w:hAnsi="仿宋_GB2312" w:cs="仿宋_GB2312" w:eastAsia="仿宋_GB2312"/>
          <w:sz w:val="28"/>
          <w:b/>
        </w:rPr>
        <w:t>西安浐灞国际港住房和城乡建设局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西安浐灞国际港住房和城乡建设局</w:t>
      </w:r>
      <w:r>
        <w:rPr>
          <w:rFonts w:ascii="仿宋_GB2312" w:hAnsi="仿宋_GB2312" w:cs="仿宋_GB2312" w:eastAsia="仿宋_GB2312"/>
        </w:rPr>
        <w:t>委托，拟对</w:t>
      </w:r>
      <w:r>
        <w:rPr>
          <w:rFonts w:ascii="仿宋_GB2312" w:hAnsi="仿宋_GB2312" w:cs="仿宋_GB2312" w:eastAsia="仿宋_GB2312"/>
        </w:rPr>
        <w:t>建设工程质量及特种起重设备检测服务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CGZC-2025-078、XBZB-2025-095.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建设工程质量及特种起重设备检测服务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采购包1（建设工程质量检测）：属于专门面向中小企业采购。</w:t>
      </w:r>
    </w:p>
    <w:p>
      <w:pPr>
        <w:pStyle w:val="null3"/>
      </w:pPr>
      <w:r>
        <w:rPr>
          <w:rFonts w:ascii="仿宋_GB2312" w:hAnsi="仿宋_GB2312" w:cs="仿宋_GB2312" w:eastAsia="仿宋_GB2312"/>
        </w:rPr>
        <w:t>采购包2（特种起重设备检测）：属于专门面向中小企业采购。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被授权人参加磋商，须提供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2、企业资质：供应商需具有建设工程质量检测机构资质证书（检测范围需包含房屋建筑土建工程建筑材料、构配件进场见证取样检测、民用建筑节能检测、民用建筑工程室内环境污染检测、主体结构工程检测）或建设工程质量检测机构资质综合资质或建设工程质量检测机构资质专项资质（专项资质包括：建筑材料及构配件、主体结构及装饰装修、钢结构、建筑节能）</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被授权人参加磋商，须提供法定代表人授权书（附法定代表人、被授权人身份证复印件以及被授权人近三个月任意一个月在本单位的社保凭证）；法定代表人直接参加磋商，须提供法定代表人身份证明</w:t>
      </w:r>
    </w:p>
    <w:p>
      <w:pPr>
        <w:pStyle w:val="null3"/>
      </w:pPr>
      <w:r>
        <w:rPr>
          <w:rFonts w:ascii="仿宋_GB2312" w:hAnsi="仿宋_GB2312" w:cs="仿宋_GB2312" w:eastAsia="仿宋_GB2312"/>
        </w:rPr>
        <w:t>2、企业资质：企业资质：供应商须具备持有质量技术监督部门颁发的CMA计量认证合格证书及质量技术监督部门颁发的特种设备检验检测机构核准证书且在有效期内。</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029-83346932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张戈、王富敏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13299036777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代理服务费收费标准：参照国家计委颁布的《招标代理服务收费管理暂行办法》（计价格[2002]1980号）及发改办价格[2003]857号文件的规定标准收取。每包不足6000元的，按6000元计算。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西安浐灞国际港住房和城乡建设局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联系人：张戈、王富敏</w:t>
      </w:r>
    </w:p>
    <w:p>
      <w:pPr>
        <w:pStyle w:val="null3"/>
      </w:pPr>
      <w:r>
        <w:rPr>
          <w:rFonts w:ascii="仿宋_GB2312" w:hAnsi="仿宋_GB2312" w:cs="仿宋_GB2312" w:eastAsia="仿宋_GB2312"/>
        </w:rPr>
        <w:t>联系电话：13299036777</w:t>
      </w:r>
    </w:p>
    <w:p>
      <w:pPr>
        <w:pStyle w:val="null3"/>
      </w:pPr>
      <w:r>
        <w:rPr>
          <w:rFonts w:ascii="仿宋_GB2312" w:hAnsi="仿宋_GB2312" w:cs="仿宋_GB2312" w:eastAsia="仿宋_GB2312"/>
        </w:rPr>
        <w:t>地址：陕西省西安市碑林区长安国际F座17层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建设工程质量及特种起重设备检测服务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建设工程质量检测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特种起重设备检测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标的名称：建设工程质量检测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一、服务内容</w:t>
            </w:r>
            <w:r>
              <w:rPr>
                <w:rFonts w:ascii="仿宋_GB2312" w:hAnsi="仿宋_GB2312" w:cs="仿宋_GB2312" w:eastAsia="仿宋_GB2312"/>
                <w:sz w:val="21"/>
              </w:rPr>
              <w:t>：原材料及构配件检测、主体结构工程现场检测、钢结构工程检测等，并根据检测结果出具符合相关规范要求规检测报告。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1）供应商按国家有关法律法规，现行实施的国家、省市有关技术规范和规定标准、规程，并根据工程项目建设情况，完成建设工程质量监督抽测技术服务。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2）质量检测单位通过现场取样后进行检测、评估、鉴定。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3）检测结束后及时对检测项目进行评价。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4）检测结束后10个日历日内出具合法有效的成果报告一式肆份，并对其报告的真实性负责。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5）协助配合工程设计、施工、监理、竣工及工程验收等工作，提供相关技术服务。</w:t>
            </w:r>
          </w:p>
          <w:tbl>
            <w:tblPr>
              <w:tblInd w:type="dxa" w:w="105"/>
              <w:tblBorders>
                <w:top w:val="none" w:color="000000" w:sz="4"/>
                <w:left w:val="none" w:color="000000" w:sz="4"/>
                <w:bottom w:val="none" w:color="000000" w:sz="4"/>
                <w:right w:val="none" w:color="000000" w:sz="4"/>
                <w:insideH w:val="none"/>
                <w:insideV w:val="none"/>
              </w:tblBorders>
            </w:tblPr>
            <w:tblGrid>
              <w:gridCol w:w="133"/>
              <w:gridCol w:w="348"/>
              <w:gridCol w:w="667"/>
              <w:gridCol w:w="912"/>
              <w:gridCol w:w="240"/>
              <w:gridCol w:w="252"/>
            </w:tblGrid>
            <w:tr>
              <w:tc>
                <w:tcPr>
                  <w:tcW w:type="dxa" w:w="2552"/>
                  <w:gridSpan w:val="6"/>
                  <w:tcBorders>
                    <w:top w:val="none" w:color="000000" w:sz="4"/>
                    <w:left w:val="none" w:color="000000" w:sz="4"/>
                    <w:bottom w:val="single" w:color="000000" w:sz="4"/>
                    <w:right w:val="non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b/>
                    </w:rPr>
                    <w:t>房建项目抽检参数明细</w:t>
                  </w:r>
                </w:p>
              </w:tc>
            </w:tr>
            <w:tr>
              <w:tc>
                <w:tcPr>
                  <w:tcW w:type="dxa" w:w="1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序号</w:t>
                  </w:r>
                </w:p>
              </w:tc>
              <w:tc>
                <w:tcPr>
                  <w:tcW w:type="dxa" w:w="34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检测类别</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委托检测名称</w:t>
                  </w:r>
                </w:p>
              </w:tc>
              <w:tc>
                <w:tcPr>
                  <w:tcW w:type="dxa" w:w="91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检测项目</w:t>
                  </w:r>
                </w:p>
              </w:tc>
              <w:tc>
                <w:tcPr>
                  <w:tcW w:type="dxa" w:w="24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单位</w:t>
                  </w:r>
                </w:p>
              </w:tc>
              <w:tc>
                <w:tcPr>
                  <w:tcW w:type="dxa" w:w="2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数量</w:t>
                  </w:r>
                </w:p>
              </w:tc>
            </w:tr>
            <w:tr>
              <w:tc>
                <w:tcPr>
                  <w:tcW w:type="dxa" w:w="133"/>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w:t>
                  </w:r>
                </w:p>
              </w:tc>
              <w:tc>
                <w:tcPr>
                  <w:tcW w:type="dxa" w:w="348"/>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原材料及构配件</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钢筋原材料</w:t>
                  </w:r>
                </w:p>
                <w:p>
                  <w:pPr>
                    <w:pStyle w:val="null3"/>
                    <w:jc w:val="both"/>
                  </w:pPr>
                  <w:r>
                    <w:rPr>
                      <w:rFonts w:ascii="仿宋_GB2312" w:hAnsi="仿宋_GB2312" w:cs="仿宋_GB2312" w:eastAsia="仿宋_GB2312"/>
                      <w:sz w:val="21"/>
                    </w:rPr>
                    <w:t>（各种规格）</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抗拉强度、屈服强度、伸长率、弯曲、重量偏差</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钢筋焊接与机械连接</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力学性能</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混凝土外加剂</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含气量、减水率、沁水率</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立方体抗压强度</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普通混凝土配合比设计</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抗渗性</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砂浆</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砌筑砂浆配合比设计</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vMerge/>
                  <w:tcBorders>
                    <w:top w:val="none" w:color="000000" w:sz="4"/>
                    <w:left w:val="none" w:color="000000" w:sz="4"/>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立方体抗压强度</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组</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60</w:t>
                  </w:r>
                </w:p>
              </w:tc>
            </w:tr>
            <w:tr>
              <w:tc>
                <w:tcPr>
                  <w:tcW w:type="dxa" w:w="133"/>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2</w:t>
                  </w:r>
                </w:p>
              </w:tc>
              <w:tc>
                <w:tcPr>
                  <w:tcW w:type="dxa" w:w="348"/>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主体结构工程现场检测</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混凝土强度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测区</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混凝土碳化深度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测区</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tcBorders>
                    <w:top w:val="none" w:color="000000" w:sz="4"/>
                    <w:left w:val="single" w:color="000000" w:sz="4"/>
                    <w:bottom w:val="none" w:color="000000" w:sz="4"/>
                    <w:right w:val="single" w:color="000000" w:sz="4"/>
                  </w:tcBorders>
                </w:tcPr>
                <w:p/>
              </w:tc>
              <w:tc>
                <w:tcPr>
                  <w:tcW w:type="dxa" w:w="348"/>
                  <w:vMerge/>
                  <w:tcBorders>
                    <w:top w:val="none" w:color="000000" w:sz="4"/>
                    <w:left w:val="none" w:color="000000" w:sz="4"/>
                    <w:bottom w:val="non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钢筋位置及保护层</w:t>
                  </w:r>
                </w:p>
                <w:p>
                  <w:pPr>
                    <w:pStyle w:val="null3"/>
                    <w:jc w:val="both"/>
                  </w:pPr>
                  <w:r>
                    <w:rPr>
                      <w:rFonts w:ascii="仿宋_GB2312" w:hAnsi="仿宋_GB2312" w:cs="仿宋_GB2312" w:eastAsia="仿宋_GB2312"/>
                      <w:sz w:val="21"/>
                    </w:rPr>
                    <w:t>厚度</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点</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1100</w:t>
                  </w:r>
                </w:p>
              </w:tc>
            </w:tr>
            <w:tr>
              <w:tc>
                <w:tcPr>
                  <w:tcW w:type="dxa" w:w="13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3</w:t>
                  </w:r>
                </w:p>
              </w:tc>
              <w:tc>
                <w:tcPr>
                  <w:tcW w:type="dxa" w:w="348"/>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钢结构工程检测</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钢结构焊接质量无损检测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平方米</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r>
              <w:tc>
                <w:tcPr>
                  <w:tcW w:type="dxa" w:w="133"/>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钢结构防腐及防火涂装检测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现场检测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构件</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r>
              <w:tc>
                <w:tcPr>
                  <w:tcW w:type="dxa" w:w="133"/>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钢结构节点、机械连接用紧固标准件及高强度螺栓力学性能检测</w:t>
                  </w:r>
                </w:p>
              </w:tc>
              <w:tc>
                <w:tcPr>
                  <w:tcW w:type="dxa" w:w="91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力学性能检测</w:t>
                  </w:r>
                </w:p>
              </w:tc>
              <w:tc>
                <w:tcPr>
                  <w:tcW w:type="dxa" w:w="24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构件</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70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1、国家标准《建筑结构检测技术标准》（GB/T50344-2019）</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国家标准《混凝土结构工程施工质量验收规范》（</w:t>
            </w:r>
            <w:r>
              <w:rPr>
                <w:rFonts w:ascii="仿宋_GB2312" w:hAnsi="仿宋_GB2312" w:cs="仿宋_GB2312" w:eastAsia="仿宋_GB2312"/>
                <w:sz w:val="21"/>
              </w:rPr>
              <w:t>GB50204-2015）</w:t>
            </w:r>
          </w:p>
          <w:p>
            <w:pPr>
              <w:pStyle w:val="null3"/>
            </w:pPr>
            <w:r>
              <w:rPr>
                <w:rFonts w:ascii="仿宋_GB2312" w:hAnsi="仿宋_GB2312" w:cs="仿宋_GB2312" w:eastAsia="仿宋_GB2312"/>
                <w:sz w:val="21"/>
              </w:rPr>
              <w:t>3、</w:t>
            </w:r>
            <w:r>
              <w:rPr>
                <w:rFonts w:ascii="仿宋_GB2312" w:hAnsi="仿宋_GB2312" w:cs="仿宋_GB2312" w:eastAsia="仿宋_GB2312"/>
                <w:sz w:val="21"/>
              </w:rPr>
              <w:t>国家标准《钢结构工程施工质量验收标准》（</w:t>
            </w:r>
            <w:r>
              <w:rPr>
                <w:rFonts w:ascii="仿宋_GB2312" w:hAnsi="仿宋_GB2312" w:cs="仿宋_GB2312" w:eastAsia="仿宋_GB2312"/>
                <w:sz w:val="21"/>
              </w:rPr>
              <w:t>GB50205-2020）等相关规范、标准。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1、依据国家现行有效标准、规范以及双方的约定实施检测。</w:t>
            </w:r>
          </w:p>
          <w:p>
            <w:pPr>
              <w:pStyle w:val="null3"/>
              <w:jc w:val="both"/>
            </w:pPr>
            <w:r>
              <w:rPr>
                <w:rFonts w:ascii="仿宋_GB2312" w:hAnsi="仿宋_GB2312" w:cs="仿宋_GB2312" w:eastAsia="仿宋_GB2312"/>
                <w:sz w:val="21"/>
              </w:rPr>
              <w:t>2、及时组织检测人员进场；供应商拟定现场检测的期限为30个工作日，如因现场检测条件不具备等原因，检测期限顺延；</w:t>
            </w:r>
          </w:p>
          <w:p>
            <w:pPr>
              <w:pStyle w:val="null3"/>
              <w:jc w:val="both"/>
            </w:pPr>
            <w:r>
              <w:rPr>
                <w:rFonts w:ascii="仿宋_GB2312" w:hAnsi="仿宋_GB2312" w:cs="仿宋_GB2312" w:eastAsia="仿宋_GB2312"/>
                <w:sz w:val="21"/>
              </w:rPr>
              <w:t>3、所有原材需送样检测，由建设单位、监理单位、施工单位联合组织取样及送样工作。</w:t>
            </w:r>
          </w:p>
          <w:p>
            <w:pPr>
              <w:pStyle w:val="null3"/>
              <w:jc w:val="both"/>
            </w:pPr>
            <w:r>
              <w:rPr>
                <w:rFonts w:ascii="仿宋_GB2312" w:hAnsi="仿宋_GB2312" w:cs="仿宋_GB2312" w:eastAsia="仿宋_GB2312"/>
                <w:sz w:val="21"/>
              </w:rPr>
              <w:t>4、检测工作中出现特殊情况时，要及时与</w:t>
            </w:r>
            <w:r>
              <w:rPr>
                <w:rFonts w:ascii="仿宋_GB2312" w:hAnsi="仿宋_GB2312" w:cs="仿宋_GB2312" w:eastAsia="仿宋_GB2312"/>
                <w:sz w:val="21"/>
              </w:rPr>
              <w:t>采购人</w:t>
            </w:r>
            <w:r>
              <w:rPr>
                <w:rFonts w:ascii="仿宋_GB2312" w:hAnsi="仿宋_GB2312" w:cs="仿宋_GB2312" w:eastAsia="仿宋_GB2312"/>
                <w:sz w:val="21"/>
              </w:rPr>
              <w:t>沟通。</w:t>
            </w:r>
          </w:p>
          <w:p>
            <w:pPr>
              <w:pStyle w:val="null3"/>
              <w:jc w:val="both"/>
            </w:pPr>
            <w:r>
              <w:rPr>
                <w:rFonts w:ascii="仿宋_GB2312" w:hAnsi="仿宋_GB2312" w:cs="仿宋_GB2312" w:eastAsia="仿宋_GB2312"/>
                <w:sz w:val="21"/>
              </w:rPr>
              <w:t>5、检测结果不合格时应在一小时内反馈</w:t>
            </w:r>
            <w:r>
              <w:rPr>
                <w:rFonts w:ascii="仿宋_GB2312" w:hAnsi="仿宋_GB2312" w:cs="仿宋_GB2312" w:eastAsia="仿宋_GB2312"/>
                <w:sz w:val="21"/>
              </w:rPr>
              <w:t>采购人</w:t>
            </w:r>
            <w:r>
              <w:rPr>
                <w:rFonts w:ascii="仿宋_GB2312" w:hAnsi="仿宋_GB2312" w:cs="仿宋_GB2312" w:eastAsia="仿宋_GB2312"/>
                <w:sz w:val="21"/>
              </w:rPr>
              <w:t>。</w:t>
            </w:r>
          </w:p>
          <w:p>
            <w:pPr>
              <w:pStyle w:val="null3"/>
            </w:pPr>
            <w:r>
              <w:rPr>
                <w:rFonts w:ascii="仿宋_GB2312" w:hAnsi="仿宋_GB2312" w:cs="仿宋_GB2312" w:eastAsia="仿宋_GB2312"/>
                <w:sz w:val="21"/>
              </w:rPr>
              <w:t>6、出具的检验报告应符合国家现行有关标准、规范规定，并对报告的真实性、 有效性承担相应的法律责任。对</w:t>
            </w:r>
            <w:r>
              <w:rPr>
                <w:rFonts w:ascii="仿宋_GB2312" w:hAnsi="仿宋_GB2312" w:cs="仿宋_GB2312" w:eastAsia="仿宋_GB2312"/>
                <w:sz w:val="21"/>
              </w:rPr>
              <w:t>采购人</w:t>
            </w:r>
            <w:r>
              <w:rPr>
                <w:rFonts w:ascii="仿宋_GB2312" w:hAnsi="仿宋_GB2312" w:cs="仿宋_GB2312" w:eastAsia="仿宋_GB2312"/>
                <w:sz w:val="21"/>
              </w:rPr>
              <w:t>提供的工程设计文件、施工图及供应商提交的成果报告等一切与本工程有关的技术资料承担保管、保密责任。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1.合同价款:合同为固定单价合同。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甲方根据实际工作量据实结算。当实际结算金额不超过暂定合同价款时，以结算为准，当结算金额超过时，以暂定合同价款结算。检测工作全部完成，乙方提供成果资料后，甲方一次性向乙方支付检测费用；</w:t>
            </w:r>
          </w:p>
          <w:p>
            <w:pPr>
              <w:pStyle w:val="null3"/>
            </w:pPr>
            <w:r>
              <w:rPr>
                <w:rFonts w:ascii="仿宋_GB2312" w:hAnsi="仿宋_GB2312" w:cs="仿宋_GB2312" w:eastAsia="仿宋_GB2312"/>
                <w:sz w:val="21"/>
              </w:rPr>
              <w:t>5.</w:t>
            </w:r>
            <w:r>
              <w:rPr>
                <w:rFonts w:ascii="仿宋_GB2312" w:hAnsi="仿宋_GB2312" w:cs="仿宋_GB2312" w:eastAsia="仿宋_GB2312"/>
                <w:sz w:val="21"/>
              </w:rPr>
              <w:t>乙方申请付款前，须向甲方开具合法合规且符合甲方要求的等额增值税发票。否则，甲方有权拒绝向乙方支付相应款项且不承担逾期付款的违约责任。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标的名称：特种起重设备检测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对塔式起重机、施工升降机、附着式升降脚手架、高处作业吊篮等设备</w:t>
            </w:r>
            <w:r>
              <w:rPr>
                <w:rFonts w:ascii="仿宋_GB2312" w:hAnsi="仿宋_GB2312" w:cs="仿宋_GB2312" w:eastAsia="仿宋_GB2312"/>
                <w:sz w:val="21"/>
              </w:rPr>
              <w:t>按照国家和行业规范进行安全性能检查，公平公正的出具监督检测报告。详细内容如下：</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1191"/>
              <w:gridCol w:w="406"/>
              <w:gridCol w:w="444"/>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检测名称</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塔式起重机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施工升降机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附着式升降机脚手架</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高处作业吊篮</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《建筑施工升降设备设施检验标准》（</w:t>
            </w:r>
            <w:r>
              <w:rPr>
                <w:rFonts w:ascii="仿宋_GB2312" w:hAnsi="仿宋_GB2312" w:cs="仿宋_GB2312" w:eastAsia="仿宋_GB2312"/>
                <w:sz w:val="21"/>
              </w:rPr>
              <w:t>JGJ305-2013）</w:t>
            </w:r>
          </w:p>
          <w:p>
            <w:pPr>
              <w:pStyle w:val="null3"/>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塔式起重机操作使用规程</w:t>
            </w:r>
            <w:r>
              <w:rPr>
                <w:rFonts w:ascii="仿宋_GB2312" w:hAnsi="仿宋_GB2312" w:cs="仿宋_GB2312" w:eastAsia="仿宋_GB2312"/>
                <w:sz w:val="21"/>
              </w:rPr>
              <w:t>(JG/T 100-1999）</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.质量要求:符合国家有关现行规范、标准的要求。</w:t>
            </w:r>
          </w:p>
          <w:p>
            <w:pPr>
              <w:pStyle w:val="null3"/>
            </w:pPr>
            <w:r>
              <w:rPr>
                <w:rFonts w:ascii="仿宋_GB2312" w:hAnsi="仿宋_GB2312" w:cs="仿宋_GB2312" w:eastAsia="仿宋_GB2312"/>
                <w:sz w:val="21"/>
              </w:rPr>
              <w:t>2.合同签订后5日内完成检测服务机构组织组建运营，并完成机构人员安全、技术、廉洁纪律教育交底；按照采购人要求时间内，按照规定的检测项目、检测内容、检测数量和检测部位，完成项目检测任务，每日检测完毕后第二天向采购人提交当日检测情况记录和检测建议，发现严重安全隐患时立即停止检验工作并向采购人汇报；每月检测任务完毕后5日内提交检测汇总报告，报告内容包括检测情况统计、分析、建议和检测明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四、商务要求</w:t>
            </w:r>
          </w:p>
          <w:p>
            <w:pPr>
              <w:pStyle w:val="null3"/>
              <w:jc w:val="both"/>
            </w:pPr>
            <w:r>
              <w:rPr>
                <w:rFonts w:ascii="仿宋_GB2312" w:hAnsi="仿宋_GB2312" w:cs="仿宋_GB2312" w:eastAsia="仿宋_GB2312"/>
                <w:sz w:val="21"/>
              </w:rPr>
              <w:t>1.合同价款:合同为固定单价合同。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服务期</w:t>
            </w:r>
            <w:r>
              <w:rPr>
                <w:rFonts w:ascii="仿宋_GB2312" w:hAnsi="仿宋_GB2312" w:cs="仿宋_GB2312" w:eastAsia="仿宋_GB2312"/>
                <w:sz w:val="21"/>
              </w:rPr>
              <w:t>:合同签订之日起一年。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服务地点</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指定地点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甲方根据实际工作量据实结算。当实际结算金额不超过暂定合同价款时，以结算为准，当结算金额超过时，以暂定合同价款结算。检测工作全部完成，乙方提供成果资料后，甲方一次性向乙方支付检测费用；</w:t>
            </w:r>
          </w:p>
          <w:p>
            <w:pPr>
              <w:pStyle w:val="null3"/>
            </w:pPr>
            <w:r>
              <w:rPr>
                <w:rFonts w:ascii="仿宋_GB2312" w:hAnsi="仿宋_GB2312" w:cs="仿宋_GB2312" w:eastAsia="仿宋_GB2312"/>
                <w:sz w:val="21"/>
              </w:rPr>
              <w:t>5.</w:t>
            </w:r>
            <w:r>
              <w:rPr>
                <w:rFonts w:ascii="仿宋_GB2312" w:hAnsi="仿宋_GB2312" w:cs="仿宋_GB2312" w:eastAsia="仿宋_GB2312"/>
                <w:sz w:val="21"/>
              </w:rPr>
              <w:t>乙方申请付款前，须向甲方开具合法合规且符合甲方要求的等额增值税发票。否则，甲方有权拒绝向乙方支付相应款项且不承担逾期付款的违约责任。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2.由乙方向甲方提出书面验收申请，递交验收通知书，经甲方确认后，组织乙方进行验收。验收合格后，填写政府采购项目验收单作为对本次服务的最终认可。 3.验收依据： ①国家标准《建筑结构检测技术标准》（GB/T50344-2019） ②国家标准《混凝土结构工程施工质量验收规范》（GB50204-2015） ③国家标准《钢结构工程施工质量验收标准》（GB50205-2020）等相关规范、标准。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1.本项目验收费用，由乙方自行承担。 2.由乙方向甲方提出书面验收申请，递交验收通知书，经甲方确认后，组织乙方进行验收。验收合格后，填写政府采购项目验收单作为对本次服务的最终认可。 3.验收依据： ①《建筑施工升降设备设施检验标准》（JGJ305-2013） ②塔式起重机操作使用规程(JG/T 100-1999）</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乙方提供成果资料且验收合格后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乙方提供成果资料且验收合格后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①违约责任：按《中华人民共和国政府采购法》、《中华人民共和国民法典》中的相关条款执行。具体详见合同。 ②解决争议的方法:本合同在履行过程中发生的争议，由甲、乙双方当事人协商解决，协商不成的依法向甲方所在地法院起诉。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①违约责任：按《中华人民共和国政府采购法》、《中华人民共和国民法典》中的相关条款执行。具体详见合同。 ②解决争议的方法:本合同在履行过程中发生的争议，由甲、乙双方当事人协商解决，协商不成的依法向甲方所在地法院起诉。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1.中标单位在结果公告发布后需提供纸质版响应文件叁（3）份、电子版U盘叁（3）份。纸质版响应文件应与政府采购电子化交易平台中上传的内容保持一致。 2.为保证项目质量及及时性，投标人可以同时参与多个包，但最多只能中一个包。若投标人为多个包排序第一的中标候选人，则按照从包1到包2的评审顺序，成为前一包的排序第一中标候选人，不做为后续包的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被授权人参加磋商，须提供法定代表人授权书（附法定代表人、被授权人身份证复印件以及被授权人近三个月任意一个月在本单位的社保凭证）；法定代表人直接参加磋商，须提供法定代表人身份证明；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建设工程质量检测机构资质证书（检测范围需包含房屋建筑土建工程建筑材料、构配件进场见证取样检测、民用建筑节能检测、民用建筑工程室内环境污染检测、主体结构工程检测）或建设工程质量检测机构资质综合资质或建设工程质量检测机构资质专项资质（专项资质包括：建筑材料及构配件、主体结构及装饰装修、钢结构、建筑节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被授权人参加磋商，须提供法定代表人授权书（附法定代表人、被授权人身份证复印件以及被授权人近三个月任意一个月在本单位的社保凭证）；法定代表人直接参加磋商，须提供法定代表人身份证明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企业资质：供应商须具备持有质量技术监督部门颁发的CMA计量认证合格证书及质量技术监督部门颁发的特种设备检验检测机构核准证书且在有效期内。</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磋商报价表1.pdf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磋商报价表1.pdf 磋商方案说明书.pdf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磋商报价表1.pdf 响应文件封面 磋商方案说明书.pdf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磋商报价表1.pdf 磋商方案说明书.pdf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磋商报价表1.pdf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磋商方案说明书.pdf 磋商报价表2.pdf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磋商方案说明书.pdf 磋商报价表2.pdf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磋商方案说明书.pdf 磋商报价表2.pdf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磋商报价表2.pdf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磋商报价表2.pdf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其它资料.pdf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供应商针对本项目第三章包1服务内容提供①原材料及构配件检测方案②主体结构工程现场检测方案③钢结构工程检测方案三部分服务内容，提供服务方案。 评审标准:方案各部分内容全面详细、阐述条理清晰详尽、符合本项目采购需求得24分; 评审内容每缺一项扣8分。评审内容有缺陷的扣0.5-7.5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为保证服务质量，提供针对本项目特点的专业技术人员配备。 供应商针对本项目提供项目人员配置. 1.项目负责人配置：项目负责人为高级工程师及以上职称的得2分，中级职称得1分，其余不得分。备注：须附证书扫描件并加盖公章；（本项最高2分） 2.项目组成员配置： A.人员组织架构完整，岗位设置合理、明确，技术人员专业性、经验性强，得4分；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备注：以上人员提供相关证件（若有）复印件并加盖公章。（本项最高4分）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针对本项目所需提供检测方法（本项最高8分） A.所采用的检测方法的可行性强、规范性强、先进性强，检测精度有保证，满足采购人要求得8分； B.所采用的检测方法的可行性、规范性、先进性较强，检测精度较有保证得6分； C.所采用的检测方法的可行性、规范性、先进性一般，基本保证检测精度得4分； D.所采用的检测方法的可行性、规范性、先进性较差，不能保证检测精度得1分；未提供不得分。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①设备维护保养②人员安全作业培训③检测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针对本项目采购需求，提供拟投入的设备机械。（本项最高5分） A.设备机械能完全满足项目需求，有针对性、可行性，得5分； B.设备机械能完全满足项目需求，有针对性、但可行性欠佳，得3分； 设备机械不能完全满足项目需求，但针对性和可行性欠佳，得1分；未提供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根据供应商2022年1月1日至今类 似业绩每份得2分，满分10分（以加盖公章的合同复印件或成交通知书或为准，内容须完整清晰可辨认，无涂改，否则视为无效业绩）。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磋商报价表1.pdf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供应商针对本项目第三章包1服务内容提供①原材料及构配件检测方案②主体结构工程现场检测方案③钢结构工程检测方案三部分服务内容，提供服务方案。 评审标准:方案各部分内容全面详细、阐述条理清晰详尽、符合本项目采购需求得24分; 评审内容每缺一项扣8分。评审内容有缺陷的扣0.5-7.5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括但不限于：①应急处置危险等级及响应时间②突发事件处置流程③对外界环境可能造成的影响及应对措施等，根据相关方案的可实施性、完整性及合理性进行打分。方案各部分内容全面详细、阐述条理清晰详尽、符合本项目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为保证服务质量，提供针对本项目特点的专业技术人员配备。 供应商针对本项目提供项目人员配置. 1.项目负责人配置：项目负责人为高级工程师及以上职称的得2分，中级职称得1分，其余不得分。备注：须附证书扫描件并加盖公章；（本项最高2分） 2.项目组成员配置： A.人员组织架构完整，岗位设置合理、明确，技术人员专业性、经验性强，得4分； B.人员组织架构有待优化，岗位设置基本合理，技术人员专业性、经验性一般，得3分； C.人员组织架构不完整，岗位设置紧张，技术人员专业性、经验性欠缺，得2分； D.其他或未提供得0分。 备注：以上人员提供相关证件（若有）复印件并加盖公章。（本项最高4分）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针对本项目所需提供检测方法（本项最高8分） A.所采用的检测方法的可行性强、规范性强、先进性强，检测精度有保证，满足采购人要求得8分； B.所采用的检测方法的可行性、规范性、先进性较强，检测精度较有保证得6分； C.所采用的检测方法的可行性、规范性、先进性一般，基本保证检测精度得4分； D.所采用的检测方法的可行性、规范性、先进性较差，不能保证检测精度得1分；未提供不得分。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①设备维护保养②人员安全作业培训③检测过程安全保障等，根据相关措施的可实施性、完整性及合理性进行打分。评审标准:措施各部分内容全面详细、阐述条理清晰详尽、符合本项目采购需求得6分; 评审内容每缺一项扣2分。评审内容有缺陷的扣0.5-1.5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1、正确识别本项目重点、关键点并逐条列出，得基本分值1分； A.对上述重点、关键点分析全面、具体、透彻的，得2分； B.对上述重点、关键点分析片面、简单的，得1分；未提供不得分。（本项最高3分） 2、正确识别本项目服务难点并逐条列出，得基本分值1分； A.解决对策有针对性、可行性，得2分； B.解决对策针对性、可行性欠缺，得1分；未提供不得分。（本项最高3分）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针对本项目采购需求，提供拟投入的设备机械。（本项最高5分） A.设备机械能完全满足项目需求，有针对性、可行性，得5分； B.设备机械能完全满足项目需求，有针对性、但可行性欠佳，得3分； 设备机械不能完全满足项目需求，但针对性和可行性欠佳，得1分；未提供 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项目资料的整理包括但不限于（①问题清单的判断及分析②项目数据的归纳整理③资料规整及分类）根据相关的可实施性、完整性及合理性进行打分。评审标准:各部分内容全面详细、阐述条理清晰详尽得6分; 评审内容每缺一项扣2分。评审内容有缺陷的扣0.5-1.5分。(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根据供应商2022年1月1日至今类 似业绩每份得2分，满分10分（以加盖公章的合同复印件或成交通知书或为准，内容须完整清晰可辨认，无涂改，否则视为无效业绩）。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磋商报价表2.pdf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详见附件：磋商报价表1.pdf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详见附件：其它资料.pdf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详见附件：磋商报价表2.pdf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