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AAEF">
      <w:pPr>
        <w:widowControl/>
        <w:wordWrap/>
        <w:adjustRightInd/>
        <w:snapToGrid/>
        <w:spacing w:after="160" w:line="500" w:lineRule="exact"/>
        <w:ind w:left="0" w:leftChars="0" w:right="0" w:firstLine="0" w:firstLineChars="0"/>
        <w:jc w:val="center"/>
        <w:textAlignment w:val="auto"/>
        <w:outlineLvl w:val="9"/>
        <w:rPr>
          <w:rFonts w:hint="eastAsia" w:ascii="仿宋" w:hAnsi="仿宋" w:eastAsia="仿宋"/>
          <w:b/>
          <w:sz w:val="32"/>
          <w:szCs w:val="32"/>
        </w:rPr>
      </w:pPr>
      <w:r>
        <w:rPr>
          <w:rFonts w:hint="eastAsia" w:ascii="仿宋" w:hAnsi="仿宋" w:eastAsia="仿宋"/>
          <w:b/>
          <w:sz w:val="32"/>
          <w:szCs w:val="32"/>
        </w:rPr>
        <w:t>阎良区农业技术推广中心</w:t>
      </w:r>
    </w:p>
    <w:p w14:paraId="7949DAF8">
      <w:pPr>
        <w:widowControl/>
        <w:wordWrap/>
        <w:adjustRightInd/>
        <w:snapToGrid/>
        <w:spacing w:after="160" w:line="500" w:lineRule="exact"/>
        <w:ind w:left="0" w:leftChars="0" w:right="0" w:firstLine="0" w:firstLineChars="0"/>
        <w:jc w:val="center"/>
        <w:textAlignment w:val="auto"/>
        <w:outlineLvl w:val="9"/>
        <w:rPr>
          <w:rFonts w:hint="eastAsia" w:ascii="仿宋" w:hAnsi="仿宋" w:eastAsia="仿宋"/>
          <w:b/>
          <w:sz w:val="32"/>
          <w:szCs w:val="32"/>
        </w:rPr>
      </w:pPr>
      <w:r>
        <w:rPr>
          <w:rFonts w:hint="eastAsia" w:ascii="仿宋" w:hAnsi="仿宋" w:eastAsia="仿宋"/>
          <w:b/>
          <w:sz w:val="32"/>
          <w:szCs w:val="32"/>
        </w:rPr>
        <w:t>“2025年第一批市级农业农村发展专项资金项目（耕地安全利</w:t>
      </w:r>
      <w:r>
        <w:rPr>
          <w:rFonts w:hint="eastAsia" w:ascii="仿宋" w:hAnsi="仿宋" w:eastAsia="仿宋"/>
          <w:b/>
          <w:sz w:val="32"/>
          <w:szCs w:val="32"/>
          <w:lang w:val="en-US" w:eastAsia="zh-CN"/>
        </w:rPr>
        <w:t>用</w:t>
      </w:r>
      <w:r>
        <w:rPr>
          <w:rFonts w:hint="eastAsia" w:ascii="仿宋" w:hAnsi="仿宋" w:eastAsia="仿宋"/>
          <w:b/>
          <w:sz w:val="32"/>
          <w:szCs w:val="32"/>
        </w:rPr>
        <w:t>及严格管控）”政府采购需求书</w:t>
      </w:r>
    </w:p>
    <w:tbl>
      <w:tblPr>
        <w:tblStyle w:val="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4"/>
        <w:gridCol w:w="1567"/>
        <w:gridCol w:w="7116"/>
      </w:tblGrid>
      <w:tr w14:paraId="058D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 w:hRule="atLeast"/>
          <w:jc w:val="center"/>
        </w:trPr>
        <w:tc>
          <w:tcPr>
            <w:tcW w:w="694" w:type="dxa"/>
            <w:vAlign w:val="center"/>
          </w:tcPr>
          <w:p w14:paraId="7E0D507E">
            <w:pPr>
              <w:snapToGrid w:val="0"/>
              <w:jc w:val="center"/>
              <w:rPr>
                <w:rFonts w:hint="eastAsia" w:ascii="宋体" w:hAnsi="宋体"/>
                <w:b/>
                <w:sz w:val="24"/>
              </w:rPr>
            </w:pPr>
            <w:r>
              <w:rPr>
                <w:rFonts w:hint="eastAsia" w:ascii="宋体" w:hAnsi="宋体"/>
                <w:b/>
                <w:sz w:val="28"/>
                <w:szCs w:val="28"/>
                <w:lang w:val="zh-CN"/>
              </w:rPr>
              <w:t>序号</w:t>
            </w:r>
          </w:p>
        </w:tc>
        <w:tc>
          <w:tcPr>
            <w:tcW w:w="1567" w:type="dxa"/>
            <w:vAlign w:val="center"/>
          </w:tcPr>
          <w:p w14:paraId="7DE7D716">
            <w:pPr>
              <w:pStyle w:val="31"/>
              <w:ind w:left="38"/>
              <w:jc w:val="center"/>
              <w:rPr>
                <w:rFonts w:hint="eastAsia"/>
                <w:b/>
                <w:kern w:val="2"/>
                <w:lang w:val="zh-CN"/>
              </w:rPr>
            </w:pPr>
            <w:r>
              <w:rPr>
                <w:rFonts w:hint="eastAsia"/>
                <w:b/>
                <w:kern w:val="2"/>
                <w:sz w:val="28"/>
                <w:szCs w:val="28"/>
                <w:lang w:val="zh-CN"/>
              </w:rPr>
              <w:t>关键事项</w:t>
            </w:r>
          </w:p>
        </w:tc>
        <w:tc>
          <w:tcPr>
            <w:tcW w:w="7116" w:type="dxa"/>
            <w:vAlign w:val="center"/>
          </w:tcPr>
          <w:p w14:paraId="7F97F96C">
            <w:pPr>
              <w:pStyle w:val="31"/>
              <w:jc w:val="center"/>
              <w:rPr>
                <w:rFonts w:hint="eastAsia"/>
                <w:b/>
                <w:kern w:val="2"/>
                <w:lang w:val="zh-CN"/>
              </w:rPr>
            </w:pPr>
            <w:r>
              <w:rPr>
                <w:rFonts w:hint="eastAsia"/>
                <w:b/>
                <w:kern w:val="2"/>
                <w:sz w:val="28"/>
                <w:szCs w:val="28"/>
                <w:lang w:val="zh-CN"/>
              </w:rPr>
              <w:t>说明和要求</w:t>
            </w:r>
          </w:p>
        </w:tc>
      </w:tr>
      <w:tr w14:paraId="7D45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 w:hRule="atLeast"/>
          <w:jc w:val="center"/>
        </w:trPr>
        <w:tc>
          <w:tcPr>
            <w:tcW w:w="694" w:type="dxa"/>
            <w:vAlign w:val="center"/>
          </w:tcPr>
          <w:p w14:paraId="1F222452">
            <w:pPr>
              <w:snapToGrid w:val="0"/>
              <w:spacing w:after="200"/>
              <w:jc w:val="center"/>
              <w:rPr>
                <w:rFonts w:hint="eastAsia" w:ascii="宋体" w:hAnsi="宋体"/>
                <w:sz w:val="28"/>
                <w:szCs w:val="28"/>
                <w:lang w:val="zh-CN"/>
              </w:rPr>
            </w:pPr>
            <w:r>
              <w:rPr>
                <w:rFonts w:ascii="宋体" w:hAnsi="宋体"/>
                <w:sz w:val="28"/>
                <w:szCs w:val="28"/>
                <w:lang w:val="zh-CN"/>
              </w:rPr>
              <w:t>1</w:t>
            </w:r>
          </w:p>
        </w:tc>
        <w:tc>
          <w:tcPr>
            <w:tcW w:w="1567" w:type="dxa"/>
            <w:vAlign w:val="center"/>
          </w:tcPr>
          <w:p w14:paraId="6DA077F5">
            <w:pPr>
              <w:pStyle w:val="31"/>
              <w:ind w:left="38"/>
              <w:jc w:val="center"/>
              <w:rPr>
                <w:rFonts w:hint="eastAsia"/>
                <w:kern w:val="2"/>
                <w:lang w:val="zh-CN"/>
              </w:rPr>
            </w:pPr>
            <w:r>
              <w:rPr>
                <w:rFonts w:hint="eastAsia"/>
                <w:kern w:val="2"/>
                <w:lang w:val="zh-CN"/>
              </w:rPr>
              <w:t>采购预算</w:t>
            </w:r>
          </w:p>
        </w:tc>
        <w:tc>
          <w:tcPr>
            <w:tcW w:w="7116" w:type="dxa"/>
            <w:vAlign w:val="center"/>
          </w:tcPr>
          <w:p w14:paraId="2272D731">
            <w:pPr>
              <w:pStyle w:val="31"/>
              <w:jc w:val="both"/>
              <w:rPr>
                <w:rFonts w:hint="eastAsia"/>
                <w:b/>
                <w:kern w:val="2"/>
                <w:lang w:val="zh-CN"/>
              </w:rPr>
            </w:pPr>
            <w:r>
              <w:rPr>
                <w:rFonts w:hint="eastAsia"/>
                <w:b/>
                <w:kern w:val="2"/>
                <w:lang w:val="zh-CN"/>
              </w:rPr>
              <w:t>人民币</w:t>
            </w:r>
            <w:r>
              <w:rPr>
                <w:rFonts w:hint="eastAsia"/>
                <w:b/>
                <w:kern w:val="2"/>
                <w:u w:val="single"/>
              </w:rPr>
              <w:t>1182</w:t>
            </w:r>
            <w:r>
              <w:rPr>
                <w:rFonts w:hint="eastAsia"/>
                <w:b/>
                <w:kern w:val="2"/>
                <w:u w:val="single"/>
                <w:lang w:val="zh-CN"/>
              </w:rPr>
              <w:t>000</w:t>
            </w:r>
            <w:r>
              <w:rPr>
                <w:rFonts w:hint="eastAsia"/>
                <w:b/>
                <w:kern w:val="2"/>
                <w:lang w:val="zh-CN"/>
              </w:rPr>
              <w:t>元</w:t>
            </w:r>
          </w:p>
          <w:p w14:paraId="12ABF09F">
            <w:pPr>
              <w:pStyle w:val="31"/>
              <w:jc w:val="both"/>
              <w:rPr>
                <w:rFonts w:hint="eastAsia"/>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3EA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 w:hRule="atLeast"/>
          <w:jc w:val="center"/>
        </w:trPr>
        <w:tc>
          <w:tcPr>
            <w:tcW w:w="694" w:type="dxa"/>
            <w:vAlign w:val="center"/>
          </w:tcPr>
          <w:p w14:paraId="49A5F261">
            <w:pPr>
              <w:snapToGrid w:val="0"/>
              <w:spacing w:after="200"/>
              <w:jc w:val="center"/>
              <w:rPr>
                <w:rFonts w:hint="eastAsia" w:ascii="宋体" w:hAnsi="宋体"/>
                <w:sz w:val="28"/>
                <w:szCs w:val="28"/>
                <w:lang w:val="zh-CN"/>
              </w:rPr>
            </w:pPr>
            <w:r>
              <w:rPr>
                <w:rFonts w:ascii="宋体" w:hAnsi="宋体"/>
                <w:sz w:val="28"/>
                <w:szCs w:val="28"/>
                <w:lang w:val="zh-CN"/>
              </w:rPr>
              <w:t>2</w:t>
            </w:r>
          </w:p>
        </w:tc>
        <w:tc>
          <w:tcPr>
            <w:tcW w:w="1567" w:type="dxa"/>
            <w:vAlign w:val="center"/>
          </w:tcPr>
          <w:p w14:paraId="3C26D7CA">
            <w:pPr>
              <w:pStyle w:val="31"/>
              <w:ind w:left="38"/>
              <w:jc w:val="center"/>
              <w:rPr>
                <w:rFonts w:hint="eastAsia"/>
                <w:kern w:val="2"/>
                <w:lang w:val="zh-CN"/>
              </w:rPr>
            </w:pPr>
            <w:r>
              <w:rPr>
                <w:rFonts w:hint="eastAsia"/>
                <w:kern w:val="2"/>
                <w:lang w:val="zh-CN"/>
              </w:rPr>
              <w:t>最高限价</w:t>
            </w:r>
          </w:p>
        </w:tc>
        <w:tc>
          <w:tcPr>
            <w:tcW w:w="7116" w:type="dxa"/>
            <w:vAlign w:val="center"/>
          </w:tcPr>
          <w:p w14:paraId="3E260A40">
            <w:pPr>
              <w:pStyle w:val="31"/>
              <w:jc w:val="both"/>
              <w:rPr>
                <w:rFonts w:hint="eastAsia"/>
                <w:b/>
                <w:kern w:val="2"/>
                <w:lang w:val="zh-CN"/>
              </w:rPr>
            </w:pPr>
            <w:r>
              <w:rPr>
                <w:rFonts w:hint="eastAsia"/>
                <w:b/>
                <w:kern w:val="2"/>
                <w:lang w:val="zh-CN"/>
              </w:rPr>
              <w:t>人民币</w:t>
            </w:r>
            <w:r>
              <w:rPr>
                <w:rFonts w:hint="eastAsia"/>
                <w:b/>
                <w:kern w:val="2"/>
                <w:u w:val="single"/>
              </w:rPr>
              <w:t xml:space="preserve"> 1182</w:t>
            </w:r>
            <w:r>
              <w:rPr>
                <w:rFonts w:hint="eastAsia"/>
                <w:b/>
                <w:kern w:val="2"/>
                <w:u w:val="single"/>
                <w:lang w:val="zh-CN"/>
              </w:rPr>
              <w:t>000</w:t>
            </w:r>
            <w:r>
              <w:rPr>
                <w:rFonts w:hint="eastAsia"/>
                <w:b/>
                <w:kern w:val="2"/>
                <w:u w:val="single"/>
              </w:rPr>
              <w:t xml:space="preserve"> </w:t>
            </w:r>
            <w:r>
              <w:rPr>
                <w:rFonts w:hint="eastAsia"/>
                <w:b/>
                <w:kern w:val="2"/>
                <w:lang w:val="zh-CN"/>
              </w:rPr>
              <w:t>元</w:t>
            </w:r>
          </w:p>
          <w:p w14:paraId="4ADC29D2">
            <w:pPr>
              <w:pStyle w:val="31"/>
              <w:ind w:left="38"/>
              <w:jc w:val="both"/>
              <w:rPr>
                <w:rFonts w:hint="eastAsia"/>
                <w:b/>
                <w:kern w:val="2"/>
                <w:lang w:val="zh-CN"/>
              </w:rPr>
            </w:pPr>
            <w:r>
              <w:rPr>
                <w:rFonts w:hint="eastAsia"/>
                <w:kern w:val="2"/>
                <w:sz w:val="21"/>
                <w:szCs w:val="21"/>
                <w:lang w:val="zh-CN"/>
              </w:rPr>
              <w:t>供应商投标报价高于最高限价的则其投标文件将按无效投标文件处理。</w:t>
            </w:r>
          </w:p>
        </w:tc>
      </w:tr>
      <w:tr w14:paraId="23B8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 w:hRule="atLeast"/>
          <w:jc w:val="center"/>
        </w:trPr>
        <w:tc>
          <w:tcPr>
            <w:tcW w:w="694" w:type="dxa"/>
            <w:vMerge w:val="restart"/>
            <w:vAlign w:val="center"/>
          </w:tcPr>
          <w:p w14:paraId="73E6C1CC">
            <w:pPr>
              <w:snapToGrid w:val="0"/>
              <w:spacing w:after="200"/>
              <w:jc w:val="center"/>
              <w:rPr>
                <w:rFonts w:hint="eastAsia" w:ascii="宋体" w:hAnsi="宋体"/>
                <w:sz w:val="28"/>
                <w:szCs w:val="28"/>
                <w:lang w:val="zh-CN"/>
              </w:rPr>
            </w:pPr>
            <w:r>
              <w:rPr>
                <w:rFonts w:ascii="宋体" w:hAnsi="宋体"/>
                <w:sz w:val="28"/>
                <w:szCs w:val="28"/>
                <w:lang w:val="zh-CN"/>
              </w:rPr>
              <w:t>3</w:t>
            </w:r>
          </w:p>
        </w:tc>
        <w:tc>
          <w:tcPr>
            <w:tcW w:w="1567" w:type="dxa"/>
            <w:vMerge w:val="restart"/>
            <w:vAlign w:val="center"/>
          </w:tcPr>
          <w:p w14:paraId="4AACC13D">
            <w:pPr>
              <w:pStyle w:val="31"/>
              <w:ind w:left="38"/>
              <w:jc w:val="center"/>
              <w:rPr>
                <w:rFonts w:hint="eastAsia"/>
                <w:kern w:val="2"/>
                <w:lang w:val="zh-CN"/>
              </w:rPr>
            </w:pPr>
            <w:r>
              <w:rPr>
                <w:rFonts w:hint="eastAsia"/>
                <w:kern w:val="2"/>
                <w:lang w:val="zh-CN"/>
              </w:rPr>
              <w:t>项目性质</w:t>
            </w:r>
          </w:p>
        </w:tc>
        <w:tc>
          <w:tcPr>
            <w:tcW w:w="7116" w:type="dxa"/>
            <w:vAlign w:val="center"/>
          </w:tcPr>
          <w:p w14:paraId="7C6C05FA">
            <w:pPr>
              <w:pStyle w:val="31"/>
              <w:jc w:val="both"/>
              <w:rPr>
                <w:rFonts w:hint="eastAsia"/>
                <w:b/>
                <w:kern w:val="2"/>
                <w:lang w:val="zh-CN"/>
              </w:rPr>
            </w:pPr>
            <w:r>
              <w:rPr>
                <w:rFonts w:hint="eastAsia"/>
                <w:b/>
                <w:lang w:val="zh-CN"/>
              </w:rPr>
              <w:t>√</w:t>
            </w:r>
            <w:r>
              <w:rPr>
                <w:rFonts w:hint="eastAsia"/>
                <w:b/>
                <w:kern w:val="2"/>
                <w:lang w:val="zh-CN"/>
              </w:rPr>
              <w:t>专门面向中小企业采购</w:t>
            </w:r>
          </w:p>
          <w:p w14:paraId="7CB433ED">
            <w:pPr>
              <w:pStyle w:val="31"/>
              <w:ind w:left="38"/>
              <w:jc w:val="both"/>
              <w:rPr>
                <w:rFonts w:hint="eastAsia"/>
                <w:b/>
                <w:kern w:val="2"/>
                <w:lang w:val="zh-CN"/>
              </w:rPr>
            </w:pPr>
            <w:r>
              <w:rPr>
                <w:rFonts w:hint="eastAsia"/>
                <w:kern w:val="2"/>
                <w:sz w:val="21"/>
                <w:szCs w:val="21"/>
                <w:lang w:val="zh-CN"/>
              </w:rPr>
              <w:t>仅允许中小企业或小型、微型企业参与投标。</w:t>
            </w:r>
          </w:p>
        </w:tc>
      </w:tr>
      <w:tr w14:paraId="3692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 w:hRule="atLeast"/>
          <w:jc w:val="center"/>
        </w:trPr>
        <w:tc>
          <w:tcPr>
            <w:tcW w:w="694" w:type="dxa"/>
            <w:vMerge w:val="continue"/>
            <w:vAlign w:val="center"/>
          </w:tcPr>
          <w:p w14:paraId="5878AC70">
            <w:pPr>
              <w:snapToGrid w:val="0"/>
              <w:spacing w:after="200"/>
              <w:ind w:left="142"/>
              <w:jc w:val="center"/>
              <w:rPr>
                <w:rFonts w:hint="eastAsia" w:ascii="宋体" w:hAnsi="宋体"/>
                <w:b/>
                <w:sz w:val="28"/>
                <w:szCs w:val="28"/>
                <w:lang w:val="zh-CN"/>
              </w:rPr>
            </w:pPr>
          </w:p>
        </w:tc>
        <w:tc>
          <w:tcPr>
            <w:tcW w:w="1567" w:type="dxa"/>
            <w:vMerge w:val="continue"/>
            <w:vAlign w:val="center"/>
          </w:tcPr>
          <w:p w14:paraId="1CA0C9AE">
            <w:pPr>
              <w:pStyle w:val="31"/>
              <w:ind w:left="96"/>
              <w:jc w:val="center"/>
              <w:rPr>
                <w:rFonts w:hint="eastAsia"/>
                <w:kern w:val="2"/>
                <w:lang w:val="zh-CN"/>
              </w:rPr>
            </w:pPr>
          </w:p>
        </w:tc>
        <w:tc>
          <w:tcPr>
            <w:tcW w:w="7116" w:type="dxa"/>
            <w:vAlign w:val="center"/>
          </w:tcPr>
          <w:p w14:paraId="152C28C3">
            <w:pPr>
              <w:rPr>
                <w:rFonts w:hint="eastAsia" w:ascii="宋体" w:hAnsi="宋体" w:cs="宋体"/>
                <w:b/>
                <w:sz w:val="24"/>
                <w:szCs w:val="24"/>
                <w:lang w:val="zh-CN"/>
              </w:rPr>
            </w:pPr>
            <w:r>
              <w:rPr>
                <w:rFonts w:hint="eastAsia"/>
                <w:b/>
                <w:kern w:val="2"/>
                <w:lang w:val="zh-CN"/>
              </w:rPr>
              <w:t>○</w:t>
            </w:r>
            <w:r>
              <w:rPr>
                <w:rFonts w:hint="eastAsia" w:ascii="宋体" w:hAnsi="宋体" w:cs="宋体"/>
                <w:b/>
                <w:sz w:val="24"/>
                <w:szCs w:val="24"/>
                <w:lang w:val="zh-CN"/>
              </w:rPr>
              <w:t>非专门面向中小企业采购</w:t>
            </w:r>
          </w:p>
          <w:p w14:paraId="4F47EB72">
            <w:pPr>
              <w:ind w:right="94" w:rightChars="45"/>
              <w:rPr>
                <w:rFonts w:hint="eastAsia" w:ascii="宋体" w:hAnsi="宋体"/>
                <w:b/>
                <w:szCs w:val="21"/>
              </w:rPr>
            </w:pPr>
            <w:r>
              <w:rPr>
                <w:rFonts w:hint="eastAsia" w:ascii="宋体" w:hAnsi="宋体" w:cs="宋体"/>
                <w:bCs/>
                <w:color w:val="000000"/>
                <w:kern w:val="0"/>
                <w:szCs w:val="21"/>
                <w:lang w:val="zh-CN"/>
              </w:rPr>
              <w:t>对符合《财政部关于进一步加大政府采购支持中小企业力度的通知》（财库〔2022〕19号）规定的小微企业（监狱企业视同小型、微型企业）的报价</w:t>
            </w:r>
            <w:r>
              <w:rPr>
                <w:rFonts w:hint="eastAsia" w:ascii="宋体" w:hAnsi="宋体" w:cs="宋体"/>
                <w:b/>
                <w:color w:val="000000"/>
                <w:kern w:val="0"/>
                <w:szCs w:val="21"/>
                <w:lang w:val="zh-CN"/>
              </w:rPr>
              <w:t>给予</w:t>
            </w:r>
            <w:r>
              <w:rPr>
                <w:rFonts w:hint="eastAsia" w:ascii="宋体" w:hAnsi="宋体" w:cs="宋体"/>
                <w:b/>
                <w:color w:val="000000"/>
                <w:kern w:val="0"/>
                <w:szCs w:val="21"/>
                <w:u w:val="single"/>
                <w:lang w:val="en-US" w:eastAsia="zh-CN"/>
              </w:rPr>
              <w:t>/</w:t>
            </w:r>
            <w:r>
              <w:rPr>
                <w:rFonts w:hint="eastAsia" w:ascii="宋体" w:hAnsi="宋体" w:cs="宋体"/>
                <w:b/>
                <w:color w:val="000000"/>
                <w:kern w:val="0"/>
                <w:szCs w:val="21"/>
                <w:u w:val="single"/>
                <w:lang w:val="zh-CN"/>
              </w:rPr>
              <w:t>%（</w:t>
            </w:r>
            <w:r>
              <w:rPr>
                <w:rFonts w:hint="eastAsia" w:ascii="宋体" w:hAnsi="宋体" w:cs="宋体"/>
                <w:b/>
                <w:color w:val="000000"/>
                <w:kern w:val="0"/>
                <w:szCs w:val="21"/>
                <w:lang w:val="zh-CN"/>
              </w:rPr>
              <w:t>10%-20</w:t>
            </w:r>
            <w:r>
              <w:rPr>
                <w:rFonts w:ascii="宋体" w:hAnsi="宋体" w:cs="宋体"/>
                <w:b/>
                <w:color w:val="000000"/>
                <w:kern w:val="0"/>
                <w:szCs w:val="21"/>
                <w:lang w:val="zh-CN"/>
              </w:rPr>
              <w:t>%</w:t>
            </w:r>
            <w:r>
              <w:rPr>
                <w:rFonts w:hint="eastAsia" w:ascii="宋体" w:hAnsi="宋体" w:cs="宋体"/>
                <w:b/>
                <w:color w:val="000000"/>
                <w:kern w:val="0"/>
                <w:szCs w:val="21"/>
                <w:lang w:val="zh-CN"/>
              </w:rPr>
              <w:t>）的扣除</w:t>
            </w:r>
            <w:r>
              <w:rPr>
                <w:rFonts w:hint="eastAsia" w:ascii="宋体" w:hAnsi="宋体" w:cs="宋体"/>
                <w:bCs/>
                <w:color w:val="000000"/>
                <w:kern w:val="0"/>
                <w:szCs w:val="21"/>
                <w:lang w:val="zh-CN"/>
              </w:rPr>
              <w:t>，用扣除后的价格参加评审。</w:t>
            </w:r>
          </w:p>
        </w:tc>
      </w:tr>
      <w:tr w14:paraId="5FE4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3" w:hRule="atLeast"/>
          <w:jc w:val="center"/>
        </w:trPr>
        <w:tc>
          <w:tcPr>
            <w:tcW w:w="694" w:type="dxa"/>
            <w:vAlign w:val="center"/>
          </w:tcPr>
          <w:p w14:paraId="1642F44C">
            <w:pPr>
              <w:snapToGrid w:val="0"/>
              <w:spacing w:after="200"/>
              <w:jc w:val="center"/>
              <w:rPr>
                <w:rFonts w:hint="eastAsia" w:ascii="宋体" w:hAnsi="宋体"/>
                <w:sz w:val="24"/>
              </w:rPr>
            </w:pPr>
            <w:r>
              <w:rPr>
                <w:rFonts w:ascii="宋体" w:hAnsi="宋体"/>
                <w:sz w:val="24"/>
              </w:rPr>
              <w:t>4</w:t>
            </w:r>
          </w:p>
        </w:tc>
        <w:tc>
          <w:tcPr>
            <w:tcW w:w="1567" w:type="dxa"/>
            <w:vAlign w:val="center"/>
          </w:tcPr>
          <w:p w14:paraId="11AFE808">
            <w:pPr>
              <w:pStyle w:val="31"/>
              <w:ind w:left="96"/>
              <w:jc w:val="center"/>
              <w:rPr>
                <w:rFonts w:hint="eastAsia"/>
                <w:kern w:val="2"/>
                <w:lang w:val="zh-CN"/>
              </w:rPr>
            </w:pPr>
            <w:r>
              <w:rPr>
                <w:kern w:val="2"/>
                <w:lang w:val="zh-CN"/>
              </w:rPr>
              <w:t>对供应商的</w:t>
            </w:r>
            <w:r>
              <w:br w:type="textWrapping"/>
            </w:r>
            <w:r>
              <w:rPr>
                <w:kern w:val="2"/>
                <w:lang w:val="zh-CN"/>
              </w:rPr>
              <w:t>资格要求</w:t>
            </w:r>
          </w:p>
        </w:tc>
        <w:tc>
          <w:tcPr>
            <w:tcW w:w="7116" w:type="dxa"/>
            <w:vAlign w:val="center"/>
          </w:tcPr>
          <w:p w14:paraId="47A7FF9C">
            <w:pPr>
              <w:pStyle w:val="31"/>
              <w:jc w:val="both"/>
              <w:rPr>
                <w:rFonts w:hint="eastAsia"/>
                <w:b/>
                <w:kern w:val="2"/>
                <w:lang w:val="zh-CN"/>
              </w:rPr>
            </w:pPr>
            <w:r>
              <w:rPr>
                <w:rFonts w:hint="eastAsia"/>
                <w:b/>
                <w:kern w:val="2"/>
                <w:lang w:val="zh-CN"/>
              </w:rPr>
              <w:t>1、</w:t>
            </w:r>
            <w:r>
              <w:rPr>
                <w:rFonts w:hint="eastAsia"/>
                <w:b/>
                <w:kern w:val="2"/>
                <w:u w:val="single"/>
                <w:lang w:val="zh-CN"/>
              </w:rPr>
              <w:t>满足《中华人民共和国政府采购法》第二十二条规定</w:t>
            </w:r>
          </w:p>
          <w:p w14:paraId="5AD5F9FE">
            <w:pPr>
              <w:pStyle w:val="31"/>
              <w:jc w:val="both"/>
              <w:rPr>
                <w:rFonts w:hint="eastAsia"/>
                <w:b/>
                <w:kern w:val="2"/>
                <w:lang w:val="zh-CN"/>
              </w:rPr>
            </w:pPr>
            <w:r>
              <w:rPr>
                <w:rFonts w:hint="eastAsia"/>
                <w:b/>
                <w:kern w:val="2"/>
                <w:lang w:val="zh-CN"/>
              </w:rPr>
              <w:t>2、</w:t>
            </w:r>
            <w:r>
              <w:rPr>
                <w:rFonts w:hint="eastAsia"/>
                <w:b/>
                <w:kern w:val="2"/>
                <w:u w:val="single"/>
                <w:lang w:val="zh-CN"/>
              </w:rPr>
              <w:t>针对本项目特定的资格要求</w:t>
            </w:r>
          </w:p>
          <w:p w14:paraId="3A9C67E0">
            <w:pPr>
              <w:pStyle w:val="31"/>
              <w:jc w:val="both"/>
              <w:rPr>
                <w:rFonts w:hint="eastAsia"/>
                <w:kern w:val="2"/>
                <w:lang w:val="zh-CN"/>
              </w:rPr>
            </w:pPr>
            <w:r>
              <w:rPr>
                <w:rFonts w:hint="eastAsia"/>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3A38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 w:hRule="atLeast"/>
          <w:jc w:val="center"/>
        </w:trPr>
        <w:tc>
          <w:tcPr>
            <w:tcW w:w="694" w:type="dxa"/>
            <w:vMerge w:val="restart"/>
            <w:vAlign w:val="center"/>
          </w:tcPr>
          <w:p w14:paraId="15203010">
            <w:pPr>
              <w:snapToGrid w:val="0"/>
              <w:spacing w:after="200"/>
              <w:jc w:val="center"/>
              <w:rPr>
                <w:rFonts w:hint="eastAsia" w:ascii="宋体" w:hAnsi="宋体"/>
                <w:sz w:val="24"/>
              </w:rPr>
            </w:pPr>
            <w:r>
              <w:rPr>
                <w:rFonts w:ascii="宋体" w:hAnsi="宋体"/>
                <w:sz w:val="24"/>
              </w:rPr>
              <w:t>5</w:t>
            </w:r>
          </w:p>
        </w:tc>
        <w:tc>
          <w:tcPr>
            <w:tcW w:w="1567" w:type="dxa"/>
            <w:vMerge w:val="restart"/>
            <w:vAlign w:val="center"/>
          </w:tcPr>
          <w:p w14:paraId="7EAE68BD">
            <w:pPr>
              <w:pStyle w:val="31"/>
              <w:ind w:left="96"/>
              <w:jc w:val="center"/>
              <w:rPr>
                <w:rFonts w:hint="eastAsia"/>
                <w:kern w:val="2"/>
                <w:lang w:val="zh-CN"/>
              </w:rPr>
            </w:pPr>
            <w:r>
              <w:rPr>
                <w:kern w:val="2"/>
                <w:lang w:val="zh-CN"/>
              </w:rPr>
              <w:t>是否</w:t>
            </w:r>
            <w:r>
              <w:rPr>
                <w:rFonts w:hint="eastAsia"/>
                <w:kern w:val="2"/>
                <w:lang w:val="zh-CN"/>
              </w:rPr>
              <w:t>接受</w:t>
            </w:r>
            <w:r>
              <w:br w:type="textWrapping"/>
            </w:r>
            <w:r>
              <w:rPr>
                <w:kern w:val="2"/>
                <w:lang w:val="zh-CN"/>
              </w:rPr>
              <w:t>联合体投标</w:t>
            </w:r>
          </w:p>
        </w:tc>
        <w:tc>
          <w:tcPr>
            <w:tcW w:w="7116" w:type="dxa"/>
            <w:vAlign w:val="center"/>
          </w:tcPr>
          <w:p w14:paraId="65673EC1">
            <w:pPr>
              <w:pStyle w:val="31"/>
              <w:jc w:val="both"/>
              <w:rPr>
                <w:rFonts w:hint="eastAsia"/>
                <w:b/>
                <w:kern w:val="2"/>
                <w:lang w:val="zh-CN"/>
              </w:rPr>
            </w:pPr>
            <w:r>
              <w:rPr>
                <w:rFonts w:hint="eastAsia"/>
                <w:b/>
                <w:kern w:val="2"/>
                <w:lang w:val="zh-CN"/>
              </w:rPr>
              <w:t>○接受</w:t>
            </w:r>
          </w:p>
          <w:p w14:paraId="48D83057">
            <w:pPr>
              <w:pStyle w:val="31"/>
              <w:jc w:val="both"/>
              <w:rPr>
                <w:rFonts w:hint="eastAsia"/>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对于联合体协议或者分包意向协议约定小微企业的合同份额占到合同总金额30%以上的，对联合体或者大中型企业的报价给予___%（</w:t>
            </w:r>
            <w:r>
              <w:rPr>
                <w:kern w:val="2"/>
                <w:sz w:val="21"/>
                <w:szCs w:val="21"/>
                <w:lang w:val="zh-CN"/>
              </w:rPr>
              <w:t>4%</w:t>
            </w:r>
            <w:r>
              <w:rPr>
                <w:rFonts w:hint="eastAsia"/>
                <w:kern w:val="2"/>
                <w:sz w:val="21"/>
                <w:szCs w:val="21"/>
                <w:lang w:val="zh-CN"/>
              </w:rPr>
              <w:t>—</w:t>
            </w:r>
            <w:r>
              <w:rPr>
                <w:kern w:val="2"/>
                <w:sz w:val="21"/>
                <w:szCs w:val="21"/>
                <w:lang w:val="zh-CN"/>
              </w:rPr>
              <w:t>6%</w:t>
            </w:r>
            <w:r>
              <w:rPr>
                <w:rFonts w:hint="eastAsia"/>
                <w:kern w:val="2"/>
                <w:sz w:val="21"/>
                <w:szCs w:val="21"/>
                <w:lang w:val="zh-CN"/>
              </w:rPr>
              <w:t>）的扣除，用扣除后的报价参加评审。</w:t>
            </w:r>
          </w:p>
        </w:tc>
      </w:tr>
      <w:tr w14:paraId="4AE6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 w:hRule="atLeast"/>
          <w:jc w:val="center"/>
        </w:trPr>
        <w:tc>
          <w:tcPr>
            <w:tcW w:w="694" w:type="dxa"/>
            <w:vMerge w:val="continue"/>
            <w:vAlign w:val="center"/>
          </w:tcPr>
          <w:p w14:paraId="4E72814C">
            <w:pPr>
              <w:snapToGrid w:val="0"/>
              <w:spacing w:after="200"/>
              <w:ind w:left="142"/>
              <w:jc w:val="center"/>
              <w:rPr>
                <w:rFonts w:hint="eastAsia" w:ascii="宋体" w:hAnsi="宋体"/>
                <w:sz w:val="24"/>
              </w:rPr>
            </w:pPr>
          </w:p>
        </w:tc>
        <w:tc>
          <w:tcPr>
            <w:tcW w:w="1567" w:type="dxa"/>
            <w:vMerge w:val="continue"/>
            <w:vAlign w:val="center"/>
          </w:tcPr>
          <w:p w14:paraId="052A0AC0">
            <w:pPr>
              <w:pStyle w:val="31"/>
              <w:ind w:left="96"/>
              <w:jc w:val="center"/>
              <w:rPr>
                <w:rFonts w:hint="eastAsia"/>
                <w:kern w:val="2"/>
                <w:lang w:val="zh-CN"/>
              </w:rPr>
            </w:pPr>
          </w:p>
        </w:tc>
        <w:tc>
          <w:tcPr>
            <w:tcW w:w="7116" w:type="dxa"/>
            <w:vAlign w:val="center"/>
          </w:tcPr>
          <w:p w14:paraId="638DFB75">
            <w:pPr>
              <w:pStyle w:val="31"/>
              <w:jc w:val="both"/>
              <w:rPr>
                <w:rFonts w:hint="eastAsia"/>
                <w:b/>
                <w:kern w:val="2"/>
                <w:lang w:val="zh-CN"/>
              </w:rPr>
            </w:pPr>
            <w:r>
              <w:rPr>
                <w:rFonts w:hint="eastAsia"/>
                <w:b/>
                <w:lang w:val="zh-CN"/>
              </w:rPr>
              <w:t>√</w:t>
            </w:r>
            <w:r>
              <w:rPr>
                <w:rFonts w:hint="eastAsia"/>
                <w:b/>
                <w:kern w:val="2"/>
                <w:lang w:val="zh-CN"/>
              </w:rPr>
              <w:t>不接受</w:t>
            </w:r>
          </w:p>
        </w:tc>
      </w:tr>
      <w:tr w14:paraId="0BA9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 w:hRule="atLeast"/>
          <w:jc w:val="center"/>
        </w:trPr>
        <w:tc>
          <w:tcPr>
            <w:tcW w:w="694" w:type="dxa"/>
            <w:vMerge w:val="restart"/>
            <w:vAlign w:val="center"/>
          </w:tcPr>
          <w:p w14:paraId="77C9B32A">
            <w:pPr>
              <w:snapToGrid w:val="0"/>
              <w:spacing w:after="200"/>
              <w:jc w:val="center"/>
              <w:rPr>
                <w:rFonts w:hint="eastAsia" w:ascii="宋体" w:hAnsi="宋体"/>
                <w:sz w:val="24"/>
              </w:rPr>
            </w:pPr>
            <w:r>
              <w:rPr>
                <w:rFonts w:ascii="宋体" w:hAnsi="宋体"/>
                <w:sz w:val="24"/>
              </w:rPr>
              <w:t>6</w:t>
            </w:r>
          </w:p>
        </w:tc>
        <w:tc>
          <w:tcPr>
            <w:tcW w:w="1567" w:type="dxa"/>
            <w:vMerge w:val="restart"/>
            <w:vAlign w:val="center"/>
          </w:tcPr>
          <w:p w14:paraId="3EE2F5C1">
            <w:pPr>
              <w:pStyle w:val="31"/>
              <w:ind w:left="96"/>
              <w:jc w:val="center"/>
              <w:rPr>
                <w:rFonts w:hint="eastAsia"/>
                <w:kern w:val="2"/>
                <w:lang w:val="zh-CN"/>
              </w:rPr>
            </w:pPr>
            <w:r>
              <w:rPr>
                <w:kern w:val="2"/>
                <w:lang w:val="zh-CN"/>
              </w:rPr>
              <w:t>履约保证金</w:t>
            </w:r>
          </w:p>
        </w:tc>
        <w:tc>
          <w:tcPr>
            <w:tcW w:w="7116" w:type="dxa"/>
            <w:vAlign w:val="center"/>
          </w:tcPr>
          <w:p w14:paraId="102A8F51">
            <w:pPr>
              <w:ind w:right="94" w:rightChars="45"/>
              <w:rPr>
                <w:rFonts w:hint="eastAsia" w:ascii="宋体" w:hAnsi="宋体" w:cs="宋体"/>
                <w:szCs w:val="21"/>
                <w:lang w:val="zh-CN"/>
              </w:rPr>
            </w:pPr>
            <w:bookmarkStart w:id="0" w:name="OLE_LINK28"/>
            <w:r>
              <w:rPr>
                <w:rFonts w:hint="eastAsia" w:ascii="宋体" w:hAnsi="宋体" w:cs="宋体"/>
                <w:szCs w:val="21"/>
                <w:lang w:val="zh-CN"/>
              </w:rPr>
              <w:t>占政府采购合同金额的_0_%</w:t>
            </w:r>
          </w:p>
          <w:p w14:paraId="646BB77B">
            <w:pPr>
              <w:ind w:right="94" w:rightChars="45"/>
              <w:rPr>
                <w:rFonts w:hint="eastAsia" w:ascii="宋体" w:hAnsi="宋体"/>
                <w:szCs w:val="21"/>
              </w:rPr>
            </w:pPr>
            <w:r>
              <w:rPr>
                <w:rFonts w:hint="eastAsia" w:ascii="宋体" w:hAnsi="宋体" w:cs="宋体"/>
                <w:szCs w:val="21"/>
                <w:lang w:val="zh-CN"/>
              </w:rPr>
              <w:t>履约保证金的数额不得超过政府采购合同金额的5%；对于单价合同，其数额不得超过采购预算的5%。</w:t>
            </w:r>
            <w:bookmarkEnd w:id="0"/>
          </w:p>
        </w:tc>
      </w:tr>
      <w:tr w14:paraId="5DAB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 w:hRule="atLeast"/>
          <w:jc w:val="center"/>
        </w:trPr>
        <w:tc>
          <w:tcPr>
            <w:tcW w:w="694" w:type="dxa"/>
            <w:vMerge w:val="continue"/>
            <w:vAlign w:val="center"/>
          </w:tcPr>
          <w:p w14:paraId="52C119F1">
            <w:pPr>
              <w:snapToGrid w:val="0"/>
              <w:spacing w:after="200"/>
              <w:ind w:left="142"/>
              <w:jc w:val="center"/>
              <w:rPr>
                <w:rFonts w:hint="eastAsia" w:ascii="宋体" w:hAnsi="宋体"/>
                <w:sz w:val="24"/>
              </w:rPr>
            </w:pPr>
          </w:p>
        </w:tc>
        <w:tc>
          <w:tcPr>
            <w:tcW w:w="1567" w:type="dxa"/>
            <w:vMerge w:val="continue"/>
            <w:vAlign w:val="center"/>
          </w:tcPr>
          <w:p w14:paraId="30CD67CB">
            <w:pPr>
              <w:pStyle w:val="31"/>
              <w:ind w:left="96"/>
              <w:jc w:val="center"/>
              <w:rPr>
                <w:rFonts w:hint="eastAsia"/>
                <w:kern w:val="2"/>
                <w:lang w:val="zh-CN"/>
              </w:rPr>
            </w:pPr>
          </w:p>
        </w:tc>
        <w:tc>
          <w:tcPr>
            <w:tcW w:w="7116" w:type="dxa"/>
            <w:vAlign w:val="center"/>
          </w:tcPr>
          <w:p w14:paraId="2B428C5A">
            <w:pPr>
              <w:ind w:right="94" w:rightChars="45"/>
              <w:rPr>
                <w:rFonts w:hint="eastAsia" w:ascii="宋体" w:hAnsi="宋体"/>
                <w:b/>
                <w:szCs w:val="21"/>
              </w:rPr>
            </w:pPr>
            <w:bookmarkStart w:id="1" w:name="OLE_LINK29"/>
            <w:r>
              <w:rPr>
                <w:rFonts w:ascii="宋体" w:hAnsi="宋体"/>
                <w:b/>
                <w:szCs w:val="21"/>
              </w:rPr>
              <w:t>○由采购单位自行收退</w:t>
            </w:r>
          </w:p>
          <w:p w14:paraId="6A1903D8">
            <w:pPr>
              <w:ind w:right="94" w:rightChars="45"/>
              <w:rPr>
                <w:rFonts w:hint="eastAsia" w:ascii="宋体" w:hAnsi="宋体"/>
                <w:b/>
                <w:sz w:val="24"/>
              </w:rPr>
            </w:pPr>
            <w:r>
              <w:rPr>
                <w:rFonts w:ascii="宋体" w:hAnsi="宋体"/>
                <w:b/>
                <w:szCs w:val="21"/>
              </w:rPr>
              <w:t>○由代理机构负责收退</w:t>
            </w:r>
            <w:bookmarkEnd w:id="1"/>
          </w:p>
        </w:tc>
      </w:tr>
      <w:tr w14:paraId="1D3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 w:hRule="atLeast"/>
          <w:jc w:val="center"/>
        </w:trPr>
        <w:tc>
          <w:tcPr>
            <w:tcW w:w="694" w:type="dxa"/>
            <w:vAlign w:val="center"/>
          </w:tcPr>
          <w:p w14:paraId="6AB38CC2">
            <w:pPr>
              <w:snapToGrid w:val="0"/>
              <w:spacing w:after="200"/>
              <w:jc w:val="center"/>
              <w:rPr>
                <w:rFonts w:hint="eastAsia" w:ascii="宋体" w:hAnsi="宋体"/>
                <w:sz w:val="24"/>
              </w:rPr>
            </w:pPr>
            <w:r>
              <w:rPr>
                <w:rFonts w:ascii="宋体" w:hAnsi="宋体"/>
                <w:sz w:val="24"/>
              </w:rPr>
              <w:t>7</w:t>
            </w:r>
          </w:p>
        </w:tc>
        <w:tc>
          <w:tcPr>
            <w:tcW w:w="1567" w:type="dxa"/>
            <w:vAlign w:val="center"/>
          </w:tcPr>
          <w:p w14:paraId="367B3EF1">
            <w:pPr>
              <w:pStyle w:val="31"/>
              <w:ind w:left="96"/>
              <w:jc w:val="center"/>
              <w:rPr>
                <w:rFonts w:hint="eastAsia"/>
                <w:kern w:val="2"/>
                <w:lang w:val="zh-CN"/>
              </w:rPr>
            </w:pPr>
            <w:r>
              <w:rPr>
                <w:kern w:val="2"/>
                <w:lang w:val="zh-CN"/>
              </w:rPr>
              <w:t>集中答疑</w:t>
            </w:r>
          </w:p>
        </w:tc>
        <w:tc>
          <w:tcPr>
            <w:tcW w:w="7116" w:type="dxa"/>
            <w:vAlign w:val="center"/>
          </w:tcPr>
          <w:p w14:paraId="088E17D4">
            <w:pPr>
              <w:ind w:right="94" w:rightChars="45"/>
              <w:rPr>
                <w:rFonts w:hint="eastAsia" w:ascii="宋体" w:hAnsi="宋体"/>
                <w:b/>
                <w:sz w:val="24"/>
              </w:rPr>
            </w:pPr>
            <w:r>
              <w:rPr>
                <w:rFonts w:ascii="宋体" w:hAnsi="宋体"/>
                <w:b/>
                <w:sz w:val="24"/>
              </w:rPr>
              <w:t>○组织，答疑地点为：</w:t>
            </w:r>
            <w:r>
              <w:rPr>
                <w:rFonts w:hint="eastAsia" w:ascii="宋体" w:hAnsi="宋体"/>
                <w:b/>
                <w:sz w:val="24"/>
              </w:rPr>
              <w:t>_______________________</w:t>
            </w:r>
          </w:p>
          <w:p w14:paraId="3087C50B">
            <w:pPr>
              <w:ind w:right="94" w:rightChars="45"/>
              <w:rPr>
                <w:rFonts w:hint="eastAsia" w:ascii="宋体" w:hAnsi="宋体"/>
                <w:b/>
                <w:sz w:val="24"/>
              </w:rPr>
            </w:pPr>
            <w:r>
              <w:rPr>
                <w:rFonts w:hint="eastAsia" w:ascii="宋体" w:hAnsi="宋体"/>
                <w:b/>
                <w:sz w:val="24"/>
              </w:rPr>
              <w:t>√</w:t>
            </w:r>
            <w:r>
              <w:rPr>
                <w:rFonts w:ascii="宋体" w:hAnsi="宋体"/>
                <w:b/>
                <w:sz w:val="24"/>
              </w:rPr>
              <w:t>不组织</w:t>
            </w:r>
          </w:p>
        </w:tc>
      </w:tr>
      <w:tr w14:paraId="7659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 w:hRule="atLeast"/>
          <w:jc w:val="center"/>
        </w:trPr>
        <w:tc>
          <w:tcPr>
            <w:tcW w:w="694" w:type="dxa"/>
            <w:vAlign w:val="center"/>
          </w:tcPr>
          <w:p w14:paraId="6566AD3C">
            <w:pPr>
              <w:snapToGrid w:val="0"/>
              <w:spacing w:after="200"/>
              <w:jc w:val="center"/>
              <w:rPr>
                <w:rFonts w:hint="eastAsia" w:ascii="宋体" w:hAnsi="宋体"/>
                <w:sz w:val="24"/>
              </w:rPr>
            </w:pPr>
            <w:r>
              <w:rPr>
                <w:rFonts w:ascii="宋体" w:hAnsi="宋体"/>
                <w:sz w:val="24"/>
              </w:rPr>
              <w:t>8</w:t>
            </w:r>
          </w:p>
        </w:tc>
        <w:tc>
          <w:tcPr>
            <w:tcW w:w="1567" w:type="dxa"/>
            <w:vAlign w:val="center"/>
          </w:tcPr>
          <w:p w14:paraId="38602313">
            <w:pPr>
              <w:pStyle w:val="31"/>
              <w:ind w:left="96"/>
              <w:jc w:val="center"/>
              <w:rPr>
                <w:rFonts w:hint="eastAsia"/>
                <w:kern w:val="2"/>
                <w:lang w:val="zh-CN"/>
              </w:rPr>
            </w:pPr>
            <w:r>
              <w:rPr>
                <w:kern w:val="2"/>
                <w:lang w:val="zh-CN"/>
              </w:rPr>
              <w:t>价格分比重</w:t>
            </w:r>
          </w:p>
        </w:tc>
        <w:tc>
          <w:tcPr>
            <w:tcW w:w="7116" w:type="dxa"/>
            <w:vAlign w:val="center"/>
          </w:tcPr>
          <w:p w14:paraId="0A8DACF3">
            <w:pPr>
              <w:widowControl/>
              <w:rPr>
                <w:rFonts w:hint="eastAsia"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u w:val="single"/>
                <w:lang w:val="en-US" w:eastAsia="zh-CN"/>
              </w:rPr>
              <w:t>2</w:t>
            </w:r>
            <w:r>
              <w:rPr>
                <w:rFonts w:hint="eastAsia" w:ascii="宋体" w:hAnsi="宋体" w:cs="宋体"/>
                <w:b/>
                <w:kern w:val="0"/>
                <w:sz w:val="24"/>
                <w:szCs w:val="24"/>
                <w:u w:val="single"/>
                <w:lang w:val="zh-CN"/>
              </w:rPr>
              <w:t>0</w:t>
            </w:r>
            <w:r>
              <w:rPr>
                <w:rFonts w:hint="eastAsia" w:ascii="宋体" w:hAnsi="宋体" w:cs="宋体"/>
                <w:b/>
                <w:kern w:val="0"/>
                <w:sz w:val="24"/>
                <w:szCs w:val="24"/>
                <w:lang w:val="zh-CN"/>
              </w:rPr>
              <w:t>%</w:t>
            </w:r>
          </w:p>
          <w:p w14:paraId="15099313">
            <w:pPr>
              <w:widowControl/>
              <w:rPr>
                <w:rFonts w:hint="eastAsia"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14:paraId="4A6E2610">
            <w:pPr>
              <w:widowControl/>
              <w:rPr>
                <w:rFonts w:hint="eastAsia"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14:paraId="45837DD2">
            <w:pPr>
              <w:widowControl/>
              <w:rPr>
                <w:rFonts w:hint="eastAsia" w:ascii="宋体" w:hAnsi="宋体" w:cs="宋体"/>
                <w:kern w:val="0"/>
                <w:szCs w:val="21"/>
                <w:lang w:val="zh-CN"/>
              </w:rPr>
            </w:pPr>
            <w:r>
              <w:rPr>
                <w:rFonts w:hint="eastAsia" w:ascii="宋体" w:hAnsi="宋体" w:cs="宋体"/>
                <w:kern w:val="0"/>
                <w:szCs w:val="21"/>
                <w:lang w:val="zh-CN"/>
              </w:rPr>
              <w:t>[其他采购方式]无须设置。</w:t>
            </w:r>
          </w:p>
        </w:tc>
      </w:tr>
      <w:tr w14:paraId="5463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 w:hRule="atLeast"/>
          <w:jc w:val="center"/>
        </w:trPr>
        <w:tc>
          <w:tcPr>
            <w:tcW w:w="694" w:type="dxa"/>
            <w:vAlign w:val="center"/>
          </w:tcPr>
          <w:p w14:paraId="4967CEE5">
            <w:pPr>
              <w:snapToGrid w:val="0"/>
              <w:spacing w:after="200"/>
              <w:jc w:val="center"/>
              <w:rPr>
                <w:rFonts w:hint="eastAsia" w:ascii="宋体" w:hAnsi="宋体"/>
                <w:sz w:val="24"/>
              </w:rPr>
            </w:pPr>
            <w:r>
              <w:rPr>
                <w:rFonts w:ascii="宋体" w:hAnsi="宋体"/>
                <w:sz w:val="24"/>
              </w:rPr>
              <w:t>9</w:t>
            </w:r>
          </w:p>
        </w:tc>
        <w:tc>
          <w:tcPr>
            <w:tcW w:w="1567" w:type="dxa"/>
            <w:vAlign w:val="center"/>
          </w:tcPr>
          <w:p w14:paraId="5A60F18C">
            <w:pPr>
              <w:pStyle w:val="31"/>
              <w:ind w:left="96"/>
              <w:jc w:val="center"/>
              <w:rPr>
                <w:rFonts w:hint="eastAsia"/>
                <w:kern w:val="2"/>
                <w:lang w:val="zh-CN"/>
              </w:rPr>
            </w:pPr>
            <w:r>
              <w:rPr>
                <w:kern w:val="2"/>
                <w:lang w:val="zh-CN"/>
              </w:rPr>
              <w:t>合同类型</w:t>
            </w:r>
          </w:p>
        </w:tc>
        <w:tc>
          <w:tcPr>
            <w:tcW w:w="7116" w:type="dxa"/>
            <w:vAlign w:val="center"/>
          </w:tcPr>
          <w:p w14:paraId="7BE8C7DF">
            <w:pPr>
              <w:rPr>
                <w:rFonts w:hint="eastAsia" w:ascii="宋体" w:hAnsi="宋体"/>
                <w:b/>
                <w:sz w:val="24"/>
                <w:lang w:val="zh-CN"/>
              </w:rPr>
            </w:pPr>
            <w:r>
              <w:rPr>
                <w:rFonts w:hint="eastAsia" w:ascii="宋体" w:hAnsi="宋体"/>
                <w:b/>
                <w:sz w:val="24"/>
                <w:lang w:val="zh-CN"/>
              </w:rPr>
              <w:t>√</w:t>
            </w:r>
            <w:r>
              <w:rPr>
                <w:rFonts w:ascii="宋体" w:hAnsi="宋体"/>
                <w:b/>
                <w:sz w:val="24"/>
                <w:lang w:val="zh-CN"/>
              </w:rPr>
              <w:t>固定总价</w:t>
            </w:r>
          </w:p>
          <w:p w14:paraId="2B23C708">
            <w:pPr>
              <w:rPr>
                <w:rFonts w:hint="eastAsia" w:ascii="宋体" w:hAnsi="宋体"/>
                <w:b/>
                <w:sz w:val="24"/>
                <w:lang w:val="zh-CN"/>
              </w:rPr>
            </w:pPr>
            <w:r>
              <w:rPr>
                <w:rFonts w:ascii="宋体" w:hAnsi="宋体"/>
                <w:b/>
                <w:sz w:val="24"/>
                <w:lang w:val="zh-CN"/>
              </w:rPr>
              <w:t>○固定单价（适用于采购数量不定的情形）</w:t>
            </w:r>
          </w:p>
          <w:p w14:paraId="4131758F">
            <w:pPr>
              <w:rPr>
                <w:rFonts w:hint="eastAsia"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14:paraId="59B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 w:hRule="atLeast"/>
          <w:jc w:val="center"/>
        </w:trPr>
        <w:tc>
          <w:tcPr>
            <w:tcW w:w="694" w:type="dxa"/>
            <w:vAlign w:val="center"/>
          </w:tcPr>
          <w:p w14:paraId="07AA220A">
            <w:pPr>
              <w:snapToGrid w:val="0"/>
              <w:spacing w:after="200"/>
              <w:jc w:val="center"/>
              <w:rPr>
                <w:rFonts w:hint="eastAsia" w:ascii="宋体" w:hAnsi="宋体"/>
                <w:sz w:val="24"/>
              </w:rPr>
            </w:pPr>
            <w:r>
              <w:rPr>
                <w:rFonts w:ascii="宋体" w:hAnsi="宋体"/>
                <w:sz w:val="24"/>
              </w:rPr>
              <w:t>10</w:t>
            </w:r>
          </w:p>
        </w:tc>
        <w:tc>
          <w:tcPr>
            <w:tcW w:w="1567" w:type="dxa"/>
            <w:vAlign w:val="center"/>
          </w:tcPr>
          <w:p w14:paraId="1ED5A580">
            <w:pPr>
              <w:tabs>
                <w:tab w:val="left" w:pos="7665"/>
              </w:tabs>
              <w:snapToGrid w:val="0"/>
              <w:jc w:val="center"/>
              <w:rPr>
                <w:rFonts w:hint="eastAsia" w:ascii="宋体" w:hAnsi="宋体"/>
                <w:sz w:val="24"/>
              </w:rPr>
            </w:pPr>
            <w:r>
              <w:rPr>
                <w:rFonts w:ascii="宋体" w:hAnsi="宋体"/>
                <w:sz w:val="24"/>
              </w:rPr>
              <w:t>争议解决途径</w:t>
            </w:r>
          </w:p>
        </w:tc>
        <w:tc>
          <w:tcPr>
            <w:tcW w:w="7116" w:type="dxa"/>
            <w:vAlign w:val="center"/>
          </w:tcPr>
          <w:p w14:paraId="65F120C3">
            <w:pPr>
              <w:tabs>
                <w:tab w:val="left" w:pos="7665"/>
              </w:tabs>
              <w:snapToGrid w:val="0"/>
              <w:rPr>
                <w:rFonts w:hint="eastAsia" w:ascii="宋体" w:hAnsi="宋体"/>
                <w:b/>
                <w:sz w:val="24"/>
              </w:rPr>
            </w:pPr>
            <w:r>
              <w:rPr>
                <w:rFonts w:hint="eastAsia" w:ascii="宋体" w:hAnsi="宋体"/>
                <w:b/>
                <w:sz w:val="24"/>
              </w:rPr>
              <w:t>√</w:t>
            </w:r>
            <w:r>
              <w:rPr>
                <w:rFonts w:ascii="宋体" w:hAnsi="宋体"/>
                <w:b/>
                <w:sz w:val="24"/>
              </w:rPr>
              <w:t>向有管辖权的人民法院提起诉讼</w:t>
            </w:r>
          </w:p>
          <w:p w14:paraId="29A39E7E">
            <w:pPr>
              <w:tabs>
                <w:tab w:val="left" w:pos="7665"/>
              </w:tabs>
              <w:snapToGrid w:val="0"/>
              <w:rPr>
                <w:rFonts w:hint="eastAsia" w:ascii="宋体" w:hAnsi="宋体"/>
                <w:b/>
                <w:sz w:val="24"/>
              </w:rPr>
            </w:pPr>
            <w:r>
              <w:rPr>
                <w:rFonts w:ascii="宋体" w:hAnsi="宋体"/>
                <w:b/>
                <w:sz w:val="24"/>
              </w:rPr>
              <w:t>○向西安仲裁委员会提请仲裁</w:t>
            </w:r>
          </w:p>
          <w:p w14:paraId="408A2415">
            <w:pPr>
              <w:tabs>
                <w:tab w:val="left" w:pos="7665"/>
              </w:tabs>
              <w:snapToGrid w:val="0"/>
              <w:rPr>
                <w:rFonts w:hint="eastAsia" w:ascii="宋体" w:hAnsi="宋体"/>
                <w:sz w:val="24"/>
              </w:rPr>
            </w:pPr>
            <w:r>
              <w:rPr>
                <w:rFonts w:ascii="宋体" w:hAnsi="宋体"/>
                <w:b/>
                <w:sz w:val="24"/>
              </w:rPr>
              <w:t>○由供应商做出选择</w:t>
            </w:r>
          </w:p>
        </w:tc>
      </w:tr>
      <w:tr w14:paraId="11A4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 w:hRule="atLeast"/>
          <w:jc w:val="center"/>
        </w:trPr>
        <w:tc>
          <w:tcPr>
            <w:tcW w:w="694" w:type="dxa"/>
            <w:vAlign w:val="center"/>
          </w:tcPr>
          <w:p w14:paraId="1D015183">
            <w:pPr>
              <w:snapToGrid w:val="0"/>
              <w:spacing w:after="200"/>
              <w:jc w:val="center"/>
              <w:rPr>
                <w:rFonts w:hint="eastAsia" w:ascii="宋体" w:hAnsi="宋体"/>
                <w:sz w:val="24"/>
              </w:rPr>
            </w:pPr>
            <w:r>
              <w:rPr>
                <w:rFonts w:ascii="宋体" w:hAnsi="宋体"/>
                <w:sz w:val="24"/>
              </w:rPr>
              <w:t>11</w:t>
            </w:r>
          </w:p>
        </w:tc>
        <w:tc>
          <w:tcPr>
            <w:tcW w:w="1567" w:type="dxa"/>
            <w:vAlign w:val="center"/>
          </w:tcPr>
          <w:p w14:paraId="50910C7B">
            <w:pPr>
              <w:snapToGrid w:val="0"/>
              <w:jc w:val="center"/>
              <w:rPr>
                <w:rFonts w:hint="eastAsia" w:ascii="宋体" w:hAnsi="宋体"/>
                <w:sz w:val="24"/>
              </w:rPr>
            </w:pPr>
            <w:r>
              <w:rPr>
                <w:rFonts w:hint="eastAsia" w:ascii="宋体" w:hAnsi="宋体"/>
                <w:sz w:val="24"/>
              </w:rPr>
              <w:t>联系方式</w:t>
            </w:r>
          </w:p>
        </w:tc>
        <w:tc>
          <w:tcPr>
            <w:tcW w:w="7116" w:type="dxa"/>
            <w:vAlign w:val="center"/>
          </w:tcPr>
          <w:p w14:paraId="71EEFA4C">
            <w:pPr>
              <w:tabs>
                <w:tab w:val="left" w:pos="7665"/>
              </w:tabs>
              <w:snapToGrid w:val="0"/>
              <w:rPr>
                <w:rFonts w:hint="eastAsia" w:ascii="宋体" w:hAnsi="宋体"/>
                <w:b/>
                <w:bCs/>
                <w:sz w:val="24"/>
              </w:rPr>
            </w:pPr>
            <w:r>
              <w:rPr>
                <w:rFonts w:hint="eastAsia" w:ascii="宋体" w:hAnsi="宋体"/>
                <w:b/>
                <w:bCs/>
                <w:sz w:val="24"/>
              </w:rPr>
              <w:t>项目对接人：</w:t>
            </w:r>
            <w:r>
              <w:rPr>
                <w:rFonts w:hint="eastAsia" w:ascii="宋体" w:hAnsi="宋体"/>
                <w:b/>
                <w:bCs/>
                <w:sz w:val="24"/>
                <w:u w:val="single"/>
              </w:rPr>
              <w:t>李若飞</w:t>
            </w:r>
          </w:p>
          <w:p w14:paraId="7DEA86CC">
            <w:pPr>
              <w:tabs>
                <w:tab w:val="left" w:pos="7665"/>
              </w:tabs>
              <w:snapToGrid w:val="0"/>
              <w:rPr>
                <w:rFonts w:hint="eastAsia" w:ascii="宋体" w:hAnsi="宋体"/>
                <w:b/>
                <w:bCs/>
                <w:sz w:val="24"/>
                <w:u w:val="single"/>
              </w:rPr>
            </w:pPr>
            <w:r>
              <w:rPr>
                <w:rFonts w:ascii="宋体" w:hAnsi="宋体"/>
                <w:b/>
                <w:bCs/>
                <w:sz w:val="24"/>
              </w:rPr>
              <w:t>联系电话：</w:t>
            </w:r>
            <w:r>
              <w:rPr>
                <w:rFonts w:hint="eastAsia" w:ascii="宋体" w:hAnsi="宋体"/>
                <w:b/>
                <w:bCs/>
                <w:sz w:val="24"/>
                <w:u w:val="single"/>
              </w:rPr>
              <w:t>13259866656</w:t>
            </w:r>
          </w:p>
          <w:p w14:paraId="60EB702B">
            <w:pPr>
              <w:tabs>
                <w:tab w:val="left" w:pos="7665"/>
              </w:tabs>
              <w:snapToGrid w:val="0"/>
              <w:rPr>
                <w:rFonts w:hint="eastAsia" w:ascii="宋体" w:hAnsi="宋体"/>
                <w:sz w:val="24"/>
              </w:rPr>
            </w:pPr>
            <w:r>
              <w:rPr>
                <w:rFonts w:ascii="宋体" w:hAnsi="宋体"/>
                <w:b/>
                <w:bCs/>
                <w:sz w:val="24"/>
              </w:rPr>
              <w:t>电子邮箱：</w:t>
            </w:r>
            <w:r>
              <w:rPr>
                <w:rFonts w:hint="eastAsia" w:ascii="宋体" w:hAnsi="宋体"/>
                <w:b/>
                <w:bCs/>
                <w:sz w:val="24"/>
                <w:u w:val="single"/>
              </w:rPr>
              <w:t>2393228990@qq.com</w:t>
            </w:r>
          </w:p>
        </w:tc>
      </w:tr>
    </w:tbl>
    <w:p w14:paraId="227FA078">
      <w:pPr>
        <w:widowControl/>
        <w:jc w:val="center"/>
        <w:rPr>
          <w:rFonts w:hint="eastAsia" w:ascii="仿宋" w:hAnsi="仿宋" w:eastAsia="仿宋"/>
          <w:b/>
          <w:sz w:val="32"/>
          <w:szCs w:val="32"/>
        </w:rPr>
      </w:pPr>
    </w:p>
    <w:p w14:paraId="40906922">
      <w:pPr>
        <w:widowControl/>
        <w:jc w:val="center"/>
        <w:rPr>
          <w:rFonts w:hint="eastAsia" w:ascii="仿宋" w:hAnsi="仿宋" w:eastAsia="仿宋"/>
          <w:b/>
          <w:sz w:val="32"/>
          <w:szCs w:val="32"/>
        </w:rPr>
      </w:pPr>
    </w:p>
    <w:p w14:paraId="13879BA6">
      <w:pPr>
        <w:widowControl/>
        <w:jc w:val="center"/>
        <w:rPr>
          <w:rFonts w:hint="eastAsia"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14:paraId="5E206CF4">
      <w:pPr>
        <w:pBdr>
          <w:bottom w:val="single" w:color="auto" w:sz="4" w:space="1"/>
        </w:pBdr>
        <w:spacing w:before="312" w:beforeLines="100"/>
        <w:ind w:left="420" w:hanging="420"/>
        <w:rPr>
          <w:rFonts w:hint="eastAsia"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14:paraId="2DF5D13B">
      <w:pPr>
        <w:spacing w:line="460" w:lineRule="exact"/>
        <w:jc w:val="left"/>
        <w:rPr>
          <w:rFonts w:hint="eastAsia" w:ascii="仿宋" w:hAnsi="仿宋" w:eastAsia="仿宋"/>
          <w:color w:val="auto"/>
          <w:sz w:val="28"/>
          <w:szCs w:val="28"/>
        </w:rPr>
      </w:pPr>
      <w:r>
        <w:rPr>
          <w:rFonts w:hint="eastAsia" w:ascii="仿宋" w:hAnsi="仿宋" w:eastAsia="仿宋"/>
          <w:sz w:val="28"/>
          <w:szCs w:val="28"/>
        </w:rPr>
        <w:t>项</w:t>
      </w:r>
      <w:r>
        <w:rPr>
          <w:rFonts w:hint="eastAsia" w:ascii="仿宋" w:hAnsi="仿宋" w:eastAsia="仿宋"/>
          <w:color w:val="auto"/>
          <w:sz w:val="28"/>
          <w:szCs w:val="28"/>
        </w:rPr>
        <w:t>目名称：2025年第一批市级农业农村发展专项资金项目（耕地安全利</w:t>
      </w:r>
      <w:r>
        <w:rPr>
          <w:rFonts w:hint="eastAsia" w:ascii="仿宋" w:hAnsi="仿宋" w:eastAsia="仿宋"/>
          <w:color w:val="auto"/>
          <w:sz w:val="28"/>
          <w:szCs w:val="28"/>
          <w:lang w:val="en-US" w:eastAsia="zh-CN"/>
        </w:rPr>
        <w:t>用</w:t>
      </w:r>
      <w:r>
        <w:rPr>
          <w:rFonts w:hint="eastAsia" w:ascii="仿宋" w:hAnsi="仿宋" w:eastAsia="仿宋"/>
          <w:color w:val="auto"/>
          <w:sz w:val="28"/>
          <w:szCs w:val="28"/>
        </w:rPr>
        <w:t>及严格管控）</w:t>
      </w:r>
    </w:p>
    <w:p w14:paraId="336DF0FF">
      <w:pPr>
        <w:spacing w:line="460" w:lineRule="exact"/>
        <w:jc w:val="left"/>
        <w:rPr>
          <w:rFonts w:hint="eastAsia" w:ascii="仿宋" w:hAnsi="仿宋" w:eastAsia="仿宋"/>
          <w:color w:val="auto"/>
          <w:sz w:val="28"/>
          <w:szCs w:val="28"/>
        </w:rPr>
      </w:pPr>
      <w:r>
        <w:rPr>
          <w:rFonts w:hint="eastAsia" w:ascii="仿宋" w:hAnsi="仿宋" w:eastAsia="仿宋"/>
          <w:color w:val="auto"/>
          <w:sz w:val="28"/>
          <w:szCs w:val="28"/>
        </w:rPr>
        <w:t>采购方式：部门集中采购</w:t>
      </w:r>
    </w:p>
    <w:p w14:paraId="75AF005C">
      <w:pPr>
        <w:spacing w:line="460" w:lineRule="exact"/>
        <w:jc w:val="left"/>
        <w:rPr>
          <w:rFonts w:hint="eastAsia" w:ascii="仿宋" w:hAnsi="仿宋" w:eastAsia="仿宋"/>
          <w:color w:val="auto"/>
          <w:sz w:val="28"/>
          <w:szCs w:val="28"/>
        </w:rPr>
      </w:pPr>
      <w:r>
        <w:rPr>
          <w:rFonts w:hint="eastAsia" w:ascii="仿宋" w:hAnsi="仿宋" w:eastAsia="仿宋"/>
          <w:color w:val="auto"/>
          <w:sz w:val="28"/>
          <w:szCs w:val="28"/>
        </w:rPr>
        <w:t>预算金额：1182000.00元。</w:t>
      </w:r>
    </w:p>
    <w:p w14:paraId="5E27346D">
      <w:pPr>
        <w:spacing w:line="460" w:lineRule="exact"/>
        <w:rPr>
          <w:rFonts w:hint="eastAsia" w:ascii="仿宋" w:hAnsi="仿宋" w:eastAsia="仿宋"/>
          <w:color w:val="auto"/>
          <w:sz w:val="28"/>
          <w:szCs w:val="28"/>
        </w:rPr>
      </w:pPr>
      <w:r>
        <w:rPr>
          <w:rFonts w:hint="eastAsia" w:ascii="仿宋" w:hAnsi="仿宋" w:eastAsia="仿宋"/>
          <w:color w:val="auto"/>
          <w:sz w:val="28"/>
          <w:szCs w:val="28"/>
        </w:rPr>
        <w:t>实施规模及内容：针对阎良区2363.81亩受污染耕地，对全区在安全利用类耕地全部落实农艺调控、土壤改良、生物修复等技术措施，开展土壤及农产品协同监测、农户培训等，措施覆盖率达</w:t>
      </w:r>
      <w:r>
        <w:rPr>
          <w:rFonts w:hint="eastAsia" w:ascii="仿宋" w:hAnsi="仿宋" w:eastAsia="仿宋"/>
          <w:color w:val="auto"/>
          <w:sz w:val="28"/>
          <w:szCs w:val="28"/>
          <w:lang w:val="en-US" w:eastAsia="zh-CN"/>
        </w:rPr>
        <w:t>93</w:t>
      </w:r>
      <w:r>
        <w:rPr>
          <w:rFonts w:hint="eastAsia" w:ascii="仿宋" w:hAnsi="仿宋" w:eastAsia="仿宋"/>
          <w:color w:val="auto"/>
          <w:sz w:val="28"/>
          <w:szCs w:val="28"/>
        </w:rPr>
        <w:t>%</w:t>
      </w:r>
      <w:r>
        <w:rPr>
          <w:rFonts w:hint="eastAsia" w:ascii="仿宋" w:hAnsi="仿宋" w:eastAsia="仿宋"/>
          <w:color w:val="auto"/>
          <w:sz w:val="28"/>
          <w:szCs w:val="28"/>
          <w:lang w:val="en-US" w:eastAsia="zh-CN"/>
        </w:rPr>
        <w:t>以上</w:t>
      </w:r>
      <w:r>
        <w:rPr>
          <w:rFonts w:hint="eastAsia" w:ascii="仿宋" w:hAnsi="仿宋" w:eastAsia="仿宋"/>
          <w:color w:val="auto"/>
          <w:sz w:val="28"/>
          <w:szCs w:val="28"/>
        </w:rPr>
        <w:t>。</w:t>
      </w:r>
    </w:p>
    <w:p w14:paraId="29B70CBE">
      <w:pPr>
        <w:pBdr>
          <w:bottom w:val="single" w:color="auto" w:sz="4" w:space="1"/>
        </w:pBdr>
        <w:spacing w:before="312" w:beforeLines="100"/>
        <w:ind w:left="420" w:hanging="420"/>
        <w:rPr>
          <w:rFonts w:hint="eastAsia" w:ascii="仿宋" w:hAnsi="仿宋" w:eastAsia="仿宋"/>
          <w:b/>
          <w:color w:val="auto"/>
          <w:sz w:val="28"/>
          <w:szCs w:val="28"/>
        </w:rPr>
      </w:pPr>
      <w:r>
        <w:rPr>
          <w:rFonts w:hint="eastAsia" w:ascii="仿宋" w:hAnsi="仿宋" w:eastAsia="仿宋"/>
          <w:b/>
          <w:color w:val="auto"/>
          <w:sz w:val="28"/>
          <w:szCs w:val="28"/>
        </w:rPr>
        <w:t>二、服务内容（包括工作区域、工作内容等）</w:t>
      </w:r>
    </w:p>
    <w:p w14:paraId="153DB0D8">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1、在前期的试验工作基础上，通过土壤调理和叶面阻控技术治理受污染耕地，明确两种技术模式下的污染耕地治理效果，为全区推广，农户培训做基础；</w:t>
      </w:r>
    </w:p>
    <w:p w14:paraId="5FE70EC2">
      <w:pPr>
        <w:spacing w:line="4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2、对全区2363.81亩受污染耕地实施安全利用措施，确保全区受污染耕地安全利用率达到93%以上；</w:t>
      </w:r>
    </w:p>
    <w:p w14:paraId="6CE8507B">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3，在此基础上，开展土壤及农产品协同监测，确保全区农作物重金属污染防控达标。</w:t>
      </w:r>
    </w:p>
    <w:p w14:paraId="167D0D9F">
      <w:pPr>
        <w:numPr>
          <w:ilvl w:val="0"/>
          <w:numId w:val="1"/>
        </w:numPr>
        <w:pBdr>
          <w:bottom w:val="single" w:color="auto" w:sz="4" w:space="1"/>
        </w:pBdr>
        <w:spacing w:before="312" w:beforeLines="100"/>
        <w:ind w:left="420" w:hanging="420"/>
        <w:rPr>
          <w:rFonts w:hint="eastAsia" w:ascii="仿宋" w:hAnsi="仿宋" w:eastAsia="仿宋"/>
          <w:b/>
          <w:color w:val="auto"/>
          <w:sz w:val="28"/>
          <w:szCs w:val="28"/>
        </w:rPr>
      </w:pPr>
      <w:r>
        <w:rPr>
          <w:rFonts w:hint="eastAsia" w:ascii="仿宋" w:hAnsi="仿宋" w:eastAsia="仿宋"/>
          <w:b/>
          <w:color w:val="auto"/>
          <w:sz w:val="28"/>
          <w:szCs w:val="28"/>
        </w:rPr>
        <w:t>技术要求（如有，一般适合于技术服务项目）</w:t>
      </w:r>
    </w:p>
    <w:p w14:paraId="2DF61FEF">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针对受污染耕地施用土壤钝化剂和叶面阻控剂。同时根据采购人提供面积与范围搭配实施深翻耕地、秸秆还田以及调整种植制度等方法，同时进行土壤、农作物协同监测，使全区2363.81亩土壤安全利用率达到93%以上。</w:t>
      </w:r>
    </w:p>
    <w:p w14:paraId="5170EBC9">
      <w:pPr>
        <w:pBdr>
          <w:bottom w:val="single" w:color="auto" w:sz="4" w:space="1"/>
        </w:pBdr>
        <w:spacing w:before="312" w:beforeLines="100"/>
        <w:rPr>
          <w:rFonts w:hint="eastAsia" w:ascii="仿宋" w:hAnsi="仿宋" w:eastAsia="仿宋"/>
          <w:b/>
          <w:color w:val="auto"/>
          <w:sz w:val="28"/>
          <w:szCs w:val="28"/>
        </w:rPr>
      </w:pPr>
      <w:r>
        <w:rPr>
          <w:rFonts w:hint="eastAsia" w:ascii="仿宋" w:hAnsi="仿宋" w:eastAsia="仿宋"/>
          <w:b/>
          <w:color w:val="auto"/>
          <w:sz w:val="28"/>
          <w:szCs w:val="28"/>
        </w:rPr>
        <w:t>四、服务要求（如对人员配置、专业设备、服务标准等）</w:t>
      </w:r>
    </w:p>
    <w:p w14:paraId="2760EC29">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在合同执行过程中需要服务商应执行的相关服务标准和应当履行的相关义务。</w:t>
      </w:r>
    </w:p>
    <w:p w14:paraId="3ADAB0EE">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供应商须进一步细化年度项目实施方案，明确各项技术措施数量指标。服务期内需对土壤进行修复研究，对土壤、农产品采样等，建立实验示范点，对受污染土地施加有机肥等相关措施，确保受污染耕地能得到有效恢复。</w:t>
      </w:r>
    </w:p>
    <w:p w14:paraId="47AF284D">
      <w:pPr>
        <w:pBdr>
          <w:bottom w:val="single" w:color="auto" w:sz="4" w:space="1"/>
        </w:pBdr>
        <w:spacing w:before="312" w:beforeLines="100"/>
        <w:ind w:left="420" w:hanging="420"/>
        <w:rPr>
          <w:rFonts w:hint="eastAsia" w:ascii="仿宋" w:hAnsi="仿宋" w:eastAsia="仿宋"/>
          <w:b/>
          <w:sz w:val="28"/>
          <w:szCs w:val="28"/>
        </w:rPr>
      </w:pPr>
      <w:r>
        <w:rPr>
          <w:rFonts w:hint="eastAsia" w:ascii="仿宋" w:hAnsi="仿宋" w:eastAsia="仿宋"/>
          <w:b/>
          <w:sz w:val="28"/>
          <w:szCs w:val="28"/>
        </w:rPr>
        <w:t>五、商务要求（如服务期限、款项结算等）</w:t>
      </w:r>
    </w:p>
    <w:p w14:paraId="2C473461">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（一）服务期限</w:t>
      </w:r>
    </w:p>
    <w:p w14:paraId="2AF8D37D">
      <w:pPr>
        <w:spacing w:line="460" w:lineRule="exact"/>
        <w:ind w:firstLine="560" w:firstLineChars="200"/>
        <w:jc w:val="left"/>
        <w:rPr>
          <w:rFonts w:hint="eastAsia" w:ascii="仿宋" w:hAnsi="仿宋" w:eastAsia="仿宋"/>
          <w:color w:val="auto"/>
          <w:sz w:val="28"/>
          <w:szCs w:val="28"/>
          <w:lang w:val="zh-CN"/>
        </w:rPr>
      </w:pPr>
      <w:r>
        <w:rPr>
          <w:rFonts w:hint="eastAsia" w:ascii="仿宋" w:hAnsi="仿宋" w:eastAsia="仿宋"/>
          <w:color w:val="auto"/>
          <w:sz w:val="28"/>
          <w:szCs w:val="28"/>
          <w:lang w:val="zh-CN"/>
        </w:rPr>
        <w:t>一、</w:t>
      </w:r>
      <w:r>
        <w:rPr>
          <w:rFonts w:hint="eastAsia" w:ascii="仿宋" w:hAnsi="仿宋" w:eastAsia="仿宋"/>
          <w:color w:val="auto"/>
          <w:sz w:val="28"/>
          <w:szCs w:val="28"/>
        </w:rPr>
        <w:t>服务地点</w:t>
      </w:r>
      <w:r>
        <w:rPr>
          <w:rFonts w:hint="eastAsia" w:ascii="仿宋" w:hAnsi="仿宋" w:eastAsia="仿宋"/>
          <w:color w:val="auto"/>
          <w:sz w:val="28"/>
          <w:szCs w:val="28"/>
          <w:lang w:val="zh-CN"/>
        </w:rPr>
        <w:t>：</w:t>
      </w:r>
      <w:r>
        <w:rPr>
          <w:rFonts w:hint="eastAsia" w:ascii="仿宋" w:hAnsi="仿宋" w:eastAsia="仿宋"/>
          <w:color w:val="auto"/>
          <w:sz w:val="28"/>
          <w:szCs w:val="28"/>
        </w:rPr>
        <w:t>采购人</w:t>
      </w:r>
      <w:r>
        <w:rPr>
          <w:rFonts w:hint="eastAsia" w:ascii="仿宋" w:hAnsi="仿宋" w:eastAsia="仿宋"/>
          <w:color w:val="auto"/>
          <w:sz w:val="28"/>
          <w:szCs w:val="28"/>
          <w:lang w:val="zh-CN"/>
        </w:rPr>
        <w:t>指定地点。</w:t>
      </w:r>
    </w:p>
    <w:p w14:paraId="468C8F94">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lang w:val="zh-CN"/>
        </w:rPr>
        <w:t>二、</w:t>
      </w:r>
      <w:r>
        <w:rPr>
          <w:rFonts w:hint="eastAsia" w:ascii="仿宋" w:hAnsi="仿宋" w:eastAsia="仿宋"/>
          <w:color w:val="auto"/>
          <w:sz w:val="28"/>
          <w:szCs w:val="28"/>
        </w:rPr>
        <w:t>服务期限</w:t>
      </w:r>
      <w:r>
        <w:rPr>
          <w:rFonts w:hint="eastAsia" w:ascii="仿宋" w:hAnsi="仿宋" w:eastAsia="仿宋"/>
          <w:color w:val="auto"/>
          <w:sz w:val="28"/>
          <w:szCs w:val="28"/>
          <w:lang w:val="zh-CN"/>
        </w:rPr>
        <w:t>：合同签订之日至202</w:t>
      </w:r>
      <w:r>
        <w:rPr>
          <w:rFonts w:hint="eastAsia" w:ascii="仿宋" w:hAnsi="仿宋" w:eastAsia="仿宋"/>
          <w:color w:val="auto"/>
          <w:sz w:val="28"/>
          <w:szCs w:val="28"/>
        </w:rPr>
        <w:t>6</w:t>
      </w:r>
      <w:r>
        <w:rPr>
          <w:rFonts w:hint="eastAsia" w:ascii="仿宋" w:hAnsi="仿宋" w:eastAsia="仿宋"/>
          <w:color w:val="auto"/>
          <w:sz w:val="28"/>
          <w:szCs w:val="28"/>
          <w:lang w:val="zh-CN"/>
        </w:rPr>
        <w:t>年</w:t>
      </w:r>
      <w:r>
        <w:rPr>
          <w:rFonts w:hint="eastAsia" w:ascii="仿宋" w:hAnsi="仿宋" w:eastAsia="仿宋"/>
          <w:color w:val="auto"/>
          <w:sz w:val="28"/>
          <w:szCs w:val="28"/>
        </w:rPr>
        <w:t>7</w:t>
      </w:r>
      <w:r>
        <w:rPr>
          <w:rFonts w:hint="eastAsia" w:ascii="仿宋" w:hAnsi="仿宋" w:eastAsia="仿宋"/>
          <w:color w:val="auto"/>
          <w:sz w:val="28"/>
          <w:szCs w:val="28"/>
          <w:lang w:val="zh-CN"/>
        </w:rPr>
        <w:t>月</w:t>
      </w:r>
      <w:r>
        <w:rPr>
          <w:rFonts w:hint="eastAsia" w:ascii="仿宋" w:hAnsi="仿宋" w:eastAsia="仿宋"/>
          <w:color w:val="auto"/>
          <w:sz w:val="28"/>
          <w:szCs w:val="28"/>
        </w:rPr>
        <w:t>31</w:t>
      </w:r>
      <w:r>
        <w:rPr>
          <w:rFonts w:hint="eastAsia" w:ascii="仿宋" w:hAnsi="仿宋" w:eastAsia="仿宋"/>
          <w:color w:val="auto"/>
          <w:sz w:val="28"/>
          <w:szCs w:val="28"/>
          <w:lang w:val="zh-CN"/>
        </w:rPr>
        <w:t>日前。</w:t>
      </w:r>
    </w:p>
    <w:p w14:paraId="0772593C">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（二）款项结算</w:t>
      </w:r>
    </w:p>
    <w:p w14:paraId="3735471A">
      <w:pPr>
        <w:spacing w:line="460" w:lineRule="exact"/>
        <w:ind w:firstLine="560" w:firstLineChars="200"/>
        <w:jc w:val="left"/>
        <w:rPr>
          <w:rFonts w:hint="eastAsia" w:ascii="仿宋" w:hAnsi="仿宋" w:eastAsia="仿宋"/>
          <w:color w:val="auto"/>
          <w:sz w:val="28"/>
          <w:szCs w:val="28"/>
          <w:lang w:val="zh-CN"/>
        </w:rPr>
      </w:pPr>
      <w:r>
        <w:rPr>
          <w:rFonts w:hint="eastAsia" w:ascii="仿宋" w:hAnsi="仿宋" w:eastAsia="仿宋"/>
          <w:color w:val="auto"/>
          <w:sz w:val="28"/>
          <w:szCs w:val="28"/>
          <w:lang w:val="zh-CN"/>
        </w:rPr>
        <w:t>一、付款方式</w:t>
      </w:r>
    </w:p>
    <w:p w14:paraId="4AAF5171">
      <w:pPr>
        <w:spacing w:line="460" w:lineRule="exact"/>
        <w:ind w:firstLine="560" w:firstLineChars="200"/>
        <w:jc w:val="left"/>
        <w:rPr>
          <w:rFonts w:hint="eastAsia" w:ascii="仿宋" w:hAnsi="仿宋" w:eastAsia="仿宋"/>
          <w:color w:val="auto"/>
          <w:sz w:val="28"/>
          <w:szCs w:val="28"/>
        </w:rPr>
      </w:pPr>
      <w:bookmarkStart w:id="2" w:name="_Toc24649"/>
      <w:r>
        <w:rPr>
          <w:rFonts w:hint="eastAsia" w:ascii="仿宋" w:hAnsi="仿宋" w:eastAsia="仿宋"/>
          <w:color w:val="auto"/>
          <w:sz w:val="28"/>
          <w:szCs w:val="28"/>
        </w:rPr>
        <w:t>1、结算单位：采购人结算，在付款前必须开具等额发票给采购人。</w:t>
      </w:r>
      <w:bookmarkEnd w:id="2"/>
    </w:p>
    <w:p w14:paraId="099EEF4B">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2、付款方式：无预付款，该项目验收完成后，及时全额支付。</w:t>
      </w:r>
    </w:p>
    <w:p w14:paraId="2AF0F7AA">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3、支付方式：银行转账。</w:t>
      </w:r>
    </w:p>
    <w:p w14:paraId="59AC8600">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4、结算方式：乙方在接受付款前开具等额发票给甲方。</w:t>
      </w:r>
    </w:p>
    <w:p w14:paraId="44673F55">
      <w:pPr>
        <w:pBdr>
          <w:bottom w:val="single" w:color="auto" w:sz="4" w:space="1"/>
        </w:pBdr>
        <w:spacing w:before="312" w:beforeLines="100"/>
        <w:rPr>
          <w:rFonts w:hint="eastAsia" w:ascii="仿宋" w:hAnsi="仿宋" w:eastAsia="仿宋"/>
          <w:b/>
          <w:sz w:val="28"/>
          <w:szCs w:val="28"/>
        </w:rPr>
      </w:pPr>
      <w:r>
        <w:rPr>
          <w:rFonts w:hint="eastAsia" w:ascii="仿宋" w:hAnsi="仿宋" w:eastAsia="仿宋"/>
          <w:b/>
          <w:sz w:val="28"/>
          <w:szCs w:val="28"/>
        </w:rPr>
        <w:t>六、其他（如有要求，请写明）</w:t>
      </w:r>
    </w:p>
    <w:p w14:paraId="61BA92E5">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（一）对服务商的业绩要求</w:t>
      </w:r>
    </w:p>
    <w:p w14:paraId="7495639C">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服务商提供近</w:t>
      </w:r>
      <w:r>
        <w:rPr>
          <w:rFonts w:hint="eastAsia" w:ascii="仿宋" w:hAnsi="仿宋" w:eastAsia="仿宋"/>
          <w:color w:val="auto"/>
          <w:sz w:val="28"/>
          <w:szCs w:val="28"/>
          <w:lang w:val="en-US" w:eastAsia="zh-CN"/>
        </w:rPr>
        <w:t>三</w:t>
      </w:r>
      <w:r>
        <w:rPr>
          <w:rFonts w:hint="eastAsia" w:ascii="仿宋" w:hAnsi="仿宋" w:eastAsia="仿宋"/>
          <w:color w:val="auto"/>
          <w:sz w:val="28"/>
          <w:szCs w:val="28"/>
        </w:rPr>
        <w:t>年同类似项目业绩</w:t>
      </w:r>
    </w:p>
    <w:p w14:paraId="5AC2B736">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（二）进度要求</w:t>
      </w:r>
    </w:p>
    <w:p w14:paraId="2BDD280A">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按甲方要求进度及时完成</w:t>
      </w:r>
    </w:p>
    <w:p w14:paraId="6BFD9F1D">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（三）成果交付要求</w:t>
      </w:r>
    </w:p>
    <w:p w14:paraId="41BD13B8">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按甲方要求提供产品质量证件、相关报账资料</w:t>
      </w:r>
    </w:p>
    <w:p w14:paraId="2C3C216C">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（四）质量验收标准或规范</w:t>
      </w:r>
    </w:p>
    <w:p w14:paraId="6D920787">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符合国家规定的标准。</w:t>
      </w:r>
    </w:p>
    <w:p w14:paraId="62A31136">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（五）违约责任</w:t>
      </w:r>
    </w:p>
    <w:p w14:paraId="4580D637">
      <w:pPr>
        <w:spacing w:line="4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甲乙双方按照《</w:t>
      </w:r>
      <w:r>
        <w:rPr>
          <w:rFonts w:hint="eastAsia" w:ascii="仿宋" w:hAnsi="仿宋" w:eastAsia="仿宋"/>
          <w:color w:val="auto"/>
          <w:sz w:val="28"/>
          <w:szCs w:val="28"/>
          <w:lang w:val="en-US" w:eastAsia="zh-CN"/>
        </w:rPr>
        <w:t>民法典</w:t>
      </w:r>
      <w:bookmarkStart w:id="3" w:name="_GoBack"/>
      <w:bookmarkEnd w:id="3"/>
      <w:r>
        <w:rPr>
          <w:rFonts w:hint="eastAsia" w:ascii="仿宋" w:hAnsi="仿宋" w:eastAsia="仿宋"/>
          <w:color w:val="auto"/>
          <w:sz w:val="28"/>
          <w:szCs w:val="28"/>
        </w:rPr>
        <w:t>》相关条款执行。</w:t>
      </w:r>
    </w:p>
    <w:sectPr>
      <w:pgSz w:w="11906" w:h="16838"/>
      <w:pgMar w:top="1440" w:right="1800" w:bottom="1135"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1C5B"/>
    <w:multiLevelType w:val="singleLevel"/>
    <w:tmpl w:val="87CB1C5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22387C"/>
    <w:rsid w:val="0000159C"/>
    <w:rsid w:val="000019FA"/>
    <w:rsid w:val="00002BB3"/>
    <w:rsid w:val="00003F53"/>
    <w:rsid w:val="00004F9A"/>
    <w:rsid w:val="00006A52"/>
    <w:rsid w:val="00012137"/>
    <w:rsid w:val="00012844"/>
    <w:rsid w:val="00012F9B"/>
    <w:rsid w:val="00013929"/>
    <w:rsid w:val="00014866"/>
    <w:rsid w:val="00014DAF"/>
    <w:rsid w:val="00015802"/>
    <w:rsid w:val="00016042"/>
    <w:rsid w:val="00022F41"/>
    <w:rsid w:val="00023261"/>
    <w:rsid w:val="000234CF"/>
    <w:rsid w:val="000235C8"/>
    <w:rsid w:val="00027E6B"/>
    <w:rsid w:val="000308A1"/>
    <w:rsid w:val="0003125A"/>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3373"/>
    <w:rsid w:val="000857F2"/>
    <w:rsid w:val="00090002"/>
    <w:rsid w:val="000906B5"/>
    <w:rsid w:val="000911CC"/>
    <w:rsid w:val="000951C6"/>
    <w:rsid w:val="00095A8D"/>
    <w:rsid w:val="00096428"/>
    <w:rsid w:val="00097CDB"/>
    <w:rsid w:val="000A0237"/>
    <w:rsid w:val="000A2583"/>
    <w:rsid w:val="000B16D9"/>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1454"/>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1A3"/>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1DCF"/>
    <w:rsid w:val="001B2019"/>
    <w:rsid w:val="001B26DC"/>
    <w:rsid w:val="001B3EEA"/>
    <w:rsid w:val="001B49FD"/>
    <w:rsid w:val="001B5F08"/>
    <w:rsid w:val="001C0BA3"/>
    <w:rsid w:val="001C0BBD"/>
    <w:rsid w:val="001C1A2A"/>
    <w:rsid w:val="001C2042"/>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1127"/>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2F7FBD"/>
    <w:rsid w:val="00300067"/>
    <w:rsid w:val="00300B27"/>
    <w:rsid w:val="0030123B"/>
    <w:rsid w:val="00301FAE"/>
    <w:rsid w:val="003024CF"/>
    <w:rsid w:val="00305BAD"/>
    <w:rsid w:val="00306470"/>
    <w:rsid w:val="00311862"/>
    <w:rsid w:val="00316D60"/>
    <w:rsid w:val="003172BB"/>
    <w:rsid w:val="0032018F"/>
    <w:rsid w:val="00322208"/>
    <w:rsid w:val="003245F8"/>
    <w:rsid w:val="00325D47"/>
    <w:rsid w:val="00325EF1"/>
    <w:rsid w:val="003326B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16D8F"/>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87EE2"/>
    <w:rsid w:val="00592CFD"/>
    <w:rsid w:val="00593C8A"/>
    <w:rsid w:val="005960B9"/>
    <w:rsid w:val="00596D31"/>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9A7"/>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47545"/>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4750"/>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22C"/>
    <w:rsid w:val="00711356"/>
    <w:rsid w:val="00716375"/>
    <w:rsid w:val="00722B1E"/>
    <w:rsid w:val="00724763"/>
    <w:rsid w:val="007326D4"/>
    <w:rsid w:val="007331C5"/>
    <w:rsid w:val="00733D26"/>
    <w:rsid w:val="00733E96"/>
    <w:rsid w:val="00734BE2"/>
    <w:rsid w:val="00734DBA"/>
    <w:rsid w:val="007405AB"/>
    <w:rsid w:val="00740C5D"/>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225A"/>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469CC"/>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E7F"/>
    <w:rsid w:val="00896F74"/>
    <w:rsid w:val="00897000"/>
    <w:rsid w:val="008A2458"/>
    <w:rsid w:val="008A5E63"/>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37B2"/>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020"/>
    <w:rsid w:val="009E3F57"/>
    <w:rsid w:val="009E4F8A"/>
    <w:rsid w:val="009E5A80"/>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0DF6"/>
    <w:rsid w:val="00AE1DA8"/>
    <w:rsid w:val="00AE3657"/>
    <w:rsid w:val="00AE4D94"/>
    <w:rsid w:val="00AE5612"/>
    <w:rsid w:val="00AE6664"/>
    <w:rsid w:val="00AE6EED"/>
    <w:rsid w:val="00AE74AC"/>
    <w:rsid w:val="00B02758"/>
    <w:rsid w:val="00B02B5A"/>
    <w:rsid w:val="00B036B4"/>
    <w:rsid w:val="00B036CF"/>
    <w:rsid w:val="00B04B8A"/>
    <w:rsid w:val="00B04BFB"/>
    <w:rsid w:val="00B104AA"/>
    <w:rsid w:val="00B11872"/>
    <w:rsid w:val="00B13979"/>
    <w:rsid w:val="00B15E4F"/>
    <w:rsid w:val="00B2012B"/>
    <w:rsid w:val="00B20B29"/>
    <w:rsid w:val="00B20CB9"/>
    <w:rsid w:val="00B20D52"/>
    <w:rsid w:val="00B2167C"/>
    <w:rsid w:val="00B23C0E"/>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06FF"/>
    <w:rsid w:val="00BA38E0"/>
    <w:rsid w:val="00BA619F"/>
    <w:rsid w:val="00BA7D43"/>
    <w:rsid w:val="00BB02EB"/>
    <w:rsid w:val="00BB0A6C"/>
    <w:rsid w:val="00BB0C9F"/>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19B7"/>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1A3"/>
    <w:rsid w:val="00C60706"/>
    <w:rsid w:val="00C62051"/>
    <w:rsid w:val="00C6464D"/>
    <w:rsid w:val="00C64FE6"/>
    <w:rsid w:val="00C72DBC"/>
    <w:rsid w:val="00C76B39"/>
    <w:rsid w:val="00C806C8"/>
    <w:rsid w:val="00C8194B"/>
    <w:rsid w:val="00C8510F"/>
    <w:rsid w:val="00C856C4"/>
    <w:rsid w:val="00C8634C"/>
    <w:rsid w:val="00C86F92"/>
    <w:rsid w:val="00C90072"/>
    <w:rsid w:val="00C9118C"/>
    <w:rsid w:val="00C9533B"/>
    <w:rsid w:val="00CA76AA"/>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4313"/>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BF5"/>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87355"/>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0F23"/>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4328"/>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4ECC"/>
    <w:rsid w:val="00FF756F"/>
    <w:rsid w:val="00FF7BE4"/>
    <w:rsid w:val="03DC28E1"/>
    <w:rsid w:val="0CEA0171"/>
    <w:rsid w:val="2A0911D4"/>
    <w:rsid w:val="33F51F46"/>
    <w:rsid w:val="3A2325C1"/>
    <w:rsid w:val="3CAB1C17"/>
    <w:rsid w:val="3D5C1616"/>
    <w:rsid w:val="4BD07CEC"/>
    <w:rsid w:val="5115745F"/>
    <w:rsid w:val="56867584"/>
    <w:rsid w:val="5D6F0D72"/>
    <w:rsid w:val="6BAA566B"/>
    <w:rsid w:val="6C2F3FEA"/>
    <w:rsid w:val="6E4C47B8"/>
    <w:rsid w:val="6E580F0E"/>
    <w:rsid w:val="720A5BFE"/>
    <w:rsid w:val="73A168F9"/>
    <w:rsid w:val="7C725EA3"/>
    <w:rsid w:val="7CF60710"/>
    <w:rsid w:val="FFFDEC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35"/>
    <w:unhideWhenUsed/>
    <w:qFormat/>
    <w:uiPriority w:val="99"/>
    <w:pPr>
      <w:jc w:val="left"/>
    </w:pPr>
  </w:style>
  <w:style w:type="paragraph" w:styleId="3">
    <w:name w:val="Balloon Text"/>
    <w:basedOn w:val="1"/>
    <w:link w:val="37"/>
    <w:unhideWhenUsed/>
    <w:qFormat/>
    <w:uiPriority w:val="99"/>
    <w:rPr>
      <w:sz w:val="18"/>
      <w:szCs w:val="18"/>
    </w:rPr>
  </w:style>
  <w:style w:type="paragraph" w:styleId="4">
    <w:name w:val="footer"/>
    <w:basedOn w:val="1"/>
    <w:link w:val="34"/>
    <w:unhideWhenUsed/>
    <w:qFormat/>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link w:val="36"/>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封面大标题"/>
    <w:basedOn w:val="1"/>
    <w:qFormat/>
    <w:uiPriority w:val="0"/>
    <w:pPr>
      <w:widowControl/>
      <w:jc w:val="center"/>
    </w:pPr>
    <w:rPr>
      <w:rFonts w:ascii="华文中宋" w:hAnsi="华文中宋" w:eastAsia="华文中宋"/>
      <w:sz w:val="96"/>
      <w:szCs w:val="96"/>
    </w:rPr>
  </w:style>
  <w:style w:type="paragraph" w:customStyle="1" w:styleId="12">
    <w:name w:val="※封面题颌"/>
    <w:basedOn w:val="1"/>
    <w:qFormat/>
    <w:uiPriority w:val="0"/>
    <w:pPr>
      <w:widowControl/>
      <w:jc w:val="center"/>
    </w:pPr>
    <w:rPr>
      <w:rFonts w:ascii="Calibri Light" w:hAnsi="Calibri Light" w:eastAsia="华文仿宋"/>
      <w:sz w:val="36"/>
      <w:szCs w:val="36"/>
    </w:rPr>
  </w:style>
  <w:style w:type="paragraph" w:customStyle="1" w:styleId="13">
    <w:name w:val="※封面题眉"/>
    <w:basedOn w:val="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qFormat/>
    <w:uiPriority w:val="0"/>
    <w:pPr>
      <w:spacing w:before="120" w:line="240" w:lineRule="auto"/>
      <w:outlineLvl w:val="2"/>
    </w:pPr>
    <w:rPr>
      <w:b/>
      <w:color w:val="1F3864"/>
      <w:sz w:val="32"/>
    </w:rPr>
  </w:style>
  <w:style w:type="paragraph" w:customStyle="1" w:styleId="20">
    <w:name w:val="※小标题（1）"/>
    <w:basedOn w:val="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qFormat/>
    <w:uiPriority w:val="0"/>
    <w:pPr>
      <w:widowControl/>
      <w:jc w:val="center"/>
      <w:outlineLvl w:val="1"/>
    </w:pPr>
    <w:rPr>
      <w:rFonts w:ascii="Calibri Light" w:hAnsi="Calibri Light" w:eastAsia="黑体"/>
      <w:color w:val="1E4E79"/>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32">
    <w:name w:val="样式 Char Char"/>
    <w:link w:val="31"/>
    <w:qFormat/>
    <w:uiPriority w:val="0"/>
    <w:rPr>
      <w:rFonts w:ascii="宋体" w:hAnsi="宋体" w:eastAsia="宋体" w:cs="宋体"/>
      <w:kern w:val="0"/>
      <w:sz w:val="24"/>
      <w:szCs w:val="24"/>
    </w:rPr>
  </w:style>
  <w:style w:type="character" w:customStyle="1" w:styleId="33">
    <w:name w:val="页眉 字符"/>
    <w:basedOn w:val="9"/>
    <w:link w:val="5"/>
    <w:qFormat/>
    <w:uiPriority w:val="99"/>
    <w:rPr>
      <w:rFonts w:ascii="Calibri" w:hAnsi="Calibri" w:eastAsia="宋体" w:cs="Times New Roman"/>
      <w:sz w:val="18"/>
      <w:szCs w:val="18"/>
    </w:rPr>
  </w:style>
  <w:style w:type="character" w:customStyle="1" w:styleId="34">
    <w:name w:val="页脚 字符"/>
    <w:basedOn w:val="9"/>
    <w:link w:val="4"/>
    <w:qFormat/>
    <w:uiPriority w:val="99"/>
    <w:rPr>
      <w:rFonts w:ascii="Calibri" w:hAnsi="Calibri" w:eastAsia="宋体" w:cs="Times New Roman"/>
      <w:sz w:val="18"/>
      <w:szCs w:val="18"/>
    </w:rPr>
  </w:style>
  <w:style w:type="character" w:customStyle="1" w:styleId="35">
    <w:name w:val="批注文字 字符"/>
    <w:basedOn w:val="9"/>
    <w:link w:val="2"/>
    <w:semiHidden/>
    <w:qFormat/>
    <w:uiPriority w:val="99"/>
    <w:rPr>
      <w:rFonts w:ascii="Calibri" w:hAnsi="Calibri" w:eastAsia="宋体" w:cs="Times New Roman"/>
    </w:rPr>
  </w:style>
  <w:style w:type="character" w:customStyle="1" w:styleId="36">
    <w:name w:val="批注主题 字符"/>
    <w:basedOn w:val="35"/>
    <w:link w:val="6"/>
    <w:semiHidden/>
    <w:qFormat/>
    <w:uiPriority w:val="99"/>
    <w:rPr>
      <w:rFonts w:ascii="Calibri" w:hAnsi="Calibri" w:eastAsia="宋体" w:cs="Times New Roman"/>
      <w:b/>
      <w:bCs/>
    </w:rPr>
  </w:style>
  <w:style w:type="character" w:customStyle="1" w:styleId="37">
    <w:name w:val="批注框文本 字符"/>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1900</Words>
  <Characters>2076</Characters>
  <Lines>59</Lines>
  <Paragraphs>39</Paragraphs>
  <TotalTime>50</TotalTime>
  <ScaleCrop>false</ScaleCrop>
  <LinksUpToDate>false</LinksUpToDate>
  <CharactersWithSpaces>2078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2023-09-04T19:26:00Z</dcterms:created>
  <dc:creator>lenovo</dc:creator>
  <cp:lastModifiedBy>学凯</cp:lastModifiedBy>
  <dcterms:modified xsi:type="dcterms:W3CDTF">2025-12-18T05:57:55Z</dcterms:modified>
  <dc:title>阎良区农业农村和林业局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756C5DCA875248CCA3C3B367AFF5AA56_43</vt:lpwstr>
  </property>
  <property fmtid="{D5CDD505-2E9C-101B-9397-08002B2CF9AE}" pid="4" name="KSOTemplateDocerSaveRecord">
    <vt:lpwstr>eyJoZGlkIjoiN2FmOGNjMjYxYTkzNGI4NWI0Mjc2YjE5MWY5MDBmMDYiLCJ1c2VySWQiOiIyNjkyNTU4MDcifQ==</vt:lpwstr>
  </property>
</Properties>
</file>