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D341F">
      <w:pPr>
        <w:pStyle w:val="4"/>
        <w:jc w:val="both"/>
        <w:rPr>
          <w:rFonts w:hint="eastAsia" w:ascii="仿宋" w:hAnsi="仿宋" w:eastAsia="仿宋" w:cs="仿宋"/>
          <w:sz w:val="20"/>
          <w:szCs w:val="20"/>
        </w:rPr>
      </w:pPr>
      <w:r>
        <w:rPr>
          <w:rFonts w:hint="eastAsia" w:ascii="仿宋" w:hAnsi="仿宋" w:eastAsia="仿宋" w:cs="仿宋"/>
          <w:b/>
          <w:sz w:val="20"/>
          <w:szCs w:val="20"/>
        </w:rPr>
        <w:t>一、项目技术、服务</w:t>
      </w:r>
    </w:p>
    <w:p w14:paraId="7F2B1300">
      <w:pPr>
        <w:pStyle w:val="4"/>
        <w:keepNext w:val="0"/>
        <w:keepLines w:val="0"/>
        <w:pageBreakBefore w:val="0"/>
        <w:widowControl/>
        <w:kinsoku/>
        <w:wordWrap/>
        <w:overflowPunct/>
        <w:topLinePunct w:val="0"/>
        <w:autoSpaceDE/>
        <w:autoSpaceDN/>
        <w:bidi w:val="0"/>
        <w:adjustRightInd/>
        <w:snapToGrid/>
        <w:jc w:val="both"/>
        <w:textAlignment w:val="auto"/>
        <w:rPr>
          <w:rFonts w:hint="eastAsia" w:ascii="仿宋" w:hAnsi="仿宋" w:eastAsia="仿宋" w:cs="仿宋"/>
          <w:b w:val="0"/>
          <w:bCs/>
          <w:sz w:val="20"/>
          <w:szCs w:val="20"/>
        </w:rPr>
      </w:pPr>
      <w:r>
        <w:rPr>
          <w:rFonts w:hint="eastAsia" w:ascii="仿宋" w:hAnsi="仿宋" w:eastAsia="仿宋" w:cs="仿宋"/>
          <w:b/>
          <w:sz w:val="20"/>
          <w:szCs w:val="20"/>
          <w:highlight w:val="none"/>
          <w:lang w:val="en-US" w:eastAsia="zh-CN"/>
        </w:rPr>
        <w:t>（一）项目名称：</w:t>
      </w:r>
      <w:r>
        <w:rPr>
          <w:rFonts w:hint="eastAsia" w:ascii="仿宋" w:hAnsi="仿宋" w:eastAsia="仿宋" w:cs="仿宋"/>
          <w:b w:val="0"/>
          <w:bCs/>
          <w:sz w:val="20"/>
          <w:szCs w:val="20"/>
          <w:lang w:eastAsia="zh-CN"/>
        </w:rPr>
        <w:t>陕西省人民政府办公厅2025年度网络安全等级保护测评服务</w:t>
      </w:r>
      <w:r>
        <w:rPr>
          <w:rFonts w:hint="eastAsia" w:ascii="仿宋" w:hAnsi="仿宋" w:eastAsia="仿宋" w:cs="仿宋"/>
          <w:b w:val="0"/>
          <w:bCs/>
          <w:sz w:val="20"/>
          <w:szCs w:val="20"/>
        </w:rPr>
        <w:t>。</w:t>
      </w:r>
    </w:p>
    <w:p w14:paraId="3F39630B">
      <w:pPr>
        <w:pStyle w:val="4"/>
        <w:jc w:val="both"/>
        <w:rPr>
          <w:rFonts w:hint="eastAsia" w:ascii="仿宋" w:hAnsi="仿宋" w:eastAsia="仿宋" w:cs="仿宋"/>
          <w:b/>
          <w:sz w:val="20"/>
          <w:szCs w:val="20"/>
          <w:highlight w:val="none"/>
          <w:lang w:val="en-US" w:eastAsia="zh-CN"/>
        </w:rPr>
      </w:pPr>
      <w:r>
        <w:rPr>
          <w:rFonts w:hint="eastAsia" w:ascii="仿宋" w:hAnsi="仿宋" w:eastAsia="仿宋" w:cs="仿宋"/>
          <w:b/>
          <w:sz w:val="20"/>
          <w:szCs w:val="20"/>
          <w:highlight w:val="none"/>
          <w:lang w:val="en-US" w:eastAsia="zh-CN"/>
        </w:rPr>
        <w:t>（二）项目概况：</w:t>
      </w:r>
    </w:p>
    <w:p w14:paraId="22D5D276">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服务内容包括：陕西省政府网站集约化省级平台（等保三级）、陕西省人民政府门户网站（等保三级）、陕西省政务值班综合应用系统（等保三级）、陕西省政务值班语音调度系统（等保三级）、陕西省政务值班填报系统（等保二级）、陕西省政务值班综合视频监控系统（等保二级）、省政府鲁迅图书馆妙思</w:t>
      </w:r>
      <w:bookmarkStart w:id="0" w:name="_GoBack"/>
      <w:bookmarkEnd w:id="0"/>
      <w:r>
        <w:rPr>
          <w:rFonts w:hint="eastAsia" w:ascii="仿宋" w:hAnsi="仿宋" w:eastAsia="仿宋" w:cs="仿宋"/>
          <w:b w:val="0"/>
          <w:bCs/>
          <w:sz w:val="20"/>
          <w:szCs w:val="20"/>
          <w:highlight w:val="none"/>
          <w:lang w:val="en-US" w:eastAsia="zh-CN"/>
        </w:rPr>
        <w:t>文献系统（等保二级）4个三级和3个二级系统的网络安全等级测评服务。</w:t>
      </w:r>
    </w:p>
    <w:p w14:paraId="0A8D86AD">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技术要求：开展网络安全等级测评服务；依据国家等级保护测评工作标准GB/T22239-2019《信息安全技术网络安全等级保护基本要求》、GB/T28448-2019《信息安全技术网络安全等级保护测评要求》，针对被测系统平台，开展安全物理环境、安全通信网络、安全区域边界、安全计算环境、安全管理中心、安全管理制度、安全管理机构、安全管理人员、安全建设管理、安全运维管理等方面的安全测评活动，分析系统平台存在的安全隐患及风险，出具《网络安全等级保护测评报告》。</w:t>
      </w:r>
    </w:p>
    <w:p w14:paraId="282A4F5A">
      <w:pPr>
        <w:pStyle w:val="4"/>
        <w:jc w:val="both"/>
        <w:rPr>
          <w:rFonts w:hint="eastAsia" w:ascii="仿宋" w:hAnsi="仿宋" w:eastAsia="仿宋" w:cs="仿宋"/>
          <w:b/>
          <w:bCs w:val="0"/>
          <w:sz w:val="20"/>
          <w:szCs w:val="20"/>
          <w:highlight w:val="none"/>
          <w:lang w:val="en-US" w:eastAsia="zh-CN"/>
        </w:rPr>
      </w:pPr>
      <w:r>
        <w:rPr>
          <w:rFonts w:hint="eastAsia" w:ascii="仿宋" w:hAnsi="仿宋" w:eastAsia="仿宋" w:cs="仿宋"/>
          <w:b/>
          <w:bCs w:val="0"/>
          <w:sz w:val="20"/>
          <w:szCs w:val="20"/>
          <w:highlight w:val="none"/>
          <w:lang w:val="en-US" w:eastAsia="zh-CN"/>
        </w:rPr>
        <w:t>（三）服务内容</w:t>
      </w:r>
    </w:p>
    <w:p w14:paraId="2F4E6C51">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对7个信息系统（陕西省政府网站集约化省级平台、陕西省人民政府门户网站、陕西省政务值班综合应用系统、陕西省政务值班语音调度系统、陕西省政务值班填报系统、陕西省政务值班综合视频监控系统、省政府鲁迅图书馆妙思文献系统）开展网络安全等级保护测评服务。</w:t>
      </w:r>
    </w:p>
    <w:p w14:paraId="38747107">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1.测评内容主要包括：</w:t>
      </w:r>
    </w:p>
    <w:p w14:paraId="188C1FF3">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（1）安全物理环境</w:t>
      </w:r>
    </w:p>
    <w:p w14:paraId="474ED602">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测评内容主要包括：物理位置选择、物理访问控制、防盗窃和防破坏、防雷击、防火、防水和防潮、防静电、温湿度控制、电力供应、电磁防护。</w:t>
      </w:r>
    </w:p>
    <w:p w14:paraId="0C36AE3A">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（2）安全通信网络</w:t>
      </w:r>
    </w:p>
    <w:p w14:paraId="19316E92">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测评内容主要包括：网络架构、通信传输、可信验证。</w:t>
      </w:r>
    </w:p>
    <w:p w14:paraId="5D7FF156">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（3）安全区域边界</w:t>
      </w:r>
    </w:p>
    <w:p w14:paraId="46B62F48">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测评内容主要包括：边界防护、访问控制、入侵防范、恶意代码和垃圾邮件防范、安全审计、可信验证。</w:t>
      </w:r>
    </w:p>
    <w:p w14:paraId="4144189F">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（4）安全计算环境</w:t>
      </w:r>
    </w:p>
    <w:p w14:paraId="1983F2B1">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测评内容主要包括：身份鉴别、访问控制、安全审计、入侵防范、恶意代码防范、可信验证、数据完整性、数据保密性、数据备份恢复、剩余信息保护、个人信息保护。</w:t>
      </w:r>
    </w:p>
    <w:p w14:paraId="03177549">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（5）安全管理中心</w:t>
      </w:r>
    </w:p>
    <w:p w14:paraId="7E10382B">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测评内容主要包括：系统管理、审计管理、安全管理、集中管控。</w:t>
      </w:r>
    </w:p>
    <w:p w14:paraId="4C4A55C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（6）安全管理制度</w:t>
      </w:r>
    </w:p>
    <w:p w14:paraId="6476BF92">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测评内容主要包括：安全策略、管理制度、制定和发布、评审和修订。</w:t>
      </w:r>
    </w:p>
    <w:p w14:paraId="78E4D84B">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（7）安全管理机构</w:t>
      </w:r>
    </w:p>
    <w:p w14:paraId="018C13F6">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测评内容主要包括：岗位设置、人员配备、授权和审批、沟通和合作、审核和检查。</w:t>
      </w:r>
    </w:p>
    <w:p w14:paraId="2DB76969">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（8）安全管理人员</w:t>
      </w:r>
    </w:p>
    <w:p w14:paraId="660F5D3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测评内容主要包括：人员录用、人员离岗、安全意识教育和培训、外部人员访问管理。</w:t>
      </w:r>
    </w:p>
    <w:p w14:paraId="55457B5F">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（9）安全建设管理</w:t>
      </w:r>
    </w:p>
    <w:p w14:paraId="319C5B0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测评内容主要包括：定级和备案、安全方案设计、产品采购和使用、自行软件开发、外包软件开发、工程实施、测试验收、系统交付、等级测评、服务供应商选择。</w:t>
      </w:r>
    </w:p>
    <w:p w14:paraId="632E588D">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（10）安全运维管理</w:t>
      </w:r>
    </w:p>
    <w:p w14:paraId="12543A03">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测评内容主要包括：环境管理、资产管理、介质管理、设备维护管理、漏洞和风险管理、网络和系统安全管理、恶意代码防范管理、配置管理、密码管理、变更管理、备份与恢复管理、安全事件处置、应急预案管理、外包运维管理。</w:t>
      </w:r>
    </w:p>
    <w:p w14:paraId="0FC986B5">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2.测评依据规范，包括但不限于：</w:t>
      </w:r>
    </w:p>
    <w:p w14:paraId="797345E7">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（1）GB/T22239-2019《信息安全技术网络安全等级保护基本要求》</w:t>
      </w:r>
    </w:p>
    <w:p w14:paraId="41959AA9">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（2）GB/T28448-2019《信息安全技术网络安全等级保护测评要求》</w:t>
      </w:r>
    </w:p>
    <w:p w14:paraId="7A77B0B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（3）GB17859-1999《计算机信息系统安全保护等级划分准则》</w:t>
      </w:r>
    </w:p>
    <w:p w14:paraId="1E8D899B">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（4）GB/T28449-2018《信息安全技术网络安全等级保护测评过程指南》</w:t>
      </w:r>
    </w:p>
    <w:p w14:paraId="0EC699CB">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（5）GB/T20984-2022《信息安全技术信息安全风险评估方法》</w:t>
      </w:r>
    </w:p>
    <w:p w14:paraId="144458FA">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3.结项要求</w:t>
      </w:r>
    </w:p>
    <w:p w14:paraId="694EF06A">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本项目结项达到合格标准：</w:t>
      </w:r>
    </w:p>
    <w:p w14:paraId="01051661">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（1）符合国家相关技术标准和规范要求。</w:t>
      </w:r>
    </w:p>
    <w:p w14:paraId="5B0F02D8">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（2）符合本项目测评合同书要求。</w:t>
      </w:r>
    </w:p>
    <w:p w14:paraId="700D8EE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（3）出具《网络安全等级保护测评报告》。</w:t>
      </w:r>
    </w:p>
    <w:p w14:paraId="7A636725">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4.质保及服务</w:t>
      </w:r>
    </w:p>
    <w:p w14:paraId="4B376566">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依据国家相关的法律法规、标准规范、项目招标文件和项目合同书，保证项目实施符合国家、行业技术规范标准，满足项目招标文件的要求。保证工程的总体进度和质量要求，保证工程规范化、科学化和经济性；</w:t>
      </w:r>
    </w:p>
    <w:p w14:paraId="7ACEB76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选用先进的检验检测方法，开展检验检测活动；不受来自商业、财政等方面的干预和其他内部和外部的各种压力和影响，确保检验检测行为的公正性；掌握和理解顾客当前和未来的需求，热忱提供优质服务，对客户的投诉要及时受理、认真调查、客观分析、明确责任，按照与客户商定的时间及时出具检验报告；承担检验工作的质量责任和法律责任。</w:t>
      </w:r>
    </w:p>
    <w:p w14:paraId="4382C676">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5.项目完成时间</w:t>
      </w:r>
    </w:p>
    <w:p w14:paraId="036747CF">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合同签订后4个月内完成等级保护测评工作。</w:t>
      </w:r>
    </w:p>
    <w:p w14:paraId="4A623331">
      <w:pPr>
        <w:pStyle w:val="4"/>
        <w:jc w:val="both"/>
        <w:rPr>
          <w:rFonts w:hint="eastAsia" w:ascii="仿宋" w:hAnsi="仿宋" w:eastAsia="仿宋" w:cs="仿宋"/>
          <w:b/>
          <w:bCs w:val="0"/>
          <w:sz w:val="20"/>
          <w:szCs w:val="20"/>
          <w:highlight w:val="none"/>
          <w:lang w:val="en-US" w:eastAsia="zh-CN"/>
        </w:rPr>
      </w:pPr>
      <w:r>
        <w:rPr>
          <w:rFonts w:hint="eastAsia" w:ascii="仿宋" w:hAnsi="仿宋" w:eastAsia="仿宋" w:cs="仿宋"/>
          <w:b/>
          <w:bCs w:val="0"/>
          <w:sz w:val="20"/>
          <w:szCs w:val="20"/>
          <w:highlight w:val="none"/>
          <w:lang w:val="en-US" w:eastAsia="zh-CN"/>
        </w:rPr>
        <w:t>（四）工作成果</w:t>
      </w:r>
    </w:p>
    <w:p w14:paraId="6CB09609">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按照《网络安全法》《信息安全等级保护管理办法》《信息安全技术网络安全等级保护基本要求》等法律法规及标准规范要求开展等保测评工作，持续提升信息系统网络安全水平。</w:t>
      </w:r>
    </w:p>
    <w:p w14:paraId="1DE078BF">
      <w:pPr>
        <w:pStyle w:val="4"/>
        <w:jc w:val="both"/>
        <w:rPr>
          <w:rFonts w:hint="eastAsia" w:ascii="仿宋" w:hAnsi="仿宋" w:eastAsia="仿宋" w:cs="仿宋"/>
          <w:b/>
          <w:bCs w:val="0"/>
          <w:sz w:val="20"/>
          <w:szCs w:val="20"/>
          <w:highlight w:val="none"/>
          <w:lang w:val="en-US" w:eastAsia="zh-CN"/>
        </w:rPr>
      </w:pPr>
      <w:r>
        <w:rPr>
          <w:rFonts w:hint="eastAsia" w:ascii="仿宋" w:hAnsi="仿宋" w:eastAsia="仿宋" w:cs="仿宋"/>
          <w:b/>
          <w:bCs w:val="0"/>
          <w:sz w:val="20"/>
          <w:szCs w:val="20"/>
          <w:highlight w:val="none"/>
          <w:lang w:val="en-US" w:eastAsia="zh-CN"/>
        </w:rPr>
        <w:t>（五）服务要求</w:t>
      </w:r>
    </w:p>
    <w:p w14:paraId="020F6705">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1.测评服务要求：依据《基本要求》（GB/T22239-2019）、测评要求》（GB/T28448-2019）和《测评过程指南》（GB/T28449-2018）等国家关于网络安全等级保护2.0的相关标准和规范要求，为被测评单位提供相应级别信息系统等级保护测评实施工作，包括物理安全、网络安全、主机安全、应用安全、数据安全、安全管理机构、安全管理制度、人员管理安全、系统建设管理和系统运维管理等。</w:t>
      </w:r>
    </w:p>
    <w:p w14:paraId="4B73CDDE">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2.渗透测试服务要求：通过模拟恶意黑客的攻击方法，来对计算机网络的安全性进行检测评估的过程。对系统和网络进行非破坏性质的攻击性测试，尝试侵入系统，获取系统控制权并将入侵的过程和细节产生报告给用户，由此证实用户系统所存在的安全威胁和风险，及时提示开发人员修复安全漏洞，提醒安全管理员完善安全策略，提升系统安全防护能力。通过这种方法，可以发现系统面临和暴露的安全问题，同时渗透测试也是对安全措施有效性的重要验证。</w:t>
      </w:r>
    </w:p>
    <w:p w14:paraId="717FE455">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3.安全需求分析及设计服务要求：为保障采购单位重要信息系统的安全防护能力，服务商需对其信息系统提供安全需求分析，并且能对采购单位的信息系统做安全方案设计，提出有针对性的安全规划方案。</w:t>
      </w:r>
    </w:p>
    <w:p w14:paraId="07DDA3CB">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4.培训要求：服务商在项目实施结束后，要为采购单位提供信息安全相关培训，一年不少于1次。</w:t>
      </w:r>
    </w:p>
    <w:p w14:paraId="77A1FE62">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5.应急响应及应急处理要求：服务商在测评项目结束后，要提供至少自合同签订之日起一年的信息安全应急处理保障，一旦采购单位出现任何安全事件，服务商必须提供完善高效的应急保障支撑，快速安排人员到场处理，本要求要在响应文件做出响应说明，详细说明响应的时间等。</w:t>
      </w:r>
    </w:p>
    <w:p w14:paraId="0AD290BA">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6.安全咨询服务：服务商在测评项目结束后，要提供至少自合同签订之日起一年的安全咨询服务，包括但不限于安全技术咨询、安全整改建设咨询、管理制度及国家法规等，服务商需提供咨询建议和方案建议。</w:t>
      </w:r>
    </w:p>
    <w:p w14:paraId="5B5038D7">
      <w:pPr>
        <w:pStyle w:val="4"/>
        <w:ind w:firstLine="400" w:firstLineChars="200"/>
        <w:jc w:val="both"/>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7.最小影响原则：测评工作应尽可能小的影响系统和网络的正常运行，不能对现网的运行和业务产生任何影响。</w:t>
      </w:r>
    </w:p>
    <w:p w14:paraId="4F643EFE">
      <w:pPr>
        <w:pStyle w:val="4"/>
        <w:ind w:firstLine="400" w:firstLineChars="200"/>
        <w:jc w:val="both"/>
        <w:rPr>
          <w:rFonts w:hint="eastAsia" w:ascii="仿宋" w:hAnsi="仿宋" w:eastAsia="仿宋" w:cs="仿宋"/>
          <w:b/>
          <w:sz w:val="20"/>
          <w:szCs w:val="20"/>
          <w:lang w:val="en-US" w:eastAsia="zh-CN"/>
        </w:rPr>
      </w:pPr>
      <w:r>
        <w:rPr>
          <w:rFonts w:hint="eastAsia" w:ascii="仿宋" w:hAnsi="仿宋" w:eastAsia="仿宋" w:cs="仿宋"/>
          <w:b w:val="0"/>
          <w:bCs/>
          <w:sz w:val="20"/>
          <w:szCs w:val="20"/>
          <w:highlight w:val="none"/>
          <w:lang w:val="en-US" w:eastAsia="zh-CN"/>
        </w:rPr>
        <w:t>8.保密原则：测评过程对信息系统情况、架构及各类资料等完全保密，测评结束后形成的各类文档移交采购人，并删除服务商计算机、存储介质等上一切相关资料。</w:t>
      </w:r>
    </w:p>
    <w:p w14:paraId="1660B2E6">
      <w:pPr>
        <w:pStyle w:val="4"/>
        <w:jc w:val="both"/>
        <w:rPr>
          <w:rFonts w:hint="eastAsia" w:ascii="仿宋" w:hAnsi="仿宋" w:eastAsia="仿宋" w:cs="仿宋"/>
          <w:sz w:val="20"/>
          <w:szCs w:val="20"/>
        </w:rPr>
      </w:pPr>
      <w:r>
        <w:rPr>
          <w:rFonts w:hint="eastAsia" w:ascii="仿宋" w:hAnsi="仿宋" w:eastAsia="仿宋" w:cs="仿宋"/>
          <w:b/>
          <w:sz w:val="20"/>
          <w:szCs w:val="20"/>
        </w:rPr>
        <w:t>二、商务及其他要求</w:t>
      </w:r>
    </w:p>
    <w:p w14:paraId="0C6B20A7">
      <w:pPr>
        <w:pStyle w:val="4"/>
        <w:jc w:val="both"/>
        <w:rPr>
          <w:rFonts w:hint="eastAsia" w:ascii="仿宋" w:hAnsi="仿宋" w:eastAsia="仿宋" w:cs="仿宋"/>
          <w:sz w:val="20"/>
          <w:szCs w:val="20"/>
        </w:rPr>
      </w:pPr>
      <w:r>
        <w:rPr>
          <w:rFonts w:hint="eastAsia" w:ascii="仿宋" w:hAnsi="仿宋" w:eastAsia="仿宋" w:cs="仿宋"/>
          <w:b/>
          <w:sz w:val="20"/>
          <w:szCs w:val="20"/>
        </w:rPr>
        <w:t>（一）质量要求：</w:t>
      </w:r>
      <w:r>
        <w:rPr>
          <w:rFonts w:hint="eastAsia" w:ascii="仿宋" w:hAnsi="仿宋" w:eastAsia="仿宋" w:cs="仿宋"/>
          <w:sz w:val="20"/>
          <w:szCs w:val="20"/>
          <w:lang w:val="en-US" w:eastAsia="zh-CN"/>
        </w:rPr>
        <w:t>合格</w:t>
      </w:r>
      <w:r>
        <w:rPr>
          <w:rFonts w:hint="eastAsia" w:ascii="仿宋" w:hAnsi="仿宋" w:eastAsia="仿宋" w:cs="仿宋"/>
          <w:sz w:val="20"/>
          <w:szCs w:val="20"/>
        </w:rPr>
        <w:t>。</w:t>
      </w:r>
    </w:p>
    <w:p w14:paraId="2EEF6A1E">
      <w:pPr>
        <w:pStyle w:val="4"/>
        <w:jc w:val="both"/>
        <w:rPr>
          <w:rFonts w:hint="eastAsia" w:ascii="仿宋" w:hAnsi="仿宋" w:eastAsia="仿宋" w:cs="仿宋"/>
          <w:sz w:val="20"/>
          <w:szCs w:val="20"/>
          <w:lang w:val="en-US" w:eastAsia="zh-CN"/>
        </w:rPr>
      </w:pPr>
      <w:r>
        <w:rPr>
          <w:rFonts w:hint="eastAsia" w:ascii="仿宋" w:hAnsi="仿宋" w:eastAsia="仿宋" w:cs="仿宋"/>
          <w:b/>
          <w:sz w:val="20"/>
          <w:szCs w:val="20"/>
        </w:rPr>
        <w:t>（二）服务期：</w:t>
      </w:r>
      <w:r>
        <w:rPr>
          <w:rFonts w:hint="eastAsia" w:ascii="仿宋" w:hAnsi="仿宋" w:eastAsia="仿宋" w:cs="仿宋"/>
          <w:b/>
          <w:sz w:val="20"/>
          <w:szCs w:val="20"/>
          <w:lang w:val="en-US" w:eastAsia="zh-CN"/>
        </w:rPr>
        <w:t>合同签订后4个月内完成等级保护测评工作</w:t>
      </w:r>
      <w:r>
        <w:rPr>
          <w:rFonts w:hint="eastAsia" w:ascii="仿宋" w:hAnsi="仿宋" w:eastAsia="仿宋" w:cs="仿宋"/>
          <w:b/>
          <w:sz w:val="20"/>
          <w:szCs w:val="20"/>
          <w:lang w:eastAsia="zh-CN"/>
        </w:rPr>
        <w:t>。</w:t>
      </w:r>
    </w:p>
    <w:p w14:paraId="268E60E2">
      <w:pPr>
        <w:pStyle w:val="4"/>
        <w:jc w:val="both"/>
        <w:rPr>
          <w:rFonts w:hint="eastAsia" w:ascii="仿宋" w:hAnsi="仿宋" w:eastAsia="仿宋" w:cs="仿宋"/>
          <w:sz w:val="20"/>
          <w:szCs w:val="20"/>
        </w:rPr>
      </w:pPr>
      <w:r>
        <w:rPr>
          <w:rFonts w:hint="eastAsia" w:ascii="仿宋" w:hAnsi="仿宋" w:eastAsia="仿宋" w:cs="仿宋"/>
          <w:b/>
          <w:sz w:val="20"/>
          <w:szCs w:val="20"/>
        </w:rPr>
        <w:t>（三）合同价款：</w:t>
      </w:r>
    </w:p>
    <w:p w14:paraId="577C1C8A">
      <w:pPr>
        <w:pStyle w:val="4"/>
        <w:ind w:firstLine="240"/>
        <w:jc w:val="both"/>
        <w:rPr>
          <w:rFonts w:hint="eastAsia" w:ascii="仿宋" w:hAnsi="仿宋" w:eastAsia="仿宋" w:cs="仿宋"/>
          <w:sz w:val="20"/>
          <w:szCs w:val="20"/>
        </w:rPr>
      </w:pPr>
      <w:r>
        <w:rPr>
          <w:rFonts w:hint="eastAsia" w:ascii="仿宋" w:hAnsi="仿宋" w:eastAsia="仿宋" w:cs="仿宋"/>
          <w:sz w:val="20"/>
          <w:szCs w:val="20"/>
        </w:rPr>
        <w:t>3.1合同总价包括：项目实施费及其他费用等从项目实施至验收合格等所有其他有关各项的含税费用。</w:t>
      </w:r>
    </w:p>
    <w:p w14:paraId="0D688360">
      <w:pPr>
        <w:pStyle w:val="4"/>
        <w:ind w:firstLine="240"/>
        <w:jc w:val="both"/>
        <w:rPr>
          <w:rFonts w:hint="eastAsia" w:ascii="仿宋" w:hAnsi="仿宋" w:eastAsia="仿宋" w:cs="仿宋"/>
          <w:sz w:val="20"/>
          <w:szCs w:val="20"/>
        </w:rPr>
      </w:pPr>
      <w:r>
        <w:rPr>
          <w:rFonts w:hint="eastAsia" w:ascii="仿宋" w:hAnsi="仿宋" w:eastAsia="仿宋" w:cs="仿宋"/>
          <w:sz w:val="20"/>
          <w:szCs w:val="20"/>
        </w:rPr>
        <w:t>3.2合同总价一次包死，不受市场价格、工作量变化等其它因素的影响。</w:t>
      </w:r>
    </w:p>
    <w:p w14:paraId="108332AE">
      <w:pPr>
        <w:pStyle w:val="4"/>
        <w:jc w:val="both"/>
        <w:rPr>
          <w:rFonts w:hint="eastAsia" w:ascii="仿宋" w:hAnsi="仿宋" w:eastAsia="仿宋" w:cs="仿宋"/>
          <w:sz w:val="20"/>
          <w:szCs w:val="20"/>
          <w:highlight w:val="none"/>
        </w:rPr>
      </w:pPr>
      <w:r>
        <w:rPr>
          <w:rFonts w:hint="eastAsia" w:ascii="仿宋" w:hAnsi="仿宋" w:eastAsia="仿宋" w:cs="仿宋"/>
          <w:b/>
          <w:sz w:val="20"/>
          <w:szCs w:val="20"/>
          <w:highlight w:val="none"/>
        </w:rPr>
        <w:t>（四）付款方式：</w:t>
      </w:r>
    </w:p>
    <w:p w14:paraId="230DED62">
      <w:pPr>
        <w:pStyle w:val="4"/>
        <w:ind w:firstLine="24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4.1、付款方式</w:t>
      </w:r>
      <w:r>
        <w:rPr>
          <w:rFonts w:hint="eastAsia" w:ascii="仿宋" w:hAnsi="仿宋" w:eastAsia="仿宋" w:cs="仿宋"/>
          <w:b/>
          <w:sz w:val="20"/>
          <w:szCs w:val="20"/>
          <w:highlight w:val="none"/>
        </w:rPr>
        <w:t>：</w:t>
      </w:r>
      <w:r>
        <w:rPr>
          <w:rFonts w:hint="eastAsia" w:ascii="仿宋" w:hAnsi="仿宋" w:eastAsia="仿宋" w:cs="仿宋"/>
          <w:sz w:val="20"/>
          <w:szCs w:val="20"/>
          <w:highlight w:val="none"/>
          <w:lang w:val="en-US" w:eastAsia="zh-CN"/>
        </w:rPr>
        <w:t>1）合同签订后支付40%，验收合格后支付60%。</w:t>
      </w:r>
    </w:p>
    <w:p w14:paraId="76474A21">
      <w:pPr>
        <w:pStyle w:val="4"/>
        <w:ind w:firstLine="24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4.</w:t>
      </w:r>
      <w:r>
        <w:rPr>
          <w:rFonts w:hint="eastAsia" w:ascii="仿宋" w:hAnsi="仿宋" w:eastAsia="仿宋" w:cs="仿宋"/>
          <w:sz w:val="20"/>
          <w:szCs w:val="20"/>
          <w:highlight w:val="none"/>
          <w:lang w:val="en-US" w:eastAsia="zh-CN"/>
        </w:rPr>
        <w:t>2</w:t>
      </w:r>
      <w:r>
        <w:rPr>
          <w:rFonts w:hint="eastAsia" w:ascii="仿宋" w:hAnsi="仿宋" w:eastAsia="仿宋" w:cs="仿宋"/>
          <w:sz w:val="20"/>
          <w:szCs w:val="20"/>
          <w:highlight w:val="none"/>
        </w:rPr>
        <w:t>、支付方式：银行转账。</w:t>
      </w:r>
    </w:p>
    <w:p w14:paraId="07FBC769">
      <w:pPr>
        <w:pStyle w:val="4"/>
        <w:jc w:val="both"/>
        <w:rPr>
          <w:rFonts w:hint="eastAsia" w:ascii="仿宋" w:hAnsi="仿宋" w:eastAsia="仿宋" w:cs="仿宋"/>
          <w:sz w:val="20"/>
          <w:szCs w:val="20"/>
        </w:rPr>
      </w:pPr>
      <w:r>
        <w:rPr>
          <w:rFonts w:hint="eastAsia" w:ascii="仿宋" w:hAnsi="仿宋" w:eastAsia="仿宋" w:cs="仿宋"/>
          <w:b/>
          <w:sz w:val="20"/>
          <w:szCs w:val="20"/>
        </w:rPr>
        <w:t>（五）项目检验与验收</w:t>
      </w:r>
    </w:p>
    <w:p w14:paraId="750D8F46">
      <w:pPr>
        <w:pStyle w:val="4"/>
        <w:ind w:firstLine="240"/>
        <w:jc w:val="both"/>
        <w:rPr>
          <w:rFonts w:hint="eastAsia" w:ascii="仿宋" w:hAnsi="仿宋" w:eastAsia="仿宋" w:cs="仿宋"/>
          <w:sz w:val="20"/>
          <w:szCs w:val="20"/>
        </w:rPr>
      </w:pPr>
      <w:r>
        <w:rPr>
          <w:rFonts w:hint="eastAsia" w:ascii="仿宋" w:hAnsi="仿宋" w:eastAsia="仿宋" w:cs="仿宋"/>
          <w:sz w:val="20"/>
          <w:szCs w:val="20"/>
        </w:rPr>
        <w:t>5.1、</w:t>
      </w:r>
      <w:r>
        <w:rPr>
          <w:rFonts w:hint="eastAsia" w:ascii="仿宋" w:hAnsi="仿宋" w:eastAsia="仿宋" w:cs="仿宋"/>
          <w:sz w:val="20"/>
          <w:szCs w:val="20"/>
          <w:lang w:val="en-US" w:eastAsia="zh-CN"/>
        </w:rPr>
        <w:t>完成本项目要求信息系统的安全等级保护测评，并提供《信息系统安全等级保护定级备案证明》、《信息系统安全等级测评报告》、《信息系统整改建议书》及《信息系统渗透测试报告》后进行项目验收</w:t>
      </w:r>
      <w:r>
        <w:rPr>
          <w:rFonts w:hint="eastAsia" w:ascii="仿宋" w:hAnsi="仿宋" w:eastAsia="仿宋" w:cs="仿宋"/>
          <w:sz w:val="20"/>
          <w:szCs w:val="20"/>
        </w:rPr>
        <w:t>。</w:t>
      </w:r>
    </w:p>
    <w:p w14:paraId="6E823F52">
      <w:pPr>
        <w:pStyle w:val="4"/>
        <w:ind w:firstLine="240"/>
        <w:jc w:val="both"/>
        <w:rPr>
          <w:rFonts w:hint="eastAsia" w:ascii="仿宋" w:hAnsi="仿宋" w:eastAsia="仿宋" w:cs="仿宋"/>
          <w:sz w:val="20"/>
          <w:szCs w:val="20"/>
        </w:rPr>
      </w:pPr>
      <w:r>
        <w:rPr>
          <w:rFonts w:hint="eastAsia" w:ascii="仿宋" w:hAnsi="仿宋" w:eastAsia="仿宋" w:cs="仿宋"/>
          <w:sz w:val="20"/>
          <w:szCs w:val="20"/>
        </w:rPr>
        <w:t>5.2、</w:t>
      </w:r>
      <w:r>
        <w:rPr>
          <w:rFonts w:hint="eastAsia" w:ascii="仿宋" w:hAnsi="仿宋" w:eastAsia="仿宋" w:cs="仿宋"/>
          <w:sz w:val="20"/>
          <w:szCs w:val="20"/>
          <w:lang w:val="en-US" w:eastAsia="zh-CN"/>
        </w:rPr>
        <w:t>知识产权归属和处理方式:测评过程中形成的各类文档完全属于采购人</w:t>
      </w:r>
      <w:r>
        <w:rPr>
          <w:rFonts w:hint="eastAsia" w:ascii="仿宋" w:hAnsi="仿宋" w:eastAsia="仿宋" w:cs="仿宋"/>
          <w:sz w:val="20"/>
          <w:szCs w:val="20"/>
        </w:rPr>
        <w:t>。</w:t>
      </w:r>
    </w:p>
    <w:p w14:paraId="316DCB92">
      <w:pPr>
        <w:pStyle w:val="4"/>
        <w:jc w:val="both"/>
        <w:rPr>
          <w:rFonts w:hint="eastAsia" w:ascii="仿宋" w:hAnsi="仿宋" w:eastAsia="仿宋" w:cs="仿宋"/>
          <w:sz w:val="20"/>
          <w:szCs w:val="20"/>
        </w:rPr>
      </w:pPr>
      <w:r>
        <w:rPr>
          <w:rFonts w:hint="eastAsia" w:ascii="仿宋" w:hAnsi="仿宋" w:eastAsia="仿宋" w:cs="仿宋"/>
          <w:b/>
          <w:sz w:val="20"/>
          <w:szCs w:val="20"/>
        </w:rPr>
        <w:t>（六）合同争议的解决</w:t>
      </w:r>
    </w:p>
    <w:p w14:paraId="288DE33D">
      <w:pPr>
        <w:pStyle w:val="4"/>
        <w:ind w:firstLine="240"/>
        <w:jc w:val="both"/>
        <w:rPr>
          <w:rFonts w:hint="eastAsia" w:ascii="仿宋" w:hAnsi="仿宋" w:eastAsia="仿宋" w:cs="仿宋"/>
          <w:sz w:val="20"/>
          <w:szCs w:val="20"/>
        </w:rPr>
      </w:pPr>
      <w:r>
        <w:rPr>
          <w:rFonts w:hint="eastAsia" w:ascii="仿宋" w:hAnsi="仿宋" w:eastAsia="仿宋" w:cs="仿宋"/>
          <w:sz w:val="20"/>
          <w:szCs w:val="20"/>
        </w:rPr>
        <w:t>6.1、合同一经签订，不得擅自变更、中止或者终止合同。对确需变更、调整或者中止、终止合同的，应按规定履行相应的手续。</w:t>
      </w:r>
    </w:p>
    <w:p w14:paraId="04EE4445">
      <w:pPr>
        <w:pStyle w:val="4"/>
        <w:ind w:firstLine="240"/>
        <w:jc w:val="both"/>
        <w:rPr>
          <w:rFonts w:hint="eastAsia" w:ascii="仿宋" w:hAnsi="仿宋" w:eastAsia="仿宋" w:cs="仿宋"/>
          <w:sz w:val="20"/>
          <w:szCs w:val="20"/>
        </w:rPr>
      </w:pPr>
      <w:r>
        <w:rPr>
          <w:rFonts w:hint="eastAsia" w:ascii="仿宋" w:hAnsi="仿宋" w:eastAsia="仿宋" w:cs="仿宋"/>
          <w:sz w:val="20"/>
          <w:szCs w:val="20"/>
        </w:rPr>
        <w:t>6.2、采购人在合同的履行期间以及履行期后，可以随时检查项目的执行情况，对磋商响应标准、磋商响应内容进行调查核实，并对发现的问题进行处理。</w:t>
      </w:r>
    </w:p>
    <w:p w14:paraId="33EFEE6D">
      <w:pPr>
        <w:pStyle w:val="4"/>
        <w:ind w:firstLine="240"/>
        <w:jc w:val="both"/>
        <w:rPr>
          <w:rFonts w:hint="eastAsia" w:ascii="仿宋" w:hAnsi="仿宋" w:eastAsia="仿宋" w:cs="仿宋"/>
          <w:sz w:val="20"/>
          <w:szCs w:val="20"/>
        </w:rPr>
      </w:pPr>
      <w:r>
        <w:rPr>
          <w:rFonts w:hint="eastAsia" w:ascii="仿宋" w:hAnsi="仿宋" w:eastAsia="仿宋" w:cs="仿宋"/>
          <w:sz w:val="20"/>
          <w:szCs w:val="20"/>
        </w:rPr>
        <w:t>6.3、合同争议的解决：合同在履行过程中发生的争议，当事人双方应协商解决，协商达不成一致时，可向当地向人民法院提请诉讼。</w:t>
      </w:r>
    </w:p>
    <w:p w14:paraId="379BFD79">
      <w:pPr>
        <w:pStyle w:val="4"/>
        <w:jc w:val="both"/>
        <w:rPr>
          <w:rFonts w:hint="eastAsia" w:ascii="仿宋" w:hAnsi="仿宋" w:eastAsia="仿宋" w:cs="仿宋"/>
          <w:sz w:val="20"/>
          <w:szCs w:val="20"/>
        </w:rPr>
      </w:pPr>
      <w:r>
        <w:rPr>
          <w:rFonts w:hint="eastAsia" w:ascii="仿宋" w:hAnsi="仿宋" w:eastAsia="仿宋" w:cs="仿宋"/>
          <w:b/>
          <w:sz w:val="20"/>
          <w:szCs w:val="20"/>
        </w:rPr>
        <w:t>（七）违约责任</w:t>
      </w:r>
    </w:p>
    <w:p w14:paraId="72D793CD">
      <w:pPr>
        <w:pStyle w:val="4"/>
        <w:ind w:firstLine="240"/>
        <w:jc w:val="both"/>
        <w:rPr>
          <w:rFonts w:hint="eastAsia" w:ascii="仿宋" w:hAnsi="仿宋" w:eastAsia="仿宋" w:cs="仿宋"/>
          <w:sz w:val="20"/>
          <w:szCs w:val="20"/>
        </w:rPr>
      </w:pPr>
      <w:r>
        <w:rPr>
          <w:rFonts w:hint="eastAsia" w:ascii="仿宋" w:hAnsi="仿宋" w:eastAsia="仿宋" w:cs="仿宋"/>
          <w:sz w:val="20"/>
          <w:szCs w:val="20"/>
        </w:rPr>
        <w:t>7.1、依据《中华人民共和国民法典》、《中华人民共和国政府采购法》的相关条款和本合同约定的相关条款执行。</w:t>
      </w:r>
    </w:p>
    <w:p w14:paraId="13841158">
      <w:pPr>
        <w:pStyle w:val="4"/>
        <w:ind w:firstLine="200" w:firstLineChars="100"/>
        <w:outlineLvl w:val="2"/>
        <w:rPr>
          <w:rFonts w:hint="eastAsia" w:ascii="仿宋" w:hAnsi="仿宋" w:eastAsia="仿宋" w:cs="仿宋"/>
          <w:b/>
          <w:sz w:val="20"/>
          <w:szCs w:val="20"/>
        </w:rPr>
      </w:pPr>
      <w:r>
        <w:rPr>
          <w:rFonts w:hint="eastAsia" w:ascii="仿宋" w:hAnsi="仿宋" w:eastAsia="仿宋" w:cs="仿宋"/>
          <w:sz w:val="20"/>
          <w:szCs w:val="20"/>
        </w:rPr>
        <w:t>7.2、成交供应商未按合同要求履行，不符合磋商技术要求，成交供应商必须无条件更换人员或设备，提高技术，完善质量，否则，采购人有权终止合同，并对成交供应商的违约行为进行追究。</w:t>
      </w:r>
    </w:p>
    <w:p w14:paraId="62A667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52B43"/>
    <w:rsid w:val="0F95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2025-12-19T05:31:00Z</dcterms:created>
  <dc:creator>璐包子～</dc:creator>
  <cp:lastModifiedBy>璐包子～</cp:lastModifiedBy>
  <dcterms:modified xsi:type="dcterms:W3CDTF">2025-12-19T05:31:26Z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22014C1738724B48B6A37B1D24DB2EC1_11</vt:lpwstr>
  </property>
  <property fmtid="{D5CDD505-2E9C-101B-9397-08002B2CF9AE}" pid="4" name="KSOTemplateDocerSaveRecord">
    <vt:lpwstr>eyJoZGlkIjoiMjA2NTA2MTg1YTdjNDhlMjM4Yjk4MmViMThhNTY0ZmIiLCJ1c2VySWQiOiIyODcxMzg2MDcifQ==</vt:lpwstr>
  </property>
</Properties>
</file>