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37C9C">
      <w:pPr>
        <w:pStyle w:val="4"/>
        <w:jc w:val="center"/>
        <w:outlineLvl w:val="1"/>
      </w:pPr>
      <w:r>
        <w:rPr>
          <w:rFonts w:ascii="仿宋_GB2312" w:hAnsi="仿宋_GB2312" w:eastAsia="仿宋_GB2312" w:cs="仿宋_GB2312"/>
          <w:b/>
          <w:sz w:val="36"/>
        </w:rPr>
        <w:t>技术、服务、商务及其他要求</w:t>
      </w:r>
    </w:p>
    <w:p w14:paraId="08C07E15">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D6E5110">
      <w:pPr>
        <w:pStyle w:val="4"/>
        <w:outlineLvl w:val="2"/>
      </w:pPr>
      <w:r>
        <w:rPr>
          <w:rFonts w:ascii="仿宋_GB2312" w:hAnsi="仿宋_GB2312" w:eastAsia="仿宋_GB2312" w:cs="仿宋_GB2312"/>
          <w:b/>
          <w:sz w:val="28"/>
        </w:rPr>
        <w:t>3.1采购项目概况</w:t>
      </w:r>
    </w:p>
    <w:p w14:paraId="323753FD">
      <w:pPr>
        <w:pStyle w:val="4"/>
        <w:ind w:firstLine="480"/>
      </w:pPr>
      <w:r>
        <w:rPr>
          <w:rFonts w:ascii="仿宋_GB2312" w:hAnsi="仿宋_GB2312" w:eastAsia="仿宋_GB2312" w:cs="仿宋_GB2312"/>
        </w:rPr>
        <w:t>目前我中心实际用地约为139亩，1幢办公楼、2幢宿舍楼，停车场、活动室、室外卫生等部位都需要后勤保障服务。运维方面日常工作，全院用水、用电、空调、发电机加油及日常维护；保洁方面日常工作，打扫卫生间、会议室、门窗、过道等公共区域卫生；安防方面日常工作，门岗执勤、巡逻、安全防范、设备设施的安全保卫等后勤相关工作。以上总人数暂定8人，年度预算600000元，每月据实结算，如遇医院搬迁或合并等重大事宜合同内容另行协商或者终止。</w:t>
      </w:r>
    </w:p>
    <w:p w14:paraId="484BFDAA">
      <w:pPr>
        <w:pStyle w:val="4"/>
        <w:outlineLvl w:val="2"/>
      </w:pPr>
      <w:r>
        <w:rPr>
          <w:rFonts w:ascii="仿宋_GB2312" w:hAnsi="仿宋_GB2312" w:eastAsia="仿宋_GB2312" w:cs="仿宋_GB2312"/>
          <w:b/>
          <w:sz w:val="28"/>
        </w:rPr>
        <w:t>3.2服务内容及服务要求</w:t>
      </w:r>
    </w:p>
    <w:p w14:paraId="6011FD57">
      <w:pPr>
        <w:pStyle w:val="4"/>
        <w:outlineLvl w:val="3"/>
      </w:pPr>
      <w:r>
        <w:rPr>
          <w:rFonts w:ascii="仿宋_GB2312" w:hAnsi="仿宋_GB2312" w:eastAsia="仿宋_GB2312" w:cs="仿宋_GB2312"/>
          <w:b/>
          <w:sz w:val="24"/>
        </w:rPr>
        <w:t>3.2.1服务内容</w:t>
      </w:r>
    </w:p>
    <w:p w14:paraId="1F7C5D78">
      <w:pPr>
        <w:pStyle w:val="4"/>
      </w:pPr>
      <w:r>
        <w:rPr>
          <w:rFonts w:ascii="仿宋_GB2312" w:hAnsi="仿宋_GB2312" w:eastAsia="仿宋_GB2312" w:cs="仿宋_GB2312"/>
        </w:rPr>
        <w:t>采购包1：</w:t>
      </w:r>
    </w:p>
    <w:p w14:paraId="5AE1D917">
      <w:pPr>
        <w:pStyle w:val="4"/>
      </w:pPr>
      <w:r>
        <w:rPr>
          <w:rFonts w:ascii="仿宋_GB2312" w:hAnsi="仿宋_GB2312" w:eastAsia="仿宋_GB2312" w:cs="仿宋_GB2312"/>
        </w:rPr>
        <w:t>采购包预算金额（元）: 600,000.00</w:t>
      </w:r>
    </w:p>
    <w:p w14:paraId="2B2EDA35">
      <w:pPr>
        <w:pStyle w:val="4"/>
      </w:pPr>
      <w:r>
        <w:rPr>
          <w:rFonts w:ascii="仿宋_GB2312" w:hAnsi="仿宋_GB2312" w:eastAsia="仿宋_GB2312" w:cs="仿宋_GB2312"/>
        </w:rPr>
        <w:t>采购包最高限价（元）: 600,000.00</w:t>
      </w:r>
    </w:p>
    <w:p w14:paraId="13FE889E">
      <w:pPr>
        <w:pStyle w:val="4"/>
      </w:pPr>
      <w:r>
        <w:rPr>
          <w:rFonts w:ascii="仿宋_GB2312" w:hAnsi="仿宋_GB2312" w:eastAsia="仿宋_GB2312" w:cs="仿宋_GB2312"/>
        </w:rPr>
        <w:t>供应商报价不允许超过标的金额</w:t>
      </w:r>
    </w:p>
    <w:p w14:paraId="3EC00944">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6A5D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F6EDA0">
            <w:pPr>
              <w:pStyle w:val="4"/>
            </w:pPr>
            <w:r>
              <w:rPr>
                <w:rFonts w:ascii="仿宋_GB2312" w:hAnsi="仿宋_GB2312" w:eastAsia="仿宋_GB2312" w:cs="仿宋_GB2312"/>
              </w:rPr>
              <w:t>序号</w:t>
            </w:r>
          </w:p>
        </w:tc>
        <w:tc>
          <w:tcPr>
            <w:tcW w:w="831" w:type="dxa"/>
          </w:tcPr>
          <w:p w14:paraId="37C35040">
            <w:pPr>
              <w:pStyle w:val="4"/>
            </w:pPr>
            <w:r>
              <w:rPr>
                <w:rFonts w:ascii="仿宋_GB2312" w:hAnsi="仿宋_GB2312" w:eastAsia="仿宋_GB2312" w:cs="仿宋_GB2312"/>
              </w:rPr>
              <w:t>标的名称</w:t>
            </w:r>
          </w:p>
        </w:tc>
        <w:tc>
          <w:tcPr>
            <w:tcW w:w="831" w:type="dxa"/>
          </w:tcPr>
          <w:p w14:paraId="6094980B">
            <w:pPr>
              <w:pStyle w:val="4"/>
            </w:pPr>
            <w:r>
              <w:rPr>
                <w:rFonts w:ascii="仿宋_GB2312" w:hAnsi="仿宋_GB2312" w:eastAsia="仿宋_GB2312" w:cs="仿宋_GB2312"/>
              </w:rPr>
              <w:t>数量</w:t>
            </w:r>
          </w:p>
        </w:tc>
        <w:tc>
          <w:tcPr>
            <w:tcW w:w="831" w:type="dxa"/>
          </w:tcPr>
          <w:p w14:paraId="5B514DC4">
            <w:pPr>
              <w:pStyle w:val="4"/>
            </w:pPr>
            <w:r>
              <w:rPr>
                <w:rFonts w:ascii="仿宋_GB2312" w:hAnsi="仿宋_GB2312" w:eastAsia="仿宋_GB2312" w:cs="仿宋_GB2312"/>
              </w:rPr>
              <w:t>标的金额 （元）</w:t>
            </w:r>
          </w:p>
        </w:tc>
        <w:tc>
          <w:tcPr>
            <w:tcW w:w="831" w:type="dxa"/>
          </w:tcPr>
          <w:p w14:paraId="140788B4">
            <w:pPr>
              <w:pStyle w:val="4"/>
            </w:pPr>
            <w:r>
              <w:rPr>
                <w:rFonts w:ascii="仿宋_GB2312" w:hAnsi="仿宋_GB2312" w:eastAsia="仿宋_GB2312" w:cs="仿宋_GB2312"/>
              </w:rPr>
              <w:t>计量单位</w:t>
            </w:r>
          </w:p>
        </w:tc>
        <w:tc>
          <w:tcPr>
            <w:tcW w:w="831" w:type="dxa"/>
          </w:tcPr>
          <w:p w14:paraId="0407524E">
            <w:pPr>
              <w:pStyle w:val="4"/>
            </w:pPr>
            <w:r>
              <w:rPr>
                <w:rFonts w:ascii="仿宋_GB2312" w:hAnsi="仿宋_GB2312" w:eastAsia="仿宋_GB2312" w:cs="仿宋_GB2312"/>
              </w:rPr>
              <w:t>所属行业</w:t>
            </w:r>
          </w:p>
        </w:tc>
        <w:tc>
          <w:tcPr>
            <w:tcW w:w="831" w:type="dxa"/>
          </w:tcPr>
          <w:p w14:paraId="7672B03D">
            <w:pPr>
              <w:pStyle w:val="4"/>
            </w:pPr>
            <w:r>
              <w:rPr>
                <w:rFonts w:ascii="仿宋_GB2312" w:hAnsi="仿宋_GB2312" w:eastAsia="仿宋_GB2312" w:cs="仿宋_GB2312"/>
              </w:rPr>
              <w:t>是否核心产品</w:t>
            </w:r>
          </w:p>
        </w:tc>
        <w:tc>
          <w:tcPr>
            <w:tcW w:w="831" w:type="dxa"/>
          </w:tcPr>
          <w:p w14:paraId="693F3BE0">
            <w:pPr>
              <w:pStyle w:val="4"/>
            </w:pPr>
            <w:r>
              <w:rPr>
                <w:rFonts w:ascii="仿宋_GB2312" w:hAnsi="仿宋_GB2312" w:eastAsia="仿宋_GB2312" w:cs="仿宋_GB2312"/>
              </w:rPr>
              <w:t>是否允许进口产品</w:t>
            </w:r>
          </w:p>
        </w:tc>
        <w:tc>
          <w:tcPr>
            <w:tcW w:w="831" w:type="dxa"/>
          </w:tcPr>
          <w:p w14:paraId="3280DFF0">
            <w:pPr>
              <w:pStyle w:val="4"/>
            </w:pPr>
            <w:r>
              <w:rPr>
                <w:rFonts w:ascii="仿宋_GB2312" w:hAnsi="仿宋_GB2312" w:eastAsia="仿宋_GB2312" w:cs="仿宋_GB2312"/>
              </w:rPr>
              <w:t>是否属于节能产品</w:t>
            </w:r>
          </w:p>
        </w:tc>
        <w:tc>
          <w:tcPr>
            <w:tcW w:w="831" w:type="dxa"/>
          </w:tcPr>
          <w:p w14:paraId="56F28F73">
            <w:pPr>
              <w:pStyle w:val="4"/>
            </w:pPr>
            <w:r>
              <w:rPr>
                <w:rFonts w:ascii="仿宋_GB2312" w:hAnsi="仿宋_GB2312" w:eastAsia="仿宋_GB2312" w:cs="仿宋_GB2312"/>
              </w:rPr>
              <w:t>是否属于环境标志产品</w:t>
            </w:r>
          </w:p>
        </w:tc>
      </w:tr>
      <w:tr w14:paraId="5CA58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0A11B8">
            <w:pPr>
              <w:pStyle w:val="4"/>
            </w:pPr>
            <w:r>
              <w:rPr>
                <w:rFonts w:ascii="仿宋_GB2312" w:hAnsi="仿宋_GB2312" w:eastAsia="仿宋_GB2312" w:cs="仿宋_GB2312"/>
              </w:rPr>
              <w:t>1</w:t>
            </w:r>
          </w:p>
        </w:tc>
        <w:tc>
          <w:tcPr>
            <w:tcW w:w="831" w:type="dxa"/>
          </w:tcPr>
          <w:p w14:paraId="0421E612">
            <w:pPr>
              <w:pStyle w:val="4"/>
            </w:pPr>
            <w:r>
              <w:rPr>
                <w:rFonts w:ascii="仿宋_GB2312" w:hAnsi="仿宋_GB2312" w:eastAsia="仿宋_GB2312" w:cs="仿宋_GB2312"/>
              </w:rPr>
              <w:t>院区运转保障</w:t>
            </w:r>
          </w:p>
        </w:tc>
        <w:tc>
          <w:tcPr>
            <w:tcW w:w="831" w:type="dxa"/>
          </w:tcPr>
          <w:p w14:paraId="36FF0DC5">
            <w:pPr>
              <w:pStyle w:val="4"/>
              <w:jc w:val="right"/>
            </w:pPr>
            <w:r>
              <w:rPr>
                <w:rFonts w:ascii="仿宋_GB2312" w:hAnsi="仿宋_GB2312" w:eastAsia="仿宋_GB2312" w:cs="仿宋_GB2312"/>
              </w:rPr>
              <w:t>1.00</w:t>
            </w:r>
          </w:p>
        </w:tc>
        <w:tc>
          <w:tcPr>
            <w:tcW w:w="831" w:type="dxa"/>
          </w:tcPr>
          <w:p w14:paraId="3F6DC7BD">
            <w:pPr>
              <w:pStyle w:val="4"/>
              <w:jc w:val="right"/>
            </w:pPr>
            <w:r>
              <w:rPr>
                <w:rFonts w:ascii="仿宋_GB2312" w:hAnsi="仿宋_GB2312" w:eastAsia="仿宋_GB2312" w:cs="仿宋_GB2312"/>
              </w:rPr>
              <w:t>600,000.00</w:t>
            </w:r>
          </w:p>
        </w:tc>
        <w:tc>
          <w:tcPr>
            <w:tcW w:w="831" w:type="dxa"/>
          </w:tcPr>
          <w:p w14:paraId="4EFB1E02">
            <w:pPr>
              <w:pStyle w:val="4"/>
            </w:pPr>
            <w:r>
              <w:rPr>
                <w:rFonts w:ascii="仿宋_GB2312" w:hAnsi="仿宋_GB2312" w:eastAsia="仿宋_GB2312" w:cs="仿宋_GB2312"/>
              </w:rPr>
              <w:t>年</w:t>
            </w:r>
          </w:p>
        </w:tc>
        <w:tc>
          <w:tcPr>
            <w:tcW w:w="831" w:type="dxa"/>
          </w:tcPr>
          <w:p w14:paraId="3FDD702D">
            <w:pPr>
              <w:pStyle w:val="4"/>
            </w:pPr>
            <w:r>
              <w:rPr>
                <w:rFonts w:ascii="仿宋_GB2312" w:hAnsi="仿宋_GB2312" w:eastAsia="仿宋_GB2312" w:cs="仿宋_GB2312"/>
              </w:rPr>
              <w:t>其他未列明行业</w:t>
            </w:r>
          </w:p>
        </w:tc>
        <w:tc>
          <w:tcPr>
            <w:tcW w:w="831" w:type="dxa"/>
          </w:tcPr>
          <w:p w14:paraId="7A2CE09B">
            <w:pPr>
              <w:pStyle w:val="4"/>
            </w:pPr>
            <w:r>
              <w:rPr>
                <w:rFonts w:ascii="仿宋_GB2312" w:hAnsi="仿宋_GB2312" w:eastAsia="仿宋_GB2312" w:cs="仿宋_GB2312"/>
              </w:rPr>
              <w:t>否</w:t>
            </w:r>
          </w:p>
        </w:tc>
        <w:tc>
          <w:tcPr>
            <w:tcW w:w="831" w:type="dxa"/>
          </w:tcPr>
          <w:p w14:paraId="6958F3EC">
            <w:pPr>
              <w:pStyle w:val="4"/>
            </w:pPr>
            <w:r>
              <w:rPr>
                <w:rFonts w:ascii="仿宋_GB2312" w:hAnsi="仿宋_GB2312" w:eastAsia="仿宋_GB2312" w:cs="仿宋_GB2312"/>
              </w:rPr>
              <w:t>否</w:t>
            </w:r>
          </w:p>
        </w:tc>
        <w:tc>
          <w:tcPr>
            <w:tcW w:w="831" w:type="dxa"/>
          </w:tcPr>
          <w:p w14:paraId="0E3AF374">
            <w:pPr>
              <w:pStyle w:val="4"/>
            </w:pPr>
            <w:r>
              <w:rPr>
                <w:rFonts w:ascii="仿宋_GB2312" w:hAnsi="仿宋_GB2312" w:eastAsia="仿宋_GB2312" w:cs="仿宋_GB2312"/>
              </w:rPr>
              <w:t>否</w:t>
            </w:r>
          </w:p>
        </w:tc>
        <w:tc>
          <w:tcPr>
            <w:tcW w:w="831" w:type="dxa"/>
          </w:tcPr>
          <w:p w14:paraId="7331038B">
            <w:pPr>
              <w:pStyle w:val="4"/>
            </w:pPr>
            <w:r>
              <w:rPr>
                <w:rFonts w:ascii="仿宋_GB2312" w:hAnsi="仿宋_GB2312" w:eastAsia="仿宋_GB2312" w:cs="仿宋_GB2312"/>
              </w:rPr>
              <w:t>否</w:t>
            </w:r>
          </w:p>
        </w:tc>
      </w:tr>
    </w:tbl>
    <w:p w14:paraId="4F8C7E00">
      <w:pPr>
        <w:pStyle w:val="4"/>
        <w:outlineLvl w:val="2"/>
      </w:pPr>
      <w:r>
        <w:rPr>
          <w:rFonts w:ascii="仿宋_GB2312" w:hAnsi="仿宋_GB2312" w:eastAsia="仿宋_GB2312" w:cs="仿宋_GB2312"/>
          <w:b/>
          <w:sz w:val="28"/>
        </w:rPr>
        <w:t>3.2.2服务要求</w:t>
      </w:r>
    </w:p>
    <w:p w14:paraId="0F362296">
      <w:pPr>
        <w:pStyle w:val="4"/>
      </w:pPr>
      <w:r>
        <w:rPr>
          <w:rFonts w:ascii="仿宋_GB2312" w:hAnsi="仿宋_GB2312" w:eastAsia="仿宋_GB2312" w:cs="仿宋_GB2312"/>
        </w:rPr>
        <w:t>采购包1：</w:t>
      </w:r>
    </w:p>
    <w:p w14:paraId="2B918CF7">
      <w:pPr>
        <w:pStyle w:val="4"/>
      </w:pPr>
      <w:r>
        <w:rPr>
          <w:rFonts w:ascii="仿宋_GB2312" w:hAnsi="仿宋_GB2312" w:eastAsia="仿宋_GB2312" w:cs="仿宋_GB2312"/>
        </w:rPr>
        <w:t>标的名称：院区运转保障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5AB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49D47">
            <w:pPr>
              <w:pStyle w:val="4"/>
            </w:pPr>
            <w:r>
              <w:rPr>
                <w:rFonts w:ascii="仿宋_GB2312" w:hAnsi="仿宋_GB2312" w:eastAsia="仿宋_GB2312" w:cs="仿宋_GB2312"/>
              </w:rPr>
              <w:t xml:space="preserve"> 序号</w:t>
            </w:r>
          </w:p>
        </w:tc>
        <w:tc>
          <w:tcPr>
            <w:tcW w:w="2769" w:type="dxa"/>
          </w:tcPr>
          <w:p w14:paraId="195B0838">
            <w:pPr>
              <w:pStyle w:val="4"/>
            </w:pPr>
            <w:r>
              <w:rPr>
                <w:rFonts w:ascii="仿宋_GB2312" w:hAnsi="仿宋_GB2312" w:eastAsia="仿宋_GB2312" w:cs="仿宋_GB2312"/>
              </w:rPr>
              <w:t xml:space="preserve"> 参数性质</w:t>
            </w:r>
          </w:p>
        </w:tc>
        <w:tc>
          <w:tcPr>
            <w:tcW w:w="2769" w:type="dxa"/>
          </w:tcPr>
          <w:p w14:paraId="701A48E7">
            <w:pPr>
              <w:pStyle w:val="4"/>
            </w:pPr>
            <w:r>
              <w:rPr>
                <w:rFonts w:ascii="仿宋_GB2312" w:hAnsi="仿宋_GB2312" w:eastAsia="仿宋_GB2312" w:cs="仿宋_GB2312"/>
              </w:rPr>
              <w:t xml:space="preserve"> 技术参数与性能指标</w:t>
            </w:r>
          </w:p>
        </w:tc>
      </w:tr>
      <w:tr w14:paraId="7A8B3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C54F29">
            <w:pPr>
              <w:pStyle w:val="4"/>
            </w:pPr>
            <w:r>
              <w:rPr>
                <w:rFonts w:ascii="仿宋_GB2312" w:hAnsi="仿宋_GB2312" w:eastAsia="仿宋_GB2312" w:cs="仿宋_GB2312"/>
              </w:rPr>
              <w:t>1</w:t>
            </w:r>
          </w:p>
        </w:tc>
        <w:tc>
          <w:tcPr>
            <w:tcW w:w="2769" w:type="dxa"/>
          </w:tcPr>
          <w:p w14:paraId="0C4BD253">
            <w:pPr>
              <w:pStyle w:val="4"/>
            </w:pPr>
            <w:r>
              <w:rPr>
                <w:rFonts w:ascii="仿宋_GB2312" w:hAnsi="仿宋_GB2312" w:eastAsia="仿宋_GB2312" w:cs="仿宋_GB2312"/>
              </w:rPr>
              <w:t>★</w:t>
            </w:r>
          </w:p>
        </w:tc>
        <w:tc>
          <w:tcPr>
            <w:tcW w:w="2769" w:type="dxa"/>
          </w:tcPr>
          <w:p w14:paraId="1691CADD">
            <w:pPr>
              <w:pStyle w:val="4"/>
              <w:jc w:val="both"/>
            </w:pPr>
            <w:r>
              <w:rPr>
                <w:rFonts w:ascii="仿宋_GB2312" w:hAnsi="仿宋_GB2312" w:eastAsia="仿宋_GB2312" w:cs="仿宋_GB2312"/>
                <w:b/>
              </w:rPr>
              <w:t>一、项目概况</w:t>
            </w:r>
          </w:p>
          <w:p w14:paraId="0DFF34EA">
            <w:pPr>
              <w:pStyle w:val="4"/>
              <w:jc w:val="both"/>
            </w:pPr>
            <w:r>
              <w:rPr>
                <w:rFonts w:ascii="仿宋_GB2312" w:hAnsi="仿宋_GB2312" w:eastAsia="仿宋_GB2312" w:cs="仿宋_GB2312"/>
              </w:rPr>
              <w:t>目前我中心实际用地约为139亩，1幢办公楼、2幢宿舍楼，停车场、活动室、室外卫生等部位都需要后勤保障服</w:t>
            </w:r>
            <w:bookmarkStart w:id="0" w:name="_GoBack"/>
            <w:bookmarkEnd w:id="0"/>
            <w:r>
              <w:rPr>
                <w:rFonts w:ascii="仿宋_GB2312" w:hAnsi="仿宋_GB2312" w:eastAsia="仿宋_GB2312" w:cs="仿宋_GB2312"/>
              </w:rPr>
              <w:t>务。运维方面日常工作，全院用水、用电、空调、发电机加油及日常维护；保洁方面日常工作，打扫卫生间、会议室、门窗、过道等公共区域卫生；安防方面日常工作，门岗执勤、巡逻、安全防范、设备设施的安全保卫等后勤相关工作。以上总人数暂定8人，年度预算600,000.00元，每月据实结算，如遇医院搬迁或合并等重大事宜合同内容另行协商或者终止。</w:t>
            </w:r>
          </w:p>
          <w:p w14:paraId="420EE23D">
            <w:pPr>
              <w:pStyle w:val="4"/>
              <w:jc w:val="both"/>
            </w:pPr>
            <w:r>
              <w:rPr>
                <w:rFonts w:hint="eastAsia" w:ascii="仿宋_GB2312" w:hAnsi="仿宋_GB2312" w:eastAsia="仿宋_GB2312" w:cs="仿宋_GB2312"/>
                <w:b/>
                <w:lang w:val="en-US" w:eastAsia="zh-CN"/>
              </w:rPr>
              <w:t>二、</w:t>
            </w:r>
            <w:r>
              <w:rPr>
                <w:rFonts w:ascii="仿宋_GB2312" w:hAnsi="仿宋_GB2312" w:eastAsia="仿宋_GB2312" w:cs="仿宋_GB2312"/>
                <w:b/>
              </w:rPr>
              <w:t>服务内容</w:t>
            </w:r>
          </w:p>
          <w:p w14:paraId="0CBD1376">
            <w:pPr>
              <w:pStyle w:val="4"/>
              <w:jc w:val="both"/>
            </w:pPr>
            <w:r>
              <w:rPr>
                <w:rFonts w:ascii="仿宋_GB2312" w:hAnsi="仿宋_GB2312" w:eastAsia="仿宋_GB2312" w:cs="仿宋_GB2312"/>
              </w:rPr>
              <w:t>1.医院对岗位设置和管理工作具有直接指挥权和决定权。</w:t>
            </w:r>
          </w:p>
          <w:p w14:paraId="5CC5DFA6">
            <w:pPr>
              <w:pStyle w:val="4"/>
              <w:jc w:val="both"/>
            </w:pPr>
            <w:r>
              <w:rPr>
                <w:rFonts w:ascii="仿宋_GB2312" w:hAnsi="仿宋_GB2312" w:eastAsia="仿宋_GB2312" w:cs="仿宋_GB2312"/>
              </w:rPr>
              <w:t>2.运维方面：全院高低压电器设施、线路运行、维护、巡检；全院生活用水设施、管路运行、维护、巡检；全院医用水、污水设施、管路运行、维护、巡检；全院小型五金、木器维修；全院空调系统（含普通空调系统、洁净空调系统及负压空调系统）运行、维护、维修、巡检、过滤网清洗；全院发电机组运行、维护、巡检；全院其他设施维护、维修；每月1000元以内辅材费用由乙方自行承担，超过1000元的由甲方承担。</w:t>
            </w:r>
          </w:p>
          <w:p w14:paraId="34483228">
            <w:pPr>
              <w:pStyle w:val="4"/>
              <w:jc w:val="both"/>
            </w:pPr>
            <w:r>
              <w:rPr>
                <w:rFonts w:ascii="仿宋_GB2312" w:hAnsi="仿宋_GB2312" w:eastAsia="仿宋_GB2312" w:cs="仿宋_GB2312"/>
              </w:rPr>
              <w:t>3.保洁方面：院区道路、绿化带、停车场、行政办公区、生活区楼层及洗漱间、淋浴间、厕所、室内外卫生保洁。</w:t>
            </w:r>
          </w:p>
          <w:p w14:paraId="309C540B">
            <w:pPr>
              <w:pStyle w:val="4"/>
              <w:jc w:val="both"/>
            </w:pPr>
            <w:r>
              <w:rPr>
                <w:rFonts w:ascii="仿宋_GB2312" w:hAnsi="仿宋_GB2312" w:eastAsia="仿宋_GB2312" w:cs="仿宋_GB2312"/>
              </w:rPr>
              <w:t>4.安防方面：维护院区正常秩序，负责医院大门门岗执勤、消防控制室、安全防范、处突维稳、停车场管理等相关工作，应对突发事件以及人员财产安全，确保医院安全无事故发生。</w:t>
            </w:r>
          </w:p>
          <w:p w14:paraId="6F57C2CB">
            <w:pPr>
              <w:pStyle w:val="4"/>
              <w:jc w:val="both"/>
            </w:pPr>
            <w:r>
              <w:rPr>
                <w:rFonts w:ascii="仿宋_GB2312" w:hAnsi="仿宋_GB2312" w:eastAsia="仿宋_GB2312" w:cs="仿宋_GB2312"/>
              </w:rPr>
              <w:t>5.服务费包含人员薪酬、延时加班费、双休加班费、法定节假日加班费、遇突发重大应急加班费、人员食宿、制服、寝具、雨具、通讯设备、电筒等相关物品费用。</w:t>
            </w:r>
          </w:p>
          <w:p w14:paraId="5F75B4C2">
            <w:pPr>
              <w:pStyle w:val="4"/>
              <w:jc w:val="both"/>
            </w:pPr>
            <w:r>
              <w:rPr>
                <w:rFonts w:ascii="仿宋_GB2312" w:hAnsi="仿宋_GB2312" w:eastAsia="仿宋_GB2312" w:cs="仿宋_GB2312"/>
                <w:b/>
              </w:rPr>
              <w:t>三、技术要求</w:t>
            </w:r>
          </w:p>
          <w:p w14:paraId="31973866">
            <w:pPr>
              <w:pStyle w:val="4"/>
              <w:jc w:val="both"/>
            </w:pPr>
            <w:r>
              <w:rPr>
                <w:rFonts w:ascii="仿宋_GB2312" w:hAnsi="仿宋_GB2312" w:eastAsia="仿宋_GB2312" w:cs="仿宋_GB2312"/>
              </w:rPr>
              <w:t>1.乙方必须严格遵守国家有关劳动法律法规政策的规定，合法用工。</w:t>
            </w:r>
          </w:p>
          <w:p w14:paraId="572AD06A">
            <w:pPr>
              <w:pStyle w:val="4"/>
              <w:jc w:val="both"/>
            </w:pPr>
            <w:r>
              <w:rPr>
                <w:rFonts w:ascii="仿宋_GB2312" w:hAnsi="仿宋_GB2312" w:eastAsia="仿宋_GB2312" w:cs="仿宋_GB2312"/>
              </w:rPr>
              <w:t>2.乙方须与其派驻采购人的所有工作人员需持二级以上医院健康体检表（如患有冠心病、高血压、糖尿病、皮肤病、器质性病变等疾病不得入职，不得隐瞒病史）。</w:t>
            </w:r>
          </w:p>
          <w:p w14:paraId="24E0750D">
            <w:pPr>
              <w:pStyle w:val="4"/>
              <w:jc w:val="both"/>
            </w:pPr>
            <w:r>
              <w:rPr>
                <w:rFonts w:ascii="仿宋_GB2312" w:hAnsi="仿宋_GB2312" w:eastAsia="仿宋_GB2312" w:cs="仿宋_GB2312"/>
              </w:rPr>
              <w:t>3.乙方须与其派驻甲方的所有工作人员签订劳动合同，购买社会保险等。</w:t>
            </w:r>
          </w:p>
          <w:p w14:paraId="6E34B2BC">
            <w:pPr>
              <w:pStyle w:val="4"/>
              <w:jc w:val="both"/>
            </w:pPr>
            <w:r>
              <w:rPr>
                <w:rFonts w:ascii="仿宋_GB2312" w:hAnsi="仿宋_GB2312" w:eastAsia="仿宋_GB2312" w:cs="仿宋_GB2312"/>
              </w:rPr>
              <w:t>4.乙方派遣工作人员必须遵守甲方各项规章制度，在工作中采取必需的一切安全防护措施，以保障员工的劳动安全，严格遵守国家有关安全作业制度和规定，按照安全规程操作作业。</w:t>
            </w:r>
          </w:p>
          <w:p w14:paraId="008572E4">
            <w:pPr>
              <w:pStyle w:val="4"/>
              <w:jc w:val="both"/>
            </w:pPr>
            <w:r>
              <w:rPr>
                <w:rFonts w:ascii="仿宋_GB2312" w:hAnsi="仿宋_GB2312" w:eastAsia="仿宋_GB2312" w:cs="仿宋_GB2312"/>
              </w:rPr>
              <w:t>5.乙方必须保证提供的全部资料及信息真实可靠，如提供虚假信息和资料给甲方造成损失全部由乙方承担。</w:t>
            </w:r>
          </w:p>
          <w:p w14:paraId="0D4A3526">
            <w:pPr>
              <w:pStyle w:val="4"/>
              <w:jc w:val="both"/>
            </w:pPr>
            <w:r>
              <w:rPr>
                <w:rFonts w:ascii="仿宋_GB2312" w:hAnsi="仿宋_GB2312" w:eastAsia="仿宋_GB2312" w:cs="仿宋_GB2312"/>
              </w:rPr>
              <w:t>6.乙方工作人员在工作中如发生安全事故或者做出违法、违章行为，其后果由乙方承担，给甲方造成损失，由乙方承担全部责任和费用。</w:t>
            </w:r>
          </w:p>
          <w:p w14:paraId="43EA44C9">
            <w:pPr>
              <w:pStyle w:val="4"/>
              <w:jc w:val="both"/>
            </w:pPr>
            <w:r>
              <w:rPr>
                <w:rFonts w:ascii="仿宋_GB2312" w:hAnsi="仿宋_GB2312" w:eastAsia="仿宋_GB2312" w:cs="仿宋_GB2312"/>
              </w:rPr>
              <w:t>7.乙方在履行合同过程中，给甲方或第三方造成人身或财产损失的，由乙方承担全部责任及赔偿。</w:t>
            </w:r>
          </w:p>
          <w:p w14:paraId="67C4D178">
            <w:pPr>
              <w:pStyle w:val="4"/>
              <w:jc w:val="both"/>
            </w:pPr>
            <w:r>
              <w:rPr>
                <w:rFonts w:ascii="仿宋_GB2312" w:hAnsi="仿宋_GB2312" w:eastAsia="仿宋_GB2312" w:cs="仿宋_GB2312"/>
              </w:rPr>
              <w:t>8.电工人员需提供相应的高、低压电工证。</w:t>
            </w:r>
          </w:p>
          <w:p w14:paraId="2EEDC0B4">
            <w:pPr>
              <w:pStyle w:val="4"/>
              <w:jc w:val="both"/>
            </w:pPr>
            <w:r>
              <w:rPr>
                <w:rFonts w:ascii="仿宋_GB2312" w:hAnsi="仿宋_GB2312" w:eastAsia="仿宋_GB2312" w:cs="仿宋_GB2312"/>
                <w:b/>
              </w:rPr>
              <w:t>四、服务要求</w:t>
            </w:r>
          </w:p>
          <w:p w14:paraId="039BEF6E">
            <w:pPr>
              <w:pStyle w:val="4"/>
              <w:jc w:val="both"/>
            </w:pPr>
            <w:r>
              <w:rPr>
                <w:rFonts w:ascii="仿宋_GB2312" w:hAnsi="仿宋_GB2312" w:eastAsia="仿宋_GB2312" w:cs="仿宋_GB2312"/>
              </w:rPr>
              <w:t>（一）人员配置</w:t>
            </w:r>
          </w:p>
          <w:p w14:paraId="3AB47BB6">
            <w:pPr>
              <w:pStyle w:val="4"/>
              <w:jc w:val="both"/>
            </w:pPr>
            <w:r>
              <w:rPr>
                <w:rFonts w:ascii="仿宋_GB2312" w:hAnsi="仿宋_GB2312" w:eastAsia="仿宋_GB2312" w:cs="仿宋_GB2312"/>
              </w:rPr>
              <w:t>暂定人员：运维人员2人，至少一人持高压职业证书，一人持低压职业证书；保洁人员2人；保安人员4人，至少两人持中级消防设施监控操作证。人员年龄20-60周岁。以上总人数暂定8人，每月据实结算，如遇医院搬迁或合并等重大事宜合同内容另行协商或者终止。</w:t>
            </w:r>
          </w:p>
          <w:p w14:paraId="766D18A5">
            <w:pPr>
              <w:pStyle w:val="4"/>
              <w:jc w:val="both"/>
            </w:pPr>
            <w:r>
              <w:rPr>
                <w:rFonts w:ascii="仿宋_GB2312" w:hAnsi="仿宋_GB2312" w:eastAsia="仿宋_GB2312" w:cs="仿宋_GB2312"/>
              </w:rPr>
              <w:t>（二）专业设备</w:t>
            </w:r>
          </w:p>
          <w:p w14:paraId="0445E363">
            <w:pPr>
              <w:pStyle w:val="4"/>
              <w:jc w:val="both"/>
            </w:pPr>
            <w:r>
              <w:rPr>
                <w:rFonts w:ascii="仿宋_GB2312" w:hAnsi="仿宋_GB2312" w:eastAsia="仿宋_GB2312" w:cs="仿宋_GB2312"/>
              </w:rPr>
              <w:t>中标服务商必须提供以下设备及物品：</w:t>
            </w:r>
          </w:p>
          <w:p w14:paraId="7941AD0D">
            <w:pPr>
              <w:pStyle w:val="4"/>
              <w:jc w:val="both"/>
            </w:pPr>
            <w:r>
              <w:rPr>
                <w:rFonts w:ascii="仿宋_GB2312" w:hAnsi="仿宋_GB2312" w:eastAsia="仿宋_GB2312" w:cs="仿宋_GB2312"/>
              </w:rPr>
              <w:t>1.维修工具、维修辅材等相关物资。</w:t>
            </w:r>
          </w:p>
          <w:p w14:paraId="00A11DEA">
            <w:pPr>
              <w:pStyle w:val="4"/>
              <w:jc w:val="both"/>
            </w:pPr>
            <w:r>
              <w:rPr>
                <w:rFonts w:ascii="仿宋_GB2312" w:hAnsi="仿宋_GB2312" w:eastAsia="仿宋_GB2312" w:cs="仿宋_GB2312"/>
              </w:rPr>
              <w:t>2.保洁工具，扫把、拖把、锨、耙、喷雾器、喷壶等相关清扫工具。</w:t>
            </w:r>
          </w:p>
          <w:p w14:paraId="5EF93766">
            <w:pPr>
              <w:pStyle w:val="4"/>
              <w:jc w:val="both"/>
            </w:pPr>
            <w:r>
              <w:rPr>
                <w:rFonts w:ascii="仿宋_GB2312" w:hAnsi="仿宋_GB2312" w:eastAsia="仿宋_GB2312" w:cs="仿宋_GB2312"/>
              </w:rPr>
              <w:t>3.安防方面，两轮巡逻车、防爆盾牌、钢叉等相关防爆物资。</w:t>
            </w:r>
          </w:p>
          <w:p w14:paraId="0F112087">
            <w:pPr>
              <w:pStyle w:val="4"/>
              <w:jc w:val="both"/>
            </w:pPr>
            <w:r>
              <w:rPr>
                <w:rFonts w:ascii="仿宋_GB2312" w:hAnsi="仿宋_GB2312" w:eastAsia="仿宋_GB2312" w:cs="仿宋_GB2312"/>
              </w:rPr>
              <w:t>4.物品消耗品类：工作服、手套、垃圾袋、洁厕剂、擦手纸、洗手液、抹布、橡胶手套、刷子等相关物资。</w:t>
            </w:r>
          </w:p>
          <w:p w14:paraId="10E220A7">
            <w:pPr>
              <w:pStyle w:val="4"/>
              <w:jc w:val="both"/>
            </w:pPr>
            <w:r>
              <w:rPr>
                <w:rFonts w:ascii="仿宋_GB2312" w:hAnsi="仿宋_GB2312" w:eastAsia="仿宋_GB2312" w:cs="仿宋_GB2312"/>
              </w:rPr>
              <w:t>（三）服务标准</w:t>
            </w:r>
          </w:p>
          <w:p w14:paraId="01908796">
            <w:pPr>
              <w:pStyle w:val="4"/>
              <w:jc w:val="both"/>
            </w:pPr>
            <w:r>
              <w:rPr>
                <w:rFonts w:ascii="仿宋_GB2312" w:hAnsi="仿宋_GB2312" w:eastAsia="仿宋_GB2312" w:cs="仿宋_GB2312"/>
              </w:rPr>
              <w:t>1.医院主管部门对中标服务商的工作进行监督和协调沟通。</w:t>
            </w:r>
          </w:p>
          <w:p w14:paraId="472825D0">
            <w:pPr>
              <w:pStyle w:val="4"/>
              <w:jc w:val="both"/>
            </w:pPr>
            <w:r>
              <w:rPr>
                <w:rFonts w:ascii="仿宋_GB2312" w:hAnsi="仿宋_GB2312" w:eastAsia="仿宋_GB2312" w:cs="仿宋_GB2312"/>
              </w:rPr>
              <w:t>2.中标服务商项目主管需主动与医院主管部门联络，定时提供督导检查记录，并征求甲方提出的意见建议及时改进工作。</w:t>
            </w:r>
          </w:p>
          <w:p w14:paraId="1111DF82">
            <w:pPr>
              <w:pStyle w:val="4"/>
              <w:jc w:val="both"/>
            </w:pPr>
            <w:r>
              <w:rPr>
                <w:rFonts w:ascii="仿宋_GB2312" w:hAnsi="仿宋_GB2312" w:eastAsia="仿宋_GB2312" w:cs="仿宋_GB2312"/>
              </w:rPr>
              <w:t>3.树立“业主至上、服务第一”大无畏的思想，为医院创造一个干净整洁、舒适的医疗环境。</w:t>
            </w:r>
          </w:p>
          <w:p w14:paraId="04EDD336">
            <w:pPr>
              <w:pStyle w:val="4"/>
              <w:jc w:val="both"/>
            </w:pPr>
            <w:r>
              <w:rPr>
                <w:rFonts w:ascii="仿宋_GB2312" w:hAnsi="仿宋_GB2312" w:eastAsia="仿宋_GB2312" w:cs="仿宋_GB2312"/>
              </w:rPr>
              <w:t>4.实行优质服务，优质管理，为医院提供文明礼貌、主动热情周到的服务，最大限度满足医院服务质量的要求。</w:t>
            </w:r>
          </w:p>
          <w:p w14:paraId="5339A738">
            <w:pPr>
              <w:pStyle w:val="4"/>
              <w:jc w:val="both"/>
            </w:pPr>
            <w:r>
              <w:rPr>
                <w:rFonts w:ascii="仿宋_GB2312" w:hAnsi="仿宋_GB2312" w:eastAsia="仿宋_GB2312" w:cs="仿宋_GB2312"/>
              </w:rPr>
              <w:t>5.如中标服务商员工有监守自盗行为，一经发现核实，按财产损失价值5倍处罚中标服务商，中标服务商须开除当事员工。以上行为严重者送交公安机关。如发生火灾、治安、交通、刑事等事故，经核实，是因中标服务商管理疏忽、玩忽职守、处理不当造成，按事故责任进行赔偿。必要时追诉中标服务商的刑事责任。</w:t>
            </w:r>
          </w:p>
          <w:p w14:paraId="23D8E9DD">
            <w:pPr>
              <w:pStyle w:val="4"/>
              <w:jc w:val="both"/>
            </w:pPr>
            <w:r>
              <w:rPr>
                <w:rFonts w:ascii="仿宋_GB2312" w:hAnsi="仿宋_GB2312" w:eastAsia="仿宋_GB2312" w:cs="仿宋_GB2312"/>
              </w:rPr>
              <w:t>6.中标服务商必须保证派驻人员稳定性，如人员有调离或离职，调离或离职人员离开医院之前，必须经由甲方同意，新来员工必须经过甲方培训合格后，经医院主管部门批准方可上岗。如发现中标服务商不经医院主管部门同意,擅自对派驻人员私自调整上岗的，扣除本月服务费5%，并辞退当事人。</w:t>
            </w:r>
          </w:p>
          <w:p w14:paraId="1D0B40C5">
            <w:pPr>
              <w:pStyle w:val="4"/>
              <w:jc w:val="both"/>
            </w:pPr>
            <w:r>
              <w:rPr>
                <w:rFonts w:ascii="仿宋_GB2312" w:hAnsi="仿宋_GB2312" w:eastAsia="仿宋_GB2312" w:cs="仿宋_GB2312"/>
                <w:b/>
              </w:rPr>
              <w:t>五、商务要求</w:t>
            </w:r>
          </w:p>
          <w:p w14:paraId="669ED7DD">
            <w:pPr>
              <w:pStyle w:val="4"/>
              <w:jc w:val="both"/>
            </w:pPr>
            <w:r>
              <w:rPr>
                <w:rFonts w:ascii="仿宋_GB2312" w:hAnsi="仿宋_GB2312" w:eastAsia="仿宋_GB2312" w:cs="仿宋_GB2312"/>
              </w:rPr>
              <w:t>服务期：自合同签订之日起至2026年12月31日。</w:t>
            </w:r>
          </w:p>
          <w:p w14:paraId="73CB3AF8">
            <w:pPr>
              <w:pStyle w:val="4"/>
              <w:jc w:val="both"/>
            </w:pPr>
            <w:r>
              <w:rPr>
                <w:rFonts w:ascii="仿宋_GB2312" w:hAnsi="仿宋_GB2312" w:eastAsia="仿宋_GB2312" w:cs="仿宋_GB2312"/>
                <w:b/>
              </w:rPr>
              <w:t>六、其他</w:t>
            </w:r>
          </w:p>
          <w:p w14:paraId="3D6D1C75">
            <w:pPr>
              <w:pStyle w:val="4"/>
              <w:jc w:val="both"/>
            </w:pPr>
            <w:r>
              <w:rPr>
                <w:rFonts w:ascii="仿宋_GB2312" w:hAnsi="仿宋_GB2312" w:eastAsia="仿宋_GB2312" w:cs="仿宋_GB2312"/>
              </w:rPr>
              <w:t>1.工作人员薪金要求：中标公司所雇佣的员工基本工资（不包括员工社保、医保、福利以及加班工资等）不能低于西安市规定的最低工资标准。中标公司必须承诺不能发生拖欠员工工资的问题，一经发现，医院有权解除合同。</w:t>
            </w:r>
          </w:p>
          <w:p w14:paraId="4DC7105A">
            <w:pPr>
              <w:pStyle w:val="4"/>
              <w:jc w:val="both"/>
            </w:pPr>
            <w:r>
              <w:rPr>
                <w:rFonts w:ascii="仿宋_GB2312" w:hAnsi="仿宋_GB2312" w:eastAsia="仿宋_GB2312" w:cs="仿宋_GB2312"/>
              </w:rPr>
              <w:t>2.中标服务商负责员工的社会养老、医疗、工伤、失业等费用，若发生劳动争议均由中标服务商自己解决，医院无任何连带关系和责任；如发生违反用工规定的，由中标单位自行解决并承担所有责任，医院无任何连带关系和责任。</w:t>
            </w:r>
          </w:p>
          <w:p w14:paraId="6ADA2587">
            <w:pPr>
              <w:pStyle w:val="4"/>
              <w:jc w:val="both"/>
            </w:pPr>
            <w:r>
              <w:rPr>
                <w:rFonts w:ascii="仿宋_GB2312" w:hAnsi="仿宋_GB2312" w:eastAsia="仿宋_GB2312" w:cs="仿宋_GB2312"/>
              </w:rPr>
              <w:t>3.中标服务商不得将委托管理项目转包给第三方管理，不允许分包或转包管理责任和管理事宜。</w:t>
            </w:r>
          </w:p>
          <w:p w14:paraId="0AB6C97A">
            <w:pPr>
              <w:pStyle w:val="4"/>
              <w:jc w:val="both"/>
            </w:pPr>
            <w:r>
              <w:rPr>
                <w:rFonts w:ascii="仿宋_GB2312" w:hAnsi="仿宋_GB2312" w:eastAsia="仿宋_GB2312" w:cs="仿宋_GB2312"/>
              </w:rPr>
              <w:t>4.医院如有重要检查、重要嘉宾参观以及其他重要活动时提前通知，中标单位应根据医院要求加强人员服务。若遇火警、暴雨、地震等特殊情况，要立即组织应急小组配合医院进行抢险。</w:t>
            </w:r>
          </w:p>
          <w:p w14:paraId="0FDCC85E">
            <w:pPr>
              <w:pStyle w:val="4"/>
              <w:jc w:val="both"/>
            </w:pPr>
            <w:r>
              <w:rPr>
                <w:rFonts w:ascii="仿宋_GB2312" w:hAnsi="仿宋_GB2312" w:eastAsia="仿宋_GB2312" w:cs="仿宋_GB2312"/>
              </w:rPr>
              <w:t>5.医院协助中标服务商对员工进行疾病预防知识的培训和技术指导。</w:t>
            </w:r>
          </w:p>
          <w:p w14:paraId="4268026D">
            <w:pPr>
              <w:pStyle w:val="4"/>
            </w:pPr>
            <w:r>
              <w:rPr>
                <w:rFonts w:ascii="仿宋_GB2312" w:hAnsi="仿宋_GB2312" w:eastAsia="仿宋_GB2312" w:cs="仿宋_GB2312"/>
                <w:sz w:val="21"/>
              </w:rPr>
              <w:t>6.医院为中标服务商提供办公用房及日常水电费用；保洁食宿由中标服务商自理。</w:t>
            </w:r>
          </w:p>
        </w:tc>
      </w:tr>
    </w:tbl>
    <w:p w14:paraId="02103B2D">
      <w:pPr>
        <w:pStyle w:val="4"/>
        <w:outlineLvl w:val="2"/>
      </w:pPr>
      <w:r>
        <w:rPr>
          <w:rFonts w:ascii="仿宋_GB2312" w:hAnsi="仿宋_GB2312" w:eastAsia="仿宋_GB2312" w:cs="仿宋_GB2312"/>
          <w:b/>
          <w:sz w:val="28"/>
        </w:rPr>
        <w:t>3.2.3人员配置要求</w:t>
      </w:r>
    </w:p>
    <w:p w14:paraId="7EF5A255">
      <w:pPr>
        <w:pStyle w:val="4"/>
      </w:pPr>
      <w:r>
        <w:rPr>
          <w:rFonts w:ascii="仿宋_GB2312" w:hAnsi="仿宋_GB2312" w:eastAsia="仿宋_GB2312" w:cs="仿宋_GB2312"/>
        </w:rPr>
        <w:t>采购包1：</w:t>
      </w:r>
    </w:p>
    <w:p w14:paraId="447A51EB">
      <w:pPr>
        <w:pStyle w:val="4"/>
      </w:pPr>
      <w:r>
        <w:rPr>
          <w:rFonts w:ascii="仿宋_GB2312" w:hAnsi="仿宋_GB2312" w:eastAsia="仿宋_GB2312" w:cs="仿宋_GB2312"/>
        </w:rPr>
        <w:t>根据竞争性磋商文件要求及合同约定执行。</w:t>
      </w:r>
    </w:p>
    <w:p w14:paraId="4C51D524">
      <w:pPr>
        <w:pStyle w:val="4"/>
        <w:outlineLvl w:val="2"/>
      </w:pPr>
      <w:r>
        <w:rPr>
          <w:rFonts w:ascii="仿宋_GB2312" w:hAnsi="仿宋_GB2312" w:eastAsia="仿宋_GB2312" w:cs="仿宋_GB2312"/>
          <w:b/>
          <w:sz w:val="28"/>
        </w:rPr>
        <w:t>3.2.4设施设备要求</w:t>
      </w:r>
    </w:p>
    <w:p w14:paraId="161603D8">
      <w:pPr>
        <w:pStyle w:val="4"/>
      </w:pPr>
      <w:r>
        <w:rPr>
          <w:rFonts w:ascii="仿宋_GB2312" w:hAnsi="仿宋_GB2312" w:eastAsia="仿宋_GB2312" w:cs="仿宋_GB2312"/>
        </w:rPr>
        <w:t>采购包1：</w:t>
      </w:r>
    </w:p>
    <w:p w14:paraId="00783E7A">
      <w:pPr>
        <w:pStyle w:val="4"/>
      </w:pPr>
      <w:r>
        <w:rPr>
          <w:rFonts w:ascii="仿宋_GB2312" w:hAnsi="仿宋_GB2312" w:eastAsia="仿宋_GB2312" w:cs="仿宋_GB2312"/>
        </w:rPr>
        <w:t>根据竞争性磋商文件要求及合同约定执行。</w:t>
      </w:r>
    </w:p>
    <w:p w14:paraId="04C1FBA8">
      <w:pPr>
        <w:pStyle w:val="4"/>
        <w:outlineLvl w:val="2"/>
      </w:pPr>
      <w:r>
        <w:rPr>
          <w:rFonts w:ascii="仿宋_GB2312" w:hAnsi="仿宋_GB2312" w:eastAsia="仿宋_GB2312" w:cs="仿宋_GB2312"/>
          <w:b/>
          <w:sz w:val="28"/>
        </w:rPr>
        <w:t>3.2.5其他要求</w:t>
      </w:r>
    </w:p>
    <w:p w14:paraId="4B78D187">
      <w:pPr>
        <w:pStyle w:val="4"/>
      </w:pPr>
      <w:r>
        <w:rPr>
          <w:rFonts w:ascii="仿宋_GB2312" w:hAnsi="仿宋_GB2312" w:eastAsia="仿宋_GB2312" w:cs="仿宋_GB2312"/>
        </w:rPr>
        <w:t>采购包1：</w:t>
      </w:r>
    </w:p>
    <w:p w14:paraId="2D95BDE5">
      <w:pPr>
        <w:pStyle w:val="4"/>
      </w:pPr>
      <w:r>
        <w:rPr>
          <w:rFonts w:ascii="仿宋_GB2312" w:hAnsi="仿宋_GB2312" w:eastAsia="仿宋_GB2312" w:cs="仿宋_GB2312"/>
        </w:rPr>
        <w:t>服务要求：符合磋商文件及采购人的要求。</w:t>
      </w:r>
    </w:p>
    <w:p w14:paraId="082519FD">
      <w:pPr>
        <w:pStyle w:val="4"/>
        <w:outlineLvl w:val="2"/>
      </w:pPr>
      <w:r>
        <w:rPr>
          <w:rFonts w:ascii="仿宋_GB2312" w:hAnsi="仿宋_GB2312" w:eastAsia="仿宋_GB2312" w:cs="仿宋_GB2312"/>
          <w:b/>
          <w:sz w:val="28"/>
        </w:rPr>
        <w:t>3.3商务要求</w:t>
      </w:r>
    </w:p>
    <w:p w14:paraId="4460D056">
      <w:pPr>
        <w:pStyle w:val="4"/>
        <w:outlineLvl w:val="3"/>
      </w:pPr>
      <w:r>
        <w:rPr>
          <w:rFonts w:ascii="仿宋_GB2312" w:hAnsi="仿宋_GB2312" w:eastAsia="仿宋_GB2312" w:cs="仿宋_GB2312"/>
          <w:b/>
          <w:sz w:val="24"/>
        </w:rPr>
        <w:t>3.3.1服务期限</w:t>
      </w:r>
    </w:p>
    <w:p w14:paraId="603C5DEF">
      <w:pPr>
        <w:pStyle w:val="4"/>
      </w:pPr>
      <w:r>
        <w:rPr>
          <w:rFonts w:ascii="仿宋_GB2312" w:hAnsi="仿宋_GB2312" w:eastAsia="仿宋_GB2312" w:cs="仿宋_GB2312"/>
        </w:rPr>
        <w:t>采购包1：</w:t>
      </w:r>
    </w:p>
    <w:p w14:paraId="2B69239A">
      <w:pPr>
        <w:pStyle w:val="4"/>
      </w:pPr>
      <w:r>
        <w:rPr>
          <w:rFonts w:ascii="仿宋_GB2312" w:hAnsi="仿宋_GB2312" w:eastAsia="仿宋_GB2312" w:cs="仿宋_GB2312"/>
        </w:rPr>
        <w:t>自合同签订之日起至2026年12月31日。</w:t>
      </w:r>
    </w:p>
    <w:p w14:paraId="393EBAB8">
      <w:pPr>
        <w:pStyle w:val="4"/>
        <w:outlineLvl w:val="3"/>
      </w:pPr>
      <w:r>
        <w:rPr>
          <w:rFonts w:ascii="仿宋_GB2312" w:hAnsi="仿宋_GB2312" w:eastAsia="仿宋_GB2312" w:cs="仿宋_GB2312"/>
          <w:b/>
          <w:sz w:val="24"/>
        </w:rPr>
        <w:t>3.3.2服务地点</w:t>
      </w:r>
    </w:p>
    <w:p w14:paraId="2436DE65">
      <w:pPr>
        <w:pStyle w:val="4"/>
      </w:pPr>
      <w:r>
        <w:rPr>
          <w:rFonts w:ascii="仿宋_GB2312" w:hAnsi="仿宋_GB2312" w:eastAsia="仿宋_GB2312" w:cs="仿宋_GB2312"/>
        </w:rPr>
        <w:t>采购包1：</w:t>
      </w:r>
    </w:p>
    <w:p w14:paraId="48FD4689">
      <w:pPr>
        <w:pStyle w:val="4"/>
      </w:pPr>
      <w:r>
        <w:rPr>
          <w:rFonts w:ascii="仿宋_GB2312" w:hAnsi="仿宋_GB2312" w:eastAsia="仿宋_GB2312" w:cs="仿宋_GB2312"/>
        </w:rPr>
        <w:t>采购人指定地点</w:t>
      </w:r>
    </w:p>
    <w:p w14:paraId="4BC8F295">
      <w:pPr>
        <w:pStyle w:val="4"/>
        <w:outlineLvl w:val="3"/>
      </w:pPr>
      <w:r>
        <w:rPr>
          <w:rFonts w:ascii="仿宋_GB2312" w:hAnsi="仿宋_GB2312" w:eastAsia="仿宋_GB2312" w:cs="仿宋_GB2312"/>
          <w:b/>
          <w:sz w:val="24"/>
        </w:rPr>
        <w:t>3.3.3考核（验收）标准和方法</w:t>
      </w:r>
    </w:p>
    <w:p w14:paraId="1A9EFC13">
      <w:pPr>
        <w:pStyle w:val="4"/>
      </w:pPr>
      <w:r>
        <w:rPr>
          <w:rFonts w:ascii="仿宋_GB2312" w:hAnsi="仿宋_GB2312" w:eastAsia="仿宋_GB2312" w:cs="仿宋_GB2312"/>
        </w:rPr>
        <w:t>采购包1：</w:t>
      </w:r>
    </w:p>
    <w:p w14:paraId="6920EE0D">
      <w:pPr>
        <w:pStyle w:val="4"/>
      </w:pPr>
      <w:r>
        <w:rPr>
          <w:rFonts w:ascii="仿宋_GB2312" w:hAnsi="仿宋_GB2312" w:eastAsia="仿宋_GB2312" w:cs="仿宋_GB2312"/>
        </w:rPr>
        <w:t>根据竞争性磋商文件要求及合同约定执行</w:t>
      </w:r>
    </w:p>
    <w:p w14:paraId="2018D299">
      <w:pPr>
        <w:pStyle w:val="4"/>
        <w:outlineLvl w:val="3"/>
      </w:pPr>
      <w:r>
        <w:rPr>
          <w:rFonts w:ascii="仿宋_GB2312" w:hAnsi="仿宋_GB2312" w:eastAsia="仿宋_GB2312" w:cs="仿宋_GB2312"/>
          <w:b/>
          <w:sz w:val="24"/>
        </w:rPr>
        <w:t>3.3.4支付方式</w:t>
      </w:r>
    </w:p>
    <w:p w14:paraId="587F73E9">
      <w:pPr>
        <w:pStyle w:val="4"/>
      </w:pPr>
      <w:r>
        <w:rPr>
          <w:rFonts w:ascii="仿宋_GB2312" w:hAnsi="仿宋_GB2312" w:eastAsia="仿宋_GB2312" w:cs="仿宋_GB2312"/>
        </w:rPr>
        <w:t>采购包1：</w:t>
      </w:r>
    </w:p>
    <w:p w14:paraId="6B12D340">
      <w:pPr>
        <w:pStyle w:val="4"/>
      </w:pPr>
      <w:r>
        <w:rPr>
          <w:rFonts w:ascii="仿宋_GB2312" w:hAnsi="仿宋_GB2312" w:eastAsia="仿宋_GB2312" w:cs="仿宋_GB2312"/>
        </w:rPr>
        <w:t>分期付款</w:t>
      </w:r>
    </w:p>
    <w:p w14:paraId="33C1CECC">
      <w:pPr>
        <w:pStyle w:val="4"/>
        <w:outlineLvl w:val="3"/>
      </w:pPr>
      <w:r>
        <w:rPr>
          <w:rFonts w:ascii="仿宋_GB2312" w:hAnsi="仿宋_GB2312" w:eastAsia="仿宋_GB2312" w:cs="仿宋_GB2312"/>
          <w:b/>
          <w:sz w:val="24"/>
        </w:rPr>
        <w:t>3.3.5支付约定</w:t>
      </w:r>
    </w:p>
    <w:p w14:paraId="4595E1B4">
      <w:pPr>
        <w:pStyle w:val="4"/>
      </w:pPr>
      <w:r>
        <w:rPr>
          <w:rFonts w:ascii="仿宋_GB2312" w:hAnsi="仿宋_GB2312" w:eastAsia="仿宋_GB2312" w:cs="仿宋_GB2312"/>
        </w:rPr>
        <w:t xml:space="preserve">采购包1： 付款条件说明： 根据财政局每年下达预算指标后，甲方据实结算，经甲方书面考核合格后15个工作日内支付服务费。 乙方将在每月 15 日前出具当月服务费全额合规含税发票，若当月有扣费情形，乙方按照扣费后的金额开具；甲方于收到发票之日起 15 个工作日内向乙方支付该月服务费。若乙方未按时提供发票时，甲方有权顺延付款期限。若因其他特殊原因导致乙方不能按时提供发票，乙方应在约定提供发票时间截止前告知甲方，在征得甲方同意的情况下，可延期提供发票。 </w:t>
      </w:r>
    </w:p>
    <w:p w14:paraId="245A0A5B">
      <w:pPr>
        <w:pStyle w:val="4"/>
        <w:outlineLvl w:val="3"/>
      </w:pPr>
      <w:r>
        <w:rPr>
          <w:rFonts w:ascii="仿宋_GB2312" w:hAnsi="仿宋_GB2312" w:eastAsia="仿宋_GB2312" w:cs="仿宋_GB2312"/>
          <w:b/>
          <w:sz w:val="24"/>
        </w:rPr>
        <w:t>3.3.6违约责任及解决争议的方法</w:t>
      </w:r>
    </w:p>
    <w:p w14:paraId="50E9C793">
      <w:pPr>
        <w:pStyle w:val="4"/>
      </w:pPr>
      <w:r>
        <w:rPr>
          <w:rFonts w:ascii="仿宋_GB2312" w:hAnsi="仿宋_GB2312" w:eastAsia="仿宋_GB2312" w:cs="仿宋_GB2312"/>
        </w:rPr>
        <w:t>采购包1：</w:t>
      </w:r>
    </w:p>
    <w:p w14:paraId="5C1EAB94">
      <w:pPr>
        <w:pStyle w:val="4"/>
        <w:rPr>
          <w:rFonts w:hint="default" w:eastAsia="仿宋_GB2312"/>
          <w:lang w:val="en-US" w:eastAsia="zh-CN"/>
        </w:rPr>
      </w:pPr>
      <w:r>
        <w:rPr>
          <w:rFonts w:ascii="仿宋_GB2312" w:hAnsi="仿宋_GB2312" w:eastAsia="仿宋_GB2312" w:cs="仿宋_GB2312"/>
        </w:rPr>
        <w:t>依法向</w:t>
      </w:r>
      <w:r>
        <w:rPr>
          <w:rFonts w:hint="eastAsia" w:ascii="仿宋_GB2312" w:hAnsi="仿宋_GB2312" w:eastAsia="仿宋_GB2312" w:cs="仿宋_GB2312"/>
          <w:lang w:val="en-US" w:eastAsia="zh-CN"/>
        </w:rPr>
        <w:t>甲方所在地人民法院诉讼</w:t>
      </w:r>
    </w:p>
    <w:p w14:paraId="0A7575CD">
      <w:pPr>
        <w:pStyle w:val="4"/>
        <w:outlineLvl w:val="2"/>
      </w:pPr>
      <w:r>
        <w:rPr>
          <w:rFonts w:ascii="仿宋_GB2312" w:hAnsi="仿宋_GB2312" w:eastAsia="仿宋_GB2312" w:cs="仿宋_GB2312"/>
          <w:b/>
          <w:sz w:val="28"/>
        </w:rPr>
        <w:t>3.4其他要求</w:t>
      </w:r>
    </w:p>
    <w:p w14:paraId="504D2EBA">
      <w:pPr>
        <w:pStyle w:val="4"/>
      </w:pPr>
      <w:r>
        <w:rPr>
          <w:rFonts w:ascii="仿宋_GB2312" w:hAnsi="仿宋_GB2312" w:eastAsia="仿宋_GB2312" w:cs="仿宋_GB2312"/>
        </w:rPr>
        <w:t>1、磋商实行两轮报价。第一轮报价后，磋商小组可以根据项目实施情况调整采购需求，第二轮报价为最终报价。如采购需求没有实质性变化，各供应商的报价应逐次降低，本次报价超过上次报价的，为无效报价。 2、成交供应商在领取成交通知书前，需向采购代理机构提交加盖公章的纸质版响应文件三套，成交供应商应保持投标文件纸质版内容与系统上传内容完全一致，否则将承担一切法律责任。</w:t>
      </w:r>
    </w:p>
    <w:p w14:paraId="441C6083">
      <w:pPr>
        <w:pStyle w:val="4"/>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236BA"/>
    <w:rsid w:val="3E8236BA"/>
    <w:rsid w:val="435E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2025-12-19T09:54:00Z</dcterms:created>
  <dc:creator>宁儿</dc:creator>
  <cp:lastModifiedBy>宁儿</cp:lastModifiedBy>
  <dcterms:modified xsi:type="dcterms:W3CDTF">2025-12-19T10:04:35Z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A8661EDB81A142A2A7CA1497E59243A9_11</vt:lpwstr>
  </property>
  <property fmtid="{D5CDD505-2E9C-101B-9397-08002B2CF9AE}" pid="4" name="KSOTemplateDocerSaveRecord">
    <vt:lpwstr>eyJoZGlkIjoiYWMyNWQ3YWI0NWUyOThjMGIyYWUyOWUyOTc1OTFlOTMiLCJ1c2VySWQiOiIyODA5MzIzMjkifQ==</vt:lpwstr>
  </property>
</Properties>
</file>