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622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287"/>
        <w:gridCol w:w="1431"/>
        <w:gridCol w:w="3130"/>
        <w:gridCol w:w="1320"/>
        <w:gridCol w:w="1339"/>
        <w:gridCol w:w="2128"/>
      </w:tblGrid>
      <w:tr w14:paraId="0CB42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419" w:hRule="atLeast"/>
          <w:tblHeader/>
          <w:jc w:val="center"/>
        </w:trPr>
        <w:tc>
          <w:tcPr>
            <w:tcW w:w="63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F7B27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品目号</w:t>
            </w:r>
          </w:p>
        </w:tc>
        <w:tc>
          <w:tcPr>
            <w:tcW w:w="69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35F28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品目名称</w:t>
            </w:r>
          </w:p>
        </w:tc>
        <w:tc>
          <w:tcPr>
            <w:tcW w:w="149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5B9EC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采购标的</w:t>
            </w:r>
          </w:p>
        </w:tc>
        <w:tc>
          <w:tcPr>
            <w:tcW w:w="49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94D31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数量（单位）</w:t>
            </w:r>
          </w:p>
        </w:tc>
        <w:tc>
          <w:tcPr>
            <w:tcW w:w="65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85D44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技术规格、参数及要求</w:t>
            </w:r>
          </w:p>
        </w:tc>
        <w:tc>
          <w:tcPr>
            <w:tcW w:w="102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3A95B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品目预算(元)</w:t>
            </w:r>
          </w:p>
        </w:tc>
      </w:tr>
      <w:tr w14:paraId="24E99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429" w:hRule="atLeast"/>
          <w:jc w:val="center"/>
        </w:trPr>
        <w:tc>
          <w:tcPr>
            <w:tcW w:w="630"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103CE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1-1</w:t>
            </w:r>
          </w:p>
        </w:tc>
        <w:tc>
          <w:tcPr>
            <w:tcW w:w="698"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7D905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其他建筑工程</w:t>
            </w:r>
          </w:p>
        </w:tc>
        <w:tc>
          <w:tcPr>
            <w:tcW w:w="1496"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28F3A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斗门片区安置用地项目红线内落水村地块围墙圈建工作</w:t>
            </w:r>
          </w:p>
        </w:tc>
        <w:tc>
          <w:tcPr>
            <w:tcW w:w="49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5FB09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1,500(米)</w:t>
            </w:r>
          </w:p>
        </w:tc>
        <w:tc>
          <w:tcPr>
            <w:tcW w:w="654"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D1558F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详见采购文件</w:t>
            </w:r>
          </w:p>
        </w:tc>
        <w:tc>
          <w:tcPr>
            <w:tcW w:w="1025" w:type="pct"/>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887375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center"/>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600,000.00</w:t>
            </w:r>
          </w:p>
        </w:tc>
      </w:tr>
    </w:tbl>
    <w:p w14:paraId="4A9F74BD">
      <w:pPr>
        <w:keepNext w:val="0"/>
        <w:keepLines w:val="0"/>
        <w:widowControl/>
        <w:suppressLineNumbers w:val="0"/>
        <w:jc w:val="left"/>
      </w:pPr>
    </w:p>
    <w:p w14:paraId="71CFCB13">
      <w:pPr>
        <w:keepNext w:val="0"/>
        <w:keepLines w:val="0"/>
        <w:widowControl/>
        <w:suppressLineNumbers w:val="0"/>
        <w:jc w:val="left"/>
      </w:pPr>
    </w:p>
    <w:p w14:paraId="1D3C56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一、项目概况：</w:t>
      </w:r>
    </w:p>
    <w:p w14:paraId="772E47D6">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为确保重点项目建设需要，征地拆迁及搬迁安置工作依法、有序推进，完成征地拆迁围墙圈建相关工作。</w:t>
      </w:r>
    </w:p>
    <w:p w14:paraId="50F9A2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bCs w:val="0"/>
          <w:sz w:val="24"/>
          <w:szCs w:val="24"/>
          <w:lang w:val="en-US" w:eastAsia="zh-CN"/>
        </w:rPr>
        <w:t>二、工期：</w:t>
      </w:r>
      <w:r>
        <w:rPr>
          <w:rFonts w:hint="eastAsia" w:ascii="宋体" w:hAnsi="宋体" w:eastAsia="宋体" w:cs="宋体"/>
          <w:b w:val="0"/>
          <w:bCs w:val="0"/>
          <w:kern w:val="2"/>
          <w:sz w:val="24"/>
          <w:szCs w:val="24"/>
          <w:highlight w:val="none"/>
          <w:lang w:val="en-US" w:eastAsia="zh-CN" w:bidi="ar-SA"/>
        </w:rPr>
        <w:t>90日历天（具体以开竣工时间为准）</w:t>
      </w:r>
    </w:p>
    <w:p w14:paraId="0FF0E5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ascii="微软雅黑" w:hAnsi="微软雅黑" w:eastAsia="微软雅黑" w:cs="微软雅黑"/>
          <w:i w:val="0"/>
          <w:iCs w:val="0"/>
          <w:caps w:val="0"/>
          <w:color w:val="333333"/>
          <w:spacing w:val="0"/>
          <w:sz w:val="21"/>
          <w:szCs w:val="21"/>
          <w:shd w:val="clear" w:color="auto" w:fill="FFFFFF"/>
        </w:rPr>
      </w:pPr>
      <w:r>
        <w:rPr>
          <w:rFonts w:hint="eastAsia" w:ascii="宋体" w:hAnsi="宋体" w:eastAsia="宋体" w:cs="宋体"/>
          <w:b/>
          <w:bCs w:val="0"/>
          <w:sz w:val="24"/>
          <w:szCs w:val="24"/>
          <w:lang w:val="en-US" w:eastAsia="zh-CN"/>
        </w:rPr>
        <w:t>三、地点：落水村地块</w:t>
      </w:r>
    </w:p>
    <w:p w14:paraId="57D808D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四、采购预算及限价</w:t>
      </w:r>
    </w:p>
    <w:p w14:paraId="3D47AF3A">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1、采购预算：总价600,000.00元。</w:t>
      </w:r>
    </w:p>
    <w:p w14:paraId="376BEEE5">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2、限价：预制围墙单价限价：400元/米。</w:t>
      </w:r>
      <w:bookmarkStart w:id="0" w:name="_GoBack"/>
      <w:bookmarkEnd w:id="0"/>
    </w:p>
    <w:p w14:paraId="14F6D2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五、付款方式</w:t>
      </w:r>
    </w:p>
    <w:p w14:paraId="760AD1F5">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eastAsia" w:ascii="宋体" w:hAnsi="宋体" w:cs="宋体"/>
          <w:b w:val="0"/>
          <w:bCs w:val="0"/>
          <w:color w:val="auto"/>
          <w:kern w:val="2"/>
          <w:sz w:val="24"/>
          <w:szCs w:val="24"/>
          <w:highlight w:val="none"/>
          <w:lang w:val="en-US" w:eastAsia="zh-CN" w:bidi="ar-SA"/>
        </w:rPr>
        <w:t>具体以甲乙双方签订的最终合同为准</w:t>
      </w:r>
      <w:r>
        <w:rPr>
          <w:rFonts w:hint="eastAsia" w:ascii="宋体" w:hAnsi="宋体" w:eastAsia="宋体" w:cs="宋体"/>
          <w:b w:val="0"/>
          <w:bCs w:val="0"/>
          <w:color w:val="auto"/>
          <w:kern w:val="2"/>
          <w:sz w:val="24"/>
          <w:szCs w:val="24"/>
          <w:highlight w:val="none"/>
          <w:lang w:val="en-US" w:eastAsia="zh-CN" w:bidi="ar-SA"/>
        </w:rPr>
        <w:t xml:space="preserve">； </w:t>
      </w:r>
    </w:p>
    <w:p w14:paraId="1EF04F4B">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lef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kern w:val="2"/>
          <w:sz w:val="24"/>
          <w:szCs w:val="24"/>
          <w:highlight w:val="none"/>
          <w:lang w:val="en-US" w:eastAsia="zh-CN" w:bidi="ar-SA"/>
        </w:rPr>
        <w:t>2、本合同涉及所有款项为人民币支付，</w:t>
      </w:r>
      <w:r>
        <w:rPr>
          <w:rFonts w:hint="eastAsia" w:ascii="宋体" w:hAnsi="宋体" w:eastAsia="宋体" w:cs="宋体"/>
          <w:b w:val="0"/>
          <w:bCs w:val="0"/>
          <w:sz w:val="24"/>
          <w:szCs w:val="24"/>
          <w:highlight w:val="none"/>
          <w:lang w:val="en-US" w:eastAsia="zh-CN"/>
        </w:rPr>
        <w:t>付款前乙方应提供等额的增值税发票</w:t>
      </w:r>
      <w:r>
        <w:rPr>
          <w:rFonts w:hint="eastAsia" w:ascii="宋体" w:hAnsi="宋体" w:eastAsia="宋体" w:cs="宋体"/>
          <w:b w:val="0"/>
          <w:bCs w:val="0"/>
          <w:sz w:val="24"/>
          <w:szCs w:val="24"/>
          <w:highlight w:val="none"/>
        </w:rPr>
        <w:t>。</w:t>
      </w:r>
    </w:p>
    <w:p w14:paraId="17A63D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val="0"/>
          <w:sz w:val="24"/>
          <w:szCs w:val="24"/>
          <w:lang w:val="en-US" w:eastAsia="zh-CN"/>
        </w:rPr>
        <w:t>六、本项目专门面向中小企业采购项目。</w:t>
      </w:r>
    </w:p>
    <w:p w14:paraId="2A0DE6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kern w:val="0"/>
          <w:sz w:val="24"/>
          <w:szCs w:val="24"/>
          <w:highlight w:val="none"/>
          <w:lang w:val="en-US" w:eastAsia="zh-CN"/>
        </w:rPr>
        <w:t>七、违约责任</w:t>
      </w:r>
    </w:p>
    <w:p w14:paraId="74B60E7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1、按照《中华人民共和国民法典》中的相关条款执行。 </w:t>
      </w:r>
    </w:p>
    <w:p w14:paraId="2455DB0A">
      <w:r>
        <w:rPr>
          <w:rFonts w:hint="eastAsia" w:ascii="宋体" w:hAnsi="宋体" w:eastAsia="宋体" w:cs="宋体"/>
          <w:color w:val="000000"/>
          <w:kern w:val="0"/>
          <w:sz w:val="24"/>
          <w:szCs w:val="24"/>
          <w:lang w:val="en-US" w:eastAsia="zh-CN" w:bidi="ar"/>
        </w:rPr>
        <w:t>2、中标人未按合同要求提供货物与服务或货物与服务质量不能满足技术要求，且在规定时间内未使采购人满意的，采购人有权终止合同，同时报请监管部门对其违约行为进行追究</w:t>
      </w:r>
    </w:p>
    <w:p w14:paraId="1D3581A4"/>
    <w:p w14:paraId="4B31C7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36EA2"/>
    <w:rsid w:val="3D3B4B3C"/>
    <w:rsid w:val="4B0E7532"/>
    <w:rsid w:val="6FC11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line="240" w:lineRule="auto"/>
      <w:ind w:firstLine="420" w:firstLineChars="100"/>
    </w:pPr>
    <w:rPr>
      <w:rFonts w:ascii="Times New Roman" w:hAnsi="Times New Roman"/>
      <w:sz w:val="18"/>
      <w:szCs w:val="18"/>
    </w:r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First Indent 2"/>
    <w:basedOn w:val="5"/>
    <w:next w:val="3"/>
    <w:qFormat/>
    <w:uiPriority w:val="99"/>
    <w:pPr>
      <w:ind w:firstLine="420" w:firstLineChars="200"/>
    </w:pPr>
  </w:style>
  <w:style w:type="paragraph" w:styleId="5">
    <w:name w:val="Body Text Indent"/>
    <w:basedOn w:val="1"/>
    <w:next w:val="6"/>
    <w:qFormat/>
    <w:uiPriority w:val="0"/>
    <w:pPr>
      <w:widowControl/>
      <w:ind w:firstLine="652" w:firstLineChars="233"/>
    </w:pPr>
    <w:rPr>
      <w:rFonts w:ascii="Times New Roman"/>
      <w:sz w:val="28"/>
    </w:rPr>
  </w:style>
  <w:style w:type="paragraph" w:customStyle="1" w:styleId="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styleId="7">
    <w:name w:val="Normal Indent"/>
    <w:basedOn w:val="1"/>
    <w:next w:val="1"/>
    <w:qFormat/>
    <w:uiPriority w:val="0"/>
    <w:pPr>
      <w:spacing w:line="300" w:lineRule="auto"/>
      <w:ind w:firstLine="420" w:firstLineChars="200"/>
    </w:pPr>
    <w:rPr>
      <w:rFonts w:ascii="Times New Roman"/>
      <w:kern w:val="2"/>
      <w:sz w:val="21"/>
      <w:szCs w:val="24"/>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417</Characters>
  <Lines>0</Lines>
  <Paragraphs>0</Paragraphs>
  <TotalTime>0</TotalTime>
  <ScaleCrop>false</ScaleCrop>
  <LinksUpToDate>false</LinksUpToDate>
  <CharactersWithSpaces>419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2025-11-24T09:09:00Z</dcterms:created>
  <dc:creator>admin</dc:creator>
  <cp:lastModifiedBy>陕西中正天投项目管理有限公司</cp:lastModifiedBy>
  <dcterms:modified xsi:type="dcterms:W3CDTF">2025-12-24T01:36:04Z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eyJoZGlkIjoiMWQ1MGRhOWJiZGE5NDE3ZTgxMWExYjVhODM5NWVhZmYiLCJ1c2VySWQiOiI0MDYyOTU1MTkifQ==</vt:lpwstr>
  </property>
  <property fmtid="{D5CDD505-2E9C-101B-9397-08002B2CF9AE}" pid="4" name="ICV">
    <vt:lpwstr>B78D7FD242E045A1A18203CB7A3F0966_12</vt:lpwstr>
  </property>
</Properties>
</file>