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34948">
      <w:pPr>
        <w:adjustRightInd w:val="0"/>
        <w:snapToGrid w:val="0"/>
        <w:spacing w:line="360" w:lineRule="auto"/>
        <w:jc w:val="right"/>
        <w:rPr>
          <w:rFonts w:ascii="宋体" w:cs="Times New Roman"/>
          <w:b/>
          <w:bCs/>
          <w:color w:val="auto"/>
          <w:sz w:val="30"/>
          <w:szCs w:val="30"/>
        </w:rPr>
      </w:pPr>
      <w:bookmarkStart w:id="0" w:name="OLE_LINK9"/>
      <w:bookmarkStart w:id="206" w:name="_GoBack"/>
      <w:bookmarkEnd w:id="206"/>
      <w:r>
        <w:rPr>
          <w:rFonts w:hint="eastAsia" w:ascii="宋体" w:hAnsi="宋体" w:cs="宋体"/>
          <w:b/>
          <w:bCs/>
          <w:color w:val="auto"/>
          <w:sz w:val="30"/>
          <w:szCs w:val="30"/>
        </w:rPr>
        <w:t>政府采购项目</w:t>
      </w:r>
    </w:p>
    <w:p w14:paraId="38D95E52">
      <w:pPr>
        <w:tabs>
          <w:tab w:val="left" w:pos="7400"/>
        </w:tabs>
        <w:adjustRightInd w:val="0"/>
        <w:snapToGrid w:val="0"/>
        <w:spacing w:line="360" w:lineRule="auto"/>
        <w:rPr>
          <w:rFonts w:ascii="宋体" w:cs="Times New Roman"/>
          <w:b/>
          <w:bCs/>
          <w:color w:val="auto"/>
          <w:sz w:val="44"/>
          <w:szCs w:val="44"/>
        </w:rPr>
      </w:pPr>
      <w:r>
        <w:rPr>
          <w:rFonts w:hint="eastAsia" w:ascii="宋体" w:hAnsi="宋体" w:cs="宋体"/>
          <w:b/>
          <w:bCs/>
          <w:color w:val="auto"/>
          <w:sz w:val="30"/>
          <w:szCs w:val="30"/>
        </w:rPr>
        <w:t>项目编号：</w:t>
      </w:r>
      <w:r>
        <w:rPr>
          <w:rFonts w:hint="eastAsia" w:ascii="宋体" w:hAnsi="宋体" w:cs="宋体"/>
          <w:b/>
          <w:bCs/>
          <w:color w:val="auto"/>
          <w:sz w:val="30"/>
          <w:szCs w:val="30"/>
          <w:lang w:eastAsia="zh-CN"/>
        </w:rPr>
        <w:t>AKSH2025-ZCS-171</w:t>
      </w:r>
      <w:r>
        <w:rPr>
          <w:rFonts w:hint="eastAsia" w:ascii="宋体" w:cs="Times New Roman"/>
          <w:b/>
          <w:bCs/>
          <w:color w:val="auto"/>
          <w:sz w:val="44"/>
          <w:szCs w:val="44"/>
        </w:rPr>
        <w:tab/>
      </w:r>
    </w:p>
    <w:p w14:paraId="7EDF1703">
      <w:pPr>
        <w:tabs>
          <w:tab w:val="left" w:pos="7400"/>
        </w:tabs>
        <w:adjustRightInd w:val="0"/>
        <w:snapToGrid w:val="0"/>
        <w:spacing w:line="360" w:lineRule="auto"/>
        <w:rPr>
          <w:rFonts w:ascii="宋体" w:cs="Times New Roman"/>
          <w:b/>
          <w:bCs/>
          <w:color w:val="auto"/>
          <w:sz w:val="36"/>
          <w:szCs w:val="36"/>
        </w:rPr>
      </w:pPr>
    </w:p>
    <w:p w14:paraId="79738ED2">
      <w:pPr>
        <w:pStyle w:val="12"/>
        <w:rPr>
          <w:color w:val="auto"/>
        </w:rPr>
      </w:pPr>
    </w:p>
    <w:p w14:paraId="4BBE0F36">
      <w:pPr>
        <w:keepNext w:val="0"/>
        <w:keepLines w:val="0"/>
        <w:pageBreakBefore w:val="0"/>
        <w:widowControl w:val="0"/>
        <w:kinsoku/>
        <w:wordWrap/>
        <w:overflowPunct/>
        <w:topLinePunct w:val="0"/>
        <w:autoSpaceDE/>
        <w:autoSpaceDN/>
        <w:bidi w:val="0"/>
        <w:adjustRightInd/>
        <w:snapToGrid/>
        <w:spacing w:before="327" w:beforeLines="100"/>
        <w:jc w:val="center"/>
        <w:textAlignment w:val="auto"/>
        <w:rPr>
          <w:rFonts w:hint="eastAsia" w:ascii="宋体" w:hAnsi="宋体" w:eastAsia="宋体"/>
          <w:b/>
          <w:color w:val="auto"/>
          <w:sz w:val="48"/>
          <w:szCs w:val="48"/>
          <w:lang w:eastAsia="zh-CN"/>
        </w:rPr>
      </w:pPr>
      <w:r>
        <w:rPr>
          <w:rFonts w:hint="eastAsia" w:ascii="宋体" w:hAnsi="宋体"/>
          <w:b/>
          <w:color w:val="auto"/>
          <w:sz w:val="48"/>
          <w:szCs w:val="48"/>
          <w:lang w:eastAsia="zh-CN"/>
        </w:rPr>
        <w:t>院机关第一审判庭系统升级改造项目</w:t>
      </w:r>
    </w:p>
    <w:p w14:paraId="65D8599D">
      <w:pPr>
        <w:pStyle w:val="23"/>
        <w:rPr>
          <w:color w:val="auto"/>
        </w:rPr>
      </w:pPr>
    </w:p>
    <w:p w14:paraId="7C3C5B29">
      <w:pPr>
        <w:pStyle w:val="23"/>
        <w:rPr>
          <w:color w:val="auto"/>
        </w:rPr>
      </w:pPr>
    </w:p>
    <w:p w14:paraId="70F6A762">
      <w:pPr>
        <w:pStyle w:val="23"/>
        <w:rPr>
          <w:color w:val="auto"/>
        </w:rPr>
      </w:pPr>
    </w:p>
    <w:p w14:paraId="7319B557">
      <w:pPr>
        <w:pStyle w:val="23"/>
        <w:rPr>
          <w:color w:val="auto"/>
        </w:rPr>
      </w:pPr>
    </w:p>
    <w:p w14:paraId="53C53C4A">
      <w:pPr>
        <w:pStyle w:val="23"/>
        <w:rPr>
          <w:color w:val="auto"/>
        </w:rPr>
      </w:pPr>
    </w:p>
    <w:p w14:paraId="3D1D8710">
      <w:pPr>
        <w:pStyle w:val="23"/>
        <w:rPr>
          <w:color w:val="auto"/>
        </w:rPr>
      </w:pPr>
    </w:p>
    <w:p w14:paraId="19541153">
      <w:pPr>
        <w:pStyle w:val="23"/>
        <w:rPr>
          <w:color w:val="auto"/>
        </w:rPr>
      </w:pPr>
    </w:p>
    <w:p w14:paraId="2DAF8C77">
      <w:pPr>
        <w:pStyle w:val="23"/>
        <w:rPr>
          <w:color w:val="auto"/>
        </w:rPr>
      </w:pPr>
    </w:p>
    <w:p w14:paraId="3D9171EA">
      <w:pPr>
        <w:adjustRightInd w:val="0"/>
        <w:snapToGrid w:val="0"/>
        <w:spacing w:line="360" w:lineRule="auto"/>
        <w:jc w:val="left"/>
        <w:rPr>
          <w:rFonts w:ascii="宋体" w:cs="Times New Roman"/>
          <w:b/>
          <w:bCs/>
          <w:color w:val="auto"/>
          <w:sz w:val="52"/>
          <w:szCs w:val="52"/>
        </w:rPr>
      </w:pPr>
      <w:r>
        <w:rPr>
          <w:rFonts w:hint="eastAsia"/>
          <w:color w:val="auto"/>
        </w:rPr>
        <w:drawing>
          <wp:anchor distT="0" distB="0" distL="114300" distR="114300" simplePos="0" relativeHeight="251660288" behindDoc="0" locked="0" layoutInCell="1" allowOverlap="1">
            <wp:simplePos x="0" y="0"/>
            <wp:positionH relativeFrom="column">
              <wp:posOffset>2195830</wp:posOffset>
            </wp:positionH>
            <wp:positionV relativeFrom="paragraph">
              <wp:posOffset>171450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6"/>
                    <a:stretch>
                      <a:fillRect/>
                    </a:stretch>
                  </pic:blipFill>
                  <pic:spPr>
                    <a:xfrm>
                      <a:off x="0" y="0"/>
                      <a:ext cx="1599474" cy="1157901"/>
                    </a:xfrm>
                    <a:prstGeom prst="rect">
                      <a:avLst/>
                    </a:prstGeom>
                  </pic:spPr>
                </pic:pic>
              </a:graphicData>
            </a:graphic>
          </wp:anchor>
        </w:drawing>
      </w:r>
      <w:r>
        <w:rPr>
          <w:rFonts w:hint="eastAsia" w:ascii="宋体" w:cs="Times New Roman"/>
          <w:b/>
          <w:bCs/>
          <w:color w:val="auto"/>
          <w:sz w:val="52"/>
          <w:szCs w:val="52"/>
        </w:rPr>
        <w:t xml:space="preserve"> </w:t>
      </w:r>
    </w:p>
    <w:p w14:paraId="2557C5ED">
      <w:pPr>
        <w:adjustRightInd w:val="0"/>
        <w:snapToGrid w:val="0"/>
        <w:spacing w:line="360" w:lineRule="auto"/>
        <w:jc w:val="left"/>
        <w:rPr>
          <w:rFonts w:ascii="宋体" w:cs="Times New Roman"/>
          <w:b/>
          <w:bCs/>
          <w:color w:val="auto"/>
          <w:sz w:val="52"/>
          <w:szCs w:val="52"/>
        </w:rPr>
      </w:pPr>
      <w:r>
        <w:rPr>
          <w:rFonts w:hint="eastAsia" w:ascii="宋体" w:cs="Times New Roman"/>
          <w:b/>
          <w:bCs/>
          <w:color w:val="auto"/>
          <w:sz w:val="52"/>
          <w:szCs w:val="52"/>
        </w:rPr>
        <w:t xml:space="preserve">          </w:t>
      </w:r>
    </w:p>
    <w:p w14:paraId="05F46B71">
      <w:pPr>
        <w:pStyle w:val="12"/>
        <w:rPr>
          <w:color w:val="auto"/>
        </w:rPr>
      </w:pPr>
    </w:p>
    <w:p w14:paraId="365A2F98">
      <w:pPr>
        <w:tabs>
          <w:tab w:val="left" w:pos="0"/>
        </w:tabs>
        <w:adjustRightInd w:val="0"/>
        <w:snapToGrid w:val="0"/>
        <w:spacing w:line="360" w:lineRule="auto"/>
        <w:ind w:firstLine="2811" w:firstLineChars="500"/>
        <w:rPr>
          <w:rFonts w:ascii="宋体" w:hAnsi="宋体" w:cs="宋体"/>
          <w:b/>
          <w:bCs/>
          <w:color w:val="auto"/>
          <w:sz w:val="56"/>
          <w:szCs w:val="56"/>
        </w:rPr>
      </w:pPr>
      <w:r>
        <w:rPr>
          <w:rFonts w:hint="eastAsia" w:ascii="宋体" w:hAnsi="宋体" w:cs="宋体"/>
          <w:b/>
          <w:bCs/>
          <w:color w:val="auto"/>
          <w:sz w:val="56"/>
          <w:szCs w:val="56"/>
        </w:rPr>
        <w:t>竞争性磋商文件</w:t>
      </w:r>
    </w:p>
    <w:p w14:paraId="64AE20DA">
      <w:pPr>
        <w:rPr>
          <w:color w:val="auto"/>
        </w:rPr>
      </w:pPr>
    </w:p>
    <w:p w14:paraId="0DC2664A">
      <w:pPr>
        <w:pStyle w:val="23"/>
        <w:rPr>
          <w:color w:val="auto"/>
        </w:rPr>
      </w:pPr>
    </w:p>
    <w:p w14:paraId="5AACF131">
      <w:pPr>
        <w:pStyle w:val="23"/>
        <w:rPr>
          <w:color w:val="auto"/>
        </w:rPr>
      </w:pPr>
    </w:p>
    <w:p w14:paraId="4EA2678B">
      <w:pPr>
        <w:pStyle w:val="23"/>
        <w:rPr>
          <w:color w:val="auto"/>
        </w:rPr>
      </w:pPr>
    </w:p>
    <w:p w14:paraId="11B37C5E">
      <w:pPr>
        <w:pStyle w:val="23"/>
        <w:rPr>
          <w:color w:val="auto"/>
        </w:rPr>
      </w:pPr>
    </w:p>
    <w:p w14:paraId="3D4E1FED">
      <w:pPr>
        <w:pStyle w:val="23"/>
        <w:rPr>
          <w:color w:val="auto"/>
        </w:rPr>
      </w:pPr>
    </w:p>
    <w:p w14:paraId="28729689">
      <w:pPr>
        <w:pStyle w:val="23"/>
        <w:rPr>
          <w:color w:val="auto"/>
        </w:rPr>
      </w:pPr>
    </w:p>
    <w:p w14:paraId="4AD3068D">
      <w:pPr>
        <w:pStyle w:val="23"/>
        <w:rPr>
          <w:color w:val="auto"/>
        </w:rPr>
      </w:pPr>
    </w:p>
    <w:p w14:paraId="1F9B6AE0">
      <w:pPr>
        <w:adjustRightInd w:val="0"/>
        <w:snapToGrid w:val="0"/>
        <w:spacing w:line="840" w:lineRule="auto"/>
        <w:ind w:firstLine="1928" w:firstLineChars="600"/>
        <w:jc w:val="both"/>
        <w:rPr>
          <w:rFonts w:hint="default" w:ascii="宋体" w:hAnsi="宋体" w:eastAsia="宋体" w:cs="宋体"/>
          <w:b/>
          <w:bCs/>
          <w:color w:val="auto"/>
          <w:sz w:val="32"/>
          <w:szCs w:val="32"/>
          <w:lang w:val="en-US" w:eastAsia="zh-CN"/>
        </w:rPr>
      </w:pPr>
      <w:r>
        <w:rPr>
          <w:rFonts w:hint="eastAsia" w:ascii="宋体" w:hAnsi="宋体" w:cs="宋体"/>
          <w:b/>
          <w:bCs/>
          <w:color w:val="auto"/>
          <w:sz w:val="32"/>
          <w:szCs w:val="32"/>
        </w:rPr>
        <w:t>采</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购</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人：</w:t>
      </w:r>
      <w:r>
        <w:rPr>
          <w:rFonts w:hint="eastAsia" w:ascii="宋体" w:hAnsi="宋体" w:cs="宋体"/>
          <w:b/>
          <w:bCs/>
          <w:color w:val="auto"/>
          <w:sz w:val="32"/>
          <w:szCs w:val="32"/>
          <w:lang w:eastAsia="zh-CN"/>
        </w:rPr>
        <w:t>紫阳县人民法院</w:t>
      </w:r>
    </w:p>
    <w:p w14:paraId="1AAE9B99">
      <w:pPr>
        <w:adjustRightInd w:val="0"/>
        <w:snapToGrid w:val="0"/>
        <w:spacing w:line="840" w:lineRule="auto"/>
        <w:ind w:firstLine="1928" w:firstLineChars="600"/>
        <w:jc w:val="both"/>
        <w:rPr>
          <w:rFonts w:ascii="宋体" w:hAnsi="宋体" w:cs="宋体"/>
          <w:b/>
          <w:bCs/>
          <w:color w:val="auto"/>
          <w:sz w:val="32"/>
          <w:szCs w:val="32"/>
        </w:rPr>
      </w:pPr>
      <w:r>
        <w:rPr>
          <w:rFonts w:hint="eastAsia" w:ascii="宋体" w:hAnsi="宋体" w:cs="宋体"/>
          <w:b/>
          <w:bCs/>
          <w:color w:val="auto"/>
          <w:sz w:val="32"/>
          <w:szCs w:val="32"/>
        </w:rPr>
        <w:t>代理机构：安康尚昊招标代理有限公司</w:t>
      </w:r>
    </w:p>
    <w:p w14:paraId="38BC934B">
      <w:pPr>
        <w:adjustRightInd w:val="0"/>
        <w:snapToGrid w:val="0"/>
        <w:spacing w:line="840" w:lineRule="auto"/>
        <w:ind w:firstLine="1928" w:firstLineChars="600"/>
        <w:jc w:val="both"/>
        <w:rPr>
          <w:rFonts w:ascii="宋体" w:cs="Times New Roman"/>
          <w:b/>
          <w:bCs/>
          <w:color w:val="auto"/>
          <w:sz w:val="30"/>
          <w:szCs w:val="30"/>
        </w:rPr>
        <w:sectPr>
          <w:headerReference r:id="rId4" w:type="first"/>
          <w:headerReference r:id="rId3" w:type="default"/>
          <w:footerReference r:id="rId5" w:type="default"/>
          <w:pgSz w:w="11906" w:h="16838"/>
          <w:pgMar w:top="1417" w:right="1417" w:bottom="1417" w:left="1417" w:header="850" w:footer="992" w:gutter="0"/>
          <w:pgBorders>
            <w:top w:val="none" w:sz="0" w:space="0"/>
            <w:left w:val="none" w:sz="0" w:space="0"/>
            <w:bottom w:val="none" w:sz="0" w:space="0"/>
            <w:right w:val="none" w:sz="0" w:space="0"/>
          </w:pgBorders>
          <w:cols w:space="0" w:num="1"/>
          <w:titlePg/>
          <w:docGrid w:type="lines" w:linePitch="326" w:charSpace="0"/>
        </w:sectPr>
      </w:pPr>
      <w:r>
        <w:rPr>
          <w:rFonts w:hint="eastAsia" w:ascii="宋体" w:hAnsi="宋体" w:cs="宋体"/>
          <w:b/>
          <w:bCs/>
          <w:color w:val="auto"/>
          <w:sz w:val="32"/>
          <w:szCs w:val="32"/>
        </w:rPr>
        <w:t>时    间：二</w:t>
      </w:r>
      <w:r>
        <w:rPr>
          <w:rFonts w:hint="eastAsia" w:ascii="宋体" w:hAnsi="宋体" w:cs="宋体"/>
          <w:b/>
          <w:bCs/>
          <w:color w:val="auto"/>
          <w:sz w:val="32"/>
          <w:szCs w:val="32"/>
          <w:lang w:val="en-US" w:eastAsia="zh-CN"/>
        </w:rPr>
        <w:t>〇</w:t>
      </w:r>
      <w:r>
        <w:rPr>
          <w:rFonts w:ascii="宋体" w:hAnsi="宋体" w:cs="宋体"/>
          <w:b/>
          <w:bCs/>
          <w:color w:val="auto"/>
          <w:sz w:val="32"/>
          <w:szCs w:val="32"/>
        </w:rPr>
        <w:t>二</w:t>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十二</w:t>
      </w:r>
      <w:r>
        <w:rPr>
          <w:rFonts w:hint="eastAsia" w:ascii="宋体" w:hAnsi="宋体" w:cs="宋体"/>
          <w:b/>
          <w:bCs/>
          <w:color w:val="auto"/>
          <w:sz w:val="32"/>
          <w:szCs w:val="32"/>
        </w:rPr>
        <w:t>月</w:t>
      </w:r>
    </w:p>
    <w:p w14:paraId="467B2201">
      <w:pPr>
        <w:pStyle w:val="25"/>
        <w:tabs>
          <w:tab w:val="center" w:pos="4819"/>
          <w:tab w:val="left" w:pos="6069"/>
          <w:tab w:val="right" w:leader="dot" w:pos="8306"/>
        </w:tabs>
        <w:spacing w:before="0" w:after="0" w:line="480" w:lineRule="exact"/>
        <w:rPr>
          <w:rFonts w:ascii="宋体" w:hAnsi="宋体" w:cs="宋体"/>
          <w:b w:val="0"/>
          <w:bCs w:val="0"/>
          <w:color w:val="auto"/>
          <w:sz w:val="48"/>
          <w:szCs w:val="52"/>
        </w:rPr>
      </w:pPr>
      <w:r>
        <w:rPr>
          <w:rFonts w:ascii="宋体" w:hAnsi="宋体" w:cs="宋体"/>
          <w:b w:val="0"/>
          <w:bCs w:val="0"/>
          <w:color w:val="auto"/>
          <w:sz w:val="48"/>
          <w:szCs w:val="52"/>
        </w:rPr>
        <w:tab/>
      </w:r>
    </w:p>
    <w:p w14:paraId="5B002BCE">
      <w:pPr>
        <w:rPr>
          <w:color w:val="auto"/>
        </w:rPr>
      </w:pPr>
    </w:p>
    <w:p w14:paraId="3505B514">
      <w:pPr>
        <w:pStyle w:val="25"/>
        <w:tabs>
          <w:tab w:val="center" w:pos="4819"/>
          <w:tab w:val="left" w:pos="6069"/>
          <w:tab w:val="right" w:leader="dot" w:pos="8306"/>
        </w:tabs>
        <w:spacing w:before="0" w:after="0" w:line="480" w:lineRule="exact"/>
        <w:jc w:val="center"/>
        <w:rPr>
          <w:rFonts w:ascii="宋体" w:hAnsi="宋体" w:cs="宋体"/>
          <w:b w:val="0"/>
          <w:bCs w:val="0"/>
          <w:color w:val="auto"/>
          <w:sz w:val="48"/>
          <w:szCs w:val="52"/>
        </w:rPr>
      </w:pPr>
      <w:r>
        <w:rPr>
          <w:rFonts w:hint="eastAsia" w:ascii="宋体" w:hAnsi="宋体" w:cs="宋体"/>
          <w:b w:val="0"/>
          <w:bCs w:val="0"/>
          <w:color w:val="auto"/>
          <w:sz w:val="48"/>
          <w:szCs w:val="52"/>
        </w:rPr>
        <w:t xml:space="preserve">目 </w:t>
      </w:r>
      <w:r>
        <w:rPr>
          <w:rFonts w:ascii="宋体" w:hAnsi="宋体" w:cs="宋体"/>
          <w:b w:val="0"/>
          <w:bCs w:val="0"/>
          <w:color w:val="auto"/>
          <w:sz w:val="48"/>
          <w:szCs w:val="52"/>
        </w:rPr>
        <w:t xml:space="preserve"> </w:t>
      </w:r>
      <w:r>
        <w:rPr>
          <w:rFonts w:hint="eastAsia" w:ascii="宋体" w:hAnsi="宋体" w:cs="宋体"/>
          <w:b w:val="0"/>
          <w:bCs w:val="0"/>
          <w:color w:val="auto"/>
          <w:sz w:val="48"/>
          <w:szCs w:val="52"/>
        </w:rPr>
        <w:t>录</w:t>
      </w:r>
    </w:p>
    <w:p w14:paraId="2A2A77A6">
      <w:pPr>
        <w:rPr>
          <w:color w:val="auto"/>
          <w:sz w:val="20"/>
          <w:szCs w:val="20"/>
        </w:rPr>
      </w:pPr>
    </w:p>
    <w:p w14:paraId="2F377768">
      <w:pPr>
        <w:pStyle w:val="25"/>
        <w:tabs>
          <w:tab w:val="right" w:leader="dot" w:pos="9072"/>
        </w:tabs>
        <w:rPr>
          <w:b w:val="0"/>
          <w:bCs w:val="0"/>
          <w:color w:val="auto"/>
          <w:sz w:val="28"/>
          <w:szCs w:val="28"/>
        </w:rPr>
      </w:pPr>
      <w:bookmarkStart w:id="1" w:name="_Toc19543333"/>
      <w:bookmarkStart w:id="2" w:name="_Toc536429369"/>
      <w:bookmarkStart w:id="3" w:name="_Toc536202376"/>
      <w:bookmarkStart w:id="4" w:name="_Toc536202282"/>
      <w:bookmarkStart w:id="5" w:name="OLE_LINK3"/>
      <w:bookmarkStart w:id="6" w:name="_Toc30089"/>
      <w:bookmarkStart w:id="7" w:name="_Toc438048787"/>
      <w:r>
        <w:rPr>
          <w:rFonts w:hint="eastAsia" w:ascii="宋体" w:hAnsi="宋体" w:cs="宋体"/>
          <w:caps w:val="0"/>
          <w:color w:val="auto"/>
          <w:sz w:val="28"/>
          <w:szCs w:val="28"/>
        </w:rPr>
        <w:fldChar w:fldCharType="begin"/>
      </w:r>
      <w:r>
        <w:rPr>
          <w:rFonts w:hint="eastAsia" w:ascii="宋体" w:hAnsi="宋体" w:cs="宋体"/>
          <w:caps w:val="0"/>
          <w:color w:val="auto"/>
          <w:sz w:val="28"/>
          <w:szCs w:val="28"/>
        </w:rPr>
        <w:instrText xml:space="preserve"> TOC \o "1-1" \h \z \u </w:instrText>
      </w:r>
      <w:r>
        <w:rPr>
          <w:rFonts w:hint="eastAsia" w:ascii="宋体" w:hAnsi="宋体" w:cs="宋体"/>
          <w:caps w:val="0"/>
          <w:color w:val="auto"/>
          <w:sz w:val="28"/>
          <w:szCs w:val="28"/>
        </w:rPr>
        <w:fldChar w:fldCharType="separate"/>
      </w:r>
      <w:r>
        <w:rPr>
          <w:rFonts w:hint="eastAsia" w:ascii="宋体" w:hAnsi="宋体" w:cs="宋体"/>
          <w:b w:val="0"/>
          <w:bCs w:val="0"/>
          <w:caps w:val="0"/>
          <w:color w:val="auto"/>
          <w:sz w:val="28"/>
          <w:szCs w:val="44"/>
        </w:rPr>
        <w:fldChar w:fldCharType="begin"/>
      </w:r>
      <w:r>
        <w:rPr>
          <w:rFonts w:hint="eastAsia" w:ascii="宋体" w:hAnsi="宋体" w:cs="宋体"/>
          <w:b w:val="0"/>
          <w:bCs w:val="0"/>
          <w:caps w:val="0"/>
          <w:color w:val="auto"/>
          <w:sz w:val="28"/>
          <w:szCs w:val="44"/>
        </w:rPr>
        <w:instrText xml:space="preserve"> HYPERLINK \l _Toc8117 </w:instrText>
      </w:r>
      <w:r>
        <w:rPr>
          <w:rFonts w:hint="eastAsia" w:ascii="宋体" w:hAnsi="宋体" w:cs="宋体"/>
          <w:b w:val="0"/>
          <w:bCs w:val="0"/>
          <w:caps w:val="0"/>
          <w:color w:val="auto"/>
          <w:sz w:val="28"/>
          <w:szCs w:val="44"/>
        </w:rPr>
        <w:fldChar w:fldCharType="separate"/>
      </w:r>
      <w:r>
        <w:rPr>
          <w:rFonts w:hint="eastAsia"/>
          <w:b w:val="0"/>
          <w:bCs w:val="0"/>
          <w:color w:val="auto"/>
          <w:sz w:val="28"/>
          <w:szCs w:val="28"/>
        </w:rPr>
        <w:t>第一部分  竞争性</w:t>
      </w:r>
      <w:r>
        <w:rPr>
          <w:b w:val="0"/>
          <w:bCs w:val="0"/>
          <w:color w:val="auto"/>
          <w:sz w:val="28"/>
          <w:szCs w:val="28"/>
        </w:rPr>
        <w:t>磋商公告</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_Toc8117 \h </w:instrText>
      </w:r>
      <w:r>
        <w:rPr>
          <w:b w:val="0"/>
          <w:bCs w:val="0"/>
          <w:color w:val="auto"/>
          <w:sz w:val="28"/>
          <w:szCs w:val="28"/>
        </w:rPr>
        <w:fldChar w:fldCharType="separate"/>
      </w:r>
      <w:r>
        <w:rPr>
          <w:b w:val="0"/>
          <w:bCs w:val="0"/>
          <w:color w:val="auto"/>
          <w:sz w:val="28"/>
          <w:szCs w:val="28"/>
        </w:rPr>
        <w:t>1</w:t>
      </w:r>
      <w:r>
        <w:rPr>
          <w:b w:val="0"/>
          <w:bCs w:val="0"/>
          <w:color w:val="auto"/>
          <w:sz w:val="28"/>
          <w:szCs w:val="28"/>
        </w:rPr>
        <w:fldChar w:fldCharType="end"/>
      </w:r>
      <w:r>
        <w:rPr>
          <w:rFonts w:hint="eastAsia" w:ascii="宋体" w:hAnsi="宋体" w:cs="宋体"/>
          <w:b w:val="0"/>
          <w:bCs w:val="0"/>
          <w:caps w:val="0"/>
          <w:color w:val="auto"/>
          <w:sz w:val="28"/>
          <w:szCs w:val="44"/>
        </w:rPr>
        <w:fldChar w:fldCharType="end"/>
      </w:r>
    </w:p>
    <w:p w14:paraId="0FD63691">
      <w:pPr>
        <w:pStyle w:val="25"/>
        <w:tabs>
          <w:tab w:val="right" w:leader="dot" w:pos="9072"/>
        </w:tabs>
        <w:rPr>
          <w:b w:val="0"/>
          <w:bCs w:val="0"/>
          <w:color w:val="auto"/>
          <w:sz w:val="28"/>
          <w:szCs w:val="28"/>
        </w:rPr>
      </w:pPr>
      <w:r>
        <w:rPr>
          <w:rFonts w:hint="eastAsia" w:ascii="宋体" w:hAnsi="宋体" w:cs="宋体"/>
          <w:b w:val="0"/>
          <w:bCs w:val="0"/>
          <w:caps/>
          <w:color w:val="auto"/>
          <w:kern w:val="2"/>
          <w:sz w:val="28"/>
          <w:szCs w:val="44"/>
        </w:rPr>
        <w:fldChar w:fldCharType="begin"/>
      </w:r>
      <w:r>
        <w:rPr>
          <w:rFonts w:hint="eastAsia" w:ascii="宋体" w:hAnsi="宋体" w:cs="宋体"/>
          <w:b w:val="0"/>
          <w:bCs w:val="0"/>
          <w:caps/>
          <w:color w:val="auto"/>
          <w:kern w:val="2"/>
          <w:sz w:val="28"/>
          <w:szCs w:val="44"/>
        </w:rPr>
        <w:instrText xml:space="preserve"> HYPERLINK \l _Toc28381 </w:instrText>
      </w:r>
      <w:r>
        <w:rPr>
          <w:rFonts w:hint="eastAsia" w:ascii="宋体" w:hAnsi="宋体" w:cs="宋体"/>
          <w:b w:val="0"/>
          <w:bCs w:val="0"/>
          <w:caps/>
          <w:color w:val="auto"/>
          <w:kern w:val="2"/>
          <w:sz w:val="28"/>
          <w:szCs w:val="44"/>
        </w:rPr>
        <w:fldChar w:fldCharType="separate"/>
      </w:r>
      <w:r>
        <w:rPr>
          <w:rFonts w:hint="eastAsia"/>
          <w:b w:val="0"/>
          <w:bCs w:val="0"/>
          <w:color w:val="auto"/>
          <w:sz w:val="28"/>
          <w:szCs w:val="28"/>
        </w:rPr>
        <w:t>第二部分</w:t>
      </w:r>
      <w:r>
        <w:rPr>
          <w:b w:val="0"/>
          <w:bCs w:val="0"/>
          <w:color w:val="auto"/>
          <w:sz w:val="28"/>
          <w:szCs w:val="28"/>
        </w:rPr>
        <w:t xml:space="preserve">  </w:t>
      </w:r>
      <w:r>
        <w:rPr>
          <w:rFonts w:hint="eastAsia"/>
          <w:b w:val="0"/>
          <w:bCs w:val="0"/>
          <w:color w:val="auto"/>
          <w:sz w:val="28"/>
          <w:szCs w:val="28"/>
        </w:rPr>
        <w:t>供应商须知前附表</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_Toc28381 \h </w:instrText>
      </w:r>
      <w:r>
        <w:rPr>
          <w:b w:val="0"/>
          <w:bCs w:val="0"/>
          <w:color w:val="auto"/>
          <w:sz w:val="28"/>
          <w:szCs w:val="28"/>
        </w:rPr>
        <w:fldChar w:fldCharType="separate"/>
      </w:r>
      <w:r>
        <w:rPr>
          <w:b w:val="0"/>
          <w:bCs w:val="0"/>
          <w:color w:val="auto"/>
          <w:sz w:val="28"/>
          <w:szCs w:val="28"/>
        </w:rPr>
        <w:t>5</w:t>
      </w:r>
      <w:r>
        <w:rPr>
          <w:b w:val="0"/>
          <w:bCs w:val="0"/>
          <w:color w:val="auto"/>
          <w:sz w:val="28"/>
          <w:szCs w:val="28"/>
        </w:rPr>
        <w:fldChar w:fldCharType="end"/>
      </w:r>
      <w:r>
        <w:rPr>
          <w:rFonts w:hint="eastAsia" w:ascii="宋体" w:hAnsi="宋体" w:cs="宋体"/>
          <w:b w:val="0"/>
          <w:bCs w:val="0"/>
          <w:caps/>
          <w:color w:val="auto"/>
          <w:kern w:val="2"/>
          <w:sz w:val="28"/>
          <w:szCs w:val="44"/>
        </w:rPr>
        <w:fldChar w:fldCharType="end"/>
      </w:r>
    </w:p>
    <w:p w14:paraId="541FD87C">
      <w:pPr>
        <w:pStyle w:val="25"/>
        <w:tabs>
          <w:tab w:val="right" w:leader="dot" w:pos="9072"/>
        </w:tabs>
        <w:rPr>
          <w:b w:val="0"/>
          <w:bCs w:val="0"/>
          <w:color w:val="auto"/>
          <w:sz w:val="28"/>
          <w:szCs w:val="28"/>
        </w:rPr>
      </w:pPr>
      <w:r>
        <w:rPr>
          <w:rFonts w:hint="eastAsia" w:ascii="宋体" w:hAnsi="宋体" w:cs="宋体"/>
          <w:b w:val="0"/>
          <w:bCs w:val="0"/>
          <w:caps/>
          <w:color w:val="auto"/>
          <w:kern w:val="2"/>
          <w:sz w:val="28"/>
          <w:szCs w:val="44"/>
        </w:rPr>
        <w:fldChar w:fldCharType="begin"/>
      </w:r>
      <w:r>
        <w:rPr>
          <w:rFonts w:hint="eastAsia" w:ascii="宋体" w:hAnsi="宋体" w:cs="宋体"/>
          <w:b w:val="0"/>
          <w:bCs w:val="0"/>
          <w:caps/>
          <w:color w:val="auto"/>
          <w:kern w:val="2"/>
          <w:sz w:val="28"/>
          <w:szCs w:val="44"/>
        </w:rPr>
        <w:instrText xml:space="preserve"> HYPERLINK \l _Toc7866 </w:instrText>
      </w:r>
      <w:r>
        <w:rPr>
          <w:rFonts w:hint="eastAsia" w:ascii="宋体" w:hAnsi="宋体" w:cs="宋体"/>
          <w:b w:val="0"/>
          <w:bCs w:val="0"/>
          <w:caps/>
          <w:color w:val="auto"/>
          <w:kern w:val="2"/>
          <w:sz w:val="28"/>
          <w:szCs w:val="44"/>
        </w:rPr>
        <w:fldChar w:fldCharType="separate"/>
      </w:r>
      <w:r>
        <w:rPr>
          <w:rFonts w:hint="eastAsia" w:ascii="宋体" w:hAnsi="宋体" w:cs="宋体"/>
          <w:b w:val="0"/>
          <w:bCs w:val="0"/>
          <w:color w:val="auto"/>
          <w:sz w:val="28"/>
          <w:szCs w:val="28"/>
        </w:rPr>
        <w:t xml:space="preserve">第三部分 </w:t>
      </w:r>
      <w:r>
        <w:rPr>
          <w:rFonts w:ascii="宋体" w:hAnsi="宋体" w:cs="宋体"/>
          <w:b w:val="0"/>
          <w:bCs w:val="0"/>
          <w:color w:val="auto"/>
          <w:sz w:val="28"/>
          <w:szCs w:val="28"/>
        </w:rPr>
        <w:t xml:space="preserve"> </w:t>
      </w:r>
      <w:r>
        <w:rPr>
          <w:rFonts w:hint="eastAsia" w:ascii="宋体" w:hAnsi="宋体" w:cs="宋体"/>
          <w:b w:val="0"/>
          <w:bCs w:val="0"/>
          <w:color w:val="auto"/>
          <w:sz w:val="28"/>
          <w:szCs w:val="28"/>
        </w:rPr>
        <w:t>供应商须知</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_Toc7866 \h </w:instrText>
      </w:r>
      <w:r>
        <w:rPr>
          <w:b w:val="0"/>
          <w:bCs w:val="0"/>
          <w:color w:val="auto"/>
          <w:sz w:val="28"/>
          <w:szCs w:val="28"/>
        </w:rPr>
        <w:fldChar w:fldCharType="separate"/>
      </w:r>
      <w:r>
        <w:rPr>
          <w:b w:val="0"/>
          <w:bCs w:val="0"/>
          <w:color w:val="auto"/>
          <w:sz w:val="28"/>
          <w:szCs w:val="28"/>
        </w:rPr>
        <w:t>8</w:t>
      </w:r>
      <w:r>
        <w:rPr>
          <w:b w:val="0"/>
          <w:bCs w:val="0"/>
          <w:color w:val="auto"/>
          <w:sz w:val="28"/>
          <w:szCs w:val="28"/>
        </w:rPr>
        <w:fldChar w:fldCharType="end"/>
      </w:r>
      <w:r>
        <w:rPr>
          <w:rFonts w:hint="eastAsia" w:ascii="宋体" w:hAnsi="宋体" w:cs="宋体"/>
          <w:b w:val="0"/>
          <w:bCs w:val="0"/>
          <w:caps/>
          <w:color w:val="auto"/>
          <w:kern w:val="2"/>
          <w:sz w:val="28"/>
          <w:szCs w:val="44"/>
        </w:rPr>
        <w:fldChar w:fldCharType="end"/>
      </w:r>
    </w:p>
    <w:p w14:paraId="42FAFC8B">
      <w:pPr>
        <w:pStyle w:val="25"/>
        <w:tabs>
          <w:tab w:val="right" w:leader="dot" w:pos="9072"/>
        </w:tabs>
        <w:rPr>
          <w:b w:val="0"/>
          <w:bCs w:val="0"/>
          <w:color w:val="auto"/>
          <w:sz w:val="28"/>
          <w:szCs w:val="28"/>
        </w:rPr>
      </w:pPr>
      <w:r>
        <w:rPr>
          <w:rFonts w:hint="eastAsia" w:ascii="宋体" w:hAnsi="宋体" w:cs="宋体"/>
          <w:b w:val="0"/>
          <w:bCs w:val="0"/>
          <w:caps/>
          <w:color w:val="auto"/>
          <w:kern w:val="2"/>
          <w:sz w:val="28"/>
          <w:szCs w:val="44"/>
        </w:rPr>
        <w:fldChar w:fldCharType="begin"/>
      </w:r>
      <w:r>
        <w:rPr>
          <w:rFonts w:hint="eastAsia" w:ascii="宋体" w:hAnsi="宋体" w:cs="宋体"/>
          <w:b w:val="0"/>
          <w:bCs w:val="0"/>
          <w:caps/>
          <w:color w:val="auto"/>
          <w:kern w:val="2"/>
          <w:sz w:val="28"/>
          <w:szCs w:val="44"/>
        </w:rPr>
        <w:instrText xml:space="preserve"> HYPERLINK \l _Toc18523 </w:instrText>
      </w:r>
      <w:r>
        <w:rPr>
          <w:rFonts w:hint="eastAsia" w:ascii="宋体" w:hAnsi="宋体" w:cs="宋体"/>
          <w:b w:val="0"/>
          <w:bCs w:val="0"/>
          <w:caps/>
          <w:color w:val="auto"/>
          <w:kern w:val="2"/>
          <w:sz w:val="28"/>
          <w:szCs w:val="44"/>
        </w:rPr>
        <w:fldChar w:fldCharType="separate"/>
      </w:r>
      <w:r>
        <w:rPr>
          <w:rFonts w:hint="eastAsia"/>
          <w:b w:val="0"/>
          <w:bCs w:val="0"/>
          <w:color w:val="auto"/>
          <w:sz w:val="28"/>
          <w:szCs w:val="28"/>
        </w:rPr>
        <w:t xml:space="preserve">第四部分 </w:t>
      </w:r>
      <w:r>
        <w:rPr>
          <w:rFonts w:hint="eastAsia"/>
          <w:b w:val="0"/>
          <w:bCs w:val="0"/>
          <w:color w:val="auto"/>
          <w:sz w:val="28"/>
          <w:szCs w:val="28"/>
          <w:lang w:val="en-US" w:eastAsia="zh-CN"/>
        </w:rPr>
        <w:t xml:space="preserve"> </w:t>
      </w:r>
      <w:r>
        <w:rPr>
          <w:rFonts w:hint="eastAsia"/>
          <w:b w:val="0"/>
          <w:bCs w:val="0"/>
          <w:color w:val="auto"/>
          <w:sz w:val="28"/>
          <w:szCs w:val="28"/>
        </w:rPr>
        <w:t>评分</w:t>
      </w:r>
      <w:r>
        <w:rPr>
          <w:b w:val="0"/>
          <w:bCs w:val="0"/>
          <w:color w:val="auto"/>
          <w:sz w:val="28"/>
          <w:szCs w:val="28"/>
        </w:rPr>
        <w:t>标准</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_Toc18523 \h </w:instrText>
      </w:r>
      <w:r>
        <w:rPr>
          <w:b w:val="0"/>
          <w:bCs w:val="0"/>
          <w:color w:val="auto"/>
          <w:sz w:val="28"/>
          <w:szCs w:val="28"/>
        </w:rPr>
        <w:fldChar w:fldCharType="separate"/>
      </w:r>
      <w:r>
        <w:rPr>
          <w:b w:val="0"/>
          <w:bCs w:val="0"/>
          <w:color w:val="auto"/>
          <w:sz w:val="28"/>
          <w:szCs w:val="28"/>
        </w:rPr>
        <w:t>24</w:t>
      </w:r>
      <w:r>
        <w:rPr>
          <w:b w:val="0"/>
          <w:bCs w:val="0"/>
          <w:color w:val="auto"/>
          <w:sz w:val="28"/>
          <w:szCs w:val="28"/>
        </w:rPr>
        <w:fldChar w:fldCharType="end"/>
      </w:r>
      <w:r>
        <w:rPr>
          <w:rFonts w:hint="eastAsia" w:ascii="宋体" w:hAnsi="宋体" w:cs="宋体"/>
          <w:b w:val="0"/>
          <w:bCs w:val="0"/>
          <w:caps/>
          <w:color w:val="auto"/>
          <w:kern w:val="2"/>
          <w:sz w:val="28"/>
          <w:szCs w:val="44"/>
        </w:rPr>
        <w:fldChar w:fldCharType="end"/>
      </w:r>
    </w:p>
    <w:p w14:paraId="6727F05C">
      <w:pPr>
        <w:pStyle w:val="25"/>
        <w:tabs>
          <w:tab w:val="right" w:leader="dot" w:pos="9072"/>
        </w:tabs>
        <w:rPr>
          <w:b w:val="0"/>
          <w:bCs w:val="0"/>
          <w:color w:val="auto"/>
          <w:sz w:val="28"/>
          <w:szCs w:val="28"/>
        </w:rPr>
      </w:pPr>
      <w:r>
        <w:rPr>
          <w:rFonts w:hint="eastAsia" w:ascii="宋体" w:hAnsi="宋体" w:cs="宋体"/>
          <w:b w:val="0"/>
          <w:bCs w:val="0"/>
          <w:caps/>
          <w:color w:val="auto"/>
          <w:kern w:val="2"/>
          <w:sz w:val="28"/>
          <w:szCs w:val="44"/>
        </w:rPr>
        <w:fldChar w:fldCharType="begin"/>
      </w:r>
      <w:r>
        <w:rPr>
          <w:rFonts w:hint="eastAsia" w:ascii="宋体" w:hAnsi="宋体" w:cs="宋体"/>
          <w:b w:val="0"/>
          <w:bCs w:val="0"/>
          <w:caps/>
          <w:color w:val="auto"/>
          <w:kern w:val="2"/>
          <w:sz w:val="28"/>
          <w:szCs w:val="44"/>
        </w:rPr>
        <w:instrText xml:space="preserve"> HYPERLINK \l _Toc11325 </w:instrText>
      </w:r>
      <w:r>
        <w:rPr>
          <w:rFonts w:hint="eastAsia" w:ascii="宋体" w:hAnsi="宋体" w:cs="宋体"/>
          <w:b w:val="0"/>
          <w:bCs w:val="0"/>
          <w:caps/>
          <w:color w:val="auto"/>
          <w:kern w:val="2"/>
          <w:sz w:val="28"/>
          <w:szCs w:val="44"/>
        </w:rPr>
        <w:fldChar w:fldCharType="separate"/>
      </w:r>
      <w:r>
        <w:rPr>
          <w:rFonts w:hint="eastAsia" w:ascii="宋体" w:hAnsi="宋体" w:cs="宋体"/>
          <w:b w:val="0"/>
          <w:bCs w:val="0"/>
          <w:color w:val="auto"/>
          <w:sz w:val="28"/>
          <w:szCs w:val="28"/>
        </w:rPr>
        <w:t xml:space="preserve">第五部分 </w:t>
      </w:r>
      <w:r>
        <w:rPr>
          <w:rFonts w:hint="eastAsia" w:ascii="宋体" w:hAnsi="宋体" w:cs="宋体"/>
          <w:b w:val="0"/>
          <w:bCs w:val="0"/>
          <w:color w:val="auto"/>
          <w:sz w:val="28"/>
          <w:szCs w:val="28"/>
          <w:lang w:val="en-US" w:eastAsia="zh-CN"/>
        </w:rPr>
        <w:t xml:space="preserve"> </w:t>
      </w:r>
      <w:r>
        <w:rPr>
          <w:rFonts w:hint="eastAsia" w:ascii="宋体" w:hAnsi="宋体" w:cs="宋体"/>
          <w:b w:val="0"/>
          <w:bCs w:val="0"/>
          <w:color w:val="auto"/>
          <w:sz w:val="28"/>
          <w:szCs w:val="28"/>
        </w:rPr>
        <w:t>采购内容及要求</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_Toc11325 \h </w:instrText>
      </w:r>
      <w:r>
        <w:rPr>
          <w:b w:val="0"/>
          <w:bCs w:val="0"/>
          <w:color w:val="auto"/>
          <w:sz w:val="28"/>
          <w:szCs w:val="28"/>
        </w:rPr>
        <w:fldChar w:fldCharType="separate"/>
      </w:r>
      <w:r>
        <w:rPr>
          <w:b w:val="0"/>
          <w:bCs w:val="0"/>
          <w:color w:val="auto"/>
          <w:sz w:val="28"/>
          <w:szCs w:val="28"/>
        </w:rPr>
        <w:t>28</w:t>
      </w:r>
      <w:r>
        <w:rPr>
          <w:b w:val="0"/>
          <w:bCs w:val="0"/>
          <w:color w:val="auto"/>
          <w:sz w:val="28"/>
          <w:szCs w:val="28"/>
        </w:rPr>
        <w:fldChar w:fldCharType="end"/>
      </w:r>
      <w:r>
        <w:rPr>
          <w:rFonts w:hint="eastAsia" w:ascii="宋体" w:hAnsi="宋体" w:cs="宋体"/>
          <w:b w:val="0"/>
          <w:bCs w:val="0"/>
          <w:caps/>
          <w:color w:val="auto"/>
          <w:kern w:val="2"/>
          <w:sz w:val="28"/>
          <w:szCs w:val="44"/>
        </w:rPr>
        <w:fldChar w:fldCharType="end"/>
      </w:r>
    </w:p>
    <w:p w14:paraId="7C0EC921">
      <w:pPr>
        <w:pStyle w:val="25"/>
        <w:tabs>
          <w:tab w:val="right" w:leader="dot" w:pos="9072"/>
        </w:tabs>
        <w:rPr>
          <w:b w:val="0"/>
          <w:bCs w:val="0"/>
          <w:color w:val="auto"/>
          <w:sz w:val="28"/>
          <w:szCs w:val="28"/>
        </w:rPr>
      </w:pPr>
      <w:r>
        <w:rPr>
          <w:rFonts w:hint="eastAsia" w:ascii="宋体" w:hAnsi="宋体" w:cs="宋体"/>
          <w:b w:val="0"/>
          <w:bCs w:val="0"/>
          <w:caps/>
          <w:color w:val="auto"/>
          <w:kern w:val="2"/>
          <w:sz w:val="28"/>
          <w:szCs w:val="44"/>
        </w:rPr>
        <w:fldChar w:fldCharType="begin"/>
      </w:r>
      <w:r>
        <w:rPr>
          <w:rFonts w:hint="eastAsia" w:ascii="宋体" w:hAnsi="宋体" w:cs="宋体"/>
          <w:b w:val="0"/>
          <w:bCs w:val="0"/>
          <w:caps/>
          <w:color w:val="auto"/>
          <w:kern w:val="2"/>
          <w:sz w:val="28"/>
          <w:szCs w:val="44"/>
        </w:rPr>
        <w:instrText xml:space="preserve"> HYPERLINK \l _Toc30964 </w:instrText>
      </w:r>
      <w:r>
        <w:rPr>
          <w:rFonts w:hint="eastAsia" w:ascii="宋体" w:hAnsi="宋体" w:cs="宋体"/>
          <w:b w:val="0"/>
          <w:bCs w:val="0"/>
          <w:caps/>
          <w:color w:val="auto"/>
          <w:kern w:val="2"/>
          <w:sz w:val="28"/>
          <w:szCs w:val="44"/>
        </w:rPr>
        <w:fldChar w:fldCharType="separate"/>
      </w:r>
      <w:r>
        <w:rPr>
          <w:rFonts w:hint="eastAsia" w:ascii="宋体" w:hAnsi="宋体" w:cs="宋体"/>
          <w:b w:val="0"/>
          <w:bCs w:val="0"/>
          <w:color w:val="auto"/>
          <w:sz w:val="28"/>
          <w:szCs w:val="28"/>
        </w:rPr>
        <w:t xml:space="preserve">第六部分 </w:t>
      </w:r>
      <w:r>
        <w:rPr>
          <w:rFonts w:hint="eastAsia" w:ascii="宋体" w:hAnsi="宋体" w:cs="宋体"/>
          <w:b w:val="0"/>
          <w:bCs w:val="0"/>
          <w:color w:val="auto"/>
          <w:sz w:val="28"/>
          <w:szCs w:val="28"/>
          <w:lang w:val="en-US" w:eastAsia="zh-CN"/>
        </w:rPr>
        <w:t xml:space="preserve"> </w:t>
      </w:r>
      <w:r>
        <w:rPr>
          <w:rFonts w:hint="eastAsia" w:ascii="宋体" w:hAnsi="宋体" w:cs="宋体"/>
          <w:b w:val="0"/>
          <w:bCs w:val="0"/>
          <w:color w:val="auto"/>
          <w:sz w:val="28"/>
          <w:szCs w:val="28"/>
        </w:rPr>
        <w:t>商务及合同主要条款</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_Toc30964 \h </w:instrText>
      </w:r>
      <w:r>
        <w:rPr>
          <w:b w:val="0"/>
          <w:bCs w:val="0"/>
          <w:color w:val="auto"/>
          <w:sz w:val="28"/>
          <w:szCs w:val="28"/>
        </w:rPr>
        <w:fldChar w:fldCharType="separate"/>
      </w:r>
      <w:r>
        <w:rPr>
          <w:b w:val="0"/>
          <w:bCs w:val="0"/>
          <w:color w:val="auto"/>
          <w:sz w:val="28"/>
          <w:szCs w:val="28"/>
        </w:rPr>
        <w:t>35</w:t>
      </w:r>
      <w:r>
        <w:rPr>
          <w:b w:val="0"/>
          <w:bCs w:val="0"/>
          <w:color w:val="auto"/>
          <w:sz w:val="28"/>
          <w:szCs w:val="28"/>
        </w:rPr>
        <w:fldChar w:fldCharType="end"/>
      </w:r>
      <w:r>
        <w:rPr>
          <w:rFonts w:hint="eastAsia" w:ascii="宋体" w:hAnsi="宋体" w:cs="宋体"/>
          <w:b w:val="0"/>
          <w:bCs w:val="0"/>
          <w:caps/>
          <w:color w:val="auto"/>
          <w:kern w:val="2"/>
          <w:sz w:val="28"/>
          <w:szCs w:val="44"/>
        </w:rPr>
        <w:fldChar w:fldCharType="end"/>
      </w:r>
    </w:p>
    <w:p w14:paraId="16E74207">
      <w:pPr>
        <w:pStyle w:val="25"/>
        <w:tabs>
          <w:tab w:val="right" w:leader="dot" w:pos="9072"/>
        </w:tabs>
        <w:rPr>
          <w:color w:val="auto"/>
        </w:rPr>
      </w:pPr>
      <w:r>
        <w:rPr>
          <w:rFonts w:hint="eastAsia" w:ascii="宋体" w:hAnsi="宋体" w:cs="宋体"/>
          <w:b w:val="0"/>
          <w:bCs w:val="0"/>
          <w:caps/>
          <w:color w:val="auto"/>
          <w:kern w:val="2"/>
          <w:sz w:val="28"/>
          <w:szCs w:val="44"/>
        </w:rPr>
        <w:fldChar w:fldCharType="begin"/>
      </w:r>
      <w:r>
        <w:rPr>
          <w:rFonts w:hint="eastAsia" w:ascii="宋体" w:hAnsi="宋体" w:cs="宋体"/>
          <w:b w:val="0"/>
          <w:bCs w:val="0"/>
          <w:caps/>
          <w:color w:val="auto"/>
          <w:kern w:val="2"/>
          <w:sz w:val="28"/>
          <w:szCs w:val="44"/>
        </w:rPr>
        <w:instrText xml:space="preserve"> HYPERLINK \l _Toc6574 </w:instrText>
      </w:r>
      <w:r>
        <w:rPr>
          <w:rFonts w:hint="eastAsia" w:ascii="宋体" w:hAnsi="宋体" w:cs="宋体"/>
          <w:b w:val="0"/>
          <w:bCs w:val="0"/>
          <w:caps/>
          <w:color w:val="auto"/>
          <w:kern w:val="2"/>
          <w:sz w:val="28"/>
          <w:szCs w:val="44"/>
        </w:rPr>
        <w:fldChar w:fldCharType="separate"/>
      </w:r>
      <w:r>
        <w:rPr>
          <w:rFonts w:hint="eastAsia"/>
          <w:b w:val="0"/>
          <w:bCs w:val="0"/>
          <w:color w:val="auto"/>
          <w:sz w:val="28"/>
          <w:szCs w:val="52"/>
          <w:lang w:val="en-US" w:eastAsia="zh-CN"/>
        </w:rPr>
        <w:t>第七部分  响应文件格式</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_Toc6574 \h </w:instrText>
      </w:r>
      <w:r>
        <w:rPr>
          <w:b w:val="0"/>
          <w:bCs w:val="0"/>
          <w:color w:val="auto"/>
          <w:sz w:val="28"/>
          <w:szCs w:val="28"/>
        </w:rPr>
        <w:fldChar w:fldCharType="separate"/>
      </w:r>
      <w:r>
        <w:rPr>
          <w:b w:val="0"/>
          <w:bCs w:val="0"/>
          <w:color w:val="auto"/>
          <w:sz w:val="28"/>
          <w:szCs w:val="28"/>
        </w:rPr>
        <w:t>41</w:t>
      </w:r>
      <w:r>
        <w:rPr>
          <w:b w:val="0"/>
          <w:bCs w:val="0"/>
          <w:color w:val="auto"/>
          <w:sz w:val="28"/>
          <w:szCs w:val="28"/>
        </w:rPr>
        <w:fldChar w:fldCharType="end"/>
      </w:r>
      <w:r>
        <w:rPr>
          <w:rFonts w:hint="eastAsia" w:ascii="宋体" w:hAnsi="宋体" w:cs="宋体"/>
          <w:b w:val="0"/>
          <w:bCs w:val="0"/>
          <w:caps/>
          <w:color w:val="auto"/>
          <w:kern w:val="2"/>
          <w:sz w:val="28"/>
          <w:szCs w:val="44"/>
        </w:rPr>
        <w:fldChar w:fldCharType="end"/>
      </w:r>
    </w:p>
    <w:p w14:paraId="3DA09F7E">
      <w:pPr>
        <w:pStyle w:val="2"/>
        <w:tabs>
          <w:tab w:val="left" w:pos="206"/>
        </w:tabs>
        <w:spacing w:line="360" w:lineRule="auto"/>
        <w:jc w:val="left"/>
        <w:rPr>
          <w:color w:val="auto"/>
        </w:rPr>
        <w:sectPr>
          <w:headerReference r:id="rId7" w:type="first"/>
          <w:footerReference r:id="rId9" w:type="first"/>
          <w:headerReference r:id="rId6" w:type="default"/>
          <w:footerReference r:id="rId8" w:type="default"/>
          <w:pgSz w:w="11906" w:h="16838"/>
          <w:pgMar w:top="1417" w:right="1417" w:bottom="1417" w:left="1417" w:header="1134" w:footer="992" w:gutter="0"/>
          <w:pgBorders>
            <w:top w:val="none" w:sz="0" w:space="0"/>
            <w:left w:val="none" w:sz="0" w:space="0"/>
            <w:bottom w:val="none" w:sz="0" w:space="0"/>
            <w:right w:val="none" w:sz="0" w:space="0"/>
          </w:pgBorders>
          <w:pgNumType w:start="1"/>
          <w:cols w:space="0" w:num="1"/>
          <w:titlePg/>
          <w:docGrid w:type="lines" w:linePitch="326" w:charSpace="0"/>
        </w:sectPr>
      </w:pPr>
      <w:r>
        <w:rPr>
          <w:rFonts w:hint="eastAsia" w:ascii="宋体" w:hAnsi="宋体" w:cs="宋体"/>
          <w:caps/>
          <w:color w:val="auto"/>
          <w:kern w:val="2"/>
          <w:szCs w:val="28"/>
        </w:rPr>
        <w:fldChar w:fldCharType="end"/>
      </w:r>
    </w:p>
    <w:p w14:paraId="77860960">
      <w:pPr>
        <w:pStyle w:val="2"/>
        <w:keepNext/>
        <w:keepLines/>
        <w:pageBreakBefore w:val="0"/>
        <w:widowControl w:val="0"/>
        <w:tabs>
          <w:tab w:val="left" w:pos="206"/>
        </w:tabs>
        <w:kinsoku/>
        <w:wordWrap/>
        <w:overflowPunct/>
        <w:topLinePunct w:val="0"/>
        <w:autoSpaceDE/>
        <w:autoSpaceDN/>
        <w:bidi w:val="0"/>
        <w:adjustRightInd/>
        <w:snapToGrid/>
        <w:spacing w:before="164" w:beforeLines="50" w:after="164" w:afterLines="50" w:line="360" w:lineRule="auto"/>
        <w:jc w:val="center"/>
        <w:textAlignment w:val="auto"/>
        <w:rPr>
          <w:color w:val="auto"/>
        </w:rPr>
      </w:pPr>
      <w:bookmarkStart w:id="8" w:name="OLE_LINK27"/>
      <w:bookmarkStart w:id="9" w:name="_Toc8117"/>
      <w:r>
        <w:rPr>
          <w:rFonts w:hint="eastAsia"/>
          <w:color w:val="auto"/>
        </w:rPr>
        <w:t xml:space="preserve">第一部分  </w:t>
      </w:r>
      <w:bookmarkStart w:id="10" w:name="OLE_LINK4"/>
      <w:bookmarkStart w:id="11" w:name="OLE_LINK1"/>
      <w:r>
        <w:rPr>
          <w:rFonts w:hint="eastAsia"/>
          <w:color w:val="auto"/>
        </w:rPr>
        <w:t>竞争性</w:t>
      </w:r>
      <w:r>
        <w:rPr>
          <w:color w:val="auto"/>
        </w:rPr>
        <w:t>磋商公告</w:t>
      </w:r>
      <w:bookmarkEnd w:id="1"/>
      <w:bookmarkEnd w:id="2"/>
      <w:bookmarkEnd w:id="3"/>
      <w:bookmarkEnd w:id="4"/>
      <w:bookmarkEnd w:id="8"/>
      <w:bookmarkEnd w:id="9"/>
    </w:p>
    <w:bookmarkEnd w:id="5"/>
    <w:bookmarkEnd w:id="10"/>
    <w:bookmarkEnd w:id="11"/>
    <w:p w14:paraId="131E77C1">
      <w:pPr>
        <w:keepNext w:val="0"/>
        <w:keepLines w:val="0"/>
        <w:pageBreakBefore w:val="0"/>
        <w:widowControl/>
        <w:kinsoku/>
        <w:wordWrap/>
        <w:overflowPunct/>
        <w:topLinePunct w:val="0"/>
        <w:autoSpaceDE/>
        <w:autoSpaceDN/>
        <w:bidi w:val="0"/>
        <w:adjustRightInd/>
        <w:snapToGrid w:val="0"/>
        <w:spacing w:line="440" w:lineRule="exact"/>
        <w:ind w:right="0" w:rightChars="0"/>
        <w:jc w:val="left"/>
        <w:textAlignment w:val="auto"/>
        <w:rPr>
          <w:rFonts w:hint="eastAsia" w:ascii="宋体" w:hAnsi="宋体" w:eastAsia="宋体" w:cs="宋体"/>
          <w:b/>
          <w:bCs/>
          <w:color w:val="auto"/>
          <w:kern w:val="0"/>
          <w:sz w:val="24"/>
          <w:szCs w:val="24"/>
          <w:lang w:val="en-US" w:eastAsia="zh-CN"/>
        </w:rPr>
      </w:pPr>
      <w:bookmarkStart w:id="12" w:name="_Toc536202377"/>
      <w:bookmarkStart w:id="13" w:name="_Toc5018"/>
      <w:bookmarkStart w:id="14" w:name="_Toc536202283"/>
      <w:bookmarkStart w:id="15" w:name="_Toc536429370"/>
      <w:bookmarkStart w:id="16" w:name="_Toc536429317"/>
      <w:r>
        <w:rPr>
          <w:rFonts w:hint="eastAsia" w:ascii="宋体" w:hAnsi="宋体" w:eastAsia="宋体" w:cs="宋体"/>
          <w:b/>
          <w:bCs/>
          <w:color w:val="auto"/>
          <w:kern w:val="0"/>
          <w:sz w:val="24"/>
          <w:szCs w:val="24"/>
          <w:lang w:val="en-US" w:eastAsia="zh-CN"/>
        </w:rPr>
        <w:t>项目概况</w:t>
      </w:r>
    </w:p>
    <w:p w14:paraId="6C299C25">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院机关第一审判庭系统升级改造项目的潜在供应商应在安康市高新区高新观澜8栋2单元801室获取采购文件，并于</w:t>
      </w:r>
      <w:r>
        <w:rPr>
          <w:rFonts w:hint="eastAsia" w:ascii="宋体" w:hAnsi="宋体" w:eastAsia="宋体" w:cs="宋体"/>
          <w:b w:val="0"/>
          <w:bCs w:val="0"/>
          <w:color w:val="auto"/>
          <w:kern w:val="0"/>
          <w:sz w:val="24"/>
          <w:szCs w:val="24"/>
        </w:rPr>
        <w:t>2025年</w:t>
      </w:r>
      <w:r>
        <w:rPr>
          <w:rFonts w:hint="eastAsia" w:ascii="宋体" w:hAnsi="宋体" w:cs="宋体"/>
          <w:b w:val="0"/>
          <w:bCs w:val="0"/>
          <w:color w:val="auto"/>
          <w:kern w:val="0"/>
          <w:sz w:val="24"/>
          <w:szCs w:val="24"/>
          <w:lang w:val="en-US" w:eastAsia="zh-CN"/>
        </w:rPr>
        <w:t>12</w:t>
      </w:r>
      <w:r>
        <w:rPr>
          <w:rFonts w:hint="eastAsia" w:ascii="宋体" w:hAnsi="宋体" w:eastAsia="宋体" w:cs="宋体"/>
          <w:b w:val="0"/>
          <w:bCs w:val="0"/>
          <w:color w:val="auto"/>
          <w:kern w:val="0"/>
          <w:sz w:val="24"/>
          <w:szCs w:val="24"/>
        </w:rPr>
        <w:t>月</w:t>
      </w:r>
      <w:r>
        <w:rPr>
          <w:rFonts w:hint="eastAsia" w:ascii="宋体" w:hAnsi="宋体" w:cs="宋体"/>
          <w:b w:val="0"/>
          <w:bCs w:val="0"/>
          <w:color w:val="auto"/>
          <w:kern w:val="0"/>
          <w:sz w:val="24"/>
          <w:szCs w:val="24"/>
          <w:lang w:val="en-US" w:eastAsia="zh-CN"/>
        </w:rPr>
        <w:t>24</w:t>
      </w:r>
      <w:r>
        <w:rPr>
          <w:rFonts w:hint="eastAsia" w:ascii="宋体" w:hAnsi="宋体" w:eastAsia="宋体" w:cs="宋体"/>
          <w:b w:val="0"/>
          <w:bCs w:val="0"/>
          <w:color w:val="auto"/>
          <w:kern w:val="0"/>
          <w:sz w:val="24"/>
          <w:szCs w:val="24"/>
        </w:rPr>
        <w:t>日</w:t>
      </w:r>
      <w:r>
        <w:rPr>
          <w:rFonts w:hint="eastAsia" w:ascii="宋体" w:hAnsi="宋体" w:cs="宋体"/>
          <w:b w:val="0"/>
          <w:bCs w:val="0"/>
          <w:color w:val="auto"/>
          <w:kern w:val="0"/>
          <w:sz w:val="24"/>
          <w:szCs w:val="24"/>
          <w:lang w:val="en-US" w:eastAsia="zh-CN"/>
        </w:rPr>
        <w:t>15</w:t>
      </w:r>
      <w:r>
        <w:rPr>
          <w:rFonts w:hint="eastAsia" w:ascii="宋体" w:hAnsi="宋体" w:eastAsia="宋体" w:cs="宋体"/>
          <w:b w:val="0"/>
          <w:bCs w:val="0"/>
          <w:color w:val="auto"/>
          <w:kern w:val="0"/>
          <w:sz w:val="24"/>
          <w:szCs w:val="24"/>
        </w:rPr>
        <w:t>时</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分</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秒</w:t>
      </w:r>
      <w:r>
        <w:rPr>
          <w:rFonts w:hint="eastAsia" w:ascii="宋体" w:hAnsi="宋体" w:eastAsia="宋体" w:cs="宋体"/>
          <w:color w:val="auto"/>
          <w:kern w:val="0"/>
          <w:sz w:val="24"/>
          <w:szCs w:val="24"/>
        </w:rPr>
        <w:t>（北京时间）前提交响应文件。</w:t>
      </w:r>
    </w:p>
    <w:p w14:paraId="6842AD08">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Chars="0" w:right="0" w:rightChars="0" w:firstLine="482" w:firstLineChars="20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一、</w:t>
      </w:r>
      <w:r>
        <w:rPr>
          <w:rFonts w:hint="eastAsia" w:ascii="宋体" w:hAnsi="宋体" w:eastAsia="宋体" w:cs="宋体"/>
          <w:b/>
          <w:bCs/>
          <w:color w:val="auto"/>
          <w:kern w:val="0"/>
          <w:sz w:val="24"/>
          <w:szCs w:val="24"/>
        </w:rPr>
        <w:t>项目基本情况</w:t>
      </w:r>
    </w:p>
    <w:p w14:paraId="7B004B49">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项目编号：AKSH2025-ZCS-171</w:t>
      </w:r>
    </w:p>
    <w:p w14:paraId="46B20455">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项目名称：</w:t>
      </w:r>
      <w:r>
        <w:rPr>
          <w:rFonts w:hint="eastAsia" w:ascii="宋体" w:hAnsi="宋体" w:eastAsia="宋体" w:cs="宋体"/>
          <w:color w:val="auto"/>
          <w:kern w:val="0"/>
          <w:sz w:val="24"/>
          <w:szCs w:val="24"/>
          <w:lang w:val="en-US" w:eastAsia="zh-CN"/>
        </w:rPr>
        <w:t>院机关第一审判庭系统升级改造项目</w:t>
      </w:r>
    </w:p>
    <w:p w14:paraId="3366F4E8">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采购方式：竞争性</w:t>
      </w:r>
      <w:r>
        <w:rPr>
          <w:rFonts w:hint="eastAsia" w:ascii="宋体" w:hAnsi="宋体" w:eastAsia="宋体" w:cs="宋体"/>
          <w:color w:val="auto"/>
          <w:kern w:val="0"/>
          <w:sz w:val="24"/>
          <w:szCs w:val="24"/>
          <w:lang w:val="en-US" w:eastAsia="zh-CN"/>
        </w:rPr>
        <w:t>磋商</w:t>
      </w:r>
    </w:p>
    <w:p w14:paraId="17AB7618">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预算金额：</w:t>
      </w:r>
      <w:r>
        <w:rPr>
          <w:rFonts w:hint="eastAsia" w:ascii="宋体" w:hAnsi="宋体" w:eastAsia="宋体" w:cs="宋体"/>
          <w:color w:val="auto"/>
          <w:kern w:val="0"/>
          <w:sz w:val="24"/>
          <w:szCs w:val="24"/>
          <w:lang w:val="en-US" w:eastAsia="zh-CN" w:bidi="ar-SA"/>
        </w:rPr>
        <w:t>299600.00元</w:t>
      </w:r>
    </w:p>
    <w:p w14:paraId="6D6B6459">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采购需求：</w:t>
      </w:r>
    </w:p>
    <w:p w14:paraId="02650188">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合同包1(</w:t>
      </w:r>
      <w:r>
        <w:rPr>
          <w:rFonts w:hint="eastAsia" w:ascii="宋体" w:hAnsi="宋体" w:eastAsia="宋体" w:cs="宋体"/>
          <w:color w:val="auto"/>
          <w:kern w:val="0"/>
          <w:sz w:val="24"/>
          <w:szCs w:val="24"/>
          <w:lang w:val="en-US" w:eastAsia="zh-CN"/>
        </w:rPr>
        <w:t>院机关第一审判庭系统升级改造项目</w:t>
      </w:r>
      <w:r>
        <w:rPr>
          <w:rFonts w:hint="eastAsia" w:ascii="宋体" w:hAnsi="宋体" w:eastAsia="宋体" w:cs="宋体"/>
          <w:color w:val="auto"/>
          <w:kern w:val="0"/>
          <w:sz w:val="24"/>
          <w:szCs w:val="24"/>
          <w:lang w:eastAsia="zh-CN"/>
        </w:rPr>
        <w:t>)：</w:t>
      </w:r>
    </w:p>
    <w:p w14:paraId="149DFAF2">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合同包预算金额：</w:t>
      </w:r>
      <w:r>
        <w:rPr>
          <w:rFonts w:hint="eastAsia" w:ascii="宋体" w:hAnsi="宋体" w:eastAsia="宋体" w:cs="宋体"/>
          <w:color w:val="auto"/>
          <w:kern w:val="0"/>
          <w:sz w:val="24"/>
          <w:szCs w:val="24"/>
          <w:lang w:val="en-US" w:eastAsia="zh-CN" w:bidi="ar-SA"/>
        </w:rPr>
        <w:t>299600.00元</w:t>
      </w:r>
    </w:p>
    <w:p w14:paraId="6C2242D3">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lang w:eastAsia="zh-CN"/>
        </w:rPr>
      </w:pPr>
    </w:p>
    <w:tbl>
      <w:tblPr>
        <w:tblStyle w:val="40"/>
        <w:tblW w:w="994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7"/>
        <w:gridCol w:w="1974"/>
        <w:gridCol w:w="2038"/>
        <w:gridCol w:w="1631"/>
        <w:gridCol w:w="1906"/>
        <w:gridCol w:w="1440"/>
      </w:tblGrid>
      <w:tr w14:paraId="3378EC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3" w:hRule="atLeast"/>
          <w:tblHeader/>
          <w:jc w:val="center"/>
        </w:trPr>
        <w:tc>
          <w:tcPr>
            <w:tcW w:w="9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6D97E0">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9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041350">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0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6308D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261220">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EC89F0">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F25A56">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0AE6A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2" w:hRule="atLeast"/>
          <w:jc w:val="center"/>
        </w:trPr>
        <w:tc>
          <w:tcPr>
            <w:tcW w:w="9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74F3CA">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9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F91B1A">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应用软件</w:t>
            </w:r>
          </w:p>
        </w:tc>
        <w:tc>
          <w:tcPr>
            <w:tcW w:w="20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EB748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299600.00</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F81FD3">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1(套)</w:t>
            </w:r>
          </w:p>
        </w:tc>
        <w:tc>
          <w:tcPr>
            <w:tcW w:w="1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C28B8A">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873B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right"/>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299600.00</w:t>
            </w:r>
          </w:p>
        </w:tc>
      </w:tr>
    </w:tbl>
    <w:p w14:paraId="45CD0E48">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本合同包不接受联合体投标</w:t>
      </w:r>
    </w:p>
    <w:p w14:paraId="19DEEF04">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合同履行期限：</w:t>
      </w:r>
      <w:r>
        <w:rPr>
          <w:rFonts w:hint="eastAsia" w:ascii="宋体" w:hAnsi="宋体" w:cs="宋体"/>
          <w:color w:val="auto"/>
          <w:kern w:val="0"/>
          <w:sz w:val="24"/>
          <w:szCs w:val="24"/>
          <w:lang w:val="en-US" w:eastAsia="zh-CN" w:bidi="ar-SA"/>
        </w:rPr>
        <w:t>在合同签订后30日历天内完成项目所有软硬件的供货、安装、调试、培训等。</w:t>
      </w:r>
    </w:p>
    <w:p w14:paraId="1293B93E">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14:paraId="28F6C7CB">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满足《中华人民共和国政府采购法》第二十二条规定</w:t>
      </w:r>
      <w:r>
        <w:rPr>
          <w:rFonts w:hint="eastAsia" w:ascii="宋体" w:hAnsi="宋体" w:eastAsia="宋体" w:cs="宋体"/>
          <w:color w:val="auto"/>
          <w:sz w:val="24"/>
          <w:szCs w:val="24"/>
          <w:lang w:eastAsia="zh-CN"/>
        </w:rPr>
        <w:t>；</w:t>
      </w:r>
    </w:p>
    <w:p w14:paraId="0727D6C7">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落实政府采购政策需满足的资格要求：</w:t>
      </w:r>
    </w:p>
    <w:p w14:paraId="25A31E3C">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院机关第一审判庭系统升级改造项目</w:t>
      </w:r>
      <w:r>
        <w:rPr>
          <w:rFonts w:hint="eastAsia" w:ascii="宋体" w:hAnsi="宋体" w:eastAsia="宋体" w:cs="宋体"/>
          <w:color w:val="auto"/>
          <w:sz w:val="24"/>
          <w:szCs w:val="24"/>
        </w:rPr>
        <w:t>)落实政府采购政策需满足的资格要求如下</w:t>
      </w:r>
      <w:r>
        <w:rPr>
          <w:rFonts w:hint="eastAsia" w:ascii="宋体" w:hAnsi="宋体" w:eastAsia="宋体" w:cs="宋体"/>
          <w:color w:val="auto"/>
          <w:sz w:val="24"/>
          <w:szCs w:val="24"/>
          <w:lang w:eastAsia="zh-CN"/>
        </w:rPr>
        <w:t>：</w:t>
      </w:r>
    </w:p>
    <w:p w14:paraId="7F849E77">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依据《中华人民共和国政府采购法》和《中华人民共和国政府采购法实施条例》的有关规定，落实政府采购“优先购买节能环保产品、扶持小微企业、监狱企业、福利企业”等相关政策：</w:t>
      </w:r>
    </w:p>
    <w:p w14:paraId="395F1940">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（1）《政府采购促进中小企业发展管理办法》（财库〔2020〕46号）；</w:t>
      </w:r>
    </w:p>
    <w:p w14:paraId="74DF424A">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（2）《财政部司法部关于政府采购支持监狱企业发展有关问题的通知》（财库〔2014〕68号）；</w:t>
      </w:r>
    </w:p>
    <w:p w14:paraId="0CC6BE67">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（3）《财政部发展改革委生态环境部市场监管总局关于调整优化节能产品、环境标志产品政府采购执行机制的通知》（财库〔2019〕9号）；</w:t>
      </w:r>
    </w:p>
    <w:p w14:paraId="65A58A60">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（4）《财政部民政部中国残疾人联合会关于促进残疾人就业政府采购政策的通知》（财库〔2017〕141号）；</w:t>
      </w:r>
    </w:p>
    <w:p w14:paraId="34FE432F">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（5）《财政部农业农村部国家乡村振兴局关于运用政府采购政策支持乡村产业振兴的通知》财库〔2021〕19号；</w:t>
      </w:r>
    </w:p>
    <w:p w14:paraId="54150F31">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（6）《陕西省财政厅关于加快推进我省中小企业政府采购信用融资工作的通知》（陕 财办采〔2020〕15 号）、陕西省财政厅关于印发《陕西省中小企业政府采购信用融资办法》（陕财办采〔2018〕23 号）；</w:t>
      </w:r>
    </w:p>
    <w:p w14:paraId="47EA1D85">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（7）其他需要落实的政府采购政策。</w:t>
      </w:r>
    </w:p>
    <w:p w14:paraId="5CC02B3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本项目的特定资格要求：</w:t>
      </w:r>
    </w:p>
    <w:p w14:paraId="769D083C">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合同包1(</w:t>
      </w:r>
      <w:r>
        <w:rPr>
          <w:rFonts w:hint="eastAsia" w:ascii="宋体" w:hAnsi="宋体" w:eastAsia="宋体" w:cs="宋体"/>
          <w:color w:val="auto"/>
          <w:kern w:val="0"/>
          <w:sz w:val="24"/>
          <w:szCs w:val="24"/>
          <w:lang w:val="en-US" w:eastAsia="zh-CN"/>
        </w:rPr>
        <w:t>院机关第一审判庭系统升级改造项目</w:t>
      </w:r>
      <w:r>
        <w:rPr>
          <w:rFonts w:hint="eastAsia" w:ascii="宋体" w:hAnsi="宋体" w:eastAsia="宋体" w:cs="宋体"/>
          <w:color w:val="auto"/>
          <w:sz w:val="24"/>
          <w:szCs w:val="24"/>
        </w:rPr>
        <w:t>)特定资格要求如下</w:t>
      </w:r>
      <w:r>
        <w:rPr>
          <w:rFonts w:hint="eastAsia" w:ascii="宋体" w:hAnsi="宋体" w:eastAsia="宋体" w:cs="宋体"/>
          <w:color w:val="auto"/>
          <w:sz w:val="24"/>
          <w:szCs w:val="24"/>
          <w:lang w:eastAsia="zh-CN"/>
        </w:rPr>
        <w:t>：</w:t>
      </w:r>
    </w:p>
    <w:p w14:paraId="4F96BDF0">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6AC9AE10">
      <w:pPr>
        <w:keepNext w:val="0"/>
        <w:keepLines w:val="0"/>
        <w:pageBreakBefore w:val="0"/>
        <w:kinsoku/>
        <w:wordWrap/>
        <w:overflowPunct/>
        <w:topLinePunct w:val="0"/>
        <w:autoSpaceDE/>
        <w:autoSpaceDN/>
        <w:bidi w:val="0"/>
        <w:adjustRightInd/>
        <w:spacing w:line="420" w:lineRule="exact"/>
        <w:ind w:firstLine="360" w:firstLineChars="15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eastAsia="zh-CN"/>
        </w:rPr>
        <w:t>法定代表人授权书及被授权人身份证复印件（法定代表人直接投标只需提交其身份明材料）。</w:t>
      </w:r>
    </w:p>
    <w:p w14:paraId="5C12E81E">
      <w:pPr>
        <w:keepNext w:val="0"/>
        <w:keepLines w:val="0"/>
        <w:pageBreakBefore w:val="0"/>
        <w:tabs>
          <w:tab w:val="center" w:pos="4153"/>
          <w:tab w:val="right" w:pos="8306"/>
        </w:tabs>
        <w:kinsoku/>
        <w:wordWrap/>
        <w:overflowPunct/>
        <w:topLinePunct w:val="0"/>
        <w:autoSpaceDE/>
        <w:autoSpaceDN/>
        <w:bidi w:val="0"/>
        <w:adjustRightInd/>
        <w:snapToGrid w:val="0"/>
        <w:spacing w:line="42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787041BA">
      <w:pPr>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20111B7E">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月至今任意一个月缴纳的纳税证明或完税证明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7E17EF41">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w:t>
      </w:r>
      <w:r>
        <w:rPr>
          <w:rFonts w:hint="eastAsia" w:ascii="宋体" w:hAnsi="宋体" w:cs="宋体"/>
          <w:color w:val="auto"/>
          <w:sz w:val="24"/>
          <w:szCs w:val="24"/>
        </w:rPr>
        <w:t>财务状况报告：</w:t>
      </w:r>
      <w:r>
        <w:rPr>
          <w:rFonts w:hint="eastAsia" w:ascii="宋体" w:hAnsi="宋体" w:cs="宋体"/>
          <w:color w:val="auto"/>
          <w:sz w:val="24"/>
          <w:szCs w:val="24"/>
          <w:lang w:eastAsia="zh-CN"/>
        </w:rPr>
        <w:t>提供2024年度经审计的财务审计报告</w:t>
      </w:r>
      <w:r>
        <w:rPr>
          <w:rFonts w:hint="eastAsia" w:ascii="宋体" w:hAnsi="宋体" w:cs="宋体"/>
          <w:color w:val="auto"/>
          <w:sz w:val="24"/>
          <w:szCs w:val="24"/>
          <w:lang w:val="en-US" w:eastAsia="zh-CN"/>
        </w:rPr>
        <w:t>或</w:t>
      </w:r>
      <w:r>
        <w:rPr>
          <w:rFonts w:hint="eastAsia" w:ascii="宋体" w:hAnsi="宋体" w:cs="宋体"/>
          <w:color w:val="auto"/>
          <w:sz w:val="24"/>
          <w:szCs w:val="24"/>
          <w:lang w:eastAsia="zh-CN"/>
        </w:rPr>
        <w:t>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077402B8">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7</w:t>
      </w:r>
      <w:r>
        <w:rPr>
          <w:rFonts w:hint="eastAsia" w:ascii="宋体" w:hAnsi="宋体" w:cs="宋体"/>
          <w:color w:val="auto"/>
          <w:sz w:val="24"/>
          <w:szCs w:val="24"/>
          <w:lang w:eastAsia="zh-CN"/>
        </w:rPr>
        <w:t>）</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月至今任意一个月社会保障资金缴存单</w:t>
      </w:r>
      <w:r>
        <w:rPr>
          <w:rFonts w:hint="eastAsia" w:ascii="宋体" w:hAnsi="宋体" w:cs="宋体"/>
          <w:color w:val="auto"/>
          <w:sz w:val="24"/>
          <w:szCs w:val="24"/>
        </w:rPr>
        <w:t>据或社保机构开具的社会保险参保缴费情况证明，依法不需要缴纳社会保障资金的单位应提供相关证明材料，单据或证明上应有社保机构或代收机构的印章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成立时间至提交响应文件截止时间不足三个月的可不提供</w:t>
      </w:r>
      <w:r>
        <w:rPr>
          <w:rFonts w:hint="eastAsia" w:ascii="宋体" w:hAnsi="宋体" w:cs="宋体"/>
          <w:color w:val="auto"/>
          <w:sz w:val="24"/>
          <w:szCs w:val="24"/>
          <w:lang w:eastAsia="zh-CN"/>
        </w:rPr>
        <w:t>）。</w:t>
      </w:r>
    </w:p>
    <w:p w14:paraId="1BCA6636">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所必需的设备和专业技术能力的承诺书</w:t>
      </w:r>
      <w:r>
        <w:rPr>
          <w:rFonts w:hint="eastAsia" w:ascii="宋体" w:hAnsi="宋体" w:cs="宋体"/>
          <w:color w:val="auto"/>
          <w:kern w:val="2"/>
          <w:sz w:val="24"/>
          <w:szCs w:val="24"/>
          <w:lang w:val="en-US" w:eastAsia="zh-CN" w:bidi="ar-SA"/>
        </w:rPr>
        <w:t>（格式自拟）。</w:t>
      </w:r>
    </w:p>
    <w:p w14:paraId="12874A27">
      <w:pPr>
        <w:keepNext w:val="0"/>
        <w:keepLines w:val="0"/>
        <w:pageBreakBefore w:val="0"/>
        <w:kinsoku/>
        <w:wordWrap/>
        <w:overflowPunct/>
        <w:topLinePunct w:val="0"/>
        <w:autoSpaceDE/>
        <w:autoSpaceDN/>
        <w:bidi w:val="0"/>
        <w:adjustRightInd/>
        <w:spacing w:line="500" w:lineRule="exact"/>
        <w:ind w:left="0" w:leftChars="0" w:right="0" w:rightChars="0"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（9）本项目不接受联合体投标。</w:t>
      </w:r>
    </w:p>
    <w:p w14:paraId="12F1062E">
      <w:pPr>
        <w:keepNext w:val="0"/>
        <w:keepLines w:val="0"/>
        <w:pageBreakBefore w:val="0"/>
        <w:kinsoku/>
        <w:wordWrap/>
        <w:overflowPunct/>
        <w:topLinePunct w:val="0"/>
        <w:autoSpaceDE/>
        <w:autoSpaceDN/>
        <w:bidi w:val="0"/>
        <w:adjustRightInd/>
        <w:snapToGrid w:val="0"/>
        <w:spacing w:line="500" w:lineRule="exact"/>
        <w:ind w:left="0" w:leftChars="0" w:right="0" w:righ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val="en-US" w:eastAsia="zh-CN"/>
        </w:rPr>
        <w:t>采购</w:t>
      </w:r>
      <w:r>
        <w:rPr>
          <w:rFonts w:hint="eastAsia" w:ascii="宋体" w:hAnsi="宋体" w:eastAsia="宋体" w:cs="宋体"/>
          <w:b/>
          <w:bCs/>
          <w:color w:val="auto"/>
          <w:sz w:val="24"/>
          <w:szCs w:val="24"/>
        </w:rPr>
        <w:t xml:space="preserve">文件获取 </w:t>
      </w:r>
    </w:p>
    <w:p w14:paraId="38A2C791">
      <w:pPr>
        <w:keepNext w:val="0"/>
        <w:keepLines w:val="0"/>
        <w:pageBreakBefore w:val="0"/>
        <w:kinsoku/>
        <w:wordWrap/>
        <w:overflowPunct/>
        <w:topLinePunct w:val="0"/>
        <w:autoSpaceDE/>
        <w:autoSpaceDN/>
        <w:bidi w:val="0"/>
        <w:adjustRightInd/>
        <w:spacing w:line="50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时间：</w:t>
      </w:r>
      <w:r>
        <w:rPr>
          <w:rFonts w:hint="eastAsia" w:ascii="宋体" w:hAnsi="宋体" w:eastAsia="宋体" w:cs="宋体"/>
          <w:color w:val="auto"/>
          <w:kern w:val="0"/>
          <w:sz w:val="24"/>
          <w:szCs w:val="24"/>
        </w:rPr>
        <w:t>202</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12</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13</w:t>
      </w:r>
      <w:r>
        <w:rPr>
          <w:rFonts w:hint="eastAsia" w:ascii="宋体" w:hAnsi="宋体" w:eastAsia="宋体" w:cs="宋体"/>
          <w:color w:val="auto"/>
          <w:kern w:val="0"/>
          <w:sz w:val="24"/>
          <w:szCs w:val="24"/>
        </w:rPr>
        <w:t>日至2025年</w:t>
      </w:r>
      <w:r>
        <w:rPr>
          <w:rFonts w:hint="eastAsia" w:ascii="宋体" w:hAnsi="宋体" w:eastAsia="宋体" w:cs="宋体"/>
          <w:color w:val="auto"/>
          <w:kern w:val="0"/>
          <w:sz w:val="24"/>
          <w:szCs w:val="24"/>
          <w:lang w:val="en-US" w:eastAsia="zh-CN"/>
        </w:rPr>
        <w:t>12</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19</w:t>
      </w:r>
      <w:r>
        <w:rPr>
          <w:rFonts w:hint="eastAsia" w:ascii="宋体" w:hAnsi="宋体" w:eastAsia="宋体" w:cs="宋体"/>
          <w:color w:val="auto"/>
          <w:kern w:val="0"/>
          <w:sz w:val="24"/>
          <w:szCs w:val="24"/>
        </w:rPr>
        <w:t>日，每天上午</w:t>
      </w:r>
      <w:r>
        <w:rPr>
          <w:rFonts w:hint="eastAsia" w:ascii="宋体" w:hAnsi="宋体" w:eastAsia="宋体" w:cs="宋体"/>
          <w:color w:val="auto"/>
          <w:kern w:val="0"/>
          <w:sz w:val="24"/>
          <w:szCs w:val="24"/>
          <w:lang w:val="en-US" w:eastAsia="zh-CN"/>
        </w:rPr>
        <w:t>09</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00</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00至12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00</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00，下午14</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00</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00至1</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00</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00（北京时间）</w:t>
      </w:r>
    </w:p>
    <w:p w14:paraId="53BAF432">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途径：</w:t>
      </w:r>
      <w:r>
        <w:rPr>
          <w:rFonts w:hint="eastAsia" w:ascii="宋体" w:hAnsi="宋体" w:eastAsia="宋体" w:cs="宋体"/>
          <w:color w:val="auto"/>
          <w:kern w:val="0"/>
          <w:sz w:val="24"/>
          <w:szCs w:val="24"/>
          <w:lang w:val="en-US" w:eastAsia="zh-CN"/>
        </w:rPr>
        <w:t>安康市高新区高新观澜8栋2单元801室</w:t>
      </w:r>
    </w:p>
    <w:p w14:paraId="4570B653">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方式：</w:t>
      </w:r>
      <w:r>
        <w:rPr>
          <w:rFonts w:hint="eastAsia" w:ascii="宋体" w:hAnsi="宋体" w:eastAsia="宋体" w:cs="宋体"/>
          <w:color w:val="auto"/>
          <w:kern w:val="0"/>
          <w:sz w:val="24"/>
          <w:szCs w:val="24"/>
          <w:lang w:val="en-US" w:eastAsia="zh-CN"/>
        </w:rPr>
        <w:t>现场</w:t>
      </w:r>
      <w:r>
        <w:rPr>
          <w:rFonts w:hint="eastAsia" w:ascii="宋体" w:hAnsi="宋体" w:eastAsia="宋体" w:cs="宋体"/>
          <w:color w:val="auto"/>
          <w:kern w:val="0"/>
          <w:sz w:val="24"/>
          <w:szCs w:val="24"/>
        </w:rPr>
        <w:t>获取</w:t>
      </w:r>
    </w:p>
    <w:p w14:paraId="56AF5789">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售价：0元</w:t>
      </w:r>
    </w:p>
    <w:p w14:paraId="6912260D">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b/>
          <w:bCs/>
          <w:color w:val="auto"/>
          <w:sz w:val="24"/>
          <w:szCs w:val="24"/>
        </w:rPr>
        <w:t>四、</w:t>
      </w:r>
      <w:r>
        <w:rPr>
          <w:rFonts w:hint="eastAsia" w:ascii="宋体" w:hAnsi="宋体" w:eastAsia="宋体" w:cs="宋体"/>
          <w:b/>
          <w:bCs/>
          <w:color w:val="auto"/>
          <w:kern w:val="0"/>
          <w:sz w:val="24"/>
          <w:szCs w:val="24"/>
        </w:rPr>
        <w:t>响应文件递交</w:t>
      </w:r>
    </w:p>
    <w:p w14:paraId="4148ACD1">
      <w:pPr>
        <w:keepNext w:val="0"/>
        <w:keepLines w:val="0"/>
        <w:pageBreakBefore w:val="0"/>
        <w:widowControl/>
        <w:tabs>
          <w:tab w:val="left" w:pos="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w:t>
      </w:r>
      <w:r>
        <w:rPr>
          <w:rFonts w:hint="eastAsia" w:ascii="宋体" w:hAnsi="宋体" w:eastAsia="宋体" w:cs="宋体"/>
          <w:color w:val="auto"/>
          <w:kern w:val="0"/>
          <w:sz w:val="24"/>
          <w:szCs w:val="24"/>
        </w:rPr>
        <w:t>截止时间：</w:t>
      </w:r>
      <w:r>
        <w:rPr>
          <w:rFonts w:hint="eastAsia" w:ascii="宋体" w:hAnsi="宋体" w:eastAsia="宋体" w:cs="宋体"/>
          <w:b w:val="0"/>
          <w:bCs w:val="0"/>
          <w:color w:val="auto"/>
          <w:kern w:val="0"/>
          <w:sz w:val="24"/>
          <w:szCs w:val="24"/>
        </w:rPr>
        <w:t>2025年</w:t>
      </w:r>
      <w:r>
        <w:rPr>
          <w:rFonts w:hint="eastAsia" w:ascii="宋体" w:hAnsi="宋体" w:cs="宋体"/>
          <w:b w:val="0"/>
          <w:bCs w:val="0"/>
          <w:color w:val="auto"/>
          <w:kern w:val="0"/>
          <w:sz w:val="24"/>
          <w:szCs w:val="24"/>
          <w:lang w:val="en-US" w:eastAsia="zh-CN"/>
        </w:rPr>
        <w:t>12</w:t>
      </w:r>
      <w:r>
        <w:rPr>
          <w:rFonts w:hint="eastAsia" w:ascii="宋体" w:hAnsi="宋体" w:eastAsia="宋体" w:cs="宋体"/>
          <w:b w:val="0"/>
          <w:bCs w:val="0"/>
          <w:color w:val="auto"/>
          <w:kern w:val="0"/>
          <w:sz w:val="24"/>
          <w:szCs w:val="24"/>
        </w:rPr>
        <w:t>月</w:t>
      </w:r>
      <w:r>
        <w:rPr>
          <w:rFonts w:hint="eastAsia" w:ascii="宋体" w:hAnsi="宋体" w:cs="宋体"/>
          <w:b w:val="0"/>
          <w:bCs w:val="0"/>
          <w:color w:val="auto"/>
          <w:kern w:val="0"/>
          <w:sz w:val="24"/>
          <w:szCs w:val="24"/>
          <w:lang w:val="en-US" w:eastAsia="zh-CN"/>
        </w:rPr>
        <w:t>24</w:t>
      </w:r>
      <w:r>
        <w:rPr>
          <w:rFonts w:hint="eastAsia" w:ascii="宋体" w:hAnsi="宋体" w:eastAsia="宋体" w:cs="宋体"/>
          <w:b w:val="0"/>
          <w:bCs w:val="0"/>
          <w:color w:val="auto"/>
          <w:kern w:val="0"/>
          <w:sz w:val="24"/>
          <w:szCs w:val="24"/>
        </w:rPr>
        <w:t>日</w:t>
      </w:r>
      <w:r>
        <w:rPr>
          <w:rFonts w:hint="eastAsia" w:ascii="宋体" w:hAnsi="宋体" w:cs="宋体"/>
          <w:b w:val="0"/>
          <w:bCs w:val="0"/>
          <w:color w:val="auto"/>
          <w:kern w:val="0"/>
          <w:sz w:val="24"/>
          <w:szCs w:val="24"/>
          <w:lang w:val="en-US" w:eastAsia="zh-CN"/>
        </w:rPr>
        <w:t>15</w:t>
      </w:r>
      <w:r>
        <w:rPr>
          <w:rFonts w:hint="eastAsia" w:ascii="宋体" w:hAnsi="宋体" w:eastAsia="宋体" w:cs="宋体"/>
          <w:b w:val="0"/>
          <w:bCs w:val="0"/>
          <w:color w:val="auto"/>
          <w:kern w:val="0"/>
          <w:sz w:val="24"/>
          <w:szCs w:val="24"/>
        </w:rPr>
        <w:t>时</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分</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秒</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北京时间</w:t>
      </w:r>
      <w:r>
        <w:rPr>
          <w:rFonts w:hint="eastAsia" w:ascii="宋体" w:hAnsi="宋体" w:eastAsia="宋体" w:cs="宋体"/>
          <w:b w:val="0"/>
          <w:bCs w:val="0"/>
          <w:color w:val="auto"/>
          <w:kern w:val="0"/>
          <w:sz w:val="24"/>
          <w:szCs w:val="24"/>
          <w:lang w:eastAsia="zh-CN"/>
        </w:rPr>
        <w:t>）</w:t>
      </w:r>
    </w:p>
    <w:p w14:paraId="762E8B9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地点：</w:t>
      </w:r>
      <w:r>
        <w:rPr>
          <w:rFonts w:hint="eastAsia" w:ascii="宋体" w:hAnsi="宋体" w:eastAsia="宋体" w:cs="宋体"/>
          <w:color w:val="auto"/>
          <w:kern w:val="0"/>
          <w:sz w:val="24"/>
          <w:szCs w:val="24"/>
          <w:lang w:val="en-US" w:eastAsia="zh-CN"/>
        </w:rPr>
        <w:t>安康市高新区高新观澜8栋2单元801室</w:t>
      </w:r>
    </w:p>
    <w:p w14:paraId="53F45FA8">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五、开启</w:t>
      </w:r>
    </w:p>
    <w:p w14:paraId="299FFC6E">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时间：2025年</w:t>
      </w:r>
      <w:r>
        <w:rPr>
          <w:rFonts w:hint="eastAsia" w:ascii="宋体" w:hAnsi="宋体" w:cs="宋体"/>
          <w:b w:val="0"/>
          <w:bCs w:val="0"/>
          <w:color w:val="auto"/>
          <w:kern w:val="0"/>
          <w:sz w:val="24"/>
          <w:szCs w:val="24"/>
          <w:lang w:val="en-US" w:eastAsia="zh-CN"/>
        </w:rPr>
        <w:t>12</w:t>
      </w:r>
      <w:r>
        <w:rPr>
          <w:rFonts w:hint="eastAsia" w:ascii="宋体" w:hAnsi="宋体" w:eastAsia="宋体" w:cs="宋体"/>
          <w:b w:val="0"/>
          <w:bCs w:val="0"/>
          <w:color w:val="auto"/>
          <w:kern w:val="0"/>
          <w:sz w:val="24"/>
          <w:szCs w:val="24"/>
        </w:rPr>
        <w:t>月</w:t>
      </w:r>
      <w:r>
        <w:rPr>
          <w:rFonts w:hint="eastAsia" w:ascii="宋体" w:hAnsi="宋体" w:cs="宋体"/>
          <w:b w:val="0"/>
          <w:bCs w:val="0"/>
          <w:color w:val="auto"/>
          <w:kern w:val="0"/>
          <w:sz w:val="24"/>
          <w:szCs w:val="24"/>
          <w:lang w:val="en-US" w:eastAsia="zh-CN"/>
        </w:rPr>
        <w:t>24</w:t>
      </w:r>
      <w:r>
        <w:rPr>
          <w:rFonts w:hint="eastAsia" w:ascii="宋体" w:hAnsi="宋体" w:eastAsia="宋体" w:cs="宋体"/>
          <w:b w:val="0"/>
          <w:bCs w:val="0"/>
          <w:color w:val="auto"/>
          <w:kern w:val="0"/>
          <w:sz w:val="24"/>
          <w:szCs w:val="24"/>
        </w:rPr>
        <w:t>日</w:t>
      </w:r>
      <w:r>
        <w:rPr>
          <w:rFonts w:hint="eastAsia" w:ascii="宋体" w:hAnsi="宋体" w:cs="宋体"/>
          <w:b w:val="0"/>
          <w:bCs w:val="0"/>
          <w:color w:val="auto"/>
          <w:kern w:val="0"/>
          <w:sz w:val="24"/>
          <w:szCs w:val="24"/>
          <w:lang w:val="en-US" w:eastAsia="zh-CN"/>
        </w:rPr>
        <w:t>15</w:t>
      </w:r>
      <w:r>
        <w:rPr>
          <w:rFonts w:hint="eastAsia" w:ascii="宋体" w:hAnsi="宋体" w:eastAsia="宋体" w:cs="宋体"/>
          <w:b w:val="0"/>
          <w:bCs w:val="0"/>
          <w:color w:val="auto"/>
          <w:kern w:val="0"/>
          <w:sz w:val="24"/>
          <w:szCs w:val="24"/>
        </w:rPr>
        <w:t>时</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分</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秒（北京时间）</w:t>
      </w:r>
    </w:p>
    <w:p w14:paraId="2EB9BD8A">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地点：</w:t>
      </w:r>
      <w:r>
        <w:rPr>
          <w:rFonts w:hint="eastAsia" w:ascii="宋体" w:hAnsi="宋体" w:eastAsia="宋体" w:cs="宋体"/>
          <w:color w:val="auto"/>
          <w:kern w:val="0"/>
          <w:sz w:val="24"/>
          <w:szCs w:val="24"/>
          <w:lang w:val="en-US" w:eastAsia="zh-CN"/>
        </w:rPr>
        <w:t>安康市高新区高新观澜8栋2单元801室</w:t>
      </w:r>
    </w:p>
    <w:p w14:paraId="475E5812">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0"/>
          <w:sz w:val="24"/>
          <w:szCs w:val="24"/>
          <w:lang w:val="en-US" w:eastAsia="zh-CN"/>
        </w:rPr>
        <w:t>六、</w:t>
      </w:r>
      <w:r>
        <w:rPr>
          <w:rFonts w:hint="eastAsia" w:ascii="宋体" w:hAnsi="宋体" w:eastAsia="宋体" w:cs="宋体"/>
          <w:b/>
          <w:bCs/>
          <w:color w:val="auto"/>
          <w:kern w:val="0"/>
          <w:sz w:val="24"/>
          <w:szCs w:val="24"/>
        </w:rPr>
        <w:t>公告期限：</w:t>
      </w:r>
      <w:r>
        <w:rPr>
          <w:rFonts w:hint="eastAsia" w:ascii="宋体" w:hAnsi="宋体" w:eastAsia="宋体" w:cs="宋体"/>
          <w:color w:val="auto"/>
          <w:kern w:val="0"/>
          <w:sz w:val="24"/>
          <w:szCs w:val="24"/>
        </w:rPr>
        <w:t>自本公告发布之日起</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个工作日</w:t>
      </w:r>
      <w:r>
        <w:rPr>
          <w:rFonts w:hint="eastAsia" w:ascii="宋体" w:hAnsi="宋体" w:eastAsia="宋体" w:cs="宋体"/>
          <w:color w:val="auto"/>
          <w:kern w:val="0"/>
          <w:sz w:val="24"/>
          <w:szCs w:val="24"/>
          <w:lang w:eastAsia="zh-CN"/>
        </w:rPr>
        <w:t>。</w:t>
      </w:r>
    </w:p>
    <w:p w14:paraId="59ED6E72">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七、其他补充事宜</w:t>
      </w:r>
    </w:p>
    <w:p w14:paraId="69ECE3F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获取须知：投标供应商请在文件获取时间以内将单位介绍信(备注经办人联系电话及电子邮箱)及身份证复印件加盖公章递交至安康尚昊招标代理有限公司(安康市高新区高新观澜8栋</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单元 801室，邮箱：365060958@qq.com)，确认完毕后采购代理机构将通过邮箱传送采购文件，请注意查收。</w:t>
      </w:r>
    </w:p>
    <w:p w14:paraId="5AD0C53D">
      <w:pPr>
        <w:pStyle w:val="52"/>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八</w:t>
      </w:r>
      <w:r>
        <w:rPr>
          <w:rFonts w:hint="eastAsia" w:ascii="宋体" w:hAnsi="宋体" w:eastAsia="宋体" w:cs="宋体"/>
          <w:b/>
          <w:bCs/>
          <w:color w:val="auto"/>
          <w:kern w:val="0"/>
          <w:sz w:val="24"/>
          <w:szCs w:val="24"/>
        </w:rPr>
        <w:t>、对本次</w:t>
      </w:r>
      <w:r>
        <w:rPr>
          <w:rFonts w:hint="eastAsia" w:ascii="宋体" w:hAnsi="宋体" w:eastAsia="宋体" w:cs="宋体"/>
          <w:b/>
          <w:bCs/>
          <w:color w:val="auto"/>
          <w:kern w:val="0"/>
          <w:sz w:val="24"/>
          <w:szCs w:val="24"/>
          <w:lang w:val="en-US" w:eastAsia="zh-CN"/>
        </w:rPr>
        <w:t>招标</w:t>
      </w:r>
      <w:r>
        <w:rPr>
          <w:rFonts w:hint="eastAsia" w:ascii="宋体" w:hAnsi="宋体" w:eastAsia="宋体" w:cs="宋体"/>
          <w:b/>
          <w:bCs/>
          <w:color w:val="auto"/>
          <w:kern w:val="0"/>
          <w:sz w:val="24"/>
          <w:szCs w:val="24"/>
        </w:rPr>
        <w:t>提出询问，请按以下方式联系</w:t>
      </w:r>
    </w:p>
    <w:p w14:paraId="003F2197">
      <w:pPr>
        <w:pStyle w:val="52"/>
        <w:keepNext w:val="0"/>
        <w:keepLines w:val="0"/>
        <w:pageBreakBefore w:val="0"/>
        <w:numPr>
          <w:ilvl w:val="0"/>
          <w:numId w:val="0"/>
        </w:numPr>
        <w:kinsoku/>
        <w:wordWrap/>
        <w:overflowPunct/>
        <w:topLinePunct w:val="0"/>
        <w:autoSpaceDE/>
        <w:autoSpaceDN/>
        <w:bidi w:val="0"/>
        <w:adjustRightInd/>
        <w:spacing w:line="440" w:lineRule="exact"/>
        <w:ind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采购人信息</w:t>
      </w:r>
    </w:p>
    <w:p w14:paraId="0199A732">
      <w:pPr>
        <w:pStyle w:val="52"/>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w:t>
      </w:r>
      <w:r>
        <w:rPr>
          <w:rFonts w:hint="eastAsia" w:ascii="宋体" w:hAnsi="宋体" w:cs="宋体"/>
          <w:color w:val="auto"/>
          <w:kern w:val="0"/>
          <w:sz w:val="24"/>
          <w:szCs w:val="24"/>
          <w:lang w:eastAsia="zh-CN"/>
        </w:rPr>
        <w:t>紫阳县人民法院</w:t>
      </w:r>
    </w:p>
    <w:p w14:paraId="119AB5C1">
      <w:pPr>
        <w:pStyle w:val="52"/>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0"/>
          <w:sz w:val="24"/>
          <w:szCs w:val="24"/>
          <w:lang w:val="en-US" w:eastAsia="zh-CN"/>
        </w:rPr>
        <w:t>地    址：</w:t>
      </w:r>
      <w:r>
        <w:rPr>
          <w:rFonts w:hint="eastAsia" w:ascii="宋体" w:hAnsi="宋体" w:eastAsia="宋体" w:cs="宋体"/>
          <w:b w:val="0"/>
          <w:bCs w:val="0"/>
          <w:color w:val="auto"/>
          <w:kern w:val="2"/>
          <w:sz w:val="24"/>
          <w:szCs w:val="24"/>
          <w:lang w:val="en-US" w:eastAsia="zh-CN" w:bidi="ar-SA"/>
        </w:rPr>
        <w:t>陕西省安康市紫阳县城关镇环城路</w:t>
      </w:r>
    </w:p>
    <w:p w14:paraId="667C94D2">
      <w:pPr>
        <w:pStyle w:val="52"/>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w:t>
      </w:r>
      <w:r>
        <w:rPr>
          <w:rFonts w:hint="eastAsia" w:ascii="宋体" w:hAnsi="宋体" w:cs="宋体"/>
          <w:color w:val="auto"/>
          <w:kern w:val="0"/>
          <w:sz w:val="24"/>
          <w:szCs w:val="24"/>
          <w:lang w:val="en-US" w:eastAsia="zh-CN"/>
        </w:rPr>
        <w:t>15929092282</w:t>
      </w:r>
    </w:p>
    <w:p w14:paraId="26E615A0">
      <w:pPr>
        <w:pStyle w:val="52"/>
        <w:keepNext w:val="0"/>
        <w:keepLines w:val="0"/>
        <w:pageBreakBefore w:val="0"/>
        <w:numPr>
          <w:ilvl w:val="0"/>
          <w:numId w:val="0"/>
        </w:numPr>
        <w:kinsoku/>
        <w:wordWrap/>
        <w:overflowPunct/>
        <w:topLinePunct w:val="0"/>
        <w:autoSpaceDE/>
        <w:autoSpaceDN/>
        <w:bidi w:val="0"/>
        <w:adjustRightInd/>
        <w:spacing w:line="440" w:lineRule="exact"/>
        <w:ind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采购代理机构信息</w:t>
      </w:r>
    </w:p>
    <w:p w14:paraId="726CFAF9">
      <w:pPr>
        <w:pStyle w:val="52"/>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    称：安康尚昊招标代理有限公司</w:t>
      </w:r>
    </w:p>
    <w:p w14:paraId="0736E055">
      <w:pPr>
        <w:pStyle w:val="52"/>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    址：</w:t>
      </w:r>
      <w:r>
        <w:rPr>
          <w:rFonts w:hint="eastAsia" w:ascii="宋体" w:hAnsi="宋体" w:eastAsia="宋体" w:cs="宋体"/>
          <w:color w:val="auto"/>
          <w:kern w:val="0"/>
          <w:sz w:val="24"/>
          <w:szCs w:val="24"/>
          <w:lang w:eastAsia="zh-CN"/>
        </w:rPr>
        <w:t>安康市高新区高新观澜8栋</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单元801室</w:t>
      </w:r>
    </w:p>
    <w:p w14:paraId="06768E1C">
      <w:pPr>
        <w:pStyle w:val="52"/>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13991519725</w:t>
      </w:r>
    </w:p>
    <w:p w14:paraId="360EA2D9">
      <w:pPr>
        <w:pStyle w:val="52"/>
        <w:keepNext w:val="0"/>
        <w:keepLines w:val="0"/>
        <w:pageBreakBefore w:val="0"/>
        <w:numPr>
          <w:ilvl w:val="0"/>
          <w:numId w:val="1"/>
        </w:numPr>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项目联系方式</w:t>
      </w:r>
    </w:p>
    <w:p w14:paraId="32D8C0BC">
      <w:pPr>
        <w:pStyle w:val="52"/>
        <w:keepNext w:val="0"/>
        <w:keepLines w:val="0"/>
        <w:pageBreakBefore w:val="0"/>
        <w:numPr>
          <w:ilvl w:val="0"/>
          <w:numId w:val="0"/>
        </w:numPr>
        <w:kinsoku/>
        <w:wordWrap/>
        <w:overflowPunct/>
        <w:topLinePunct w:val="0"/>
        <w:autoSpaceDE/>
        <w:autoSpaceDN/>
        <w:bidi w:val="0"/>
        <w:adjustRightInd/>
        <w:spacing w:line="440" w:lineRule="exact"/>
        <w:ind w:leftChars="200" w:right="0" w:right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项目联系人：郑工</w:t>
      </w:r>
    </w:p>
    <w:p w14:paraId="495A3798">
      <w:pPr>
        <w:pStyle w:val="52"/>
        <w:keepNext w:val="0"/>
        <w:keepLines w:val="0"/>
        <w:pageBreakBefore w:val="0"/>
        <w:numPr>
          <w:ilvl w:val="0"/>
          <w:numId w:val="0"/>
        </w:numPr>
        <w:kinsoku/>
        <w:wordWrap/>
        <w:overflowPunct/>
        <w:topLinePunct w:val="0"/>
        <w:autoSpaceDE/>
        <w:autoSpaceDN/>
        <w:bidi w:val="0"/>
        <w:adjustRightInd/>
        <w:spacing w:line="440" w:lineRule="exact"/>
        <w:ind w:leftChars="200" w:right="0" w:right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电话：13991519725</w:t>
      </w:r>
    </w:p>
    <w:p w14:paraId="477E6A3A">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p>
    <w:p w14:paraId="4F0DB04E">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p>
    <w:p w14:paraId="1946EA07">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p>
    <w:p w14:paraId="2833B23A">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安康尚昊招标代理有限公司</w:t>
      </w:r>
    </w:p>
    <w:p w14:paraId="0D24D2B3">
      <w:pPr>
        <w:pStyle w:val="12"/>
        <w:rPr>
          <w:rFonts w:ascii="宋体" w:hAnsi="宋体" w:cs="宋体"/>
          <w:color w:val="auto"/>
          <w:kern w:val="0"/>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2025</w:t>
      </w:r>
      <w:r>
        <w:rPr>
          <w:rFonts w:hint="eastAsia" w:ascii="宋体" w:hAnsi="宋体" w:eastAsia="宋体" w:cs="宋体"/>
          <w:color w:val="auto"/>
          <w:kern w:val="0"/>
          <w:sz w:val="24"/>
          <w:szCs w:val="24"/>
          <w:lang w:val="en-US" w:eastAsia="zh-CN" w:bidi="ar-SA"/>
        </w:rPr>
        <w:t>年12月</w:t>
      </w:r>
      <w:r>
        <w:rPr>
          <w:rFonts w:hint="eastAsia" w:ascii="宋体" w:hAnsi="宋体" w:cs="宋体"/>
          <w:color w:val="auto"/>
          <w:kern w:val="0"/>
          <w:sz w:val="24"/>
          <w:szCs w:val="24"/>
          <w:lang w:val="en-US" w:eastAsia="zh-CN" w:bidi="ar-SA"/>
        </w:rPr>
        <w:t>12</w:t>
      </w:r>
      <w:r>
        <w:rPr>
          <w:rFonts w:hint="eastAsia" w:ascii="宋体" w:hAnsi="宋体" w:eastAsia="宋体" w:cs="宋体"/>
          <w:color w:val="auto"/>
          <w:kern w:val="0"/>
          <w:sz w:val="24"/>
          <w:szCs w:val="24"/>
          <w:lang w:val="en-US" w:eastAsia="zh-CN" w:bidi="ar-SA"/>
        </w:rPr>
        <w:t>日</w:t>
      </w:r>
    </w:p>
    <w:p w14:paraId="69D10D53">
      <w:pPr>
        <w:pStyle w:val="31"/>
        <w:rPr>
          <w:rFonts w:ascii="宋体" w:hAnsi="宋体" w:cs="宋体"/>
          <w:color w:val="auto"/>
          <w:kern w:val="0"/>
          <w:sz w:val="24"/>
          <w:szCs w:val="24"/>
        </w:rPr>
      </w:pPr>
    </w:p>
    <w:p w14:paraId="53C75B77">
      <w:pPr>
        <w:pStyle w:val="2"/>
        <w:spacing w:line="360" w:lineRule="auto"/>
        <w:rPr>
          <w:rFonts w:hint="eastAsia"/>
          <w:color w:val="auto"/>
        </w:rPr>
        <w:sectPr>
          <w:headerReference r:id="rId11" w:type="first"/>
          <w:footerReference r:id="rId13" w:type="first"/>
          <w:headerReference r:id="rId10" w:type="default"/>
          <w:footerReference r:id="rId12" w:type="default"/>
          <w:pgSz w:w="11906" w:h="16838"/>
          <w:pgMar w:top="1417" w:right="1417" w:bottom="1417" w:left="1417" w:header="1134" w:footer="992" w:gutter="0"/>
          <w:pgBorders>
            <w:top w:val="none" w:sz="0" w:space="0"/>
            <w:left w:val="none" w:sz="0" w:space="0"/>
            <w:bottom w:val="none" w:sz="0" w:space="0"/>
            <w:right w:val="none" w:sz="0" w:space="0"/>
          </w:pgBorders>
          <w:pgNumType w:fmt="decimal" w:start="1"/>
          <w:cols w:space="0" w:num="1"/>
          <w:titlePg/>
          <w:docGrid w:type="lines" w:linePitch="326" w:charSpace="0"/>
        </w:sectPr>
      </w:pPr>
      <w:bookmarkStart w:id="17" w:name="_Toc19543334"/>
    </w:p>
    <w:p w14:paraId="650134D7">
      <w:pPr>
        <w:pStyle w:val="2"/>
        <w:spacing w:line="360" w:lineRule="auto"/>
        <w:rPr>
          <w:rFonts w:ascii="宋体" w:hAnsi="宋体" w:cs="宋体"/>
          <w:color w:val="auto"/>
        </w:rPr>
      </w:pPr>
      <w:bookmarkStart w:id="18" w:name="_Toc28381"/>
      <w:r>
        <w:rPr>
          <w:rFonts w:hint="eastAsia"/>
          <w:color w:val="auto"/>
        </w:rPr>
        <w:t>第二部分</w:t>
      </w:r>
      <w:r>
        <w:rPr>
          <w:color w:val="auto"/>
        </w:rPr>
        <w:t xml:space="preserve">  </w:t>
      </w:r>
      <w:r>
        <w:rPr>
          <w:rFonts w:hint="eastAsia"/>
          <w:color w:val="auto"/>
        </w:rPr>
        <w:t>供应商须知前附表</w:t>
      </w:r>
      <w:bookmarkEnd w:id="6"/>
      <w:bookmarkEnd w:id="7"/>
      <w:bookmarkEnd w:id="12"/>
      <w:bookmarkEnd w:id="13"/>
      <w:bookmarkEnd w:id="14"/>
      <w:bookmarkEnd w:id="15"/>
      <w:bookmarkEnd w:id="16"/>
      <w:bookmarkEnd w:id="17"/>
      <w:bookmarkEnd w:id="18"/>
    </w:p>
    <w:tbl>
      <w:tblPr>
        <w:tblStyle w:val="84"/>
        <w:tblW w:w="9643" w:type="dxa"/>
        <w:jc w:val="center"/>
        <w:tblLayout w:type="fixed"/>
        <w:tblCellMar>
          <w:top w:w="147" w:type="dxa"/>
          <w:left w:w="108" w:type="dxa"/>
          <w:bottom w:w="56" w:type="dxa"/>
          <w:right w:w="0" w:type="dxa"/>
        </w:tblCellMar>
      </w:tblPr>
      <w:tblGrid>
        <w:gridCol w:w="704"/>
        <w:gridCol w:w="1990"/>
        <w:gridCol w:w="6949"/>
      </w:tblGrid>
      <w:tr w14:paraId="17B0B565">
        <w:tblPrEx>
          <w:tblCellMar>
            <w:top w:w="147" w:type="dxa"/>
            <w:left w:w="108" w:type="dxa"/>
            <w:bottom w:w="56" w:type="dxa"/>
            <w:right w:w="0" w:type="dxa"/>
          </w:tblCellMar>
        </w:tblPrEx>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65E87AC">
            <w:pPr>
              <w:keepNext w:val="0"/>
              <w:keepLines w:val="0"/>
              <w:pageBreakBefore w:val="0"/>
              <w:kinsoku/>
              <w:wordWrap/>
              <w:overflowPunct/>
              <w:topLinePunct w:val="0"/>
              <w:autoSpaceDE/>
              <w:autoSpaceDN/>
              <w:bidi w:val="0"/>
              <w:spacing w:line="400" w:lineRule="exact"/>
              <w:ind w:left="0" w:right="0"/>
              <w:jc w:val="center"/>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672193B2">
            <w:pPr>
              <w:keepNext w:val="0"/>
              <w:keepLines w:val="0"/>
              <w:pageBreakBefore w:val="0"/>
              <w:kinsoku/>
              <w:wordWrap/>
              <w:overflowPunct/>
              <w:topLinePunct w:val="0"/>
              <w:autoSpaceDE/>
              <w:autoSpaceDN/>
              <w:bidi w:val="0"/>
              <w:spacing w:line="400" w:lineRule="exact"/>
              <w:ind w:left="0" w:right="0"/>
              <w:jc w:val="center"/>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内 容</w:t>
            </w:r>
          </w:p>
        </w:tc>
        <w:tc>
          <w:tcPr>
            <w:tcW w:w="6949" w:type="dxa"/>
            <w:tcBorders>
              <w:top w:val="single" w:color="000000" w:sz="4" w:space="0"/>
              <w:left w:val="single" w:color="000000" w:sz="4" w:space="0"/>
              <w:bottom w:val="single" w:color="000000" w:sz="4" w:space="0"/>
              <w:right w:val="single" w:color="000000" w:sz="4" w:space="0"/>
            </w:tcBorders>
            <w:vAlign w:val="center"/>
          </w:tcPr>
          <w:p w14:paraId="2BE513BA">
            <w:pPr>
              <w:keepNext w:val="0"/>
              <w:keepLines w:val="0"/>
              <w:pageBreakBefore w:val="0"/>
              <w:kinsoku/>
              <w:wordWrap/>
              <w:overflowPunct/>
              <w:topLinePunct w:val="0"/>
              <w:autoSpaceDE/>
              <w:autoSpaceDN/>
              <w:bidi w:val="0"/>
              <w:spacing w:line="400" w:lineRule="exact"/>
              <w:ind w:left="0" w:right="0" w:firstLine="1680" w:firstLineChars="700"/>
              <w:jc w:val="both"/>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说明与要求</w:t>
            </w:r>
          </w:p>
        </w:tc>
      </w:tr>
      <w:tr w14:paraId="0018CEAA">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9239A72">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12E9450">
            <w:pPr>
              <w:keepNext w:val="0"/>
              <w:keepLines w:val="0"/>
              <w:pageBreakBefore w:val="0"/>
              <w:kinsoku/>
              <w:wordWrap/>
              <w:overflowPunct/>
              <w:topLinePunct w:val="0"/>
              <w:autoSpaceDE/>
              <w:autoSpaceDN/>
              <w:bidi w:val="0"/>
              <w:spacing w:line="400" w:lineRule="exact"/>
              <w:ind w:left="0" w:right="0"/>
              <w:jc w:val="center"/>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采购人</w:t>
            </w:r>
          </w:p>
        </w:tc>
        <w:tc>
          <w:tcPr>
            <w:tcW w:w="6949" w:type="dxa"/>
            <w:tcBorders>
              <w:top w:val="single" w:color="000000" w:sz="4" w:space="0"/>
              <w:left w:val="single" w:color="000000" w:sz="4" w:space="0"/>
              <w:bottom w:val="single" w:color="000000" w:sz="4" w:space="0"/>
              <w:right w:val="single" w:color="000000" w:sz="4" w:space="0"/>
            </w:tcBorders>
            <w:vAlign w:val="center"/>
          </w:tcPr>
          <w:p w14:paraId="37714B5D">
            <w:pPr>
              <w:keepNext w:val="0"/>
              <w:keepLines w:val="0"/>
              <w:pageBreakBefore w:val="0"/>
              <w:kinsoku/>
              <w:wordWrap/>
              <w:overflowPunct/>
              <w:topLinePunct w:val="0"/>
              <w:autoSpaceDE/>
              <w:autoSpaceDN/>
              <w:bidi w:val="0"/>
              <w:spacing w:line="400" w:lineRule="exact"/>
              <w:ind w:left="0" w:right="0"/>
              <w:textAlignment w:val="auto"/>
              <w:rPr>
                <w:rFonts w:hint="default" w:asciiTheme="minorEastAsia" w:hAnsiTheme="minorEastAsia" w:eastAsiaTheme="minorEastAsia"/>
                <w:color w:val="auto"/>
                <w:sz w:val="24"/>
                <w:szCs w:val="24"/>
                <w:lang w:val="en-US" w:eastAsia="zh-CN"/>
              </w:rPr>
            </w:pPr>
            <w:r>
              <w:rPr>
                <w:rFonts w:hint="eastAsia" w:ascii="宋体" w:hAnsi="宋体" w:cs="宋体"/>
                <w:color w:val="auto"/>
                <w:kern w:val="0"/>
                <w:sz w:val="24"/>
                <w:szCs w:val="24"/>
                <w:lang w:eastAsia="zh-CN"/>
              </w:rPr>
              <w:t>紫阳县人民法院</w:t>
            </w:r>
          </w:p>
        </w:tc>
      </w:tr>
      <w:tr w14:paraId="7231993B">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F55F1A2">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C72F245">
            <w:pPr>
              <w:keepNext w:val="0"/>
              <w:keepLines w:val="0"/>
              <w:pageBreakBefore w:val="0"/>
              <w:kinsoku/>
              <w:wordWrap/>
              <w:overflowPunct/>
              <w:topLinePunct w:val="0"/>
              <w:autoSpaceDE/>
              <w:autoSpaceDN/>
              <w:bidi w:val="0"/>
              <w:spacing w:line="400" w:lineRule="exact"/>
              <w:ind w:left="0" w:right="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代理机构</w:t>
            </w:r>
          </w:p>
        </w:tc>
        <w:tc>
          <w:tcPr>
            <w:tcW w:w="6949" w:type="dxa"/>
            <w:tcBorders>
              <w:top w:val="single" w:color="000000" w:sz="4" w:space="0"/>
              <w:left w:val="single" w:color="000000" w:sz="4" w:space="0"/>
              <w:bottom w:val="single" w:color="000000" w:sz="4" w:space="0"/>
              <w:right w:val="single" w:color="000000" w:sz="4" w:space="0"/>
            </w:tcBorders>
            <w:vAlign w:val="center"/>
          </w:tcPr>
          <w:p w14:paraId="7F5E9678">
            <w:pPr>
              <w:keepNext w:val="0"/>
              <w:keepLines w:val="0"/>
              <w:pageBreakBefore w:val="0"/>
              <w:kinsoku/>
              <w:wordWrap/>
              <w:overflowPunct/>
              <w:topLinePunct w:val="0"/>
              <w:autoSpaceDE/>
              <w:autoSpaceDN/>
              <w:bidi w:val="0"/>
              <w:spacing w:line="400" w:lineRule="exact"/>
              <w:ind w:left="0" w:right="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安康</w:t>
            </w:r>
            <w:r>
              <w:rPr>
                <w:rFonts w:asciiTheme="minorEastAsia" w:hAnsiTheme="minorEastAsia" w:eastAsiaTheme="minorEastAsia"/>
                <w:color w:val="auto"/>
                <w:sz w:val="24"/>
                <w:szCs w:val="24"/>
              </w:rPr>
              <w:t>尚昊招标代理有限公司</w:t>
            </w:r>
          </w:p>
        </w:tc>
      </w:tr>
      <w:tr w14:paraId="05AE1F9D">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A78E4A8">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B8D3314">
            <w:pPr>
              <w:keepNext w:val="0"/>
              <w:keepLines w:val="0"/>
              <w:pageBreakBefore w:val="0"/>
              <w:kinsoku/>
              <w:wordWrap/>
              <w:overflowPunct/>
              <w:topLinePunct w:val="0"/>
              <w:autoSpaceDE/>
              <w:autoSpaceDN/>
              <w:bidi w:val="0"/>
              <w:spacing w:line="400" w:lineRule="exact"/>
              <w:ind w:left="0" w:right="0"/>
              <w:jc w:val="center"/>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项目名称</w:t>
            </w:r>
          </w:p>
        </w:tc>
        <w:tc>
          <w:tcPr>
            <w:tcW w:w="6949" w:type="dxa"/>
            <w:tcBorders>
              <w:top w:val="single" w:color="000000" w:sz="4" w:space="0"/>
              <w:left w:val="single" w:color="000000" w:sz="4" w:space="0"/>
              <w:bottom w:val="single" w:color="000000" w:sz="4" w:space="0"/>
              <w:right w:val="single" w:color="000000" w:sz="4" w:space="0"/>
            </w:tcBorders>
            <w:vAlign w:val="center"/>
          </w:tcPr>
          <w:p w14:paraId="43F6FC3A">
            <w:pPr>
              <w:pStyle w:val="83"/>
              <w:keepNext w:val="0"/>
              <w:keepLines w:val="0"/>
              <w:pageBreakBefore w:val="0"/>
              <w:widowControl/>
              <w:kinsoku/>
              <w:wordWrap/>
              <w:overflowPunct/>
              <w:topLinePunct w:val="0"/>
              <w:autoSpaceDE/>
              <w:autoSpaceDN/>
              <w:bidi w:val="0"/>
              <w:snapToGrid w:val="0"/>
              <w:spacing w:line="400" w:lineRule="exact"/>
              <w:ind w:left="0" w:right="0" w:firstLine="0" w:firstLineChars="0"/>
              <w:jc w:val="left"/>
              <w:textAlignment w:val="auto"/>
              <w:rPr>
                <w:rFonts w:asciiTheme="minorEastAsia" w:hAnsiTheme="minorEastAsia" w:eastAsiaTheme="minorEastAsia"/>
                <w:color w:val="auto"/>
                <w:sz w:val="24"/>
                <w:szCs w:val="24"/>
              </w:rPr>
            </w:pPr>
            <w:r>
              <w:rPr>
                <w:rFonts w:ascii="宋体" w:hAnsi="宋体" w:cs="Times New Roman"/>
                <w:color w:val="auto"/>
                <w:sz w:val="24"/>
                <w:szCs w:val="24"/>
              </w:rPr>
              <mc:AlternateContent>
                <mc:Choice Requires="wps">
                  <w:drawing>
                    <wp:anchor distT="0" distB="0" distL="114300" distR="114300" simplePos="0" relativeHeight="251661312"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017AE5FE">
                                  <w:pPr>
                                    <w:pStyle w:val="23"/>
                                  </w:pPr>
                                  <w:r>
                                    <w:rPr>
                                      <w:rFonts w:hint="eastAsia"/>
                                    </w:rPr>
                                    <w:t xml:space="preserve">第 </w:t>
                                  </w:r>
                                  <w:r>
                                    <w:fldChar w:fldCharType="begin"/>
                                  </w:r>
                                  <w:r>
                                    <w:instrText xml:space="preserve"> PAGE  \* MERGEFORMAT </w:instrText>
                                  </w:r>
                                  <w:r>
                                    <w:fldChar w:fldCharType="separate"/>
                                  </w:r>
                                  <w:r>
                                    <w:t>4</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1312;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017AE5FE">
                            <w:pPr>
                              <w:pStyle w:val="23"/>
                            </w:pPr>
                            <w:r>
                              <w:rPr>
                                <w:rFonts w:hint="eastAsia"/>
                              </w:rPr>
                              <w:t xml:space="preserve">第 </w:t>
                            </w:r>
                            <w:r>
                              <w:fldChar w:fldCharType="begin"/>
                            </w:r>
                            <w:r>
                              <w:instrText xml:space="preserve"> PAGE  \* MERGEFORMAT </w:instrText>
                            </w:r>
                            <w:r>
                              <w:fldChar w:fldCharType="separate"/>
                            </w:r>
                            <w:r>
                              <w:t>4</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Times New Roman"/>
                <w:color w:val="auto"/>
                <w:sz w:val="24"/>
                <w:szCs w:val="24"/>
                <w:lang w:eastAsia="zh-CN"/>
              </w:rPr>
              <w:t>院机关第一审判庭系统升级改造项目</w:t>
            </w:r>
            <w:r>
              <w:rPr>
                <w:rFonts w:hint="eastAsia" w:ascii="宋体" w:hAnsi="宋体" w:cs="Times New Roman"/>
                <w:color w:val="auto"/>
                <w:sz w:val="24"/>
                <w:szCs w:val="24"/>
              </w:rPr>
              <w:t xml:space="preserve"> </w:t>
            </w:r>
          </w:p>
        </w:tc>
      </w:tr>
      <w:tr w14:paraId="723BBCBE">
        <w:tblPrEx>
          <w:tblCellMar>
            <w:top w:w="147" w:type="dxa"/>
            <w:left w:w="108" w:type="dxa"/>
            <w:bottom w:w="56" w:type="dxa"/>
            <w:right w:w="0" w:type="dxa"/>
          </w:tblCellMar>
        </w:tblPrEx>
        <w:trPr>
          <w:trHeight w:val="49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A42848D">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144B4F4">
            <w:pPr>
              <w:keepNext w:val="0"/>
              <w:keepLines w:val="0"/>
              <w:pageBreakBefore w:val="0"/>
              <w:kinsoku/>
              <w:wordWrap/>
              <w:overflowPunct/>
              <w:topLinePunct w:val="0"/>
              <w:autoSpaceDE/>
              <w:autoSpaceDN/>
              <w:bidi w:val="0"/>
              <w:spacing w:line="400" w:lineRule="exact"/>
              <w:ind w:left="0" w:right="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采购</w:t>
            </w:r>
            <w:r>
              <w:rPr>
                <w:rFonts w:asciiTheme="minorEastAsia" w:hAnsiTheme="minorEastAsia" w:eastAsiaTheme="minorEastAsia"/>
                <w:color w:val="auto"/>
                <w:sz w:val="24"/>
                <w:szCs w:val="24"/>
              </w:rPr>
              <w:t>内容</w:t>
            </w:r>
          </w:p>
        </w:tc>
        <w:tc>
          <w:tcPr>
            <w:tcW w:w="6949" w:type="dxa"/>
            <w:tcBorders>
              <w:top w:val="single" w:color="000000" w:sz="4" w:space="0"/>
              <w:left w:val="single" w:color="000000" w:sz="4" w:space="0"/>
              <w:bottom w:val="single" w:color="000000" w:sz="4" w:space="0"/>
              <w:right w:val="single" w:color="000000" w:sz="4" w:space="0"/>
            </w:tcBorders>
          </w:tcPr>
          <w:p w14:paraId="7E4FB3DE">
            <w:pPr>
              <w:keepNext w:val="0"/>
              <w:keepLines w:val="0"/>
              <w:pageBreakBefore w:val="0"/>
              <w:widowControl/>
              <w:tabs>
                <w:tab w:val="left" w:pos="1620"/>
              </w:tabs>
              <w:kinsoku/>
              <w:wordWrap/>
              <w:overflowPunct/>
              <w:topLinePunct w:val="0"/>
              <w:autoSpaceDE/>
              <w:autoSpaceDN/>
              <w:bidi w:val="0"/>
              <w:snapToGrid w:val="0"/>
              <w:spacing w:line="400" w:lineRule="exact"/>
              <w:ind w:left="0" w:right="0"/>
              <w:textAlignment w:val="auto"/>
              <w:rPr>
                <w:rFonts w:cs="宋体" w:asciiTheme="minorEastAsia" w:hAnsiTheme="minorEastAsia" w:eastAsiaTheme="minorEastAsia"/>
                <w:color w:val="auto"/>
                <w:kern w:val="0"/>
                <w:sz w:val="24"/>
                <w:szCs w:val="24"/>
              </w:rPr>
            </w:pPr>
            <w:r>
              <w:rPr>
                <w:rFonts w:hint="eastAsia" w:ascii="宋体" w:hAnsi="宋体" w:cs="宋体"/>
                <w:color w:val="auto"/>
                <w:kern w:val="0"/>
                <w:sz w:val="24"/>
                <w:szCs w:val="24"/>
                <w:lang w:eastAsia="zh-CN"/>
              </w:rPr>
              <w:t>院机关第一审判庭系统升级改造项目</w:t>
            </w:r>
            <w:r>
              <w:rPr>
                <w:rFonts w:hint="eastAsia" w:ascii="宋体" w:hAnsi="宋体" w:cs="宋体"/>
                <w:color w:val="auto"/>
                <w:kern w:val="0"/>
                <w:sz w:val="24"/>
                <w:szCs w:val="24"/>
              </w:rPr>
              <w:t>，预算</w:t>
            </w:r>
            <w:r>
              <w:rPr>
                <w:rFonts w:hint="eastAsia" w:ascii="宋体" w:hAnsi="宋体" w:cs="宋体"/>
                <w:color w:val="auto"/>
                <w:kern w:val="0"/>
                <w:sz w:val="24"/>
                <w:szCs w:val="24"/>
                <w:lang w:val="en-US" w:eastAsia="zh-CN"/>
              </w:rPr>
              <w:t>299600.00元，</w:t>
            </w:r>
            <w:r>
              <w:rPr>
                <w:rFonts w:hint="eastAsia" w:ascii="宋体" w:hAnsi="宋体" w:cs="宋体"/>
                <w:color w:val="auto"/>
                <w:kern w:val="0"/>
                <w:sz w:val="24"/>
                <w:szCs w:val="24"/>
              </w:rPr>
              <w:t>采购内容详见</w:t>
            </w:r>
            <w:r>
              <w:rPr>
                <w:rFonts w:hint="eastAsia" w:ascii="宋体" w:hAnsi="宋体" w:cs="宋体"/>
                <w:color w:val="auto"/>
                <w:kern w:val="0"/>
                <w:sz w:val="24"/>
                <w:szCs w:val="24"/>
                <w:lang w:val="en-US" w:eastAsia="zh-CN"/>
              </w:rPr>
              <w:t>磋商文件</w:t>
            </w:r>
            <w:r>
              <w:rPr>
                <w:rFonts w:hint="eastAsia" w:ascii="宋体" w:hAnsi="宋体" w:cs="宋体"/>
                <w:color w:val="auto"/>
                <w:kern w:val="0"/>
                <w:sz w:val="24"/>
                <w:szCs w:val="24"/>
              </w:rPr>
              <w:t>第五部分采购内容及要求</w:t>
            </w:r>
            <w:r>
              <w:rPr>
                <w:rFonts w:hint="eastAsia" w:ascii="宋体" w:hAnsi="宋体" w:cs="宋体"/>
                <w:color w:val="auto"/>
                <w:kern w:val="0"/>
                <w:sz w:val="24"/>
                <w:szCs w:val="24"/>
                <w:lang w:eastAsia="zh-CN"/>
              </w:rPr>
              <w:t>。</w:t>
            </w:r>
          </w:p>
        </w:tc>
      </w:tr>
      <w:tr w14:paraId="79ABE1C1">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993384B">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EAEEE8A">
            <w:pPr>
              <w:keepNext w:val="0"/>
              <w:keepLines w:val="0"/>
              <w:pageBreakBefore w:val="0"/>
              <w:kinsoku/>
              <w:wordWrap/>
              <w:overflowPunct/>
              <w:topLinePunct w:val="0"/>
              <w:autoSpaceDE/>
              <w:autoSpaceDN/>
              <w:bidi w:val="0"/>
              <w:spacing w:line="400" w:lineRule="exact"/>
              <w:ind w:left="0" w:right="0"/>
              <w:jc w:val="center"/>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预算金额</w:t>
            </w:r>
          </w:p>
        </w:tc>
        <w:tc>
          <w:tcPr>
            <w:tcW w:w="6949" w:type="dxa"/>
            <w:tcBorders>
              <w:top w:val="single" w:color="000000" w:sz="4" w:space="0"/>
              <w:left w:val="single" w:color="000000" w:sz="4" w:space="0"/>
              <w:bottom w:val="single" w:color="000000" w:sz="4" w:space="0"/>
              <w:right w:val="single" w:color="000000" w:sz="4" w:space="0"/>
            </w:tcBorders>
          </w:tcPr>
          <w:p w14:paraId="30B01CF0">
            <w:pPr>
              <w:keepNext w:val="0"/>
              <w:keepLines w:val="0"/>
              <w:pageBreakBefore w:val="0"/>
              <w:kinsoku/>
              <w:wordWrap/>
              <w:overflowPunct/>
              <w:topLinePunct w:val="0"/>
              <w:autoSpaceDE/>
              <w:autoSpaceDN/>
              <w:bidi w:val="0"/>
              <w:spacing w:line="400" w:lineRule="exact"/>
              <w:ind w:left="0" w:right="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299600.00元</w:t>
            </w:r>
          </w:p>
        </w:tc>
      </w:tr>
      <w:tr w14:paraId="05CD3605">
        <w:trPr>
          <w:trHeight w:val="1091"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B1C0775">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5B5B9DB">
            <w:pPr>
              <w:keepNext w:val="0"/>
              <w:keepLines w:val="0"/>
              <w:pageBreakBefore w:val="0"/>
              <w:widowControl/>
              <w:tabs>
                <w:tab w:val="left" w:pos="1620"/>
              </w:tabs>
              <w:kinsoku/>
              <w:wordWrap/>
              <w:overflowPunct/>
              <w:topLinePunct w:val="0"/>
              <w:autoSpaceDE/>
              <w:autoSpaceDN/>
              <w:bidi w:val="0"/>
              <w:snapToGrid w:val="0"/>
              <w:spacing w:line="400" w:lineRule="exact"/>
              <w:ind w:left="0" w:right="0"/>
              <w:jc w:val="center"/>
              <w:textAlignment w:val="auto"/>
              <w:rPr>
                <w:rFonts w:cs="宋体" w:asciiTheme="minorEastAsia" w:hAnsiTheme="minorEastAsia" w:eastAsiaTheme="minorEastAsia"/>
                <w:color w:val="auto"/>
                <w:kern w:val="0"/>
                <w:sz w:val="24"/>
                <w:szCs w:val="24"/>
              </w:rPr>
            </w:pPr>
            <w:r>
              <w:rPr>
                <w:rFonts w:hint="eastAsia" w:ascii="宋体" w:hAnsi="宋体" w:cs="宋体"/>
                <w:color w:val="auto"/>
                <w:kern w:val="0"/>
                <w:sz w:val="24"/>
                <w:szCs w:val="24"/>
                <w:lang w:val="en-US" w:eastAsia="zh-CN"/>
              </w:rPr>
              <w:t>合同履行</w:t>
            </w:r>
            <w:r>
              <w:rPr>
                <w:rFonts w:hint="eastAsia" w:ascii="宋体" w:hAnsi="宋体" w:cs="宋体"/>
                <w:color w:val="auto"/>
                <w:kern w:val="0"/>
                <w:sz w:val="24"/>
                <w:szCs w:val="24"/>
                <w:lang w:eastAsia="zh-CN"/>
              </w:rPr>
              <w:t>期</w:t>
            </w:r>
          </w:p>
        </w:tc>
        <w:tc>
          <w:tcPr>
            <w:tcW w:w="6949" w:type="dxa"/>
            <w:tcBorders>
              <w:top w:val="single" w:color="000000" w:sz="4" w:space="0"/>
              <w:left w:val="single" w:color="000000" w:sz="4" w:space="0"/>
              <w:bottom w:val="single" w:color="000000" w:sz="4" w:space="0"/>
              <w:right w:val="single" w:color="000000" w:sz="4" w:space="0"/>
            </w:tcBorders>
            <w:vAlign w:val="bottom"/>
          </w:tcPr>
          <w:p w14:paraId="15BCF2E2">
            <w:pPr>
              <w:keepNext w:val="0"/>
              <w:keepLines w:val="0"/>
              <w:pageBreakBefore w:val="0"/>
              <w:widowControl/>
              <w:tabs>
                <w:tab w:val="left" w:pos="1620"/>
              </w:tabs>
              <w:kinsoku/>
              <w:wordWrap/>
              <w:overflowPunct/>
              <w:topLinePunct w:val="0"/>
              <w:autoSpaceDE/>
              <w:autoSpaceDN/>
              <w:bidi w:val="0"/>
              <w:snapToGrid w:val="0"/>
              <w:spacing w:line="400" w:lineRule="exact"/>
              <w:ind w:left="0" w:right="0"/>
              <w:textAlignment w:val="auto"/>
              <w:rPr>
                <w:rFonts w:hint="default" w:cs="宋体" w:asciiTheme="minorEastAsia" w:hAnsiTheme="minorEastAsia" w:eastAsiaTheme="minorEastAsia"/>
                <w:color w:val="auto"/>
                <w:kern w:val="0"/>
                <w:sz w:val="24"/>
                <w:szCs w:val="24"/>
                <w:lang w:val="en-US" w:eastAsia="zh-CN"/>
              </w:rPr>
            </w:pPr>
            <w:r>
              <w:rPr>
                <w:rFonts w:hint="eastAsia" w:ascii="宋体" w:hAnsi="宋体" w:cs="宋体"/>
                <w:color w:val="auto"/>
                <w:kern w:val="0"/>
                <w:sz w:val="24"/>
                <w:szCs w:val="24"/>
                <w:lang w:val="en-US" w:eastAsia="zh-CN" w:bidi="ar-SA"/>
              </w:rPr>
              <w:t>在合同签订后30日历天内完成项目所有软硬件的供货、安装、调试、培训等</w:t>
            </w:r>
          </w:p>
        </w:tc>
      </w:tr>
      <w:tr w14:paraId="7F3AD0A0">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E00981C">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FF4FB0D">
            <w:pPr>
              <w:keepNext w:val="0"/>
              <w:keepLines w:val="0"/>
              <w:pageBreakBefore w:val="0"/>
              <w:kinsoku/>
              <w:wordWrap/>
              <w:overflowPunct/>
              <w:topLinePunct w:val="0"/>
              <w:autoSpaceDE/>
              <w:autoSpaceDN/>
              <w:bidi w:val="0"/>
              <w:spacing w:line="400" w:lineRule="exact"/>
              <w:ind w:left="0" w:right="0"/>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质保期</w:t>
            </w:r>
          </w:p>
        </w:tc>
        <w:tc>
          <w:tcPr>
            <w:tcW w:w="6949" w:type="dxa"/>
            <w:tcBorders>
              <w:top w:val="single" w:color="000000" w:sz="4" w:space="0"/>
              <w:left w:val="single" w:color="000000" w:sz="4" w:space="0"/>
              <w:bottom w:val="single" w:color="000000" w:sz="4" w:space="0"/>
              <w:right w:val="single" w:color="000000" w:sz="4" w:space="0"/>
            </w:tcBorders>
            <w:vAlign w:val="center"/>
          </w:tcPr>
          <w:p w14:paraId="028AA080">
            <w:pPr>
              <w:keepNext w:val="0"/>
              <w:keepLines w:val="0"/>
              <w:pageBreakBefore w:val="0"/>
              <w:kinsoku/>
              <w:wordWrap/>
              <w:overflowPunct/>
              <w:topLinePunct w:val="0"/>
              <w:autoSpaceDE/>
              <w:autoSpaceDN/>
              <w:bidi w:val="0"/>
              <w:spacing w:line="400" w:lineRule="exact"/>
              <w:ind w:left="0" w:right="0"/>
              <w:jc w:val="left"/>
              <w:textAlignment w:val="auto"/>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自验收合格之日起不低于1年</w:t>
            </w:r>
          </w:p>
        </w:tc>
      </w:tr>
      <w:tr w14:paraId="796C46E3">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1422C2B">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714513B">
            <w:pPr>
              <w:keepNext w:val="0"/>
              <w:keepLines w:val="0"/>
              <w:pageBreakBefore w:val="0"/>
              <w:kinsoku/>
              <w:wordWrap/>
              <w:overflowPunct/>
              <w:topLinePunct w:val="0"/>
              <w:autoSpaceDE/>
              <w:autoSpaceDN/>
              <w:bidi w:val="0"/>
              <w:spacing w:line="400" w:lineRule="exact"/>
              <w:ind w:left="0" w:right="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服务</w:t>
            </w:r>
            <w:r>
              <w:rPr>
                <w:rFonts w:asciiTheme="minorEastAsia" w:hAnsiTheme="minorEastAsia" w:eastAsiaTheme="minorEastAsia"/>
                <w:color w:val="auto"/>
                <w:sz w:val="24"/>
                <w:szCs w:val="24"/>
              </w:rPr>
              <w:t>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47BDE43D">
            <w:pPr>
              <w:keepNext w:val="0"/>
              <w:keepLines w:val="0"/>
              <w:pageBreakBefore w:val="0"/>
              <w:kinsoku/>
              <w:wordWrap/>
              <w:overflowPunct/>
              <w:topLinePunct w:val="0"/>
              <w:autoSpaceDE/>
              <w:autoSpaceDN/>
              <w:bidi w:val="0"/>
              <w:spacing w:line="400" w:lineRule="exact"/>
              <w:ind w:left="0" w:right="0"/>
              <w:jc w:val="left"/>
              <w:textAlignment w:val="auto"/>
              <w:rPr>
                <w:rFonts w:ascii="宋体" w:hAnsi="宋体" w:cs="宋体"/>
                <w:color w:val="auto"/>
                <w:sz w:val="24"/>
                <w:szCs w:val="24"/>
              </w:rPr>
            </w:pPr>
            <w:r>
              <w:rPr>
                <w:rFonts w:hint="eastAsia" w:asciiTheme="minorEastAsia" w:hAnsiTheme="minorEastAsia" w:eastAsiaTheme="minorEastAsia"/>
                <w:color w:val="auto"/>
                <w:sz w:val="24"/>
                <w:szCs w:val="24"/>
              </w:rPr>
              <w:t>采购人指定地点</w:t>
            </w:r>
          </w:p>
        </w:tc>
      </w:tr>
      <w:tr w14:paraId="24EA05C0">
        <w:tblPrEx>
          <w:tblCellMar>
            <w:top w:w="147" w:type="dxa"/>
            <w:left w:w="108" w:type="dxa"/>
            <w:bottom w:w="56" w:type="dxa"/>
            <w:right w:w="0" w:type="dxa"/>
          </w:tblCellMar>
        </w:tblPrEx>
        <w:trPr>
          <w:trHeight w:val="54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7028208">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7E8AE70B">
            <w:pPr>
              <w:keepNext w:val="0"/>
              <w:keepLines w:val="0"/>
              <w:pageBreakBefore w:val="0"/>
              <w:kinsoku/>
              <w:wordWrap/>
              <w:overflowPunct/>
              <w:topLinePunct w:val="0"/>
              <w:autoSpaceDE/>
              <w:autoSpaceDN/>
              <w:bidi w:val="0"/>
              <w:spacing w:line="400" w:lineRule="exact"/>
              <w:ind w:left="0" w:right="0"/>
              <w:jc w:val="center"/>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资格审查方式</w:t>
            </w:r>
          </w:p>
        </w:tc>
        <w:tc>
          <w:tcPr>
            <w:tcW w:w="6949" w:type="dxa"/>
            <w:tcBorders>
              <w:top w:val="single" w:color="000000" w:sz="4" w:space="0"/>
              <w:left w:val="single" w:color="000000" w:sz="4" w:space="0"/>
              <w:bottom w:val="single" w:color="000000" w:sz="4" w:space="0"/>
              <w:right w:val="single" w:color="000000" w:sz="4" w:space="0"/>
            </w:tcBorders>
          </w:tcPr>
          <w:p w14:paraId="5CEC7AA2">
            <w:pPr>
              <w:keepNext w:val="0"/>
              <w:keepLines w:val="0"/>
              <w:pageBreakBefore w:val="0"/>
              <w:kinsoku/>
              <w:wordWrap/>
              <w:overflowPunct/>
              <w:topLinePunct w:val="0"/>
              <w:autoSpaceDE/>
              <w:autoSpaceDN/>
              <w:bidi w:val="0"/>
              <w:spacing w:line="400" w:lineRule="exact"/>
              <w:ind w:left="0" w:right="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资格后审</w:t>
            </w:r>
          </w:p>
        </w:tc>
      </w:tr>
      <w:tr w14:paraId="660E0C39">
        <w:tblPrEx>
          <w:tblCellMar>
            <w:top w:w="147" w:type="dxa"/>
            <w:left w:w="108" w:type="dxa"/>
            <w:bottom w:w="56" w:type="dxa"/>
            <w:right w:w="0" w:type="dxa"/>
          </w:tblCellMar>
        </w:tblPrEx>
        <w:trPr>
          <w:trHeight w:val="89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8D11FE9">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3C367A34">
            <w:pPr>
              <w:keepNext w:val="0"/>
              <w:keepLines w:val="0"/>
              <w:pageBreakBefore w:val="0"/>
              <w:kinsoku/>
              <w:wordWrap/>
              <w:overflowPunct/>
              <w:topLinePunct w:val="0"/>
              <w:autoSpaceDE/>
              <w:autoSpaceDN/>
              <w:bidi w:val="0"/>
              <w:spacing w:line="400" w:lineRule="exact"/>
              <w:ind w:left="0" w:right="0"/>
              <w:jc w:val="center"/>
              <w:textAlignment w:val="auto"/>
              <w:rPr>
                <w:rFonts w:hint="default" w:asciiTheme="minorEastAsia" w:hAnsiTheme="minorEastAsia" w:eastAsiaTheme="minorEastAsia"/>
                <w:color w:val="auto"/>
                <w:sz w:val="24"/>
                <w:szCs w:val="24"/>
                <w:lang w:val="en-US"/>
              </w:rPr>
            </w:pPr>
            <w:r>
              <w:rPr>
                <w:rFonts w:asciiTheme="minorEastAsia" w:hAnsiTheme="minorEastAsia" w:eastAsiaTheme="minorEastAsia"/>
                <w:color w:val="auto"/>
                <w:sz w:val="24"/>
                <w:szCs w:val="24"/>
              </w:rPr>
              <w:t>投标人</w:t>
            </w:r>
            <w:r>
              <w:rPr>
                <w:rFonts w:hint="eastAsia" w:asciiTheme="minorEastAsia" w:hAnsiTheme="minorEastAsia" w:eastAsiaTheme="minorEastAsia"/>
                <w:color w:val="auto"/>
                <w:sz w:val="24"/>
                <w:szCs w:val="24"/>
                <w:lang w:val="en-US" w:eastAsia="zh-CN"/>
              </w:rPr>
              <w:t>资格要求</w:t>
            </w:r>
          </w:p>
        </w:tc>
        <w:tc>
          <w:tcPr>
            <w:tcW w:w="6949" w:type="dxa"/>
            <w:tcBorders>
              <w:top w:val="single" w:color="000000" w:sz="4" w:space="0"/>
              <w:left w:val="single" w:color="000000" w:sz="4" w:space="0"/>
              <w:bottom w:val="single" w:color="000000" w:sz="4" w:space="0"/>
              <w:right w:val="single" w:color="000000" w:sz="4" w:space="0"/>
            </w:tcBorders>
          </w:tcPr>
          <w:p w14:paraId="4F4371FF">
            <w:pPr>
              <w:keepNext w:val="0"/>
              <w:keepLines w:val="0"/>
              <w:pageBreakBefore w:val="0"/>
              <w:tabs>
                <w:tab w:val="left" w:pos="567"/>
              </w:tabs>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kern w:val="0"/>
                <w:sz w:val="24"/>
                <w:szCs w:val="24"/>
                <w:lang w:eastAsia="zh-CN"/>
              </w:rPr>
              <w:t>1.具有独立承担民事责任能力的法人、非法人组织或自然人，提供合法有效的营业执照/事业单位法人证书/专业服务机构执业许可证/民办非企业单位登记证书等相关证明，自然人参与地提供其身份证明。</w:t>
            </w:r>
          </w:p>
          <w:p w14:paraId="4E0C37DB">
            <w:pPr>
              <w:keepNext w:val="0"/>
              <w:keepLines w:val="0"/>
              <w:pageBreakBefore w:val="0"/>
              <w:kinsoku/>
              <w:wordWrap/>
              <w:overflowPunct/>
              <w:topLinePunct w:val="0"/>
              <w:autoSpaceDE/>
              <w:autoSpaceDN/>
              <w:bidi w:val="0"/>
              <w:adjustRightInd/>
              <w:spacing w:line="420" w:lineRule="exact"/>
              <w:ind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法定代表人授权书及被授权人身份证复印件（法定代表人直接投标只需提交其身份明材料）。</w:t>
            </w:r>
          </w:p>
          <w:p w14:paraId="76363D56">
            <w:pPr>
              <w:keepNext w:val="0"/>
              <w:keepLines w:val="0"/>
              <w:pageBreakBefore w:val="0"/>
              <w:tabs>
                <w:tab w:val="center" w:pos="4153"/>
                <w:tab w:val="right" w:pos="8306"/>
              </w:tabs>
              <w:kinsoku/>
              <w:wordWrap/>
              <w:overflowPunct/>
              <w:topLinePunct w:val="0"/>
              <w:autoSpaceDE/>
              <w:autoSpaceDN/>
              <w:bidi w:val="0"/>
              <w:adjustRightInd/>
              <w:snapToGrid w:val="0"/>
              <w:spacing w:line="42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2AE5B791">
            <w:pPr>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0C3826B2">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月至今任意一个月缴纳的纳税证明或完税证明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07B14D8F">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rPr>
              <w:t>财务状况报告：</w:t>
            </w:r>
            <w:r>
              <w:rPr>
                <w:rFonts w:hint="eastAsia" w:ascii="宋体" w:hAnsi="宋体" w:cs="宋体"/>
                <w:color w:val="auto"/>
                <w:sz w:val="24"/>
                <w:szCs w:val="24"/>
                <w:lang w:eastAsia="zh-CN"/>
              </w:rPr>
              <w:t>提供2024年度经审计的财务审计报告</w:t>
            </w:r>
            <w:r>
              <w:rPr>
                <w:rFonts w:hint="eastAsia" w:ascii="宋体" w:hAnsi="宋体" w:cs="宋体"/>
                <w:color w:val="auto"/>
                <w:sz w:val="24"/>
                <w:szCs w:val="24"/>
                <w:lang w:val="en-US" w:eastAsia="zh-CN"/>
              </w:rPr>
              <w:t>或</w:t>
            </w:r>
            <w:r>
              <w:rPr>
                <w:rFonts w:hint="eastAsia" w:ascii="宋体" w:hAnsi="宋体" w:cs="宋体"/>
                <w:color w:val="auto"/>
                <w:sz w:val="24"/>
                <w:szCs w:val="24"/>
                <w:lang w:eastAsia="zh-CN"/>
              </w:rPr>
              <w:t>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6283C55F">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月至今任意一个月社会保障资金缴存单</w:t>
            </w:r>
            <w:r>
              <w:rPr>
                <w:rFonts w:hint="eastAsia" w:ascii="宋体" w:hAnsi="宋体" w:cs="宋体"/>
                <w:color w:val="auto"/>
                <w:sz w:val="24"/>
                <w:szCs w:val="24"/>
              </w:rPr>
              <w:t>据或社保机构开具的社会保险参保缴费情况证明，依法不需要缴纳社会保障资金的单位应提供相关证明材料，单据或证明上应有社保机构或代收机构的印章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成立时间至提交响应文件截止时间不足三个月的可不提供</w:t>
            </w:r>
            <w:r>
              <w:rPr>
                <w:rFonts w:hint="eastAsia" w:ascii="宋体" w:hAnsi="宋体" w:cs="宋体"/>
                <w:color w:val="auto"/>
                <w:sz w:val="24"/>
                <w:szCs w:val="24"/>
                <w:lang w:eastAsia="zh-CN"/>
              </w:rPr>
              <w:t>）。</w:t>
            </w:r>
          </w:p>
          <w:p w14:paraId="24708117">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所必需的设备和专业技术能力的承诺书</w:t>
            </w:r>
            <w:r>
              <w:rPr>
                <w:rFonts w:hint="eastAsia" w:ascii="宋体" w:hAnsi="宋体" w:cs="宋体"/>
                <w:color w:val="auto"/>
                <w:kern w:val="2"/>
                <w:sz w:val="24"/>
                <w:szCs w:val="24"/>
                <w:lang w:val="en-US" w:eastAsia="zh-CN" w:bidi="ar-SA"/>
              </w:rPr>
              <w:t>（格式自拟）。</w:t>
            </w:r>
          </w:p>
          <w:p w14:paraId="3734DAA4">
            <w:pPr>
              <w:keepNext w:val="0"/>
              <w:keepLines w:val="0"/>
              <w:pageBreakBefore w:val="0"/>
              <w:kinsoku/>
              <w:wordWrap/>
              <w:overflowPunct/>
              <w:topLinePunct w:val="0"/>
              <w:autoSpaceDE/>
              <w:autoSpaceDN/>
              <w:bidi w:val="0"/>
              <w:spacing w:line="400" w:lineRule="exact"/>
              <w:ind w:left="0" w:right="0" w:firstLine="480" w:firstLineChars="200"/>
              <w:textAlignment w:val="auto"/>
              <w:rPr>
                <w:rFonts w:hint="eastAsia" w:cs="宋体" w:asciiTheme="minorEastAsia" w:hAnsiTheme="minorEastAsia" w:eastAsiaTheme="minorEastAsia"/>
                <w:color w:val="auto"/>
                <w:kern w:val="0"/>
                <w:sz w:val="24"/>
                <w:szCs w:val="24"/>
              </w:rPr>
            </w:pPr>
            <w:r>
              <w:rPr>
                <w:rFonts w:hint="eastAsia" w:ascii="宋体" w:hAnsi="宋体" w:cs="宋体"/>
                <w:color w:val="auto"/>
                <w:sz w:val="24"/>
                <w:szCs w:val="24"/>
                <w:lang w:val="en-US" w:eastAsia="zh-CN"/>
              </w:rPr>
              <w:t>9.本项目不接受联合体投标。</w:t>
            </w:r>
          </w:p>
          <w:p w14:paraId="0ED94D11">
            <w:pPr>
              <w:keepNext w:val="0"/>
              <w:keepLines w:val="0"/>
              <w:pageBreakBefore w:val="0"/>
              <w:kinsoku/>
              <w:wordWrap/>
              <w:overflowPunct/>
              <w:topLinePunct w:val="0"/>
              <w:autoSpaceDE/>
              <w:autoSpaceDN/>
              <w:bidi w:val="0"/>
              <w:spacing w:line="400" w:lineRule="exact"/>
              <w:ind w:left="0" w:right="0" w:firstLine="482" w:firstLineChars="200"/>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按无效文件处理。参加</w:t>
            </w:r>
            <w:r>
              <w:rPr>
                <w:rFonts w:hint="eastAsia" w:cs="宋体" w:asciiTheme="minorEastAsia" w:hAnsiTheme="minorEastAsia" w:eastAsiaTheme="minorEastAsia"/>
                <w:b/>
                <w:bCs/>
                <w:color w:val="auto"/>
                <w:kern w:val="0"/>
                <w:sz w:val="24"/>
                <w:szCs w:val="24"/>
                <w:lang w:val="en-US" w:eastAsia="zh-CN"/>
              </w:rPr>
              <w:t>开标</w:t>
            </w:r>
            <w:r>
              <w:rPr>
                <w:rFonts w:hint="eastAsia" w:cs="宋体" w:asciiTheme="minorEastAsia" w:hAnsiTheme="minorEastAsia" w:eastAsiaTheme="minorEastAsia"/>
                <w:b/>
                <w:bCs/>
                <w:color w:val="auto"/>
                <w:kern w:val="0"/>
                <w:sz w:val="24"/>
                <w:szCs w:val="24"/>
              </w:rPr>
              <w:t>会议时须提供上述加盖投标人公章（</w:t>
            </w:r>
            <w:r>
              <w:rPr>
                <w:rFonts w:hint="eastAsia" w:cs="宋体" w:asciiTheme="minorEastAsia" w:hAnsiTheme="minorEastAsia" w:eastAsiaTheme="minorEastAsia"/>
                <w:b/>
                <w:bCs/>
                <w:color w:val="auto"/>
                <w:kern w:val="0"/>
                <w:sz w:val="24"/>
                <w:szCs w:val="24"/>
                <w:lang w:val="en-US" w:eastAsia="zh-CN"/>
              </w:rPr>
              <w:t>鲜</w:t>
            </w:r>
            <w:r>
              <w:rPr>
                <w:rFonts w:hint="eastAsia" w:cs="宋体" w:asciiTheme="minorEastAsia" w:hAnsiTheme="minorEastAsia" w:eastAsiaTheme="minorEastAsia"/>
                <w:b/>
                <w:bCs/>
                <w:color w:val="auto"/>
                <w:kern w:val="0"/>
                <w:sz w:val="24"/>
                <w:szCs w:val="24"/>
              </w:rPr>
              <w:t>章）</w:t>
            </w:r>
            <w:r>
              <w:rPr>
                <w:rFonts w:hint="eastAsia" w:cs="宋体" w:asciiTheme="minorEastAsia" w:hAnsiTheme="minorEastAsia" w:eastAsiaTheme="minorEastAsia"/>
                <w:b/>
                <w:bCs/>
                <w:color w:val="auto"/>
                <w:kern w:val="0"/>
                <w:sz w:val="24"/>
                <w:szCs w:val="24"/>
                <w:lang w:val="en-US" w:eastAsia="zh-CN"/>
              </w:rPr>
              <w:t>资格证明</w:t>
            </w:r>
            <w:r>
              <w:rPr>
                <w:rFonts w:hint="default" w:cs="宋体" w:asciiTheme="minorEastAsia" w:hAnsiTheme="minorEastAsia" w:eastAsiaTheme="minorEastAsia"/>
                <w:b/>
                <w:bCs/>
                <w:color w:val="auto"/>
                <w:kern w:val="0"/>
                <w:sz w:val="24"/>
                <w:szCs w:val="24"/>
              </w:rPr>
              <w:t>文件</w:t>
            </w:r>
            <w:r>
              <w:rPr>
                <w:rFonts w:hint="eastAsia" w:cs="宋体" w:asciiTheme="minorEastAsia" w:hAnsiTheme="minorEastAsia" w:eastAsiaTheme="minorEastAsia"/>
                <w:b/>
                <w:bCs/>
                <w:color w:val="auto"/>
                <w:kern w:val="0"/>
                <w:sz w:val="24"/>
                <w:szCs w:val="24"/>
              </w:rPr>
              <w:t>（密封）单独递交进行审查，否则</w:t>
            </w:r>
            <w:r>
              <w:rPr>
                <w:rFonts w:hint="eastAsia" w:cs="宋体" w:asciiTheme="minorEastAsia" w:hAnsiTheme="minorEastAsia" w:eastAsiaTheme="minorEastAsia"/>
                <w:b/>
                <w:bCs/>
                <w:color w:val="auto"/>
                <w:kern w:val="0"/>
                <w:sz w:val="24"/>
                <w:szCs w:val="24"/>
                <w:lang w:eastAsia="zh-CN"/>
              </w:rPr>
              <w:t>按无效文件处理</w:t>
            </w:r>
            <w:r>
              <w:rPr>
                <w:rFonts w:hint="eastAsia" w:cs="宋体" w:asciiTheme="minorEastAsia" w:hAnsiTheme="minorEastAsia" w:eastAsiaTheme="minorEastAsia"/>
                <w:b/>
                <w:bCs/>
                <w:color w:val="auto"/>
                <w:kern w:val="0"/>
                <w:sz w:val="24"/>
                <w:szCs w:val="24"/>
              </w:rPr>
              <w:t>。</w:t>
            </w:r>
          </w:p>
        </w:tc>
      </w:tr>
      <w:tr w14:paraId="3D4B62BD">
        <w:tblPrEx>
          <w:tblCellMar>
            <w:top w:w="147" w:type="dxa"/>
            <w:left w:w="108" w:type="dxa"/>
            <w:bottom w:w="56" w:type="dxa"/>
            <w:right w:w="0" w:type="dxa"/>
          </w:tblCellMar>
        </w:tblPrEx>
        <w:trPr>
          <w:trHeight w:val="6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1B7900">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488DBB1C">
            <w:pPr>
              <w:keepNext w:val="0"/>
              <w:keepLines w:val="0"/>
              <w:pageBreakBefore w:val="0"/>
              <w:kinsoku/>
              <w:wordWrap/>
              <w:overflowPunct/>
              <w:topLinePunct w:val="0"/>
              <w:autoSpaceDE/>
              <w:autoSpaceDN/>
              <w:bidi w:val="0"/>
              <w:spacing w:line="400" w:lineRule="exact"/>
              <w:ind w:left="0" w:right="0"/>
              <w:jc w:val="center"/>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是否接受联合体</w:t>
            </w:r>
          </w:p>
          <w:p w14:paraId="21DCE8DA">
            <w:pPr>
              <w:keepNext w:val="0"/>
              <w:keepLines w:val="0"/>
              <w:pageBreakBefore w:val="0"/>
              <w:kinsoku/>
              <w:wordWrap/>
              <w:overflowPunct/>
              <w:topLinePunct w:val="0"/>
              <w:autoSpaceDE/>
              <w:autoSpaceDN/>
              <w:bidi w:val="0"/>
              <w:spacing w:line="400" w:lineRule="exact"/>
              <w:ind w:left="0" w:right="0"/>
              <w:jc w:val="center"/>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投标</w:t>
            </w:r>
          </w:p>
        </w:tc>
        <w:tc>
          <w:tcPr>
            <w:tcW w:w="6949" w:type="dxa"/>
            <w:tcBorders>
              <w:top w:val="single" w:color="000000" w:sz="4" w:space="0"/>
              <w:left w:val="single" w:color="000000" w:sz="4" w:space="0"/>
              <w:bottom w:val="single" w:color="000000" w:sz="4" w:space="0"/>
              <w:right w:val="single" w:color="000000" w:sz="4" w:space="0"/>
            </w:tcBorders>
            <w:vAlign w:val="center"/>
          </w:tcPr>
          <w:p w14:paraId="5F5AD5F5">
            <w:pPr>
              <w:keepNext w:val="0"/>
              <w:keepLines w:val="0"/>
              <w:pageBreakBefore w:val="0"/>
              <w:kinsoku/>
              <w:wordWrap/>
              <w:overflowPunct/>
              <w:topLinePunct w:val="0"/>
              <w:autoSpaceDE/>
              <w:autoSpaceDN/>
              <w:bidi w:val="0"/>
              <w:spacing w:line="400" w:lineRule="exact"/>
              <w:ind w:left="0" w:right="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不接受联合体磋商</w:t>
            </w:r>
          </w:p>
        </w:tc>
      </w:tr>
      <w:tr w14:paraId="0173B195">
        <w:trPr>
          <w:trHeight w:val="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F26E0F5">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036BCC2">
            <w:pPr>
              <w:keepNext w:val="0"/>
              <w:keepLines w:val="0"/>
              <w:pageBreakBefore w:val="0"/>
              <w:kinsoku/>
              <w:wordWrap/>
              <w:overflowPunct/>
              <w:topLinePunct w:val="0"/>
              <w:autoSpaceDE/>
              <w:autoSpaceDN/>
              <w:bidi w:val="0"/>
              <w:spacing w:line="400" w:lineRule="exact"/>
              <w:ind w:left="0" w:right="0"/>
              <w:jc w:val="center"/>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现场踏勘</w:t>
            </w:r>
          </w:p>
        </w:tc>
        <w:tc>
          <w:tcPr>
            <w:tcW w:w="6949" w:type="dxa"/>
            <w:tcBorders>
              <w:top w:val="single" w:color="000000" w:sz="4" w:space="0"/>
              <w:left w:val="single" w:color="000000" w:sz="4" w:space="0"/>
              <w:bottom w:val="single" w:color="000000" w:sz="4" w:space="0"/>
              <w:right w:val="single" w:color="000000" w:sz="4" w:space="0"/>
            </w:tcBorders>
          </w:tcPr>
          <w:p w14:paraId="28B4292A">
            <w:pPr>
              <w:keepNext w:val="0"/>
              <w:keepLines w:val="0"/>
              <w:pageBreakBefore w:val="0"/>
              <w:kinsoku/>
              <w:wordWrap/>
              <w:overflowPunct/>
              <w:topLinePunct w:val="0"/>
              <w:autoSpaceDE/>
              <w:autoSpaceDN/>
              <w:bidi w:val="0"/>
              <w:spacing w:line="400" w:lineRule="exact"/>
              <w:ind w:left="0" w:right="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自行勘察，未勘察现场造成的一切后果由投标人自行承担（一切费用自理）</w:t>
            </w:r>
          </w:p>
        </w:tc>
      </w:tr>
      <w:tr w14:paraId="73153829">
        <w:tblPrEx>
          <w:tblCellMar>
            <w:top w:w="147" w:type="dxa"/>
            <w:left w:w="108" w:type="dxa"/>
            <w:bottom w:w="56" w:type="dxa"/>
            <w:right w:w="0" w:type="dxa"/>
          </w:tblCellMar>
        </w:tblPrEx>
        <w:trPr>
          <w:trHeight w:val="45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C9B6C60">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62071A">
            <w:pPr>
              <w:keepNext w:val="0"/>
              <w:keepLines w:val="0"/>
              <w:pageBreakBefore w:val="0"/>
              <w:kinsoku/>
              <w:wordWrap/>
              <w:overflowPunct/>
              <w:topLinePunct w:val="0"/>
              <w:autoSpaceDE/>
              <w:autoSpaceDN/>
              <w:bidi w:val="0"/>
              <w:spacing w:line="400" w:lineRule="exact"/>
              <w:ind w:left="0" w:right="0"/>
              <w:jc w:val="center"/>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磋商时间和地点</w:t>
            </w:r>
          </w:p>
        </w:tc>
        <w:tc>
          <w:tcPr>
            <w:tcW w:w="6949" w:type="dxa"/>
            <w:tcBorders>
              <w:top w:val="single" w:color="000000" w:sz="4" w:space="0"/>
              <w:left w:val="single" w:color="000000" w:sz="4" w:space="0"/>
              <w:bottom w:val="single" w:color="000000" w:sz="4" w:space="0"/>
              <w:right w:val="single" w:color="000000" w:sz="4" w:space="0"/>
            </w:tcBorders>
          </w:tcPr>
          <w:p w14:paraId="3CB82ABC">
            <w:pPr>
              <w:keepNext w:val="0"/>
              <w:keepLines w:val="0"/>
              <w:pageBreakBefore w:val="0"/>
              <w:kinsoku/>
              <w:wordWrap/>
              <w:overflowPunct/>
              <w:topLinePunct w:val="0"/>
              <w:autoSpaceDE/>
              <w:autoSpaceDN/>
              <w:bidi w:val="0"/>
              <w:spacing w:line="400" w:lineRule="exact"/>
              <w:ind w:left="0" w:right="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宋体" w:hAnsi="宋体" w:eastAsia="宋体" w:cs="宋体"/>
                <w:b w:val="0"/>
                <w:bCs w:val="0"/>
                <w:color w:val="auto"/>
                <w:kern w:val="0"/>
                <w:sz w:val="24"/>
                <w:szCs w:val="24"/>
              </w:rPr>
              <w:t>2025年</w:t>
            </w:r>
            <w:r>
              <w:rPr>
                <w:rFonts w:hint="eastAsia" w:ascii="宋体" w:hAnsi="宋体" w:cs="宋体"/>
                <w:b w:val="0"/>
                <w:bCs w:val="0"/>
                <w:color w:val="auto"/>
                <w:kern w:val="0"/>
                <w:sz w:val="24"/>
                <w:szCs w:val="24"/>
                <w:lang w:val="en-US" w:eastAsia="zh-CN"/>
              </w:rPr>
              <w:t>12</w:t>
            </w:r>
            <w:r>
              <w:rPr>
                <w:rFonts w:hint="eastAsia" w:ascii="宋体" w:hAnsi="宋体" w:eastAsia="宋体" w:cs="宋体"/>
                <w:b w:val="0"/>
                <w:bCs w:val="0"/>
                <w:color w:val="auto"/>
                <w:kern w:val="0"/>
                <w:sz w:val="24"/>
                <w:szCs w:val="24"/>
              </w:rPr>
              <w:t>月</w:t>
            </w:r>
            <w:r>
              <w:rPr>
                <w:rFonts w:hint="eastAsia" w:ascii="宋体" w:hAnsi="宋体" w:cs="宋体"/>
                <w:b w:val="0"/>
                <w:bCs w:val="0"/>
                <w:color w:val="auto"/>
                <w:kern w:val="0"/>
                <w:sz w:val="24"/>
                <w:szCs w:val="24"/>
                <w:lang w:val="en-US" w:eastAsia="zh-CN"/>
              </w:rPr>
              <w:t>24</w:t>
            </w:r>
            <w:r>
              <w:rPr>
                <w:rFonts w:hint="eastAsia" w:ascii="宋体" w:hAnsi="宋体" w:eastAsia="宋体" w:cs="宋体"/>
                <w:b w:val="0"/>
                <w:bCs w:val="0"/>
                <w:color w:val="auto"/>
                <w:kern w:val="0"/>
                <w:sz w:val="24"/>
                <w:szCs w:val="24"/>
              </w:rPr>
              <w:t>日</w:t>
            </w:r>
            <w:r>
              <w:rPr>
                <w:rFonts w:hint="eastAsia" w:ascii="宋体" w:hAnsi="宋体" w:cs="宋体"/>
                <w:b w:val="0"/>
                <w:bCs w:val="0"/>
                <w:color w:val="auto"/>
                <w:kern w:val="0"/>
                <w:sz w:val="24"/>
                <w:szCs w:val="24"/>
                <w:lang w:val="en-US" w:eastAsia="zh-CN"/>
              </w:rPr>
              <w:t>15</w:t>
            </w:r>
            <w:r>
              <w:rPr>
                <w:rFonts w:hint="eastAsia" w:ascii="宋体" w:hAnsi="宋体" w:eastAsia="宋体" w:cs="宋体"/>
                <w:b w:val="0"/>
                <w:bCs w:val="0"/>
                <w:color w:val="auto"/>
                <w:kern w:val="0"/>
                <w:sz w:val="24"/>
                <w:szCs w:val="24"/>
              </w:rPr>
              <w:t>时</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分</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秒</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28E1957A">
            <w:pPr>
              <w:keepNext w:val="0"/>
              <w:keepLines w:val="0"/>
              <w:pageBreakBefore w:val="0"/>
              <w:kinsoku/>
              <w:wordWrap/>
              <w:overflowPunct/>
              <w:topLinePunct w:val="0"/>
              <w:autoSpaceDE/>
              <w:autoSpaceDN/>
              <w:bidi w:val="0"/>
              <w:spacing w:line="400" w:lineRule="exact"/>
              <w:ind w:left="0" w:right="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磋商地点：</w:t>
            </w:r>
            <w:r>
              <w:rPr>
                <w:rFonts w:hint="eastAsia" w:ascii="宋体" w:hAnsi="宋体" w:cs="宋体"/>
                <w:color w:val="auto"/>
                <w:sz w:val="24"/>
                <w:szCs w:val="24"/>
              </w:rPr>
              <w:t>安康市高新区</w:t>
            </w:r>
            <w:r>
              <w:rPr>
                <w:rFonts w:hint="eastAsia" w:ascii="宋体" w:hAnsi="宋体" w:cs="宋体"/>
                <w:color w:val="auto"/>
                <w:sz w:val="24"/>
                <w:szCs w:val="24"/>
                <w:lang w:eastAsia="zh-CN"/>
              </w:rPr>
              <w:t>高新观澜8栋</w:t>
            </w:r>
            <w:r>
              <w:rPr>
                <w:rFonts w:hint="eastAsia" w:ascii="宋体" w:hAnsi="宋体" w:cs="宋体"/>
                <w:color w:val="auto"/>
                <w:sz w:val="24"/>
                <w:szCs w:val="24"/>
              </w:rPr>
              <w:t>2单元801室</w:t>
            </w:r>
          </w:p>
          <w:p w14:paraId="068C7569">
            <w:pPr>
              <w:keepNext w:val="0"/>
              <w:keepLines w:val="0"/>
              <w:pageBreakBefore w:val="0"/>
              <w:kinsoku/>
              <w:wordWrap/>
              <w:overflowPunct/>
              <w:topLinePunct w:val="0"/>
              <w:autoSpaceDE/>
              <w:autoSpaceDN/>
              <w:bidi w:val="0"/>
              <w:spacing w:line="400" w:lineRule="exact"/>
              <w:ind w:left="0" w:right="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（如有变动，另行通知） </w:t>
            </w:r>
          </w:p>
        </w:tc>
      </w:tr>
      <w:tr w14:paraId="74B441F1">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BF4CE10">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0D8FCECD">
            <w:pPr>
              <w:keepNext w:val="0"/>
              <w:keepLines w:val="0"/>
              <w:pageBreakBefore w:val="0"/>
              <w:kinsoku/>
              <w:wordWrap/>
              <w:overflowPunct/>
              <w:topLinePunct w:val="0"/>
              <w:autoSpaceDE/>
              <w:autoSpaceDN/>
              <w:bidi w:val="0"/>
              <w:spacing w:line="400" w:lineRule="exact"/>
              <w:ind w:left="0" w:right="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磋商响应文件递交截止时间</w:t>
            </w:r>
            <w:r>
              <w:rPr>
                <w:rFonts w:hint="eastAsia" w:asciiTheme="minorEastAsia" w:hAnsiTheme="minorEastAsia" w:eastAsiaTheme="minorEastAsia"/>
                <w:color w:val="auto"/>
                <w:sz w:val="24"/>
                <w:szCs w:val="24"/>
              </w:rPr>
              <w:t>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144FF3EF">
            <w:pPr>
              <w:keepNext w:val="0"/>
              <w:keepLines w:val="0"/>
              <w:pageBreakBefore w:val="0"/>
              <w:kinsoku/>
              <w:wordWrap/>
              <w:overflowPunct/>
              <w:topLinePunct w:val="0"/>
              <w:autoSpaceDE/>
              <w:autoSpaceDN/>
              <w:bidi w:val="0"/>
              <w:spacing w:line="400" w:lineRule="exact"/>
              <w:ind w:left="0" w:right="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递交</w:t>
            </w:r>
            <w:r>
              <w:rPr>
                <w:rFonts w:asciiTheme="minorEastAsia" w:hAnsiTheme="minorEastAsia" w:eastAsiaTheme="minorEastAsia"/>
                <w:color w:val="auto"/>
                <w:sz w:val="24"/>
                <w:szCs w:val="24"/>
              </w:rPr>
              <w:t>截止时间：</w:t>
            </w:r>
            <w:r>
              <w:rPr>
                <w:rFonts w:hint="eastAsia" w:ascii="宋体" w:hAnsi="宋体" w:eastAsia="宋体" w:cs="宋体"/>
                <w:b w:val="0"/>
                <w:bCs w:val="0"/>
                <w:color w:val="auto"/>
                <w:kern w:val="0"/>
                <w:sz w:val="24"/>
                <w:szCs w:val="24"/>
              </w:rPr>
              <w:t>2025年</w:t>
            </w:r>
            <w:r>
              <w:rPr>
                <w:rFonts w:hint="eastAsia" w:ascii="宋体" w:hAnsi="宋体" w:cs="宋体"/>
                <w:b w:val="0"/>
                <w:bCs w:val="0"/>
                <w:color w:val="auto"/>
                <w:kern w:val="0"/>
                <w:sz w:val="24"/>
                <w:szCs w:val="24"/>
                <w:lang w:val="en-US" w:eastAsia="zh-CN"/>
              </w:rPr>
              <w:t>12</w:t>
            </w:r>
            <w:r>
              <w:rPr>
                <w:rFonts w:hint="eastAsia" w:ascii="宋体" w:hAnsi="宋体" w:eastAsia="宋体" w:cs="宋体"/>
                <w:b w:val="0"/>
                <w:bCs w:val="0"/>
                <w:color w:val="auto"/>
                <w:kern w:val="0"/>
                <w:sz w:val="24"/>
                <w:szCs w:val="24"/>
              </w:rPr>
              <w:t>月</w:t>
            </w:r>
            <w:r>
              <w:rPr>
                <w:rFonts w:hint="eastAsia" w:ascii="宋体" w:hAnsi="宋体" w:cs="宋体"/>
                <w:b w:val="0"/>
                <w:bCs w:val="0"/>
                <w:color w:val="auto"/>
                <w:kern w:val="0"/>
                <w:sz w:val="24"/>
                <w:szCs w:val="24"/>
                <w:lang w:val="en-US" w:eastAsia="zh-CN"/>
              </w:rPr>
              <w:t>24</w:t>
            </w:r>
            <w:r>
              <w:rPr>
                <w:rFonts w:hint="eastAsia" w:ascii="宋体" w:hAnsi="宋体" w:eastAsia="宋体" w:cs="宋体"/>
                <w:b w:val="0"/>
                <w:bCs w:val="0"/>
                <w:color w:val="auto"/>
                <w:kern w:val="0"/>
                <w:sz w:val="24"/>
                <w:szCs w:val="24"/>
              </w:rPr>
              <w:t>日</w:t>
            </w:r>
            <w:r>
              <w:rPr>
                <w:rFonts w:hint="eastAsia" w:ascii="宋体" w:hAnsi="宋体" w:cs="宋体"/>
                <w:b w:val="0"/>
                <w:bCs w:val="0"/>
                <w:color w:val="auto"/>
                <w:kern w:val="0"/>
                <w:sz w:val="24"/>
                <w:szCs w:val="24"/>
                <w:lang w:val="en-US" w:eastAsia="zh-CN"/>
              </w:rPr>
              <w:t>15</w:t>
            </w:r>
            <w:r>
              <w:rPr>
                <w:rFonts w:hint="eastAsia" w:ascii="宋体" w:hAnsi="宋体" w:eastAsia="宋体" w:cs="宋体"/>
                <w:b w:val="0"/>
                <w:bCs w:val="0"/>
                <w:color w:val="auto"/>
                <w:kern w:val="0"/>
                <w:sz w:val="24"/>
                <w:szCs w:val="24"/>
              </w:rPr>
              <w:t>时</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分</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秒</w:t>
            </w:r>
            <w:r>
              <w:rPr>
                <w:rFonts w:hint="eastAsia" w:asciiTheme="minorEastAsia" w:hAnsiTheme="minorEastAsia" w:eastAsiaTheme="minorEastAsia"/>
                <w:color w:val="auto"/>
                <w:sz w:val="24"/>
                <w:szCs w:val="24"/>
              </w:rPr>
              <w:t>止</w:t>
            </w:r>
          </w:p>
          <w:p w14:paraId="48B12847">
            <w:pPr>
              <w:keepNext w:val="0"/>
              <w:keepLines w:val="0"/>
              <w:pageBreakBefore w:val="0"/>
              <w:kinsoku/>
              <w:wordWrap/>
              <w:overflowPunct/>
              <w:topLinePunct w:val="0"/>
              <w:autoSpaceDE/>
              <w:autoSpaceDN/>
              <w:bidi w:val="0"/>
              <w:spacing w:line="400" w:lineRule="exact"/>
              <w:ind w:left="0" w:right="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递交地点：</w:t>
            </w:r>
            <w:r>
              <w:rPr>
                <w:rFonts w:hint="eastAsia" w:ascii="宋体" w:hAnsi="宋体" w:cs="宋体"/>
                <w:color w:val="auto"/>
                <w:sz w:val="24"/>
                <w:szCs w:val="24"/>
              </w:rPr>
              <w:t>安康市高新区</w:t>
            </w:r>
            <w:r>
              <w:rPr>
                <w:rFonts w:hint="eastAsia" w:ascii="宋体" w:hAnsi="宋体" w:cs="宋体"/>
                <w:color w:val="auto"/>
                <w:sz w:val="24"/>
                <w:szCs w:val="24"/>
                <w:lang w:eastAsia="zh-CN"/>
              </w:rPr>
              <w:t>高新观澜8栋</w:t>
            </w:r>
            <w:r>
              <w:rPr>
                <w:rFonts w:hint="eastAsia" w:ascii="宋体" w:hAnsi="宋体" w:cs="宋体"/>
                <w:color w:val="auto"/>
                <w:sz w:val="24"/>
                <w:szCs w:val="24"/>
              </w:rPr>
              <w:t>2单元801室</w:t>
            </w:r>
            <w:r>
              <w:rPr>
                <w:rFonts w:hint="eastAsia" w:asciiTheme="minorEastAsia" w:hAnsiTheme="minorEastAsia" w:eastAsiaTheme="minorEastAsia"/>
                <w:color w:val="auto"/>
                <w:sz w:val="24"/>
                <w:szCs w:val="24"/>
              </w:rPr>
              <w:t xml:space="preserve">  </w:t>
            </w:r>
          </w:p>
        </w:tc>
      </w:tr>
      <w:tr w14:paraId="31A70B65">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6320CD3">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23623CA">
            <w:pPr>
              <w:keepNext w:val="0"/>
              <w:keepLines w:val="0"/>
              <w:pageBreakBefore w:val="0"/>
              <w:kinsoku/>
              <w:wordWrap/>
              <w:overflowPunct/>
              <w:topLinePunct w:val="0"/>
              <w:autoSpaceDE/>
              <w:autoSpaceDN/>
              <w:bidi w:val="0"/>
              <w:spacing w:line="400" w:lineRule="exact"/>
              <w:ind w:left="0" w:right="0"/>
              <w:jc w:val="center"/>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响应有效期</w:t>
            </w:r>
          </w:p>
        </w:tc>
        <w:tc>
          <w:tcPr>
            <w:tcW w:w="6949" w:type="dxa"/>
            <w:tcBorders>
              <w:top w:val="single" w:color="000000" w:sz="4" w:space="0"/>
              <w:left w:val="single" w:color="000000" w:sz="4" w:space="0"/>
              <w:bottom w:val="single" w:color="000000" w:sz="4" w:space="0"/>
              <w:right w:val="single" w:color="000000" w:sz="4" w:space="0"/>
            </w:tcBorders>
          </w:tcPr>
          <w:p w14:paraId="5FB627B1">
            <w:pPr>
              <w:keepNext w:val="0"/>
              <w:keepLines w:val="0"/>
              <w:pageBreakBefore w:val="0"/>
              <w:kinsoku/>
              <w:wordWrap/>
              <w:overflowPunct/>
              <w:topLinePunct w:val="0"/>
              <w:autoSpaceDE/>
              <w:autoSpaceDN/>
              <w:bidi w:val="0"/>
              <w:spacing w:line="400" w:lineRule="exact"/>
              <w:ind w:left="0" w:right="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u w:val="none" w:color="auto"/>
              </w:rPr>
              <w:t>90</w:t>
            </w:r>
            <w:r>
              <w:rPr>
                <w:rFonts w:asciiTheme="minorEastAsia" w:hAnsiTheme="minorEastAsia" w:eastAsiaTheme="minorEastAsia"/>
                <w:color w:val="auto"/>
                <w:sz w:val="24"/>
                <w:szCs w:val="24"/>
              </w:rPr>
              <w:t xml:space="preserve">日历天（从提交响应文件日起计算） </w:t>
            </w:r>
          </w:p>
        </w:tc>
      </w:tr>
      <w:tr w14:paraId="2D54CF9D">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72A7CFF7">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B875B2B">
            <w:pPr>
              <w:keepNext w:val="0"/>
              <w:keepLines w:val="0"/>
              <w:pageBreakBefore w:val="0"/>
              <w:kinsoku/>
              <w:wordWrap/>
              <w:overflowPunct/>
              <w:topLinePunct w:val="0"/>
              <w:autoSpaceDE/>
              <w:autoSpaceDN/>
              <w:bidi w:val="0"/>
              <w:spacing w:line="400" w:lineRule="exact"/>
              <w:ind w:left="0" w:right="0"/>
              <w:jc w:val="center"/>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响应文件份数</w:t>
            </w:r>
          </w:p>
        </w:tc>
        <w:tc>
          <w:tcPr>
            <w:tcW w:w="6949" w:type="dxa"/>
            <w:tcBorders>
              <w:top w:val="single" w:color="000000" w:sz="4" w:space="0"/>
              <w:left w:val="single" w:color="000000" w:sz="4" w:space="0"/>
              <w:bottom w:val="single" w:color="000000" w:sz="4" w:space="0"/>
              <w:right w:val="single" w:color="000000" w:sz="4" w:space="0"/>
            </w:tcBorders>
          </w:tcPr>
          <w:p w14:paraId="497C41B0">
            <w:pPr>
              <w:keepNext w:val="0"/>
              <w:keepLines w:val="0"/>
              <w:pageBreakBefore w:val="0"/>
              <w:kinsoku/>
              <w:wordWrap/>
              <w:overflowPunct/>
              <w:topLinePunct w:val="0"/>
              <w:autoSpaceDE/>
              <w:autoSpaceDN/>
              <w:bidi w:val="0"/>
              <w:spacing w:line="400" w:lineRule="exact"/>
              <w:ind w:left="0" w:right="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资</w:t>
            </w:r>
            <w:r>
              <w:rPr>
                <w:rFonts w:hint="eastAsia" w:asciiTheme="minorEastAsia" w:hAnsiTheme="minorEastAsia" w:eastAsiaTheme="minorEastAsia"/>
                <w:color w:val="auto"/>
                <w:sz w:val="24"/>
                <w:szCs w:val="24"/>
                <w:lang w:val="en-US" w:eastAsia="zh-CN"/>
              </w:rPr>
              <w:t>格证明</w:t>
            </w:r>
            <w:r>
              <w:rPr>
                <w:rFonts w:asciiTheme="minorEastAsia" w:hAnsiTheme="minorEastAsia" w:eastAsiaTheme="minorEastAsia"/>
                <w:color w:val="auto"/>
                <w:sz w:val="24"/>
                <w:szCs w:val="24"/>
              </w:rPr>
              <w:t>文件壹份、正本壹份、</w:t>
            </w:r>
            <w:r>
              <w:rPr>
                <w:rFonts w:hint="eastAsia" w:asciiTheme="minorEastAsia" w:hAnsiTheme="minorEastAsia" w:eastAsiaTheme="minorEastAsia"/>
                <w:color w:val="auto"/>
                <w:sz w:val="24"/>
                <w:szCs w:val="24"/>
                <w:lang w:eastAsia="zh-CN"/>
              </w:rPr>
              <w:t>副本贰份</w:t>
            </w:r>
            <w:r>
              <w:rPr>
                <w:rFonts w:asciiTheme="minorEastAsia" w:hAnsiTheme="minorEastAsia" w:eastAsiaTheme="minorEastAsia"/>
                <w:color w:val="auto"/>
                <w:sz w:val="24"/>
                <w:szCs w:val="24"/>
              </w:rPr>
              <w:t>，电子版壹份</w:t>
            </w:r>
          </w:p>
        </w:tc>
      </w:tr>
      <w:tr w14:paraId="0F78EAFA">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77CACF">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center"/>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CBFA2C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asciiTheme="minorEastAsia" w:hAnsiTheme="minorEastAsia" w:eastAsiaTheme="minorEastAsia"/>
                <w:color w:val="auto"/>
                <w:sz w:val="24"/>
                <w:szCs w:val="24"/>
              </w:rPr>
            </w:pPr>
            <w:r>
              <w:rPr>
                <w:rFonts w:hint="eastAsia" w:ascii="宋体" w:hAnsi="宋体" w:cs="宋体" w:eastAsiaTheme="minorEastAsia"/>
                <w:color w:val="auto"/>
                <w:kern w:val="0"/>
                <w:sz w:val="24"/>
                <w:szCs w:val="24"/>
              </w:rPr>
              <w:t>装订要求</w:t>
            </w:r>
          </w:p>
        </w:tc>
        <w:tc>
          <w:tcPr>
            <w:tcW w:w="6949" w:type="dxa"/>
            <w:tcBorders>
              <w:top w:val="single" w:color="000000" w:sz="4" w:space="0"/>
              <w:left w:val="single" w:color="000000" w:sz="4" w:space="0"/>
              <w:bottom w:val="single" w:color="000000" w:sz="4" w:space="0"/>
              <w:right w:val="single" w:color="000000" w:sz="4" w:space="0"/>
            </w:tcBorders>
          </w:tcPr>
          <w:p w14:paraId="36708FF5">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asciiTheme="minorEastAsia" w:hAnsiTheme="minorEastAsia" w:eastAsiaTheme="minorEastAsia"/>
                <w:color w:val="auto"/>
                <w:sz w:val="24"/>
                <w:szCs w:val="24"/>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color w:val="auto"/>
                <w:sz w:val="24"/>
                <w:szCs w:val="24"/>
              </w:rPr>
              <w:t>除在</w:t>
            </w:r>
            <w:r>
              <w:rPr>
                <w:rFonts w:hint="eastAsia" w:ascii="宋体" w:hAnsi="宋体"/>
                <w:color w:val="auto"/>
                <w:kern w:val="0"/>
                <w:sz w:val="24"/>
                <w:szCs w:val="24"/>
                <w:lang w:val="en-US" w:eastAsia="zh-CN"/>
              </w:rPr>
              <w:t>响应</w:t>
            </w:r>
            <w:r>
              <w:rPr>
                <w:rFonts w:hint="eastAsia" w:ascii="宋体" w:hAnsi="宋体"/>
                <w:color w:val="auto"/>
                <w:sz w:val="24"/>
                <w:szCs w:val="24"/>
              </w:rPr>
              <w:t>文件正副本中装订外，</w:t>
            </w:r>
            <w:r>
              <w:rPr>
                <w:rFonts w:hint="eastAsia" w:ascii="宋体" w:hAnsi="宋体"/>
                <w:color w:val="auto"/>
                <w:sz w:val="24"/>
                <w:szCs w:val="24"/>
                <w:lang w:val="en-US" w:eastAsia="zh-CN"/>
              </w:rPr>
              <w:t>另外</w:t>
            </w:r>
            <w:r>
              <w:rPr>
                <w:rFonts w:hint="eastAsia" w:ascii="宋体" w:hAnsi="宋体"/>
                <w:color w:val="auto"/>
                <w:sz w:val="24"/>
                <w:szCs w:val="24"/>
              </w:rPr>
              <w:t>制作一份单独封装在</w:t>
            </w:r>
            <w:r>
              <w:rPr>
                <w:rFonts w:hint="eastAsia" w:ascii="宋体" w:hAnsi="宋体"/>
                <w:color w:val="auto"/>
                <w:sz w:val="24"/>
                <w:szCs w:val="24"/>
                <w:lang w:val="en-US" w:eastAsia="zh-CN"/>
              </w:rPr>
              <w:t>封袋</w:t>
            </w:r>
            <w:r>
              <w:rPr>
                <w:rFonts w:hint="eastAsia" w:ascii="宋体" w:hAnsi="宋体"/>
                <w:color w:val="auto"/>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color w:val="auto"/>
                <w:sz w:val="24"/>
                <w:szCs w:val="24"/>
              </w:rPr>
              <w:t>并加盖投标人公章</w:t>
            </w:r>
            <w:r>
              <w:rPr>
                <w:rFonts w:hint="eastAsia" w:ascii="宋体" w:hAnsi="宋体"/>
                <w:color w:val="auto"/>
                <w:sz w:val="24"/>
                <w:szCs w:val="24"/>
                <w:lang w:eastAsia="zh-CN"/>
              </w:rPr>
              <w:t>（</w:t>
            </w:r>
            <w:r>
              <w:rPr>
                <w:rFonts w:hint="eastAsia" w:ascii="宋体" w:hAnsi="宋体"/>
                <w:color w:val="auto"/>
                <w:sz w:val="24"/>
                <w:szCs w:val="24"/>
                <w:lang w:val="en-US" w:eastAsia="zh-CN"/>
              </w:rPr>
              <w:t>鲜章</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ascii="宋体" w:hAnsi="宋体" w:cs="宋体"/>
                <w:color w:val="auto"/>
                <w:kern w:val="2"/>
                <w:sz w:val="24"/>
                <w:szCs w:val="24"/>
                <w:lang w:val="en-US" w:eastAsia="zh-CN" w:bidi="ar-SA"/>
              </w:rPr>
              <w:t>。</w:t>
            </w:r>
          </w:p>
        </w:tc>
      </w:tr>
      <w:tr w14:paraId="470EBA22">
        <w:tblPrEx>
          <w:tblCellMar>
            <w:top w:w="147" w:type="dxa"/>
            <w:left w:w="108" w:type="dxa"/>
            <w:bottom w:w="56" w:type="dxa"/>
            <w:right w:w="0" w:type="dxa"/>
          </w:tblCellMar>
        </w:tblPrEx>
        <w:trPr>
          <w:trHeight w:val="12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A77C400">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7201EF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评分办法</w:t>
            </w:r>
          </w:p>
        </w:tc>
        <w:tc>
          <w:tcPr>
            <w:tcW w:w="6949" w:type="dxa"/>
            <w:tcBorders>
              <w:top w:val="single" w:color="000000" w:sz="4" w:space="0"/>
              <w:left w:val="single" w:color="000000" w:sz="4" w:space="0"/>
              <w:bottom w:val="single" w:color="000000" w:sz="4" w:space="0"/>
              <w:right w:val="single" w:color="000000" w:sz="4" w:space="0"/>
            </w:tcBorders>
          </w:tcPr>
          <w:p w14:paraId="2DC366EA">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综合评分法 </w:t>
            </w:r>
          </w:p>
        </w:tc>
      </w:tr>
      <w:tr w14:paraId="2ED4AE9A">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055BDD5">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28D2BF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磋商小组构成</w:t>
            </w:r>
          </w:p>
        </w:tc>
        <w:tc>
          <w:tcPr>
            <w:tcW w:w="6949" w:type="dxa"/>
            <w:tcBorders>
              <w:top w:val="single" w:color="000000" w:sz="4" w:space="0"/>
              <w:left w:val="single" w:color="000000" w:sz="4" w:space="0"/>
              <w:bottom w:val="single" w:color="000000" w:sz="4" w:space="0"/>
              <w:right w:val="single" w:color="000000" w:sz="4" w:space="0"/>
            </w:tcBorders>
          </w:tcPr>
          <w:p w14:paraId="161DD581">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根据《中华人民共和国政府采购法》《</w:t>
            </w:r>
            <w:r>
              <w:rPr>
                <w:rFonts w:hint="eastAsia" w:asciiTheme="minorEastAsia" w:hAnsiTheme="minorEastAsia" w:eastAsiaTheme="minorEastAsia"/>
                <w:color w:val="auto"/>
                <w:sz w:val="24"/>
                <w:szCs w:val="24"/>
                <w:lang w:val="en-US" w:eastAsia="zh-CN"/>
              </w:rPr>
              <w:t>政府采购竞争性磋商采购方式管理暂行办法</w:t>
            </w:r>
            <w:r>
              <w:rPr>
                <w:rFonts w:asciiTheme="minorEastAsia" w:hAnsiTheme="minorEastAsia" w:eastAsiaTheme="minorEastAsia"/>
                <w:color w:val="auto"/>
                <w:sz w:val="24"/>
                <w:szCs w:val="24"/>
              </w:rPr>
              <w:t>》等有关法律规定组建磋商小组</w:t>
            </w:r>
          </w:p>
        </w:tc>
      </w:tr>
      <w:tr w14:paraId="165BC109">
        <w:tblPrEx>
          <w:tblCellMar>
            <w:top w:w="147" w:type="dxa"/>
            <w:left w:w="108" w:type="dxa"/>
            <w:bottom w:w="56" w:type="dxa"/>
            <w:right w:w="0" w:type="dxa"/>
          </w:tblCellMar>
        </w:tblPrEx>
        <w:trPr>
          <w:trHeight w:val="67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95DA023">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D32B1F7">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付款方式</w:t>
            </w:r>
          </w:p>
        </w:tc>
        <w:tc>
          <w:tcPr>
            <w:tcW w:w="6949" w:type="dxa"/>
            <w:tcBorders>
              <w:top w:val="single" w:color="000000" w:sz="4" w:space="0"/>
              <w:left w:val="single" w:color="000000" w:sz="4" w:space="0"/>
              <w:bottom w:val="single" w:color="000000" w:sz="4" w:space="0"/>
              <w:right w:val="single" w:color="000000" w:sz="4" w:space="0"/>
            </w:tcBorders>
            <w:vAlign w:val="center"/>
          </w:tcPr>
          <w:p w14:paraId="5C6465FF">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合同签订后付</w:t>
            </w:r>
            <w:r>
              <w:rPr>
                <w:rFonts w:hint="eastAsia" w:asciiTheme="minorEastAsia" w:hAnsiTheme="minorEastAsia" w:eastAsiaTheme="minorEastAsia"/>
                <w:color w:val="auto"/>
                <w:sz w:val="24"/>
                <w:szCs w:val="24"/>
                <w:lang w:val="en-US" w:eastAsia="zh-CN"/>
              </w:rPr>
              <w:t>合同总价款的</w:t>
            </w:r>
            <w:r>
              <w:rPr>
                <w:rFonts w:hint="eastAsia" w:asciiTheme="minorEastAsia" w:hAnsiTheme="minorEastAsia" w:eastAsiaTheme="minorEastAsia"/>
                <w:color w:val="auto"/>
                <w:sz w:val="24"/>
                <w:szCs w:val="24"/>
                <w:lang w:eastAsia="zh-CN"/>
              </w:rPr>
              <w:t>40%，安装调试验收合格后</w:t>
            </w:r>
            <w:r>
              <w:rPr>
                <w:rFonts w:hint="eastAsia" w:asciiTheme="minorEastAsia" w:hAnsiTheme="minorEastAsia" w:eastAsiaTheme="minorEastAsia"/>
                <w:color w:val="auto"/>
                <w:sz w:val="24"/>
                <w:szCs w:val="24"/>
                <w:lang w:val="en-US" w:eastAsia="zh-CN"/>
              </w:rPr>
              <w:t>付合同总价款的</w:t>
            </w:r>
            <w:r>
              <w:rPr>
                <w:rFonts w:hint="eastAsia" w:asciiTheme="minorEastAsia" w:hAnsiTheme="minorEastAsia" w:eastAsiaTheme="minorEastAsia"/>
                <w:color w:val="auto"/>
                <w:sz w:val="24"/>
                <w:szCs w:val="24"/>
                <w:lang w:eastAsia="zh-CN"/>
              </w:rPr>
              <w:t>60%。付款前，中标供应商应为采购人开具全额的增值税电子发票。</w:t>
            </w:r>
          </w:p>
        </w:tc>
      </w:tr>
      <w:tr w14:paraId="77FF5AB6">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12C89B">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46C1A5E1">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答疑</w:t>
            </w:r>
          </w:p>
        </w:tc>
        <w:tc>
          <w:tcPr>
            <w:tcW w:w="6949" w:type="dxa"/>
            <w:tcBorders>
              <w:top w:val="single" w:color="000000" w:sz="4" w:space="0"/>
              <w:left w:val="single" w:color="000000" w:sz="4" w:space="0"/>
              <w:bottom w:val="single" w:color="000000" w:sz="4" w:space="0"/>
              <w:right w:val="single" w:color="000000" w:sz="4" w:space="0"/>
            </w:tcBorders>
          </w:tcPr>
          <w:p w14:paraId="19EFB046">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如有疑问，投标人需书面提出，经采购人收集问题后，统一答疑 </w:t>
            </w:r>
          </w:p>
        </w:tc>
      </w:tr>
      <w:tr w14:paraId="48F35699">
        <w:tblPrEx>
          <w:tblCellMar>
            <w:top w:w="147" w:type="dxa"/>
            <w:left w:w="108" w:type="dxa"/>
            <w:bottom w:w="56" w:type="dxa"/>
            <w:right w:w="0" w:type="dxa"/>
          </w:tblCellMar>
        </w:tblPrEx>
        <w:trPr>
          <w:trHeight w:val="156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1A38AB1">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both"/>
              <w:textAlignment w:val="auto"/>
              <w:rPr>
                <w:rFonts w:asciiTheme="minorEastAsia" w:hAnsiTheme="minorEastAsia" w:eastAsiaTheme="minorEastAsia"/>
                <w:color w:val="auto"/>
                <w:sz w:val="24"/>
                <w:szCs w:val="24"/>
              </w:rPr>
            </w:pPr>
            <w:bookmarkStart w:id="19" w:name="_Toc536202378"/>
            <w:bookmarkStart w:id="20" w:name="_Toc536429371"/>
            <w:bookmarkStart w:id="21" w:name="_Toc21495"/>
            <w:bookmarkStart w:id="22" w:name="_Toc19272"/>
            <w:bookmarkStart w:id="23" w:name="_Toc536429318"/>
            <w:bookmarkStart w:id="24" w:name="_Toc536202284"/>
          </w:p>
        </w:tc>
        <w:tc>
          <w:tcPr>
            <w:tcW w:w="1990" w:type="dxa"/>
            <w:tcBorders>
              <w:top w:val="single" w:color="000000" w:sz="4" w:space="0"/>
              <w:left w:val="single" w:color="000000" w:sz="4" w:space="0"/>
              <w:bottom w:val="single" w:color="000000" w:sz="4" w:space="0"/>
              <w:right w:val="single" w:color="000000" w:sz="4" w:space="0"/>
            </w:tcBorders>
            <w:vAlign w:val="center"/>
          </w:tcPr>
          <w:p w14:paraId="75B8E0CC">
            <w:pPr>
              <w:keepNext w:val="0"/>
              <w:keepLines w:val="0"/>
              <w:pageBreakBefore w:val="0"/>
              <w:kinsoku/>
              <w:wordWrap/>
              <w:overflowPunct/>
              <w:topLinePunct w:val="0"/>
              <w:autoSpaceDE/>
              <w:autoSpaceDN/>
              <w:bidi w:val="0"/>
              <w:spacing w:line="400" w:lineRule="exact"/>
              <w:ind w:left="0" w:right="0" w:rightChars="0"/>
              <w:jc w:val="center"/>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其他说明事项</w:t>
            </w:r>
          </w:p>
        </w:tc>
        <w:tc>
          <w:tcPr>
            <w:tcW w:w="6949" w:type="dxa"/>
            <w:tcBorders>
              <w:top w:val="single" w:color="000000" w:sz="4" w:space="0"/>
              <w:left w:val="single" w:color="000000" w:sz="4" w:space="0"/>
              <w:bottom w:val="single" w:color="000000" w:sz="4" w:space="0"/>
              <w:right w:val="single" w:color="000000" w:sz="4" w:space="0"/>
            </w:tcBorders>
            <w:vAlign w:val="top"/>
          </w:tcPr>
          <w:p w14:paraId="13A2ABCE">
            <w:pPr>
              <w:keepNext w:val="0"/>
              <w:keepLines w:val="0"/>
              <w:pageBreakBefore w:val="0"/>
              <w:kinsoku/>
              <w:wordWrap/>
              <w:overflowPunct/>
              <w:topLinePunct w:val="0"/>
              <w:autoSpaceDE/>
              <w:autoSpaceDN/>
              <w:bidi w:val="0"/>
              <w:adjustRightInd w:val="0"/>
              <w:snapToGrid w:val="0"/>
              <w:spacing w:line="400" w:lineRule="exact"/>
              <w:ind w:left="0" w:right="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kern w:val="2"/>
                <w:sz w:val="24"/>
                <w:szCs w:val="24"/>
                <w:lang w:val="en-US" w:eastAsia="zh-CN" w:bidi="ar"/>
              </w:rPr>
              <w:t>依据《关于印发中小企业划型标准规定的通知》（工信部联企业〔2011〕300 号），</w:t>
            </w:r>
            <w:r>
              <w:rPr>
                <w:rFonts w:hint="eastAsia" w:ascii="宋体" w:hAnsi="宋体" w:eastAsia="宋体" w:cs="宋体"/>
                <w:color w:val="auto"/>
                <w:sz w:val="24"/>
                <w:szCs w:val="22"/>
                <w:lang w:val="en-US" w:eastAsia="zh-CN"/>
              </w:rPr>
              <w:t>采购标的对应的中小企业划分标准所属行业为软件和信息技术服务业。</w:t>
            </w:r>
          </w:p>
          <w:p w14:paraId="2D6759FE">
            <w:pPr>
              <w:keepNext w:val="0"/>
              <w:keepLines w:val="0"/>
              <w:pageBreakBefore w:val="0"/>
              <w:kinsoku/>
              <w:wordWrap/>
              <w:overflowPunct/>
              <w:topLinePunct w:val="0"/>
              <w:autoSpaceDE/>
              <w:autoSpaceDN/>
              <w:bidi w:val="0"/>
              <w:adjustRightInd w:val="0"/>
              <w:snapToGrid w:val="0"/>
              <w:spacing w:line="400" w:lineRule="exact"/>
              <w:ind w:left="0" w:right="0"/>
              <w:textAlignment w:val="auto"/>
              <w:rPr>
                <w:rFonts w:asciiTheme="minorEastAsia" w:hAnsiTheme="minorEastAsia" w:eastAsiaTheme="minorEastAsia"/>
                <w:color w:val="auto"/>
                <w:sz w:val="24"/>
                <w:szCs w:val="24"/>
              </w:rPr>
            </w:pPr>
            <w:r>
              <w:rPr>
                <w:rFonts w:hint="eastAsia" w:ascii="宋体" w:hAnsi="宋体" w:eastAsia="宋体" w:cs="宋体"/>
                <w:color w:val="auto"/>
                <w:sz w:val="24"/>
                <w:szCs w:val="22"/>
                <w:lang w:val="en-US" w:eastAsia="zh-CN"/>
              </w:rPr>
              <w:t>软件和信息技术服务业的划型标准为：</w:t>
            </w:r>
            <w:r>
              <w:rPr>
                <w:rFonts w:hint="eastAsia" w:ascii="宋体" w:hAnsi="宋体" w:eastAsia="宋体" w:cs="宋体"/>
                <w:i w:val="0"/>
                <w:iCs w:val="0"/>
                <w:caps w:val="0"/>
                <w:color w:val="auto"/>
                <w:spacing w:val="0"/>
                <w:sz w:val="24"/>
                <w:szCs w:val="24"/>
                <w:shd w:val="clear" w:fill="FFFFFF"/>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70B5CF43">
        <w:tblPrEx>
          <w:tblCellMar>
            <w:top w:w="147" w:type="dxa"/>
            <w:left w:w="108" w:type="dxa"/>
            <w:bottom w:w="56" w:type="dxa"/>
            <w:right w:w="0" w:type="dxa"/>
          </w:tblCellMar>
        </w:tblPrEx>
        <w:trPr>
          <w:trHeight w:val="6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75CF289">
            <w:pPr>
              <w:pStyle w:val="83"/>
              <w:keepNext w:val="0"/>
              <w:keepLines w:val="0"/>
              <w:pageBreakBefore w:val="0"/>
              <w:numPr>
                <w:ilvl w:val="0"/>
                <w:numId w:val="2"/>
              </w:numPr>
              <w:kinsoku/>
              <w:wordWrap/>
              <w:overflowPunct/>
              <w:topLinePunct w:val="0"/>
              <w:autoSpaceDE/>
              <w:autoSpaceDN/>
              <w:bidi w:val="0"/>
              <w:spacing w:line="400" w:lineRule="exact"/>
              <w:ind w:left="425" w:leftChars="0" w:right="0" w:hanging="425" w:firstLineChars="0"/>
              <w:jc w:val="center"/>
              <w:textAlignment w:val="auto"/>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954D8CE">
            <w:pPr>
              <w:keepNext w:val="0"/>
              <w:keepLines w:val="0"/>
              <w:pageBreakBefore w:val="0"/>
              <w:kinsoku/>
              <w:wordWrap/>
              <w:overflowPunct/>
              <w:topLinePunct w:val="0"/>
              <w:autoSpaceDE/>
              <w:autoSpaceDN/>
              <w:bidi w:val="0"/>
              <w:spacing w:line="400" w:lineRule="exact"/>
              <w:ind w:left="0" w:right="0" w:rightChars="0"/>
              <w:jc w:val="center"/>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核心产品</w:t>
            </w:r>
          </w:p>
        </w:tc>
        <w:tc>
          <w:tcPr>
            <w:tcW w:w="6949" w:type="dxa"/>
            <w:tcBorders>
              <w:top w:val="single" w:color="000000" w:sz="4" w:space="0"/>
              <w:left w:val="single" w:color="000000" w:sz="4" w:space="0"/>
              <w:bottom w:val="single" w:color="000000" w:sz="4" w:space="0"/>
              <w:right w:val="single" w:color="000000" w:sz="4" w:space="0"/>
            </w:tcBorders>
            <w:vAlign w:val="center"/>
          </w:tcPr>
          <w:p w14:paraId="235D0105">
            <w:pPr>
              <w:keepNext w:val="0"/>
              <w:keepLines w:val="0"/>
              <w:pageBreakBefore w:val="0"/>
              <w:kinsoku/>
              <w:wordWrap/>
              <w:overflowPunct/>
              <w:topLinePunct w:val="0"/>
              <w:autoSpaceDE/>
              <w:autoSpaceDN/>
              <w:bidi w:val="0"/>
              <w:adjustRightInd w:val="0"/>
              <w:snapToGrid w:val="0"/>
              <w:spacing w:line="400" w:lineRule="exact"/>
              <w:ind w:left="0" w:right="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高清数字媒体综合控制系统</w:t>
            </w:r>
            <w:r>
              <w:rPr>
                <w:rFonts w:hint="eastAsia" w:ascii="宋体" w:hAnsi="宋体" w:cs="宋体"/>
                <w:color w:val="auto"/>
                <w:sz w:val="24"/>
                <w:szCs w:val="22"/>
                <w:lang w:val="en-US" w:eastAsia="zh-CN"/>
              </w:rPr>
              <w:t>、书记员庭审应用软件</w:t>
            </w:r>
          </w:p>
        </w:tc>
      </w:tr>
    </w:tbl>
    <w:p w14:paraId="6CC288DE">
      <w:pPr>
        <w:pStyle w:val="12"/>
        <w:rPr>
          <w:color w:val="auto"/>
          <w:kern w:val="44"/>
          <w:sz w:val="32"/>
          <w:szCs w:val="32"/>
        </w:rPr>
      </w:pPr>
      <w:r>
        <w:rPr>
          <w:color w:val="auto"/>
        </w:rPr>
        <w:br w:type="page"/>
      </w:r>
    </w:p>
    <w:p w14:paraId="10F77888">
      <w:pPr>
        <w:pStyle w:val="2"/>
        <w:keepLines w:val="0"/>
        <w:spacing w:line="400" w:lineRule="exact"/>
        <w:rPr>
          <w:rFonts w:ascii="宋体"/>
          <w:color w:val="auto"/>
        </w:rPr>
      </w:pPr>
      <w:bookmarkStart w:id="25" w:name="_Toc7866"/>
      <w:bookmarkStart w:id="26" w:name="_Toc19543335"/>
      <w:r>
        <w:rPr>
          <w:rFonts w:hint="eastAsia" w:ascii="宋体" w:hAnsi="宋体" w:cs="宋体"/>
          <w:color w:val="auto"/>
        </w:rPr>
        <w:t xml:space="preserve">第三部分 </w:t>
      </w:r>
      <w:r>
        <w:rPr>
          <w:rFonts w:ascii="宋体" w:hAnsi="宋体" w:cs="宋体"/>
          <w:color w:val="auto"/>
        </w:rPr>
        <w:t xml:space="preserve">  </w:t>
      </w:r>
      <w:r>
        <w:rPr>
          <w:rFonts w:hint="eastAsia" w:ascii="宋体" w:hAnsi="宋体" w:cs="宋体"/>
          <w:color w:val="auto"/>
        </w:rPr>
        <w:t>供应商须知</w:t>
      </w:r>
      <w:bookmarkEnd w:id="19"/>
      <w:bookmarkEnd w:id="20"/>
      <w:bookmarkEnd w:id="21"/>
      <w:bookmarkEnd w:id="22"/>
      <w:bookmarkEnd w:id="23"/>
      <w:bookmarkEnd w:id="24"/>
      <w:bookmarkEnd w:id="25"/>
      <w:bookmarkEnd w:id="26"/>
    </w:p>
    <w:p w14:paraId="294B5550">
      <w:pPr>
        <w:widowControl/>
        <w:numPr>
          <w:ilvl w:val="0"/>
          <w:numId w:val="3"/>
        </w:numPr>
        <w:spacing w:line="400" w:lineRule="exact"/>
        <w:ind w:firstLine="643" w:firstLineChars="200"/>
        <w:jc w:val="center"/>
        <w:outlineLvl w:val="1"/>
        <w:rPr>
          <w:rFonts w:ascii="宋体" w:cs="Times New Roman"/>
          <w:b/>
          <w:bCs/>
          <w:color w:val="auto"/>
          <w:kern w:val="0"/>
          <w:sz w:val="32"/>
          <w:szCs w:val="32"/>
        </w:rPr>
      </w:pPr>
      <w:bookmarkStart w:id="27" w:name="_Toc19543336"/>
      <w:bookmarkStart w:id="28" w:name="_Toc536429319"/>
      <w:bookmarkStart w:id="29" w:name="_Toc536202379"/>
      <w:bookmarkStart w:id="30" w:name="_Toc536202285"/>
      <w:bookmarkStart w:id="31" w:name="_Toc17059"/>
      <w:bookmarkStart w:id="32" w:name="_Toc536429372"/>
      <w:bookmarkStart w:id="33" w:name="_Toc26739"/>
      <w:r>
        <w:rPr>
          <w:rFonts w:hint="eastAsia" w:ascii="宋体" w:hAnsi="宋体" w:cs="宋体"/>
          <w:b/>
          <w:bCs/>
          <w:color w:val="auto"/>
          <w:kern w:val="0"/>
          <w:sz w:val="32"/>
          <w:szCs w:val="32"/>
        </w:rPr>
        <w:t>总 则</w:t>
      </w:r>
      <w:bookmarkEnd w:id="27"/>
      <w:bookmarkEnd w:id="28"/>
      <w:bookmarkEnd w:id="29"/>
      <w:bookmarkEnd w:id="30"/>
      <w:bookmarkEnd w:id="31"/>
      <w:bookmarkEnd w:id="32"/>
      <w:bookmarkEnd w:id="33"/>
    </w:p>
    <w:p w14:paraId="2D361977">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1.</w:t>
      </w:r>
      <w:r>
        <w:rPr>
          <w:rFonts w:hint="eastAsia" w:ascii="宋体" w:hAnsi="宋体" w:cs="宋体"/>
          <w:b/>
          <w:bCs/>
          <w:color w:val="auto"/>
          <w:sz w:val="24"/>
          <w:szCs w:val="24"/>
        </w:rPr>
        <w:t>适用范围</w:t>
      </w:r>
    </w:p>
    <w:p w14:paraId="45C210B9">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1.1本磋商文件适用于本次采购活动的全过程。</w:t>
      </w:r>
    </w:p>
    <w:p w14:paraId="548A5FC4">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22A1FB4D">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2.</w:t>
      </w:r>
      <w:r>
        <w:rPr>
          <w:rFonts w:hint="eastAsia" w:ascii="宋体" w:hAnsi="宋体" w:cs="宋体"/>
          <w:b/>
          <w:bCs/>
          <w:color w:val="auto"/>
          <w:sz w:val="24"/>
          <w:szCs w:val="24"/>
        </w:rPr>
        <w:t>定义</w:t>
      </w:r>
    </w:p>
    <w:p w14:paraId="1C537252">
      <w:pPr>
        <w:widowControl/>
        <w:snapToGrid w:val="0"/>
        <w:spacing w:line="360" w:lineRule="auto"/>
        <w:ind w:firstLine="480" w:firstLineChars="200"/>
        <w:jc w:val="left"/>
        <w:rPr>
          <w:rFonts w:hint="default" w:ascii="宋体" w:hAnsi="宋体" w:eastAsia="宋体" w:cs="宋体"/>
          <w:bCs/>
          <w:color w:val="auto"/>
          <w:sz w:val="24"/>
          <w:szCs w:val="24"/>
          <w:lang w:val="en-US" w:eastAsia="zh-CN"/>
        </w:rPr>
      </w:pPr>
      <w:r>
        <w:rPr>
          <w:rFonts w:hint="eastAsia" w:ascii="宋体" w:hAnsi="宋体" w:cs="宋体"/>
          <w:bCs/>
          <w:color w:val="auto"/>
          <w:sz w:val="24"/>
          <w:szCs w:val="24"/>
        </w:rPr>
        <w:t>2.1采购人：</w:t>
      </w:r>
      <w:r>
        <w:rPr>
          <w:rFonts w:hint="eastAsia" w:ascii="宋体" w:hAnsi="宋体" w:cs="宋体"/>
          <w:bCs/>
          <w:color w:val="auto"/>
          <w:sz w:val="24"/>
          <w:szCs w:val="24"/>
          <w:lang w:eastAsia="zh-CN"/>
        </w:rPr>
        <w:t>紫阳县人民法院</w:t>
      </w:r>
    </w:p>
    <w:p w14:paraId="72B5F9AD">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2.2采购代理机构：安康尚昊招标代理有限公司</w:t>
      </w:r>
    </w:p>
    <w:p w14:paraId="28CC604A">
      <w:pPr>
        <w:widowControl/>
        <w:snapToGrid w:val="0"/>
        <w:spacing w:line="336" w:lineRule="auto"/>
        <w:ind w:right="-90" w:rightChars="-43" w:firstLine="480" w:firstLineChars="200"/>
        <w:jc w:val="left"/>
        <w:rPr>
          <w:rFonts w:ascii="宋体" w:hAnsi="宋体" w:cs="宋体"/>
          <w:bCs/>
          <w:color w:val="auto"/>
          <w:sz w:val="24"/>
          <w:szCs w:val="24"/>
        </w:rPr>
      </w:pPr>
      <w:r>
        <w:rPr>
          <w:rFonts w:hint="eastAsia" w:ascii="宋体" w:hAnsi="宋体" w:cs="宋体"/>
          <w:bCs/>
          <w:color w:val="auto"/>
          <w:sz w:val="24"/>
          <w:szCs w:val="24"/>
        </w:rPr>
        <w:t>2.3监管机构：</w:t>
      </w:r>
      <w:r>
        <w:rPr>
          <w:rFonts w:hint="eastAsia" w:ascii="宋体" w:hAnsi="宋体" w:cs="宋体"/>
          <w:bCs/>
          <w:color w:val="auto"/>
          <w:sz w:val="24"/>
          <w:szCs w:val="24"/>
          <w:lang w:val="en-US" w:eastAsia="zh-CN"/>
        </w:rPr>
        <w:t>紫阳县</w:t>
      </w:r>
      <w:r>
        <w:rPr>
          <w:rFonts w:hint="eastAsia" w:ascii="宋体" w:hAnsi="宋体" w:cs="宋体"/>
          <w:bCs/>
          <w:color w:val="auto"/>
          <w:sz w:val="24"/>
          <w:szCs w:val="24"/>
        </w:rPr>
        <w:t>财政局</w:t>
      </w:r>
    </w:p>
    <w:p w14:paraId="5E05EEC7">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2.4供应商：指无条件接受磋商文件的各项要求，具备相应履约能力、具有《中华人民共和国政府采购法》第</w:t>
      </w:r>
      <w:r>
        <w:rPr>
          <w:rFonts w:hint="eastAsia" w:ascii="宋体" w:hAnsi="宋体" w:cs="宋体"/>
          <w:bCs/>
          <w:color w:val="auto"/>
          <w:sz w:val="24"/>
          <w:szCs w:val="24"/>
          <w:lang w:val="en-US" w:eastAsia="zh-CN"/>
        </w:rPr>
        <w:t>二十二条</w:t>
      </w:r>
      <w:r>
        <w:rPr>
          <w:rFonts w:hint="eastAsia" w:ascii="宋体" w:hAnsi="宋体" w:cs="宋体"/>
          <w:bCs/>
          <w:color w:val="auto"/>
          <w:sz w:val="24"/>
          <w:szCs w:val="24"/>
        </w:rPr>
        <w:t>规定的相关条件并向磋商小组提交响应文件的供应商。</w:t>
      </w:r>
    </w:p>
    <w:p w14:paraId="27B934C4">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2.5货物：是指本次投标所需的各种形态和种类的物品。</w:t>
      </w:r>
    </w:p>
    <w:p w14:paraId="758CFF37">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2.6服务：指除了货物和工程外的其他政府采购对象，包含除货物以外规定由供应商承担的与货物有关的辅助服务。</w:t>
      </w:r>
    </w:p>
    <w:p w14:paraId="306DA57E">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3.</w:t>
      </w:r>
      <w:r>
        <w:rPr>
          <w:rFonts w:hint="eastAsia" w:ascii="宋体" w:hAnsi="宋体" w:cs="宋体"/>
          <w:b/>
          <w:bCs/>
          <w:color w:val="auto"/>
          <w:sz w:val="24"/>
          <w:szCs w:val="24"/>
        </w:rPr>
        <w:t>合格的供应商</w:t>
      </w:r>
    </w:p>
    <w:p w14:paraId="163B420D">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3.1具有本项目生产、制造、加工、供应或实施能力，符合、承认并承诺履行本磋商文件各项规定的国内供应商。</w:t>
      </w:r>
    </w:p>
    <w:p w14:paraId="499C51A3">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3.2供应商应遵守有关的国家</w:t>
      </w:r>
      <w:r>
        <w:rPr>
          <w:rFonts w:hint="eastAsia" w:ascii="宋体" w:hAnsi="宋体" w:cs="宋体"/>
          <w:bCs/>
          <w:color w:val="auto"/>
          <w:sz w:val="24"/>
          <w:szCs w:val="24"/>
          <w:lang w:eastAsia="zh-CN"/>
        </w:rPr>
        <w:t>法律法规</w:t>
      </w:r>
      <w:r>
        <w:rPr>
          <w:rFonts w:hint="eastAsia" w:ascii="宋体" w:hAnsi="宋体" w:cs="宋体"/>
          <w:bCs/>
          <w:color w:val="auto"/>
          <w:sz w:val="24"/>
          <w:szCs w:val="24"/>
        </w:rPr>
        <w:t>和条例，具备《中华人民共和国政府采购法》和本文件中规定的条件：</w:t>
      </w:r>
    </w:p>
    <w:p w14:paraId="24B743CA">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（1）具有独立承担民事责任的能力；</w:t>
      </w:r>
    </w:p>
    <w:p w14:paraId="55AAD2C9">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（2）具有良好的商业信誉和健全的财务会计制度；</w:t>
      </w:r>
    </w:p>
    <w:p w14:paraId="5D6BCFE3">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（3）具有履行合同所必需的产品和专业技术能力；</w:t>
      </w:r>
    </w:p>
    <w:p w14:paraId="59E1ADFE">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（4）具有依法缴纳税收和社会保障资金的良好记录；</w:t>
      </w:r>
    </w:p>
    <w:p w14:paraId="7E52A9F7">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（5）参加此项采购活动前三年内，在经营活动中没有重大违法记录；</w:t>
      </w:r>
    </w:p>
    <w:p w14:paraId="6EC3E388">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（6）法律、行政法规规定的其他条件。</w:t>
      </w:r>
    </w:p>
    <w:p w14:paraId="4A1C9372">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3.3供应商</w:t>
      </w:r>
      <w:r>
        <w:rPr>
          <w:rFonts w:hint="eastAsia" w:ascii="宋体" w:hAnsi="宋体" w:cs="宋体"/>
          <w:bCs/>
          <w:color w:val="auto"/>
          <w:sz w:val="24"/>
          <w:szCs w:val="24"/>
          <w:lang w:val="en-US" w:eastAsia="zh-CN"/>
        </w:rPr>
        <w:t>获取</w:t>
      </w:r>
      <w:r>
        <w:rPr>
          <w:rFonts w:hint="eastAsia" w:ascii="宋体" w:hAnsi="宋体" w:cs="宋体"/>
          <w:bCs/>
          <w:color w:val="auto"/>
          <w:sz w:val="24"/>
          <w:szCs w:val="24"/>
        </w:rPr>
        <w:t>磋商文件时应提供有效联系方式。</w:t>
      </w:r>
    </w:p>
    <w:p w14:paraId="439A2158">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 xml:space="preserve">3.4如供应商代表不是法定代表人，须持有《法定代表人授权委托书》 </w:t>
      </w:r>
      <w:r>
        <w:rPr>
          <w:rFonts w:hint="eastAsia" w:ascii="宋体" w:hAnsi="宋体" w:cs="宋体"/>
          <w:bCs/>
          <w:color w:val="auto"/>
          <w:sz w:val="24"/>
          <w:szCs w:val="24"/>
          <w:lang w:eastAsia="zh-CN"/>
        </w:rPr>
        <w:t>（</w:t>
      </w:r>
      <w:r>
        <w:rPr>
          <w:rFonts w:hint="eastAsia" w:ascii="宋体" w:hAnsi="宋体" w:cs="宋体"/>
          <w:bCs/>
          <w:color w:val="auto"/>
          <w:sz w:val="24"/>
          <w:szCs w:val="24"/>
        </w:rPr>
        <w:t>按磋商文件提供的格式填写</w:t>
      </w:r>
      <w:r>
        <w:rPr>
          <w:rFonts w:hint="eastAsia" w:ascii="宋体" w:hAnsi="宋体" w:cs="宋体"/>
          <w:bCs/>
          <w:color w:val="auto"/>
          <w:sz w:val="24"/>
          <w:szCs w:val="24"/>
          <w:lang w:eastAsia="zh-CN"/>
        </w:rPr>
        <w:t>）</w:t>
      </w:r>
      <w:r>
        <w:rPr>
          <w:rFonts w:hint="eastAsia" w:ascii="宋体" w:hAnsi="宋体" w:cs="宋体"/>
          <w:bCs/>
          <w:color w:val="auto"/>
          <w:sz w:val="24"/>
          <w:szCs w:val="24"/>
        </w:rPr>
        <w:t>。</w:t>
      </w:r>
    </w:p>
    <w:p w14:paraId="622D2B3C">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3.5供应商应独立于采购人，不得直接或间接地与采购人为采购本次招标的货物或服务进行设计、编制技术规格</w:t>
      </w:r>
      <w:r>
        <w:rPr>
          <w:rFonts w:hint="eastAsia" w:ascii="宋体" w:hAnsi="宋体" w:cs="宋体"/>
          <w:bCs/>
          <w:color w:val="auto"/>
          <w:sz w:val="24"/>
          <w:szCs w:val="24"/>
          <w:lang w:eastAsia="zh-CN"/>
        </w:rPr>
        <w:t>和其他</w:t>
      </w:r>
      <w:r>
        <w:rPr>
          <w:rFonts w:hint="eastAsia" w:ascii="宋体" w:hAnsi="宋体" w:cs="宋体"/>
          <w:bCs/>
          <w:color w:val="auto"/>
          <w:sz w:val="24"/>
          <w:szCs w:val="24"/>
        </w:rPr>
        <w:t>文件所委托的咨询公司或其附属机构有任何关联。</w:t>
      </w:r>
    </w:p>
    <w:p w14:paraId="0060959E">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3.6供应商不得存在下列情形之一：</w:t>
      </w:r>
    </w:p>
    <w:p w14:paraId="2CE4E4CD">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（1）与采购人或采购代理机构存在隶属关系或者其他利害关系；</w:t>
      </w:r>
    </w:p>
    <w:p w14:paraId="3A29CD9F">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（2）与其他供应商的法定代表人（或者负责人）为同一人，或者与其他供应商存在直接控股、管理关系；</w:t>
      </w:r>
    </w:p>
    <w:p w14:paraId="1C98FBDC">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w:t>
      </w:r>
      <w:r>
        <w:rPr>
          <w:rFonts w:hint="eastAsia" w:ascii="宋体" w:hAnsi="宋体" w:eastAsia="宋体" w:cs="宋体"/>
          <w:b w:val="0"/>
          <w:bCs w:val="0"/>
          <w:color w:val="auto"/>
          <w:sz w:val="24"/>
          <w:szCs w:val="24"/>
        </w:rPr>
        <w:t>受到刑事处罚，或者受到 200万元以上罚款，责令停产停业、在一年至三年内禁止参加政府采购活动或吊销许可证、营业执照等情形之一的行政处罚，或者存在财政部门认定的其他重大违法记录</w:t>
      </w:r>
      <w:r>
        <w:rPr>
          <w:rFonts w:hint="eastAsia" w:ascii="宋体" w:hAnsi="宋体" w:cs="宋体"/>
          <w:b w:val="0"/>
          <w:bCs w:val="0"/>
          <w:color w:val="auto"/>
          <w:sz w:val="24"/>
          <w:szCs w:val="24"/>
          <w:lang w:eastAsia="zh-CN"/>
        </w:rPr>
        <w:t>；</w:t>
      </w:r>
    </w:p>
    <w:p w14:paraId="7E3C024F">
      <w:pPr>
        <w:widowControl/>
        <w:snapToGrid w:val="0"/>
        <w:spacing w:line="360" w:lineRule="auto"/>
        <w:ind w:firstLine="480" w:firstLineChars="200"/>
        <w:jc w:val="left"/>
        <w:rPr>
          <w:rFonts w:hint="eastAsia" w:ascii="宋体" w:hAnsi="宋体" w:eastAsia="宋体" w:cs="宋体"/>
          <w:bCs/>
          <w:color w:val="auto"/>
          <w:sz w:val="24"/>
          <w:szCs w:val="24"/>
          <w:lang w:eastAsia="zh-CN"/>
        </w:rPr>
      </w:pPr>
      <w:r>
        <w:rPr>
          <w:rFonts w:hint="eastAsia" w:ascii="宋体" w:hAnsi="宋体" w:cs="宋体"/>
          <w:bCs/>
          <w:color w:val="auto"/>
          <w:sz w:val="24"/>
          <w:szCs w:val="24"/>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auto"/>
          <w:sz w:val="24"/>
          <w:szCs w:val="24"/>
          <w:lang w:eastAsia="zh-CN"/>
        </w:rPr>
        <w:t>。</w:t>
      </w:r>
    </w:p>
    <w:p w14:paraId="092DB8E2">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4.</w:t>
      </w:r>
      <w:r>
        <w:rPr>
          <w:rFonts w:hint="eastAsia" w:ascii="宋体" w:hAnsi="宋体" w:cs="宋体"/>
          <w:b/>
          <w:bCs/>
          <w:color w:val="auto"/>
          <w:sz w:val="24"/>
          <w:szCs w:val="24"/>
        </w:rPr>
        <w:t>政府采购政策支持</w:t>
      </w:r>
    </w:p>
    <w:p w14:paraId="320E60C6">
      <w:pPr>
        <w:spacing w:line="360" w:lineRule="auto"/>
        <w:ind w:firstLine="480" w:firstLineChars="200"/>
        <w:rPr>
          <w:rFonts w:ascii="宋体" w:hAnsi="宋体"/>
          <w:color w:val="auto"/>
          <w:sz w:val="24"/>
          <w:szCs w:val="24"/>
        </w:rPr>
      </w:pPr>
      <w:r>
        <w:rPr>
          <w:rFonts w:hint="eastAsia" w:ascii="宋体" w:hAnsi="宋体"/>
          <w:color w:val="auto"/>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7C0B7FB4">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color w:val="auto"/>
          <w:sz w:val="24"/>
          <w:szCs w:val="24"/>
          <w:lang w:val="en-US" w:eastAsia="zh-CN"/>
        </w:rPr>
        <w:t>10%</w:t>
      </w:r>
      <w:r>
        <w:rPr>
          <w:rFonts w:hint="eastAsia" w:ascii="宋体" w:hAnsi="宋体"/>
          <w:color w:val="auto"/>
          <w:sz w:val="24"/>
          <w:szCs w:val="24"/>
        </w:rPr>
        <w:t xml:space="preserve">的价格扣除，用扣除后的价格参与评标。  </w:t>
      </w:r>
    </w:p>
    <w:p w14:paraId="25F568E8">
      <w:pPr>
        <w:tabs>
          <w:tab w:val="left" w:pos="0"/>
        </w:tabs>
        <w:autoSpaceDE w:val="0"/>
        <w:autoSpaceDN w:val="0"/>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color w:val="auto"/>
          <w:sz w:val="24"/>
          <w:szCs w:val="24"/>
          <w:lang w:eastAsia="zh-CN"/>
        </w:rPr>
        <w:t>给予</w:t>
      </w:r>
      <w:r>
        <w:rPr>
          <w:rFonts w:hint="eastAsia" w:ascii="宋体" w:hAnsi="宋体"/>
          <w:color w:val="auto"/>
          <w:sz w:val="24"/>
          <w:szCs w:val="24"/>
          <w:lang w:val="en-US" w:eastAsia="zh-CN"/>
        </w:rPr>
        <w:t>10%</w:t>
      </w:r>
      <w:r>
        <w:rPr>
          <w:rFonts w:hint="eastAsia" w:ascii="宋体" w:hAnsi="宋体"/>
          <w:color w:val="auto"/>
          <w:sz w:val="24"/>
          <w:szCs w:val="24"/>
        </w:rPr>
        <w:t>的价格扣除，用扣除后的价格参与评审</w:t>
      </w:r>
      <w:r>
        <w:rPr>
          <w:rFonts w:hint="eastAsia" w:ascii="宋体" w:hAnsi="宋体"/>
          <w:color w:val="auto"/>
          <w:sz w:val="24"/>
          <w:szCs w:val="24"/>
          <w:lang w:eastAsia="zh-CN"/>
        </w:rPr>
        <w:t>。</w:t>
      </w:r>
    </w:p>
    <w:p w14:paraId="142F8ACB">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 根据财政部、民政部、中国残疾人联合会下发的《关于促进残疾人就业政府采购政策的通知》（财库〔201</w:t>
      </w:r>
      <w:r>
        <w:rPr>
          <w:rFonts w:ascii="宋体" w:hAnsi="宋体"/>
          <w:color w:val="auto"/>
          <w:sz w:val="24"/>
          <w:szCs w:val="24"/>
        </w:rPr>
        <w:t>7</w:t>
      </w:r>
      <w:r>
        <w:rPr>
          <w:rFonts w:hint="eastAsia" w:ascii="宋体" w:hAnsi="宋体"/>
          <w:color w:val="auto"/>
          <w:sz w:val="24"/>
          <w:szCs w:val="24"/>
        </w:rPr>
        <w:t>〕</w:t>
      </w:r>
      <w:r>
        <w:rPr>
          <w:rFonts w:ascii="宋体" w:hAnsi="宋体"/>
          <w:color w:val="auto"/>
          <w:sz w:val="24"/>
          <w:szCs w:val="24"/>
        </w:rPr>
        <w:t>141</w:t>
      </w:r>
      <w:r>
        <w:rPr>
          <w:rFonts w:hint="eastAsia" w:ascii="宋体" w:hAnsi="宋体"/>
          <w:color w:val="auto"/>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7AD759DC">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（4）对专门面向中小企业采购项目，不再执行价格扣除政策。</w:t>
      </w:r>
    </w:p>
    <w:p w14:paraId="09F22944">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（5）对非专门面向中小企业采购项目，执行以上价格扣除政策。</w:t>
      </w:r>
    </w:p>
    <w:p w14:paraId="60D97D61">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olor w:val="auto"/>
          <w:sz w:val="24"/>
          <w:szCs w:val="24"/>
          <w:lang w:eastAsia="zh-CN"/>
        </w:rPr>
        <w:t>磋商文件</w:t>
      </w:r>
      <w:r>
        <w:rPr>
          <w:rFonts w:hint="eastAsia" w:ascii="宋体" w:hAnsi="宋体"/>
          <w:color w:val="auto"/>
          <w:sz w:val="24"/>
          <w:szCs w:val="24"/>
        </w:rPr>
        <w:t>规定的价格扣除，但不影响</w:t>
      </w:r>
      <w:r>
        <w:rPr>
          <w:rFonts w:hint="eastAsia" w:ascii="宋体" w:hAnsi="宋体"/>
          <w:color w:val="auto"/>
          <w:sz w:val="24"/>
          <w:szCs w:val="24"/>
          <w:lang w:eastAsia="zh-CN"/>
        </w:rPr>
        <w:t>响应文件</w:t>
      </w:r>
      <w:r>
        <w:rPr>
          <w:rFonts w:hint="eastAsia" w:ascii="宋体" w:hAnsi="宋体"/>
          <w:color w:val="auto"/>
          <w:sz w:val="24"/>
          <w:szCs w:val="24"/>
        </w:rPr>
        <w:t>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767DD4C6">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 ①根据财政部、国家发展改革委《关于印发〈节能产品政府采购实施意见〉的通知》（财库〔2004〕185号）所投产品属于节能产品政府采购清单所列产品，在技术、服务同等的条件下，应当优先采用清单中的节能产品；</w:t>
      </w:r>
    </w:p>
    <w:p w14:paraId="424C69C2">
      <w:pPr>
        <w:spacing w:line="360" w:lineRule="auto"/>
        <w:ind w:firstLine="480" w:firstLineChars="200"/>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6BD2DED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6A8F725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④环境标志产品根据《环境标志产品政府采购实施的意见》（财库[2006]90号）的规定，以中国政府采购网（http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3E22FEA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66A0F77F">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ascii="Calibri" w:hAnsi="Calibri"/>
          <w:color w:val="auto"/>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w:t>
      </w:r>
      <w:r>
        <w:rPr>
          <w:rFonts w:ascii="宋体" w:hAnsi="宋体"/>
          <w:color w:val="auto"/>
          <w:sz w:val="24"/>
          <w:szCs w:val="24"/>
        </w:rPr>
        <w:t>关于信用记录的查询和使用</w:t>
      </w:r>
    </w:p>
    <w:p w14:paraId="73FC452B">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ascii="宋体" w:hAnsi="宋体"/>
          <w:color w:val="auto"/>
          <w:sz w:val="24"/>
          <w:szCs w:val="24"/>
        </w:rPr>
      </w:pPr>
      <w:r>
        <w:rPr>
          <w:rFonts w:hint="eastAsia" w:ascii="宋体" w:hAnsi="宋体"/>
          <w:color w:val="auto"/>
          <w:sz w:val="24"/>
          <w:szCs w:val="24"/>
          <w:lang w:val="en-US" w:eastAsia="zh-CN"/>
        </w:rPr>
        <w:fldChar w:fldCharType="begin"/>
      </w:r>
      <w:r>
        <w:rPr>
          <w:rFonts w:hint="eastAsia" w:ascii="宋体" w:hAnsi="宋体"/>
          <w:color w:val="auto"/>
          <w:sz w:val="24"/>
          <w:szCs w:val="24"/>
          <w:lang w:val="en-US" w:eastAsia="zh-CN"/>
        </w:rPr>
        <w:instrText xml:space="preserve"> EQ \o\ac(</w:instrText>
      </w:r>
      <w:r>
        <w:rPr>
          <w:rFonts w:hint="eastAsia" w:ascii="宋体" w:hAnsi="宋体" w:eastAsia="宋体" w:cs="Calibri"/>
          <w:color w:val="auto"/>
          <w:kern w:val="2"/>
          <w:sz w:val="24"/>
          <w:szCs w:val="24"/>
          <w:lang w:val="en-US" w:eastAsia="zh-CN" w:bidi="ar-SA"/>
        </w:rPr>
        <w:instrText xml:space="preserve">○</w:instrText>
      </w:r>
      <w:r>
        <w:rPr>
          <w:rFonts w:hint="eastAsia" w:ascii="宋体" w:hAnsi="宋体"/>
          <w:color w:val="auto"/>
          <w:sz w:val="24"/>
          <w:szCs w:val="24"/>
          <w:lang w:val="en-US" w:eastAsia="zh-CN"/>
        </w:rPr>
        <w:instrText xml:space="preserve">,</w:instrText>
      </w:r>
      <w:r>
        <w:rPr>
          <w:rFonts w:hint="eastAsia" w:ascii="宋体" w:hAnsi="宋体" w:eastAsia="宋体" w:cs="Calibri"/>
          <w:color w:val="auto"/>
          <w:kern w:val="2"/>
          <w:position w:val="3"/>
          <w:sz w:val="16"/>
          <w:szCs w:val="24"/>
          <w:lang w:val="en-US" w:eastAsia="zh-CN" w:bidi="ar-SA"/>
        </w:rPr>
        <w:instrText xml:space="preserve">1</w:instrText>
      </w:r>
      <w:r>
        <w:rPr>
          <w:rFonts w:hint="eastAsia" w:ascii="宋体" w:hAnsi="宋体"/>
          <w:color w:val="auto"/>
          <w:sz w:val="24"/>
          <w:szCs w:val="24"/>
          <w:lang w:val="en-US" w:eastAsia="zh-CN"/>
        </w:rPr>
        <w:instrText xml:space="preserve">)</w:instrText>
      </w:r>
      <w:r>
        <w:rPr>
          <w:rFonts w:hint="eastAsia" w:ascii="宋体" w:hAnsi="宋体"/>
          <w:color w:val="auto"/>
          <w:sz w:val="24"/>
          <w:szCs w:val="24"/>
          <w:lang w:val="en-US" w:eastAsia="zh-CN"/>
        </w:rPr>
        <w:fldChar w:fldCharType="end"/>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color w:val="auto"/>
        </w:rPr>
        <w:fldChar w:fldCharType="begin"/>
      </w:r>
      <w:r>
        <w:rPr>
          <w:color w:val="auto"/>
        </w:rPr>
        <w:instrText xml:space="preserve"> HYPERLINK "http://www.ccgp.gov.cn/cr/list" </w:instrText>
      </w:r>
      <w:r>
        <w:rPr>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w:t>
      </w:r>
      <w:r>
        <w:rPr>
          <w:rFonts w:hint="eastAsia" w:ascii="宋体" w:hAnsi="宋体"/>
          <w:color w:val="auto"/>
          <w:sz w:val="24"/>
          <w:szCs w:val="24"/>
          <w:lang w:eastAsia="zh-CN"/>
        </w:rPr>
        <w:t>响应文件</w:t>
      </w:r>
      <w:r>
        <w:rPr>
          <w:rFonts w:hint="eastAsia" w:ascii="宋体" w:hAnsi="宋体"/>
          <w:color w:val="auto"/>
          <w:sz w:val="24"/>
          <w:szCs w:val="24"/>
        </w:rPr>
        <w:t>中</w:t>
      </w:r>
      <w:r>
        <w:rPr>
          <w:rFonts w:hint="eastAsia" w:ascii="宋体" w:hAnsi="宋体"/>
          <w:color w:val="auto"/>
          <w:sz w:val="24"/>
          <w:szCs w:val="24"/>
          <w:lang w:val="en-US" w:eastAsia="zh-CN"/>
        </w:rPr>
        <w:t>信用记录</w:t>
      </w:r>
      <w:r>
        <w:rPr>
          <w:rFonts w:hint="eastAsia" w:ascii="宋体" w:hAnsi="宋体"/>
          <w:color w:val="auto"/>
          <w:sz w:val="24"/>
          <w:szCs w:val="24"/>
        </w:rPr>
        <w:t>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3A3BD644">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ascii="宋体" w:hAnsi="宋体"/>
          <w:color w:val="auto"/>
          <w:sz w:val="24"/>
          <w:szCs w:val="24"/>
        </w:rPr>
      </w:pPr>
      <w:r>
        <w:rPr>
          <w:rFonts w:hint="eastAsia" w:ascii="宋体" w:hAnsi="宋体"/>
          <w:color w:val="auto"/>
          <w:sz w:val="24"/>
          <w:szCs w:val="24"/>
          <w:lang w:val="en-US" w:eastAsia="zh-CN"/>
        </w:rPr>
        <w:fldChar w:fldCharType="begin"/>
      </w:r>
      <w:r>
        <w:rPr>
          <w:rFonts w:hint="eastAsia" w:ascii="宋体" w:hAnsi="宋体"/>
          <w:color w:val="auto"/>
          <w:sz w:val="24"/>
          <w:szCs w:val="24"/>
          <w:lang w:val="en-US" w:eastAsia="zh-CN"/>
        </w:rPr>
        <w:instrText xml:space="preserve"> EQ \o\ac(</w:instrText>
      </w:r>
      <w:r>
        <w:rPr>
          <w:rFonts w:hint="eastAsia" w:ascii="宋体" w:hAnsi="宋体" w:eastAsia="宋体" w:cs="Calibri"/>
          <w:color w:val="auto"/>
          <w:kern w:val="2"/>
          <w:sz w:val="24"/>
          <w:szCs w:val="24"/>
          <w:lang w:val="en-US" w:eastAsia="zh-CN" w:bidi="ar-SA"/>
        </w:rPr>
        <w:instrText xml:space="preserve">○</w:instrText>
      </w:r>
      <w:r>
        <w:rPr>
          <w:rFonts w:hint="eastAsia" w:ascii="宋体" w:hAnsi="宋体"/>
          <w:color w:val="auto"/>
          <w:sz w:val="24"/>
          <w:szCs w:val="24"/>
          <w:lang w:val="en-US" w:eastAsia="zh-CN"/>
        </w:rPr>
        <w:instrText xml:space="preserve">,</w:instrText>
      </w:r>
      <w:r>
        <w:rPr>
          <w:rFonts w:hint="eastAsia" w:ascii="宋体" w:hAnsi="宋体" w:eastAsia="宋体" w:cs="Calibri"/>
          <w:color w:val="auto"/>
          <w:kern w:val="2"/>
          <w:position w:val="3"/>
          <w:sz w:val="16"/>
          <w:szCs w:val="24"/>
          <w:lang w:val="en-US" w:eastAsia="zh-CN" w:bidi="ar-SA"/>
        </w:rPr>
        <w:instrText xml:space="preserve">2</w:instrText>
      </w:r>
      <w:r>
        <w:rPr>
          <w:rFonts w:hint="eastAsia" w:ascii="宋体" w:hAnsi="宋体"/>
          <w:color w:val="auto"/>
          <w:sz w:val="24"/>
          <w:szCs w:val="24"/>
          <w:lang w:val="en-US" w:eastAsia="zh-CN"/>
        </w:rPr>
        <w:instrText xml:space="preserve">)</w:instrText>
      </w:r>
      <w:r>
        <w:rPr>
          <w:rFonts w:hint="eastAsia" w:ascii="宋体" w:hAnsi="宋体"/>
          <w:color w:val="auto"/>
          <w:sz w:val="24"/>
          <w:szCs w:val="24"/>
          <w:lang w:val="en-US" w:eastAsia="zh-CN"/>
        </w:rPr>
        <w:fldChar w:fldCharType="end"/>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39ECBF00">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ascii="宋体" w:hAnsi="宋体"/>
          <w:color w:val="auto"/>
          <w:sz w:val="24"/>
          <w:szCs w:val="24"/>
        </w:rPr>
      </w:pPr>
      <w:r>
        <w:rPr>
          <w:rFonts w:hint="eastAsia" w:ascii="宋体" w:hAnsi="宋体"/>
          <w:color w:val="auto"/>
          <w:sz w:val="24"/>
          <w:szCs w:val="24"/>
          <w:lang w:val="en-US" w:eastAsia="zh-CN"/>
        </w:rPr>
        <w:fldChar w:fldCharType="begin"/>
      </w:r>
      <w:r>
        <w:rPr>
          <w:rFonts w:hint="eastAsia" w:ascii="宋体" w:hAnsi="宋体"/>
          <w:color w:val="auto"/>
          <w:sz w:val="24"/>
          <w:szCs w:val="24"/>
          <w:lang w:val="en-US" w:eastAsia="zh-CN"/>
        </w:rPr>
        <w:instrText xml:space="preserve"> EQ \o\ac(</w:instrText>
      </w:r>
      <w:r>
        <w:rPr>
          <w:rFonts w:hint="eastAsia" w:ascii="宋体" w:hAnsi="宋体" w:eastAsia="宋体" w:cs="Calibri"/>
          <w:color w:val="auto"/>
          <w:kern w:val="2"/>
          <w:sz w:val="24"/>
          <w:szCs w:val="24"/>
          <w:lang w:val="en-US" w:eastAsia="zh-CN" w:bidi="ar-SA"/>
        </w:rPr>
        <w:instrText xml:space="preserve">○</w:instrText>
      </w:r>
      <w:r>
        <w:rPr>
          <w:rFonts w:hint="eastAsia" w:ascii="宋体" w:hAnsi="宋体"/>
          <w:color w:val="auto"/>
          <w:sz w:val="24"/>
          <w:szCs w:val="24"/>
          <w:lang w:val="en-US" w:eastAsia="zh-CN"/>
        </w:rPr>
        <w:instrText xml:space="preserve">,</w:instrText>
      </w:r>
      <w:r>
        <w:rPr>
          <w:rFonts w:hint="eastAsia" w:ascii="宋体" w:hAnsi="宋体" w:eastAsia="宋体" w:cs="Calibri"/>
          <w:color w:val="auto"/>
          <w:kern w:val="2"/>
          <w:position w:val="3"/>
          <w:sz w:val="16"/>
          <w:szCs w:val="24"/>
          <w:lang w:val="en-US" w:eastAsia="zh-CN" w:bidi="ar-SA"/>
        </w:rPr>
        <w:instrText xml:space="preserve">3</w:instrText>
      </w:r>
      <w:r>
        <w:rPr>
          <w:rFonts w:hint="eastAsia" w:ascii="宋体" w:hAnsi="宋体"/>
          <w:color w:val="auto"/>
          <w:sz w:val="24"/>
          <w:szCs w:val="24"/>
          <w:lang w:val="en-US" w:eastAsia="zh-CN"/>
        </w:rPr>
        <w:instrText xml:space="preserve">)</w:instrText>
      </w:r>
      <w:r>
        <w:rPr>
          <w:rFonts w:hint="eastAsia" w:ascii="宋体" w:hAnsi="宋体"/>
          <w:color w:val="auto"/>
          <w:sz w:val="24"/>
          <w:szCs w:val="24"/>
          <w:lang w:val="en-US" w:eastAsia="zh-CN"/>
        </w:rPr>
        <w:fldChar w:fldCharType="end"/>
      </w:r>
      <w:r>
        <w:rPr>
          <w:rFonts w:ascii="宋体" w:hAnsi="宋体"/>
          <w:color w:val="auto"/>
          <w:sz w:val="24"/>
          <w:szCs w:val="24"/>
        </w:rPr>
        <w:t>信用记录查询的截止时点为“</w:t>
      </w:r>
      <w:r>
        <w:rPr>
          <w:rFonts w:hint="eastAsia" w:ascii="宋体" w:hAnsi="宋体"/>
          <w:color w:val="auto"/>
          <w:sz w:val="24"/>
          <w:szCs w:val="24"/>
          <w:lang w:eastAsia="zh-CN"/>
        </w:rPr>
        <w:t>磋商文件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信用记录查询的结果，将以纸质截图或将截图保存至电子介质的形式留存。投标人未如实</w:t>
      </w:r>
      <w:r>
        <w:rPr>
          <w:rFonts w:hint="eastAsia" w:ascii="宋体" w:hAnsi="宋体"/>
          <w:color w:val="auto"/>
          <w:sz w:val="24"/>
          <w:szCs w:val="24"/>
          <w:lang w:val="en-US" w:eastAsia="zh-CN"/>
        </w:rPr>
        <w:t>提供</w:t>
      </w:r>
      <w:r>
        <w:rPr>
          <w:rFonts w:hint="eastAsia" w:ascii="宋体" w:hAnsi="宋体"/>
          <w:color w:val="auto"/>
          <w:sz w:val="24"/>
          <w:szCs w:val="24"/>
        </w:rPr>
        <w:t>的，视为“投标人提供虚假材料谋取中标、成交的”行为。</w:t>
      </w:r>
    </w:p>
    <w:p w14:paraId="646EB1FD">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8</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zh-CN" w:eastAsia="zh-CN"/>
        </w:rPr>
        <w:t>融资政策</w:t>
      </w:r>
    </w:p>
    <w:p w14:paraId="5B96ACF6">
      <w:pPr>
        <w:keepNext w:val="0"/>
        <w:keepLines w:val="0"/>
        <w:pageBreakBefore w:val="0"/>
        <w:widowControl/>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eastAsia" w:ascii="宋体" w:hAnsi="宋体" w:eastAsia="宋体" w:cs="宋体"/>
          <w:bCs/>
          <w:color w:val="auto"/>
          <w:sz w:val="24"/>
          <w:szCs w:val="24"/>
        </w:rPr>
      </w:pPr>
      <w:r>
        <w:rPr>
          <w:rFonts w:hint="eastAsia" w:ascii="宋体" w:hAnsi="宋体" w:cs="宋体"/>
          <w:b w:val="0"/>
          <w:bCs w:val="0"/>
          <w:color w:val="auto"/>
          <w:sz w:val="24"/>
          <w:szCs w:val="24"/>
          <w:lang w:val="zh-CN" w:eastAsia="zh-CN"/>
        </w:rPr>
        <w:t>根据《陕西省财政厅关于加快推进我省中小企业政府采购信用融资工作的通知》（陕财办采</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2020</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15号）文件精神，有融资需求的</w:t>
      </w:r>
      <w:r>
        <w:rPr>
          <w:rFonts w:hint="eastAsia" w:ascii="宋体" w:hAnsi="宋体" w:cs="宋体"/>
          <w:b w:val="0"/>
          <w:bCs w:val="0"/>
          <w:color w:val="auto"/>
          <w:sz w:val="24"/>
          <w:szCs w:val="24"/>
          <w:lang w:val="en-US" w:eastAsia="zh-CN"/>
        </w:rPr>
        <w:t>中标（成交）人</w:t>
      </w:r>
      <w:r>
        <w:rPr>
          <w:rFonts w:hint="eastAsia" w:ascii="宋体" w:hAnsi="宋体" w:cs="宋体"/>
          <w:b w:val="0"/>
          <w:bCs w:val="0"/>
          <w:color w:val="auto"/>
          <w:sz w:val="24"/>
          <w:szCs w:val="24"/>
          <w:lang w:val="zh-CN" w:eastAsia="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2418E1B1">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5.</w:t>
      </w:r>
      <w:r>
        <w:rPr>
          <w:rFonts w:hint="eastAsia" w:ascii="宋体" w:hAnsi="宋体" w:cs="宋体"/>
          <w:b/>
          <w:bCs/>
          <w:color w:val="auto"/>
          <w:sz w:val="24"/>
          <w:szCs w:val="24"/>
        </w:rPr>
        <w:t>费用承担</w:t>
      </w:r>
    </w:p>
    <w:p w14:paraId="0D501D54">
      <w:pPr>
        <w:widowControl/>
        <w:snapToGrid w:val="0"/>
        <w:spacing w:line="360" w:lineRule="auto"/>
        <w:ind w:firstLine="480" w:firstLineChars="200"/>
        <w:jc w:val="left"/>
        <w:rPr>
          <w:color w:val="auto"/>
          <w:sz w:val="24"/>
          <w:szCs w:val="24"/>
        </w:rPr>
      </w:pPr>
      <w:r>
        <w:rPr>
          <w:rFonts w:hint="eastAsia"/>
          <w:color w:val="auto"/>
          <w:sz w:val="24"/>
          <w:szCs w:val="24"/>
        </w:rPr>
        <w:t>无论磋商结果如何，供应商自行承担所有与参加磋商有关的全部费用。</w:t>
      </w:r>
    </w:p>
    <w:p w14:paraId="649B115F">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6.</w:t>
      </w:r>
      <w:r>
        <w:rPr>
          <w:rFonts w:hint="eastAsia" w:ascii="宋体" w:hAnsi="宋体" w:cs="宋体"/>
          <w:b/>
          <w:bCs/>
          <w:color w:val="auto"/>
          <w:sz w:val="24"/>
          <w:szCs w:val="24"/>
        </w:rPr>
        <w:t>保密</w:t>
      </w:r>
    </w:p>
    <w:p w14:paraId="2996977F">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参与磋商活动的各方应对磋商文件和响应文件的商业和技术等秘密保密，违者应对由此造成的后果承担法律责任。</w:t>
      </w:r>
    </w:p>
    <w:p w14:paraId="53A240EA">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7.</w:t>
      </w:r>
      <w:r>
        <w:rPr>
          <w:rFonts w:hint="eastAsia" w:ascii="宋体" w:hAnsi="宋体" w:cs="宋体"/>
          <w:b/>
          <w:bCs/>
          <w:color w:val="auto"/>
          <w:sz w:val="24"/>
          <w:szCs w:val="24"/>
        </w:rPr>
        <w:t>语言文字</w:t>
      </w:r>
    </w:p>
    <w:p w14:paraId="78462D1B">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除专用术语外，与磋商文件有关的语言均使用中文；必要时专用术语应附有中文注释。</w:t>
      </w:r>
    </w:p>
    <w:p w14:paraId="3FA24C89">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8.</w:t>
      </w:r>
      <w:r>
        <w:rPr>
          <w:rFonts w:hint="eastAsia" w:ascii="宋体" w:hAnsi="宋体" w:cs="宋体"/>
          <w:b/>
          <w:bCs/>
          <w:color w:val="auto"/>
          <w:sz w:val="24"/>
          <w:szCs w:val="24"/>
        </w:rPr>
        <w:t>计量单位</w:t>
      </w:r>
    </w:p>
    <w:p w14:paraId="6CF4DA20">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所有计量均采用中华人民共和国法定计量单位。</w:t>
      </w:r>
    </w:p>
    <w:p w14:paraId="6D0B4DC9">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9.</w:t>
      </w:r>
      <w:r>
        <w:rPr>
          <w:rFonts w:hint="eastAsia" w:ascii="宋体" w:hAnsi="宋体" w:cs="宋体"/>
          <w:b/>
          <w:bCs/>
          <w:color w:val="auto"/>
          <w:sz w:val="24"/>
          <w:szCs w:val="24"/>
        </w:rPr>
        <w:t>踏勘现场</w:t>
      </w:r>
    </w:p>
    <w:p w14:paraId="617A8A4E">
      <w:pPr>
        <w:pStyle w:val="12"/>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自行勘察，未勘察现场造成的一切后果由投标人自行承担（一切费用自理）。</w:t>
      </w:r>
    </w:p>
    <w:p w14:paraId="68E15358">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10</w:t>
      </w:r>
      <w:r>
        <w:rPr>
          <w:rFonts w:hint="eastAsia" w:ascii="宋体" w:hAnsi="宋体" w:cs="宋体"/>
          <w:b/>
          <w:bCs/>
          <w:color w:val="auto"/>
          <w:sz w:val="24"/>
          <w:szCs w:val="24"/>
          <w:lang w:val="en-US" w:eastAsia="zh-CN"/>
        </w:rPr>
        <w:t>.</w:t>
      </w:r>
      <w:r>
        <w:rPr>
          <w:rFonts w:hint="eastAsia" w:ascii="宋体" w:hAnsi="宋体" w:cs="宋体"/>
          <w:b/>
          <w:bCs/>
          <w:color w:val="auto"/>
          <w:sz w:val="24"/>
          <w:szCs w:val="24"/>
        </w:rPr>
        <w:t>偏离</w:t>
      </w:r>
    </w:p>
    <w:p w14:paraId="6A95C328">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除供应商须知前附表另有规定外，供应商递交的响应文件不允许严重负偏离。</w:t>
      </w:r>
    </w:p>
    <w:p w14:paraId="62C6CA63">
      <w:pPr>
        <w:widowControl/>
        <w:numPr>
          <w:ilvl w:val="0"/>
          <w:numId w:val="3"/>
        </w:numPr>
        <w:spacing w:line="360" w:lineRule="auto"/>
        <w:ind w:firstLine="643" w:firstLineChars="200"/>
        <w:jc w:val="center"/>
        <w:outlineLvl w:val="1"/>
        <w:rPr>
          <w:rFonts w:ascii="宋体" w:hAnsi="宋体" w:cs="宋体"/>
          <w:b/>
          <w:bCs/>
          <w:color w:val="auto"/>
          <w:kern w:val="0"/>
          <w:sz w:val="32"/>
          <w:szCs w:val="32"/>
        </w:rPr>
      </w:pPr>
      <w:bookmarkStart w:id="34" w:name="_Toc3976"/>
      <w:bookmarkStart w:id="35" w:name="_Toc536429373"/>
      <w:bookmarkStart w:id="36" w:name="_Toc536429320"/>
      <w:bookmarkStart w:id="37" w:name="_Toc536202288"/>
      <w:bookmarkStart w:id="38" w:name="_Toc19543337"/>
      <w:bookmarkStart w:id="39" w:name="_Toc536202380"/>
      <w:r>
        <w:rPr>
          <w:rFonts w:hint="eastAsia" w:ascii="宋体" w:hAnsi="宋体" w:cs="宋体"/>
          <w:b/>
          <w:bCs/>
          <w:color w:val="auto"/>
          <w:kern w:val="0"/>
          <w:sz w:val="32"/>
          <w:szCs w:val="32"/>
        </w:rPr>
        <w:t>竞争性磋商文件</w:t>
      </w:r>
      <w:bookmarkEnd w:id="34"/>
      <w:bookmarkEnd w:id="35"/>
      <w:bookmarkEnd w:id="36"/>
      <w:bookmarkEnd w:id="37"/>
      <w:bookmarkEnd w:id="38"/>
      <w:bookmarkEnd w:id="39"/>
    </w:p>
    <w:p w14:paraId="6D2C7AA2">
      <w:pPr>
        <w:pStyle w:val="4"/>
        <w:numPr>
          <w:ilvl w:val="0"/>
          <w:numId w:val="0"/>
        </w:numPr>
        <w:spacing w:line="360" w:lineRule="auto"/>
        <w:ind w:firstLine="482" w:firstLineChars="200"/>
        <w:rPr>
          <w:rFonts w:ascii="宋体" w:hAnsi="宋体" w:cs="宋体"/>
          <w:color w:val="auto"/>
          <w:sz w:val="24"/>
          <w:szCs w:val="28"/>
        </w:rPr>
      </w:pPr>
      <w:bookmarkStart w:id="40" w:name="_Toc536202289"/>
      <w:bookmarkStart w:id="41" w:name="_Toc5801"/>
      <w:r>
        <w:rPr>
          <w:rFonts w:hint="eastAsia" w:ascii="宋体" w:hAnsi="宋体" w:cs="宋体"/>
          <w:color w:val="auto"/>
          <w:sz w:val="24"/>
          <w:szCs w:val="28"/>
          <w:lang w:val="en-US" w:eastAsia="zh-CN"/>
        </w:rPr>
        <w:t>1.</w:t>
      </w:r>
      <w:r>
        <w:rPr>
          <w:rFonts w:hint="eastAsia" w:ascii="宋体" w:hAnsi="宋体" w:cs="宋体"/>
          <w:color w:val="auto"/>
          <w:sz w:val="24"/>
          <w:szCs w:val="28"/>
        </w:rPr>
        <w:t>竞争性磋商文件的构成</w:t>
      </w:r>
      <w:bookmarkEnd w:id="40"/>
      <w:bookmarkEnd w:id="41"/>
    </w:p>
    <w:p w14:paraId="2AF098D9">
      <w:p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2B597C2C">
      <w:pPr>
        <w:numPr>
          <w:ilvl w:val="0"/>
          <w:numId w:val="4"/>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竞争性磋商公告；</w:t>
      </w:r>
    </w:p>
    <w:p w14:paraId="05324FB0">
      <w:pPr>
        <w:numPr>
          <w:ilvl w:val="0"/>
          <w:numId w:val="4"/>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供应商须知前附表；</w:t>
      </w:r>
    </w:p>
    <w:p w14:paraId="17F9A84A">
      <w:pPr>
        <w:numPr>
          <w:ilvl w:val="0"/>
          <w:numId w:val="4"/>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供应商须知；</w:t>
      </w:r>
    </w:p>
    <w:p w14:paraId="07CC4B32">
      <w:pPr>
        <w:numPr>
          <w:ilvl w:val="0"/>
          <w:numId w:val="4"/>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评分标准；</w:t>
      </w:r>
    </w:p>
    <w:p w14:paraId="558B940B">
      <w:pPr>
        <w:numPr>
          <w:ilvl w:val="0"/>
          <w:numId w:val="4"/>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采购内容及要求；</w:t>
      </w:r>
    </w:p>
    <w:p w14:paraId="699484D5">
      <w:pPr>
        <w:numPr>
          <w:ilvl w:val="0"/>
          <w:numId w:val="4"/>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val="en-US" w:eastAsia="zh-CN"/>
        </w:rPr>
        <w:t>商务及</w:t>
      </w:r>
      <w:r>
        <w:rPr>
          <w:rFonts w:hint="eastAsia" w:ascii="宋体" w:hAnsi="宋体" w:cs="宋体"/>
          <w:color w:val="auto"/>
          <w:sz w:val="24"/>
          <w:szCs w:val="28"/>
        </w:rPr>
        <w:t>合同条款；</w:t>
      </w:r>
    </w:p>
    <w:p w14:paraId="0CF070B8">
      <w:pPr>
        <w:numPr>
          <w:ilvl w:val="0"/>
          <w:numId w:val="4"/>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响应文件格式。</w:t>
      </w:r>
    </w:p>
    <w:p w14:paraId="3A7AF27A">
      <w:pPr>
        <w:pStyle w:val="4"/>
        <w:numPr>
          <w:ilvl w:val="0"/>
          <w:numId w:val="0"/>
        </w:numPr>
        <w:spacing w:line="360" w:lineRule="auto"/>
        <w:ind w:firstLine="482" w:firstLineChars="200"/>
        <w:rPr>
          <w:rFonts w:ascii="宋体" w:hAnsi="宋体" w:cs="宋体"/>
          <w:color w:val="auto"/>
          <w:sz w:val="24"/>
          <w:szCs w:val="28"/>
        </w:rPr>
      </w:pPr>
      <w:bookmarkStart w:id="42" w:name="_Toc536202290"/>
      <w:r>
        <w:rPr>
          <w:rFonts w:hint="eastAsia" w:ascii="宋体" w:hAnsi="宋体" w:cs="宋体"/>
          <w:color w:val="auto"/>
          <w:sz w:val="24"/>
          <w:szCs w:val="28"/>
          <w:lang w:val="en-US" w:eastAsia="zh-CN"/>
        </w:rPr>
        <w:t>2.</w:t>
      </w:r>
      <w:r>
        <w:rPr>
          <w:rFonts w:hint="eastAsia" w:ascii="宋体" w:hAnsi="宋体" w:cs="宋体"/>
          <w:color w:val="auto"/>
          <w:sz w:val="24"/>
          <w:szCs w:val="28"/>
        </w:rPr>
        <w:t>磋商文件的检查及阅读</w:t>
      </w:r>
      <w:bookmarkEnd w:id="42"/>
    </w:p>
    <w:p w14:paraId="4136761A">
      <w:p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供应商应认真阅读和充分理解竞争性磋商文件中所有的事项、格式条款和规范要求。供应商没有对竞争性磋商文件全面</w:t>
      </w:r>
      <w:r>
        <w:rPr>
          <w:rFonts w:hint="eastAsia" w:ascii="宋体" w:hAnsi="宋体" w:cs="宋体"/>
          <w:color w:val="auto"/>
          <w:sz w:val="24"/>
          <w:szCs w:val="28"/>
          <w:lang w:eastAsia="zh-CN"/>
        </w:rPr>
        <w:t>作出</w:t>
      </w:r>
      <w:r>
        <w:rPr>
          <w:rFonts w:hint="eastAsia" w:ascii="宋体" w:hAnsi="宋体" w:cs="宋体"/>
          <w:color w:val="auto"/>
          <w:sz w:val="24"/>
          <w:szCs w:val="28"/>
        </w:rPr>
        <w:t>实质性响应是供应商的风险。没有按照竞争性磋商文件要求作出实质性响应的响应文件应作无效文件处理。</w:t>
      </w:r>
    </w:p>
    <w:p w14:paraId="4B1CE1C3">
      <w:pPr>
        <w:pStyle w:val="4"/>
        <w:numPr>
          <w:ilvl w:val="0"/>
          <w:numId w:val="0"/>
        </w:numPr>
        <w:spacing w:line="360" w:lineRule="auto"/>
        <w:ind w:firstLine="482" w:firstLineChars="200"/>
        <w:rPr>
          <w:rFonts w:ascii="宋体" w:hAnsi="宋体" w:cs="宋体"/>
          <w:color w:val="auto"/>
          <w:sz w:val="24"/>
          <w:szCs w:val="28"/>
        </w:rPr>
      </w:pPr>
      <w:bookmarkStart w:id="43" w:name="_Toc536202292"/>
      <w:r>
        <w:rPr>
          <w:rFonts w:hint="eastAsia" w:ascii="宋体" w:hAnsi="宋体" w:cs="宋体"/>
          <w:color w:val="auto"/>
          <w:sz w:val="24"/>
          <w:szCs w:val="28"/>
          <w:lang w:val="en-US" w:eastAsia="zh-CN"/>
        </w:rPr>
        <w:t>3.</w:t>
      </w:r>
      <w:r>
        <w:rPr>
          <w:rFonts w:hint="eastAsia" w:ascii="宋体" w:hAnsi="宋体" w:cs="宋体"/>
          <w:color w:val="auto"/>
          <w:sz w:val="24"/>
          <w:szCs w:val="28"/>
        </w:rPr>
        <w:t>现场踏勘及磋商文件答疑</w:t>
      </w:r>
      <w:bookmarkEnd w:id="43"/>
    </w:p>
    <w:p w14:paraId="64302FDB">
      <w:p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招标代理机构将视情况确定是否有必要召开标前答疑会。如果召开标前答疑会，招标代理机构将通知所有已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5B44F840">
      <w:pPr>
        <w:pStyle w:val="4"/>
        <w:numPr>
          <w:ilvl w:val="0"/>
          <w:numId w:val="0"/>
        </w:numPr>
        <w:spacing w:line="360" w:lineRule="auto"/>
        <w:ind w:firstLine="482" w:firstLineChars="200"/>
        <w:rPr>
          <w:rFonts w:ascii="宋体" w:hAnsi="宋体" w:cs="宋体"/>
          <w:color w:val="auto"/>
          <w:sz w:val="24"/>
          <w:szCs w:val="28"/>
        </w:rPr>
      </w:pPr>
      <w:bookmarkStart w:id="44" w:name="_Toc536202293"/>
      <w:bookmarkStart w:id="45" w:name="_Toc19797"/>
      <w:r>
        <w:rPr>
          <w:rFonts w:hint="eastAsia" w:ascii="宋体" w:hAnsi="宋体" w:cs="宋体"/>
          <w:color w:val="auto"/>
          <w:sz w:val="24"/>
          <w:szCs w:val="28"/>
          <w:lang w:val="en-US" w:eastAsia="zh-CN"/>
        </w:rPr>
        <w:t>4.</w:t>
      </w:r>
      <w:r>
        <w:rPr>
          <w:rFonts w:hint="eastAsia" w:ascii="宋体" w:hAnsi="宋体" w:cs="宋体"/>
          <w:color w:val="auto"/>
          <w:sz w:val="24"/>
          <w:szCs w:val="28"/>
        </w:rPr>
        <w:t>竞争性磋商文件的澄清</w:t>
      </w:r>
      <w:bookmarkEnd w:id="44"/>
      <w:bookmarkEnd w:id="45"/>
    </w:p>
    <w:p w14:paraId="73D159C7">
      <w:pPr>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cs="宋体"/>
          <w:color w:val="auto"/>
          <w:sz w:val="24"/>
          <w:szCs w:val="28"/>
          <w:lang w:eastAsia="zh-CN"/>
        </w:rPr>
        <w:t>或</w:t>
      </w:r>
      <w:r>
        <w:rPr>
          <w:rFonts w:hint="eastAsia" w:ascii="宋体" w:hAnsi="宋体" w:cs="宋体"/>
          <w:color w:val="auto"/>
          <w:sz w:val="24"/>
          <w:szCs w:val="28"/>
        </w:rPr>
        <w:t>因市场行情了解不清造成的后果和风险均由供应商自负。</w:t>
      </w:r>
    </w:p>
    <w:p w14:paraId="795398FC">
      <w:p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4.2响应人若对磋商文件有任何疑问要求澄清，或认为有必要与采购人进行技术交流的，响应人在收到采购文件之日或者采购文件公告期限届满之日</w:t>
      </w:r>
      <w:r>
        <w:rPr>
          <w:rFonts w:hint="eastAsia" w:ascii="宋体" w:hAnsi="宋体" w:cs="宋体"/>
          <w:color w:val="auto"/>
          <w:sz w:val="24"/>
          <w:szCs w:val="24"/>
        </w:rPr>
        <w:t>七个工作日内</w:t>
      </w:r>
      <w:r>
        <w:rPr>
          <w:rFonts w:hint="eastAsia" w:ascii="宋体" w:hAnsi="宋体" w:cs="宋体"/>
          <w:color w:val="auto"/>
          <w:sz w:val="24"/>
          <w:szCs w:val="28"/>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2BCC360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4.3对于在规定时间内收到的投标人依法提出的询问或者质疑，采购代理机构将按程序及时</w:t>
      </w:r>
      <w:r>
        <w:rPr>
          <w:rFonts w:hint="eastAsia" w:ascii="宋体" w:hAnsi="宋体" w:cs="宋体"/>
          <w:color w:val="auto"/>
          <w:sz w:val="24"/>
          <w:szCs w:val="24"/>
          <w:lang w:eastAsia="zh-CN"/>
        </w:rPr>
        <w:t>作出</w:t>
      </w:r>
      <w:r>
        <w:rPr>
          <w:rFonts w:hint="eastAsia" w:ascii="宋体" w:hAnsi="宋体" w:cs="宋体"/>
          <w:color w:val="auto"/>
          <w:sz w:val="24"/>
          <w:szCs w:val="24"/>
        </w:rPr>
        <w:t>答复，若对</w:t>
      </w:r>
      <w:r>
        <w:rPr>
          <w:rFonts w:hint="eastAsia" w:ascii="宋体" w:hAnsi="宋体" w:cs="宋体"/>
          <w:color w:val="auto"/>
          <w:sz w:val="24"/>
          <w:szCs w:val="24"/>
          <w:lang w:eastAsia="zh-CN"/>
        </w:rPr>
        <w:t>磋商文件</w:t>
      </w:r>
      <w:r>
        <w:rPr>
          <w:rFonts w:hint="eastAsia" w:ascii="宋体" w:hAnsi="宋体" w:cs="宋体"/>
          <w:color w:val="auto"/>
          <w:sz w:val="24"/>
          <w:szCs w:val="24"/>
        </w:rPr>
        <w:t>做出实质性变动，则按照相关规定延长投标截止时间。</w:t>
      </w:r>
    </w:p>
    <w:p w14:paraId="00159879">
      <w:pPr>
        <w:pStyle w:val="8"/>
        <w:spacing w:line="360" w:lineRule="auto"/>
        <w:rPr>
          <w:rFonts w:ascii="宋体" w:hAnsi="宋体" w:cs="宋体"/>
          <w:color w:val="auto"/>
        </w:rPr>
      </w:pPr>
      <w:r>
        <w:rPr>
          <w:rFonts w:hint="eastAsia" w:ascii="宋体" w:hAnsi="宋体" w:cs="宋体"/>
          <w:color w:val="auto"/>
          <w:sz w:val="24"/>
          <w:szCs w:val="24"/>
        </w:rPr>
        <w:t>4.4投标人提出质疑应当有明确的请求和必要的证明材料。</w:t>
      </w:r>
    </w:p>
    <w:p w14:paraId="4D578D00">
      <w:pPr>
        <w:pStyle w:val="4"/>
        <w:numPr>
          <w:ilvl w:val="0"/>
          <w:numId w:val="0"/>
        </w:numPr>
        <w:spacing w:line="360" w:lineRule="auto"/>
        <w:ind w:firstLine="482" w:firstLineChars="200"/>
        <w:rPr>
          <w:rFonts w:ascii="宋体" w:hAnsi="宋体" w:cs="宋体"/>
          <w:color w:val="auto"/>
          <w:sz w:val="24"/>
          <w:szCs w:val="28"/>
        </w:rPr>
      </w:pPr>
      <w:bookmarkStart w:id="46" w:name="_Toc536202294"/>
      <w:bookmarkStart w:id="47" w:name="_Toc6390"/>
      <w:r>
        <w:rPr>
          <w:rFonts w:hint="eastAsia" w:ascii="宋体" w:hAnsi="宋体" w:cs="宋体"/>
          <w:color w:val="auto"/>
          <w:sz w:val="24"/>
          <w:szCs w:val="28"/>
          <w:lang w:val="en-US" w:eastAsia="zh-CN"/>
        </w:rPr>
        <w:t>5.</w:t>
      </w:r>
      <w:r>
        <w:rPr>
          <w:rFonts w:hint="eastAsia" w:ascii="宋体" w:hAnsi="宋体" w:cs="宋体"/>
          <w:color w:val="auto"/>
          <w:sz w:val="24"/>
          <w:szCs w:val="28"/>
        </w:rPr>
        <w:t>竞争性磋商文件的修改</w:t>
      </w:r>
      <w:bookmarkEnd w:id="46"/>
      <w:bookmarkEnd w:id="47"/>
    </w:p>
    <w:p w14:paraId="389109A9">
      <w:pPr>
        <w:overflowPunct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8"/>
        </w:rPr>
        <w:t>5.1 在磋商截止时间五日前，无论出于何种原因，代理机构可主动或在解答供应商提出的澄清问题时，对竞争性磋商文件进行修改，</w:t>
      </w:r>
      <w:r>
        <w:rPr>
          <w:rFonts w:hint="eastAsia" w:ascii="宋体" w:hAnsi="宋体" w:cs="宋体"/>
          <w:color w:val="auto"/>
          <w:sz w:val="24"/>
          <w:szCs w:val="24"/>
        </w:rPr>
        <w:t>不足5日的，顺延提交响应文件的截止时间</w:t>
      </w:r>
      <w:r>
        <w:rPr>
          <w:rFonts w:hint="eastAsia" w:ascii="宋体" w:hAnsi="宋体" w:cs="宋体"/>
          <w:color w:val="auto"/>
          <w:sz w:val="24"/>
          <w:szCs w:val="28"/>
        </w:rPr>
        <w:t>，并</w:t>
      </w:r>
      <w:r>
        <w:rPr>
          <w:rFonts w:hint="eastAsia" w:ascii="宋体" w:hAnsi="宋体" w:cs="宋体"/>
          <w:color w:val="auto"/>
          <w:sz w:val="24"/>
          <w:szCs w:val="24"/>
        </w:rPr>
        <w:t>在发布磋商公告的媒体上发布变更公告，并以书面形式通知所有</w:t>
      </w:r>
      <w:r>
        <w:rPr>
          <w:rFonts w:hint="eastAsia" w:ascii="宋体" w:hAnsi="宋体" w:cs="宋体"/>
          <w:color w:val="auto"/>
          <w:sz w:val="24"/>
          <w:szCs w:val="24"/>
          <w:lang w:val="en-US" w:eastAsia="zh-CN"/>
        </w:rPr>
        <w:t>获取</w:t>
      </w:r>
      <w:r>
        <w:rPr>
          <w:rFonts w:hint="eastAsia" w:ascii="宋体" w:hAnsi="宋体" w:cs="宋体"/>
          <w:color w:val="auto"/>
          <w:sz w:val="24"/>
          <w:szCs w:val="24"/>
        </w:rPr>
        <w:t>磋商文件的单位。该澄清或者修改的内容为</w:t>
      </w:r>
      <w:r>
        <w:rPr>
          <w:rFonts w:hint="eastAsia" w:ascii="宋体" w:hAnsi="宋体" w:cs="宋体"/>
          <w:color w:val="auto"/>
          <w:sz w:val="24"/>
          <w:szCs w:val="24"/>
          <w:lang w:eastAsia="zh-CN"/>
        </w:rPr>
        <w:t>磋商文件</w:t>
      </w:r>
      <w:r>
        <w:rPr>
          <w:rFonts w:hint="eastAsia" w:ascii="宋体" w:hAnsi="宋体" w:cs="宋体"/>
          <w:color w:val="auto"/>
          <w:sz w:val="24"/>
          <w:szCs w:val="24"/>
        </w:rPr>
        <w:t>的组成部分。</w:t>
      </w:r>
    </w:p>
    <w:p w14:paraId="24B6A2B8">
      <w:pPr>
        <w:overflowPunct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5.2</w:t>
      </w:r>
      <w:r>
        <w:rPr>
          <w:rFonts w:hint="eastAsia" w:ascii="宋体" w:hAnsi="宋体" w:cs="宋体"/>
          <w:color w:val="auto"/>
          <w:sz w:val="24"/>
          <w:szCs w:val="24"/>
          <w:lang w:eastAsia="zh-CN"/>
        </w:rPr>
        <w:t>磋商文件</w:t>
      </w:r>
      <w:r>
        <w:rPr>
          <w:rFonts w:hint="eastAsia" w:ascii="宋体" w:hAnsi="宋体" w:cs="宋体"/>
          <w:color w:val="auto"/>
          <w:sz w:val="24"/>
          <w:szCs w:val="24"/>
        </w:rPr>
        <w:t>的修改书将构成</w:t>
      </w:r>
      <w:r>
        <w:rPr>
          <w:rFonts w:hint="eastAsia" w:ascii="宋体" w:hAnsi="宋体" w:cs="宋体"/>
          <w:color w:val="auto"/>
          <w:sz w:val="24"/>
          <w:szCs w:val="24"/>
          <w:lang w:eastAsia="zh-CN"/>
        </w:rPr>
        <w:t>磋商文件</w:t>
      </w:r>
      <w:r>
        <w:rPr>
          <w:rFonts w:hint="eastAsia" w:ascii="宋体" w:hAnsi="宋体" w:cs="宋体"/>
          <w:color w:val="auto"/>
          <w:sz w:val="24"/>
          <w:szCs w:val="24"/>
        </w:rPr>
        <w:t>的一部分，对采购人和投标人都具有约束力。</w:t>
      </w:r>
    </w:p>
    <w:p w14:paraId="57B2E5BC">
      <w:pPr>
        <w:spacing w:line="360" w:lineRule="auto"/>
        <w:ind w:firstLine="480" w:firstLineChars="200"/>
        <w:rPr>
          <w:rFonts w:ascii="宋体" w:hAnsi="宋体" w:cs="宋体"/>
          <w:color w:val="auto"/>
          <w:sz w:val="24"/>
          <w:szCs w:val="28"/>
        </w:rPr>
      </w:pPr>
      <w:r>
        <w:rPr>
          <w:rFonts w:hint="eastAsia" w:ascii="宋体" w:hAnsi="宋体" w:cs="宋体"/>
          <w:color w:val="auto"/>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auto"/>
          <w:sz w:val="24"/>
          <w:szCs w:val="24"/>
          <w:lang w:val="en-US" w:eastAsia="zh-CN"/>
        </w:rPr>
        <w:t>获取</w:t>
      </w:r>
      <w:r>
        <w:rPr>
          <w:rFonts w:hint="eastAsia" w:ascii="宋体" w:hAnsi="宋体" w:cs="宋体"/>
          <w:color w:val="auto"/>
          <w:sz w:val="24"/>
          <w:szCs w:val="24"/>
        </w:rPr>
        <w:t>磋商文件的单位。</w:t>
      </w:r>
    </w:p>
    <w:p w14:paraId="0E2EE9F3">
      <w:pPr>
        <w:pStyle w:val="4"/>
        <w:numPr>
          <w:ilvl w:val="0"/>
          <w:numId w:val="0"/>
        </w:numPr>
        <w:spacing w:line="360" w:lineRule="auto"/>
        <w:ind w:firstLine="482" w:firstLineChars="200"/>
        <w:rPr>
          <w:rFonts w:ascii="宋体" w:hAnsi="宋体" w:cs="宋体"/>
          <w:color w:val="auto"/>
          <w:sz w:val="24"/>
          <w:szCs w:val="28"/>
        </w:rPr>
      </w:pPr>
      <w:bookmarkStart w:id="48" w:name="_Toc31188"/>
      <w:bookmarkStart w:id="49" w:name="_Toc536202295"/>
      <w:r>
        <w:rPr>
          <w:rFonts w:hint="eastAsia" w:ascii="宋体" w:hAnsi="宋体" w:cs="宋体"/>
          <w:color w:val="auto"/>
          <w:sz w:val="24"/>
          <w:szCs w:val="28"/>
          <w:lang w:val="en-US" w:eastAsia="zh-CN"/>
        </w:rPr>
        <w:t>6.</w:t>
      </w:r>
      <w:r>
        <w:rPr>
          <w:rFonts w:hint="eastAsia" w:ascii="宋体" w:hAnsi="宋体" w:cs="宋体"/>
          <w:color w:val="auto"/>
          <w:sz w:val="24"/>
          <w:szCs w:val="28"/>
        </w:rPr>
        <w:t>质疑</w:t>
      </w:r>
    </w:p>
    <w:p w14:paraId="69C3CBF0">
      <w:pPr>
        <w:pStyle w:val="4"/>
        <w:spacing w:line="360" w:lineRule="auto"/>
        <w:ind w:firstLine="480" w:firstLineChars="200"/>
        <w:rPr>
          <w:rFonts w:ascii="宋体" w:hAnsi="宋体" w:cs="宋体"/>
          <w:b w:val="0"/>
          <w:color w:val="auto"/>
          <w:sz w:val="24"/>
          <w:szCs w:val="28"/>
        </w:rPr>
      </w:pPr>
      <w:r>
        <w:rPr>
          <w:rFonts w:hint="eastAsia" w:ascii="宋体" w:hAnsi="宋体" w:cs="宋体"/>
          <w:b w:val="0"/>
          <w:color w:val="auto"/>
          <w:sz w:val="24"/>
          <w:szCs w:val="28"/>
        </w:rPr>
        <w:t>供应商认为磋商文件、招标过程和中标结果使自己的权益受到损害的，可以按《政府采购法》第</w:t>
      </w:r>
      <w:r>
        <w:rPr>
          <w:rFonts w:hint="eastAsia" w:ascii="宋体" w:hAnsi="宋体" w:cs="宋体"/>
          <w:b w:val="0"/>
          <w:color w:val="auto"/>
          <w:sz w:val="24"/>
          <w:szCs w:val="28"/>
          <w:lang w:val="en-US" w:eastAsia="zh-CN"/>
        </w:rPr>
        <w:t>五十二</w:t>
      </w:r>
      <w:r>
        <w:rPr>
          <w:rFonts w:hint="eastAsia" w:ascii="宋体" w:hAnsi="宋体" w:cs="宋体"/>
          <w:b w:val="0"/>
          <w:color w:val="auto"/>
          <w:sz w:val="24"/>
          <w:szCs w:val="28"/>
        </w:rPr>
        <w:t>条执行。</w:t>
      </w:r>
    </w:p>
    <w:p w14:paraId="43B24E2C">
      <w:pPr>
        <w:pStyle w:val="4"/>
        <w:numPr>
          <w:ilvl w:val="0"/>
          <w:numId w:val="0"/>
        </w:numPr>
        <w:spacing w:line="360" w:lineRule="auto"/>
        <w:ind w:firstLine="482" w:firstLineChars="200"/>
        <w:rPr>
          <w:rFonts w:ascii="宋体" w:hAnsi="宋体" w:cs="宋体"/>
          <w:color w:val="auto"/>
          <w:sz w:val="24"/>
          <w:szCs w:val="28"/>
        </w:rPr>
      </w:pPr>
      <w:r>
        <w:rPr>
          <w:rFonts w:hint="eastAsia" w:ascii="宋体" w:hAnsi="宋体" w:cs="宋体"/>
          <w:color w:val="auto"/>
          <w:sz w:val="24"/>
          <w:szCs w:val="28"/>
          <w:lang w:val="en-US" w:eastAsia="zh-CN"/>
        </w:rPr>
        <w:t>7.</w:t>
      </w:r>
      <w:r>
        <w:rPr>
          <w:rFonts w:hint="eastAsia" w:ascii="宋体" w:hAnsi="宋体" w:cs="宋体"/>
          <w:color w:val="auto"/>
          <w:sz w:val="24"/>
          <w:szCs w:val="28"/>
        </w:rPr>
        <w:t>竞争性磋商文件的获取</w:t>
      </w:r>
      <w:bookmarkEnd w:id="48"/>
      <w:bookmarkEnd w:id="49"/>
    </w:p>
    <w:p w14:paraId="1997D409">
      <w:pPr>
        <w:widowControl/>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供应商必须从代理机构</w:t>
      </w:r>
      <w:r>
        <w:rPr>
          <w:rFonts w:hint="eastAsia" w:ascii="宋体" w:hAnsi="宋体" w:cs="宋体"/>
          <w:color w:val="auto"/>
          <w:sz w:val="24"/>
          <w:szCs w:val="28"/>
          <w:lang w:val="en-US" w:eastAsia="zh-CN"/>
        </w:rPr>
        <w:t>获取</w:t>
      </w:r>
      <w:r>
        <w:rPr>
          <w:rFonts w:hint="eastAsia" w:ascii="宋体" w:hAnsi="宋体" w:cs="宋体"/>
          <w:color w:val="auto"/>
          <w:sz w:val="24"/>
          <w:szCs w:val="28"/>
        </w:rPr>
        <w:t>竞争性磋商文件，供应商自行转让或复制竞争性磋商文件视为无效。</w:t>
      </w:r>
      <w:r>
        <w:rPr>
          <w:rFonts w:hint="eastAsia" w:ascii="宋体" w:hAnsi="宋体" w:cs="宋体"/>
          <w:color w:val="auto"/>
          <w:sz w:val="24"/>
          <w:szCs w:val="28"/>
          <w:lang w:val="en-US" w:eastAsia="zh-CN"/>
        </w:rPr>
        <w:t>本</w:t>
      </w:r>
      <w:r>
        <w:rPr>
          <w:rFonts w:hint="eastAsia" w:ascii="宋体" w:hAnsi="宋体" w:cs="宋体"/>
          <w:color w:val="auto"/>
          <w:sz w:val="24"/>
          <w:szCs w:val="28"/>
        </w:rPr>
        <w:t>竞争性磋商文件仅作为本次竞争性磋商使用。</w:t>
      </w:r>
    </w:p>
    <w:p w14:paraId="4F80A956">
      <w:pPr>
        <w:pStyle w:val="8"/>
        <w:spacing w:line="360" w:lineRule="auto"/>
        <w:ind w:firstLine="482" w:firstLineChars="200"/>
        <w:jc w:val="left"/>
        <w:rPr>
          <w:rFonts w:ascii="宋体" w:hAnsi="宋体" w:cs="宋体"/>
          <w:color w:val="auto"/>
          <w:sz w:val="24"/>
          <w:szCs w:val="28"/>
        </w:rPr>
      </w:pPr>
      <w:bookmarkStart w:id="50" w:name="_Toc5095"/>
      <w:bookmarkStart w:id="51" w:name="_Toc536202296"/>
      <w:r>
        <w:rPr>
          <w:rFonts w:hint="eastAsia" w:ascii="宋体" w:hAnsi="宋体" w:cs="宋体"/>
          <w:b/>
          <w:bCs/>
          <w:color w:val="auto"/>
          <w:sz w:val="24"/>
          <w:szCs w:val="28"/>
          <w:lang w:eastAsia="zh-CN"/>
        </w:rPr>
        <w:t>8.</w:t>
      </w:r>
      <w:r>
        <w:rPr>
          <w:rFonts w:hint="eastAsia" w:ascii="宋体" w:hAnsi="宋体" w:cs="宋体"/>
          <w:b/>
          <w:bCs/>
          <w:color w:val="auto"/>
          <w:sz w:val="24"/>
          <w:szCs w:val="28"/>
        </w:rPr>
        <w:t>竞争性磋商文件的解释权归代理机构</w:t>
      </w:r>
      <w:bookmarkEnd w:id="50"/>
      <w:bookmarkEnd w:id="51"/>
      <w:r>
        <w:rPr>
          <w:rFonts w:hint="eastAsia" w:ascii="宋体" w:hAnsi="宋体" w:cs="宋体"/>
          <w:color w:val="auto"/>
          <w:sz w:val="24"/>
          <w:szCs w:val="28"/>
        </w:rPr>
        <w:t>（如发现磋商文件内容与现行法律法规不相符的情况，以现行法律法规为准。</w:t>
      </w:r>
      <w:r>
        <w:rPr>
          <w:rFonts w:hint="eastAsia" w:ascii="宋体" w:hAnsi="宋体" w:cs="宋体"/>
          <w:color w:val="auto"/>
          <w:sz w:val="24"/>
          <w:szCs w:val="28"/>
          <w:lang w:eastAsia="zh-CN"/>
        </w:rPr>
        <w:t>）</w:t>
      </w:r>
    </w:p>
    <w:p w14:paraId="3EC7DCF8">
      <w:pPr>
        <w:widowControl/>
        <w:numPr>
          <w:ilvl w:val="0"/>
          <w:numId w:val="3"/>
        </w:numPr>
        <w:spacing w:line="360" w:lineRule="auto"/>
        <w:ind w:firstLine="643" w:firstLineChars="200"/>
        <w:jc w:val="center"/>
        <w:outlineLvl w:val="1"/>
        <w:rPr>
          <w:rFonts w:ascii="宋体" w:hAnsi="宋体"/>
          <w:b w:val="0"/>
          <w:bCs w:val="0"/>
          <w:color w:val="auto"/>
          <w:sz w:val="32"/>
          <w:szCs w:val="32"/>
        </w:rPr>
      </w:pPr>
      <w:bookmarkStart w:id="52" w:name="_Toc536202381"/>
      <w:bookmarkStart w:id="53" w:name="_Toc536202297"/>
      <w:bookmarkStart w:id="54" w:name="_Toc622"/>
      <w:bookmarkStart w:id="55" w:name="_Toc536429374"/>
      <w:bookmarkStart w:id="56" w:name="_Toc19543338"/>
      <w:bookmarkStart w:id="57" w:name="_Toc536429321"/>
      <w:r>
        <w:rPr>
          <w:rFonts w:hint="eastAsia" w:ascii="宋体" w:hAnsi="宋体" w:cs="宋体"/>
          <w:b/>
          <w:bCs/>
          <w:color w:val="auto"/>
          <w:kern w:val="0"/>
          <w:sz w:val="32"/>
          <w:szCs w:val="32"/>
        </w:rPr>
        <w:t>响应文件</w:t>
      </w:r>
      <w:bookmarkEnd w:id="52"/>
      <w:bookmarkEnd w:id="53"/>
      <w:bookmarkEnd w:id="54"/>
      <w:bookmarkEnd w:id="55"/>
      <w:bookmarkEnd w:id="56"/>
      <w:bookmarkEnd w:id="57"/>
    </w:p>
    <w:p w14:paraId="51614F27">
      <w:pPr>
        <w:widowControl/>
        <w:numPr>
          <w:ilvl w:val="0"/>
          <w:numId w:val="0"/>
        </w:numPr>
        <w:spacing w:line="360" w:lineRule="auto"/>
        <w:ind w:firstLine="480" w:firstLineChars="200"/>
        <w:jc w:val="both"/>
        <w:outlineLvl w:val="1"/>
        <w:rPr>
          <w:rFonts w:hint="eastAsia" w:ascii="宋体" w:hAnsi="宋体"/>
          <w:b w:val="0"/>
          <w:bCs w:val="0"/>
          <w:color w:val="auto"/>
          <w:sz w:val="24"/>
          <w:szCs w:val="21"/>
        </w:rPr>
      </w:pPr>
      <w:r>
        <w:rPr>
          <w:rFonts w:hint="eastAsia" w:ascii="宋体" w:hAnsi="宋体"/>
          <w:b w:val="0"/>
          <w:bCs w:val="0"/>
          <w:color w:val="auto"/>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auto"/>
          <w:sz w:val="24"/>
          <w:szCs w:val="21"/>
          <w:lang w:eastAsia="zh-CN"/>
        </w:rPr>
        <w:t>作出</w:t>
      </w:r>
      <w:r>
        <w:rPr>
          <w:rFonts w:hint="eastAsia" w:ascii="宋体" w:hAnsi="宋体"/>
          <w:b w:val="0"/>
          <w:bCs w:val="0"/>
          <w:color w:val="auto"/>
          <w:sz w:val="24"/>
          <w:szCs w:val="21"/>
        </w:rPr>
        <w:t>实质性响应，其磋商将被拒绝。</w:t>
      </w:r>
    </w:p>
    <w:p w14:paraId="550B545E">
      <w:pPr>
        <w:widowControl/>
        <w:numPr>
          <w:ilvl w:val="0"/>
          <w:numId w:val="0"/>
        </w:numPr>
        <w:spacing w:line="360" w:lineRule="auto"/>
        <w:ind w:firstLine="480" w:firstLineChars="200"/>
        <w:jc w:val="both"/>
        <w:outlineLvl w:val="1"/>
        <w:rPr>
          <w:rFonts w:ascii="宋体" w:hAnsi="宋体"/>
          <w:b w:val="0"/>
          <w:bCs w:val="0"/>
          <w:color w:val="auto"/>
          <w:sz w:val="24"/>
          <w:szCs w:val="21"/>
        </w:rPr>
      </w:pPr>
      <w:r>
        <w:rPr>
          <w:rFonts w:hint="eastAsia" w:ascii="宋体" w:hAnsi="宋体"/>
          <w:b w:val="0"/>
          <w:bCs w:val="0"/>
          <w:color w:val="auto"/>
          <w:sz w:val="24"/>
          <w:szCs w:val="21"/>
        </w:rPr>
        <w:t>投标人提交的磋商响应文件（包括产品的技术资料）以及投标人与采购代理机构就有关磋商的所有来往函电均应以中文书写。</w:t>
      </w:r>
    </w:p>
    <w:p w14:paraId="0CEF9192">
      <w:pPr>
        <w:pStyle w:val="4"/>
        <w:numPr>
          <w:ilvl w:val="0"/>
          <w:numId w:val="0"/>
        </w:numPr>
        <w:spacing w:line="360" w:lineRule="auto"/>
        <w:ind w:firstLine="482" w:firstLineChars="200"/>
        <w:rPr>
          <w:rFonts w:ascii="宋体" w:hAnsi="宋体" w:cs="宋体"/>
          <w:color w:val="auto"/>
          <w:sz w:val="24"/>
          <w:szCs w:val="28"/>
        </w:rPr>
      </w:pPr>
      <w:r>
        <w:rPr>
          <w:rFonts w:hint="eastAsia" w:ascii="宋体" w:hAnsi="宋体" w:cs="宋体"/>
          <w:color w:val="auto"/>
          <w:sz w:val="24"/>
          <w:szCs w:val="28"/>
          <w:lang w:val="en-US" w:eastAsia="zh-CN"/>
        </w:rPr>
        <w:t>1.</w:t>
      </w:r>
      <w:r>
        <w:rPr>
          <w:rFonts w:hint="eastAsia" w:ascii="宋体" w:hAnsi="宋体" w:cs="宋体"/>
          <w:color w:val="auto"/>
          <w:sz w:val="24"/>
          <w:szCs w:val="28"/>
        </w:rPr>
        <w:t>响应文件构成和格式</w:t>
      </w:r>
    </w:p>
    <w:p w14:paraId="2CACEE17">
      <w:pPr>
        <w:widowControl/>
        <w:spacing w:line="360" w:lineRule="auto"/>
        <w:ind w:firstLine="480" w:firstLineChars="200"/>
        <w:outlineLvl w:val="1"/>
        <w:rPr>
          <w:rFonts w:ascii="宋体" w:hAnsi="宋体" w:cs="宋体"/>
          <w:bCs/>
          <w:color w:val="auto"/>
          <w:kern w:val="0"/>
          <w:sz w:val="24"/>
          <w:szCs w:val="24"/>
        </w:rPr>
      </w:pPr>
      <w:r>
        <w:rPr>
          <w:rFonts w:hint="eastAsia" w:ascii="宋体" w:hAnsi="宋体" w:cs="宋体"/>
          <w:bCs/>
          <w:color w:val="auto"/>
          <w:kern w:val="0"/>
          <w:sz w:val="24"/>
          <w:szCs w:val="24"/>
        </w:rPr>
        <w:t>投标人应按照本须知响应文件构成和格式及第七部分提供的格式编写</w:t>
      </w: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，不得缺少</w:t>
      </w:r>
      <w:r>
        <w:rPr>
          <w:rFonts w:hint="eastAsia" w:ascii="宋体" w:hAnsi="宋体" w:cs="宋体"/>
          <w:bCs/>
          <w:color w:val="auto"/>
          <w:kern w:val="0"/>
          <w:sz w:val="24"/>
          <w:szCs w:val="24"/>
          <w:lang w:eastAsia="zh-CN"/>
        </w:rPr>
        <w:t>磋商文件</w:t>
      </w:r>
      <w:r>
        <w:rPr>
          <w:rFonts w:hint="eastAsia" w:ascii="宋体" w:hAnsi="宋体" w:cs="宋体"/>
          <w:bCs/>
          <w:color w:val="auto"/>
          <w:kern w:val="0"/>
          <w:sz w:val="24"/>
          <w:szCs w:val="24"/>
        </w:rPr>
        <w:t>要求填写的表格或提交的资料。</w:t>
      </w:r>
    </w:p>
    <w:p w14:paraId="65270A69">
      <w:pPr>
        <w:pStyle w:val="4"/>
        <w:numPr>
          <w:ilvl w:val="0"/>
          <w:numId w:val="0"/>
        </w:numPr>
        <w:spacing w:line="360" w:lineRule="auto"/>
        <w:ind w:firstLine="482" w:firstLineChars="200"/>
        <w:rPr>
          <w:rFonts w:ascii="宋体" w:hAnsi="宋体" w:cs="宋体"/>
          <w:color w:val="auto"/>
          <w:sz w:val="24"/>
          <w:szCs w:val="28"/>
        </w:rPr>
      </w:pPr>
      <w:bookmarkStart w:id="58" w:name="_Toc536202299"/>
      <w:r>
        <w:rPr>
          <w:rFonts w:hint="eastAsia" w:ascii="宋体" w:hAnsi="宋体" w:cs="宋体"/>
          <w:color w:val="auto"/>
          <w:sz w:val="24"/>
          <w:szCs w:val="28"/>
          <w:lang w:val="en-US" w:eastAsia="zh-CN"/>
        </w:rPr>
        <w:t>2.</w:t>
      </w:r>
      <w:r>
        <w:rPr>
          <w:rFonts w:hint="eastAsia" w:ascii="宋体" w:hAnsi="宋体" w:cs="宋体"/>
          <w:color w:val="auto"/>
          <w:sz w:val="24"/>
          <w:szCs w:val="28"/>
        </w:rPr>
        <w:t>磋商报价</w:t>
      </w:r>
      <w:bookmarkEnd w:id="58"/>
    </w:p>
    <w:p w14:paraId="2531B2A2">
      <w:pPr>
        <w:spacing w:line="360" w:lineRule="auto"/>
        <w:ind w:firstLine="480" w:firstLineChars="200"/>
        <w:rPr>
          <w:rFonts w:ascii="宋体" w:hAnsi="宋体" w:cs="宋体"/>
          <w:color w:val="auto"/>
          <w:sz w:val="28"/>
          <w:szCs w:val="22"/>
        </w:rPr>
      </w:pPr>
      <w:bookmarkStart w:id="59" w:name="_Toc536202300"/>
      <w:bookmarkStart w:id="60" w:name="_Toc29200"/>
      <w:r>
        <w:rPr>
          <w:rFonts w:hint="eastAsia" w:ascii="宋体" w:hAnsi="宋体" w:cs="宋体"/>
          <w:color w:val="auto"/>
          <w:sz w:val="24"/>
        </w:rPr>
        <w:t>（1）磋商报价为供应商充分考虑磋商文件的各项条款和所掌握的市场情况及本项目的实际情况，根据自身情况自主报价。</w:t>
      </w:r>
    </w:p>
    <w:p w14:paraId="1BD3F0A5">
      <w:pPr>
        <w:spacing w:line="360" w:lineRule="auto"/>
        <w:ind w:firstLine="480" w:firstLineChars="200"/>
        <w:rPr>
          <w:rFonts w:ascii="宋体" w:hAnsi="宋体" w:cs="宋体"/>
          <w:color w:val="auto"/>
          <w:sz w:val="24"/>
        </w:rPr>
      </w:pPr>
      <w:r>
        <w:rPr>
          <w:rFonts w:hint="eastAsia" w:ascii="宋体" w:hAnsi="宋体" w:cs="宋体"/>
          <w:color w:val="auto"/>
          <w:sz w:val="24"/>
        </w:rPr>
        <w:t>（2）供应商应在响应报价表中标明本次招标所要求的货物、服务且验收合格的所有费用。</w:t>
      </w:r>
    </w:p>
    <w:p w14:paraId="6EB1BCA9">
      <w:pPr>
        <w:spacing w:line="360" w:lineRule="auto"/>
        <w:ind w:firstLine="480" w:firstLineChars="200"/>
        <w:rPr>
          <w:rFonts w:ascii="宋体" w:hAnsi="宋体" w:cs="宋体"/>
          <w:color w:val="auto"/>
          <w:sz w:val="24"/>
        </w:rPr>
      </w:pPr>
      <w:r>
        <w:rPr>
          <w:rFonts w:hint="eastAsia" w:ascii="宋体" w:hAnsi="宋体" w:cs="宋体"/>
          <w:color w:val="auto"/>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cs="宋体"/>
          <w:color w:val="auto"/>
          <w:spacing w:val="4"/>
          <w:sz w:val="24"/>
        </w:rPr>
        <w:t>供应商应考虑全部材料的风险，供应商一旦成交，采购人将不再对此部分进行调整；供应商的报价应将此差异考虑在综合单价内，</w:t>
      </w:r>
      <w:r>
        <w:rPr>
          <w:rFonts w:hint="eastAsia" w:ascii="宋体" w:hAnsi="宋体" w:cs="宋体"/>
          <w:color w:val="auto"/>
          <w:sz w:val="24"/>
          <w:szCs w:val="24"/>
        </w:rPr>
        <w:t>采购人及学院不再</w:t>
      </w:r>
      <w:r>
        <w:rPr>
          <w:rFonts w:hint="eastAsia" w:ascii="宋体" w:hAnsi="宋体" w:cs="宋体"/>
          <w:color w:val="auto"/>
          <w:sz w:val="24"/>
          <w:szCs w:val="24"/>
          <w:lang w:eastAsia="zh-CN"/>
        </w:rPr>
        <w:t>承担其他任何</w:t>
      </w:r>
      <w:r>
        <w:rPr>
          <w:rFonts w:hint="eastAsia" w:ascii="宋体" w:hAnsi="宋体" w:cs="宋体"/>
          <w:color w:val="auto"/>
          <w:sz w:val="24"/>
          <w:szCs w:val="24"/>
        </w:rPr>
        <w:t>费用</w:t>
      </w:r>
      <w:r>
        <w:rPr>
          <w:rFonts w:hint="eastAsia" w:ascii="宋体" w:hAnsi="宋体" w:cs="宋体"/>
          <w:color w:val="auto"/>
          <w:spacing w:val="4"/>
          <w:sz w:val="24"/>
        </w:rPr>
        <w:t>。</w:t>
      </w:r>
    </w:p>
    <w:p w14:paraId="1542B486">
      <w:pPr>
        <w:spacing w:line="360" w:lineRule="auto"/>
        <w:ind w:firstLine="480" w:firstLineChars="200"/>
        <w:rPr>
          <w:rFonts w:ascii="宋体" w:hAnsi="宋体" w:cs="宋体"/>
          <w:color w:val="auto"/>
          <w:sz w:val="24"/>
        </w:rPr>
      </w:pPr>
      <w:r>
        <w:rPr>
          <w:rFonts w:hint="eastAsia" w:ascii="宋体" w:hAnsi="宋体" w:cs="宋体"/>
          <w:color w:val="auto"/>
          <w:sz w:val="24"/>
        </w:rPr>
        <w:t>（4）响应报价表应有法定代表人或被授权人的签字。</w:t>
      </w:r>
    </w:p>
    <w:p w14:paraId="67A0F19D">
      <w:pPr>
        <w:pStyle w:val="4"/>
        <w:numPr>
          <w:ilvl w:val="0"/>
          <w:numId w:val="0"/>
        </w:numPr>
        <w:spacing w:line="360" w:lineRule="auto"/>
        <w:ind w:firstLine="482" w:firstLineChars="200"/>
        <w:rPr>
          <w:rFonts w:ascii="宋体" w:hAnsi="宋体" w:cs="宋体"/>
          <w:color w:val="auto"/>
          <w:sz w:val="24"/>
          <w:szCs w:val="28"/>
        </w:rPr>
      </w:pPr>
      <w:r>
        <w:rPr>
          <w:rFonts w:hint="eastAsia" w:ascii="宋体" w:hAnsi="宋体" w:cs="宋体"/>
          <w:color w:val="auto"/>
          <w:sz w:val="24"/>
          <w:szCs w:val="28"/>
          <w:lang w:val="en-US" w:eastAsia="zh-CN"/>
        </w:rPr>
        <w:t>3.</w:t>
      </w:r>
      <w:r>
        <w:rPr>
          <w:rFonts w:hint="eastAsia" w:ascii="宋体" w:hAnsi="宋体" w:cs="宋体"/>
          <w:color w:val="auto"/>
          <w:sz w:val="24"/>
          <w:szCs w:val="28"/>
        </w:rPr>
        <w:t>磋商货币</w:t>
      </w:r>
      <w:bookmarkEnd w:id="59"/>
      <w:bookmarkEnd w:id="60"/>
    </w:p>
    <w:p w14:paraId="4337C9D7">
      <w:pPr>
        <w:widowControl/>
        <w:spacing w:line="360" w:lineRule="auto"/>
        <w:ind w:firstLine="480" w:firstLineChars="200"/>
        <w:rPr>
          <w:rFonts w:ascii="宋体" w:hAnsi="宋体" w:cs="宋体"/>
          <w:color w:val="auto"/>
          <w:kern w:val="0"/>
          <w:sz w:val="24"/>
          <w:szCs w:val="28"/>
        </w:rPr>
      </w:pPr>
      <w:r>
        <w:rPr>
          <w:rFonts w:hint="eastAsia" w:ascii="宋体" w:hAnsi="宋体" w:cs="宋体"/>
          <w:color w:val="auto"/>
          <w:kern w:val="0"/>
          <w:sz w:val="24"/>
          <w:szCs w:val="28"/>
        </w:rPr>
        <w:t>采购人只接受人民币作为唯一磋商货币。以人民币为投标货币。以元为报价单位，保留小数点后两位。</w:t>
      </w:r>
    </w:p>
    <w:p w14:paraId="60243A54">
      <w:pPr>
        <w:pStyle w:val="4"/>
        <w:numPr>
          <w:ilvl w:val="0"/>
          <w:numId w:val="0"/>
        </w:numPr>
        <w:spacing w:line="360" w:lineRule="auto"/>
        <w:ind w:firstLine="482" w:firstLineChars="200"/>
        <w:rPr>
          <w:rFonts w:ascii="宋体" w:hAnsi="宋体" w:cs="宋体"/>
          <w:color w:val="auto"/>
          <w:sz w:val="24"/>
          <w:szCs w:val="28"/>
        </w:rPr>
      </w:pPr>
      <w:bookmarkStart w:id="61" w:name="_Toc536202302"/>
      <w:r>
        <w:rPr>
          <w:rFonts w:hint="eastAsia" w:ascii="宋体" w:hAnsi="宋体" w:cs="宋体"/>
          <w:color w:val="auto"/>
          <w:sz w:val="24"/>
          <w:szCs w:val="28"/>
          <w:lang w:val="en-US" w:eastAsia="zh-CN"/>
        </w:rPr>
        <w:t>4.</w:t>
      </w:r>
      <w:r>
        <w:rPr>
          <w:rFonts w:hint="eastAsia" w:ascii="宋体" w:hAnsi="宋体" w:cs="宋体"/>
          <w:color w:val="auto"/>
          <w:sz w:val="24"/>
          <w:szCs w:val="28"/>
        </w:rPr>
        <w:t>响应有效期</w:t>
      </w:r>
      <w:bookmarkEnd w:id="61"/>
    </w:p>
    <w:p w14:paraId="4125EE8D">
      <w:pPr>
        <w:adjustRightInd w:val="0"/>
        <w:snapToGrid w:val="0"/>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13061BC8">
      <w:pPr>
        <w:pStyle w:val="4"/>
        <w:numPr>
          <w:ilvl w:val="0"/>
          <w:numId w:val="0"/>
        </w:numPr>
        <w:spacing w:line="360" w:lineRule="auto"/>
        <w:ind w:firstLine="482" w:firstLineChars="200"/>
        <w:rPr>
          <w:rFonts w:ascii="宋体" w:hAnsi="宋体" w:cs="宋体"/>
          <w:color w:val="auto"/>
          <w:sz w:val="24"/>
          <w:szCs w:val="28"/>
        </w:rPr>
      </w:pPr>
      <w:bookmarkStart w:id="62" w:name="_Toc24827"/>
      <w:bookmarkStart w:id="63" w:name="_Toc536202303"/>
      <w:r>
        <w:rPr>
          <w:rFonts w:hint="eastAsia" w:ascii="宋体" w:hAnsi="宋体" w:cs="宋体"/>
          <w:color w:val="auto"/>
          <w:sz w:val="24"/>
          <w:szCs w:val="28"/>
          <w:lang w:val="en-US" w:eastAsia="zh-CN"/>
        </w:rPr>
        <w:t>5.</w:t>
      </w:r>
      <w:r>
        <w:rPr>
          <w:rFonts w:hint="eastAsia" w:ascii="宋体" w:hAnsi="宋体" w:cs="宋体"/>
          <w:color w:val="auto"/>
          <w:sz w:val="24"/>
          <w:szCs w:val="28"/>
        </w:rPr>
        <w:t>响应文件的格式、装订、密封和签署</w:t>
      </w:r>
      <w:bookmarkEnd w:id="62"/>
      <w:bookmarkEnd w:id="63"/>
    </w:p>
    <w:p w14:paraId="5493A283">
      <w:pPr>
        <w:spacing w:line="312" w:lineRule="auto"/>
        <w:ind w:firstLine="480" w:firstLineChars="200"/>
        <w:jc w:val="left"/>
        <w:rPr>
          <w:rFonts w:ascii="宋体" w:hAnsi="宋体" w:cs="宋体"/>
          <w:color w:val="auto"/>
          <w:sz w:val="24"/>
          <w:szCs w:val="28"/>
        </w:rPr>
      </w:pPr>
      <w:r>
        <w:rPr>
          <w:rFonts w:hint="eastAsia" w:ascii="宋体" w:hAnsi="宋体" w:cs="宋体"/>
          <w:color w:val="auto"/>
          <w:sz w:val="24"/>
          <w:szCs w:val="28"/>
        </w:rPr>
        <w:t>5.1供应商须依据竞争性磋商文件内容和响应文件格式的要求编制响应文件；响应文件的正本和副本须用A4纸打印，并编制目录和页码，确保纸质</w:t>
      </w:r>
      <w:r>
        <w:rPr>
          <w:rFonts w:hint="eastAsia" w:ascii="宋体" w:hAnsi="宋体" w:cs="宋体"/>
          <w:color w:val="auto"/>
          <w:sz w:val="24"/>
          <w:szCs w:val="28"/>
          <w:lang w:eastAsia="zh-CN"/>
        </w:rPr>
        <w:t>响应文件</w:t>
      </w:r>
      <w:r>
        <w:rPr>
          <w:rFonts w:hint="eastAsia" w:ascii="宋体" w:hAnsi="宋体" w:cs="宋体"/>
          <w:color w:val="auto"/>
          <w:sz w:val="24"/>
          <w:szCs w:val="28"/>
        </w:rPr>
        <w:t>应与电子</w:t>
      </w:r>
      <w:r>
        <w:rPr>
          <w:rFonts w:hint="eastAsia" w:ascii="宋体" w:hAnsi="宋体" w:cs="宋体"/>
          <w:color w:val="auto"/>
          <w:sz w:val="24"/>
          <w:szCs w:val="28"/>
          <w:lang w:eastAsia="zh-CN"/>
        </w:rPr>
        <w:t>响应文件</w:t>
      </w:r>
      <w:r>
        <w:rPr>
          <w:rFonts w:hint="eastAsia" w:ascii="宋体" w:hAnsi="宋体" w:cs="宋体"/>
          <w:color w:val="auto"/>
          <w:sz w:val="24"/>
          <w:szCs w:val="28"/>
        </w:rPr>
        <w:t>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以为正本的复印件。</w:t>
      </w:r>
    </w:p>
    <w:p w14:paraId="37D4063D">
      <w:pPr>
        <w:spacing w:line="312" w:lineRule="auto"/>
        <w:ind w:firstLine="480" w:firstLineChars="200"/>
        <w:jc w:val="left"/>
        <w:rPr>
          <w:rFonts w:ascii="宋体" w:hAnsi="宋体" w:cs="宋体"/>
          <w:color w:val="auto"/>
          <w:sz w:val="24"/>
          <w:szCs w:val="28"/>
        </w:rPr>
      </w:pPr>
      <w:r>
        <w:rPr>
          <w:rFonts w:hint="eastAsia" w:ascii="宋体" w:hAnsi="宋体" w:cs="宋体"/>
          <w:color w:val="auto"/>
          <w:sz w:val="24"/>
          <w:szCs w:val="28"/>
        </w:rPr>
        <w:t>5.2响应文件的装订</w:t>
      </w:r>
    </w:p>
    <w:p w14:paraId="04205758">
      <w:pPr>
        <w:spacing w:line="360" w:lineRule="auto"/>
        <w:ind w:firstLine="480" w:firstLineChars="200"/>
        <w:jc w:val="left"/>
        <w:rPr>
          <w:rFonts w:ascii="宋体" w:hAnsi="宋体" w:cs="宋体"/>
          <w:color w:val="auto"/>
          <w:sz w:val="24"/>
          <w:szCs w:val="28"/>
          <w:highlight w:val="yellow"/>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color w:val="auto"/>
          <w:sz w:val="24"/>
          <w:szCs w:val="24"/>
        </w:rPr>
        <w:t>除在</w:t>
      </w:r>
      <w:r>
        <w:rPr>
          <w:rFonts w:hint="eastAsia" w:ascii="宋体" w:hAnsi="宋体"/>
          <w:color w:val="auto"/>
          <w:kern w:val="0"/>
          <w:sz w:val="24"/>
          <w:szCs w:val="24"/>
          <w:lang w:val="en-US" w:eastAsia="zh-CN"/>
        </w:rPr>
        <w:t>响应</w:t>
      </w:r>
      <w:r>
        <w:rPr>
          <w:rFonts w:hint="eastAsia" w:ascii="宋体" w:hAnsi="宋体"/>
          <w:color w:val="auto"/>
          <w:sz w:val="24"/>
          <w:szCs w:val="24"/>
        </w:rPr>
        <w:t>文件正副本中装订外，</w:t>
      </w:r>
      <w:r>
        <w:rPr>
          <w:rFonts w:hint="eastAsia" w:ascii="宋体" w:hAnsi="宋体"/>
          <w:color w:val="auto"/>
          <w:sz w:val="24"/>
          <w:szCs w:val="24"/>
          <w:lang w:val="en-US" w:eastAsia="zh-CN"/>
        </w:rPr>
        <w:t>另外</w:t>
      </w:r>
      <w:r>
        <w:rPr>
          <w:rFonts w:hint="eastAsia" w:ascii="宋体" w:hAnsi="宋体"/>
          <w:color w:val="auto"/>
          <w:sz w:val="24"/>
          <w:szCs w:val="24"/>
        </w:rPr>
        <w:t>制作一份单独封装在</w:t>
      </w:r>
      <w:r>
        <w:rPr>
          <w:rFonts w:hint="eastAsia" w:ascii="宋体" w:hAnsi="宋体"/>
          <w:color w:val="auto"/>
          <w:sz w:val="24"/>
          <w:szCs w:val="24"/>
          <w:lang w:val="en-US" w:eastAsia="zh-CN"/>
        </w:rPr>
        <w:t>封袋</w:t>
      </w:r>
      <w:r>
        <w:rPr>
          <w:rFonts w:hint="eastAsia" w:ascii="宋体" w:hAnsi="宋体"/>
          <w:color w:val="auto"/>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color w:val="auto"/>
          <w:sz w:val="24"/>
          <w:szCs w:val="24"/>
        </w:rPr>
        <w:t>并加盖投标人公章</w:t>
      </w:r>
      <w:r>
        <w:rPr>
          <w:rFonts w:hint="eastAsia" w:ascii="宋体" w:hAnsi="宋体"/>
          <w:color w:val="auto"/>
          <w:sz w:val="24"/>
          <w:szCs w:val="24"/>
          <w:lang w:eastAsia="zh-CN"/>
        </w:rPr>
        <w:t>（</w:t>
      </w:r>
      <w:r>
        <w:rPr>
          <w:rFonts w:hint="eastAsia" w:ascii="宋体" w:hAnsi="宋体"/>
          <w:color w:val="auto"/>
          <w:sz w:val="24"/>
          <w:szCs w:val="24"/>
          <w:lang w:val="en-US" w:eastAsia="zh-CN"/>
        </w:rPr>
        <w:t>鲜章</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ascii="宋体" w:hAnsi="宋体" w:cs="宋体"/>
          <w:color w:val="auto"/>
          <w:kern w:val="2"/>
          <w:sz w:val="24"/>
          <w:szCs w:val="24"/>
          <w:lang w:val="en-US" w:eastAsia="zh-CN" w:bidi="ar-SA"/>
        </w:rPr>
        <w:t>。</w:t>
      </w:r>
    </w:p>
    <w:p w14:paraId="3C56D603">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5.3响应文件的签署</w:t>
      </w:r>
    </w:p>
    <w:p w14:paraId="5FFEC134">
      <w:pPr>
        <w:numPr>
          <w:ilvl w:val="0"/>
          <w:numId w:val="5"/>
        </w:numPr>
        <w:spacing w:line="360" w:lineRule="auto"/>
        <w:jc w:val="left"/>
        <w:rPr>
          <w:rFonts w:ascii="宋体" w:hAnsi="宋体" w:cs="宋体"/>
          <w:color w:val="auto"/>
          <w:sz w:val="24"/>
          <w:szCs w:val="28"/>
        </w:rPr>
      </w:pPr>
      <w:r>
        <w:rPr>
          <w:rFonts w:hint="eastAsia" w:ascii="宋体" w:hAnsi="宋体" w:cs="宋体"/>
          <w:color w:val="auto"/>
          <w:sz w:val="24"/>
          <w:szCs w:val="28"/>
        </w:rPr>
        <w:t>供应商应在</w:t>
      </w:r>
      <w:r>
        <w:rPr>
          <w:rFonts w:hint="eastAsia" w:ascii="宋体" w:hAnsi="宋体" w:cs="宋体"/>
          <w:color w:val="auto"/>
          <w:sz w:val="24"/>
          <w:szCs w:val="28"/>
          <w:lang w:eastAsia="zh-CN"/>
        </w:rPr>
        <w:t>响应文件</w:t>
      </w:r>
      <w:r>
        <w:rPr>
          <w:rFonts w:hint="eastAsia" w:ascii="宋体" w:hAnsi="宋体" w:cs="宋体"/>
          <w:color w:val="auto"/>
          <w:sz w:val="24"/>
          <w:szCs w:val="28"/>
        </w:rPr>
        <w:t>正副本中指定的页面落款处填写供应商全称，并按要求加盖公章及签字</w:t>
      </w:r>
      <w:r>
        <w:rPr>
          <w:rFonts w:hint="eastAsia" w:ascii="宋体" w:hAnsi="宋体" w:cs="宋体"/>
          <w:color w:val="auto"/>
          <w:sz w:val="24"/>
          <w:szCs w:val="28"/>
          <w:lang w:eastAsia="zh-CN"/>
        </w:rPr>
        <w:t>（</w:t>
      </w:r>
      <w:r>
        <w:rPr>
          <w:rFonts w:hint="eastAsia" w:ascii="宋体" w:hAnsi="宋体" w:cs="宋体"/>
          <w:color w:val="auto"/>
          <w:sz w:val="24"/>
          <w:szCs w:val="28"/>
        </w:rPr>
        <w:t>包括</w:t>
      </w:r>
      <w:r>
        <w:rPr>
          <w:rFonts w:hint="eastAsia" w:ascii="宋体" w:hAnsi="宋体" w:cs="宋体"/>
          <w:color w:val="auto"/>
          <w:sz w:val="24"/>
          <w:szCs w:val="28"/>
          <w:lang w:eastAsia="zh-CN"/>
        </w:rPr>
        <w:t>响应文件</w:t>
      </w:r>
      <w:r>
        <w:rPr>
          <w:rFonts w:hint="eastAsia" w:ascii="宋体" w:hAnsi="宋体" w:cs="宋体"/>
          <w:color w:val="auto"/>
          <w:sz w:val="24"/>
          <w:szCs w:val="28"/>
        </w:rPr>
        <w:t>的封面）侧面还需加盖骑缝章。</w:t>
      </w:r>
    </w:p>
    <w:p w14:paraId="3117739E">
      <w:pPr>
        <w:numPr>
          <w:ilvl w:val="0"/>
          <w:numId w:val="5"/>
        </w:num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响应文件应字迹清楚、内容齐全、不得涂改或增删。如有修改和增删，必须有供应商公章及法定代表人或其授权代表签字。</w:t>
      </w:r>
    </w:p>
    <w:p w14:paraId="090050D9">
      <w:pPr>
        <w:numPr>
          <w:ilvl w:val="0"/>
          <w:numId w:val="5"/>
        </w:num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因响应文件字迹潦草或表达不清所引起的不利后果由供应商承担。</w:t>
      </w:r>
    </w:p>
    <w:p w14:paraId="6347A65A">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5.4响应文件的密封</w:t>
      </w:r>
    </w:p>
    <w:p w14:paraId="0FAF9CC3">
      <w:pPr>
        <w:spacing w:line="360" w:lineRule="auto"/>
        <w:ind w:firstLine="480" w:firstLineChars="200"/>
        <w:jc w:val="left"/>
        <w:rPr>
          <w:rFonts w:ascii="宋体" w:hAnsi="宋体" w:cs="宋体"/>
          <w:color w:val="auto"/>
          <w:kern w:val="0"/>
          <w:sz w:val="24"/>
          <w:szCs w:val="28"/>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sz w:val="24"/>
          <w:szCs w:val="28"/>
        </w:rPr>
        <w:t>、响应文件正本、副本应分开封装在单独的封袋中（封袋不得有破损），且在封袋正面标明“正本”“副本”</w:t>
      </w:r>
      <w:r>
        <w:rPr>
          <w:rFonts w:hint="eastAsia" w:ascii="宋体" w:hAnsi="宋体" w:cs="宋体"/>
          <w:color w:val="auto"/>
          <w:sz w:val="24"/>
          <w:szCs w:val="28"/>
          <w:lang w:eastAsia="zh-CN"/>
        </w:rPr>
        <w:t>“</w:t>
      </w:r>
      <w:r>
        <w:rPr>
          <w:rFonts w:hint="eastAsia" w:ascii="宋体" w:hAnsi="宋体" w:cs="宋体"/>
          <w:color w:val="auto"/>
          <w:kern w:val="2"/>
          <w:sz w:val="24"/>
          <w:szCs w:val="24"/>
          <w:lang w:val="en-US" w:eastAsia="zh-CN" w:bidi="ar-SA"/>
        </w:rPr>
        <w:t>资格证明文件</w:t>
      </w:r>
      <w:r>
        <w:rPr>
          <w:rFonts w:hint="eastAsia" w:ascii="宋体" w:hAnsi="宋体" w:cs="宋体"/>
          <w:color w:val="auto"/>
          <w:sz w:val="24"/>
          <w:szCs w:val="28"/>
          <w:lang w:eastAsia="zh-CN"/>
        </w:rPr>
        <w:t>”</w:t>
      </w:r>
      <w:r>
        <w:rPr>
          <w:rFonts w:hint="eastAsia" w:ascii="宋体" w:hAnsi="宋体" w:eastAsia="宋体" w:cs="宋体"/>
          <w:color w:val="auto"/>
          <w:sz w:val="24"/>
          <w:szCs w:val="28"/>
        </w:rPr>
        <w:t>，电子版放置“正本”密封袋内。封袋应加贴封条，并在封线处加盖供应商鲜章，封袋正面要粘贴供应商全称、项目名称、编号等标识</w:t>
      </w:r>
      <w:r>
        <w:rPr>
          <w:rFonts w:hint="eastAsia" w:ascii="宋体" w:hAnsi="宋体" w:cs="宋体"/>
          <w:color w:val="auto"/>
          <w:sz w:val="24"/>
          <w:szCs w:val="28"/>
          <w:lang w:eastAsia="zh-CN"/>
        </w:rPr>
        <w:t>且</w:t>
      </w:r>
      <w:r>
        <w:rPr>
          <w:rFonts w:hint="eastAsia" w:ascii="宋体" w:hAnsi="宋体" w:eastAsia="宋体" w:cs="宋体"/>
          <w:color w:val="auto"/>
          <w:kern w:val="0"/>
          <w:sz w:val="24"/>
          <w:szCs w:val="28"/>
        </w:rPr>
        <w:t>响应文件袋上应加盖供应商公章，如果未按上述规定进行密封，供应商的响应文件有权被拒绝</w:t>
      </w:r>
      <w:r>
        <w:rPr>
          <w:rFonts w:hint="eastAsia" w:ascii="宋体" w:hAnsi="宋体" w:eastAsia="宋体" w:cs="宋体"/>
          <w:color w:val="auto"/>
          <w:sz w:val="24"/>
          <w:szCs w:val="28"/>
        </w:rPr>
        <w:t>。</w:t>
      </w:r>
    </w:p>
    <w:p w14:paraId="7C722B22">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如果供应商未按上述要求密封及加写标记，误投或过早启封的响应文件，将自行承担其响应文件被视为无效响应文件的风险。</w:t>
      </w:r>
    </w:p>
    <w:p w14:paraId="6B49E153">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5.5本次磋商只接受简体中文文字的响应文件；如响应文件中出现外文资料，必须配以中文译文。否则，由此引发的一切责任由供应商自负。</w:t>
      </w:r>
    </w:p>
    <w:p w14:paraId="78769497">
      <w:pPr>
        <w:widowControl/>
        <w:spacing w:line="360" w:lineRule="auto"/>
        <w:ind w:firstLine="480" w:firstLineChars="200"/>
        <w:rPr>
          <w:rFonts w:ascii="宋体" w:hAnsi="宋体" w:cs="宋体"/>
          <w:color w:val="auto"/>
          <w:kern w:val="0"/>
          <w:sz w:val="24"/>
          <w:szCs w:val="28"/>
        </w:rPr>
      </w:pPr>
      <w:r>
        <w:rPr>
          <w:rFonts w:hint="eastAsia" w:ascii="宋体" w:hAnsi="宋体" w:cs="宋体"/>
          <w:color w:val="auto"/>
          <w:kern w:val="0"/>
          <w:sz w:val="24"/>
          <w:szCs w:val="28"/>
        </w:rPr>
        <w:t>5.6拒绝接受以电话、传真、电子邮件形式的磋商。</w:t>
      </w:r>
    </w:p>
    <w:p w14:paraId="3A6895F5">
      <w:pPr>
        <w:widowControl/>
        <w:numPr>
          <w:ilvl w:val="0"/>
          <w:numId w:val="3"/>
        </w:numPr>
        <w:spacing w:line="360" w:lineRule="auto"/>
        <w:ind w:firstLine="643" w:firstLineChars="200"/>
        <w:jc w:val="center"/>
        <w:outlineLvl w:val="1"/>
        <w:rPr>
          <w:rFonts w:ascii="宋体" w:hAnsi="宋体" w:cs="宋体"/>
          <w:b/>
          <w:bCs/>
          <w:color w:val="auto"/>
          <w:kern w:val="0"/>
          <w:sz w:val="32"/>
          <w:szCs w:val="32"/>
        </w:rPr>
      </w:pPr>
      <w:bookmarkStart w:id="64" w:name="_Toc3565"/>
      <w:bookmarkStart w:id="65" w:name="_Toc536429322"/>
      <w:bookmarkStart w:id="66" w:name="_Toc4747"/>
      <w:bookmarkStart w:id="67" w:name="_Toc536202382"/>
      <w:bookmarkStart w:id="68" w:name="_Toc536202305"/>
      <w:bookmarkStart w:id="69" w:name="_Toc19543339"/>
      <w:bookmarkStart w:id="70" w:name="_Toc536429375"/>
      <w:bookmarkStart w:id="71" w:name="_Toc3736"/>
      <w:r>
        <w:rPr>
          <w:rFonts w:hint="eastAsia" w:ascii="宋体" w:hAnsi="宋体" w:cs="宋体"/>
          <w:b/>
          <w:bCs/>
          <w:color w:val="auto"/>
          <w:kern w:val="0"/>
          <w:sz w:val="32"/>
          <w:szCs w:val="32"/>
        </w:rPr>
        <w:t>响应文件的递交</w:t>
      </w:r>
      <w:bookmarkEnd w:id="64"/>
      <w:bookmarkEnd w:id="65"/>
      <w:bookmarkEnd w:id="66"/>
      <w:bookmarkEnd w:id="67"/>
      <w:bookmarkEnd w:id="68"/>
      <w:bookmarkEnd w:id="69"/>
      <w:bookmarkEnd w:id="70"/>
      <w:r>
        <w:rPr>
          <w:rFonts w:hint="eastAsia" w:ascii="宋体" w:hAnsi="宋体" w:cs="宋体"/>
          <w:b/>
          <w:bCs/>
          <w:color w:val="auto"/>
          <w:kern w:val="0"/>
          <w:sz w:val="32"/>
          <w:szCs w:val="32"/>
        </w:rPr>
        <w:t xml:space="preserve"> </w:t>
      </w:r>
    </w:p>
    <w:bookmarkEnd w:id="71"/>
    <w:p w14:paraId="5B26F291">
      <w:pPr>
        <w:pStyle w:val="4"/>
        <w:numPr>
          <w:ilvl w:val="0"/>
          <w:numId w:val="0"/>
        </w:numPr>
        <w:spacing w:line="360" w:lineRule="auto"/>
        <w:ind w:firstLine="482" w:firstLineChars="200"/>
        <w:rPr>
          <w:rFonts w:ascii="宋体" w:hAnsi="宋体" w:cs="宋体"/>
          <w:color w:val="auto"/>
          <w:sz w:val="24"/>
          <w:szCs w:val="28"/>
        </w:rPr>
      </w:pPr>
      <w:bookmarkStart w:id="72" w:name="_Toc536202306"/>
      <w:bookmarkStart w:id="73" w:name="_Toc3685"/>
      <w:r>
        <w:rPr>
          <w:rFonts w:hint="eastAsia" w:ascii="宋体" w:hAnsi="宋体" w:cs="宋体"/>
          <w:color w:val="auto"/>
          <w:sz w:val="24"/>
          <w:szCs w:val="28"/>
          <w:lang w:val="en-US" w:eastAsia="zh-CN"/>
        </w:rPr>
        <w:t>1.</w:t>
      </w:r>
      <w:r>
        <w:rPr>
          <w:rFonts w:hint="eastAsia" w:ascii="宋体" w:hAnsi="宋体" w:cs="宋体"/>
          <w:color w:val="auto"/>
          <w:sz w:val="24"/>
          <w:szCs w:val="28"/>
        </w:rPr>
        <w:t>响应文件递交</w:t>
      </w:r>
      <w:bookmarkEnd w:id="72"/>
      <w:bookmarkEnd w:id="73"/>
    </w:p>
    <w:p w14:paraId="4BA40816">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4E019329">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1.2代理机构在宣布递交响应文件时间截止之后，拒绝接收任何人送达、递交的响应文件及其他资料；</w:t>
      </w:r>
    </w:p>
    <w:p w14:paraId="2CE86C12">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1.3代理机构不接受邮寄的响应文件；</w:t>
      </w:r>
    </w:p>
    <w:p w14:paraId="61FE2E0E">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1.4无论供应商成交与否，其响应文件恕不退还。</w:t>
      </w:r>
    </w:p>
    <w:p w14:paraId="61BDE10B">
      <w:pPr>
        <w:pStyle w:val="4"/>
        <w:numPr>
          <w:ilvl w:val="0"/>
          <w:numId w:val="0"/>
        </w:numPr>
        <w:spacing w:line="360" w:lineRule="auto"/>
        <w:ind w:firstLine="482" w:firstLineChars="200"/>
        <w:rPr>
          <w:rFonts w:ascii="宋体" w:hAnsi="宋体" w:cs="宋体"/>
          <w:color w:val="auto"/>
          <w:sz w:val="24"/>
          <w:szCs w:val="28"/>
        </w:rPr>
      </w:pPr>
      <w:bookmarkStart w:id="74" w:name="_Toc536202307"/>
      <w:bookmarkStart w:id="75" w:name="_Toc12741"/>
      <w:r>
        <w:rPr>
          <w:rFonts w:hint="eastAsia" w:ascii="宋体" w:hAnsi="宋体" w:cs="宋体"/>
          <w:color w:val="auto"/>
          <w:sz w:val="24"/>
          <w:szCs w:val="28"/>
          <w:lang w:val="en-US" w:eastAsia="zh-CN"/>
        </w:rPr>
        <w:t>2.</w:t>
      </w:r>
      <w:r>
        <w:rPr>
          <w:rFonts w:hint="eastAsia" w:ascii="宋体" w:hAnsi="宋体" w:cs="宋体"/>
          <w:color w:val="auto"/>
          <w:sz w:val="24"/>
          <w:szCs w:val="28"/>
        </w:rPr>
        <w:t>响应文件的修改和撤回</w:t>
      </w:r>
      <w:bookmarkEnd w:id="74"/>
      <w:bookmarkEnd w:id="75"/>
    </w:p>
    <w:p w14:paraId="06EE6E3F">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2.1供应商在递交响应文件以后，在规定的投标截止时间之前</w:t>
      </w:r>
      <w:r>
        <w:rPr>
          <w:rFonts w:hint="eastAsia" w:ascii="宋体" w:hAnsi="宋体" w:cs="宋体"/>
          <w:color w:val="auto"/>
          <w:sz w:val="24"/>
          <w:szCs w:val="28"/>
          <w:lang w:eastAsia="zh-CN"/>
        </w:rPr>
        <w:t>，</w:t>
      </w:r>
      <w:r>
        <w:rPr>
          <w:rFonts w:hint="eastAsia" w:ascii="宋体" w:hAnsi="宋体" w:cs="宋体"/>
          <w:color w:val="auto"/>
          <w:sz w:val="24"/>
          <w:szCs w:val="28"/>
        </w:rPr>
        <w:t>可以书面形式补充、修改或撤回已递交的响应文件，并以书面形式通知招标代理机构。补充、修改的内容应当按磋商文件要求密封、签署、盖章，并作为响应文件的组成部分；</w:t>
      </w:r>
    </w:p>
    <w:p w14:paraId="24F49DEE">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1332FB35">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131EAE95">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2.4投标截止时间之后，供应商不得补充、修改响应文件。</w:t>
      </w:r>
    </w:p>
    <w:p w14:paraId="11E78F2B">
      <w:pPr>
        <w:widowControl/>
        <w:numPr>
          <w:ilvl w:val="0"/>
          <w:numId w:val="3"/>
        </w:numPr>
        <w:spacing w:line="360" w:lineRule="auto"/>
        <w:ind w:firstLine="643" w:firstLineChars="200"/>
        <w:jc w:val="center"/>
        <w:outlineLvl w:val="1"/>
        <w:rPr>
          <w:rFonts w:ascii="宋体" w:hAnsi="宋体" w:cs="宋体"/>
          <w:b/>
          <w:bCs/>
          <w:color w:val="auto"/>
          <w:kern w:val="0"/>
          <w:sz w:val="32"/>
          <w:szCs w:val="32"/>
        </w:rPr>
      </w:pPr>
      <w:bookmarkStart w:id="76" w:name="_Toc27066"/>
      <w:bookmarkStart w:id="77" w:name="_Toc536429323"/>
      <w:bookmarkStart w:id="78" w:name="_Toc536202383"/>
      <w:bookmarkStart w:id="79" w:name="_Toc14415"/>
      <w:bookmarkStart w:id="80" w:name="_Toc536202308"/>
      <w:bookmarkStart w:id="81" w:name="_Toc19543340"/>
      <w:bookmarkStart w:id="82" w:name="_Toc536429376"/>
      <w:bookmarkStart w:id="83" w:name="_Toc175"/>
      <w:r>
        <w:rPr>
          <w:rFonts w:hint="eastAsia" w:ascii="宋体" w:hAnsi="宋体" w:cs="宋体"/>
          <w:b/>
          <w:bCs/>
          <w:color w:val="auto"/>
          <w:kern w:val="0"/>
          <w:sz w:val="32"/>
          <w:szCs w:val="32"/>
        </w:rPr>
        <w:t>磋商、评审、定标</w:t>
      </w:r>
      <w:bookmarkEnd w:id="76"/>
      <w:bookmarkEnd w:id="77"/>
      <w:bookmarkEnd w:id="78"/>
      <w:bookmarkEnd w:id="79"/>
      <w:bookmarkEnd w:id="80"/>
      <w:bookmarkEnd w:id="81"/>
      <w:bookmarkEnd w:id="82"/>
      <w:bookmarkEnd w:id="83"/>
    </w:p>
    <w:p w14:paraId="2B93F24D">
      <w:pPr>
        <w:pStyle w:val="4"/>
        <w:numPr>
          <w:ilvl w:val="0"/>
          <w:numId w:val="0"/>
        </w:numPr>
        <w:spacing w:line="360" w:lineRule="auto"/>
        <w:ind w:firstLine="482" w:firstLineChars="200"/>
        <w:rPr>
          <w:rFonts w:ascii="宋体" w:hAnsi="宋体" w:cs="宋体"/>
          <w:color w:val="auto"/>
          <w:sz w:val="24"/>
          <w:szCs w:val="28"/>
        </w:rPr>
      </w:pPr>
      <w:bookmarkStart w:id="84" w:name="_Toc536202309"/>
      <w:r>
        <w:rPr>
          <w:rFonts w:hint="eastAsia" w:ascii="宋体" w:hAnsi="宋体" w:cs="宋体"/>
          <w:color w:val="auto"/>
          <w:sz w:val="24"/>
          <w:szCs w:val="28"/>
          <w:lang w:val="en-US" w:eastAsia="zh-CN"/>
        </w:rPr>
        <w:t>1.</w:t>
      </w:r>
      <w:r>
        <w:rPr>
          <w:rFonts w:hint="eastAsia" w:ascii="宋体" w:hAnsi="宋体" w:cs="宋体"/>
          <w:color w:val="auto"/>
          <w:sz w:val="24"/>
          <w:szCs w:val="28"/>
        </w:rPr>
        <w:t>磋商</w:t>
      </w:r>
      <w:bookmarkEnd w:id="84"/>
    </w:p>
    <w:p w14:paraId="7F50D631">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1.1采购代理机构按磋商公告中规定的时间和地点接收供应商递交的响应文件，主持磋商会议，邀请供应商代表及采购人代表参加。</w:t>
      </w:r>
      <w:r>
        <w:rPr>
          <w:rFonts w:hint="eastAsia" w:ascii="宋体" w:hAnsi="宋体" w:cs="宋体"/>
          <w:color w:val="auto"/>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5E988838">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1.2磋商时，当众查验</w:t>
      </w:r>
      <w:r>
        <w:rPr>
          <w:rFonts w:hint="eastAsia" w:ascii="宋体" w:hAnsi="宋体" w:cs="宋体"/>
          <w:color w:val="auto"/>
          <w:sz w:val="24"/>
          <w:szCs w:val="28"/>
          <w:lang w:eastAsia="zh-CN"/>
        </w:rPr>
        <w:t>响应文件</w:t>
      </w:r>
      <w:r>
        <w:rPr>
          <w:rFonts w:hint="eastAsia" w:ascii="宋体" w:hAnsi="宋体" w:cs="宋体"/>
          <w:color w:val="auto"/>
          <w:sz w:val="24"/>
          <w:szCs w:val="28"/>
        </w:rPr>
        <w:t>密封情况，由投标人或者其推选的代表检查</w:t>
      </w:r>
      <w:r>
        <w:rPr>
          <w:rFonts w:hint="eastAsia" w:ascii="宋体" w:hAnsi="宋体" w:cs="宋体"/>
          <w:color w:val="auto"/>
          <w:sz w:val="24"/>
          <w:szCs w:val="28"/>
          <w:lang w:eastAsia="zh-CN"/>
        </w:rPr>
        <w:t>响应文件</w:t>
      </w:r>
      <w:r>
        <w:rPr>
          <w:rFonts w:hint="eastAsia" w:ascii="宋体" w:hAnsi="宋体" w:cs="宋体"/>
          <w:color w:val="auto"/>
          <w:sz w:val="24"/>
          <w:szCs w:val="28"/>
        </w:rPr>
        <w:t>的密封情况，以确认各投标人的</w:t>
      </w:r>
      <w:r>
        <w:rPr>
          <w:rFonts w:hint="eastAsia" w:ascii="宋体" w:hAnsi="宋体" w:cs="宋体"/>
          <w:color w:val="auto"/>
          <w:sz w:val="24"/>
          <w:szCs w:val="28"/>
          <w:lang w:eastAsia="zh-CN"/>
        </w:rPr>
        <w:t>响应文件</w:t>
      </w:r>
      <w:r>
        <w:rPr>
          <w:rFonts w:hint="eastAsia" w:ascii="宋体" w:hAnsi="宋体" w:cs="宋体"/>
          <w:color w:val="auto"/>
          <w:sz w:val="24"/>
          <w:szCs w:val="28"/>
        </w:rPr>
        <w:t>密封情况是否与递交时一致，没有被提前启封等异常情况。</w:t>
      </w:r>
    </w:p>
    <w:p w14:paraId="0A429FF5">
      <w:pPr>
        <w:overflowPunct w:val="0"/>
        <w:adjustRightInd w:val="0"/>
        <w:snapToGrid w:val="0"/>
        <w:spacing w:line="360" w:lineRule="auto"/>
        <w:ind w:firstLine="600" w:firstLineChars="250"/>
        <w:rPr>
          <w:rFonts w:ascii="宋体" w:hAnsi="宋体" w:cs="宋体"/>
          <w:color w:val="auto"/>
          <w:sz w:val="24"/>
          <w:szCs w:val="24"/>
        </w:rPr>
      </w:pPr>
      <w:r>
        <w:rPr>
          <w:rFonts w:hint="eastAsia" w:ascii="宋体" w:hAnsi="宋体" w:cs="宋体"/>
          <w:color w:val="auto"/>
          <w:sz w:val="24"/>
          <w:szCs w:val="28"/>
        </w:rPr>
        <w:t>1.3经确认无误后，</w:t>
      </w:r>
      <w:r>
        <w:rPr>
          <w:rFonts w:hint="eastAsia" w:ascii="宋体" w:hAnsi="宋体" w:cs="宋体"/>
          <w:color w:val="auto"/>
          <w:sz w:val="24"/>
          <w:szCs w:val="24"/>
        </w:rPr>
        <w:t>对密封合格的</w:t>
      </w:r>
      <w:r>
        <w:rPr>
          <w:rFonts w:hint="eastAsia" w:ascii="宋体" w:hAnsi="宋体" w:cs="宋体"/>
          <w:color w:val="auto"/>
          <w:sz w:val="24"/>
          <w:szCs w:val="24"/>
          <w:lang w:eastAsia="zh-CN"/>
        </w:rPr>
        <w:t>响应文件</w:t>
      </w:r>
      <w:r>
        <w:rPr>
          <w:rFonts w:hint="eastAsia" w:ascii="宋体" w:hAnsi="宋体" w:cs="宋体"/>
          <w:color w:val="auto"/>
          <w:sz w:val="24"/>
          <w:szCs w:val="24"/>
        </w:rPr>
        <w:t>由代理机构工作人员现场拆封开启，密封不合格的</w:t>
      </w:r>
      <w:r>
        <w:rPr>
          <w:rFonts w:hint="eastAsia" w:ascii="宋体" w:hAnsi="宋体" w:cs="宋体"/>
          <w:color w:val="auto"/>
          <w:sz w:val="24"/>
          <w:szCs w:val="24"/>
          <w:lang w:eastAsia="zh-CN"/>
        </w:rPr>
        <w:t>响应文件</w:t>
      </w:r>
      <w:r>
        <w:rPr>
          <w:rFonts w:hint="eastAsia" w:ascii="宋体" w:hAnsi="宋体" w:cs="宋体"/>
          <w:color w:val="auto"/>
          <w:sz w:val="24"/>
          <w:szCs w:val="24"/>
        </w:rPr>
        <w:t>以及按照“响应文件的修改和撤回”规定，提交了可接受的“撤回”通知书的</w:t>
      </w:r>
      <w:r>
        <w:rPr>
          <w:rFonts w:hint="eastAsia" w:ascii="宋体" w:hAnsi="宋体" w:cs="宋体"/>
          <w:color w:val="auto"/>
          <w:sz w:val="24"/>
          <w:szCs w:val="24"/>
          <w:lang w:eastAsia="zh-CN"/>
        </w:rPr>
        <w:t>响应文件</w:t>
      </w:r>
      <w:r>
        <w:rPr>
          <w:rFonts w:hint="eastAsia" w:ascii="宋体" w:hAnsi="宋体" w:cs="宋体"/>
          <w:color w:val="auto"/>
          <w:sz w:val="24"/>
          <w:szCs w:val="24"/>
        </w:rPr>
        <w:t>将不予拆封。</w:t>
      </w:r>
    </w:p>
    <w:p w14:paraId="0AC56282">
      <w:pPr>
        <w:spacing w:line="360" w:lineRule="auto"/>
        <w:ind w:firstLine="480" w:firstLineChars="200"/>
        <w:rPr>
          <w:rFonts w:ascii="宋体" w:hAnsi="宋体" w:cs="宋体"/>
          <w:color w:val="auto"/>
          <w:sz w:val="24"/>
          <w:szCs w:val="28"/>
        </w:rPr>
      </w:pPr>
      <w:r>
        <w:rPr>
          <w:rFonts w:hint="eastAsia" w:ascii="宋体" w:hAnsi="宋体" w:cs="宋体"/>
          <w:color w:val="auto"/>
          <w:sz w:val="24"/>
          <w:szCs w:val="24"/>
        </w:rPr>
        <w:t>1.4</w:t>
      </w:r>
      <w:r>
        <w:rPr>
          <w:rFonts w:hint="eastAsia" w:ascii="宋体" w:hAnsi="宋体" w:cs="宋体"/>
          <w:color w:val="auto"/>
          <w:sz w:val="24"/>
          <w:szCs w:val="24"/>
          <w:lang w:eastAsia="zh-CN"/>
        </w:rPr>
        <w:t>响应文件</w:t>
      </w:r>
      <w:r>
        <w:rPr>
          <w:rFonts w:hint="eastAsia" w:ascii="宋体" w:hAnsi="宋体" w:cs="宋体"/>
          <w:color w:val="auto"/>
          <w:sz w:val="24"/>
          <w:szCs w:val="24"/>
        </w:rPr>
        <w:t>拆封后，宣读投标人名称</w:t>
      </w:r>
      <w:r>
        <w:rPr>
          <w:rFonts w:hint="eastAsia" w:ascii="宋体" w:hAnsi="宋体" w:cs="宋体"/>
          <w:bCs/>
          <w:color w:val="auto"/>
          <w:sz w:val="24"/>
          <w:szCs w:val="24"/>
        </w:rPr>
        <w:t>。</w:t>
      </w:r>
    </w:p>
    <w:p w14:paraId="627BE15D">
      <w:pPr>
        <w:pStyle w:val="4"/>
        <w:spacing w:line="360" w:lineRule="auto"/>
        <w:ind w:firstLine="482" w:firstLineChars="200"/>
        <w:rPr>
          <w:rFonts w:ascii="宋体" w:hAnsi="宋体" w:cs="宋体"/>
          <w:color w:val="auto"/>
          <w:sz w:val="24"/>
          <w:szCs w:val="28"/>
        </w:rPr>
      </w:pPr>
      <w:bookmarkStart w:id="85" w:name="_Toc536202310"/>
      <w:r>
        <w:rPr>
          <w:rFonts w:hint="eastAsia" w:ascii="宋体" w:hAnsi="宋体" w:cs="宋体"/>
          <w:color w:val="auto"/>
          <w:sz w:val="24"/>
          <w:szCs w:val="28"/>
          <w:lang w:eastAsia="zh-CN"/>
        </w:rPr>
        <w:t>2.</w:t>
      </w:r>
      <w:r>
        <w:rPr>
          <w:rFonts w:hint="eastAsia" w:ascii="宋体" w:hAnsi="宋体" w:cs="宋体"/>
          <w:color w:val="auto"/>
          <w:sz w:val="24"/>
          <w:szCs w:val="28"/>
        </w:rPr>
        <w:t>磋商小组</w:t>
      </w:r>
      <w:bookmarkEnd w:id="85"/>
    </w:p>
    <w:p w14:paraId="4F50F08C">
      <w:pPr>
        <w:spacing w:line="360" w:lineRule="auto"/>
        <w:ind w:firstLine="480" w:firstLineChars="200"/>
        <w:rPr>
          <w:rFonts w:ascii="宋体" w:hAnsi="宋体" w:cs="宋体"/>
          <w:color w:val="auto"/>
          <w:sz w:val="24"/>
        </w:rPr>
      </w:pPr>
      <w:bookmarkStart w:id="86" w:name="_Toc536202311"/>
      <w:bookmarkStart w:id="87" w:name="_Toc386129876"/>
      <w:bookmarkStart w:id="88" w:name="_Toc27940"/>
      <w:bookmarkStart w:id="89" w:name="_Toc385958808"/>
      <w:bookmarkStart w:id="90" w:name="_Toc28085"/>
      <w:r>
        <w:rPr>
          <w:rFonts w:hint="eastAsia" w:ascii="宋体" w:hAnsi="宋体" w:cs="宋体"/>
          <w:color w:val="auto"/>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E7DC7DF">
      <w:pPr>
        <w:spacing w:line="360" w:lineRule="auto"/>
        <w:ind w:firstLine="458" w:firstLineChars="191"/>
        <w:rPr>
          <w:rFonts w:ascii="宋体" w:hAnsi="宋体" w:cs="宋体"/>
          <w:color w:val="auto"/>
          <w:sz w:val="24"/>
        </w:rPr>
      </w:pPr>
      <w:r>
        <w:rPr>
          <w:rFonts w:hint="eastAsia" w:ascii="宋体" w:hAnsi="宋体" w:cs="宋体"/>
          <w:color w:val="auto"/>
          <w:sz w:val="24"/>
        </w:rPr>
        <w:t>（1）要严格遵守政府采购相关法律制度，依法履行各自职责，公正、客观、审慎地组织和参与评审工作；</w:t>
      </w:r>
    </w:p>
    <w:p w14:paraId="588F86F7">
      <w:pPr>
        <w:tabs>
          <w:tab w:val="left" w:pos="1200"/>
        </w:tabs>
        <w:spacing w:line="360" w:lineRule="auto"/>
        <w:ind w:firstLine="480" w:firstLineChars="200"/>
        <w:rPr>
          <w:rFonts w:ascii="宋体" w:hAnsi="宋体" w:cs="宋体"/>
          <w:color w:val="auto"/>
          <w:sz w:val="24"/>
        </w:rPr>
      </w:pPr>
      <w:r>
        <w:rPr>
          <w:rFonts w:hint="eastAsia" w:ascii="宋体" w:hAnsi="宋体" w:cs="宋体"/>
          <w:color w:val="auto"/>
          <w:sz w:val="24"/>
        </w:rPr>
        <w:t>（2）对所有响应文件逐一进行资格性、符合性审查，并</w:t>
      </w:r>
      <w:r>
        <w:rPr>
          <w:rFonts w:hint="eastAsia" w:ascii="宋体" w:hAnsi="宋体" w:cs="宋体"/>
          <w:color w:val="auto"/>
          <w:sz w:val="24"/>
          <w:lang w:eastAsia="zh-CN"/>
        </w:rPr>
        <w:t>作出评价</w:t>
      </w:r>
      <w:r>
        <w:rPr>
          <w:rFonts w:hint="eastAsia" w:ascii="宋体" w:hAnsi="宋体" w:cs="宋体"/>
          <w:color w:val="auto"/>
          <w:sz w:val="24"/>
        </w:rPr>
        <w:t>；</w:t>
      </w:r>
    </w:p>
    <w:p w14:paraId="5341979C">
      <w:pPr>
        <w:tabs>
          <w:tab w:val="left" w:pos="1200"/>
        </w:tabs>
        <w:spacing w:line="360" w:lineRule="auto"/>
        <w:ind w:firstLine="458" w:firstLineChars="191"/>
        <w:rPr>
          <w:rFonts w:ascii="宋体" w:hAnsi="宋体" w:cs="宋体"/>
          <w:color w:val="auto"/>
          <w:sz w:val="24"/>
        </w:rPr>
      </w:pPr>
      <w:r>
        <w:rPr>
          <w:rFonts w:hint="eastAsia" w:ascii="宋体" w:hAnsi="宋体" w:cs="宋体"/>
          <w:color w:val="auto"/>
          <w:sz w:val="24"/>
        </w:rPr>
        <w:t>（3）按磋商文件规定的评审方法和标准，进行比较和评价；对供应商的价格分等客观评分项的评分应当一致；</w:t>
      </w:r>
    </w:p>
    <w:p w14:paraId="0C93E100">
      <w:pPr>
        <w:spacing w:line="360" w:lineRule="auto"/>
        <w:ind w:firstLine="480" w:firstLineChars="200"/>
        <w:rPr>
          <w:rFonts w:ascii="宋体" w:hAnsi="宋体" w:cs="宋体"/>
          <w:color w:val="auto"/>
          <w:sz w:val="24"/>
        </w:rPr>
      </w:pPr>
      <w:r>
        <w:rPr>
          <w:rFonts w:hint="eastAsia" w:ascii="宋体" w:hAnsi="宋体" w:cs="宋体"/>
          <w:color w:val="auto"/>
          <w:sz w:val="24"/>
        </w:rPr>
        <w:t>（4）要求供应商对响应文件有关事项作出解释或澄清；</w:t>
      </w:r>
    </w:p>
    <w:p w14:paraId="6568D296">
      <w:pPr>
        <w:spacing w:line="360" w:lineRule="auto"/>
        <w:ind w:firstLine="480" w:firstLineChars="200"/>
        <w:rPr>
          <w:rFonts w:ascii="宋体" w:hAnsi="宋体" w:cs="宋体"/>
          <w:color w:val="auto"/>
          <w:sz w:val="24"/>
        </w:rPr>
      </w:pPr>
      <w:r>
        <w:rPr>
          <w:rFonts w:hint="eastAsia" w:ascii="宋体" w:hAnsi="宋体" w:cs="宋体"/>
          <w:color w:val="auto"/>
          <w:sz w:val="24"/>
        </w:rPr>
        <w:t>（5）要依法独立评审，按照磋商文件的要求和评标标准进行评标，推荐成交候选供应商名单，对评审意见承担个人责任；</w:t>
      </w:r>
    </w:p>
    <w:p w14:paraId="1B35110D">
      <w:pPr>
        <w:spacing w:line="360" w:lineRule="auto"/>
        <w:ind w:firstLine="480" w:firstLineChars="200"/>
        <w:rPr>
          <w:rFonts w:ascii="宋体" w:hAnsi="宋体" w:cs="宋体"/>
          <w:color w:val="auto"/>
          <w:sz w:val="24"/>
        </w:rPr>
      </w:pPr>
      <w:r>
        <w:rPr>
          <w:rFonts w:hint="eastAsia" w:ascii="宋体" w:hAnsi="宋体" w:cs="宋体"/>
          <w:color w:val="auto"/>
          <w:sz w:val="24"/>
        </w:rPr>
        <w:t>（6）对需要共同认定的事项存在争议的，按照少数服从多数的原则</w:t>
      </w:r>
      <w:r>
        <w:rPr>
          <w:rFonts w:hint="eastAsia" w:ascii="宋体" w:hAnsi="宋体" w:cs="宋体"/>
          <w:color w:val="auto"/>
          <w:sz w:val="24"/>
          <w:lang w:eastAsia="zh-CN"/>
        </w:rPr>
        <w:t>作出</w:t>
      </w:r>
      <w:r>
        <w:rPr>
          <w:rFonts w:hint="eastAsia" w:ascii="宋体" w:hAnsi="宋体" w:cs="宋体"/>
          <w:color w:val="auto"/>
          <w:sz w:val="24"/>
        </w:rPr>
        <w:t xml:space="preserve">结论。持不同意见的磋商小组成员应当在评审报告上签署不同意见并说明理由，否则视为同意； </w:t>
      </w:r>
    </w:p>
    <w:p w14:paraId="651040A2">
      <w:pPr>
        <w:spacing w:line="360" w:lineRule="auto"/>
        <w:ind w:firstLine="480" w:firstLineChars="200"/>
        <w:rPr>
          <w:rFonts w:ascii="宋体" w:hAnsi="宋体" w:cs="宋体"/>
          <w:color w:val="auto"/>
          <w:sz w:val="24"/>
        </w:rPr>
      </w:pPr>
      <w:r>
        <w:rPr>
          <w:rFonts w:hint="eastAsia" w:ascii="宋体" w:hAnsi="宋体" w:cs="宋体"/>
          <w:color w:val="auto"/>
          <w:sz w:val="24"/>
        </w:rPr>
        <w:t>（7）对评审情况以及在评审过程中获悉的国家秘密、商业秘密负有保密责任；</w:t>
      </w:r>
    </w:p>
    <w:p w14:paraId="1059A56C">
      <w:pPr>
        <w:spacing w:line="360" w:lineRule="auto"/>
        <w:ind w:firstLine="480" w:firstLineChars="200"/>
        <w:rPr>
          <w:rFonts w:ascii="宋体" w:hAnsi="宋体" w:cs="宋体"/>
          <w:color w:val="auto"/>
          <w:sz w:val="24"/>
        </w:rPr>
      </w:pPr>
      <w:r>
        <w:rPr>
          <w:rFonts w:hint="eastAsia" w:ascii="宋体" w:hAnsi="宋体" w:cs="宋体"/>
          <w:color w:val="auto"/>
          <w:sz w:val="24"/>
        </w:rPr>
        <w:t>（8） 配合财政部门的投诉处理工作；</w:t>
      </w:r>
    </w:p>
    <w:p w14:paraId="536DAEA8">
      <w:pPr>
        <w:spacing w:line="360" w:lineRule="auto"/>
        <w:ind w:firstLine="480" w:firstLineChars="200"/>
        <w:rPr>
          <w:rFonts w:ascii="宋体" w:hAnsi="宋体" w:cs="宋体"/>
          <w:color w:val="auto"/>
          <w:sz w:val="24"/>
        </w:rPr>
      </w:pPr>
      <w:r>
        <w:rPr>
          <w:rFonts w:hint="eastAsia" w:ascii="宋体" w:hAnsi="宋体" w:cs="宋体"/>
          <w:color w:val="auto"/>
          <w:sz w:val="24"/>
        </w:rPr>
        <w:t>（9）配合采购人、采购代理机构答复供应商提出的质疑。</w:t>
      </w:r>
    </w:p>
    <w:bookmarkEnd w:id="86"/>
    <w:bookmarkEnd w:id="87"/>
    <w:bookmarkEnd w:id="88"/>
    <w:bookmarkEnd w:id="89"/>
    <w:bookmarkEnd w:id="90"/>
    <w:p w14:paraId="25D0D947">
      <w:pPr>
        <w:spacing w:line="360" w:lineRule="auto"/>
        <w:ind w:firstLine="482" w:firstLineChars="200"/>
        <w:rPr>
          <w:rFonts w:ascii="宋体" w:hAnsi="宋体" w:cs="宋体"/>
          <w:b/>
          <w:color w:val="auto"/>
          <w:sz w:val="24"/>
        </w:rPr>
      </w:pPr>
      <w:bookmarkStart w:id="91" w:name="_Toc536202313"/>
      <w:r>
        <w:rPr>
          <w:rFonts w:hint="eastAsia" w:ascii="宋体" w:hAnsi="宋体" w:cs="宋体"/>
          <w:b/>
          <w:color w:val="auto"/>
          <w:sz w:val="24"/>
          <w:lang w:eastAsia="zh-CN"/>
        </w:rPr>
        <w:t>3.</w:t>
      </w:r>
      <w:r>
        <w:rPr>
          <w:rFonts w:hint="eastAsia" w:ascii="宋体" w:hAnsi="宋体" w:cs="宋体"/>
          <w:b/>
          <w:color w:val="auto"/>
          <w:sz w:val="24"/>
        </w:rPr>
        <w:t>响应文件的初审</w:t>
      </w:r>
    </w:p>
    <w:p w14:paraId="77403871">
      <w:pPr>
        <w:spacing w:line="360" w:lineRule="auto"/>
        <w:ind w:firstLine="360" w:firstLineChars="150"/>
        <w:rPr>
          <w:rFonts w:hint="eastAsia" w:ascii="宋体" w:hAnsi="宋体" w:cs="宋体"/>
          <w:color w:val="auto"/>
          <w:sz w:val="24"/>
        </w:rPr>
      </w:pPr>
      <w:r>
        <w:rPr>
          <w:rFonts w:hint="eastAsia" w:ascii="宋体" w:hAnsi="宋体" w:cs="宋体"/>
          <w:color w:val="auto"/>
          <w:sz w:val="24"/>
        </w:rPr>
        <w:t>（1）初审分为资格性审查和符合性审查。</w:t>
      </w:r>
    </w:p>
    <w:p w14:paraId="29DF2AE2">
      <w:pPr>
        <w:spacing w:line="360" w:lineRule="auto"/>
        <w:ind w:firstLine="360" w:firstLineChars="150"/>
        <w:rPr>
          <w:rFonts w:ascii="宋体" w:hAnsi="宋体" w:cs="宋体"/>
          <w:color w:val="auto"/>
          <w:sz w:val="24"/>
        </w:rPr>
      </w:pPr>
      <w:r>
        <w:rPr>
          <w:rFonts w:hint="eastAsia" w:ascii="宋体" w:hAnsi="宋体" w:cs="宋体"/>
          <w:color w:val="auto"/>
          <w:sz w:val="24"/>
        </w:rPr>
        <w:t>（2）资格性审查：依据磋商文件</w:t>
      </w:r>
      <w:r>
        <w:rPr>
          <w:rFonts w:hint="eastAsia" w:ascii="宋体" w:hAnsi="宋体" w:cs="宋体"/>
          <w:color w:val="auto"/>
          <w:sz w:val="24"/>
          <w:lang w:val="en-US" w:eastAsia="zh-CN"/>
        </w:rPr>
        <w:t>须知前附表中第10项</w:t>
      </w:r>
      <w:r>
        <w:rPr>
          <w:rFonts w:asciiTheme="minorEastAsia" w:hAnsiTheme="minorEastAsia" w:eastAsiaTheme="minorEastAsia"/>
          <w:color w:val="auto"/>
          <w:sz w:val="24"/>
          <w:szCs w:val="24"/>
        </w:rPr>
        <w:t>投标人</w:t>
      </w:r>
      <w:r>
        <w:rPr>
          <w:rFonts w:hint="eastAsia" w:asciiTheme="minorEastAsia" w:hAnsiTheme="minorEastAsia" w:eastAsiaTheme="minorEastAsia"/>
          <w:color w:val="auto"/>
          <w:sz w:val="24"/>
          <w:szCs w:val="24"/>
          <w:lang w:val="en-US" w:eastAsia="zh-CN"/>
        </w:rPr>
        <w:t>资格要求</w:t>
      </w:r>
      <w:r>
        <w:rPr>
          <w:rFonts w:hint="eastAsia" w:ascii="宋体" w:hAnsi="宋体" w:cs="宋体"/>
          <w:color w:val="auto"/>
          <w:sz w:val="24"/>
        </w:rPr>
        <w:t>，对供应商的资格证明文件进行审查，以确定供应商是否具备磋商资格。</w:t>
      </w:r>
    </w:p>
    <w:p w14:paraId="15768FE8">
      <w:pPr>
        <w:spacing w:line="360" w:lineRule="auto"/>
        <w:ind w:firstLine="360" w:firstLineChars="150"/>
        <w:rPr>
          <w:rFonts w:hint="default" w:ascii="宋体" w:hAnsi="宋体" w:eastAsia="宋体" w:cs="宋体"/>
          <w:color w:val="auto"/>
          <w:sz w:val="24"/>
          <w:lang w:val="en-US" w:eastAsia="zh-CN"/>
        </w:rPr>
      </w:pPr>
      <w:r>
        <w:rPr>
          <w:rFonts w:hint="eastAsia" w:ascii="宋体" w:hAnsi="宋体" w:cs="宋体"/>
          <w:color w:val="auto"/>
          <w:sz w:val="24"/>
        </w:rPr>
        <w:t>（3）符合性审查：依据磋商文件规定，从响应文件的有效性、完整性和对磋商文件的响应程度进行审查。</w:t>
      </w:r>
    </w:p>
    <w:tbl>
      <w:tblPr>
        <w:tblStyle w:val="40"/>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59"/>
        <w:gridCol w:w="3770"/>
        <w:gridCol w:w="1002"/>
        <w:gridCol w:w="1497"/>
      </w:tblGrid>
      <w:tr w14:paraId="4A77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5154BA97">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序号</w:t>
            </w:r>
          </w:p>
        </w:tc>
        <w:tc>
          <w:tcPr>
            <w:tcW w:w="235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768D45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E942FEA">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6F3C725">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4B44E36">
            <w:pPr>
              <w:keepNext w:val="0"/>
              <w:keepLines w:val="0"/>
              <w:widowControl/>
              <w:suppressLineNumbers w:val="0"/>
              <w:spacing w:before="0" w:beforeAutospacing="0" w:after="0" w:afterAutospacing="0" w:line="288" w:lineRule="auto"/>
              <w:ind w:left="0" w:right="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未通过原因</w:t>
            </w:r>
          </w:p>
        </w:tc>
      </w:tr>
      <w:tr w14:paraId="1D7F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7488748A">
            <w:pPr>
              <w:keepNext w:val="0"/>
              <w:keepLines w:val="0"/>
              <w:widowControl/>
              <w:suppressLineNumbers w:val="0"/>
              <w:spacing w:before="0" w:beforeAutospacing="0" w:after="0" w:afterAutospacing="0" w:line="288" w:lineRule="auto"/>
              <w:ind w:left="0" w:right="0" w:firstLine="200" w:firstLineChars="0"/>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rPr>
              <w:t>1</w:t>
            </w:r>
          </w:p>
        </w:tc>
        <w:tc>
          <w:tcPr>
            <w:tcW w:w="2359" w:type="dxa"/>
            <w:tcBorders>
              <w:top w:val="single" w:color="auto" w:sz="4" w:space="0"/>
              <w:left w:val="single" w:color="auto" w:sz="4" w:space="0"/>
              <w:bottom w:val="single" w:color="auto" w:sz="4" w:space="0"/>
              <w:right w:val="single" w:color="auto" w:sz="4" w:space="0"/>
            </w:tcBorders>
            <w:vAlign w:val="top"/>
          </w:tcPr>
          <w:p w14:paraId="0A5D55EE">
            <w:pPr>
              <w:keepNext w:val="0"/>
              <w:keepLines w:val="0"/>
              <w:widowControl/>
              <w:suppressLineNumbers w:val="0"/>
              <w:spacing w:before="0" w:beforeAutospacing="0" w:after="0" w:afterAutospacing="0" w:line="288" w:lineRule="auto"/>
              <w:ind w:left="0" w:right="0" w:firstLine="200" w:firstLineChars="0"/>
              <w:rPr>
                <w:rFonts w:hint="eastAsia" w:ascii="宋体" w:hAnsi="宋体" w:cs="宋体"/>
                <w:bCs/>
                <w:color w:val="auto"/>
                <w:kern w:val="0"/>
                <w:sz w:val="24"/>
                <w:szCs w:val="24"/>
              </w:rPr>
            </w:pP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56D983A9">
            <w:pPr>
              <w:keepNext w:val="0"/>
              <w:keepLines w:val="0"/>
              <w:widowControl/>
              <w:suppressLineNumbers w:val="0"/>
              <w:spacing w:before="0" w:beforeAutospacing="0" w:after="0" w:afterAutospacing="0" w:line="288" w:lineRule="auto"/>
              <w:ind w:left="0" w:right="0"/>
              <w:jc w:val="left"/>
              <w:rPr>
                <w:rFonts w:hint="eastAsia" w:ascii="宋体" w:hAnsi="宋体" w:cs="宋体"/>
                <w:bCs/>
                <w:color w:val="auto"/>
                <w:kern w:val="0"/>
                <w:sz w:val="24"/>
                <w:szCs w:val="24"/>
              </w:rPr>
            </w:pPr>
            <w:r>
              <w:rPr>
                <w:rFonts w:hint="eastAsia" w:ascii="宋体" w:hAnsi="宋体" w:cs="宋体"/>
                <w:color w:val="auto"/>
                <w:sz w:val="24"/>
                <w:szCs w:val="24"/>
              </w:rPr>
              <w:t>均符合</w:t>
            </w:r>
            <w:r>
              <w:rPr>
                <w:rFonts w:hint="eastAsia" w:ascii="宋体" w:hAnsi="宋体" w:cs="宋体"/>
                <w:color w:val="auto"/>
                <w:sz w:val="24"/>
                <w:szCs w:val="24"/>
                <w:lang w:eastAsia="zh-CN"/>
              </w:rPr>
              <w:t>磋商文件</w:t>
            </w:r>
            <w:r>
              <w:rPr>
                <w:rFonts w:hint="eastAsia" w:ascii="宋体" w:hAnsi="宋体" w:cs="宋体"/>
                <w:color w:val="auto"/>
                <w:sz w:val="24"/>
                <w:szCs w:val="24"/>
              </w:rPr>
              <w:t>要求。</w:t>
            </w:r>
          </w:p>
        </w:tc>
        <w:tc>
          <w:tcPr>
            <w:tcW w:w="1002" w:type="dxa"/>
            <w:tcBorders>
              <w:top w:val="single" w:color="auto" w:sz="4" w:space="0"/>
              <w:left w:val="single" w:color="auto" w:sz="4" w:space="0"/>
              <w:bottom w:val="single" w:color="auto" w:sz="4" w:space="0"/>
              <w:right w:val="single" w:color="auto" w:sz="4" w:space="0"/>
            </w:tcBorders>
          </w:tcPr>
          <w:p w14:paraId="1290F6D3">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3F1688E">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2C56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14:paraId="2DED319B">
            <w:pPr>
              <w:keepNext w:val="0"/>
              <w:keepLines w:val="0"/>
              <w:widowControl/>
              <w:suppressLineNumbers w:val="0"/>
              <w:spacing w:before="0" w:beforeAutospacing="0" w:after="0" w:afterAutospacing="0" w:line="288" w:lineRule="auto"/>
              <w:ind w:left="0" w:right="0" w:firstLine="200"/>
              <w:jc w:val="center"/>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val="en-US" w:eastAsia="zh-CN"/>
              </w:rPr>
              <w:t>2</w:t>
            </w:r>
          </w:p>
        </w:tc>
        <w:tc>
          <w:tcPr>
            <w:tcW w:w="2359" w:type="dxa"/>
            <w:tcBorders>
              <w:top w:val="single" w:color="auto" w:sz="4" w:space="0"/>
              <w:left w:val="single" w:color="auto" w:sz="4" w:space="0"/>
              <w:bottom w:val="single" w:color="auto" w:sz="4" w:space="0"/>
              <w:right w:val="single" w:color="auto" w:sz="4" w:space="0"/>
            </w:tcBorders>
          </w:tcPr>
          <w:p w14:paraId="5C38FE1C">
            <w:pPr>
              <w:keepNext w:val="0"/>
              <w:keepLines w:val="0"/>
              <w:widowControl/>
              <w:suppressLineNumbers w:val="0"/>
              <w:spacing w:before="0" w:beforeAutospacing="0" w:after="0" w:afterAutospacing="0" w:line="288" w:lineRule="auto"/>
              <w:ind w:left="0" w:right="0" w:firstLine="200"/>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封面、投标函、法定代表人委托授权书三处的项目名称、项目编号、标段</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未划分标段的除外</w:t>
            </w:r>
            <w:r>
              <w:rPr>
                <w:rFonts w:hint="eastAsia" w:ascii="宋体" w:hAnsi="宋体" w:cs="宋体"/>
                <w:bCs/>
                <w:color w:val="auto"/>
                <w:kern w:val="0"/>
                <w:sz w:val="24"/>
                <w:szCs w:val="24"/>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6A49D873">
            <w:pPr>
              <w:keepNext w:val="0"/>
              <w:keepLines w:val="0"/>
              <w:widowControl/>
              <w:suppressLineNumbers w:val="0"/>
              <w:spacing w:before="0" w:beforeAutospacing="0" w:after="0" w:afterAutospacing="0" w:line="288" w:lineRule="auto"/>
              <w:ind w:left="0" w:right="0"/>
              <w:jc w:val="left"/>
              <w:rPr>
                <w:rFonts w:hint="default" w:ascii="宋体" w:hAnsi="宋体" w:cs="宋体"/>
                <w:bCs/>
                <w:color w:val="auto"/>
                <w:kern w:val="0"/>
                <w:sz w:val="24"/>
                <w:szCs w:val="24"/>
              </w:rPr>
            </w:pPr>
            <w:r>
              <w:rPr>
                <w:rFonts w:hint="eastAsia" w:ascii="宋体" w:hAnsi="宋体" w:cs="宋体"/>
                <w:bCs/>
                <w:color w:val="auto"/>
                <w:kern w:val="0"/>
                <w:sz w:val="24"/>
                <w:szCs w:val="24"/>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tcPr>
          <w:p w14:paraId="360425B0">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5A3B662">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295D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14:paraId="590D3699">
            <w:pPr>
              <w:keepNext w:val="0"/>
              <w:keepLines w:val="0"/>
              <w:widowControl/>
              <w:suppressLineNumbers w:val="0"/>
              <w:spacing w:before="0" w:beforeAutospacing="0" w:after="0" w:afterAutospacing="0" w:line="288" w:lineRule="auto"/>
              <w:ind w:left="0" w:right="0" w:firstLine="200"/>
              <w:jc w:val="center"/>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val="en-US" w:eastAsia="zh-CN"/>
              </w:rPr>
              <w:t>3</w:t>
            </w:r>
          </w:p>
        </w:tc>
        <w:tc>
          <w:tcPr>
            <w:tcW w:w="2359" w:type="dxa"/>
            <w:tcBorders>
              <w:top w:val="single" w:color="auto" w:sz="4" w:space="0"/>
              <w:left w:val="single" w:color="auto" w:sz="4" w:space="0"/>
              <w:bottom w:val="single" w:color="auto" w:sz="4" w:space="0"/>
              <w:right w:val="single" w:color="auto" w:sz="4" w:space="0"/>
            </w:tcBorders>
            <w:vAlign w:val="center"/>
          </w:tcPr>
          <w:p w14:paraId="030FD818">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签署、盖章</w:t>
            </w:r>
          </w:p>
        </w:tc>
        <w:tc>
          <w:tcPr>
            <w:tcW w:w="3770" w:type="dxa"/>
            <w:tcBorders>
              <w:top w:val="single" w:color="auto" w:sz="4" w:space="0"/>
              <w:left w:val="single" w:color="auto" w:sz="4" w:space="0"/>
              <w:bottom w:val="single" w:color="auto" w:sz="4" w:space="0"/>
              <w:right w:val="single" w:color="auto" w:sz="4" w:space="0"/>
            </w:tcBorders>
          </w:tcPr>
          <w:p w14:paraId="4C515336">
            <w:pPr>
              <w:keepNext w:val="0"/>
              <w:keepLines w:val="0"/>
              <w:widowControl/>
              <w:suppressLineNumbers w:val="0"/>
              <w:spacing w:before="0" w:beforeAutospacing="0" w:after="0" w:afterAutospacing="0" w:line="288" w:lineRule="auto"/>
              <w:ind w:left="0" w:right="0"/>
              <w:jc w:val="left"/>
              <w:rPr>
                <w:rFonts w:hint="default" w:ascii="宋体" w:hAnsi="宋体" w:cs="宋体"/>
                <w:bCs/>
                <w:color w:val="auto"/>
                <w:kern w:val="0"/>
                <w:sz w:val="24"/>
                <w:szCs w:val="24"/>
              </w:rPr>
            </w:pPr>
            <w:r>
              <w:rPr>
                <w:rFonts w:hint="eastAsia" w:ascii="宋体" w:hAnsi="宋体" w:cs="宋体"/>
                <w:color w:val="auto"/>
                <w:sz w:val="24"/>
                <w:szCs w:val="24"/>
              </w:rPr>
              <w:t>均按</w:t>
            </w:r>
            <w:r>
              <w:rPr>
                <w:rFonts w:hint="eastAsia" w:ascii="宋体" w:hAnsi="宋体" w:cs="宋体"/>
                <w:color w:val="auto"/>
                <w:sz w:val="24"/>
                <w:szCs w:val="24"/>
                <w:lang w:eastAsia="zh-CN"/>
              </w:rPr>
              <w:t>磋商文件</w:t>
            </w:r>
            <w:r>
              <w:rPr>
                <w:rFonts w:hint="eastAsia" w:ascii="宋体" w:hAnsi="宋体" w:cs="宋体"/>
                <w:color w:val="auto"/>
                <w:sz w:val="24"/>
                <w:szCs w:val="24"/>
              </w:rPr>
              <w:t>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tcPr>
          <w:p w14:paraId="05F9B8A1">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35DACE32">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7F98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14:paraId="0610000E">
            <w:pPr>
              <w:keepNext w:val="0"/>
              <w:keepLines w:val="0"/>
              <w:widowControl/>
              <w:suppressLineNumbers w:val="0"/>
              <w:spacing w:before="0" w:beforeAutospacing="0" w:after="0" w:afterAutospacing="0" w:line="288" w:lineRule="auto"/>
              <w:ind w:left="0" w:right="0" w:firstLine="200"/>
              <w:jc w:val="center"/>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val="en-US" w:eastAsia="zh-CN"/>
              </w:rPr>
              <w:t>4</w:t>
            </w:r>
          </w:p>
        </w:tc>
        <w:tc>
          <w:tcPr>
            <w:tcW w:w="2359" w:type="dxa"/>
            <w:tcBorders>
              <w:top w:val="single" w:color="auto" w:sz="4" w:space="0"/>
              <w:left w:val="single" w:color="auto" w:sz="4" w:space="0"/>
              <w:bottom w:val="single" w:color="auto" w:sz="4" w:space="0"/>
              <w:right w:val="single" w:color="auto" w:sz="4" w:space="0"/>
            </w:tcBorders>
            <w:vAlign w:val="center"/>
          </w:tcPr>
          <w:p w14:paraId="60FB34D0">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highlight w:val="red"/>
              </w:rPr>
            </w:pPr>
            <w:r>
              <w:rPr>
                <w:rFonts w:hint="eastAsia" w:ascii="宋体" w:hAnsi="宋体" w:cs="宋体"/>
                <w:bCs/>
                <w:color w:val="auto"/>
                <w:kern w:val="0"/>
                <w:sz w:val="24"/>
                <w:szCs w:val="24"/>
                <w:lang w:val="en-US" w:eastAsia="zh-CN"/>
              </w:rPr>
              <w:t>响应</w:t>
            </w:r>
            <w:r>
              <w:rPr>
                <w:rFonts w:hint="eastAsia" w:ascii="宋体" w:hAnsi="宋体" w:cs="宋体"/>
                <w:bCs/>
                <w:color w:val="auto"/>
                <w:kern w:val="0"/>
                <w:sz w:val="24"/>
                <w:szCs w:val="24"/>
              </w:rPr>
              <w:t>文件组成</w:t>
            </w:r>
          </w:p>
        </w:tc>
        <w:tc>
          <w:tcPr>
            <w:tcW w:w="3770" w:type="dxa"/>
            <w:tcBorders>
              <w:top w:val="single" w:color="auto" w:sz="4" w:space="0"/>
              <w:left w:val="single" w:color="auto" w:sz="4" w:space="0"/>
              <w:bottom w:val="single" w:color="auto" w:sz="4" w:space="0"/>
              <w:right w:val="single" w:color="auto" w:sz="4" w:space="0"/>
            </w:tcBorders>
          </w:tcPr>
          <w:p w14:paraId="76EA6DF5">
            <w:pPr>
              <w:pStyle w:val="23"/>
              <w:keepNext w:val="0"/>
              <w:keepLines w:val="0"/>
              <w:numPr>
                <w:ilvl w:val="0"/>
                <w:numId w:val="0"/>
              </w:numPr>
              <w:suppressLineNumbers w:val="0"/>
              <w:spacing w:before="0" w:beforeAutospacing="0" w:after="0" w:afterAutospacing="0" w:line="288" w:lineRule="auto"/>
              <w:ind w:left="0" w:right="0" w:rightChars="0"/>
              <w:rPr>
                <w:rFonts w:hint="eastAsia" w:ascii="宋体" w:hAnsi="宋体" w:cs="宋体"/>
                <w:color w:val="auto"/>
                <w:sz w:val="24"/>
                <w:szCs w:val="24"/>
              </w:rPr>
            </w:pPr>
            <w:r>
              <w:rPr>
                <w:rFonts w:hint="eastAsia" w:ascii="宋体" w:hAnsi="宋体" w:cs="宋体"/>
                <w:color w:val="auto"/>
                <w:sz w:val="24"/>
                <w:szCs w:val="24"/>
                <w:lang w:eastAsia="zh-CN"/>
              </w:rPr>
              <w:t>响应文件</w:t>
            </w:r>
            <w:r>
              <w:rPr>
                <w:rFonts w:hint="eastAsia" w:ascii="宋体" w:hAnsi="宋体" w:cs="宋体"/>
                <w:color w:val="auto"/>
                <w:sz w:val="24"/>
                <w:szCs w:val="24"/>
              </w:rPr>
              <w:t>应包含以下内容：</w:t>
            </w:r>
          </w:p>
          <w:p w14:paraId="1896E396">
            <w:pPr>
              <w:pStyle w:val="23"/>
              <w:keepNext w:val="0"/>
              <w:keepLines w:val="0"/>
              <w:numPr>
                <w:ilvl w:val="0"/>
                <w:numId w:val="0"/>
              </w:numPr>
              <w:suppressLineNumbers w:val="0"/>
              <w:spacing w:before="0" w:beforeAutospacing="0" w:after="0" w:afterAutospacing="0" w:line="288" w:lineRule="auto"/>
              <w:ind w:left="0" w:right="0" w:rightChars="0"/>
              <w:rPr>
                <w:rFonts w:hint="default" w:ascii="宋体" w:hAnsi="宋体" w:cs="宋体"/>
                <w:color w:val="auto"/>
                <w:kern w:val="0"/>
                <w:sz w:val="24"/>
                <w:szCs w:val="24"/>
              </w:rPr>
            </w:pPr>
            <w:r>
              <w:rPr>
                <w:rFonts w:hint="default" w:ascii="宋体" w:hAnsi="宋体" w:cs="宋体"/>
                <w:color w:val="auto"/>
                <w:kern w:val="0"/>
                <w:sz w:val="24"/>
                <w:szCs w:val="24"/>
              </w:rPr>
              <w:t>第一章   响应函</w:t>
            </w:r>
          </w:p>
          <w:p w14:paraId="52DEB5AB">
            <w:pPr>
              <w:pStyle w:val="23"/>
              <w:keepNext w:val="0"/>
              <w:keepLines w:val="0"/>
              <w:numPr>
                <w:ilvl w:val="0"/>
                <w:numId w:val="0"/>
              </w:numPr>
              <w:suppressLineNumbers w:val="0"/>
              <w:spacing w:before="0" w:beforeAutospacing="0" w:after="0" w:afterAutospacing="0" w:line="288" w:lineRule="auto"/>
              <w:ind w:left="0" w:right="0" w:rightChars="0"/>
              <w:rPr>
                <w:rFonts w:hint="default" w:ascii="宋体" w:hAnsi="宋体" w:cs="宋体"/>
                <w:color w:val="auto"/>
                <w:kern w:val="0"/>
                <w:sz w:val="24"/>
                <w:szCs w:val="24"/>
              </w:rPr>
            </w:pPr>
            <w:r>
              <w:rPr>
                <w:rFonts w:hint="default" w:ascii="宋体" w:hAnsi="宋体" w:cs="宋体"/>
                <w:color w:val="auto"/>
                <w:kern w:val="0"/>
                <w:sz w:val="24"/>
                <w:szCs w:val="24"/>
              </w:rPr>
              <w:t>第二章   响应报价表</w:t>
            </w:r>
          </w:p>
          <w:p w14:paraId="511F5F3C">
            <w:pPr>
              <w:pStyle w:val="23"/>
              <w:keepNext w:val="0"/>
              <w:keepLines w:val="0"/>
              <w:numPr>
                <w:ilvl w:val="0"/>
                <w:numId w:val="0"/>
              </w:numPr>
              <w:suppressLineNumbers w:val="0"/>
              <w:spacing w:before="0" w:beforeAutospacing="0" w:after="0" w:afterAutospacing="0" w:line="288" w:lineRule="auto"/>
              <w:ind w:left="0" w:right="0" w:rightChars="0"/>
              <w:rPr>
                <w:rFonts w:hint="default" w:ascii="宋体" w:hAnsi="宋体" w:cs="宋体"/>
                <w:color w:val="auto"/>
                <w:kern w:val="0"/>
                <w:sz w:val="24"/>
                <w:szCs w:val="24"/>
              </w:rPr>
            </w:pPr>
            <w:r>
              <w:rPr>
                <w:rFonts w:hint="default" w:ascii="宋体" w:hAnsi="宋体" w:cs="宋体"/>
                <w:color w:val="auto"/>
                <w:kern w:val="0"/>
                <w:sz w:val="24"/>
                <w:szCs w:val="24"/>
              </w:rPr>
              <w:t xml:space="preserve">第三章  </w:t>
            </w:r>
            <w:r>
              <w:rPr>
                <w:rFonts w:hint="default" w:ascii="宋体" w:hAnsi="宋体" w:cs="宋体"/>
                <w:color w:val="auto"/>
                <w:kern w:val="0"/>
                <w:sz w:val="24"/>
                <w:szCs w:val="24"/>
                <w:lang w:val="en-US" w:eastAsia="zh-CN"/>
              </w:rPr>
              <w:t xml:space="preserve"> </w:t>
            </w:r>
            <w:r>
              <w:rPr>
                <w:rFonts w:hint="default" w:ascii="宋体" w:hAnsi="宋体" w:cs="宋体"/>
                <w:color w:val="auto"/>
                <w:kern w:val="0"/>
                <w:sz w:val="24"/>
                <w:szCs w:val="24"/>
              </w:rPr>
              <w:t>资</w:t>
            </w:r>
            <w:r>
              <w:rPr>
                <w:rFonts w:hint="default" w:ascii="宋体" w:hAnsi="宋体" w:cs="宋体"/>
                <w:color w:val="auto"/>
                <w:kern w:val="0"/>
                <w:sz w:val="24"/>
                <w:szCs w:val="24"/>
                <w:lang w:val="en-US" w:eastAsia="zh-CN"/>
              </w:rPr>
              <w:t>格</w:t>
            </w:r>
            <w:r>
              <w:rPr>
                <w:rFonts w:hint="default" w:ascii="宋体" w:hAnsi="宋体" w:cs="宋体"/>
                <w:color w:val="auto"/>
                <w:kern w:val="0"/>
                <w:sz w:val="24"/>
                <w:szCs w:val="24"/>
              </w:rPr>
              <w:t>证明文件</w:t>
            </w:r>
          </w:p>
          <w:p w14:paraId="06176E5F">
            <w:pPr>
              <w:pStyle w:val="23"/>
              <w:keepNext w:val="0"/>
              <w:keepLines w:val="0"/>
              <w:numPr>
                <w:ilvl w:val="0"/>
                <w:numId w:val="0"/>
              </w:numPr>
              <w:suppressLineNumbers w:val="0"/>
              <w:spacing w:before="0" w:beforeAutospacing="0" w:after="0" w:afterAutospacing="0" w:line="288" w:lineRule="auto"/>
              <w:ind w:left="0" w:right="0" w:rightChars="0"/>
              <w:rPr>
                <w:rFonts w:hint="default" w:ascii="宋体" w:hAnsi="宋体" w:cs="宋体"/>
                <w:color w:val="auto"/>
                <w:kern w:val="0"/>
                <w:sz w:val="24"/>
                <w:szCs w:val="24"/>
                <w:lang w:val="en-US" w:eastAsia="zh-CN"/>
              </w:rPr>
            </w:pPr>
            <w:r>
              <w:rPr>
                <w:rFonts w:hint="default" w:ascii="宋体" w:hAnsi="宋体" w:cs="宋体"/>
                <w:color w:val="auto"/>
                <w:kern w:val="0"/>
                <w:sz w:val="24"/>
                <w:szCs w:val="24"/>
              </w:rPr>
              <w:t>第</w:t>
            </w:r>
            <w:r>
              <w:rPr>
                <w:rFonts w:hint="default" w:ascii="宋体" w:hAnsi="宋体" w:cs="宋体"/>
                <w:color w:val="auto"/>
                <w:kern w:val="0"/>
                <w:sz w:val="24"/>
                <w:szCs w:val="24"/>
                <w:lang w:val="en-US" w:eastAsia="zh-CN"/>
              </w:rPr>
              <w:t>四</w:t>
            </w:r>
            <w:r>
              <w:rPr>
                <w:rFonts w:hint="default" w:ascii="宋体" w:hAnsi="宋体" w:cs="宋体"/>
                <w:color w:val="auto"/>
                <w:kern w:val="0"/>
                <w:sz w:val="24"/>
                <w:szCs w:val="24"/>
              </w:rPr>
              <w:t>章</w:t>
            </w:r>
            <w:r>
              <w:rPr>
                <w:rFonts w:hint="default" w:ascii="宋体" w:hAnsi="宋体" w:cs="宋体"/>
                <w:color w:val="auto"/>
                <w:kern w:val="0"/>
                <w:sz w:val="24"/>
                <w:szCs w:val="24"/>
                <w:lang w:val="en-US" w:eastAsia="zh-CN"/>
              </w:rPr>
              <w:t xml:space="preserve">   技术</w:t>
            </w:r>
            <w:r>
              <w:rPr>
                <w:rFonts w:hint="default" w:ascii="宋体" w:hAnsi="宋体" w:cs="宋体"/>
                <w:color w:val="auto"/>
                <w:kern w:val="0"/>
                <w:sz w:val="24"/>
                <w:szCs w:val="24"/>
                <w:lang w:eastAsia="zh-CN"/>
              </w:rPr>
              <w:t>商务偏离表</w:t>
            </w:r>
          </w:p>
          <w:p w14:paraId="106C3D85">
            <w:pPr>
              <w:pStyle w:val="23"/>
              <w:keepNext w:val="0"/>
              <w:keepLines w:val="0"/>
              <w:numPr>
                <w:ilvl w:val="0"/>
                <w:numId w:val="0"/>
              </w:numPr>
              <w:suppressLineNumbers w:val="0"/>
              <w:spacing w:before="0" w:beforeAutospacing="0" w:after="0" w:afterAutospacing="0" w:line="288" w:lineRule="auto"/>
              <w:ind w:left="0" w:right="0" w:rightChars="0"/>
              <w:rPr>
                <w:rFonts w:hint="default" w:ascii="宋体" w:hAnsi="宋体" w:cs="宋体"/>
                <w:color w:val="auto"/>
                <w:kern w:val="0"/>
                <w:sz w:val="24"/>
                <w:szCs w:val="24"/>
              </w:rPr>
            </w:pPr>
            <w:r>
              <w:rPr>
                <w:rFonts w:hint="default" w:ascii="宋体" w:hAnsi="宋体" w:cs="宋体"/>
                <w:color w:val="auto"/>
                <w:kern w:val="0"/>
                <w:sz w:val="24"/>
                <w:szCs w:val="24"/>
              </w:rPr>
              <w:t>第</w:t>
            </w:r>
            <w:r>
              <w:rPr>
                <w:rFonts w:hint="default" w:ascii="宋体" w:hAnsi="宋体" w:cs="宋体"/>
                <w:color w:val="auto"/>
                <w:kern w:val="0"/>
                <w:sz w:val="24"/>
                <w:szCs w:val="24"/>
                <w:lang w:val="en-US" w:eastAsia="zh-CN"/>
              </w:rPr>
              <w:t>五</w:t>
            </w:r>
            <w:r>
              <w:rPr>
                <w:rFonts w:hint="default" w:ascii="宋体" w:hAnsi="宋体" w:cs="宋体"/>
                <w:color w:val="auto"/>
                <w:kern w:val="0"/>
                <w:sz w:val="24"/>
                <w:szCs w:val="24"/>
              </w:rPr>
              <w:t>章</w:t>
            </w:r>
            <w:r>
              <w:rPr>
                <w:rFonts w:hint="default" w:ascii="宋体" w:hAnsi="宋体" w:cs="宋体"/>
                <w:color w:val="auto"/>
                <w:kern w:val="0"/>
                <w:sz w:val="24"/>
                <w:szCs w:val="24"/>
                <w:lang w:val="en-US" w:eastAsia="zh-CN"/>
              </w:rPr>
              <w:t xml:space="preserve">   响应</w:t>
            </w:r>
            <w:r>
              <w:rPr>
                <w:rFonts w:hint="default" w:ascii="宋体" w:hAnsi="宋体" w:cs="宋体"/>
                <w:color w:val="auto"/>
                <w:kern w:val="0"/>
                <w:sz w:val="24"/>
                <w:szCs w:val="24"/>
              </w:rPr>
              <w:t>方案</w:t>
            </w:r>
          </w:p>
          <w:p w14:paraId="108B09EF">
            <w:pPr>
              <w:pStyle w:val="23"/>
              <w:keepNext w:val="0"/>
              <w:keepLines w:val="0"/>
              <w:numPr>
                <w:ilvl w:val="0"/>
                <w:numId w:val="0"/>
              </w:numPr>
              <w:suppressLineNumbers w:val="0"/>
              <w:spacing w:before="0" w:beforeAutospacing="0" w:after="0" w:afterAutospacing="0" w:line="288" w:lineRule="auto"/>
              <w:ind w:left="0" w:right="0" w:rightChars="0"/>
              <w:rPr>
                <w:rFonts w:hint="default" w:ascii="宋体" w:hAnsi="宋体" w:cs="宋体"/>
                <w:color w:val="auto"/>
                <w:kern w:val="0"/>
                <w:sz w:val="24"/>
                <w:szCs w:val="24"/>
              </w:rPr>
            </w:pPr>
            <w:r>
              <w:rPr>
                <w:rFonts w:hint="default" w:ascii="宋体" w:hAnsi="宋体" w:cs="宋体"/>
                <w:color w:val="auto"/>
                <w:kern w:val="0"/>
                <w:sz w:val="24"/>
                <w:szCs w:val="24"/>
              </w:rPr>
              <w:t>第</w:t>
            </w:r>
            <w:r>
              <w:rPr>
                <w:rFonts w:hint="default" w:ascii="宋体" w:hAnsi="宋体" w:cs="宋体"/>
                <w:color w:val="auto"/>
                <w:kern w:val="0"/>
                <w:sz w:val="24"/>
                <w:szCs w:val="24"/>
                <w:lang w:val="en-US" w:eastAsia="zh-CN"/>
              </w:rPr>
              <w:t>六</w:t>
            </w:r>
            <w:r>
              <w:rPr>
                <w:rFonts w:hint="default" w:ascii="宋体" w:hAnsi="宋体" w:cs="宋体"/>
                <w:color w:val="auto"/>
                <w:kern w:val="0"/>
                <w:sz w:val="24"/>
                <w:szCs w:val="24"/>
              </w:rPr>
              <w:t>章   供应商承诺书</w:t>
            </w:r>
          </w:p>
        </w:tc>
        <w:tc>
          <w:tcPr>
            <w:tcW w:w="1002" w:type="dxa"/>
            <w:tcBorders>
              <w:top w:val="single" w:color="auto" w:sz="4" w:space="0"/>
              <w:left w:val="single" w:color="auto" w:sz="4" w:space="0"/>
              <w:bottom w:val="single" w:color="auto" w:sz="4" w:space="0"/>
              <w:right w:val="single" w:color="auto" w:sz="4" w:space="0"/>
            </w:tcBorders>
          </w:tcPr>
          <w:p w14:paraId="1019E148">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FEA191F">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193F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14:paraId="4566DA44">
            <w:pPr>
              <w:keepNext w:val="0"/>
              <w:keepLines w:val="0"/>
              <w:widowControl/>
              <w:suppressLineNumbers w:val="0"/>
              <w:spacing w:before="0" w:beforeAutospacing="0" w:after="0" w:afterAutospacing="0" w:line="288" w:lineRule="auto"/>
              <w:ind w:left="0" w:right="0" w:firstLine="200"/>
              <w:jc w:val="center"/>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val="en-US" w:eastAsia="zh-CN"/>
              </w:rPr>
              <w:t>5</w:t>
            </w:r>
          </w:p>
        </w:tc>
        <w:tc>
          <w:tcPr>
            <w:tcW w:w="2359" w:type="dxa"/>
            <w:tcBorders>
              <w:top w:val="single" w:color="auto" w:sz="4" w:space="0"/>
              <w:left w:val="single" w:color="auto" w:sz="4" w:space="0"/>
              <w:bottom w:val="single" w:color="auto" w:sz="4" w:space="0"/>
              <w:right w:val="single" w:color="auto" w:sz="4" w:space="0"/>
            </w:tcBorders>
            <w:vAlign w:val="center"/>
          </w:tcPr>
          <w:p w14:paraId="6D6DEB54">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690C6E0A">
            <w:pPr>
              <w:keepNext w:val="0"/>
              <w:keepLines w:val="0"/>
              <w:widowControl/>
              <w:suppressLineNumbers w:val="0"/>
              <w:spacing w:before="0" w:beforeAutospacing="0" w:after="0" w:afterAutospacing="0" w:line="288" w:lineRule="auto"/>
              <w:ind w:left="0" w:right="0"/>
              <w:jc w:val="left"/>
              <w:rPr>
                <w:rFonts w:hint="default" w:ascii="宋体" w:hAnsi="宋体" w:cs="宋体"/>
                <w:b/>
                <w:bCs/>
                <w:color w:val="auto"/>
                <w:kern w:val="0"/>
                <w:sz w:val="24"/>
                <w:szCs w:val="24"/>
              </w:rPr>
            </w:pPr>
            <w:r>
              <w:rPr>
                <w:rFonts w:hint="eastAsia" w:ascii="宋体" w:hAnsi="宋体" w:cs="宋体"/>
                <w:color w:val="auto"/>
                <w:sz w:val="24"/>
                <w:szCs w:val="24"/>
              </w:rPr>
              <w:t>计量单位、语言、报价货币、投标有效期均符合</w:t>
            </w:r>
            <w:r>
              <w:rPr>
                <w:rFonts w:hint="eastAsia" w:ascii="宋体" w:hAnsi="宋体" w:cs="宋体"/>
                <w:color w:val="auto"/>
                <w:sz w:val="24"/>
                <w:szCs w:val="24"/>
                <w:lang w:eastAsia="zh-CN"/>
              </w:rPr>
              <w:t>磋商文件</w:t>
            </w:r>
            <w:r>
              <w:rPr>
                <w:rFonts w:hint="eastAsia" w:ascii="宋体" w:hAnsi="宋体" w:cs="宋体"/>
                <w:color w:val="auto"/>
                <w:sz w:val="24"/>
                <w:szCs w:val="24"/>
              </w:rPr>
              <w:t>的要求。</w:t>
            </w:r>
          </w:p>
        </w:tc>
        <w:tc>
          <w:tcPr>
            <w:tcW w:w="1002" w:type="dxa"/>
            <w:tcBorders>
              <w:top w:val="single" w:color="auto" w:sz="4" w:space="0"/>
              <w:left w:val="single" w:color="auto" w:sz="4" w:space="0"/>
              <w:bottom w:val="single" w:color="auto" w:sz="4" w:space="0"/>
              <w:right w:val="single" w:color="auto" w:sz="4" w:space="0"/>
            </w:tcBorders>
            <w:vAlign w:val="center"/>
          </w:tcPr>
          <w:p w14:paraId="7929AB84">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3ECB15CE">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2228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14:paraId="17E66E19">
            <w:pPr>
              <w:keepNext w:val="0"/>
              <w:keepLines w:val="0"/>
              <w:widowControl/>
              <w:suppressLineNumbers w:val="0"/>
              <w:spacing w:before="0" w:beforeAutospacing="0" w:after="0" w:afterAutospacing="0" w:line="288" w:lineRule="auto"/>
              <w:ind w:left="0" w:right="0" w:firstLine="200"/>
              <w:jc w:val="center"/>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val="en-US" w:eastAsia="zh-CN"/>
              </w:rPr>
              <w:t>6</w:t>
            </w:r>
          </w:p>
        </w:tc>
        <w:tc>
          <w:tcPr>
            <w:tcW w:w="2359" w:type="dxa"/>
            <w:tcBorders>
              <w:top w:val="single" w:color="auto" w:sz="4" w:space="0"/>
              <w:left w:val="single" w:color="auto" w:sz="4" w:space="0"/>
              <w:bottom w:val="single" w:color="auto" w:sz="4" w:space="0"/>
              <w:right w:val="single" w:color="auto" w:sz="4" w:space="0"/>
            </w:tcBorders>
            <w:vAlign w:val="center"/>
          </w:tcPr>
          <w:p w14:paraId="4EC8EE1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投标报价</w:t>
            </w:r>
          </w:p>
        </w:tc>
        <w:tc>
          <w:tcPr>
            <w:tcW w:w="3770" w:type="dxa"/>
            <w:tcBorders>
              <w:top w:val="single" w:color="auto" w:sz="4" w:space="0"/>
              <w:left w:val="single" w:color="auto" w:sz="4" w:space="0"/>
              <w:bottom w:val="single" w:color="auto" w:sz="4" w:space="0"/>
              <w:right w:val="single" w:color="auto" w:sz="4" w:space="0"/>
            </w:tcBorders>
          </w:tcPr>
          <w:p w14:paraId="16F85F9B">
            <w:pPr>
              <w:keepNext w:val="0"/>
              <w:keepLines w:val="0"/>
              <w:widowControl/>
              <w:suppressLineNumbers w:val="0"/>
              <w:spacing w:before="0" w:beforeAutospacing="0" w:after="0" w:afterAutospacing="0" w:line="288" w:lineRule="auto"/>
              <w:ind w:left="0" w:right="0"/>
              <w:jc w:val="left"/>
              <w:rPr>
                <w:rFonts w:hint="default" w:ascii="宋体" w:hAnsi="宋体" w:cs="宋体"/>
                <w:bCs/>
                <w:color w:val="auto"/>
                <w:kern w:val="0"/>
                <w:sz w:val="24"/>
                <w:szCs w:val="24"/>
              </w:rPr>
            </w:pPr>
            <w:r>
              <w:rPr>
                <w:rFonts w:hint="eastAsia" w:ascii="宋体" w:hAnsi="宋体" w:cs="宋体"/>
                <w:bCs/>
                <w:color w:val="auto"/>
                <w:kern w:val="0"/>
                <w:sz w:val="24"/>
                <w:szCs w:val="24"/>
              </w:rPr>
              <w:t>（1）投标报价符合唯一性要求：</w:t>
            </w:r>
          </w:p>
          <w:p w14:paraId="6609FD01">
            <w:pPr>
              <w:keepNext w:val="0"/>
              <w:keepLines w:val="0"/>
              <w:widowControl/>
              <w:suppressLineNumbers w:val="0"/>
              <w:spacing w:before="0" w:beforeAutospacing="0" w:after="0" w:afterAutospacing="0" w:line="288" w:lineRule="auto"/>
              <w:ind w:left="0" w:right="0"/>
              <w:jc w:val="left"/>
              <w:rPr>
                <w:rFonts w:hint="default" w:ascii="宋体" w:hAnsi="宋体" w:cs="宋体"/>
                <w:bCs/>
                <w:color w:val="auto"/>
                <w:kern w:val="0"/>
                <w:sz w:val="24"/>
                <w:szCs w:val="24"/>
              </w:rPr>
            </w:pPr>
            <w:r>
              <w:rPr>
                <w:rFonts w:hint="eastAsia" w:ascii="宋体" w:hAnsi="宋体" w:cs="宋体"/>
                <w:bCs/>
                <w:color w:val="auto"/>
                <w:kern w:val="0"/>
                <w:sz w:val="24"/>
                <w:szCs w:val="24"/>
              </w:rPr>
              <w:t>（2）开标一览表填写符合要求；</w:t>
            </w:r>
          </w:p>
          <w:p w14:paraId="05BEB26A">
            <w:pPr>
              <w:keepNext w:val="0"/>
              <w:keepLines w:val="0"/>
              <w:widowControl/>
              <w:suppressLineNumbers w:val="0"/>
              <w:spacing w:before="0" w:beforeAutospacing="0" w:after="0" w:afterAutospacing="0" w:line="288" w:lineRule="auto"/>
              <w:ind w:left="0" w:right="0"/>
              <w:jc w:val="left"/>
              <w:rPr>
                <w:rFonts w:hint="default" w:ascii="宋体" w:hAnsi="宋体" w:cs="宋体"/>
                <w:color w:val="auto"/>
                <w:sz w:val="24"/>
                <w:szCs w:val="24"/>
              </w:rPr>
            </w:pPr>
            <w:r>
              <w:rPr>
                <w:rFonts w:hint="eastAsia" w:ascii="宋体" w:hAnsi="宋体" w:cs="宋体"/>
                <w:bCs/>
                <w:color w:val="auto"/>
                <w:kern w:val="0"/>
                <w:sz w:val="24"/>
                <w:szCs w:val="24"/>
              </w:rPr>
              <w:t>（3）未超出采购预算或</w:t>
            </w:r>
            <w:r>
              <w:rPr>
                <w:rFonts w:hint="eastAsia" w:ascii="宋体" w:hAnsi="宋体" w:cs="宋体"/>
                <w:bCs/>
                <w:color w:val="auto"/>
                <w:kern w:val="0"/>
                <w:sz w:val="24"/>
                <w:szCs w:val="24"/>
                <w:lang w:eastAsia="zh-CN"/>
              </w:rPr>
              <w:t>磋商文件</w:t>
            </w:r>
            <w:r>
              <w:rPr>
                <w:rFonts w:hint="eastAsia" w:ascii="宋体" w:hAnsi="宋体" w:cs="宋体"/>
                <w:bCs/>
                <w:color w:val="auto"/>
                <w:kern w:val="0"/>
                <w:sz w:val="24"/>
                <w:szCs w:val="24"/>
              </w:rPr>
              <w:t>规定的最高限价；</w:t>
            </w:r>
          </w:p>
        </w:tc>
        <w:tc>
          <w:tcPr>
            <w:tcW w:w="1002" w:type="dxa"/>
            <w:tcBorders>
              <w:top w:val="single" w:color="auto" w:sz="4" w:space="0"/>
              <w:left w:val="single" w:color="auto" w:sz="4" w:space="0"/>
              <w:bottom w:val="single" w:color="auto" w:sz="4" w:space="0"/>
              <w:right w:val="single" w:color="auto" w:sz="4" w:space="0"/>
            </w:tcBorders>
          </w:tcPr>
          <w:p w14:paraId="3FB0D007">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4861EE42">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2108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14:paraId="67A3F1FA">
            <w:pPr>
              <w:keepNext w:val="0"/>
              <w:keepLines w:val="0"/>
              <w:widowControl/>
              <w:suppressLineNumbers w:val="0"/>
              <w:spacing w:before="0" w:beforeAutospacing="0" w:after="0" w:afterAutospacing="0" w:line="288" w:lineRule="auto"/>
              <w:ind w:left="0" w:right="0" w:firstLine="200"/>
              <w:jc w:val="center"/>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val="en-US" w:eastAsia="zh-CN"/>
              </w:rPr>
              <w:t>7</w:t>
            </w:r>
          </w:p>
        </w:tc>
        <w:tc>
          <w:tcPr>
            <w:tcW w:w="2359" w:type="dxa"/>
            <w:tcBorders>
              <w:top w:val="single" w:color="auto" w:sz="4" w:space="0"/>
              <w:left w:val="single" w:color="auto" w:sz="4" w:space="0"/>
              <w:bottom w:val="single" w:color="auto" w:sz="4" w:space="0"/>
              <w:right w:val="single" w:color="auto" w:sz="4" w:space="0"/>
            </w:tcBorders>
            <w:vAlign w:val="center"/>
          </w:tcPr>
          <w:p w14:paraId="2AFA778C">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lang w:eastAsia="zh-CN"/>
              </w:rPr>
              <w:t>磋商文件</w:t>
            </w:r>
            <w:r>
              <w:rPr>
                <w:rFonts w:hint="eastAsia" w:ascii="宋体" w:hAnsi="宋体" w:cs="宋体"/>
                <w:bCs/>
                <w:color w:val="auto"/>
                <w:kern w:val="0"/>
                <w:sz w:val="24"/>
                <w:szCs w:val="24"/>
              </w:rPr>
              <w:t>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0459F257">
            <w:pPr>
              <w:keepNext w:val="0"/>
              <w:keepLines w:val="0"/>
              <w:widowControl/>
              <w:suppressLineNumbers w:val="0"/>
              <w:spacing w:before="0" w:beforeAutospacing="0" w:after="0" w:afterAutospacing="0" w:line="288" w:lineRule="auto"/>
              <w:ind w:left="0" w:right="0"/>
              <w:jc w:val="left"/>
              <w:rPr>
                <w:rFonts w:hint="default" w:ascii="宋体" w:hAnsi="宋体" w:cs="宋体"/>
                <w:color w:val="auto"/>
                <w:sz w:val="24"/>
                <w:szCs w:val="24"/>
              </w:rPr>
            </w:pPr>
            <w:r>
              <w:rPr>
                <w:rFonts w:hint="eastAsia" w:ascii="宋体" w:hAnsi="宋体" w:cs="宋体"/>
                <w:color w:val="auto"/>
                <w:sz w:val="24"/>
                <w:szCs w:val="24"/>
              </w:rPr>
              <w:t>完全响应</w:t>
            </w:r>
            <w:r>
              <w:rPr>
                <w:rFonts w:hint="eastAsia" w:ascii="宋体" w:hAnsi="宋体" w:cs="宋体"/>
                <w:color w:val="auto"/>
                <w:sz w:val="24"/>
                <w:szCs w:val="24"/>
                <w:lang w:eastAsia="zh-CN"/>
              </w:rPr>
              <w:t>磋商文件</w:t>
            </w:r>
            <w:r>
              <w:rPr>
                <w:rFonts w:hint="eastAsia" w:ascii="宋体" w:hAnsi="宋体" w:cs="宋体"/>
                <w:color w:val="auto"/>
                <w:sz w:val="24"/>
                <w:szCs w:val="24"/>
              </w:rPr>
              <w:t>要求的各项实质性条款。</w:t>
            </w:r>
          </w:p>
        </w:tc>
        <w:tc>
          <w:tcPr>
            <w:tcW w:w="1002" w:type="dxa"/>
            <w:tcBorders>
              <w:top w:val="single" w:color="auto" w:sz="4" w:space="0"/>
              <w:left w:val="single" w:color="auto" w:sz="4" w:space="0"/>
              <w:bottom w:val="single" w:color="auto" w:sz="4" w:space="0"/>
              <w:right w:val="single" w:color="auto" w:sz="4" w:space="0"/>
            </w:tcBorders>
          </w:tcPr>
          <w:p w14:paraId="1561D10B">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58CC7216">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5E09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14:paraId="39B69F8E">
            <w:pPr>
              <w:keepNext w:val="0"/>
              <w:keepLines w:val="0"/>
              <w:widowControl/>
              <w:suppressLineNumbers w:val="0"/>
              <w:spacing w:before="0" w:beforeAutospacing="0" w:after="0" w:afterAutospacing="0" w:line="288" w:lineRule="auto"/>
              <w:ind w:left="0" w:right="0" w:firstLine="200"/>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8</w:t>
            </w:r>
          </w:p>
        </w:tc>
        <w:tc>
          <w:tcPr>
            <w:tcW w:w="2359" w:type="dxa"/>
            <w:tcBorders>
              <w:top w:val="single" w:color="auto" w:sz="4" w:space="0"/>
              <w:left w:val="single" w:color="auto" w:sz="4" w:space="0"/>
              <w:bottom w:val="single" w:color="auto" w:sz="4" w:space="0"/>
              <w:right w:val="single" w:color="auto" w:sz="4" w:space="0"/>
            </w:tcBorders>
            <w:vAlign w:val="center"/>
          </w:tcPr>
          <w:p w14:paraId="5AC71490">
            <w:pPr>
              <w:keepNext w:val="0"/>
              <w:keepLines w:val="0"/>
              <w:widowControl/>
              <w:suppressLineNumbers w:val="0"/>
              <w:spacing w:before="0" w:beforeAutospacing="0" w:after="0" w:afterAutospacing="0" w:line="288" w:lineRule="auto"/>
              <w:ind w:left="0" w:right="0"/>
              <w:jc w:val="center"/>
              <w:rPr>
                <w:rFonts w:hint="default" w:ascii="宋体" w:hAnsi="宋体" w:cs="宋体"/>
                <w:bCs/>
                <w:color w:val="auto"/>
                <w:kern w:val="0"/>
                <w:sz w:val="24"/>
                <w:szCs w:val="24"/>
              </w:rPr>
            </w:pPr>
            <w:r>
              <w:rPr>
                <w:rFonts w:hint="eastAsia" w:ascii="宋体" w:hAnsi="宋体" w:cs="宋体"/>
                <w:bCs/>
                <w:color w:val="auto"/>
                <w:sz w:val="24"/>
                <w:szCs w:val="24"/>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6BB6ADFB">
            <w:pPr>
              <w:keepNext w:val="0"/>
              <w:keepLines w:val="0"/>
              <w:widowControl/>
              <w:suppressLineNumbers w:val="0"/>
              <w:spacing w:before="0" w:beforeAutospacing="0" w:after="0" w:afterAutospacing="0" w:line="288" w:lineRule="auto"/>
              <w:ind w:left="0" w:right="0"/>
              <w:jc w:val="left"/>
              <w:rPr>
                <w:rFonts w:hint="default" w:ascii="宋体" w:hAnsi="宋体" w:cs="宋体"/>
                <w:color w:val="auto"/>
                <w:sz w:val="24"/>
                <w:szCs w:val="24"/>
              </w:rPr>
            </w:pPr>
            <w:r>
              <w:rPr>
                <w:rFonts w:hint="eastAsia" w:ascii="宋体" w:hAnsi="宋体" w:cs="宋体"/>
                <w:color w:val="auto"/>
                <w:sz w:val="24"/>
                <w:szCs w:val="24"/>
              </w:rPr>
              <w:t>完整响应</w:t>
            </w:r>
            <w:r>
              <w:rPr>
                <w:rFonts w:hint="eastAsia" w:ascii="宋体" w:hAnsi="宋体" w:cs="宋体"/>
                <w:color w:val="auto"/>
                <w:sz w:val="24"/>
                <w:szCs w:val="24"/>
                <w:lang w:eastAsia="zh-CN"/>
              </w:rPr>
              <w:t>磋商文件</w:t>
            </w:r>
            <w:r>
              <w:rPr>
                <w:rFonts w:hint="eastAsia" w:ascii="宋体" w:hAnsi="宋体" w:cs="宋体"/>
                <w:color w:val="auto"/>
                <w:sz w:val="24"/>
                <w:szCs w:val="24"/>
              </w:rPr>
              <w:t>合同主要条款。</w:t>
            </w:r>
          </w:p>
        </w:tc>
        <w:tc>
          <w:tcPr>
            <w:tcW w:w="1002" w:type="dxa"/>
            <w:tcBorders>
              <w:top w:val="single" w:color="auto" w:sz="4" w:space="0"/>
              <w:left w:val="single" w:color="auto" w:sz="4" w:space="0"/>
              <w:bottom w:val="single" w:color="auto" w:sz="4" w:space="0"/>
              <w:right w:val="single" w:color="auto" w:sz="4" w:space="0"/>
            </w:tcBorders>
          </w:tcPr>
          <w:p w14:paraId="440BC63A">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481020B5">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bl>
    <w:p w14:paraId="1B58EB22">
      <w:pPr>
        <w:pStyle w:val="12"/>
        <w:rPr>
          <w:color w:val="auto"/>
        </w:rPr>
      </w:pPr>
    </w:p>
    <w:p w14:paraId="045B9E2F">
      <w:pPr>
        <w:spacing w:line="360" w:lineRule="auto"/>
        <w:ind w:firstLine="360" w:firstLineChars="150"/>
        <w:rPr>
          <w:rFonts w:ascii="宋体" w:hAnsi="宋体" w:cs="宋体"/>
          <w:color w:val="auto"/>
          <w:sz w:val="24"/>
        </w:rPr>
      </w:pPr>
      <w:r>
        <w:rPr>
          <w:rFonts w:hint="eastAsia" w:ascii="宋体" w:hAnsi="宋体" w:cs="宋体"/>
          <w:color w:val="auto"/>
          <w:sz w:val="24"/>
        </w:rPr>
        <w:t>（4）磋商时，响应文件中出现下列情况，修正原则为：</w:t>
      </w:r>
    </w:p>
    <w:p w14:paraId="5F156920">
      <w:pPr>
        <w:spacing w:line="360" w:lineRule="auto"/>
        <w:ind w:firstLine="600" w:firstLineChars="250"/>
        <w:rPr>
          <w:rFonts w:ascii="宋体" w:hAnsi="宋体" w:cs="宋体"/>
          <w:color w:val="auto"/>
          <w:sz w:val="24"/>
        </w:rPr>
      </w:pPr>
      <w:r>
        <w:rPr>
          <w:rFonts w:hint="eastAsia" w:ascii="宋体" w:hAnsi="宋体" w:cs="宋体"/>
          <w:color w:val="auto"/>
          <w:sz w:val="24"/>
        </w:rPr>
        <w:t>A</w:t>
      </w:r>
      <w:r>
        <w:rPr>
          <w:rFonts w:hint="eastAsia" w:ascii="宋体" w:hAnsi="宋体" w:cs="宋体"/>
          <w:color w:val="auto"/>
          <w:sz w:val="24"/>
          <w:lang w:eastAsia="zh-CN"/>
        </w:rPr>
        <w:t>.</w:t>
      </w:r>
      <w:r>
        <w:rPr>
          <w:rFonts w:hint="eastAsia" w:ascii="宋体" w:hAnsi="宋体" w:cs="宋体"/>
          <w:color w:val="auto"/>
          <w:sz w:val="24"/>
        </w:rPr>
        <w:t>响应文件中响应报价表内容与响应文件中明细内容不一致的，以响应报价表为准；</w:t>
      </w:r>
    </w:p>
    <w:p w14:paraId="014E0DE8">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B</w:t>
      </w:r>
      <w:r>
        <w:rPr>
          <w:rFonts w:hint="eastAsia" w:ascii="宋体" w:hAnsi="宋体" w:cs="宋体"/>
          <w:color w:val="auto"/>
          <w:sz w:val="24"/>
          <w:lang w:eastAsia="zh-CN"/>
        </w:rPr>
        <w:t>.</w:t>
      </w:r>
      <w:r>
        <w:rPr>
          <w:rFonts w:hint="eastAsia" w:ascii="宋体" w:hAnsi="宋体" w:cs="宋体"/>
          <w:color w:val="auto"/>
          <w:sz w:val="24"/>
        </w:rPr>
        <w:t>大写金额和小写金额不一致的，以大写金额为准；</w:t>
      </w:r>
    </w:p>
    <w:p w14:paraId="473FEB3A">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C</w:t>
      </w:r>
      <w:r>
        <w:rPr>
          <w:rFonts w:hint="eastAsia" w:ascii="宋体" w:hAnsi="宋体" w:cs="宋体"/>
          <w:color w:val="auto"/>
          <w:sz w:val="24"/>
          <w:lang w:eastAsia="zh-CN"/>
        </w:rPr>
        <w:t>.</w:t>
      </w:r>
      <w:r>
        <w:rPr>
          <w:rFonts w:hint="eastAsia" w:ascii="宋体" w:hAnsi="宋体" w:cs="宋体"/>
          <w:color w:val="auto"/>
          <w:sz w:val="24"/>
        </w:rPr>
        <w:t>单价金额小数点或者百分比有明显错位的，以响应报价表的总价为准，并修改单价；</w:t>
      </w:r>
    </w:p>
    <w:p w14:paraId="7AF697E3">
      <w:pPr>
        <w:spacing w:line="360" w:lineRule="auto"/>
        <w:ind w:firstLine="600" w:firstLineChars="250"/>
        <w:rPr>
          <w:rFonts w:ascii="宋体" w:hAnsi="宋体" w:cs="宋体"/>
          <w:color w:val="auto"/>
          <w:sz w:val="24"/>
        </w:rPr>
      </w:pPr>
      <w:r>
        <w:rPr>
          <w:rFonts w:hint="eastAsia" w:ascii="宋体" w:hAnsi="宋体" w:cs="宋体"/>
          <w:color w:val="auto"/>
          <w:sz w:val="24"/>
        </w:rPr>
        <w:t>D</w:t>
      </w:r>
      <w:r>
        <w:rPr>
          <w:rFonts w:hint="eastAsia" w:ascii="宋体" w:hAnsi="宋体" w:cs="宋体"/>
          <w:color w:val="auto"/>
          <w:sz w:val="24"/>
          <w:lang w:eastAsia="zh-CN"/>
        </w:rPr>
        <w:t>.</w:t>
      </w:r>
      <w:r>
        <w:rPr>
          <w:rFonts w:hint="eastAsia" w:ascii="宋体" w:hAnsi="宋体" w:cs="宋体"/>
          <w:color w:val="auto"/>
          <w:sz w:val="24"/>
        </w:rPr>
        <w:t xml:space="preserve">总价金额与按单价汇总金额不一致的，以单价金额计算结果为准； </w:t>
      </w:r>
    </w:p>
    <w:p w14:paraId="0D6ACA80">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E</w:t>
      </w:r>
      <w:r>
        <w:rPr>
          <w:rFonts w:hint="eastAsia" w:ascii="宋体" w:hAnsi="宋体" w:cs="宋体"/>
          <w:color w:val="auto"/>
          <w:sz w:val="24"/>
          <w:lang w:eastAsia="zh-CN"/>
        </w:rPr>
        <w:t>.</w:t>
      </w:r>
      <w:r>
        <w:rPr>
          <w:rFonts w:hint="eastAsia" w:ascii="宋体" w:hAnsi="宋体" w:cs="宋体"/>
          <w:color w:val="auto"/>
          <w:sz w:val="24"/>
        </w:rPr>
        <w:t>响应文件正本与副本不一致的，以正本为准；</w:t>
      </w:r>
    </w:p>
    <w:p w14:paraId="357619B9">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F</w:t>
      </w:r>
      <w:r>
        <w:rPr>
          <w:rFonts w:hint="eastAsia" w:ascii="宋体" w:hAnsi="宋体" w:cs="宋体"/>
          <w:color w:val="auto"/>
          <w:sz w:val="24"/>
          <w:lang w:eastAsia="zh-CN"/>
        </w:rPr>
        <w:t>.</w:t>
      </w:r>
      <w:r>
        <w:rPr>
          <w:rFonts w:hint="eastAsia" w:ascii="宋体" w:hAnsi="宋体" w:cs="宋体"/>
          <w:color w:val="auto"/>
          <w:sz w:val="24"/>
        </w:rPr>
        <w:t>多处内容交叉不符时，以磋商小组评审结果为准；</w:t>
      </w:r>
    </w:p>
    <w:p w14:paraId="0EC5D601">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G</w:t>
      </w:r>
      <w:r>
        <w:rPr>
          <w:rFonts w:hint="eastAsia" w:ascii="宋体" w:hAnsi="宋体" w:cs="宋体"/>
          <w:color w:val="auto"/>
          <w:sz w:val="24"/>
          <w:lang w:eastAsia="zh-CN"/>
        </w:rPr>
        <w:t>.</w:t>
      </w:r>
      <w:r>
        <w:rPr>
          <w:rFonts w:hint="eastAsia" w:ascii="宋体" w:hAnsi="宋体" w:cs="宋体"/>
          <w:color w:val="auto"/>
          <w:sz w:val="24"/>
        </w:rPr>
        <w:t>文字与图表不符的，以文字为准。</w:t>
      </w:r>
    </w:p>
    <w:p w14:paraId="5C7B6B75">
      <w:pPr>
        <w:spacing w:line="360" w:lineRule="auto"/>
        <w:ind w:firstLine="480" w:firstLineChars="200"/>
        <w:rPr>
          <w:rFonts w:ascii="宋体" w:hAnsi="宋体" w:cs="宋体"/>
          <w:color w:val="auto"/>
          <w:sz w:val="24"/>
        </w:rPr>
      </w:pPr>
      <w:r>
        <w:rPr>
          <w:rFonts w:hint="eastAsia" w:ascii="宋体" w:hAnsi="宋体" w:cs="宋体"/>
          <w:color w:val="auto"/>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574899D3">
      <w:pPr>
        <w:spacing w:line="360" w:lineRule="auto"/>
        <w:ind w:firstLine="480" w:firstLineChars="200"/>
        <w:rPr>
          <w:rFonts w:ascii="宋体" w:hAnsi="宋体" w:cs="宋体"/>
          <w:color w:val="auto"/>
          <w:sz w:val="24"/>
        </w:rPr>
      </w:pPr>
      <w:r>
        <w:rPr>
          <w:rFonts w:hint="eastAsia" w:ascii="宋体" w:hAnsi="宋体" w:cs="宋体"/>
          <w:color w:val="auto"/>
          <w:sz w:val="24"/>
        </w:rPr>
        <w:t>（5）磋商开始后，直到向成交供应商授予合同为止，凡审查、澄清、评价和比较磋商的有关资料，磋商小组成员均不得向供应商及与磋商无关的其他人透露。</w:t>
      </w:r>
    </w:p>
    <w:p w14:paraId="55ACD02C">
      <w:pPr>
        <w:kinsoku w:val="0"/>
        <w:spacing w:line="360" w:lineRule="auto"/>
        <w:ind w:firstLine="482" w:firstLineChars="200"/>
        <w:rPr>
          <w:rFonts w:ascii="宋体" w:hAnsi="宋体" w:cs="宋体"/>
          <w:b/>
          <w:color w:val="auto"/>
          <w:sz w:val="24"/>
        </w:rPr>
      </w:pPr>
      <w:r>
        <w:rPr>
          <w:rFonts w:hint="eastAsia" w:ascii="宋体" w:hAnsi="宋体" w:cs="宋体"/>
          <w:b/>
          <w:color w:val="auto"/>
          <w:sz w:val="24"/>
          <w:lang w:eastAsia="zh-CN"/>
        </w:rPr>
        <w:t>4.</w:t>
      </w:r>
      <w:r>
        <w:rPr>
          <w:rFonts w:hint="eastAsia" w:ascii="宋体" w:hAnsi="宋体" w:cs="宋体"/>
          <w:b/>
          <w:color w:val="auto"/>
          <w:sz w:val="24"/>
        </w:rPr>
        <w:t>有下列情形之一的，视为供应商串通投标，磋商小组应当认定其响应文件无效：</w:t>
      </w:r>
    </w:p>
    <w:p w14:paraId="6A6F1A6C">
      <w:pPr>
        <w:spacing w:line="360" w:lineRule="auto"/>
        <w:ind w:firstLine="600" w:firstLineChars="250"/>
        <w:rPr>
          <w:rFonts w:ascii="宋体" w:hAnsi="宋体" w:cs="宋体"/>
          <w:color w:val="auto"/>
          <w:kern w:val="0"/>
          <w:sz w:val="22"/>
          <w:szCs w:val="22"/>
        </w:rPr>
      </w:pPr>
      <w:r>
        <w:rPr>
          <w:rFonts w:hint="eastAsia" w:ascii="宋体" w:hAnsi="宋体" w:cs="宋体"/>
          <w:color w:val="auto"/>
          <w:sz w:val="24"/>
        </w:rPr>
        <w:t>A</w:t>
      </w:r>
      <w:r>
        <w:rPr>
          <w:rFonts w:hint="eastAsia" w:ascii="宋体" w:hAnsi="宋体" w:cs="宋体"/>
          <w:color w:val="auto"/>
          <w:sz w:val="24"/>
          <w:lang w:eastAsia="zh-CN"/>
        </w:rPr>
        <w:t>.</w:t>
      </w:r>
      <w:r>
        <w:rPr>
          <w:rFonts w:hint="eastAsia" w:ascii="宋体" w:hAnsi="宋体" w:cs="宋体"/>
          <w:color w:val="auto"/>
          <w:sz w:val="24"/>
        </w:rPr>
        <w:t>不同供应商的响应文件由同一单位或者个人编制；</w:t>
      </w:r>
    </w:p>
    <w:p w14:paraId="7F031A62">
      <w:pPr>
        <w:widowControl/>
        <w:spacing w:line="360" w:lineRule="auto"/>
        <w:ind w:firstLine="600" w:firstLineChars="250"/>
        <w:rPr>
          <w:rFonts w:ascii="宋体" w:hAnsi="宋体" w:cs="宋体"/>
          <w:color w:val="auto"/>
          <w:sz w:val="24"/>
        </w:rPr>
      </w:pPr>
      <w:r>
        <w:rPr>
          <w:rFonts w:hint="eastAsia" w:ascii="宋体" w:hAnsi="宋体" w:cs="宋体"/>
          <w:color w:val="auto"/>
          <w:sz w:val="24"/>
        </w:rPr>
        <w:t>B</w:t>
      </w:r>
      <w:r>
        <w:rPr>
          <w:rFonts w:hint="eastAsia" w:ascii="宋体" w:hAnsi="宋体" w:cs="宋体"/>
          <w:color w:val="auto"/>
          <w:sz w:val="24"/>
          <w:lang w:eastAsia="zh-CN"/>
        </w:rPr>
        <w:t>.</w:t>
      </w:r>
      <w:r>
        <w:rPr>
          <w:rFonts w:hint="eastAsia" w:ascii="宋体" w:hAnsi="宋体" w:cs="宋体"/>
          <w:color w:val="auto"/>
          <w:sz w:val="24"/>
        </w:rPr>
        <w:t xml:space="preserve">不同供应商委托同一单位或者个人办理磋商事宜； </w:t>
      </w:r>
    </w:p>
    <w:p w14:paraId="06C657AC">
      <w:pPr>
        <w:widowControl/>
        <w:spacing w:line="360" w:lineRule="auto"/>
        <w:ind w:firstLine="600" w:firstLineChars="250"/>
        <w:rPr>
          <w:rFonts w:ascii="宋体" w:hAnsi="宋体" w:cs="宋体"/>
          <w:color w:val="auto"/>
          <w:sz w:val="24"/>
        </w:rPr>
      </w:pPr>
      <w:r>
        <w:rPr>
          <w:rFonts w:hint="eastAsia" w:ascii="宋体" w:hAnsi="宋体" w:cs="宋体"/>
          <w:color w:val="auto"/>
          <w:sz w:val="24"/>
        </w:rPr>
        <w:t>C</w:t>
      </w:r>
      <w:r>
        <w:rPr>
          <w:rFonts w:hint="eastAsia" w:ascii="宋体" w:hAnsi="宋体" w:cs="宋体"/>
          <w:color w:val="auto"/>
          <w:sz w:val="24"/>
          <w:lang w:eastAsia="zh-CN"/>
        </w:rPr>
        <w:t>.</w:t>
      </w:r>
      <w:r>
        <w:rPr>
          <w:rFonts w:hint="eastAsia" w:ascii="宋体" w:hAnsi="宋体" w:cs="宋体"/>
          <w:color w:val="auto"/>
          <w:sz w:val="24"/>
        </w:rPr>
        <w:t>不同供应商的响应文件载明的项目管理成员或者联系人员为同一人；</w:t>
      </w:r>
    </w:p>
    <w:p w14:paraId="3074CD2B">
      <w:pPr>
        <w:widowControl/>
        <w:spacing w:line="360" w:lineRule="auto"/>
        <w:ind w:firstLine="600" w:firstLineChars="250"/>
        <w:rPr>
          <w:rFonts w:ascii="宋体" w:hAnsi="宋体" w:cs="宋体"/>
          <w:color w:val="auto"/>
          <w:sz w:val="24"/>
        </w:rPr>
      </w:pPr>
      <w:r>
        <w:rPr>
          <w:rFonts w:hint="eastAsia" w:ascii="宋体" w:hAnsi="宋体" w:cs="宋体"/>
          <w:color w:val="auto"/>
          <w:sz w:val="24"/>
        </w:rPr>
        <w:t>D</w:t>
      </w:r>
      <w:r>
        <w:rPr>
          <w:rFonts w:hint="eastAsia" w:ascii="宋体" w:hAnsi="宋体" w:cs="宋体"/>
          <w:color w:val="auto"/>
          <w:sz w:val="24"/>
          <w:lang w:eastAsia="zh-CN"/>
        </w:rPr>
        <w:t>.</w:t>
      </w:r>
      <w:r>
        <w:rPr>
          <w:rFonts w:hint="eastAsia" w:ascii="宋体" w:hAnsi="宋体" w:cs="宋体"/>
          <w:color w:val="auto"/>
          <w:sz w:val="24"/>
        </w:rPr>
        <w:t>不同供应商的响应文件异常一致或者磋商报价呈规律性差异；</w:t>
      </w:r>
    </w:p>
    <w:p w14:paraId="0E7BC71D">
      <w:pPr>
        <w:widowControl/>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 xml:space="preserve"> E</w:t>
      </w:r>
      <w:r>
        <w:rPr>
          <w:rFonts w:hint="eastAsia" w:ascii="宋体" w:hAnsi="宋体" w:cs="宋体"/>
          <w:color w:val="auto"/>
          <w:sz w:val="24"/>
          <w:lang w:eastAsia="zh-CN"/>
        </w:rPr>
        <w:t>.</w:t>
      </w:r>
      <w:r>
        <w:rPr>
          <w:rFonts w:hint="eastAsia" w:ascii="宋体" w:hAnsi="宋体" w:cs="宋体"/>
          <w:color w:val="auto"/>
          <w:sz w:val="24"/>
        </w:rPr>
        <w:t>不同供应商的响应文件相互混装</w:t>
      </w:r>
      <w:r>
        <w:rPr>
          <w:rFonts w:hint="eastAsia" w:ascii="宋体" w:hAnsi="宋体" w:cs="宋体"/>
          <w:color w:val="auto"/>
          <w:sz w:val="24"/>
          <w:lang w:eastAsia="zh-CN"/>
        </w:rPr>
        <w:t>。</w:t>
      </w:r>
    </w:p>
    <w:p w14:paraId="35C4231C">
      <w:pPr>
        <w:pStyle w:val="4"/>
        <w:keepNext w:val="0"/>
        <w:keepLines w:val="0"/>
        <w:spacing w:line="360" w:lineRule="auto"/>
        <w:ind w:firstLine="482" w:firstLineChars="200"/>
        <w:rPr>
          <w:rFonts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澄清</w:t>
      </w:r>
    </w:p>
    <w:p w14:paraId="33D9479F">
      <w:pPr>
        <w:widowControl/>
        <w:spacing w:line="360" w:lineRule="auto"/>
        <w:ind w:firstLine="360" w:firstLineChars="150"/>
        <w:rPr>
          <w:rFonts w:ascii="宋体" w:hAnsi="宋体" w:cs="宋体"/>
          <w:color w:val="auto"/>
          <w:sz w:val="24"/>
        </w:rPr>
      </w:pPr>
      <w:r>
        <w:rPr>
          <w:rFonts w:hint="eastAsia" w:ascii="宋体" w:hAnsi="宋体" w:cs="宋体"/>
          <w:color w:val="auto"/>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4A277EC">
      <w:pPr>
        <w:widowControl/>
        <w:spacing w:line="360" w:lineRule="auto"/>
        <w:ind w:firstLine="360" w:firstLineChars="150"/>
        <w:rPr>
          <w:rFonts w:ascii="宋体" w:hAnsi="宋体" w:cs="宋体"/>
          <w:color w:val="auto"/>
          <w:sz w:val="24"/>
        </w:rPr>
      </w:pPr>
      <w:r>
        <w:rPr>
          <w:rFonts w:hint="eastAsia" w:ascii="宋体" w:hAnsi="宋体" w:cs="宋体"/>
          <w:color w:val="auto"/>
          <w:sz w:val="24"/>
        </w:rPr>
        <w:t>（2）实质性内容包括但不限于：服务期、付款方式、安全指标、质量指标、主要技术指标等。</w:t>
      </w:r>
    </w:p>
    <w:p w14:paraId="114DBE1A">
      <w:pPr>
        <w:widowControl/>
        <w:spacing w:line="360" w:lineRule="auto"/>
        <w:ind w:firstLine="360" w:firstLineChars="150"/>
        <w:rPr>
          <w:rFonts w:ascii="宋体" w:hAnsi="宋体" w:cs="宋体"/>
          <w:color w:val="auto"/>
          <w:sz w:val="24"/>
        </w:rPr>
      </w:pPr>
      <w:r>
        <w:rPr>
          <w:rFonts w:hint="eastAsia" w:ascii="宋体" w:hAnsi="宋体" w:cs="宋体"/>
          <w:color w:val="auto"/>
          <w:sz w:val="24"/>
        </w:rPr>
        <w:t>（3）磋商小组要求供应商澄清、说明或者更正响应文件应当以书面形式作出，并由其法定代表人或被授权人签字。</w:t>
      </w:r>
    </w:p>
    <w:p w14:paraId="4E291D4B">
      <w:pPr>
        <w:spacing w:line="360" w:lineRule="auto"/>
        <w:ind w:firstLine="360" w:firstLineChars="150"/>
        <w:rPr>
          <w:rFonts w:ascii="宋体" w:hAnsi="宋体" w:cs="宋体"/>
          <w:color w:val="auto"/>
          <w:sz w:val="24"/>
        </w:rPr>
      </w:pPr>
      <w:r>
        <w:rPr>
          <w:rFonts w:hint="eastAsia" w:ascii="宋体" w:hAnsi="宋体" w:cs="宋体"/>
          <w:color w:val="auto"/>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1"/>
    <w:p w14:paraId="193131EB">
      <w:pPr>
        <w:pStyle w:val="4"/>
        <w:keepNext w:val="0"/>
        <w:keepLines w:val="0"/>
        <w:spacing w:line="360" w:lineRule="auto"/>
        <w:ind w:firstLine="482" w:firstLineChars="200"/>
        <w:rPr>
          <w:rFonts w:ascii="宋体" w:hAnsi="宋体" w:cs="宋体"/>
          <w:color w:val="auto"/>
          <w:sz w:val="24"/>
          <w:szCs w:val="24"/>
        </w:rPr>
      </w:pPr>
      <w:bookmarkStart w:id="92" w:name="_Toc536202314"/>
      <w:bookmarkStart w:id="93" w:name="_Toc12947"/>
      <w:r>
        <w:rPr>
          <w:rFonts w:hint="eastAsia" w:ascii="宋体" w:hAnsi="宋体" w:cs="宋体"/>
          <w:color w:val="auto"/>
          <w:sz w:val="24"/>
          <w:szCs w:val="24"/>
          <w:lang w:eastAsia="zh-CN"/>
        </w:rPr>
        <w:t>6.</w:t>
      </w:r>
      <w:r>
        <w:rPr>
          <w:rFonts w:hint="eastAsia" w:ascii="宋体" w:hAnsi="宋体" w:cs="宋体"/>
          <w:color w:val="auto"/>
          <w:sz w:val="24"/>
          <w:szCs w:val="24"/>
        </w:rPr>
        <w:t>评审方法及内容</w:t>
      </w:r>
      <w:r>
        <w:rPr>
          <w:rFonts w:hint="eastAsia" w:ascii="宋体" w:hAnsi="宋体" w:cs="宋体"/>
          <w:color w:val="auto"/>
          <w:sz w:val="24"/>
          <w:szCs w:val="24"/>
        </w:rPr>
        <w:tab/>
      </w:r>
    </w:p>
    <w:p w14:paraId="48452F36">
      <w:pPr>
        <w:spacing w:line="360" w:lineRule="auto"/>
        <w:ind w:firstLine="360" w:firstLineChars="150"/>
        <w:rPr>
          <w:rFonts w:ascii="宋体" w:hAnsi="宋体" w:cs="宋体"/>
          <w:color w:val="auto"/>
          <w:sz w:val="24"/>
        </w:rPr>
      </w:pPr>
      <w:r>
        <w:rPr>
          <w:rFonts w:hint="eastAsia" w:ascii="宋体" w:hAnsi="宋体" w:cs="宋体"/>
          <w:color w:val="auto"/>
          <w:sz w:val="24"/>
        </w:rPr>
        <w:t>（1）按照磋商文件规定的评审方法和标准，对资格性审查和符合性审查合格的响应文件进行商务和技术评审，综合比较和评价。</w:t>
      </w:r>
    </w:p>
    <w:p w14:paraId="4A7EC1A8">
      <w:pPr>
        <w:spacing w:line="360" w:lineRule="auto"/>
        <w:ind w:firstLine="360" w:firstLineChars="150"/>
        <w:rPr>
          <w:rFonts w:ascii="宋体" w:hAnsi="宋体" w:cs="宋体"/>
          <w:color w:val="auto"/>
          <w:sz w:val="24"/>
        </w:rPr>
      </w:pPr>
      <w:r>
        <w:rPr>
          <w:rFonts w:hint="eastAsia" w:ascii="宋体" w:hAnsi="宋体" w:cs="宋体"/>
          <w:color w:val="auto"/>
          <w:sz w:val="24"/>
        </w:rPr>
        <w:t>（2）采用综合评分法：二次报价为最终报价，在满足磋商文件所有实质性要求前提下，提交最终报价。如采购需求没有实质性变化，各供应商的报价应逐次降低，二次报价高于一次报价的，为无效报价，按无效文件处理。</w:t>
      </w:r>
    </w:p>
    <w:p w14:paraId="1BC0205F">
      <w:pPr>
        <w:spacing w:line="360" w:lineRule="auto"/>
        <w:ind w:firstLine="360" w:firstLineChars="150"/>
        <w:rPr>
          <w:rFonts w:ascii="宋体" w:hAnsi="宋体" w:cs="宋体"/>
          <w:color w:val="auto"/>
          <w:sz w:val="24"/>
          <w:lang w:val="zh-CN"/>
        </w:rPr>
      </w:pPr>
      <w:r>
        <w:rPr>
          <w:rFonts w:hint="eastAsia" w:ascii="宋体" w:hAnsi="宋体" w:cs="宋体"/>
          <w:color w:val="auto"/>
          <w:sz w:val="24"/>
        </w:rPr>
        <w:t xml:space="preserve"> （3）</w:t>
      </w:r>
      <w:r>
        <w:rPr>
          <w:rFonts w:hint="eastAsia" w:ascii="宋体" w:hAnsi="宋体" w:cs="宋体"/>
          <w:color w:val="auto"/>
          <w:sz w:val="24"/>
          <w:lang w:val="zh-CN"/>
        </w:rPr>
        <w:t>磋商小组应当根据综合评分情况，按照评审得分由高到低顺序推荐3名成交候选供应商，并编写评审报告。评审得分相同的，按照最后报价由低到高的顺序推荐。评审得分且最后报价相同的，按照服务方案优劣顺序推荐，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文件处理。</w:t>
      </w:r>
    </w:p>
    <w:p w14:paraId="3822FC4A">
      <w:pPr>
        <w:spacing w:line="360" w:lineRule="auto"/>
        <w:ind w:firstLine="360" w:firstLineChars="15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4</w:t>
      </w:r>
      <w:r>
        <w:rPr>
          <w:rFonts w:hint="eastAsia" w:ascii="宋体" w:hAnsi="宋体" w:cs="宋体"/>
          <w:color w:val="auto"/>
          <w:sz w:val="24"/>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3F9B2EC">
      <w:pPr>
        <w:pStyle w:val="4"/>
        <w:spacing w:line="360" w:lineRule="auto"/>
        <w:ind w:firstLine="482" w:firstLineChars="200"/>
        <w:rPr>
          <w:rFonts w:ascii="宋体" w:hAnsi="宋体" w:cs="宋体"/>
          <w:color w:val="auto"/>
          <w:sz w:val="24"/>
          <w:szCs w:val="28"/>
        </w:rPr>
      </w:pPr>
      <w:r>
        <w:rPr>
          <w:rFonts w:hint="eastAsia" w:ascii="宋体" w:hAnsi="宋体" w:cs="宋体"/>
          <w:color w:val="auto"/>
          <w:sz w:val="24"/>
          <w:szCs w:val="28"/>
          <w:lang w:eastAsia="zh-CN"/>
        </w:rPr>
        <w:t>7.</w:t>
      </w:r>
      <w:r>
        <w:rPr>
          <w:rFonts w:hint="eastAsia" w:ascii="宋体" w:hAnsi="宋体" w:cs="宋体"/>
          <w:color w:val="auto"/>
          <w:sz w:val="24"/>
          <w:szCs w:val="28"/>
        </w:rPr>
        <w:t>定标</w:t>
      </w:r>
      <w:bookmarkEnd w:id="92"/>
      <w:bookmarkEnd w:id="93"/>
    </w:p>
    <w:p w14:paraId="75ECD985">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7.1代理机构在评审结束后2个工作日内将评审报告送达采购单位，采购单位在收到评审报告后5个工作日内，按照评审报告中推荐的成交候选人顺序确认第一成交候选人为成交单位，同时书面复函代理机构；</w:t>
      </w:r>
    </w:p>
    <w:p w14:paraId="5BF0EFB9">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7.2代理机构收到采购单位“</w:t>
      </w:r>
      <w:r>
        <w:rPr>
          <w:rFonts w:hint="eastAsia" w:ascii="宋体" w:hAnsi="宋体" w:cs="宋体"/>
          <w:color w:val="auto"/>
          <w:sz w:val="24"/>
          <w:szCs w:val="28"/>
          <w:lang w:val="en-US" w:eastAsia="zh-CN"/>
        </w:rPr>
        <w:t>成交</w:t>
      </w:r>
      <w:r>
        <w:rPr>
          <w:rFonts w:hint="eastAsia" w:ascii="宋体" w:hAnsi="宋体" w:cs="宋体"/>
          <w:color w:val="auto"/>
          <w:sz w:val="24"/>
          <w:szCs w:val="28"/>
        </w:rPr>
        <w:t>复函”后2</w:t>
      </w:r>
      <w:r>
        <w:rPr>
          <w:rFonts w:hint="eastAsia" w:ascii="宋体" w:hAnsi="宋体" w:cs="宋体"/>
          <w:color w:val="auto"/>
          <w:sz w:val="24"/>
          <w:szCs w:val="28"/>
          <w:lang w:val="en-US" w:eastAsia="zh-CN"/>
        </w:rPr>
        <w:t>个工作</w:t>
      </w:r>
      <w:r>
        <w:rPr>
          <w:rFonts w:hint="eastAsia" w:ascii="宋体" w:hAnsi="宋体" w:cs="宋体"/>
          <w:color w:val="auto"/>
          <w:sz w:val="24"/>
          <w:szCs w:val="28"/>
        </w:rPr>
        <w:t>日内，在财政部门指定的政府采购信息媒体上发布公告，并向成交供应商发出“成交通知书”。</w:t>
      </w:r>
    </w:p>
    <w:p w14:paraId="37FF54E9">
      <w:pPr>
        <w:widowControl/>
        <w:numPr>
          <w:ilvl w:val="0"/>
          <w:numId w:val="3"/>
        </w:numPr>
        <w:spacing w:line="360" w:lineRule="auto"/>
        <w:ind w:firstLine="643" w:firstLineChars="200"/>
        <w:jc w:val="center"/>
        <w:outlineLvl w:val="1"/>
        <w:rPr>
          <w:rFonts w:ascii="宋体" w:hAnsi="宋体" w:cs="宋体"/>
          <w:b/>
          <w:bCs/>
          <w:color w:val="auto"/>
          <w:kern w:val="0"/>
          <w:sz w:val="32"/>
          <w:szCs w:val="32"/>
        </w:rPr>
      </w:pPr>
      <w:bookmarkStart w:id="94" w:name="_Toc19972"/>
      <w:bookmarkStart w:id="95" w:name="_Toc536202384"/>
      <w:bookmarkStart w:id="96" w:name="_Toc536429324"/>
      <w:bookmarkStart w:id="97" w:name="_Toc536429377"/>
      <w:bookmarkStart w:id="98" w:name="_Toc11870"/>
      <w:bookmarkStart w:id="99" w:name="_Toc25308"/>
      <w:bookmarkStart w:id="100" w:name="_Toc536202315"/>
      <w:bookmarkStart w:id="101" w:name="_Toc19543341"/>
      <w:r>
        <w:rPr>
          <w:rFonts w:hint="eastAsia" w:ascii="宋体" w:hAnsi="宋体" w:cs="宋体"/>
          <w:b/>
          <w:bCs/>
          <w:color w:val="auto"/>
          <w:kern w:val="0"/>
          <w:sz w:val="32"/>
          <w:szCs w:val="32"/>
        </w:rPr>
        <w:t>签订合同</w:t>
      </w:r>
      <w:bookmarkEnd w:id="94"/>
      <w:bookmarkEnd w:id="95"/>
      <w:bookmarkEnd w:id="96"/>
      <w:bookmarkEnd w:id="97"/>
      <w:bookmarkEnd w:id="98"/>
      <w:bookmarkEnd w:id="99"/>
      <w:bookmarkEnd w:id="100"/>
      <w:bookmarkEnd w:id="101"/>
    </w:p>
    <w:p w14:paraId="5198C592">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1.</w:t>
      </w:r>
      <w:r>
        <w:rPr>
          <w:rFonts w:hint="eastAsia" w:ascii="宋体" w:hAnsi="宋体" w:cs="宋体"/>
          <w:color w:val="auto"/>
          <w:sz w:val="24"/>
        </w:rPr>
        <w:t>成交后，成交供应商在收到成交通知书后</w:t>
      </w:r>
      <w:r>
        <w:rPr>
          <w:rFonts w:hint="eastAsia" w:ascii="宋体" w:hAnsi="宋体" w:cs="宋体"/>
          <w:color w:val="auto"/>
          <w:sz w:val="24"/>
          <w:lang w:val="en-US" w:eastAsia="zh-CN"/>
        </w:rPr>
        <w:t>二十五</w:t>
      </w:r>
      <w:r>
        <w:rPr>
          <w:rFonts w:hint="eastAsia" w:ascii="宋体" w:hAnsi="宋体" w:cs="宋体"/>
          <w:color w:val="auto"/>
          <w:sz w:val="24"/>
        </w:rPr>
        <w:t>（</w:t>
      </w:r>
      <w:r>
        <w:rPr>
          <w:rFonts w:hint="eastAsia" w:ascii="宋体" w:hAnsi="宋体" w:cs="宋体"/>
          <w:color w:val="auto"/>
          <w:sz w:val="24"/>
          <w:lang w:val="en-US" w:eastAsia="zh-CN"/>
        </w:rPr>
        <w:t>25</w:t>
      </w:r>
      <w:r>
        <w:rPr>
          <w:rFonts w:hint="eastAsia" w:ascii="宋体" w:hAnsi="宋体" w:cs="宋体"/>
          <w:color w:val="auto"/>
          <w:sz w:val="24"/>
        </w:rPr>
        <w:t>）个日历日内，应按磋商文件的要求与采购人洽谈合同条款，并签订供货合同，同时送监督机构备案，磋商文件及成交供应商的响应文件均作为合同的组成部分；</w:t>
      </w:r>
    </w:p>
    <w:p w14:paraId="02D9D9D7">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2.</w:t>
      </w:r>
      <w:r>
        <w:rPr>
          <w:rFonts w:hint="eastAsia" w:ascii="宋体" w:hAnsi="宋体" w:cs="宋体"/>
          <w:color w:val="auto"/>
          <w:sz w:val="24"/>
          <w:szCs w:val="28"/>
        </w:rPr>
        <w:t>采购人不得向成交供应商提出超出磋商文件以外的任何要求作为签订合同的条件，不得与成交供应商订立背离磋商文件确定的合同文本以及采购服务要求实质性内容的协议。</w:t>
      </w:r>
    </w:p>
    <w:p w14:paraId="4081BEE6">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3.</w:t>
      </w:r>
      <w:r>
        <w:rPr>
          <w:rFonts w:hint="eastAsia" w:ascii="宋体" w:hAnsi="宋体" w:cs="宋体"/>
          <w:color w:val="auto"/>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23D45998">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4.</w:t>
      </w:r>
      <w:r>
        <w:rPr>
          <w:rFonts w:hint="eastAsia" w:ascii="宋体" w:hAnsi="宋体" w:cs="宋体"/>
          <w:color w:val="auto"/>
          <w:sz w:val="24"/>
        </w:rPr>
        <w:t>政府采购合同在执行过程中，确需修改、变更时，应当按照相应的审核批准程序办理。</w:t>
      </w:r>
    </w:p>
    <w:p w14:paraId="10CA07B3">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5.</w:t>
      </w:r>
      <w:r>
        <w:rPr>
          <w:rFonts w:hint="eastAsia" w:ascii="宋体" w:hAnsi="宋体" w:cs="宋体"/>
          <w:color w:val="auto"/>
          <w:sz w:val="24"/>
        </w:rPr>
        <w:t>磋商文件、响应文件、澄清等为政府采购合同的组成部分，具有同等法律效力。</w:t>
      </w:r>
    </w:p>
    <w:p w14:paraId="7FBE94B9">
      <w:pPr>
        <w:spacing w:line="360" w:lineRule="auto"/>
        <w:ind w:firstLine="480" w:firstLineChars="200"/>
        <w:rPr>
          <w:rFonts w:ascii="宋体" w:hAnsi="宋体" w:cs="宋体"/>
          <w:color w:val="auto"/>
          <w:sz w:val="24"/>
        </w:rPr>
      </w:pPr>
      <w:bookmarkStart w:id="102" w:name="_Toc536202385"/>
      <w:bookmarkStart w:id="103" w:name="_Toc32237"/>
      <w:bookmarkStart w:id="104" w:name="_Toc26132"/>
      <w:bookmarkStart w:id="105" w:name="_Toc28110"/>
      <w:bookmarkStart w:id="106" w:name="_Toc536202316"/>
      <w:bookmarkStart w:id="107" w:name="_Toc536429325"/>
      <w:bookmarkStart w:id="108" w:name="_Toc536429378"/>
      <w:r>
        <w:rPr>
          <w:rFonts w:hint="eastAsia" w:ascii="宋体" w:hAnsi="宋体" w:cs="宋体"/>
          <w:color w:val="auto"/>
          <w:sz w:val="24"/>
          <w:lang w:eastAsia="zh-CN"/>
        </w:rPr>
        <w:t>6.</w:t>
      </w:r>
      <w:r>
        <w:rPr>
          <w:rFonts w:hint="eastAsia" w:ascii="宋体" w:hAnsi="宋体" w:cs="宋体"/>
          <w:color w:val="auto"/>
          <w:sz w:val="24"/>
        </w:rPr>
        <w:t>政府采购管理部门在合同履行期间以及履行期后，可以随时检查项目的执行情况，对采购标准、采购内容进行调查核实，并对发现的问题进行处理。</w:t>
      </w:r>
    </w:p>
    <w:p w14:paraId="5F12FC05">
      <w:pPr>
        <w:widowControl/>
        <w:numPr>
          <w:ilvl w:val="0"/>
          <w:numId w:val="3"/>
        </w:numPr>
        <w:spacing w:line="360" w:lineRule="auto"/>
        <w:ind w:firstLine="643" w:firstLineChars="200"/>
        <w:jc w:val="center"/>
        <w:outlineLvl w:val="1"/>
        <w:rPr>
          <w:rFonts w:ascii="宋体" w:hAnsi="宋体" w:cs="宋体"/>
          <w:b/>
          <w:bCs/>
          <w:color w:val="auto"/>
          <w:kern w:val="0"/>
          <w:sz w:val="32"/>
          <w:szCs w:val="32"/>
        </w:rPr>
      </w:pPr>
      <w:bookmarkStart w:id="109" w:name="_Toc19543342"/>
      <w:r>
        <w:rPr>
          <w:rFonts w:hint="eastAsia" w:ascii="宋体" w:hAnsi="宋体" w:cs="宋体"/>
          <w:b/>
          <w:bCs/>
          <w:color w:val="auto"/>
          <w:kern w:val="0"/>
          <w:sz w:val="32"/>
          <w:szCs w:val="32"/>
        </w:rPr>
        <w:t>代理服务费</w:t>
      </w:r>
      <w:bookmarkEnd w:id="102"/>
      <w:bookmarkEnd w:id="103"/>
      <w:bookmarkEnd w:id="104"/>
      <w:bookmarkEnd w:id="105"/>
      <w:bookmarkEnd w:id="106"/>
      <w:bookmarkEnd w:id="107"/>
      <w:bookmarkEnd w:id="108"/>
      <w:bookmarkEnd w:id="109"/>
    </w:p>
    <w:p w14:paraId="6DB727FF">
      <w:pPr>
        <w:numPr>
          <w:ilvl w:val="0"/>
          <w:numId w:val="6"/>
        </w:numPr>
        <w:spacing w:line="360" w:lineRule="auto"/>
        <w:ind w:firstLine="480" w:firstLineChars="200"/>
        <w:jc w:val="left"/>
        <w:rPr>
          <w:rFonts w:hint="eastAsia" w:ascii="宋体" w:hAnsi="宋体" w:cs="宋体"/>
          <w:color w:val="auto"/>
          <w:sz w:val="24"/>
          <w:szCs w:val="28"/>
        </w:rPr>
      </w:pPr>
      <w:r>
        <w:rPr>
          <w:rFonts w:hint="eastAsia" w:ascii="宋体" w:hAnsi="宋体" w:cs="宋体"/>
          <w:color w:val="auto"/>
          <w:sz w:val="24"/>
          <w:szCs w:val="28"/>
        </w:rPr>
        <w:t>参照国家计委颁发的《招标代理服务收费管理暂行办法》（计价格[2002]1980号）和国家发展</w:t>
      </w:r>
      <w:r>
        <w:rPr>
          <w:rFonts w:hint="eastAsia" w:ascii="宋体" w:hAnsi="宋体" w:cs="宋体"/>
          <w:color w:val="auto"/>
          <w:sz w:val="24"/>
          <w:szCs w:val="28"/>
          <w:lang w:val="en-US" w:eastAsia="zh-CN"/>
        </w:rPr>
        <w:t>和</w:t>
      </w:r>
      <w:r>
        <w:rPr>
          <w:rFonts w:hint="eastAsia" w:ascii="宋体" w:hAnsi="宋体" w:cs="宋体"/>
          <w:color w:val="auto"/>
          <w:sz w:val="24"/>
          <w:szCs w:val="28"/>
        </w:rPr>
        <w:t>改革委员会办公厅颁发的《关于招标代理服务收费有关问题的通知》（发改办价格[2003]857号）的标准收取。</w:t>
      </w:r>
    </w:p>
    <w:p w14:paraId="216CEBF7">
      <w:pPr>
        <w:numPr>
          <w:ilvl w:val="0"/>
          <w:numId w:val="0"/>
        </w:numPr>
        <w:spacing w:line="360" w:lineRule="auto"/>
        <w:ind w:firstLine="480" w:firstLineChars="200"/>
        <w:jc w:val="left"/>
        <w:rPr>
          <w:rFonts w:hint="eastAsia" w:ascii="宋体" w:hAnsi="宋体" w:cs="宋体"/>
          <w:color w:val="auto"/>
          <w:sz w:val="24"/>
          <w:szCs w:val="28"/>
        </w:rPr>
      </w:pPr>
      <w:r>
        <w:rPr>
          <w:rFonts w:hint="eastAsia" w:ascii="宋体" w:hAnsi="宋体" w:cs="宋体"/>
          <w:color w:val="auto"/>
          <w:sz w:val="24"/>
          <w:szCs w:val="28"/>
        </w:rPr>
        <w:t xml:space="preserve">采购代理机构开户名称：安康尚昊招标代理有限公司  </w:t>
      </w:r>
    </w:p>
    <w:p w14:paraId="7FB428B2">
      <w:pPr>
        <w:numPr>
          <w:ilvl w:val="0"/>
          <w:numId w:val="0"/>
        </w:numPr>
        <w:spacing w:line="360" w:lineRule="auto"/>
        <w:ind w:firstLine="480" w:firstLineChars="200"/>
        <w:jc w:val="left"/>
        <w:rPr>
          <w:rFonts w:hint="eastAsia" w:ascii="宋体" w:hAnsi="宋体" w:cs="宋体"/>
          <w:color w:val="auto"/>
          <w:sz w:val="24"/>
          <w:szCs w:val="28"/>
        </w:rPr>
      </w:pPr>
      <w:r>
        <w:rPr>
          <w:rFonts w:hint="eastAsia" w:ascii="宋体" w:hAnsi="宋体" w:cs="宋体"/>
          <w:color w:val="auto"/>
          <w:sz w:val="24"/>
          <w:szCs w:val="28"/>
        </w:rPr>
        <w:t xml:space="preserve">开户行名称：中国建设银行股份有限公司安康分行营业部  </w:t>
      </w:r>
    </w:p>
    <w:p w14:paraId="1EAB3257">
      <w:pPr>
        <w:numPr>
          <w:ilvl w:val="0"/>
          <w:numId w:val="0"/>
        </w:num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账号</w:t>
      </w:r>
      <w:r>
        <w:rPr>
          <w:rFonts w:hint="eastAsia" w:ascii="宋体" w:hAnsi="宋体" w:cs="宋体"/>
          <w:color w:val="auto"/>
          <w:sz w:val="24"/>
          <w:szCs w:val="28"/>
        </w:rPr>
        <w:t>：61050166371100000492）</w:t>
      </w:r>
    </w:p>
    <w:p w14:paraId="4F050B0D">
      <w:pPr>
        <w:numPr>
          <w:ilvl w:val="0"/>
          <w:numId w:val="0"/>
        </w:num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val="en-US" w:eastAsia="zh-CN"/>
        </w:rPr>
        <w:t>2.本次项目代理服务费由成交供应商支付，</w:t>
      </w:r>
      <w:r>
        <w:rPr>
          <w:rFonts w:hint="eastAsia" w:ascii="宋体" w:hAnsi="宋体" w:cs="宋体"/>
          <w:color w:val="auto"/>
          <w:sz w:val="24"/>
          <w:szCs w:val="28"/>
        </w:rPr>
        <w:t>代理服务费以转账、电汇或现金等形式交纳。</w:t>
      </w:r>
    </w:p>
    <w:p w14:paraId="369ED418">
      <w:pPr>
        <w:widowControl/>
        <w:numPr>
          <w:ilvl w:val="0"/>
          <w:numId w:val="3"/>
        </w:numPr>
        <w:spacing w:line="360" w:lineRule="auto"/>
        <w:ind w:firstLine="0"/>
        <w:jc w:val="center"/>
        <w:outlineLvl w:val="1"/>
        <w:rPr>
          <w:rFonts w:ascii="宋体" w:hAnsi="宋体" w:cs="宋体"/>
          <w:b/>
          <w:bCs/>
          <w:color w:val="auto"/>
          <w:kern w:val="0"/>
          <w:sz w:val="32"/>
          <w:szCs w:val="32"/>
        </w:rPr>
      </w:pPr>
      <w:bookmarkStart w:id="110" w:name="_Toc536429379"/>
      <w:bookmarkStart w:id="111" w:name="_Toc19543343"/>
      <w:bookmarkStart w:id="112" w:name="_Toc536429326"/>
      <w:bookmarkStart w:id="113" w:name="_Toc536202317"/>
      <w:bookmarkStart w:id="114" w:name="_Toc536202386"/>
      <w:bookmarkStart w:id="115" w:name="_Toc664"/>
      <w:bookmarkStart w:id="116" w:name="_Toc11491"/>
      <w:r>
        <w:rPr>
          <w:rFonts w:hint="eastAsia" w:ascii="宋体" w:hAnsi="宋体" w:cs="宋体"/>
          <w:b/>
          <w:bCs/>
          <w:color w:val="auto"/>
          <w:kern w:val="0"/>
          <w:sz w:val="32"/>
          <w:szCs w:val="32"/>
        </w:rPr>
        <w:t>质疑和投诉</w:t>
      </w:r>
      <w:bookmarkEnd w:id="110"/>
      <w:bookmarkEnd w:id="111"/>
      <w:bookmarkEnd w:id="112"/>
      <w:bookmarkEnd w:id="113"/>
      <w:bookmarkEnd w:id="114"/>
      <w:bookmarkEnd w:id="115"/>
      <w:bookmarkEnd w:id="116"/>
    </w:p>
    <w:p w14:paraId="17769182">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质疑或投诉的接收和处理应当按照《中华人民共和国政府采购法》及其实施条例、《政府采购质疑和投诉办法</w:t>
      </w:r>
      <w:r>
        <w:rPr>
          <w:rFonts w:hint="eastAsia" w:ascii="宋体" w:hAnsi="宋体" w:cs="宋体"/>
          <w:color w:val="auto"/>
          <w:sz w:val="24"/>
          <w:szCs w:val="28"/>
          <w:lang w:eastAsia="zh-CN"/>
        </w:rPr>
        <w:t>》《</w:t>
      </w:r>
      <w:r>
        <w:rPr>
          <w:rFonts w:hint="eastAsia" w:ascii="宋体" w:hAnsi="宋体" w:cs="宋体"/>
          <w:color w:val="auto"/>
          <w:sz w:val="24"/>
          <w:szCs w:val="28"/>
        </w:rPr>
        <w:t>财政部关于加强政府采购供应商投诉受理审查工作的通知》等的相关规定办理。</w:t>
      </w:r>
    </w:p>
    <w:p w14:paraId="2FFA6328">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1.</w:t>
      </w:r>
      <w:r>
        <w:rPr>
          <w:rFonts w:hint="eastAsia" w:ascii="宋体" w:hAnsi="宋体" w:cs="宋体"/>
          <w:color w:val="auto"/>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5D2E8E58">
      <w:pPr>
        <w:spacing w:line="360" w:lineRule="auto"/>
        <w:ind w:firstLine="240" w:firstLineChars="100"/>
        <w:jc w:val="left"/>
        <w:rPr>
          <w:rFonts w:ascii="宋体" w:hAnsi="宋体" w:cs="宋体"/>
          <w:color w:val="auto"/>
          <w:sz w:val="24"/>
          <w:szCs w:val="28"/>
        </w:rPr>
      </w:pPr>
      <w:r>
        <w:rPr>
          <w:rFonts w:hint="eastAsia" w:ascii="宋体" w:hAnsi="宋体" w:cs="宋体"/>
          <w:color w:val="auto"/>
          <w:sz w:val="24"/>
          <w:szCs w:val="28"/>
        </w:rPr>
        <w:t>（1）对采购文件提出质疑的，为收到采购文件之日或者采购文件公告期限届满之日；</w:t>
      </w:r>
    </w:p>
    <w:p w14:paraId="485816BA">
      <w:pPr>
        <w:spacing w:line="360" w:lineRule="auto"/>
        <w:ind w:firstLine="240" w:firstLineChars="100"/>
        <w:jc w:val="left"/>
        <w:rPr>
          <w:rFonts w:ascii="宋体" w:hAnsi="宋体" w:cs="宋体"/>
          <w:color w:val="auto"/>
          <w:sz w:val="24"/>
          <w:szCs w:val="28"/>
        </w:rPr>
      </w:pPr>
      <w:r>
        <w:rPr>
          <w:rFonts w:hint="eastAsia" w:ascii="宋体" w:hAnsi="宋体" w:cs="宋体"/>
          <w:color w:val="auto"/>
          <w:sz w:val="24"/>
          <w:szCs w:val="28"/>
        </w:rPr>
        <w:t>（2）对采购过程提出质疑的，为各采购程序环节结束之日；</w:t>
      </w:r>
    </w:p>
    <w:p w14:paraId="056884B7">
      <w:pPr>
        <w:spacing w:line="360" w:lineRule="auto"/>
        <w:ind w:firstLine="240" w:firstLineChars="100"/>
        <w:jc w:val="left"/>
        <w:rPr>
          <w:rFonts w:ascii="宋体" w:hAnsi="宋体" w:cs="宋体"/>
          <w:color w:val="auto"/>
          <w:sz w:val="24"/>
          <w:szCs w:val="28"/>
        </w:rPr>
      </w:pPr>
      <w:r>
        <w:rPr>
          <w:rFonts w:hint="eastAsia" w:ascii="宋体" w:hAnsi="宋体" w:cs="宋体"/>
          <w:color w:val="auto"/>
          <w:sz w:val="24"/>
          <w:szCs w:val="28"/>
        </w:rPr>
        <w:t>（3）对中标或者成交结果提出质疑的，为中标或者成交结果公告期限届满之日。</w:t>
      </w:r>
    </w:p>
    <w:p w14:paraId="011FBD0A">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2.</w:t>
      </w:r>
      <w:r>
        <w:rPr>
          <w:rFonts w:hint="eastAsia" w:ascii="宋体" w:hAnsi="宋体" w:cs="宋体"/>
          <w:color w:val="auto"/>
          <w:sz w:val="24"/>
          <w:szCs w:val="28"/>
        </w:rPr>
        <w:t>供应商应当在法定质疑期内一次性提出针对同一采购程序环节的质疑。</w:t>
      </w:r>
    </w:p>
    <w:p w14:paraId="101E9E30">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3.</w:t>
      </w:r>
      <w:r>
        <w:rPr>
          <w:rFonts w:hint="eastAsia" w:ascii="宋体" w:hAnsi="宋体" w:cs="宋体"/>
          <w:color w:val="auto"/>
          <w:sz w:val="24"/>
          <w:szCs w:val="28"/>
        </w:rPr>
        <w:t>质疑函应当包括下列主要内容：</w:t>
      </w:r>
    </w:p>
    <w:p w14:paraId="608C6C66">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（1）供应商的姓名或者名称、地址、邮编、联系人及联系电话；</w:t>
      </w:r>
    </w:p>
    <w:p w14:paraId="00455932">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（2）质疑项目的名称、编号；</w:t>
      </w:r>
    </w:p>
    <w:p w14:paraId="64F68BF5">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（3）具体、明确的质疑事项和与质疑事项相关的请求；</w:t>
      </w:r>
    </w:p>
    <w:p w14:paraId="34B9742A">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（4）事实依据；</w:t>
      </w:r>
    </w:p>
    <w:p w14:paraId="45A21C54">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（5）必要的法律依据；</w:t>
      </w:r>
    </w:p>
    <w:p w14:paraId="51A5F149">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（6）提出质疑的日期。</w:t>
      </w:r>
    </w:p>
    <w:p w14:paraId="43B6495C">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4.</w:t>
      </w:r>
      <w:r>
        <w:rPr>
          <w:rFonts w:hint="eastAsia" w:ascii="宋体" w:hAnsi="宋体" w:cs="宋体"/>
          <w:color w:val="auto"/>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783BF9D2">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5.</w:t>
      </w:r>
      <w:r>
        <w:rPr>
          <w:rFonts w:hint="eastAsia" w:ascii="宋体" w:hAnsi="宋体" w:cs="宋体"/>
          <w:color w:val="auto"/>
          <w:sz w:val="24"/>
          <w:szCs w:val="28"/>
        </w:rPr>
        <w:t>质疑函内容不得含有虚假、恶意</w:t>
      </w:r>
      <w:r>
        <w:rPr>
          <w:rFonts w:hint="eastAsia" w:ascii="宋体" w:hAnsi="宋体" w:cs="宋体"/>
          <w:color w:val="auto"/>
          <w:sz w:val="24"/>
          <w:szCs w:val="28"/>
          <w:lang w:eastAsia="zh-CN"/>
        </w:rPr>
        <w:t>成分</w:t>
      </w:r>
      <w:r>
        <w:rPr>
          <w:rFonts w:hint="eastAsia" w:ascii="宋体" w:hAnsi="宋体" w:cs="宋体"/>
          <w:color w:val="auto"/>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5022721C">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6.</w:t>
      </w:r>
      <w:r>
        <w:rPr>
          <w:rFonts w:hint="eastAsia" w:ascii="宋体" w:hAnsi="宋体" w:cs="宋体"/>
          <w:color w:val="auto"/>
          <w:sz w:val="24"/>
          <w:szCs w:val="28"/>
        </w:rPr>
        <w:t xml:space="preserve">质疑函接收方式：由自然人本人或法定代表人或者其授权代表携带书面原件及身份证明原件到现场递交，否则不予受理。 </w:t>
      </w:r>
    </w:p>
    <w:p w14:paraId="200C36C3">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7.</w:t>
      </w:r>
      <w:r>
        <w:rPr>
          <w:rFonts w:hint="eastAsia" w:ascii="宋体" w:hAnsi="宋体" w:cs="宋体"/>
          <w:color w:val="auto"/>
          <w:sz w:val="24"/>
          <w:szCs w:val="28"/>
        </w:rPr>
        <w:t>质疑受理部门：安康尚昊招标代理有限公司</w:t>
      </w:r>
    </w:p>
    <w:p w14:paraId="7D256DA6">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 xml:space="preserve">   质疑受理电话：13991519725</w:t>
      </w:r>
    </w:p>
    <w:p w14:paraId="186B6F48">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8.</w:t>
      </w:r>
      <w:r>
        <w:rPr>
          <w:rFonts w:hint="eastAsia" w:ascii="宋体" w:hAnsi="宋体" w:cs="宋体"/>
          <w:color w:val="auto"/>
          <w:sz w:val="24"/>
          <w:szCs w:val="28"/>
        </w:rPr>
        <w:t>提交质疑函地点：安康市高新区</w:t>
      </w:r>
      <w:r>
        <w:rPr>
          <w:rFonts w:hint="eastAsia" w:ascii="宋体" w:hAnsi="宋体" w:cs="宋体"/>
          <w:color w:val="auto"/>
          <w:sz w:val="24"/>
          <w:szCs w:val="28"/>
          <w:lang w:eastAsia="zh-CN"/>
        </w:rPr>
        <w:t>高新观澜8栋</w:t>
      </w:r>
      <w:r>
        <w:rPr>
          <w:rFonts w:hint="eastAsia" w:ascii="宋体" w:hAnsi="宋体" w:cs="宋体"/>
          <w:color w:val="auto"/>
          <w:sz w:val="24"/>
          <w:szCs w:val="28"/>
        </w:rPr>
        <w:t>2单元801室</w:t>
      </w:r>
    </w:p>
    <w:p w14:paraId="4750A62E">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9.</w:t>
      </w:r>
      <w:r>
        <w:rPr>
          <w:rFonts w:hint="eastAsia" w:ascii="宋体" w:hAnsi="宋体" w:cs="宋体"/>
          <w:color w:val="auto"/>
          <w:sz w:val="24"/>
          <w:szCs w:val="28"/>
        </w:rPr>
        <w:t>本次采购活动中，采购代理机构对质疑函回复的书面文件的送达方式为现场取件。</w:t>
      </w:r>
    </w:p>
    <w:p w14:paraId="170C3A7E">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如所质疑的问题比较复杂，采购人或者采购代理机构在规定的答复时间内无法回复，应事先告知提出质疑的供应商，同时向同级政府采购监督管理部门报告。</w:t>
      </w:r>
    </w:p>
    <w:p w14:paraId="336F0A10">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10</w:t>
      </w:r>
      <w:r>
        <w:rPr>
          <w:rFonts w:hint="eastAsia" w:ascii="宋体" w:hAnsi="宋体" w:cs="宋体"/>
          <w:color w:val="auto"/>
          <w:sz w:val="24"/>
          <w:szCs w:val="28"/>
          <w:lang w:val="en-US" w:eastAsia="zh-CN"/>
        </w:rPr>
        <w:t>.</w:t>
      </w:r>
      <w:r>
        <w:rPr>
          <w:rFonts w:hint="eastAsia" w:ascii="宋体" w:hAnsi="宋体" w:cs="宋体"/>
          <w:color w:val="auto"/>
          <w:sz w:val="24"/>
          <w:szCs w:val="28"/>
        </w:rPr>
        <w:t>质疑供应商对采购人、采购代理机构的答复不满意，或者采购人、采购代理机构未在规定的时间内作出答复的，可以在答复期满后15个工作日内向采购人的同级政府采购监督管理部门投诉。</w:t>
      </w:r>
    </w:p>
    <w:p w14:paraId="68921723">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1</w:t>
      </w:r>
      <w:r>
        <w:rPr>
          <w:rFonts w:hint="eastAsia" w:ascii="宋体" w:hAnsi="宋体" w:cs="宋体"/>
          <w:color w:val="auto"/>
          <w:sz w:val="24"/>
          <w:szCs w:val="28"/>
          <w:lang w:eastAsia="zh-CN"/>
        </w:rPr>
        <w:t>1.</w:t>
      </w:r>
      <w:r>
        <w:rPr>
          <w:rFonts w:hint="eastAsia" w:ascii="宋体" w:hAnsi="宋体" w:cs="宋体"/>
          <w:color w:val="auto"/>
          <w:sz w:val="24"/>
          <w:szCs w:val="28"/>
        </w:rPr>
        <w:t>质疑函应当使用中文。</w:t>
      </w:r>
    </w:p>
    <w:p w14:paraId="5C19285E">
      <w:pPr>
        <w:widowControl/>
        <w:numPr>
          <w:ilvl w:val="0"/>
          <w:numId w:val="3"/>
        </w:numPr>
        <w:spacing w:line="360" w:lineRule="auto"/>
        <w:ind w:firstLine="0"/>
        <w:jc w:val="center"/>
        <w:outlineLvl w:val="1"/>
        <w:rPr>
          <w:rFonts w:ascii="宋体" w:hAnsi="宋体" w:cs="宋体"/>
          <w:b/>
          <w:bCs/>
          <w:color w:val="auto"/>
          <w:kern w:val="0"/>
          <w:sz w:val="32"/>
          <w:szCs w:val="32"/>
        </w:rPr>
      </w:pPr>
      <w:bookmarkStart w:id="117" w:name="_Toc536429327"/>
      <w:bookmarkStart w:id="118" w:name="_Toc536202318"/>
      <w:bookmarkStart w:id="119" w:name="_Toc19543344"/>
      <w:bookmarkStart w:id="120" w:name="_Toc536429380"/>
      <w:bookmarkStart w:id="121" w:name="_Toc536202387"/>
      <w:r>
        <w:rPr>
          <w:rFonts w:hint="eastAsia" w:ascii="宋体" w:hAnsi="宋体" w:cs="宋体"/>
          <w:b/>
          <w:bCs/>
          <w:color w:val="auto"/>
          <w:kern w:val="0"/>
          <w:sz w:val="32"/>
          <w:szCs w:val="32"/>
        </w:rPr>
        <w:t>其他</w:t>
      </w:r>
      <w:bookmarkEnd w:id="117"/>
      <w:bookmarkEnd w:id="118"/>
      <w:bookmarkEnd w:id="119"/>
      <w:bookmarkEnd w:id="120"/>
      <w:bookmarkEnd w:id="121"/>
    </w:p>
    <w:p w14:paraId="3412B8F1">
      <w:pPr>
        <w:spacing w:line="360" w:lineRule="auto"/>
        <w:ind w:firstLine="480" w:firstLineChars="200"/>
        <w:jc w:val="left"/>
        <w:rPr>
          <w:rFonts w:ascii="宋体" w:hAnsi="宋体" w:cs="宋体"/>
          <w:color w:val="auto"/>
          <w:sz w:val="24"/>
          <w:szCs w:val="28"/>
        </w:rPr>
      </w:pPr>
      <w:bookmarkStart w:id="122" w:name="_Toc3298"/>
      <w:r>
        <w:rPr>
          <w:rFonts w:hint="eastAsia" w:ascii="宋体" w:hAnsi="宋体" w:cs="宋体"/>
          <w:color w:val="auto"/>
          <w:sz w:val="24"/>
          <w:szCs w:val="28"/>
          <w:lang w:eastAsia="zh-CN"/>
        </w:rPr>
        <w:t>1.</w:t>
      </w:r>
      <w:r>
        <w:rPr>
          <w:rFonts w:hint="eastAsia" w:ascii="宋体" w:hAnsi="宋体" w:cs="宋体"/>
          <w:color w:val="auto"/>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6A7BE3E0">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（1）因情况变化，不再符合规定的竞争性磋商采购方式适用情形的；</w:t>
      </w:r>
    </w:p>
    <w:p w14:paraId="3564ABEC">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（2）出现影响采购公正的违法、违规行为的；</w:t>
      </w:r>
    </w:p>
    <w:p w14:paraId="4A4CA46D">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0781C1C4">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（4）因重大变故，采购任务取消的。</w:t>
      </w:r>
    </w:p>
    <w:p w14:paraId="48245645">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2.</w:t>
      </w:r>
      <w:r>
        <w:rPr>
          <w:rFonts w:hint="eastAsia" w:ascii="宋体" w:hAnsi="宋体" w:cs="宋体"/>
          <w:color w:val="auto"/>
          <w:sz w:val="24"/>
          <w:szCs w:val="28"/>
        </w:rPr>
        <w:t>磋商失败后，除采购任务取消外，将重新组织采购</w:t>
      </w:r>
      <w:bookmarkEnd w:id="122"/>
      <w:bookmarkStart w:id="123" w:name="_Toc25345"/>
      <w:bookmarkStart w:id="124" w:name="_Toc536202388"/>
      <w:bookmarkStart w:id="125" w:name="_Toc536429328"/>
      <w:bookmarkStart w:id="126" w:name="_Toc536429381"/>
      <w:bookmarkStart w:id="127" w:name="_Toc536202319"/>
      <w:r>
        <w:rPr>
          <w:rFonts w:hint="eastAsia" w:ascii="宋体" w:hAnsi="宋体" w:cs="宋体"/>
          <w:color w:val="auto"/>
          <w:sz w:val="24"/>
          <w:szCs w:val="28"/>
        </w:rPr>
        <w:t>。</w:t>
      </w:r>
      <w:bookmarkEnd w:id="123"/>
      <w:bookmarkEnd w:id="124"/>
      <w:bookmarkEnd w:id="125"/>
      <w:bookmarkEnd w:id="126"/>
      <w:bookmarkEnd w:id="127"/>
    </w:p>
    <w:p w14:paraId="38629AB4">
      <w:pPr>
        <w:widowControl/>
        <w:spacing w:line="360" w:lineRule="auto"/>
        <w:jc w:val="left"/>
        <w:rPr>
          <w:rFonts w:ascii="宋体" w:hAnsi="宋体" w:cs="宋体"/>
          <w:b/>
          <w:bCs/>
          <w:caps/>
          <w:color w:val="auto"/>
          <w:sz w:val="36"/>
          <w:szCs w:val="20"/>
        </w:rPr>
      </w:pPr>
      <w:bookmarkStart w:id="128" w:name="_Toc19543345"/>
      <w:r>
        <w:rPr>
          <w:rFonts w:hint="eastAsia" w:ascii="宋体" w:hAnsi="宋体" w:cs="宋体"/>
          <w:color w:val="auto"/>
          <w:sz w:val="36"/>
        </w:rPr>
        <w:br w:type="page"/>
      </w:r>
    </w:p>
    <w:p w14:paraId="4B15D25D">
      <w:pPr>
        <w:pStyle w:val="25"/>
        <w:numPr>
          <w:ilvl w:val="0"/>
          <w:numId w:val="7"/>
        </w:numPr>
        <w:spacing w:before="0" w:after="0" w:line="420" w:lineRule="exact"/>
        <w:jc w:val="center"/>
        <w:outlineLvl w:val="0"/>
        <w:rPr>
          <w:color w:val="auto"/>
          <w:sz w:val="36"/>
        </w:rPr>
      </w:pPr>
      <w:r>
        <w:rPr>
          <w:rFonts w:hint="eastAsia"/>
          <w:color w:val="auto"/>
          <w:sz w:val="36"/>
        </w:rPr>
        <w:t xml:space="preserve"> </w:t>
      </w:r>
      <w:bookmarkStart w:id="129" w:name="_Toc18523"/>
      <w:r>
        <w:rPr>
          <w:rFonts w:hint="eastAsia"/>
          <w:color w:val="auto"/>
          <w:sz w:val="36"/>
        </w:rPr>
        <w:t>评分</w:t>
      </w:r>
      <w:r>
        <w:rPr>
          <w:color w:val="auto"/>
          <w:sz w:val="36"/>
        </w:rPr>
        <w:t>标准</w:t>
      </w:r>
      <w:bookmarkEnd w:id="128"/>
      <w:bookmarkEnd w:id="129"/>
      <w:bookmarkStart w:id="130" w:name="_Toc262"/>
    </w:p>
    <w:tbl>
      <w:tblPr>
        <w:tblStyle w:val="40"/>
        <w:tblW w:w="8612" w:type="dxa"/>
        <w:jc w:val="center"/>
        <w:tblLayout w:type="fixed"/>
        <w:tblCellMar>
          <w:top w:w="0" w:type="dxa"/>
          <w:left w:w="108" w:type="dxa"/>
          <w:bottom w:w="0" w:type="dxa"/>
          <w:right w:w="108" w:type="dxa"/>
        </w:tblCellMar>
      </w:tblPr>
      <w:tblGrid>
        <w:gridCol w:w="737"/>
        <w:gridCol w:w="744"/>
        <w:gridCol w:w="7131"/>
      </w:tblGrid>
      <w:tr w14:paraId="0DBF775D">
        <w:trPr>
          <w:trHeight w:val="611"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50CC89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w:t>
            </w:r>
          </w:p>
          <w:p w14:paraId="2F68CC2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744" w:type="dxa"/>
            <w:tcBorders>
              <w:top w:val="single" w:color="auto" w:sz="4" w:space="0"/>
              <w:left w:val="nil"/>
              <w:bottom w:val="single" w:color="auto" w:sz="4" w:space="0"/>
              <w:right w:val="single" w:color="auto" w:sz="4" w:space="0"/>
            </w:tcBorders>
            <w:noWrap w:val="0"/>
            <w:vAlign w:val="center"/>
          </w:tcPr>
          <w:p w14:paraId="4B56C88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7131" w:type="dxa"/>
            <w:tcBorders>
              <w:top w:val="single" w:color="auto" w:sz="4" w:space="0"/>
              <w:left w:val="nil"/>
              <w:bottom w:val="single" w:color="auto" w:sz="4" w:space="0"/>
              <w:right w:val="single" w:color="auto" w:sz="4" w:space="0"/>
            </w:tcBorders>
            <w:noWrap w:val="0"/>
            <w:vAlign w:val="center"/>
          </w:tcPr>
          <w:p w14:paraId="181A6F5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评标原则与标准</w:t>
            </w:r>
          </w:p>
        </w:tc>
      </w:tr>
      <w:tr w14:paraId="78211F5A">
        <w:tblPrEx>
          <w:tblCellMar>
            <w:top w:w="0" w:type="dxa"/>
            <w:left w:w="108" w:type="dxa"/>
            <w:bottom w:w="0" w:type="dxa"/>
            <w:right w:w="108" w:type="dxa"/>
          </w:tblCellMar>
        </w:tblPrEx>
        <w:trPr>
          <w:trHeight w:val="385"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4F910A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tc>
        <w:tc>
          <w:tcPr>
            <w:tcW w:w="744" w:type="dxa"/>
            <w:tcBorders>
              <w:top w:val="single" w:color="auto" w:sz="4" w:space="0"/>
              <w:left w:val="nil"/>
              <w:bottom w:val="single" w:color="auto" w:sz="4" w:space="0"/>
              <w:right w:val="single" w:color="auto" w:sz="4" w:space="0"/>
            </w:tcBorders>
            <w:noWrap w:val="0"/>
            <w:vAlign w:val="center"/>
          </w:tcPr>
          <w:p w14:paraId="3ECE4F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7131" w:type="dxa"/>
            <w:tcBorders>
              <w:top w:val="single" w:color="auto" w:sz="4" w:space="0"/>
              <w:left w:val="nil"/>
              <w:bottom w:val="single" w:color="auto" w:sz="4" w:space="0"/>
              <w:right w:val="single" w:color="auto" w:sz="4" w:space="0"/>
            </w:tcBorders>
            <w:noWrap w:val="0"/>
            <w:vAlign w:val="center"/>
          </w:tcPr>
          <w:p w14:paraId="112013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文件要求且投标价格最低的投标报价为评标基准价，其价格分为满分。其他投标供应商的价格分统一按照下列公式计算：报价得分=（评标基准价/投标报价）×价格权值×100。</w:t>
            </w:r>
          </w:p>
          <w:p w14:paraId="567719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报价明显低于其他投标人</w:t>
            </w:r>
            <w:r>
              <w:rPr>
                <w:rFonts w:hint="eastAsia" w:ascii="宋体" w:hAnsi="宋体" w:eastAsia="宋体" w:cs="宋体"/>
                <w:b/>
                <w:bCs/>
                <w:color w:val="auto"/>
                <w:sz w:val="24"/>
                <w:szCs w:val="24"/>
                <w:highlight w:val="none"/>
                <w:lang w:val="en-US" w:eastAsia="zh-CN"/>
              </w:rPr>
              <w:t>或市场均价</w:t>
            </w:r>
            <w:r>
              <w:rPr>
                <w:rFonts w:hint="eastAsia" w:ascii="宋体" w:hAnsi="宋体" w:eastAsia="宋体" w:cs="宋体"/>
                <w:b/>
                <w:bCs/>
                <w:color w:val="auto"/>
                <w:sz w:val="24"/>
                <w:szCs w:val="24"/>
                <w:highlight w:val="none"/>
              </w:rPr>
              <w:t>，经评标委员会质询后不能</w:t>
            </w:r>
            <w:r>
              <w:rPr>
                <w:rFonts w:hint="eastAsia" w:ascii="宋体" w:hAnsi="宋体" w:eastAsia="宋体" w:cs="宋体"/>
                <w:b/>
                <w:bCs/>
                <w:color w:val="auto"/>
                <w:sz w:val="24"/>
                <w:szCs w:val="24"/>
                <w:highlight w:val="none"/>
                <w:lang w:val="en-US" w:eastAsia="zh-CN"/>
              </w:rPr>
              <w:t>在</w:t>
            </w:r>
            <w:r>
              <w:rPr>
                <w:rFonts w:hint="eastAsia" w:ascii="宋体" w:hAnsi="宋体" w:eastAsia="宋体" w:cs="宋体"/>
                <w:b/>
                <w:bCs/>
                <w:color w:val="auto"/>
                <w:sz w:val="24"/>
                <w:szCs w:val="24"/>
                <w:highlight w:val="none"/>
              </w:rPr>
              <w:t>规定时间内说明理由，或说明理由但评标委员会认为理由不能成立的，客观上形成不良竞争，按无效</w:t>
            </w:r>
            <w:r>
              <w:rPr>
                <w:rFonts w:hint="eastAsia" w:ascii="宋体" w:hAnsi="宋体" w:eastAsia="宋体" w:cs="宋体"/>
                <w:b/>
                <w:bCs/>
                <w:color w:val="auto"/>
                <w:sz w:val="24"/>
                <w:szCs w:val="24"/>
                <w:highlight w:val="none"/>
                <w:lang w:val="en-US" w:eastAsia="zh-CN"/>
              </w:rPr>
              <w:t>文件</w:t>
            </w:r>
            <w:r>
              <w:rPr>
                <w:rFonts w:hint="eastAsia" w:ascii="宋体" w:hAnsi="宋体" w:eastAsia="宋体" w:cs="宋体"/>
                <w:b/>
                <w:bCs/>
                <w:color w:val="auto"/>
                <w:sz w:val="24"/>
                <w:szCs w:val="24"/>
                <w:highlight w:val="none"/>
              </w:rPr>
              <w:t>处理。</w:t>
            </w:r>
          </w:p>
        </w:tc>
      </w:tr>
      <w:tr w14:paraId="57B528EE">
        <w:tblPrEx>
          <w:tblCellMar>
            <w:top w:w="0" w:type="dxa"/>
            <w:left w:w="108" w:type="dxa"/>
            <w:bottom w:w="0" w:type="dxa"/>
            <w:right w:w="108" w:type="dxa"/>
          </w:tblCellMar>
        </w:tblPrEx>
        <w:trPr>
          <w:trHeight w:val="385"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08355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w:t>
            </w:r>
          </w:p>
        </w:tc>
        <w:tc>
          <w:tcPr>
            <w:tcW w:w="744" w:type="dxa"/>
            <w:tcBorders>
              <w:top w:val="single" w:color="auto" w:sz="4" w:space="0"/>
              <w:left w:val="nil"/>
              <w:bottom w:val="single" w:color="auto" w:sz="4" w:space="0"/>
              <w:right w:val="single" w:color="auto" w:sz="4" w:space="0"/>
            </w:tcBorders>
            <w:noWrap w:val="0"/>
            <w:vAlign w:val="center"/>
          </w:tcPr>
          <w:p w14:paraId="23255B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7131" w:type="dxa"/>
            <w:tcBorders>
              <w:top w:val="single" w:color="auto" w:sz="4" w:space="0"/>
              <w:left w:val="nil"/>
              <w:bottom w:val="single" w:color="auto" w:sz="4" w:space="0"/>
              <w:right w:val="single" w:color="auto" w:sz="4" w:space="0"/>
            </w:tcBorders>
            <w:noWrap w:val="0"/>
            <w:vAlign w:val="center"/>
          </w:tcPr>
          <w:p w14:paraId="72B4A9C3">
            <w:pPr>
              <w:keepNext w:val="0"/>
              <w:keepLines w:val="0"/>
              <w:pageBreakBefore w:val="0"/>
              <w:widowControl w:val="0"/>
              <w:suppressLineNumbers w:val="0"/>
              <w:tabs>
                <w:tab w:val="left" w:pos="709"/>
              </w:tabs>
              <w:kinsoku/>
              <w:wordWrap/>
              <w:overflowPunct/>
              <w:topLinePunct w:val="0"/>
              <w:autoSpaceDE/>
              <w:autoSpaceDN/>
              <w:bidi w:val="0"/>
              <w:adjustRightInd w:val="0"/>
              <w:snapToGrid w:val="0"/>
              <w:spacing w:before="0" w:beforeAutospacing="0" w:after="0" w:afterAutospacing="0" w:line="440" w:lineRule="exact"/>
              <w:ind w:left="0" w:right="0" w:rightChars="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对</w:t>
            </w:r>
            <w:r>
              <w:rPr>
                <w:rFonts w:hint="eastAsia" w:ascii="宋体" w:hAnsi="宋体" w:eastAsia="宋体" w:cs="宋体"/>
                <w:b w:val="0"/>
                <w:bCs w:val="0"/>
                <w:color w:val="auto"/>
                <w:sz w:val="24"/>
                <w:szCs w:val="24"/>
                <w:highlight w:val="none"/>
                <w:lang w:val="en-US" w:eastAsia="zh-CN"/>
              </w:rPr>
              <w:t>合同履行</w:t>
            </w:r>
            <w:r>
              <w:rPr>
                <w:rFonts w:hint="eastAsia" w:ascii="宋体" w:hAnsi="宋体" w:eastAsia="宋体" w:cs="宋体"/>
                <w:b w:val="0"/>
                <w:bCs w:val="0"/>
                <w:color w:val="auto"/>
                <w:sz w:val="24"/>
                <w:szCs w:val="24"/>
                <w:highlight w:val="none"/>
                <w:lang w:eastAsia="zh-CN"/>
              </w:rPr>
              <w:t>期、质保期、付款方式、验收等商务要求进行响应，完全响应要求并逐条说明的计</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分，未做详细响应的，按响应程度计1</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分。</w:t>
            </w:r>
          </w:p>
        </w:tc>
      </w:tr>
      <w:tr w14:paraId="1B350578">
        <w:tblPrEx>
          <w:tblCellMar>
            <w:top w:w="0" w:type="dxa"/>
            <w:left w:w="108" w:type="dxa"/>
            <w:bottom w:w="0" w:type="dxa"/>
            <w:right w:w="108" w:type="dxa"/>
          </w:tblCellMar>
        </w:tblPrEx>
        <w:trPr>
          <w:trHeight w:val="9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3D9FF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总体方案</w:t>
            </w:r>
          </w:p>
        </w:tc>
        <w:tc>
          <w:tcPr>
            <w:tcW w:w="744" w:type="dxa"/>
            <w:tcBorders>
              <w:top w:val="single" w:color="auto" w:sz="4" w:space="0"/>
              <w:left w:val="nil"/>
              <w:bottom w:val="single" w:color="auto" w:sz="4" w:space="0"/>
              <w:right w:val="single" w:color="auto" w:sz="4" w:space="0"/>
            </w:tcBorders>
            <w:noWrap w:val="0"/>
            <w:vAlign w:val="center"/>
          </w:tcPr>
          <w:p w14:paraId="7F0BA8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131" w:type="dxa"/>
            <w:tcBorders>
              <w:top w:val="single" w:color="auto" w:sz="4" w:space="0"/>
              <w:left w:val="nil"/>
              <w:bottom w:val="single" w:color="auto" w:sz="4" w:space="0"/>
              <w:right w:val="single" w:color="auto" w:sz="4" w:space="0"/>
            </w:tcBorders>
            <w:noWrap w:val="0"/>
            <w:vAlign w:val="center"/>
          </w:tcPr>
          <w:p w14:paraId="6AC727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供应商根据采购需求和项目具体内容制定详尽、完善的整体技术方案。方案紧密契合本项目特点与实际需求，包括但不限于①需求调研；②技术架构；③产品选型。</w:t>
            </w:r>
          </w:p>
          <w:p w14:paraId="22C5B6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以上三项内容每一项内容满分2分，共计6分。其中每缺少一项内容扣2分，每有一项内容有一个缺陷扣1分，扣完2分为止，不提供不得分。</w:t>
            </w:r>
          </w:p>
          <w:p w14:paraId="68D75E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r>
              <w:rPr>
                <w:rFonts w:hint="eastAsia" w:ascii="宋体" w:hAnsi="宋体" w:eastAsia="宋体" w:cs="宋体"/>
                <w:b w:val="0"/>
                <w:bCs/>
                <w:color w:val="auto"/>
                <w:sz w:val="24"/>
                <w:szCs w:val="24"/>
                <w:lang w:eastAsia="zh-CN"/>
              </w:rPr>
              <w:t>）</w:t>
            </w:r>
          </w:p>
        </w:tc>
      </w:tr>
      <w:tr w14:paraId="2CB582AC">
        <w:tblPrEx>
          <w:tblCellMar>
            <w:top w:w="0" w:type="dxa"/>
            <w:left w:w="108" w:type="dxa"/>
            <w:bottom w:w="0" w:type="dxa"/>
            <w:right w:w="108" w:type="dxa"/>
          </w:tblCellMar>
        </w:tblPrEx>
        <w:trPr>
          <w:trHeight w:val="475"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24FE42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实施组织方案</w:t>
            </w:r>
          </w:p>
        </w:tc>
        <w:tc>
          <w:tcPr>
            <w:tcW w:w="744" w:type="dxa"/>
            <w:tcBorders>
              <w:top w:val="single" w:color="auto" w:sz="4" w:space="0"/>
              <w:left w:val="nil"/>
              <w:bottom w:val="single" w:color="auto" w:sz="4" w:space="0"/>
              <w:right w:val="single" w:color="auto" w:sz="4" w:space="0"/>
            </w:tcBorders>
            <w:noWrap w:val="0"/>
            <w:vAlign w:val="center"/>
          </w:tcPr>
          <w:p w14:paraId="705F4C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8</w:t>
            </w:r>
          </w:p>
        </w:tc>
        <w:tc>
          <w:tcPr>
            <w:tcW w:w="7131" w:type="dxa"/>
            <w:tcBorders>
              <w:top w:val="single" w:color="auto" w:sz="4" w:space="0"/>
              <w:left w:val="nil"/>
              <w:bottom w:val="single" w:color="auto" w:sz="4" w:space="0"/>
              <w:right w:val="single" w:color="auto" w:sz="4" w:space="0"/>
            </w:tcBorders>
            <w:noWrap w:val="0"/>
            <w:vAlign w:val="center"/>
          </w:tcPr>
          <w:p w14:paraId="4CEEFB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项目实施组织方案全面、描述准确、科学合理、能够保证项目全面高效按期完成，包括</w:t>
            </w:r>
            <w:r>
              <w:rPr>
                <w:rFonts w:hint="eastAsia" w:ascii="宋体" w:hAnsi="宋体" w:eastAsia="宋体" w:cs="宋体"/>
                <w:color w:val="auto"/>
                <w:sz w:val="24"/>
                <w:szCs w:val="24"/>
                <w:lang w:eastAsia="zh-CN"/>
              </w:rPr>
              <w:t>但不限于</w:t>
            </w:r>
            <w:r>
              <w:rPr>
                <w:rFonts w:hint="eastAsia" w:ascii="宋体" w:hAnsi="宋体" w:eastAsia="宋体" w:cs="宋体"/>
                <w:color w:val="auto"/>
                <w:sz w:val="24"/>
                <w:szCs w:val="24"/>
              </w:rPr>
              <w:t>①项目实施的组织管理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②项目实施（包括</w:t>
            </w:r>
            <w:r>
              <w:rPr>
                <w:rFonts w:hint="eastAsia" w:ascii="宋体" w:hAnsi="宋体" w:eastAsia="宋体" w:cs="宋体"/>
                <w:color w:val="auto"/>
                <w:sz w:val="24"/>
                <w:szCs w:val="24"/>
                <w:lang w:eastAsia="zh-CN"/>
              </w:rPr>
              <w:t>产品</w:t>
            </w:r>
            <w:r>
              <w:rPr>
                <w:rFonts w:hint="eastAsia" w:ascii="宋体" w:hAnsi="宋体" w:eastAsia="宋体" w:cs="宋体"/>
                <w:color w:val="auto"/>
                <w:sz w:val="24"/>
                <w:szCs w:val="24"/>
              </w:rPr>
              <w:t>供货、安装调试、试运行、测试、验收等内容）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③工作进度计划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④项目质量保障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⑤应急处置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⑥文档管理等方面</w:t>
            </w:r>
            <w:r>
              <w:rPr>
                <w:rFonts w:hint="eastAsia" w:ascii="宋体" w:hAnsi="宋体" w:eastAsia="宋体" w:cs="宋体"/>
                <w:color w:val="auto"/>
                <w:sz w:val="24"/>
                <w:szCs w:val="24"/>
                <w:lang w:eastAsia="zh-CN"/>
              </w:rPr>
              <w:t>。</w:t>
            </w:r>
          </w:p>
          <w:p w14:paraId="5060E6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以上六项内容每一项内容满分3分，共计18分。其中每缺少一项内容扣3分，每有一项内容有一个缺陷扣1分，扣完3分为止，不提供不得分。</w:t>
            </w:r>
          </w:p>
          <w:p w14:paraId="3F500C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r>
              <w:rPr>
                <w:rFonts w:hint="eastAsia" w:ascii="宋体" w:hAnsi="宋体" w:eastAsia="宋体" w:cs="宋体"/>
                <w:b w:val="0"/>
                <w:bCs/>
                <w:color w:val="auto"/>
                <w:sz w:val="24"/>
                <w:szCs w:val="24"/>
                <w:lang w:eastAsia="zh-CN"/>
              </w:rPr>
              <w:t>）</w:t>
            </w:r>
          </w:p>
        </w:tc>
      </w:tr>
      <w:tr w14:paraId="7E8F7DA1">
        <w:tblPrEx>
          <w:tblCellMar>
            <w:top w:w="0" w:type="dxa"/>
            <w:left w:w="108" w:type="dxa"/>
            <w:bottom w:w="0" w:type="dxa"/>
            <w:right w:w="108" w:type="dxa"/>
          </w:tblCellMar>
        </w:tblPrEx>
        <w:trPr>
          <w:trHeight w:val="134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0835C1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产品技术指标</w:t>
            </w:r>
          </w:p>
        </w:tc>
        <w:tc>
          <w:tcPr>
            <w:tcW w:w="744" w:type="dxa"/>
            <w:tcBorders>
              <w:top w:val="single" w:color="auto" w:sz="4" w:space="0"/>
              <w:left w:val="nil"/>
              <w:bottom w:val="single" w:color="auto" w:sz="4" w:space="0"/>
              <w:right w:val="single" w:color="auto" w:sz="4" w:space="0"/>
            </w:tcBorders>
            <w:noWrap w:val="0"/>
            <w:vAlign w:val="center"/>
          </w:tcPr>
          <w:p w14:paraId="618881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w:t>
            </w:r>
          </w:p>
        </w:tc>
        <w:tc>
          <w:tcPr>
            <w:tcW w:w="7131" w:type="dxa"/>
            <w:tcBorders>
              <w:top w:val="single" w:color="auto" w:sz="4" w:space="0"/>
              <w:left w:val="nil"/>
              <w:bottom w:val="single" w:color="auto" w:sz="4" w:space="0"/>
              <w:right w:val="single" w:color="auto" w:sz="4" w:space="0"/>
            </w:tcBorders>
            <w:noWrap w:val="0"/>
            <w:vAlign w:val="center"/>
          </w:tcPr>
          <w:p w14:paraId="6B6DD1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所投产品完全符合</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文件要求的得</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分，标</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color w:val="auto"/>
                <w:sz w:val="24"/>
                <w:szCs w:val="24"/>
              </w:rPr>
              <w:t>的参数每有一项不满足技术要求的扣2分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非标</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color w:val="auto"/>
                <w:sz w:val="24"/>
                <w:szCs w:val="24"/>
              </w:rPr>
              <w:t>参数每有一项不满足技术要求的扣1分</w:t>
            </w:r>
            <w:r>
              <w:rPr>
                <w:rFonts w:hint="eastAsia" w:ascii="宋体" w:hAnsi="宋体" w:eastAsia="宋体" w:cs="宋体"/>
                <w:color w:val="auto"/>
                <w:sz w:val="24"/>
                <w:szCs w:val="24"/>
                <w:lang w:eastAsia="zh-CN"/>
              </w:rPr>
              <w:t>，扣完为止</w:t>
            </w:r>
            <w:r>
              <w:rPr>
                <w:rFonts w:hint="eastAsia" w:ascii="宋体" w:hAnsi="宋体" w:eastAsia="宋体" w:cs="宋体"/>
                <w:color w:val="auto"/>
                <w:sz w:val="24"/>
                <w:szCs w:val="24"/>
              </w:rPr>
              <w:t>（需提供</w:t>
            </w:r>
            <w:r>
              <w:rPr>
                <w:rFonts w:hint="eastAsia" w:ascii="宋体" w:hAnsi="宋体" w:eastAsia="宋体" w:cs="宋体"/>
                <w:color w:val="auto"/>
                <w:sz w:val="24"/>
                <w:szCs w:val="24"/>
                <w:lang w:val="en-US" w:eastAsia="zh-CN"/>
              </w:rPr>
              <w:t>所</w:t>
            </w:r>
            <w:r>
              <w:rPr>
                <w:rFonts w:hint="eastAsia" w:ascii="宋体" w:hAnsi="宋体" w:eastAsia="宋体" w:cs="宋体"/>
                <w:color w:val="auto"/>
                <w:sz w:val="24"/>
                <w:szCs w:val="24"/>
                <w:lang w:eastAsia="zh-CN"/>
              </w:rPr>
              <w:t>投产品</w:t>
            </w:r>
            <w:r>
              <w:rPr>
                <w:rFonts w:hint="eastAsia" w:ascii="宋体" w:hAnsi="宋体" w:eastAsia="宋体" w:cs="宋体"/>
                <w:color w:val="auto"/>
                <w:sz w:val="24"/>
                <w:szCs w:val="24"/>
              </w:rPr>
              <w:t>相关证明材料，证明材料包括但不限于检测报告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系统功能截图</w:t>
            </w:r>
            <w:r>
              <w:rPr>
                <w:rFonts w:hint="eastAsia" w:ascii="宋体" w:hAnsi="宋体" w:eastAsia="宋体" w:cs="宋体"/>
                <w:color w:val="auto"/>
                <w:sz w:val="24"/>
                <w:szCs w:val="24"/>
                <w:lang w:eastAsia="zh-CN"/>
              </w:rPr>
              <w:t>、产品彩页、生产厂家出具的功能证明材料）</w:t>
            </w:r>
          </w:p>
        </w:tc>
      </w:tr>
      <w:tr w14:paraId="2A2E2DC2">
        <w:tblPrEx>
          <w:tblCellMar>
            <w:top w:w="0" w:type="dxa"/>
            <w:left w:w="108" w:type="dxa"/>
            <w:bottom w:w="0" w:type="dxa"/>
            <w:right w:w="108" w:type="dxa"/>
          </w:tblCellMar>
        </w:tblPrEx>
        <w:trPr>
          <w:trHeight w:val="501"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212496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质量保证</w:t>
            </w:r>
          </w:p>
        </w:tc>
        <w:tc>
          <w:tcPr>
            <w:tcW w:w="744" w:type="dxa"/>
            <w:tcBorders>
              <w:top w:val="single" w:color="auto" w:sz="4" w:space="0"/>
              <w:left w:val="nil"/>
              <w:bottom w:val="single" w:color="auto" w:sz="4" w:space="0"/>
              <w:right w:val="single" w:color="auto" w:sz="4" w:space="0"/>
            </w:tcBorders>
            <w:noWrap w:val="0"/>
            <w:vAlign w:val="center"/>
          </w:tcPr>
          <w:p w14:paraId="2ED59B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7131" w:type="dxa"/>
            <w:tcBorders>
              <w:top w:val="single" w:color="auto" w:sz="4" w:space="0"/>
              <w:left w:val="nil"/>
              <w:bottom w:val="single" w:color="auto" w:sz="4" w:space="0"/>
              <w:right w:val="single" w:color="auto" w:sz="4" w:space="0"/>
            </w:tcBorders>
            <w:noWrap w:val="0"/>
            <w:vAlign w:val="center"/>
          </w:tcPr>
          <w:p w14:paraId="2A636F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核心产品来源渠道合法，符合使用需求，并能提供相应的证明材料(包括但不限于产品制造商授权、代理协议、销售协议等)，每提供一份</w:t>
            </w:r>
            <w:r>
              <w:rPr>
                <w:rFonts w:hint="eastAsia" w:ascii="宋体" w:hAnsi="宋体" w:cs="宋体"/>
                <w:color w:val="auto"/>
                <w:sz w:val="24"/>
                <w:szCs w:val="24"/>
                <w:lang w:val="en-US" w:eastAsia="zh-CN"/>
              </w:rPr>
              <w:t>核心产品的</w:t>
            </w:r>
            <w:r>
              <w:rPr>
                <w:rFonts w:hint="eastAsia" w:ascii="宋体" w:hAnsi="宋体" w:eastAsia="宋体" w:cs="宋体"/>
                <w:color w:val="auto"/>
                <w:sz w:val="24"/>
                <w:szCs w:val="24"/>
                <w:lang w:val="en-US" w:eastAsia="zh-CN"/>
              </w:rPr>
              <w:t>证明文件得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分，满分</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分，不提供不得分。</w:t>
            </w:r>
          </w:p>
        </w:tc>
      </w:tr>
      <w:tr w14:paraId="6C4D69EE">
        <w:tblPrEx>
          <w:tblCellMar>
            <w:top w:w="0" w:type="dxa"/>
            <w:left w:w="108" w:type="dxa"/>
            <w:bottom w:w="0" w:type="dxa"/>
            <w:right w:w="108" w:type="dxa"/>
          </w:tblCellMar>
        </w:tblPrEx>
        <w:trPr>
          <w:trHeight w:val="76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45E4B0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履约及技术服务能力   </w:t>
            </w:r>
          </w:p>
        </w:tc>
        <w:tc>
          <w:tcPr>
            <w:tcW w:w="744" w:type="dxa"/>
            <w:tcBorders>
              <w:top w:val="single" w:color="auto" w:sz="4" w:space="0"/>
              <w:left w:val="nil"/>
              <w:bottom w:val="single" w:color="auto" w:sz="4" w:space="0"/>
              <w:right w:val="single" w:color="auto" w:sz="4" w:space="0"/>
            </w:tcBorders>
            <w:noWrap w:val="0"/>
            <w:vAlign w:val="center"/>
          </w:tcPr>
          <w:p w14:paraId="1D67FC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7131" w:type="dxa"/>
            <w:tcBorders>
              <w:top w:val="single" w:color="auto" w:sz="4" w:space="0"/>
              <w:left w:val="nil"/>
              <w:bottom w:val="single" w:color="auto" w:sz="4" w:space="0"/>
              <w:right w:val="single" w:color="auto" w:sz="4" w:space="0"/>
            </w:tcBorders>
            <w:noWrap w:val="0"/>
            <w:vAlign w:val="center"/>
          </w:tcPr>
          <w:p w14:paraId="267A90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项目团队需配备项目经理或项目管理，并具有信息化类等专业的中级及以上职称，得2分；</w:t>
            </w:r>
            <w:r>
              <w:rPr>
                <w:rFonts w:hint="eastAsia" w:ascii="宋体" w:hAnsi="宋体" w:eastAsia="宋体" w:cs="宋体"/>
                <w:color w:val="auto"/>
                <w:sz w:val="24"/>
                <w:szCs w:val="24"/>
                <w:u w:val="none"/>
                <w:lang w:val="en-US" w:eastAsia="zh-CN"/>
              </w:rPr>
              <w:t>配备至少1名网络中级及以上工</w:t>
            </w:r>
            <w:r>
              <w:rPr>
                <w:rFonts w:hint="eastAsia" w:ascii="宋体" w:hAnsi="宋体" w:eastAsia="宋体" w:cs="宋体"/>
                <w:color w:val="auto"/>
                <w:sz w:val="24"/>
                <w:szCs w:val="24"/>
                <w:lang w:val="en-US" w:eastAsia="zh-CN"/>
              </w:rPr>
              <w:t>程师，得2分，</w:t>
            </w:r>
            <w:r>
              <w:rPr>
                <w:rFonts w:hint="eastAsia" w:ascii="宋体" w:hAnsi="宋体" w:eastAsia="宋体" w:cs="宋体"/>
                <w:color w:val="auto"/>
                <w:sz w:val="24"/>
                <w:szCs w:val="24"/>
                <w:lang w:eastAsia="zh-CN"/>
              </w:rPr>
              <w:t>未</w:t>
            </w: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提供证明资料不全</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不得分。</w:t>
            </w:r>
          </w:p>
          <w:p w14:paraId="2E8E84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注：响应文件中需同时提供以上人员以下信息：</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lang w:val="en-US" w:eastAsia="zh-CN"/>
              </w:rPr>
              <w:t>人员身份证、职称证和其他相关证书扫描件，加盖供应商公章；②本单位缴纳的2025年度至今连续3个月的社保缴纳证明材料。</w:t>
            </w:r>
          </w:p>
        </w:tc>
      </w:tr>
      <w:tr w14:paraId="4B0CE7CB">
        <w:tblPrEx>
          <w:tblCellMar>
            <w:top w:w="0" w:type="dxa"/>
            <w:left w:w="108" w:type="dxa"/>
            <w:bottom w:w="0" w:type="dxa"/>
            <w:right w:w="108" w:type="dxa"/>
          </w:tblCellMar>
        </w:tblPrEx>
        <w:trPr>
          <w:trHeight w:val="76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4DD042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售后服务方案</w:t>
            </w:r>
          </w:p>
        </w:tc>
        <w:tc>
          <w:tcPr>
            <w:tcW w:w="744" w:type="dxa"/>
            <w:tcBorders>
              <w:top w:val="single" w:color="auto" w:sz="4" w:space="0"/>
              <w:left w:val="nil"/>
              <w:bottom w:val="single" w:color="auto" w:sz="4" w:space="0"/>
              <w:right w:val="single" w:color="auto" w:sz="4" w:space="0"/>
            </w:tcBorders>
            <w:noWrap w:val="0"/>
            <w:vAlign w:val="center"/>
          </w:tcPr>
          <w:p w14:paraId="1454E5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7131" w:type="dxa"/>
            <w:tcBorders>
              <w:top w:val="single" w:color="auto" w:sz="4" w:space="0"/>
              <w:left w:val="nil"/>
              <w:bottom w:val="single" w:color="auto" w:sz="4" w:space="0"/>
              <w:right w:val="single" w:color="auto" w:sz="4" w:space="0"/>
            </w:tcBorders>
            <w:noWrap w:val="0"/>
            <w:vAlign w:val="center"/>
          </w:tcPr>
          <w:p w14:paraId="23A92D9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健全的售后维保服务及相关机构，能够保证及时提供售后服务和维修，售后服务方案详细、具体可行，方案内容包括但不限于①具备完善的人员配置；②保修内容和范围；③维修响应时间和维修保障措施；④远程指导和定期回访调查。</w:t>
            </w:r>
          </w:p>
          <w:p w14:paraId="40B5AB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以上四项内容每一项内容满分2分，共计8分。其中每缺少一项内容扣2分，每有一项内容有一个缺陷扣1分，扣完2分为止，不提供不得分。</w:t>
            </w:r>
          </w:p>
          <w:p w14:paraId="3B1DD9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r>
              <w:rPr>
                <w:rFonts w:hint="eastAsia" w:ascii="宋体" w:hAnsi="宋体" w:eastAsia="宋体" w:cs="宋体"/>
                <w:b w:val="0"/>
                <w:bCs/>
                <w:color w:val="auto"/>
                <w:sz w:val="24"/>
                <w:szCs w:val="24"/>
                <w:lang w:eastAsia="zh-CN"/>
              </w:rPr>
              <w:t>）</w:t>
            </w:r>
          </w:p>
        </w:tc>
      </w:tr>
      <w:tr w14:paraId="728A2FAB">
        <w:tblPrEx>
          <w:tblCellMar>
            <w:top w:w="0" w:type="dxa"/>
            <w:left w:w="108" w:type="dxa"/>
            <w:bottom w:w="0" w:type="dxa"/>
            <w:right w:w="108" w:type="dxa"/>
          </w:tblCellMar>
        </w:tblPrEx>
        <w:trPr>
          <w:trHeight w:val="76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4DD2EC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培训方案</w:t>
            </w:r>
          </w:p>
        </w:tc>
        <w:tc>
          <w:tcPr>
            <w:tcW w:w="744" w:type="dxa"/>
            <w:tcBorders>
              <w:top w:val="single" w:color="auto" w:sz="4" w:space="0"/>
              <w:left w:val="nil"/>
              <w:bottom w:val="single" w:color="auto" w:sz="4" w:space="0"/>
              <w:right w:val="single" w:color="auto" w:sz="4" w:space="0"/>
            </w:tcBorders>
            <w:noWrap w:val="0"/>
            <w:vAlign w:val="center"/>
          </w:tcPr>
          <w:p w14:paraId="2085ED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131" w:type="dxa"/>
            <w:tcBorders>
              <w:top w:val="single" w:color="auto" w:sz="4" w:space="0"/>
              <w:left w:val="nil"/>
              <w:bottom w:val="single" w:color="auto" w:sz="4" w:space="0"/>
              <w:right w:val="single" w:color="auto" w:sz="4" w:space="0"/>
            </w:tcBorders>
            <w:noWrap w:val="0"/>
            <w:vAlign w:val="center"/>
          </w:tcPr>
          <w:p w14:paraId="22032730">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提供详尽的培训方案及培训计划，并列出培训的具体内容及方式（包括但不限于：</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val="zh-CN"/>
              </w:rPr>
              <w:t>培训内容；</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zh-CN"/>
              </w:rPr>
              <w:t>培训</w:t>
            </w:r>
            <w:r>
              <w:rPr>
                <w:rFonts w:hint="eastAsia" w:ascii="宋体" w:hAnsi="宋体" w:eastAsia="宋体" w:cs="宋体"/>
                <w:color w:val="auto"/>
                <w:sz w:val="24"/>
                <w:szCs w:val="24"/>
                <w:highlight w:val="none"/>
                <w:lang w:val="zh-CN" w:eastAsia="zh-CN"/>
              </w:rPr>
              <w:t>方式</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val="zh-CN"/>
              </w:rPr>
              <w:t>培训对象及课程安排等），保证使用单位能熟练操作维护和正常使用，并进行简单故障排查处理。</w:t>
            </w:r>
          </w:p>
          <w:p w14:paraId="197989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以上三项内容每一项内容满分2分，共计6分。其中每缺少一项内容扣2分，每有一项内容有一个缺陷扣1分，扣完2分为止，不提供不得分。</w:t>
            </w:r>
          </w:p>
          <w:p w14:paraId="1CC9D1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r>
              <w:rPr>
                <w:rFonts w:hint="eastAsia" w:ascii="宋体" w:hAnsi="宋体" w:eastAsia="宋体" w:cs="宋体"/>
                <w:b w:val="0"/>
                <w:bCs/>
                <w:color w:val="auto"/>
                <w:sz w:val="24"/>
                <w:szCs w:val="24"/>
                <w:lang w:eastAsia="zh-CN"/>
              </w:rPr>
              <w:t>）</w:t>
            </w:r>
          </w:p>
        </w:tc>
      </w:tr>
      <w:tr w14:paraId="3EB0D694">
        <w:tblPrEx>
          <w:tblCellMar>
            <w:top w:w="0" w:type="dxa"/>
            <w:left w:w="108" w:type="dxa"/>
            <w:bottom w:w="0" w:type="dxa"/>
            <w:right w:w="108" w:type="dxa"/>
          </w:tblCellMar>
        </w:tblPrEx>
        <w:trPr>
          <w:trHeight w:val="505"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9C573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744" w:type="dxa"/>
            <w:tcBorders>
              <w:top w:val="single" w:color="auto" w:sz="4" w:space="0"/>
              <w:left w:val="nil"/>
              <w:bottom w:val="single" w:color="auto" w:sz="4" w:space="0"/>
              <w:right w:val="single" w:color="auto" w:sz="4" w:space="0"/>
            </w:tcBorders>
            <w:noWrap w:val="0"/>
            <w:vAlign w:val="center"/>
          </w:tcPr>
          <w:p w14:paraId="4E8BD5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7131" w:type="dxa"/>
            <w:tcBorders>
              <w:top w:val="single" w:color="auto" w:sz="4" w:space="0"/>
              <w:left w:val="nil"/>
              <w:bottom w:val="single" w:color="auto" w:sz="4" w:space="0"/>
              <w:right w:val="single" w:color="auto" w:sz="4" w:space="0"/>
            </w:tcBorders>
            <w:noWrap w:val="0"/>
            <w:vAlign w:val="center"/>
          </w:tcPr>
          <w:p w14:paraId="47F126C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投标人提供近三年（20</w:t>
            </w:r>
            <w:r>
              <w:rPr>
                <w:rFonts w:hint="eastAsia" w:ascii="宋体" w:hAnsi="宋体" w:eastAsia="宋体" w:cs="宋体"/>
                <w:color w:val="auto"/>
                <w:sz w:val="24"/>
                <w:szCs w:val="24"/>
                <w:highlight w:val="none"/>
                <w:lang w:val="en-US" w:eastAsia="zh-CN"/>
              </w:rPr>
              <w:t>22年12月</w:t>
            </w:r>
            <w:r>
              <w:rPr>
                <w:rFonts w:hint="eastAsia" w:ascii="宋体" w:hAnsi="宋体" w:eastAsia="宋体" w:cs="宋体"/>
                <w:color w:val="auto"/>
                <w:sz w:val="24"/>
                <w:szCs w:val="24"/>
                <w:highlight w:val="none"/>
              </w:rPr>
              <w:t>至今）承担过的</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rPr>
              <w:t>项目合同为评审依据，每提供一份得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分，本项合计最高</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分，不提供不得分。注：以加盖单位公章的合同复印件为准，否则此项不得分。</w:t>
            </w:r>
          </w:p>
        </w:tc>
      </w:tr>
    </w:tbl>
    <w:p w14:paraId="00889F97">
      <w:pPr>
        <w:spacing w:line="360" w:lineRule="auto"/>
        <w:rPr>
          <w:rFonts w:hint="eastAsia" w:cs="宋体" w:asciiTheme="minorEastAsia" w:hAnsiTheme="minorEastAsia" w:eastAsiaTheme="minorEastAsia"/>
          <w:b/>
          <w:bCs/>
          <w:color w:val="auto"/>
          <w:sz w:val="24"/>
          <w:szCs w:val="24"/>
        </w:rPr>
      </w:pPr>
    </w:p>
    <w:p w14:paraId="5A836FF0">
      <w:pPr>
        <w:spacing w:line="360" w:lineRule="auto"/>
        <w:rPr>
          <w:rFonts w:cs="宋体" w:asciiTheme="minorEastAsia" w:hAnsiTheme="minorEastAsia" w:eastAsiaTheme="minorEastAsia"/>
          <w:bCs/>
          <w:color w:val="auto"/>
          <w:sz w:val="24"/>
          <w:szCs w:val="24"/>
        </w:rPr>
      </w:pPr>
      <w:r>
        <w:rPr>
          <w:rFonts w:hint="eastAsia" w:cs="宋体" w:asciiTheme="minorEastAsia" w:hAnsiTheme="minorEastAsia" w:eastAsiaTheme="minorEastAsia"/>
          <w:b/>
          <w:bCs/>
          <w:color w:val="auto"/>
          <w:sz w:val="24"/>
          <w:szCs w:val="24"/>
        </w:rPr>
        <w:t>备注</w:t>
      </w:r>
      <w:r>
        <w:rPr>
          <w:rFonts w:hint="eastAsia" w:cs="宋体" w:asciiTheme="minorEastAsia" w:hAnsiTheme="minorEastAsia" w:eastAsiaTheme="minorEastAsia"/>
          <w:bCs/>
          <w:color w:val="auto"/>
          <w:sz w:val="24"/>
          <w:szCs w:val="24"/>
        </w:rPr>
        <w:t>：</w:t>
      </w:r>
    </w:p>
    <w:p w14:paraId="13A34A95">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1.</w:t>
      </w:r>
      <w:r>
        <w:rPr>
          <w:rFonts w:hint="eastAsia" w:ascii="宋体" w:hAnsi="宋体" w:cs="宋体"/>
          <w:bCs/>
          <w:color w:val="auto"/>
          <w:sz w:val="24"/>
          <w:szCs w:val="24"/>
        </w:rPr>
        <w:t>以上各项打分均由</w:t>
      </w:r>
      <w:r>
        <w:rPr>
          <w:rFonts w:hint="eastAsia" w:ascii="宋体" w:hAnsi="宋体" w:cs="宋体"/>
          <w:bCs/>
          <w:color w:val="auto"/>
          <w:sz w:val="24"/>
          <w:szCs w:val="24"/>
          <w:lang w:val="en-US" w:eastAsia="zh-CN"/>
        </w:rPr>
        <w:t>磋商小组成员</w:t>
      </w:r>
      <w:r>
        <w:rPr>
          <w:rFonts w:hint="eastAsia" w:ascii="宋体" w:hAnsi="宋体" w:cs="宋体"/>
          <w:bCs/>
          <w:color w:val="auto"/>
          <w:sz w:val="24"/>
          <w:szCs w:val="24"/>
        </w:rPr>
        <w:t>独立评分，评分相邻两档之间的得分，归属于较低一档</w:t>
      </w:r>
      <w:r>
        <w:rPr>
          <w:rFonts w:hint="eastAsia" w:ascii="宋体" w:hAnsi="宋体" w:cs="宋体"/>
          <w:bCs/>
          <w:color w:val="auto"/>
          <w:sz w:val="24"/>
          <w:szCs w:val="24"/>
          <w:lang w:eastAsia="zh-CN"/>
        </w:rPr>
        <w:t>，</w:t>
      </w:r>
      <w:r>
        <w:rPr>
          <w:rFonts w:hint="eastAsia" w:ascii="宋体" w:hAnsi="宋体" w:cs="宋体"/>
          <w:bCs/>
          <w:color w:val="auto"/>
          <w:sz w:val="24"/>
          <w:szCs w:val="24"/>
        </w:rPr>
        <w:t>两档之间可取小数点进行打分，按评审后综合得分由高到低推荐一至三名中标候选人。</w:t>
      </w:r>
    </w:p>
    <w:p w14:paraId="43F2A190">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2.</w:t>
      </w:r>
      <w:r>
        <w:rPr>
          <w:rFonts w:hint="eastAsia" w:ascii="宋体" w:hAnsi="宋体" w:eastAsia="宋体" w:cs="宋体"/>
          <w:color w:val="auto"/>
          <w:kern w:val="2"/>
          <w:sz w:val="24"/>
          <w:szCs w:val="24"/>
          <w:lang w:val="en-US" w:eastAsia="zh-CN" w:bidi="ar"/>
        </w:rPr>
        <w:t>对专门面向中小企业采购项目，不</w:t>
      </w:r>
      <w:r>
        <w:rPr>
          <w:rFonts w:hint="eastAsia" w:ascii="宋体" w:hAnsi="宋体" w:cs="宋体"/>
          <w:color w:val="auto"/>
          <w:kern w:val="2"/>
          <w:sz w:val="24"/>
          <w:szCs w:val="24"/>
          <w:lang w:val="en-US" w:eastAsia="zh-CN" w:bidi="ar"/>
        </w:rPr>
        <w:t>再</w:t>
      </w:r>
      <w:r>
        <w:rPr>
          <w:rFonts w:hint="eastAsia" w:ascii="宋体" w:hAnsi="宋体" w:eastAsia="宋体" w:cs="宋体"/>
          <w:color w:val="auto"/>
          <w:kern w:val="2"/>
          <w:sz w:val="24"/>
          <w:szCs w:val="24"/>
          <w:lang w:val="en-US" w:eastAsia="zh-CN" w:bidi="ar"/>
        </w:rPr>
        <w:t>执行价格扣除政策。</w:t>
      </w:r>
      <w:r>
        <w:rPr>
          <w:rFonts w:hint="eastAsia" w:ascii="宋体" w:hAnsi="宋体" w:eastAsia="宋体" w:cs="宋体"/>
          <w:bCs/>
          <w:color w:val="auto"/>
          <w:sz w:val="24"/>
          <w:szCs w:val="24"/>
        </w:rPr>
        <w:t>对于非专门面向中小企业的项目，对小型和微型企业产品的价格给予</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的扣除，用扣除后的价格参与评审</w:t>
      </w:r>
      <w:r>
        <w:rPr>
          <w:rFonts w:hint="eastAsia" w:ascii="宋体" w:hAnsi="宋体" w:eastAsia="宋体" w:cs="宋体"/>
          <w:bCs/>
          <w:color w:val="auto"/>
          <w:sz w:val="24"/>
          <w:szCs w:val="24"/>
          <w:lang w:eastAsia="zh-CN"/>
        </w:rPr>
        <w:t>。</w:t>
      </w:r>
    </w:p>
    <w:p w14:paraId="3126D33C">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3.</w:t>
      </w:r>
      <w:r>
        <w:rPr>
          <w:rFonts w:hint="eastAsia" w:ascii="宋体" w:hAnsi="宋体" w:cs="宋体"/>
          <w:bCs/>
          <w:color w:val="auto"/>
          <w:sz w:val="24"/>
          <w:szCs w:val="24"/>
        </w:rPr>
        <w:t>对于非专门面向中小企业的项目、残疾人福利性单位的项目，对小型和微型企业，残疾人福利性单位产品的价格给予10%的扣除，用扣除后的价格参与评审，残疾人福利性单位属于小型、微型企业的，不重复享受政策；</w:t>
      </w:r>
    </w:p>
    <w:p w14:paraId="78A54A06">
      <w:pPr>
        <w:spacing w:line="336" w:lineRule="auto"/>
        <w:ind w:firstLine="600" w:firstLineChars="250"/>
        <w:rPr>
          <w:rFonts w:hint="eastAsia" w:ascii="宋体" w:hAnsi="宋体" w:cs="宋体"/>
          <w:bCs/>
          <w:color w:val="auto"/>
          <w:sz w:val="24"/>
          <w:szCs w:val="24"/>
          <w:lang w:eastAsia="zh-CN"/>
        </w:rPr>
      </w:pPr>
      <w:r>
        <w:rPr>
          <w:rFonts w:hint="eastAsia" w:ascii="宋体" w:hAnsi="宋体" w:eastAsia="宋体" w:cs="Times New Roman"/>
          <w:bCs/>
          <w:color w:val="auto"/>
          <w:kern w:val="2"/>
          <w:sz w:val="24"/>
          <w:szCs w:val="24"/>
          <w:lang w:val="en-US" w:eastAsia="zh-CN" w:bidi="ar"/>
        </w:rPr>
        <w:t>4.投标人提供</w:t>
      </w:r>
      <w:r>
        <w:rPr>
          <w:rFonts w:hint="eastAsia" w:cs="Times New Roman"/>
          <w:bCs/>
          <w:color w:val="auto"/>
          <w:kern w:val="2"/>
          <w:sz w:val="24"/>
          <w:szCs w:val="24"/>
          <w:highlight w:val="none"/>
          <w:lang w:val="en-US" w:eastAsia="zh-CN" w:bidi="ar"/>
        </w:rPr>
        <w:t>核心产品</w:t>
      </w:r>
      <w:r>
        <w:rPr>
          <w:rFonts w:hint="eastAsia" w:ascii="宋体" w:hAnsi="宋体" w:eastAsia="宋体" w:cs="Times New Roman"/>
          <w:bCs/>
          <w:color w:val="auto"/>
          <w:kern w:val="2"/>
          <w:sz w:val="24"/>
          <w:szCs w:val="24"/>
          <w:highlight w:val="none"/>
          <w:lang w:val="en-US" w:eastAsia="zh-CN" w:bidi="ar"/>
        </w:rPr>
        <w:t>相同品牌</w:t>
      </w:r>
      <w:r>
        <w:rPr>
          <w:rFonts w:hint="eastAsia" w:ascii="宋体" w:hAnsi="宋体" w:eastAsia="宋体" w:cs="Times New Roman"/>
          <w:bCs/>
          <w:color w:val="auto"/>
          <w:kern w:val="2"/>
          <w:sz w:val="24"/>
          <w:szCs w:val="24"/>
          <w:lang w:val="en-US" w:eastAsia="zh-CN" w:bidi="ar"/>
        </w:rPr>
        <w:t>产品且通过资格审查、符合性审查的不同供应商参加同一合同项下投标的，按一家供应商计算，评审后得分最高的同品牌供应商获得成交人推荐资格；评审得分相同的，由专家组确定价格得分最高的一个供应商获得成交人推荐资格，其他同品牌供应商不作为成交候选人。</w:t>
      </w:r>
    </w:p>
    <w:p w14:paraId="6CEA47C6">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val="en-US" w:eastAsia="zh-CN"/>
        </w:rPr>
        <w:t>5.</w:t>
      </w:r>
      <w:r>
        <w:rPr>
          <w:rFonts w:hint="eastAsia" w:ascii="宋体" w:hAnsi="宋体" w:cs="宋体"/>
          <w:bCs/>
          <w:color w:val="auto"/>
          <w:sz w:val="24"/>
          <w:szCs w:val="24"/>
        </w:rPr>
        <w:t>《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14:paraId="23B313D5">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val="en-US" w:eastAsia="zh-CN"/>
        </w:rPr>
        <w:t>6</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磋商小组</w:t>
      </w:r>
      <w:r>
        <w:rPr>
          <w:rFonts w:hint="eastAsia" w:ascii="宋体" w:hAnsi="宋体" w:cs="宋体"/>
          <w:bCs/>
          <w:color w:val="auto"/>
          <w:sz w:val="24"/>
          <w:szCs w:val="24"/>
        </w:rPr>
        <w:t>认为投标人的报价明显低于其他通过符合性审查投标人的报价，有可能影响</w:t>
      </w:r>
      <w:r>
        <w:rPr>
          <w:rFonts w:hint="eastAsia" w:ascii="宋体" w:hAnsi="宋体" w:cs="宋体"/>
          <w:bCs/>
          <w:color w:val="auto"/>
          <w:sz w:val="24"/>
          <w:szCs w:val="24"/>
          <w:lang w:val="en-US" w:eastAsia="zh-CN"/>
        </w:rPr>
        <w:t>工程</w:t>
      </w:r>
      <w:r>
        <w:rPr>
          <w:rFonts w:hint="eastAsia" w:ascii="宋体" w:hAnsi="宋体" w:cs="宋体"/>
          <w:bCs/>
          <w:color w:val="auto"/>
          <w:sz w:val="24"/>
          <w:szCs w:val="24"/>
        </w:rPr>
        <w:t>质量或者不能诚信履约的，应当要求其在评标现场合理的时间内提供书面说明，必要时提交相关证明材料；投标人不能证明其报价合理性的，</w:t>
      </w:r>
      <w:r>
        <w:rPr>
          <w:rFonts w:hint="eastAsia" w:ascii="宋体" w:hAnsi="宋体" w:cs="宋体"/>
          <w:bCs/>
          <w:color w:val="auto"/>
          <w:sz w:val="24"/>
          <w:szCs w:val="24"/>
          <w:lang w:val="en-US" w:eastAsia="zh-CN"/>
        </w:rPr>
        <w:t>磋商小组</w:t>
      </w:r>
      <w:r>
        <w:rPr>
          <w:rFonts w:hint="eastAsia" w:ascii="宋体" w:hAnsi="宋体" w:cs="宋体"/>
          <w:bCs/>
          <w:color w:val="auto"/>
          <w:sz w:val="24"/>
          <w:szCs w:val="24"/>
        </w:rPr>
        <w:t>应当将其作为无效投标处理。</w:t>
      </w:r>
    </w:p>
    <w:p w14:paraId="70266FCE">
      <w:pPr>
        <w:spacing w:line="336" w:lineRule="auto"/>
        <w:ind w:firstLine="600" w:firstLineChars="250"/>
        <w:rPr>
          <w:rFonts w:hint="eastAsia" w:ascii="宋体" w:hAnsi="宋体" w:cs="宋体"/>
          <w:bCs/>
          <w:color w:val="auto"/>
          <w:sz w:val="24"/>
          <w:szCs w:val="24"/>
        </w:rPr>
        <w:sectPr>
          <w:pgSz w:w="11906" w:h="16838"/>
          <w:pgMar w:top="1417" w:right="1417" w:bottom="1417" w:left="1417" w:header="1134" w:footer="992" w:gutter="0"/>
          <w:pgBorders>
            <w:top w:val="none" w:sz="0" w:space="0"/>
            <w:left w:val="none" w:sz="0" w:space="0"/>
            <w:bottom w:val="none" w:sz="0" w:space="0"/>
            <w:right w:val="none" w:sz="0" w:space="0"/>
          </w:pgBorders>
          <w:pgNumType w:fmt="decimal"/>
          <w:cols w:space="0" w:num="1"/>
          <w:titlePg/>
          <w:docGrid w:type="lines" w:linePitch="326" w:charSpace="0"/>
        </w:sectPr>
      </w:pPr>
      <w:r>
        <w:rPr>
          <w:rFonts w:hint="eastAsia" w:ascii="宋体" w:hAnsi="宋体" w:cs="宋体"/>
          <w:bCs/>
          <w:color w:val="auto"/>
          <w:sz w:val="24"/>
          <w:szCs w:val="24"/>
          <w:lang w:val="en-US" w:eastAsia="zh-CN"/>
        </w:rPr>
        <w:t>7</w:t>
      </w:r>
      <w:r>
        <w:rPr>
          <w:rFonts w:hint="eastAsia" w:ascii="宋体" w:hAnsi="宋体" w:cs="宋体"/>
          <w:bCs/>
          <w:color w:val="auto"/>
          <w:sz w:val="24"/>
          <w:szCs w:val="24"/>
          <w:lang w:eastAsia="zh-CN"/>
        </w:rPr>
        <w:t>.</w:t>
      </w:r>
      <w:r>
        <w:rPr>
          <w:rFonts w:hint="eastAsia" w:ascii="宋体" w:hAnsi="宋体" w:cs="宋体"/>
          <w:bCs/>
          <w:color w:val="auto"/>
          <w:sz w:val="24"/>
          <w:szCs w:val="24"/>
        </w:rPr>
        <w:t>若出现综合得分并列时，按投标报价由低到高顺序排列。得分且投标报价相同的并列。</w:t>
      </w:r>
      <w:r>
        <w:rPr>
          <w:rFonts w:hint="eastAsia" w:ascii="宋体" w:hAnsi="宋体" w:cs="宋体"/>
          <w:bCs/>
          <w:color w:val="auto"/>
          <w:sz w:val="24"/>
          <w:szCs w:val="24"/>
          <w:lang w:val="en-US" w:eastAsia="zh-CN"/>
        </w:rPr>
        <w:t>磋商</w:t>
      </w:r>
      <w:r>
        <w:rPr>
          <w:rFonts w:hint="eastAsia" w:ascii="宋体" w:hAnsi="宋体" w:cs="宋体"/>
          <w:bCs/>
          <w:color w:val="auto"/>
          <w:sz w:val="24"/>
          <w:szCs w:val="24"/>
        </w:rPr>
        <w:t>文件满足</w:t>
      </w:r>
      <w:r>
        <w:rPr>
          <w:rFonts w:hint="eastAsia" w:ascii="宋体" w:hAnsi="宋体" w:cs="宋体"/>
          <w:bCs/>
          <w:color w:val="auto"/>
          <w:sz w:val="24"/>
          <w:szCs w:val="24"/>
          <w:lang w:eastAsia="zh-CN"/>
        </w:rPr>
        <w:t>磋商文件</w:t>
      </w:r>
      <w:r>
        <w:rPr>
          <w:rFonts w:hint="eastAsia" w:ascii="宋体" w:hAnsi="宋体" w:cs="宋体"/>
          <w:bCs/>
          <w:color w:val="auto"/>
          <w:sz w:val="24"/>
          <w:szCs w:val="24"/>
        </w:rPr>
        <w:t>全部实质性要求，且按照评审因素的量化指标评审得分最高的投标人为排名第一的中标候选人。</w:t>
      </w:r>
    </w:p>
    <w:bookmarkEnd w:id="130"/>
    <w:p w14:paraId="1CD68C26">
      <w:pPr>
        <w:pStyle w:val="2"/>
        <w:pageBreakBefore/>
        <w:numPr>
          <w:ilvl w:val="0"/>
          <w:numId w:val="7"/>
        </w:numPr>
        <w:rPr>
          <w:rFonts w:ascii="宋体" w:hAnsi="宋体" w:cs="宋体"/>
          <w:color w:val="auto"/>
        </w:rPr>
      </w:pPr>
      <w:bookmarkStart w:id="131" w:name="_Toc11325"/>
      <w:bookmarkStart w:id="132" w:name="_Toc15647"/>
      <w:bookmarkStart w:id="133" w:name="_Toc6835"/>
      <w:r>
        <w:rPr>
          <w:rFonts w:hint="eastAsia" w:ascii="宋体" w:hAnsi="宋体" w:cs="宋体"/>
          <w:color w:val="auto"/>
        </w:rPr>
        <w:t>采购内容及要求</w:t>
      </w:r>
      <w:bookmarkEnd w:id="131"/>
    </w:p>
    <w:p w14:paraId="3272159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pacing w:val="-6"/>
          <w:sz w:val="24"/>
          <w:szCs w:val="24"/>
        </w:rPr>
      </w:pPr>
      <w:bookmarkStart w:id="134" w:name="_Toc21652"/>
      <w:bookmarkStart w:id="135" w:name="_Toc536202322"/>
      <w:bookmarkStart w:id="136" w:name="_Toc10286"/>
      <w:bookmarkStart w:id="137" w:name="_Toc536429384"/>
      <w:bookmarkStart w:id="138" w:name="_Toc536202391"/>
      <w:bookmarkStart w:id="139" w:name="_Toc536429331"/>
      <w:bookmarkStart w:id="140" w:name="_Toc19543347"/>
      <w:r>
        <w:rPr>
          <w:rFonts w:hint="eastAsia" w:ascii="宋体" w:hAnsi="宋体" w:eastAsia="宋体" w:cs="宋体"/>
          <w:b/>
          <w:color w:val="auto"/>
          <w:sz w:val="24"/>
          <w:szCs w:val="24"/>
        </w:rPr>
        <w:t>一、项目</w:t>
      </w:r>
      <w:r>
        <w:rPr>
          <w:rFonts w:hint="eastAsia" w:ascii="宋体" w:hAnsi="宋体" w:cs="宋体"/>
          <w:b/>
          <w:color w:val="auto"/>
          <w:sz w:val="24"/>
          <w:szCs w:val="24"/>
          <w:lang w:val="en-US" w:eastAsia="zh-CN"/>
        </w:rPr>
        <w:t>概况</w:t>
      </w:r>
      <w:r>
        <w:rPr>
          <w:rFonts w:hint="eastAsia" w:ascii="宋体" w:hAnsi="宋体" w:eastAsia="宋体" w:cs="宋体"/>
          <w:b/>
          <w:color w:val="auto"/>
          <w:sz w:val="24"/>
          <w:szCs w:val="24"/>
        </w:rPr>
        <w:t>：</w:t>
      </w:r>
      <w:r>
        <w:rPr>
          <w:rFonts w:hint="eastAsia" w:ascii="宋体" w:hAnsi="宋体" w:cs="宋体"/>
          <w:i w:val="0"/>
          <w:caps w:val="0"/>
          <w:color w:val="auto"/>
          <w:spacing w:val="-6"/>
          <w:kern w:val="0"/>
          <w:sz w:val="24"/>
          <w:szCs w:val="24"/>
          <w:highlight w:val="none"/>
          <w:shd w:val="clear" w:color="auto" w:fill="FFFFFF"/>
          <w:lang w:val="en-US" w:eastAsia="zh-CN" w:bidi="ar"/>
        </w:rPr>
        <w:t>机关第一审判庭系统升级改造项目，为响应最高院“一张网”的信息化建设规范，拟在院机关第二审判庭进行系统升级改造，采购高清数字媒体综合控制系统、互联网音视频交互网关、法官庭审、书记员庭审等相关设备及软件。</w:t>
      </w:r>
    </w:p>
    <w:p w14:paraId="25B83150">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482" w:firstLineChars="20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二、采购内容及技术要求</w:t>
      </w:r>
    </w:p>
    <w:tbl>
      <w:tblPr>
        <w:tblStyle w:val="4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6"/>
        <w:gridCol w:w="575"/>
        <w:gridCol w:w="5980"/>
        <w:gridCol w:w="617"/>
        <w:gridCol w:w="617"/>
        <w:gridCol w:w="1016"/>
      </w:tblGrid>
      <w:tr w14:paraId="04D6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5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7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设备名称</w:t>
            </w:r>
          </w:p>
        </w:tc>
        <w:tc>
          <w:tcPr>
            <w:tcW w:w="3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0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技术参数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7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F7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A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1020F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D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07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书记员庭审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应用软件</w:t>
            </w:r>
          </w:p>
        </w:tc>
        <w:tc>
          <w:tcPr>
            <w:tcW w:w="3221" w:type="pct"/>
            <w:tcBorders>
              <w:top w:val="single" w:color="000000" w:sz="4" w:space="0"/>
              <w:left w:val="single" w:color="000000" w:sz="4" w:space="0"/>
              <w:bottom w:val="single" w:color="000000" w:sz="4" w:space="0"/>
              <w:right w:val="single" w:color="000000" w:sz="4" w:space="0"/>
            </w:tcBorders>
            <w:shd w:val="clear" w:color="auto" w:fill="auto"/>
            <w:vAlign w:val="top"/>
          </w:tcPr>
          <w:p w14:paraId="5227B6C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1.能够与法庭内等系统进行协同工作，共同实现庭审从庭前准备到庭审闭庭结束的一系列庭审流程控制操作；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2.具备我的案件、待审排期、庭审直播、庭审点播模块；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3.具备查询功能，支持通过案号、当事人、立案时间、案由、承办部门、承办法官查询案件信息，支持通过案号、开庭时间、开庭地点、开庭状态等信息进行查待审排期信息；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4.具备新建案件和新建排期的功能，录入临时开庭的案号及案件类型；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5.支持双屏及单屏全屏显示，支持自由切换；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6.具备合并审理功能，通过选择多个案件进行合并审理；具备语音播报模块，具备播放权利义务、法庭纪律播报的功能；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7.在双屏模式下，左右两侧分屏画面可以拖拽调整页面比例；具备显示庭审视频图像，可查看各方当事人庭审画面；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8.支持本地文件上传，并共享展示给法官、当事人查看；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9.具备笔录编辑功能，书记员可以编辑笔录，支持将笔录内容同步到法官及当事人客户端，保证法官及当事人对于笔录内容的知情权，发现笔录记录问题可以及时提醒做出修改完善；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★10.系统支持多种法庭用途，包括：开庭审理、庭询、谈话、宣判、其他、提讯（犯罪嫌疑人）、证据交换、听证等；（提供系统操作界面截图)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11.支持对笔录文件进行手动打点功能，手动打点快捷键可自定义；支持语音识别功能，支持语音文字转写开启/关闭功能；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12.支持对话筒和对应的角色进行独立配置，对角色的名称进行独立修改，对修改完生效的内容在已生成的当前笔录中进行自动替换相关角色内容；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13.支持国产芯片架构的国产电脑；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在庭审过程中，书记员点击法庭纪律播报，系统能够自动显示并播报法庭纪律，保证庭审过程正常进行；能够确保旁听人员在庭审过程中遵守法庭纪律，不影响法官审理当前案件；法庭纪律支持内置视频播放、音频播放、自定义文本转语音播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15.在笔录校对时，可通过拖拽庭审录播视频，视频与笔录同样可以联动，快速定位到笔录所在地方，实现笔录校对时的快捷操作；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★16.书记员笔录记录过程中，从第一页第一行开始，到最后一页，在每行前边具备行号显示，以同步给当事人进行笔录核对时同步消息，行号显示不得影响排版效果。（提供系统操作界面截图)</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6F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9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4851">
            <w:pPr>
              <w:keepNext w:val="0"/>
              <w:keepLines w:val="0"/>
              <w:suppressLineNumbers w:val="0"/>
              <w:spacing w:before="0" w:beforeAutospacing="0" w:after="0" w:afterAutospacing="0"/>
              <w:ind w:left="0" w:right="0"/>
              <w:jc w:val="center"/>
              <w:rPr>
                <w:rFonts w:hint="eastAsia" w:ascii="宋体" w:hAnsi="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核心</w:t>
            </w:r>
          </w:p>
          <w:p w14:paraId="074123BA">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产品</w:t>
            </w:r>
          </w:p>
        </w:tc>
      </w:tr>
      <w:tr w14:paraId="40DF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8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6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法官庭审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应用软件</w:t>
            </w:r>
          </w:p>
        </w:tc>
        <w:tc>
          <w:tcPr>
            <w:tcW w:w="3221" w:type="pct"/>
            <w:tcBorders>
              <w:top w:val="single" w:color="000000" w:sz="4" w:space="0"/>
              <w:left w:val="single" w:color="000000" w:sz="4" w:space="0"/>
              <w:bottom w:val="single" w:color="000000" w:sz="4" w:space="0"/>
              <w:right w:val="single" w:color="000000" w:sz="4" w:space="0"/>
            </w:tcBorders>
            <w:shd w:val="clear" w:color="auto" w:fill="auto"/>
            <w:vAlign w:val="top"/>
          </w:tcPr>
          <w:p w14:paraId="502A685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1.能够与法庭内等系统进行协同工作，共同实现庭审从庭前准备到庭审闭庭结束的一系列庭审流程控制操作；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2.具备我的案件、待审排期、庭审直播、庭审点播模块；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3.具备查询功能，支持通过案号、当事人、立案时间、案由、承办部门、承办法官查询案件信息，支持通过案号、开庭时间、开庭地点、开庭状态等信息进行查询待审排期信息；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4.支持双屏及单屏全屏显示，支持自行切换；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5.具备语音播报模块，具备播放权利义务、法庭纪律、具备无书记员播报的功能；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6.具备显示庭审视频图像，可查看各方当事人庭审画面；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7.具备庭审指导功能，可通过即时通讯功能辅助加强法官、书记员之间的文字交流；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8.支持与书记员客户端联动，能够接收庭审状态通知，如开庭、休庭以及闭庭的状态；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9.支持选择案号后进行修改排期、笔录预设、删除排期的操作；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10.支持与书记员系统的庭审笔录实时联动，法官可实时同步查看书记员记录笔录的过程，法官也可对庭审笔录进行即时修改；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系统支持共享屏幕，支持法官通过共享电子卷宗、共享本庭通过实物展台、高拍仪、第三方电脑上传的证据材料实现无纸化质证，支持共享第三方屏幕，包括书记员屏幕、原告/上诉人/公诉人屏幕、被告/被上诉人/辩护人屏幕，支持自定义区域共享，共享过程中支持法官、书记员及各方当事人进行批注，包括颜色、画笔、橡皮擦、旋转、放大、缩小、回退、恢复、清空等，批注的颜色根据法官、书记员、当事人进行区分，系统可自动保存批注图片展示在庭审材料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12.系统支持法官可在任何功能下同步查看书记员的庭审笔录文件，并可根据法官的理解进行图形勾画操作和文本批注，勾画及批注的文本内容在书记员客户端处可实时查看；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13.笔录同步查看可与任何功能进行双屏查看。</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3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0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1D3D">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u w:val="none"/>
              </w:rPr>
            </w:pPr>
          </w:p>
        </w:tc>
      </w:tr>
      <w:tr w14:paraId="1077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3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6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当事人庭审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应用软件</w:t>
            </w:r>
          </w:p>
        </w:tc>
        <w:tc>
          <w:tcPr>
            <w:tcW w:w="3221" w:type="pct"/>
            <w:tcBorders>
              <w:top w:val="single" w:color="000000" w:sz="4" w:space="0"/>
              <w:left w:val="single" w:color="000000" w:sz="4" w:space="0"/>
              <w:bottom w:val="single" w:color="000000" w:sz="4" w:space="0"/>
              <w:right w:val="single" w:color="000000" w:sz="4" w:space="0"/>
            </w:tcBorders>
            <w:shd w:val="clear" w:color="auto" w:fill="auto"/>
            <w:vAlign w:val="top"/>
          </w:tcPr>
          <w:p w14:paraId="1EF2658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1.支持与书记员客户端联动，当书记员系统进入庭审后，当事人系统自动登录的到庭审系统中，避免当事人操作复杂；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2.支持在未进入庭审前显示法庭纪律的内容，有助于提醒当事人遵守法庭纪律；进入庭审后应具备显示案号、开庭状态的信息；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3.进入庭审后默认显示书记员记录的实时笔录内容，可实时同步查看书记员记录笔录的内容，也可以自己翻看；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4.支持双屏及单屏全屏显示，支持自行切换；支持与书记员客户端联动，能够接收庭审状态通知，如开庭、休庭、以及闭庭的状态；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当事人查看庭审笔录，可以实时同步书记员笔录内容，对书记员记录的笔录存疑需要当庭或者庭后确认时，可以直接点击存疑按钮进行存疑；当法官认为当事人不应该看到庭审笔录时，可以直接在法官端或者书记员端灵活控制授权当事人查看笔录或者不查看笔录。</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C7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F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91E1">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u w:val="none"/>
              </w:rPr>
            </w:pPr>
          </w:p>
        </w:tc>
      </w:tr>
      <w:tr w14:paraId="21434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6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5D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高清数字媒体综合控制系统</w:t>
            </w:r>
          </w:p>
        </w:tc>
        <w:tc>
          <w:tcPr>
            <w:tcW w:w="3221" w:type="pct"/>
            <w:tcBorders>
              <w:top w:val="single" w:color="000000" w:sz="4" w:space="0"/>
              <w:left w:val="single" w:color="000000" w:sz="4" w:space="0"/>
              <w:bottom w:val="single" w:color="000000" w:sz="4" w:space="0"/>
              <w:right w:val="single" w:color="000000" w:sz="4" w:space="0"/>
            </w:tcBorders>
            <w:shd w:val="clear" w:color="auto" w:fill="auto"/>
            <w:vAlign w:val="top"/>
          </w:tcPr>
          <w:p w14:paraId="7D99A2B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u w:val="none"/>
              </w:rPr>
            </w:pPr>
            <w:r>
              <w:rPr>
                <w:rStyle w:val="124"/>
                <w:color w:val="auto"/>
                <w:lang w:val="en-US" w:eastAsia="zh-CN" w:bidi="ar"/>
              </w:rPr>
              <w:t>1.为高集成专门为法庭庭审服务的专用系统，采用国产高性能处理器及嵌入式操作系统，支持7x24小时运行，避免病毒入侵，安全可靠，稳定性高；</w:t>
            </w:r>
            <w:r>
              <w:rPr>
                <w:rStyle w:val="124"/>
                <w:color w:val="auto"/>
                <w:lang w:val="en-US" w:eastAsia="zh-CN" w:bidi="ar"/>
              </w:rPr>
              <w:br w:type="textWrapping"/>
            </w:r>
            <w:r>
              <w:rPr>
                <w:rStyle w:val="124"/>
                <w:color w:val="auto"/>
                <w:lang w:val="en-US" w:eastAsia="zh-CN" w:bidi="ar"/>
              </w:rPr>
              <w:t>2.系统为非叠加式，集成包含：视频矩阵、音频矩阵、画面合成器、高清编解码器、中控系统；</w:t>
            </w:r>
            <w:r>
              <w:rPr>
                <w:rStyle w:val="124"/>
                <w:color w:val="auto"/>
                <w:lang w:val="en-US" w:eastAsia="zh-CN" w:bidi="ar"/>
              </w:rPr>
              <w:br w:type="textWrapping"/>
            </w:r>
            <w:r>
              <w:rPr>
                <w:rStyle w:val="124"/>
                <w:color w:val="auto"/>
                <w:lang w:val="en-US" w:eastAsia="zh-CN" w:bidi="ar"/>
              </w:rPr>
              <w:t>3.为保证法庭扩声的清晰效果，具备对自动增益、反馈抑制、噪声消除，回声消除、自动混音、分组混音等多种音频处理能力；</w:t>
            </w:r>
            <w:r>
              <w:rPr>
                <w:rStyle w:val="124"/>
                <w:color w:val="auto"/>
                <w:lang w:val="en-US" w:eastAsia="zh-CN" w:bidi="ar"/>
              </w:rPr>
              <w:br w:type="textWrapping"/>
            </w:r>
            <w:r>
              <w:rPr>
                <w:rStyle w:val="124"/>
                <w:color w:val="auto"/>
                <w:lang w:val="en-US" w:eastAsia="zh-CN" w:bidi="ar"/>
              </w:rPr>
              <w:t>4.支持离线状态下，仍可进行脱机庭审录音录像、法庭控制等功能操作；</w:t>
            </w:r>
            <w:r>
              <w:rPr>
                <w:rStyle w:val="124"/>
                <w:color w:val="auto"/>
                <w:lang w:val="en-US" w:eastAsia="zh-CN" w:bidi="ar"/>
              </w:rPr>
              <w:br w:type="textWrapping"/>
            </w:r>
            <w:r>
              <w:rPr>
                <w:rStyle w:val="124"/>
                <w:color w:val="auto"/>
                <w:lang w:val="en-US" w:eastAsia="zh-CN" w:bidi="ar"/>
              </w:rPr>
              <w:t>5.支持视频矩阵功能，支持全局可视化通道链路显示；</w:t>
            </w:r>
            <w:r>
              <w:rPr>
                <w:rStyle w:val="124"/>
                <w:color w:val="auto"/>
                <w:lang w:val="en-US" w:eastAsia="zh-CN" w:bidi="ar"/>
              </w:rPr>
              <w:br w:type="textWrapping"/>
            </w:r>
            <w:r>
              <w:rPr>
                <w:rStyle w:val="124"/>
                <w:color w:val="auto"/>
                <w:lang w:val="en-US" w:eastAsia="zh-CN" w:bidi="ar"/>
              </w:rPr>
              <w:t>6.支持音频矩阵功能：内置音频混音矩阵，支持语音激励功能，激励灵敏度可调，支持矩阵扩展；</w:t>
            </w:r>
            <w:r>
              <w:rPr>
                <w:rStyle w:val="124"/>
                <w:color w:val="auto"/>
                <w:lang w:val="en-US" w:eastAsia="zh-CN" w:bidi="ar"/>
              </w:rPr>
              <w:br w:type="textWrapping"/>
            </w:r>
            <w:r>
              <w:rPr>
                <w:rStyle w:val="124"/>
                <w:color w:val="auto"/>
                <w:lang w:val="en-US" w:eastAsia="zh-CN" w:bidi="ar"/>
              </w:rPr>
              <w:t>6.支持合成画面，可选2、3、4、5、6、7、8、9、13、16等画面分割模式，满足不同场景应用；</w:t>
            </w:r>
            <w:r>
              <w:rPr>
                <w:rStyle w:val="124"/>
                <w:color w:val="auto"/>
                <w:lang w:val="en-US" w:eastAsia="zh-CN" w:bidi="ar"/>
              </w:rPr>
              <w:br w:type="textWrapping"/>
            </w:r>
            <w:r>
              <w:rPr>
                <w:rStyle w:val="124"/>
                <w:color w:val="auto"/>
                <w:lang w:val="en-US" w:eastAsia="zh-CN" w:bidi="ar"/>
              </w:rPr>
              <w:t>7.前面板≥5英寸电容式触摸显示屏，支持画面监看、信号预览、录放回放、支持实时显示视频、音频等通道状态；具备可编程操作界面，支持一键开启，一键关闭，证据切换，一键刻录，远程提讯，语音激励等法庭控制操作按钮，可支持自编程实现定制化功能；</w:t>
            </w:r>
            <w:r>
              <w:rPr>
                <w:rStyle w:val="124"/>
                <w:color w:val="auto"/>
                <w:lang w:val="en-US" w:eastAsia="zh-CN" w:bidi="ar"/>
              </w:rPr>
              <w:br w:type="textWrapping"/>
            </w:r>
            <w:r>
              <w:rPr>
                <w:rStyle w:val="124"/>
                <w:color w:val="auto"/>
                <w:lang w:val="en-US" w:eastAsia="zh-CN" w:bidi="ar"/>
              </w:rPr>
              <w:t>★8.视频输入接口≥4路3G-SDI，≥2路HDMI视频输入接口，支持音频同步输入，≥4路DVI视频输入接口，支持VGA\DVI\HDMI\YPbPr视频输入；</w:t>
            </w:r>
            <w:r>
              <w:rPr>
                <w:rStyle w:val="124"/>
                <w:color w:val="auto"/>
                <w:lang w:val="en-US" w:eastAsia="zh-CN" w:bidi="ar"/>
              </w:rPr>
              <w:br w:type="textWrapping"/>
            </w:r>
            <w:r>
              <w:rPr>
                <w:rStyle w:val="124"/>
                <w:color w:val="auto"/>
                <w:lang w:val="en-US" w:eastAsia="zh-CN" w:bidi="ar"/>
              </w:rPr>
              <w:t>9.内置千兆交换机，单口支持≥25W设备，交换机的交换容量≥15Gbps，包转发率≥1.2Mpps，支持≥5路POE供电用于网络编码摄像机接入；</w:t>
            </w:r>
            <w:r>
              <w:rPr>
                <w:rStyle w:val="124"/>
                <w:color w:val="auto"/>
                <w:lang w:val="en-US" w:eastAsia="zh-CN" w:bidi="ar"/>
              </w:rPr>
              <w:br w:type="textWrapping"/>
            </w:r>
            <w:r>
              <w:rPr>
                <w:rStyle w:val="124"/>
                <w:color w:val="auto"/>
                <w:lang w:val="en-US" w:eastAsia="zh-CN" w:bidi="ar"/>
              </w:rPr>
              <w:t>★10.视频输出接口≥4路，包含≥2路HDMI视频输出接口，支持音频同步输出；≥1路DVI视频输出接口；≥1路VGA视频输出接口；</w:t>
            </w:r>
            <w:r>
              <w:rPr>
                <w:rStyle w:val="124"/>
                <w:color w:val="auto"/>
                <w:lang w:val="en-US" w:eastAsia="zh-CN" w:bidi="ar"/>
              </w:rPr>
              <w:br w:type="textWrapping"/>
            </w:r>
            <w:r>
              <w:rPr>
                <w:rStyle w:val="124"/>
                <w:color w:val="auto"/>
                <w:lang w:val="en-US" w:eastAsia="zh-CN" w:bidi="ar"/>
              </w:rPr>
              <w:t>11.音频输入要求：≥12路MIC/LINE话筒音频输入，每路均支持48V幻象供电，支持声音音量波形显示；≥8路立体声音频输入接口，用于证据音频接入；</w:t>
            </w:r>
            <w:r>
              <w:rPr>
                <w:rStyle w:val="124"/>
                <w:color w:val="auto"/>
                <w:lang w:val="en-US" w:eastAsia="zh-CN" w:bidi="ar"/>
              </w:rPr>
              <w:br w:type="textWrapping"/>
            </w:r>
            <w:r>
              <w:rPr>
                <w:rStyle w:val="124"/>
                <w:color w:val="auto"/>
                <w:lang w:val="en-US" w:eastAsia="zh-CN" w:bidi="ar"/>
              </w:rPr>
              <w:t>★12.音频输出≥6路，包含≥4路平衡线路音频输出，≥2路非平衡线路音频输出，内置功率放大器，≥2通道200W/8</w:t>
            </w:r>
            <w:r>
              <w:rPr>
                <w:rStyle w:val="125"/>
                <w:rFonts w:hint="default" w:eastAsia="宋体"/>
                <w:color w:val="auto"/>
                <w:lang w:val="en-US" w:eastAsia="zh-CN" w:bidi="ar"/>
              </w:rPr>
              <w:t>Ω</w:t>
            </w:r>
            <w:r>
              <w:rPr>
                <w:rStyle w:val="124"/>
                <w:color w:val="auto"/>
                <w:lang w:val="en-US" w:eastAsia="zh-CN" w:bidi="ar"/>
              </w:rPr>
              <w:t>音频功放输出，连接庭审无源音箱；</w:t>
            </w:r>
            <w:r>
              <w:rPr>
                <w:rStyle w:val="124"/>
                <w:color w:val="auto"/>
                <w:lang w:val="en-US" w:eastAsia="zh-CN" w:bidi="ar"/>
              </w:rPr>
              <w:br w:type="textWrapping"/>
            </w:r>
            <w:r>
              <w:rPr>
                <w:rStyle w:val="124"/>
                <w:color w:val="auto"/>
                <w:lang w:val="en-US" w:eastAsia="zh-CN" w:bidi="ar"/>
              </w:rPr>
              <w:t>13.支持≥2路USB3.0接口，可外挂U盘、移动硬盘、USB光驱等外围存储设备，实现音视频文件的自动备份存储输出，具备≥1路TYPE-C调试接口；</w:t>
            </w:r>
            <w:r>
              <w:rPr>
                <w:rStyle w:val="124"/>
                <w:color w:val="auto"/>
                <w:lang w:val="en-US" w:eastAsia="zh-CN" w:bidi="ar"/>
              </w:rPr>
              <w:br w:type="textWrapping"/>
            </w:r>
            <w:r>
              <w:rPr>
                <w:rStyle w:val="124"/>
                <w:color w:val="auto"/>
                <w:lang w:val="en-US" w:eastAsia="zh-CN" w:bidi="ar"/>
              </w:rPr>
              <w:t>14.支持WEB网页对主机进行远程控制、管理、升级；</w:t>
            </w:r>
            <w:r>
              <w:rPr>
                <w:rStyle w:val="124"/>
                <w:color w:val="auto"/>
                <w:lang w:val="en-US" w:eastAsia="zh-CN" w:bidi="ar"/>
              </w:rPr>
              <w:br w:type="textWrapping"/>
            </w:r>
            <w:r>
              <w:rPr>
                <w:rStyle w:val="124"/>
                <w:color w:val="auto"/>
                <w:lang w:val="en-US" w:eastAsia="zh-CN" w:bidi="ar"/>
              </w:rPr>
              <w:t>15.支持NTP网络时钟协议，可与法院内的时间服务器同步以自动校准主机的日期和时间；</w:t>
            </w:r>
            <w:r>
              <w:rPr>
                <w:rStyle w:val="124"/>
                <w:color w:val="auto"/>
                <w:lang w:val="en-US" w:eastAsia="zh-CN" w:bidi="ar"/>
              </w:rPr>
              <w:br w:type="textWrapping"/>
            </w:r>
            <w:r>
              <w:rPr>
                <w:rStyle w:val="124"/>
                <w:color w:val="auto"/>
                <w:lang w:val="en-US" w:eastAsia="zh-CN" w:bidi="ar"/>
              </w:rPr>
              <w:t>16.支持≥2路RS485/422和≥2路RS232可编程控制接口，连接控制面板、电源控制器、摄像机等外围控制设备；</w:t>
            </w:r>
            <w:r>
              <w:rPr>
                <w:rStyle w:val="124"/>
                <w:color w:val="auto"/>
                <w:lang w:val="en-US" w:eastAsia="zh-CN" w:bidi="ar"/>
              </w:rPr>
              <w:br w:type="textWrapping"/>
            </w:r>
            <w:r>
              <w:rPr>
                <w:rStyle w:val="124"/>
                <w:color w:val="auto"/>
                <w:lang w:val="en-US" w:eastAsia="zh-CN" w:bidi="ar"/>
              </w:rPr>
              <w:t>17.支持对每路输入信号提供幻象供电、相位、静音、灵敏度、音量、变声器、扩展器、均衡器、压缩器、自动增益设置，支持对每路信号自定义调节；支持对每路输出信号提供10段EQ（均衡器）可调、支持限幅器、低通滤波/高通滤波、延时、反相设置，支持对每路信号自定义调节；</w:t>
            </w:r>
            <w:r>
              <w:rPr>
                <w:rStyle w:val="124"/>
                <w:color w:val="auto"/>
                <w:lang w:val="en-US" w:eastAsia="zh-CN" w:bidi="ar"/>
              </w:rPr>
              <w:br w:type="textWrapping"/>
            </w:r>
            <w:r>
              <w:rPr>
                <w:rStyle w:val="124"/>
                <w:color w:val="auto"/>
                <w:lang w:val="en-US" w:eastAsia="zh-CN" w:bidi="ar"/>
              </w:rPr>
              <w:t>18.多点接入控制能力要求：内置多点会控MCU能力，支持H.323/RTSP多协议视频通话，与第三方设备互联互通；支持自动呼入多个终端或独立呼入各终端；支持主流与辅流的双流信号切换功能；支持≥5方远程开庭；</w:t>
            </w:r>
            <w:r>
              <w:rPr>
                <w:rStyle w:val="124"/>
                <w:color w:val="auto"/>
                <w:lang w:val="en-US" w:eastAsia="zh-CN" w:bidi="ar"/>
              </w:rPr>
              <w:br w:type="textWrapping"/>
            </w:r>
            <w:r>
              <w:rPr>
                <w:rStyle w:val="124"/>
                <w:color w:val="auto"/>
                <w:lang w:val="en-US" w:eastAsia="zh-CN" w:bidi="ar"/>
              </w:rPr>
              <w:t>19.视频字幕叠加要求：支持对独立画面和合成画面上进行字幕叠加，字幕内容包含开庭时间、案件信息、诉讼地位片头信息叠加，支持字体、字号、颜色设置，自定义字幕显示位置；</w:t>
            </w:r>
            <w:r>
              <w:rPr>
                <w:rStyle w:val="124"/>
                <w:color w:val="auto"/>
                <w:lang w:val="en-US" w:eastAsia="zh-CN" w:bidi="ar"/>
              </w:rPr>
              <w:br w:type="textWrapping"/>
            </w:r>
            <w:r>
              <w:rPr>
                <w:rStyle w:val="124"/>
                <w:color w:val="auto"/>
                <w:lang w:val="en-US" w:eastAsia="zh-CN" w:bidi="ar"/>
              </w:rPr>
              <w:t>20.内置证人远程出庭保护功能，支持≥4通道的证人画面马赛克处理，可调区域大小及透明度；支持对证人声音的变声处理；</w:t>
            </w:r>
            <w:r>
              <w:rPr>
                <w:rStyle w:val="124"/>
                <w:color w:val="auto"/>
                <w:lang w:val="en-US" w:eastAsia="zh-CN" w:bidi="ar"/>
              </w:rPr>
              <w:br w:type="textWrapping"/>
            </w:r>
            <w:r>
              <w:rPr>
                <w:rStyle w:val="124"/>
                <w:color w:val="auto"/>
                <w:lang w:val="en-US" w:eastAsia="zh-CN" w:bidi="ar"/>
              </w:rPr>
              <w:t>21.视频编码能力要求：支持多路视频编码能力，支持≥16路1080P或4路4K，每路编码支持双码流同时输出；</w:t>
            </w:r>
            <w:r>
              <w:rPr>
                <w:rStyle w:val="124"/>
                <w:color w:val="auto"/>
                <w:lang w:val="en-US" w:eastAsia="zh-CN" w:bidi="ar"/>
              </w:rPr>
              <w:br w:type="textWrapping"/>
            </w:r>
            <w:r>
              <w:rPr>
                <w:rStyle w:val="124"/>
                <w:color w:val="auto"/>
                <w:lang w:val="en-US" w:eastAsia="zh-CN" w:bidi="ar"/>
              </w:rPr>
              <w:t>22.内置≥2T硬盘，满足法庭本地实时备份存储庭审录音录像文件。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7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5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0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核心</w:t>
            </w:r>
          </w:p>
          <w:p w14:paraId="3E1FE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产品</w:t>
            </w:r>
          </w:p>
        </w:tc>
      </w:tr>
      <w:tr w14:paraId="629F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A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4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互联网音视频交互网关系统</w:t>
            </w:r>
          </w:p>
        </w:tc>
        <w:tc>
          <w:tcPr>
            <w:tcW w:w="3221" w:type="pct"/>
            <w:tcBorders>
              <w:top w:val="single" w:color="000000" w:sz="4" w:space="0"/>
              <w:left w:val="single" w:color="000000" w:sz="4" w:space="0"/>
              <w:bottom w:val="single" w:color="000000" w:sz="4" w:space="0"/>
              <w:right w:val="single" w:color="000000" w:sz="4" w:space="0"/>
            </w:tcBorders>
            <w:shd w:val="clear" w:color="auto" w:fill="auto"/>
            <w:vAlign w:val="top"/>
          </w:tcPr>
          <w:p w14:paraId="13DE833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在满足安全管理规范下，通过跨网安全传输，将法庭与当事人连接并进行案件排期信息、庭审音视频、庭审笔录等数据进行数据交换。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1.具备音频、视频的同时编解码能力；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2.可同时接入不低于16个当事人,支持最多同时显示9个当事人画面;支持通过语音激励切换当事人画面；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3.可根据网络情况动态调整码率/分辨率；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4.支持互联网协议和RTSP协议实时互相转换；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5.将法庭向当事人客户端提供信号传输到互联网音视频网关，与当事人客户端进行音视频的对接传输给法庭庭审主机；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6.可远程控制软件重启，支持RTSP/RTMP流发送、接受通道；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7.视频输入≥1路HDMI端口，分辨率≥1080P/720P；</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8.视频输出≥2路HDMI端口，分辨率≥1080P/720P；</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9.≥1路3.5mm线性输出、≥1路LINE IN接口、≥1路MIC IN接口、≥2路USB2.0接口、≥1路100/10BASE-TX；</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10.支持7×24小时运行；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11.为当事人提供使用的软件，当事人可通过互联网接入与法庭进行音视频及庭审数据的实时安全交互，提供案件信息查看、视频接入、远程签名等相关功能；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12.提供互联网庭审云接入服务，服务期1年，向当事人提供短信消息通知或身份认证码确认服务，包含≥10万条短信发送服务。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5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61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A9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538A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6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8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终端软件</w:t>
            </w:r>
          </w:p>
        </w:tc>
        <w:tc>
          <w:tcPr>
            <w:tcW w:w="3221" w:type="pct"/>
            <w:tcBorders>
              <w:top w:val="single" w:color="000000" w:sz="4" w:space="0"/>
              <w:left w:val="single" w:color="000000" w:sz="4" w:space="0"/>
              <w:bottom w:val="single" w:color="000000" w:sz="4" w:space="0"/>
              <w:right w:val="single" w:color="000000" w:sz="4" w:space="0"/>
            </w:tcBorders>
            <w:shd w:val="clear" w:color="auto" w:fill="auto"/>
            <w:vAlign w:val="top"/>
          </w:tcPr>
          <w:p w14:paraId="29091A7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为更好的服务于庭审工作，当事人可通过互联网接入与法庭进行音视频及庭审数据的实时安全交互服务，提供案件信息查看、视频接入、证据共享、远程签名等相关功能，支持APP、微信小程序等多种接入方式。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1.在参与庭审中，客户端能够禁用手机的自动锁屏功能；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2.针对手机用户，具备升级提示，运行时提示有新版本是否下载；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3.客户端支持输入立案时登记的身份证、手机号，正确的输入系统后台发送的动态验证码，进行登录；且该用户近期有未开庭、正在开庭的案件时才能正确登录，否则会提示；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4.用户登录后，客户端会根据用户庭审开庭情况，弹出提示，指引用户下一步操作：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（1）距开庭20分钟内登录：当用户登录时间在此范围内，会提示用户耐心等待，不要退出系统，等待法官开庭；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（2）庭审过程中登录：提示用户庭审已经开始，点击按钮申请进入庭审，如果用户不点击，也可在案件详情中点击申请；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（3）距离开庭时间在30分钟以上登录：提示用户距离最近的一个庭审时间，并要在30分钟前登录系统；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5.用户登录后，除参加庭审，还可查看其待开庭的案件列表，可点击案件列表，查看案件信息，能展示案号、主审人、当事人、开庭时间、庭审状态等主要信息；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6.客户端能够实时编码自己的图像和音视频，同时传送到法庭和其他当事人端；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7.用户能看到法庭、对方当事人、自己的画面，能听到除自己以外的所有声音。</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7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253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4B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47E6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E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B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视联网会议系统</w:t>
            </w:r>
          </w:p>
        </w:tc>
        <w:tc>
          <w:tcPr>
            <w:tcW w:w="3221" w:type="pct"/>
            <w:tcBorders>
              <w:top w:val="single" w:color="000000" w:sz="4" w:space="0"/>
              <w:left w:val="single" w:color="000000" w:sz="4" w:space="0"/>
              <w:bottom w:val="single" w:color="000000" w:sz="4" w:space="0"/>
              <w:right w:val="single" w:color="000000" w:sz="4" w:space="0"/>
            </w:tcBorders>
            <w:shd w:val="clear" w:color="auto" w:fill="auto"/>
            <w:vAlign w:val="top"/>
          </w:tcPr>
          <w:p w14:paraId="796A717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1.符合以太网802.3标准，采用一体化结构设计；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2.支持H.265、H.264视频解码协议；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3.支持至少1路HDMI视频输入接口，至少1路HDMI视频输出接口；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4.支持至少1路音频输入和1路音频输出接口；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5.支持在不外加设备情况下，通过幻象供电为麦克风供电；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6.具有唇音同步，自动噪声抑制和自适应回声消除功能；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7.摄像头支持不低于200万像素；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8.含1个定向鹅颈麦克风。</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A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D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7AD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5B0E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4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3C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庭审资源输出终端</w:t>
            </w:r>
          </w:p>
        </w:tc>
        <w:tc>
          <w:tcPr>
            <w:tcW w:w="3221" w:type="pct"/>
            <w:tcBorders>
              <w:top w:val="single" w:color="000000" w:sz="4" w:space="0"/>
              <w:left w:val="single" w:color="000000" w:sz="4" w:space="0"/>
              <w:bottom w:val="single" w:color="000000" w:sz="4" w:space="0"/>
              <w:right w:val="single" w:color="000000" w:sz="4" w:space="0"/>
            </w:tcBorders>
            <w:shd w:val="clear" w:color="auto" w:fill="auto"/>
            <w:vAlign w:val="top"/>
          </w:tcPr>
          <w:p w14:paraId="5B057DA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1.尺寸≥23.8英寸；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2.分辨率≥1080P；</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3.屏幕比例：16:9；</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4.不少于1个HDMI输入接口；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5.含倾斜角度支架。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4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8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12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530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0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01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大屏显示终端</w:t>
            </w:r>
          </w:p>
        </w:tc>
        <w:tc>
          <w:tcPr>
            <w:tcW w:w="3221" w:type="pct"/>
            <w:tcBorders>
              <w:top w:val="single" w:color="000000" w:sz="4" w:space="0"/>
              <w:left w:val="single" w:color="000000" w:sz="4" w:space="0"/>
              <w:bottom w:val="single" w:color="000000" w:sz="4" w:space="0"/>
              <w:right w:val="single" w:color="000000" w:sz="4" w:space="0"/>
            </w:tcBorders>
            <w:shd w:val="clear" w:color="auto" w:fill="auto"/>
            <w:vAlign w:val="top"/>
          </w:tcPr>
          <w:p w14:paraId="28809CE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1.≥55英寸显示屏，分辨率≥1080P，不少于1个HDMI输入接口；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2.含壁装伸缩安装支架。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6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32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99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4965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2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64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庭审控制系统</w:t>
            </w:r>
          </w:p>
        </w:tc>
        <w:tc>
          <w:tcPr>
            <w:tcW w:w="3221" w:type="pct"/>
            <w:tcBorders>
              <w:top w:val="single" w:color="000000" w:sz="4" w:space="0"/>
              <w:left w:val="single" w:color="000000" w:sz="4" w:space="0"/>
              <w:bottom w:val="single" w:color="000000" w:sz="4" w:space="0"/>
              <w:right w:val="single" w:color="000000" w:sz="4" w:space="0"/>
            </w:tcBorders>
            <w:shd w:val="clear" w:color="auto" w:fill="auto"/>
            <w:vAlign w:val="top"/>
          </w:tcPr>
          <w:p w14:paraId="20BC9B8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1.支持快捷切换功能，支持视频信号切换展示；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2.支持自定义功能，切换信号支持自定义；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3.不低于16种切换模式。</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B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82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711F9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r>
      <w:tr w14:paraId="04E5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F2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F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系统对接</w:t>
            </w:r>
          </w:p>
        </w:tc>
        <w:tc>
          <w:tcPr>
            <w:tcW w:w="3221" w:type="pct"/>
            <w:tcBorders>
              <w:top w:val="single" w:color="000000" w:sz="4" w:space="0"/>
              <w:left w:val="single" w:color="000000" w:sz="4" w:space="0"/>
              <w:bottom w:val="single" w:color="000000" w:sz="4" w:space="0"/>
              <w:right w:val="single" w:color="000000" w:sz="4" w:space="0"/>
            </w:tcBorders>
            <w:shd w:val="clear" w:color="auto" w:fill="auto"/>
            <w:vAlign w:val="top"/>
          </w:tcPr>
          <w:p w14:paraId="00A763E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1.与审判系统对接，支持全国“一张网”办公办案平台系统对接，主要功能包含：排期管理，音视频连接与控制，庭审录音录像、笔录制作、笔录模板、笔录同步、电子捺印辅助等功能；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2.与陕西省高级人民法院审务督察系统数据无缝对接，保证庭审音视频文件实时上报；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3.与本院现有庭审资源管理平台实现无缝对接。</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B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49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8E5051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r>
      <w:tr w14:paraId="5617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0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F5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利旧改造</w:t>
            </w:r>
          </w:p>
        </w:tc>
        <w:tc>
          <w:tcPr>
            <w:tcW w:w="3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90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对现存旧设备进行检测服务，利旧合格设备与系统对接，更新线材以符合系统整体要求，改造后可正常运行并确保系统整体的稳定性和安全性。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B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8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153AE4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r>
      <w:tr w14:paraId="524D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3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F3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辅材</w:t>
            </w:r>
          </w:p>
        </w:tc>
        <w:tc>
          <w:tcPr>
            <w:tcW w:w="3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DF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音频线、HDMI线、电源线、网线、高清分配器、水晶头、胶布、扎带、不锈钢地槽、螺丝、膨胀管等所有线材辅材。</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FD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59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5F135D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r>
      <w:tr w14:paraId="55B0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7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BF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系统集成</w:t>
            </w:r>
          </w:p>
        </w:tc>
        <w:tc>
          <w:tcPr>
            <w:tcW w:w="3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C9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旧设备拆除、搬运，音频线、HDMI线、网线等线缆敷设，系统融合安装、调试、运输、施工、售后服务及其它。</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0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D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9F98D8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r>
    </w:tbl>
    <w:p w14:paraId="77D4FA7F">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482" w:firstLineChars="20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三、商务要求</w:t>
      </w:r>
    </w:p>
    <w:p w14:paraId="437BA85A">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1.合同履行期：</w:t>
      </w:r>
      <w:r>
        <w:rPr>
          <w:rFonts w:hint="eastAsia" w:ascii="宋体" w:hAnsi="宋体" w:cs="宋体"/>
          <w:i w:val="0"/>
          <w:iCs w:val="0"/>
          <w:color w:val="auto"/>
          <w:kern w:val="0"/>
          <w:sz w:val="24"/>
          <w:szCs w:val="24"/>
          <w:u w:val="none"/>
          <w:lang w:val="en-US" w:eastAsia="zh-CN" w:bidi="ar"/>
        </w:rPr>
        <w:t>在合同签订后30日历天内完成项目所有软硬件的供货、安装、调试、培训等。</w:t>
      </w:r>
    </w:p>
    <w:p w14:paraId="026319BC">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480" w:firstLineChars="20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2.服务地点：采购人指定地点。</w:t>
      </w:r>
    </w:p>
    <w:p w14:paraId="72679A9C">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480" w:firstLineChars="20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3.质保期:自验收合格之日起不低于1年。</w:t>
      </w:r>
    </w:p>
    <w:p w14:paraId="3E975389">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r>
        <w:rPr>
          <w:rFonts w:hint="eastAsia" w:ascii="宋体" w:hAnsi="宋体" w:eastAsia="宋体" w:cs="宋体"/>
          <w:i w:val="0"/>
          <w:iCs w:val="0"/>
          <w:color w:val="auto"/>
          <w:kern w:val="0"/>
          <w:sz w:val="24"/>
          <w:szCs w:val="24"/>
          <w:u w:val="none"/>
          <w:lang w:val="en-US" w:eastAsia="zh-CN" w:bidi="ar"/>
        </w:rPr>
        <w:t>.合同价款：合同总价包括完成本项目所要求等全部采购内容所需的费用，包括软硬件产品的报价、运杂费、安装调试费、相关服务费及国家按现行税收政策征收的一切税费等。</w:t>
      </w:r>
    </w:p>
    <w:p w14:paraId="59DC02B2">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.付款方式：</w:t>
      </w:r>
      <w:r>
        <w:rPr>
          <w:rFonts w:hint="eastAsia" w:asciiTheme="minorEastAsia" w:hAnsiTheme="minorEastAsia" w:eastAsiaTheme="minorEastAsia"/>
          <w:color w:val="auto"/>
          <w:sz w:val="24"/>
          <w:szCs w:val="24"/>
          <w:lang w:eastAsia="zh-CN"/>
        </w:rPr>
        <w:t>合同签订后付</w:t>
      </w:r>
      <w:r>
        <w:rPr>
          <w:rFonts w:hint="eastAsia" w:asciiTheme="minorEastAsia" w:hAnsiTheme="minorEastAsia" w:eastAsiaTheme="minorEastAsia"/>
          <w:color w:val="auto"/>
          <w:sz w:val="24"/>
          <w:szCs w:val="24"/>
          <w:lang w:val="en-US" w:eastAsia="zh-CN"/>
        </w:rPr>
        <w:t>合同总价款的</w:t>
      </w:r>
      <w:r>
        <w:rPr>
          <w:rFonts w:hint="eastAsia" w:asciiTheme="minorEastAsia" w:hAnsiTheme="minorEastAsia" w:eastAsiaTheme="minorEastAsia"/>
          <w:color w:val="auto"/>
          <w:sz w:val="24"/>
          <w:szCs w:val="24"/>
          <w:lang w:eastAsia="zh-CN"/>
        </w:rPr>
        <w:t>40%，安装调试验收合格后</w:t>
      </w:r>
      <w:r>
        <w:rPr>
          <w:rFonts w:hint="eastAsia" w:asciiTheme="minorEastAsia" w:hAnsiTheme="minorEastAsia" w:eastAsiaTheme="minorEastAsia"/>
          <w:color w:val="auto"/>
          <w:sz w:val="24"/>
          <w:szCs w:val="24"/>
          <w:lang w:val="en-US" w:eastAsia="zh-CN"/>
        </w:rPr>
        <w:t>付合同总价款的</w:t>
      </w:r>
      <w:r>
        <w:rPr>
          <w:rFonts w:hint="eastAsia" w:asciiTheme="minorEastAsia" w:hAnsiTheme="minorEastAsia" w:eastAsiaTheme="minorEastAsia"/>
          <w:color w:val="auto"/>
          <w:sz w:val="24"/>
          <w:szCs w:val="24"/>
          <w:lang w:eastAsia="zh-CN"/>
        </w:rPr>
        <w:t>60%。付款前，中标供应商应为采购人开具全额的增值税电子发票</w:t>
      </w:r>
      <w:r>
        <w:rPr>
          <w:rFonts w:hint="eastAsia" w:ascii="宋体" w:hAnsi="宋体" w:eastAsia="宋体" w:cs="宋体"/>
          <w:i w:val="0"/>
          <w:iCs w:val="0"/>
          <w:color w:val="auto"/>
          <w:kern w:val="0"/>
          <w:sz w:val="24"/>
          <w:szCs w:val="24"/>
          <w:u w:val="none"/>
          <w:lang w:val="en-US" w:eastAsia="zh-CN" w:bidi="ar"/>
        </w:rPr>
        <w:t>。</w:t>
      </w:r>
    </w:p>
    <w:p w14:paraId="49ECDE62">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6.运输及安装:中标供应商负责办理设备运抵采购人指定交货地点的一切运输事项，承担验收前的一切风险、责任和费用。负责产品安装调试、系统对接、利旧改造等事项，完成后应达到预期效果。</w:t>
      </w:r>
    </w:p>
    <w:p w14:paraId="5A5D4772">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480" w:firstLineChars="200"/>
        <w:jc w:val="left"/>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w:t>
      </w:r>
      <w:r>
        <w:rPr>
          <w:rFonts w:hint="default" w:ascii="宋体" w:hAnsi="宋体" w:cs="宋体"/>
          <w:i w:val="0"/>
          <w:iCs w:val="0"/>
          <w:color w:val="auto"/>
          <w:kern w:val="0"/>
          <w:sz w:val="24"/>
          <w:szCs w:val="24"/>
          <w:u w:val="none"/>
          <w:lang w:val="en-US" w:eastAsia="zh-CN" w:bidi="ar"/>
        </w:rPr>
        <w:t>.验收</w:t>
      </w:r>
    </w:p>
    <w:p w14:paraId="19EBEA37">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480" w:firstLineChars="200"/>
        <w:jc w:val="left"/>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7.1</w:t>
      </w:r>
      <w:r>
        <w:rPr>
          <w:rFonts w:hint="default" w:ascii="宋体" w:hAnsi="宋体" w:cs="宋体"/>
          <w:i w:val="0"/>
          <w:iCs w:val="0"/>
          <w:color w:val="auto"/>
          <w:kern w:val="0"/>
          <w:sz w:val="24"/>
          <w:szCs w:val="24"/>
          <w:u w:val="none"/>
          <w:lang w:val="en-US" w:eastAsia="zh-CN" w:bidi="ar"/>
        </w:rPr>
        <w:t>验收标准:升级改造后的系统需与审判系统对接，支持全国“一张网”办公办案平台系统对接，主要功能包含:排期管理，音视频连接与控制，庭审录音录像、笔录制作、笔录模板、笔录同步、电子捺印辅助等功能</w:t>
      </w:r>
      <w:r>
        <w:rPr>
          <w:rFonts w:hint="eastAsia" w:ascii="宋体" w:hAnsi="宋体" w:cs="宋体"/>
          <w:i w:val="0"/>
          <w:iCs w:val="0"/>
          <w:color w:val="auto"/>
          <w:kern w:val="0"/>
          <w:sz w:val="24"/>
          <w:szCs w:val="24"/>
          <w:u w:val="none"/>
          <w:lang w:val="en-US" w:eastAsia="zh-CN" w:bidi="ar"/>
        </w:rPr>
        <w:t>；</w:t>
      </w:r>
      <w:r>
        <w:rPr>
          <w:rFonts w:hint="default" w:ascii="宋体" w:hAnsi="宋体" w:cs="宋体"/>
          <w:i w:val="0"/>
          <w:iCs w:val="0"/>
          <w:color w:val="auto"/>
          <w:kern w:val="0"/>
          <w:sz w:val="24"/>
          <w:szCs w:val="24"/>
          <w:u w:val="none"/>
          <w:lang w:val="en-US" w:eastAsia="zh-CN" w:bidi="ar"/>
        </w:rPr>
        <w:t>与陕西省高级人民法院审务督察系统数据无缝对接，保证庭审音视频文件实时</w:t>
      </w:r>
      <w:r>
        <w:rPr>
          <w:rFonts w:hint="eastAsia" w:ascii="宋体" w:hAnsi="宋体" w:cs="宋体"/>
          <w:i w:val="0"/>
          <w:iCs w:val="0"/>
          <w:color w:val="auto"/>
          <w:kern w:val="0"/>
          <w:sz w:val="24"/>
          <w:szCs w:val="24"/>
          <w:u w:val="none"/>
          <w:lang w:val="en-US" w:eastAsia="zh-CN" w:bidi="ar"/>
        </w:rPr>
        <w:t>上报；</w:t>
      </w:r>
      <w:r>
        <w:rPr>
          <w:rFonts w:hint="default" w:ascii="宋体" w:hAnsi="宋体" w:cs="宋体"/>
          <w:i w:val="0"/>
          <w:iCs w:val="0"/>
          <w:color w:val="auto"/>
          <w:kern w:val="0"/>
          <w:sz w:val="24"/>
          <w:szCs w:val="24"/>
          <w:u w:val="none"/>
          <w:lang w:val="en-US" w:eastAsia="zh-CN" w:bidi="ar"/>
        </w:rPr>
        <w:t>与本院现有庭审资源管理平台实现无缝对接</w:t>
      </w:r>
      <w:r>
        <w:rPr>
          <w:rFonts w:hint="eastAsia" w:ascii="宋体" w:hAnsi="宋体" w:cs="宋体"/>
          <w:i w:val="0"/>
          <w:iCs w:val="0"/>
          <w:color w:val="auto"/>
          <w:kern w:val="0"/>
          <w:sz w:val="24"/>
          <w:szCs w:val="24"/>
          <w:u w:val="none"/>
          <w:lang w:val="en-US" w:eastAsia="zh-CN" w:bidi="ar"/>
        </w:rPr>
        <w:t>；</w:t>
      </w:r>
      <w:r>
        <w:rPr>
          <w:rFonts w:hint="default" w:ascii="宋体" w:hAnsi="宋体" w:cs="宋体"/>
          <w:i w:val="0"/>
          <w:iCs w:val="0"/>
          <w:color w:val="auto"/>
          <w:kern w:val="0"/>
          <w:sz w:val="24"/>
          <w:szCs w:val="24"/>
          <w:u w:val="none"/>
          <w:lang w:val="en-US" w:eastAsia="zh-CN" w:bidi="ar"/>
        </w:rPr>
        <w:t>实现人民法庭与镇综治、村社区视频网络互联互通。</w:t>
      </w:r>
    </w:p>
    <w:p w14:paraId="69496BF0">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480" w:firstLineChars="200"/>
        <w:jc w:val="left"/>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7.2</w:t>
      </w:r>
      <w:r>
        <w:rPr>
          <w:rFonts w:hint="default" w:ascii="宋体" w:hAnsi="宋体" w:cs="宋体"/>
          <w:i w:val="0"/>
          <w:iCs w:val="0"/>
          <w:color w:val="auto"/>
          <w:kern w:val="0"/>
          <w:sz w:val="24"/>
          <w:szCs w:val="24"/>
          <w:u w:val="none"/>
          <w:lang w:val="en-US" w:eastAsia="zh-CN" w:bidi="ar"/>
        </w:rPr>
        <w:t>验收内容包括确认软硬件产品的规格、数量、技术参数和系统运行情况等。</w:t>
      </w:r>
    </w:p>
    <w:p w14:paraId="7837CC3C">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480" w:firstLineChars="200"/>
        <w:jc w:val="left"/>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7.3</w:t>
      </w:r>
      <w:r>
        <w:rPr>
          <w:rFonts w:hint="default" w:ascii="宋体" w:hAnsi="宋体" w:cs="宋体"/>
          <w:i w:val="0"/>
          <w:iCs w:val="0"/>
          <w:color w:val="auto"/>
          <w:kern w:val="0"/>
          <w:sz w:val="24"/>
          <w:szCs w:val="24"/>
          <w:u w:val="none"/>
          <w:lang w:val="en-US" w:eastAsia="zh-CN" w:bidi="ar"/>
        </w:rPr>
        <w:t>验收合格后，填写验收单，双方签字生效。</w:t>
      </w:r>
    </w:p>
    <w:p w14:paraId="7D9DA2B0">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480" w:firstLineChars="200"/>
        <w:jc w:val="left"/>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w:t>
      </w:r>
      <w:r>
        <w:rPr>
          <w:rFonts w:hint="default" w:ascii="宋体" w:hAnsi="宋体" w:cs="宋体"/>
          <w:i w:val="0"/>
          <w:iCs w:val="0"/>
          <w:color w:val="auto"/>
          <w:kern w:val="0"/>
          <w:sz w:val="24"/>
          <w:szCs w:val="24"/>
          <w:u w:val="none"/>
          <w:lang w:val="en-US" w:eastAsia="zh-CN" w:bidi="ar"/>
        </w:rPr>
        <w:t>售后服务:服务期内中标供应商负责对其提供的软硬件产品、平台进行维修维护，不再收取任何费用，但不可抗力(如火灾、雷击等)造成的故障除外。</w:t>
      </w:r>
    </w:p>
    <w:p w14:paraId="4A244E04">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480" w:firstLineChars="200"/>
        <w:jc w:val="left"/>
        <w:textAlignment w:val="center"/>
        <w:rPr>
          <w:rFonts w:hint="default" w:ascii="宋体" w:hAnsi="宋体" w:cs="宋体"/>
          <w:i w:val="0"/>
          <w:iCs w:val="0"/>
          <w:color w:val="auto"/>
          <w:kern w:val="0"/>
          <w:sz w:val="24"/>
          <w:szCs w:val="24"/>
          <w:u w:val="none"/>
          <w:lang w:val="en-US" w:eastAsia="zh-CN" w:bidi="ar"/>
        </w:rPr>
        <w:sectPr>
          <w:pgSz w:w="11906" w:h="16838"/>
          <w:pgMar w:top="1417" w:right="1417" w:bottom="1417" w:left="1417" w:header="1134" w:footer="992" w:gutter="0"/>
          <w:pgBorders>
            <w:top w:val="none" w:sz="0" w:space="0"/>
            <w:left w:val="none" w:sz="0" w:space="0"/>
            <w:bottom w:val="none" w:sz="0" w:space="0"/>
            <w:right w:val="none" w:sz="0" w:space="0"/>
          </w:pgBorders>
          <w:pgNumType w:fmt="decimal"/>
          <w:cols w:space="0" w:num="1"/>
          <w:titlePg/>
          <w:docGrid w:type="lines" w:linePitch="326" w:charSpace="0"/>
        </w:sectPr>
      </w:pPr>
      <w:r>
        <w:rPr>
          <w:rFonts w:hint="default" w:ascii="宋体" w:hAnsi="宋体" w:cs="宋体"/>
          <w:i w:val="0"/>
          <w:iCs w:val="0"/>
          <w:color w:val="auto"/>
          <w:kern w:val="0"/>
          <w:sz w:val="24"/>
          <w:szCs w:val="24"/>
          <w:u w:val="none"/>
          <w:lang w:val="en-US" w:eastAsia="zh-CN" w:bidi="ar"/>
        </w:rPr>
        <w:t>9.违约责任:依据《中华人民共和国民法典》《中华人民共和国政府采购法》的相关条款和本合同约定，未按合同要求提供货物或设备质量不能满足技术要求，采购人会同监督单位终止合同，甚至对供方违约行为进行追究。</w:t>
      </w:r>
    </w:p>
    <w:bookmarkEnd w:id="134"/>
    <w:p w14:paraId="72CCBFC4">
      <w:pPr>
        <w:pStyle w:val="2"/>
        <w:pageBreakBefore/>
        <w:numPr>
          <w:ilvl w:val="0"/>
          <w:numId w:val="7"/>
        </w:numPr>
        <w:rPr>
          <w:rFonts w:ascii="宋体" w:hAnsi="宋体" w:cs="宋体"/>
          <w:color w:val="auto"/>
        </w:rPr>
      </w:pPr>
      <w:r>
        <w:rPr>
          <w:rFonts w:hint="eastAsia" w:ascii="宋体" w:hAnsi="宋体" w:cs="宋体"/>
          <w:color w:val="auto"/>
        </w:rPr>
        <w:t xml:space="preserve">   </w:t>
      </w:r>
      <w:bookmarkEnd w:id="132"/>
      <w:bookmarkEnd w:id="133"/>
      <w:bookmarkEnd w:id="135"/>
      <w:bookmarkEnd w:id="136"/>
      <w:bookmarkEnd w:id="137"/>
      <w:bookmarkEnd w:id="138"/>
      <w:bookmarkEnd w:id="139"/>
      <w:bookmarkStart w:id="141" w:name="_Toc3837039"/>
      <w:bookmarkStart w:id="142" w:name="_Toc30964"/>
      <w:r>
        <w:rPr>
          <w:rFonts w:hint="eastAsia" w:ascii="宋体" w:hAnsi="宋体" w:cs="宋体"/>
          <w:color w:val="auto"/>
        </w:rPr>
        <w:t>商务及合同主要条款</w:t>
      </w:r>
      <w:bookmarkEnd w:id="140"/>
      <w:bookmarkEnd w:id="141"/>
      <w:bookmarkEnd w:id="142"/>
    </w:p>
    <w:p w14:paraId="54066CE6">
      <w:pPr>
        <w:spacing w:line="360" w:lineRule="auto"/>
        <w:jc w:val="center"/>
        <w:rPr>
          <w:rFonts w:hint="eastAsia" w:ascii="宋体" w:hAnsi="宋体" w:eastAsia="宋体" w:cs="宋体"/>
          <w:b/>
          <w:bCs/>
          <w:color w:val="auto"/>
          <w:sz w:val="24"/>
          <w:szCs w:val="24"/>
        </w:rPr>
      </w:pPr>
    </w:p>
    <w:p w14:paraId="3E1AE9DA">
      <w:pPr>
        <w:tabs>
          <w:tab w:val="left" w:pos="3285"/>
        </w:tabs>
        <w:jc w:val="center"/>
        <w:rPr>
          <w:rFonts w:hint="eastAsia" w:ascii="宋体" w:hAnsi="宋体"/>
          <w:b/>
          <w:bCs/>
          <w:color w:val="auto"/>
          <w:sz w:val="44"/>
          <w:szCs w:val="44"/>
          <w:lang w:eastAsia="zh-CN"/>
        </w:rPr>
      </w:pPr>
      <w:r>
        <w:rPr>
          <w:rFonts w:hint="eastAsia" w:ascii="宋体" w:hAnsi="宋体"/>
          <w:b/>
          <w:bCs/>
          <w:color w:val="auto"/>
          <w:sz w:val="44"/>
          <w:szCs w:val="44"/>
          <w:lang w:eastAsia="zh-CN"/>
        </w:rPr>
        <w:t>院机关第一审判庭系统升级改造项目</w:t>
      </w:r>
    </w:p>
    <w:p w14:paraId="2B0CBFD1">
      <w:pPr>
        <w:tabs>
          <w:tab w:val="left" w:pos="3285"/>
        </w:tabs>
        <w:jc w:val="center"/>
        <w:rPr>
          <w:rFonts w:ascii="宋体"/>
          <w:b/>
          <w:bCs/>
          <w:color w:val="auto"/>
          <w:sz w:val="44"/>
          <w:szCs w:val="44"/>
        </w:rPr>
      </w:pPr>
      <w:r>
        <w:rPr>
          <w:rFonts w:hint="eastAsia" w:ascii="宋体" w:hAnsi="宋体"/>
          <w:b/>
          <w:bCs/>
          <w:color w:val="auto"/>
          <w:sz w:val="44"/>
          <w:szCs w:val="44"/>
          <w:lang w:val="en-US" w:eastAsia="zh-CN"/>
        </w:rPr>
        <w:t>采购</w:t>
      </w:r>
      <w:r>
        <w:rPr>
          <w:rFonts w:hint="eastAsia" w:ascii="宋体" w:hAnsi="宋体"/>
          <w:b/>
          <w:bCs/>
          <w:color w:val="auto"/>
          <w:sz w:val="44"/>
          <w:szCs w:val="44"/>
        </w:rPr>
        <w:t>合同</w:t>
      </w:r>
    </w:p>
    <w:p w14:paraId="5CB13C30">
      <w:pPr>
        <w:rPr>
          <w:rFonts w:ascii="宋体"/>
          <w:b/>
          <w:bCs/>
          <w:color w:val="auto"/>
          <w:sz w:val="30"/>
        </w:rPr>
      </w:pPr>
    </w:p>
    <w:p w14:paraId="562AAB9E">
      <w:pPr>
        <w:rPr>
          <w:rFonts w:ascii="宋体"/>
          <w:b/>
          <w:bCs/>
          <w:color w:val="auto"/>
          <w:sz w:val="30"/>
        </w:rPr>
      </w:pPr>
    </w:p>
    <w:p w14:paraId="7837741B">
      <w:pPr>
        <w:tabs>
          <w:tab w:val="left" w:pos="3285"/>
        </w:tabs>
        <w:jc w:val="both"/>
        <w:rPr>
          <w:rFonts w:hint="eastAsia" w:ascii="宋体" w:hAnsi="宋体"/>
          <w:b/>
          <w:color w:val="auto"/>
          <w:sz w:val="32"/>
          <w:szCs w:val="32"/>
        </w:rPr>
      </w:pPr>
      <w:r>
        <w:rPr>
          <w:rFonts w:hint="eastAsia" w:ascii="宋体" w:hAnsi="宋体"/>
          <w:b/>
          <w:bCs/>
          <w:color w:val="auto"/>
          <w:sz w:val="32"/>
          <w:szCs w:val="32"/>
          <w:lang w:val="en-US" w:eastAsia="zh-CN"/>
        </w:rPr>
        <w:t>项目</w:t>
      </w:r>
      <w:r>
        <w:rPr>
          <w:rFonts w:hint="eastAsia" w:ascii="宋体" w:hAnsi="宋体"/>
          <w:b/>
          <w:bCs/>
          <w:color w:val="auto"/>
          <w:sz w:val="32"/>
          <w:szCs w:val="32"/>
        </w:rPr>
        <w:t>名</w:t>
      </w:r>
      <w:r>
        <w:rPr>
          <w:rFonts w:hint="eastAsia" w:ascii="宋体" w:hAnsi="宋体"/>
          <w:b/>
          <w:color w:val="auto"/>
          <w:sz w:val="32"/>
          <w:szCs w:val="32"/>
        </w:rPr>
        <w:t>称：</w:t>
      </w:r>
    </w:p>
    <w:p w14:paraId="7A4FD13E">
      <w:pPr>
        <w:tabs>
          <w:tab w:val="left" w:pos="3285"/>
        </w:tabs>
        <w:ind w:firstLine="157" w:firstLineChars="49"/>
        <w:jc w:val="left"/>
        <w:rPr>
          <w:rFonts w:hint="eastAsia" w:ascii="宋体" w:hAnsi="宋体"/>
          <w:b/>
          <w:bCs/>
          <w:color w:val="auto"/>
          <w:sz w:val="32"/>
          <w:szCs w:val="32"/>
        </w:rPr>
      </w:pPr>
    </w:p>
    <w:p w14:paraId="08EB00F8">
      <w:pPr>
        <w:tabs>
          <w:tab w:val="left" w:pos="3285"/>
        </w:tabs>
        <w:ind w:firstLine="157" w:firstLineChars="49"/>
        <w:jc w:val="left"/>
        <w:rPr>
          <w:rFonts w:hint="eastAsia" w:ascii="宋体" w:hAnsi="宋体"/>
          <w:b/>
          <w:bCs/>
          <w:color w:val="auto"/>
          <w:sz w:val="32"/>
          <w:szCs w:val="32"/>
        </w:rPr>
      </w:pPr>
    </w:p>
    <w:p w14:paraId="6C76E133">
      <w:pPr>
        <w:tabs>
          <w:tab w:val="left" w:pos="3285"/>
        </w:tabs>
        <w:jc w:val="left"/>
        <w:rPr>
          <w:rFonts w:hint="default" w:ascii="宋体" w:eastAsia="宋体"/>
          <w:b/>
          <w:color w:val="auto"/>
          <w:sz w:val="32"/>
          <w:szCs w:val="32"/>
          <w:lang w:val="en-US" w:eastAsia="zh-CN"/>
        </w:rPr>
      </w:pPr>
      <w:r>
        <w:rPr>
          <w:rFonts w:hint="eastAsia" w:ascii="宋体" w:hAnsi="宋体"/>
          <w:b/>
          <w:bCs/>
          <w:color w:val="auto"/>
          <w:sz w:val="32"/>
          <w:szCs w:val="32"/>
          <w:lang w:val="en-US" w:eastAsia="zh-CN"/>
        </w:rPr>
        <w:t>项目</w:t>
      </w:r>
      <w:r>
        <w:rPr>
          <w:rFonts w:hint="eastAsia" w:ascii="宋体" w:hAnsi="宋体"/>
          <w:b/>
          <w:bCs/>
          <w:color w:val="auto"/>
          <w:sz w:val="32"/>
          <w:szCs w:val="32"/>
        </w:rPr>
        <w:t>地点：</w:t>
      </w:r>
      <w:r>
        <w:rPr>
          <w:rFonts w:ascii="宋体" w:hAnsi="宋体"/>
          <w:b/>
          <w:bCs/>
          <w:color w:val="auto"/>
          <w:sz w:val="32"/>
          <w:szCs w:val="32"/>
        </w:rPr>
        <w:t xml:space="preserve">  </w:t>
      </w:r>
    </w:p>
    <w:p w14:paraId="02E70AC8">
      <w:pPr>
        <w:tabs>
          <w:tab w:val="left" w:pos="3285"/>
        </w:tabs>
        <w:jc w:val="left"/>
        <w:rPr>
          <w:rFonts w:ascii="宋体"/>
          <w:b/>
          <w:bCs/>
          <w:color w:val="auto"/>
          <w:sz w:val="32"/>
          <w:szCs w:val="32"/>
        </w:rPr>
      </w:pPr>
    </w:p>
    <w:p w14:paraId="7C8EE745">
      <w:pPr>
        <w:tabs>
          <w:tab w:val="left" w:pos="3285"/>
        </w:tabs>
        <w:jc w:val="left"/>
        <w:rPr>
          <w:rFonts w:ascii="宋体"/>
          <w:b/>
          <w:bCs/>
          <w:color w:val="auto"/>
          <w:sz w:val="32"/>
          <w:szCs w:val="32"/>
        </w:rPr>
      </w:pPr>
      <w:r>
        <w:rPr>
          <w:rFonts w:hint="eastAsia" w:ascii="宋体" w:hAnsi="宋体"/>
          <w:b/>
          <w:bCs/>
          <w:color w:val="auto"/>
          <w:sz w:val="32"/>
          <w:szCs w:val="32"/>
          <w:lang w:val="en-US" w:eastAsia="zh-CN"/>
        </w:rPr>
        <w:t>甲  方</w:t>
      </w:r>
      <w:r>
        <w:rPr>
          <w:rFonts w:hint="eastAsia" w:ascii="宋体" w:hAnsi="宋体"/>
          <w:b/>
          <w:bCs/>
          <w:color w:val="auto"/>
          <w:sz w:val="32"/>
          <w:szCs w:val="32"/>
        </w:rPr>
        <w:t>：</w:t>
      </w:r>
      <w:r>
        <w:rPr>
          <w:rFonts w:ascii="宋体" w:hAnsi="宋体"/>
          <w:b/>
          <w:bCs/>
          <w:color w:val="auto"/>
          <w:sz w:val="32"/>
          <w:szCs w:val="32"/>
        </w:rPr>
        <w:t xml:space="preserve">  </w:t>
      </w:r>
    </w:p>
    <w:p w14:paraId="4680EDAC">
      <w:pPr>
        <w:tabs>
          <w:tab w:val="left" w:pos="3285"/>
        </w:tabs>
        <w:jc w:val="left"/>
        <w:rPr>
          <w:rFonts w:hint="default" w:ascii="宋体" w:eastAsia="宋体"/>
          <w:b/>
          <w:bCs/>
          <w:color w:val="auto"/>
          <w:sz w:val="32"/>
          <w:szCs w:val="32"/>
          <w:lang w:val="en-US" w:eastAsia="zh-CN"/>
        </w:rPr>
      </w:pPr>
      <w:r>
        <w:rPr>
          <w:rFonts w:hint="eastAsia" w:ascii="宋体" w:hAnsi="宋体"/>
          <w:b/>
          <w:bCs/>
          <w:color w:val="auto"/>
          <w:sz w:val="32"/>
          <w:szCs w:val="32"/>
        </w:rPr>
        <w:t>地</w:t>
      </w:r>
      <w:r>
        <w:rPr>
          <w:rFonts w:ascii="宋体" w:hAnsi="宋体"/>
          <w:b/>
          <w:bCs/>
          <w:color w:val="auto"/>
          <w:sz w:val="32"/>
          <w:szCs w:val="32"/>
        </w:rPr>
        <w:t xml:space="preserve"> </w:t>
      </w:r>
      <w:r>
        <w:rPr>
          <w:rFonts w:hint="eastAsia" w:ascii="宋体" w:hAnsi="宋体"/>
          <w:b/>
          <w:bCs/>
          <w:color w:val="auto"/>
          <w:sz w:val="32"/>
          <w:szCs w:val="32"/>
          <w:lang w:val="en-US" w:eastAsia="zh-CN"/>
        </w:rPr>
        <w:t xml:space="preserve"> </w:t>
      </w:r>
      <w:r>
        <w:rPr>
          <w:rFonts w:hint="eastAsia" w:ascii="宋体" w:hAnsi="宋体"/>
          <w:b/>
          <w:bCs/>
          <w:color w:val="auto"/>
          <w:sz w:val="32"/>
          <w:szCs w:val="32"/>
        </w:rPr>
        <w:t>点：</w:t>
      </w:r>
      <w:r>
        <w:rPr>
          <w:rFonts w:ascii="宋体" w:hAnsi="宋体"/>
          <w:b/>
          <w:bCs/>
          <w:color w:val="auto"/>
          <w:sz w:val="32"/>
          <w:szCs w:val="32"/>
        </w:rPr>
        <w:t xml:space="preserve">  </w:t>
      </w:r>
    </w:p>
    <w:p w14:paraId="11840495">
      <w:pPr>
        <w:tabs>
          <w:tab w:val="left" w:pos="3285"/>
        </w:tabs>
        <w:jc w:val="left"/>
        <w:rPr>
          <w:rFonts w:ascii="宋体"/>
          <w:b/>
          <w:bCs/>
          <w:color w:val="auto"/>
          <w:sz w:val="32"/>
          <w:szCs w:val="32"/>
        </w:rPr>
      </w:pPr>
    </w:p>
    <w:p w14:paraId="671003FC">
      <w:pPr>
        <w:tabs>
          <w:tab w:val="left" w:pos="3285"/>
        </w:tabs>
        <w:ind w:firstLine="157" w:firstLineChars="49"/>
        <w:jc w:val="left"/>
        <w:rPr>
          <w:rFonts w:hint="eastAsia" w:ascii="宋体" w:hAnsi="宋体"/>
          <w:b/>
          <w:bCs/>
          <w:color w:val="auto"/>
          <w:sz w:val="32"/>
          <w:szCs w:val="32"/>
        </w:rPr>
      </w:pPr>
      <w:r>
        <w:rPr>
          <w:rFonts w:hint="eastAsia" w:ascii="宋体" w:hAnsi="宋体"/>
          <w:b/>
          <w:bCs/>
          <w:color w:val="auto"/>
          <w:sz w:val="32"/>
          <w:szCs w:val="32"/>
          <w:lang w:val="en-US" w:eastAsia="zh-CN"/>
        </w:rPr>
        <w:t>乙  方</w:t>
      </w:r>
      <w:r>
        <w:rPr>
          <w:rFonts w:hint="eastAsia" w:ascii="宋体" w:hAnsi="宋体"/>
          <w:b/>
          <w:bCs/>
          <w:color w:val="auto"/>
          <w:sz w:val="32"/>
          <w:szCs w:val="32"/>
        </w:rPr>
        <w:t xml:space="preserve">：  </w:t>
      </w:r>
    </w:p>
    <w:p w14:paraId="584579BE">
      <w:pPr>
        <w:tabs>
          <w:tab w:val="left" w:pos="3285"/>
        </w:tabs>
        <w:ind w:firstLine="157" w:firstLineChars="49"/>
        <w:jc w:val="left"/>
        <w:rPr>
          <w:rFonts w:hint="eastAsia" w:ascii="宋体" w:hAnsi="宋体" w:eastAsia="宋体" w:cs="Times New Roman"/>
          <w:b/>
          <w:bCs/>
          <w:color w:val="auto"/>
          <w:sz w:val="32"/>
          <w:szCs w:val="32"/>
          <w:lang w:val="en-US" w:eastAsia="zh-CN"/>
        </w:rPr>
      </w:pPr>
      <w:r>
        <w:rPr>
          <w:rFonts w:hint="eastAsia" w:ascii="宋体" w:hAnsi="宋体" w:eastAsia="宋体" w:cs="Times New Roman"/>
          <w:b/>
          <w:bCs/>
          <w:color w:val="auto"/>
          <w:sz w:val="32"/>
          <w:szCs w:val="32"/>
          <w:lang w:val="en-US" w:eastAsia="zh-CN"/>
        </w:rPr>
        <w:t xml:space="preserve">地  点：  </w:t>
      </w:r>
    </w:p>
    <w:p w14:paraId="00DE321E">
      <w:pPr>
        <w:tabs>
          <w:tab w:val="left" w:pos="3285"/>
        </w:tabs>
        <w:rPr>
          <w:rFonts w:ascii="宋体"/>
          <w:b/>
          <w:bCs/>
          <w:color w:val="auto"/>
          <w:sz w:val="30"/>
        </w:rPr>
      </w:pPr>
    </w:p>
    <w:p w14:paraId="740260BC">
      <w:pPr>
        <w:tabs>
          <w:tab w:val="left" w:pos="3285"/>
        </w:tabs>
        <w:rPr>
          <w:rFonts w:ascii="宋体"/>
          <w:b/>
          <w:bCs/>
          <w:color w:val="auto"/>
          <w:sz w:val="30"/>
        </w:rPr>
      </w:pPr>
    </w:p>
    <w:p w14:paraId="42BC0B8E">
      <w:pPr>
        <w:tabs>
          <w:tab w:val="left" w:pos="3285"/>
        </w:tabs>
        <w:ind w:firstLine="148" w:firstLineChars="49"/>
        <w:rPr>
          <w:rFonts w:hint="eastAsia" w:ascii="宋体" w:hAnsi="宋体"/>
          <w:b/>
          <w:bCs/>
          <w:color w:val="auto"/>
          <w:sz w:val="30"/>
          <w:szCs w:val="30"/>
        </w:rPr>
      </w:pPr>
    </w:p>
    <w:p w14:paraId="13896BE4">
      <w:pPr>
        <w:tabs>
          <w:tab w:val="left" w:pos="3285"/>
        </w:tabs>
        <w:ind w:firstLine="148" w:firstLineChars="49"/>
        <w:rPr>
          <w:rFonts w:hint="eastAsia" w:ascii="宋体" w:hAnsi="宋体"/>
          <w:b/>
          <w:bCs/>
          <w:color w:val="auto"/>
          <w:sz w:val="30"/>
          <w:szCs w:val="30"/>
        </w:rPr>
      </w:pPr>
      <w:r>
        <w:rPr>
          <w:rFonts w:hint="eastAsia" w:ascii="宋体" w:hAnsi="宋体"/>
          <w:b/>
          <w:bCs/>
          <w:color w:val="auto"/>
          <w:sz w:val="30"/>
          <w:szCs w:val="30"/>
        </w:rPr>
        <w:t xml:space="preserve">签订日期：  </w:t>
      </w:r>
      <w:r>
        <w:rPr>
          <w:rFonts w:hint="eastAsia" w:ascii="宋体" w:hAnsi="宋体"/>
          <w:b/>
          <w:bCs/>
          <w:color w:val="auto"/>
          <w:sz w:val="30"/>
          <w:szCs w:val="30"/>
          <w:lang w:val="en-US" w:eastAsia="zh-CN"/>
        </w:rPr>
        <w:t xml:space="preserve">   </w:t>
      </w:r>
      <w:r>
        <w:rPr>
          <w:rFonts w:ascii="宋体" w:hAnsi="宋体"/>
          <w:b/>
          <w:bCs/>
          <w:color w:val="auto"/>
          <w:sz w:val="30"/>
          <w:szCs w:val="30"/>
        </w:rPr>
        <w:t xml:space="preserve"> </w:t>
      </w:r>
      <w:r>
        <w:rPr>
          <w:rFonts w:hint="eastAsia" w:ascii="宋体" w:hAnsi="宋体"/>
          <w:b/>
          <w:bCs/>
          <w:color w:val="auto"/>
          <w:sz w:val="30"/>
          <w:szCs w:val="30"/>
        </w:rPr>
        <w:t>年</w:t>
      </w:r>
      <w:r>
        <w:rPr>
          <w:rFonts w:hint="eastAsia" w:ascii="宋体" w:hAnsi="宋体"/>
          <w:b/>
          <w:bCs/>
          <w:color w:val="auto"/>
          <w:sz w:val="30"/>
          <w:szCs w:val="30"/>
          <w:lang w:val="en-US" w:eastAsia="zh-CN"/>
        </w:rPr>
        <w:t xml:space="preserve">   </w:t>
      </w:r>
      <w:r>
        <w:rPr>
          <w:rFonts w:hint="eastAsia" w:ascii="宋体" w:hAnsi="宋体"/>
          <w:b/>
          <w:bCs/>
          <w:color w:val="auto"/>
          <w:sz w:val="30"/>
          <w:szCs w:val="30"/>
        </w:rPr>
        <w:t>月</w:t>
      </w:r>
      <w:r>
        <w:rPr>
          <w:rFonts w:hint="eastAsia" w:ascii="宋体" w:hAnsi="宋体"/>
          <w:b/>
          <w:bCs/>
          <w:color w:val="auto"/>
          <w:sz w:val="30"/>
          <w:szCs w:val="30"/>
          <w:lang w:val="en-US" w:eastAsia="zh-CN"/>
        </w:rPr>
        <w:t xml:space="preserve">     </w:t>
      </w:r>
      <w:r>
        <w:rPr>
          <w:rFonts w:hint="eastAsia" w:ascii="宋体" w:hAnsi="宋体"/>
          <w:b/>
          <w:bCs/>
          <w:color w:val="auto"/>
          <w:sz w:val="30"/>
          <w:szCs w:val="30"/>
        </w:rPr>
        <w:t>日</w:t>
      </w:r>
    </w:p>
    <w:p w14:paraId="0E64ED7C">
      <w:pPr>
        <w:tabs>
          <w:tab w:val="left" w:pos="3285"/>
        </w:tabs>
        <w:ind w:firstLine="148" w:firstLineChars="49"/>
        <w:rPr>
          <w:rFonts w:hint="eastAsia" w:ascii="宋体" w:hAnsi="宋体"/>
          <w:b/>
          <w:bCs/>
          <w:color w:val="auto"/>
          <w:sz w:val="30"/>
          <w:szCs w:val="30"/>
        </w:rPr>
      </w:pPr>
    </w:p>
    <w:p w14:paraId="5D5E7016">
      <w:pPr>
        <w:spacing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32"/>
          <w:szCs w:val="32"/>
        </w:rPr>
        <w:t>合同</w:t>
      </w:r>
      <w:r>
        <w:rPr>
          <w:rFonts w:hint="eastAsia" w:ascii="宋体" w:hAnsi="宋体" w:cs="宋体"/>
          <w:b/>
          <w:bCs/>
          <w:color w:val="auto"/>
          <w:sz w:val="32"/>
          <w:szCs w:val="32"/>
          <w:lang w:val="en-US" w:eastAsia="zh-CN"/>
        </w:rPr>
        <w:t>主要条款</w:t>
      </w:r>
    </w:p>
    <w:p w14:paraId="48DC3591">
      <w:pPr>
        <w:pStyle w:val="12"/>
        <w:rPr>
          <w:rFonts w:hint="eastAsia" w:ascii="宋体" w:hAnsi="宋体"/>
          <w:b/>
          <w:bCs/>
          <w:color w:val="auto"/>
          <w:sz w:val="30"/>
          <w:szCs w:val="30"/>
        </w:rPr>
      </w:pPr>
      <w:r>
        <w:rPr>
          <w:rFonts w:hint="eastAsia" w:ascii="宋体" w:hAnsi="宋体" w:cs="宋体"/>
          <w:b/>
          <w:bCs/>
          <w:color w:val="auto"/>
          <w:sz w:val="24"/>
          <w:szCs w:val="24"/>
        </w:rPr>
        <w:t>（说明：本合同作为合同的基本格式，不作为最终合同，甲方有权在签订合同时对合同的相关条款及内容作进一步的细化和修改。）</w:t>
      </w:r>
    </w:p>
    <w:p w14:paraId="5F509A4D">
      <w:pPr>
        <w:rPr>
          <w:rFonts w:hint="eastAsia"/>
          <w:color w:val="auto"/>
        </w:rPr>
      </w:pPr>
    </w:p>
    <w:p w14:paraId="14A7F7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bCs/>
          <w:color w:val="auto"/>
          <w:sz w:val="24"/>
          <w:szCs w:val="32"/>
          <w:lang w:val="en-US" w:eastAsia="zh-CN"/>
        </w:rPr>
      </w:pPr>
      <w:r>
        <w:rPr>
          <w:rFonts w:hint="eastAsia" w:ascii="宋体" w:hAnsi="宋体" w:eastAsia="宋体" w:cs="Times New Roman"/>
          <w:b/>
          <w:bCs/>
          <w:color w:val="auto"/>
          <w:sz w:val="24"/>
          <w:szCs w:val="32"/>
          <w:lang w:val="en-US" w:eastAsia="zh-CN"/>
        </w:rPr>
        <w:t>甲方：</w:t>
      </w:r>
      <w:r>
        <w:rPr>
          <w:rFonts w:hint="eastAsia" w:ascii="宋体" w:hAnsi="宋体" w:cs="Times New Roman"/>
          <w:b/>
          <w:bCs/>
          <w:color w:val="auto"/>
          <w:sz w:val="24"/>
          <w:szCs w:val="32"/>
          <w:u w:val="single"/>
          <w:lang w:val="en-US" w:eastAsia="zh-CN"/>
        </w:rPr>
        <w:t>紫阳县人民法院</w:t>
      </w:r>
      <w:r>
        <w:rPr>
          <w:rFonts w:hint="eastAsia" w:ascii="宋体" w:hAnsi="宋体" w:eastAsia="宋体" w:cs="Times New Roman"/>
          <w:b/>
          <w:bCs/>
          <w:color w:val="auto"/>
          <w:sz w:val="24"/>
          <w:szCs w:val="32"/>
          <w:lang w:val="en-US" w:eastAsia="zh-CN"/>
        </w:rPr>
        <w:t xml:space="preserve"> </w:t>
      </w:r>
    </w:p>
    <w:p w14:paraId="4EA769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bCs/>
          <w:color w:val="auto"/>
          <w:sz w:val="24"/>
          <w:szCs w:val="32"/>
          <w:u w:val="single"/>
          <w:lang w:val="en-US" w:eastAsia="zh-CN"/>
        </w:rPr>
      </w:pPr>
      <w:r>
        <w:rPr>
          <w:rFonts w:hint="eastAsia" w:ascii="宋体" w:hAnsi="宋体" w:eastAsia="宋体" w:cs="Times New Roman"/>
          <w:b/>
          <w:bCs/>
          <w:color w:val="auto"/>
          <w:sz w:val="24"/>
          <w:szCs w:val="32"/>
          <w:lang w:val="en-US" w:eastAsia="zh-CN"/>
        </w:rPr>
        <w:t>乙方：</w:t>
      </w:r>
      <w:r>
        <w:rPr>
          <w:rFonts w:hint="eastAsia" w:ascii="宋体" w:hAnsi="宋体" w:eastAsia="宋体" w:cs="Times New Roman"/>
          <w:b/>
          <w:bCs/>
          <w:color w:val="auto"/>
          <w:sz w:val="24"/>
          <w:szCs w:val="32"/>
          <w:u w:val="single"/>
          <w:lang w:val="en-US" w:eastAsia="zh-CN"/>
        </w:rPr>
        <w:t xml:space="preserve">              </w:t>
      </w:r>
    </w:p>
    <w:p w14:paraId="579CF4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auto"/>
          <w:sz w:val="24"/>
          <w:szCs w:val="32"/>
          <w:lang w:val="en-US" w:eastAsia="zh-CN"/>
        </w:rPr>
      </w:pPr>
      <w:r>
        <w:rPr>
          <w:rFonts w:hint="eastAsia" w:ascii="宋体" w:hAnsi="宋体" w:eastAsia="宋体" w:cs="Times New Roman"/>
          <w:color w:val="auto"/>
          <w:sz w:val="24"/>
          <w:szCs w:val="32"/>
          <w:lang w:val="en-US" w:eastAsia="zh-CN"/>
        </w:rPr>
        <w:t>根据《中华人民共和国民法典》</w:t>
      </w:r>
      <w:r>
        <w:rPr>
          <w:rFonts w:hint="eastAsia" w:ascii="宋体" w:hAnsi="宋体" w:cs="Times New Roman"/>
          <w:color w:val="auto"/>
          <w:sz w:val="24"/>
          <w:szCs w:val="32"/>
          <w:lang w:val="en-US" w:eastAsia="zh-CN"/>
        </w:rPr>
        <w:t>《</w:t>
      </w:r>
      <w:r>
        <w:rPr>
          <w:rFonts w:hint="eastAsia" w:ascii="宋体" w:hAnsi="宋体" w:eastAsia="宋体" w:cs="Times New Roman"/>
          <w:color w:val="auto"/>
          <w:sz w:val="24"/>
          <w:szCs w:val="32"/>
          <w:lang w:val="en-US" w:eastAsia="zh-CN"/>
        </w:rPr>
        <w:t>中华人民共和国政府采购法</w:t>
      </w:r>
      <w:r>
        <w:rPr>
          <w:rFonts w:hint="eastAsia" w:ascii="宋体" w:hAnsi="宋体" w:cs="Times New Roman"/>
          <w:color w:val="auto"/>
          <w:sz w:val="24"/>
          <w:szCs w:val="32"/>
          <w:lang w:val="en-US" w:eastAsia="zh-CN"/>
        </w:rPr>
        <w:t>》</w:t>
      </w:r>
      <w:r>
        <w:rPr>
          <w:rFonts w:hint="eastAsia" w:ascii="宋体" w:hAnsi="宋体" w:eastAsia="宋体" w:cs="Times New Roman"/>
          <w:color w:val="auto"/>
          <w:sz w:val="24"/>
          <w:szCs w:val="32"/>
          <w:lang w:val="en-US" w:eastAsia="zh-CN"/>
        </w:rPr>
        <w:t>等有关法律法规的规定，经过政府采购相关程序，遵循平等自愿、诚实守信的原则，就院机关第一审判庭系统升级改造项目的采购结果经甲乙双方友好协商达成一致签订</w:t>
      </w:r>
      <w:r>
        <w:rPr>
          <w:rFonts w:hint="eastAsia" w:ascii="宋体" w:hAnsi="宋体" w:cs="Times New Roman"/>
          <w:color w:val="auto"/>
          <w:sz w:val="24"/>
          <w:szCs w:val="32"/>
          <w:lang w:val="en-US" w:eastAsia="zh-CN"/>
        </w:rPr>
        <w:t>本</w:t>
      </w:r>
      <w:r>
        <w:rPr>
          <w:rFonts w:hint="eastAsia" w:ascii="宋体" w:hAnsi="宋体" w:eastAsia="宋体" w:cs="Times New Roman"/>
          <w:color w:val="auto"/>
          <w:sz w:val="24"/>
          <w:szCs w:val="32"/>
          <w:lang w:val="en-US" w:eastAsia="zh-CN"/>
        </w:rPr>
        <w:t>合同，以资双方共同遵守执行。</w:t>
      </w:r>
    </w:p>
    <w:p w14:paraId="7D9D87FD">
      <w:pPr>
        <w:numPr>
          <w:ilvl w:val="0"/>
          <w:numId w:val="8"/>
        </w:num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43" w:name="_Toc19515384"/>
      <w:r>
        <w:rPr>
          <w:rFonts w:hint="eastAsia" w:ascii="宋体" w:hAnsi="宋体" w:eastAsia="宋体" w:cs="宋体"/>
          <w:color w:val="auto"/>
          <w:sz w:val="24"/>
          <w:szCs w:val="24"/>
          <w:highlight w:val="none"/>
        </w:rPr>
        <w:t>合同内容（标的、数量、质量等）:</w:t>
      </w:r>
      <w:bookmarkEnd w:id="143"/>
    </w:p>
    <w:p w14:paraId="5DA2D5C9">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44" w:name="_Toc19515385"/>
      <w:r>
        <w:rPr>
          <w:rFonts w:hint="eastAsia" w:ascii="宋体" w:hAnsi="宋体" w:eastAsia="宋体" w:cs="宋体"/>
          <w:color w:val="auto"/>
          <w:sz w:val="24"/>
          <w:szCs w:val="24"/>
          <w:highlight w:val="none"/>
        </w:rPr>
        <w:t>二、合同价款</w:t>
      </w:r>
      <w:bookmarkEnd w:id="144"/>
    </w:p>
    <w:p w14:paraId="20ED121A">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合同总价：</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元，大写：</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w:t>
      </w:r>
    </w:p>
    <w:p w14:paraId="617E5B5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合同总价包括：</w:t>
      </w:r>
      <w:r>
        <w:rPr>
          <w:rFonts w:hint="eastAsia" w:ascii="宋体" w:hAnsi="宋体" w:eastAsia="宋体" w:cs="宋体"/>
          <w:i w:val="0"/>
          <w:iCs w:val="0"/>
          <w:color w:val="auto"/>
          <w:kern w:val="0"/>
          <w:sz w:val="24"/>
          <w:szCs w:val="24"/>
          <w:u w:val="none"/>
          <w:lang w:val="en-US" w:eastAsia="zh-CN" w:bidi="ar"/>
        </w:rPr>
        <w:t>合同总价包括完成本项目所要求等全部采购内容所需的费用，包括软硬件产品的报价、运杂费、安装调试费、相关服务费及国家按现行税收政策征收的一切税费等。</w:t>
      </w:r>
    </w:p>
    <w:p w14:paraId="4572C96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合同为固定总价合同，不受市场价变化的影响。</w:t>
      </w:r>
    </w:p>
    <w:p w14:paraId="535C1B33">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45" w:name="_Toc19515386"/>
      <w:r>
        <w:rPr>
          <w:rFonts w:hint="eastAsia" w:ascii="宋体" w:hAnsi="宋体" w:eastAsia="宋体" w:cs="宋体"/>
          <w:color w:val="auto"/>
          <w:sz w:val="24"/>
          <w:szCs w:val="24"/>
          <w:highlight w:val="none"/>
        </w:rPr>
        <w:t>三、合同结算</w:t>
      </w:r>
      <w:bookmarkEnd w:id="145"/>
    </w:p>
    <w:p w14:paraId="3BFDDC61">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付款</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w:t>
      </w:r>
      <w:r>
        <w:rPr>
          <w:rFonts w:hint="eastAsia" w:asciiTheme="minorEastAsia" w:hAnsiTheme="minorEastAsia" w:eastAsiaTheme="minorEastAsia"/>
          <w:color w:val="auto"/>
          <w:sz w:val="24"/>
          <w:szCs w:val="24"/>
          <w:lang w:eastAsia="zh-CN"/>
        </w:rPr>
        <w:t>合同签订后付</w:t>
      </w:r>
      <w:r>
        <w:rPr>
          <w:rFonts w:hint="eastAsia" w:asciiTheme="minorEastAsia" w:hAnsiTheme="minorEastAsia" w:eastAsiaTheme="minorEastAsia"/>
          <w:color w:val="auto"/>
          <w:sz w:val="24"/>
          <w:szCs w:val="24"/>
          <w:lang w:val="en-US" w:eastAsia="zh-CN"/>
        </w:rPr>
        <w:t>合同总价款的</w:t>
      </w:r>
      <w:r>
        <w:rPr>
          <w:rFonts w:hint="eastAsia" w:asciiTheme="minorEastAsia" w:hAnsiTheme="minorEastAsia" w:eastAsiaTheme="minorEastAsia"/>
          <w:color w:val="auto"/>
          <w:sz w:val="24"/>
          <w:szCs w:val="24"/>
          <w:lang w:eastAsia="zh-CN"/>
        </w:rPr>
        <w:t>40%，安装调试验收合格后</w:t>
      </w:r>
      <w:r>
        <w:rPr>
          <w:rFonts w:hint="eastAsia" w:asciiTheme="minorEastAsia" w:hAnsiTheme="minorEastAsia" w:eastAsiaTheme="minorEastAsia"/>
          <w:color w:val="auto"/>
          <w:sz w:val="24"/>
          <w:szCs w:val="24"/>
          <w:lang w:val="en-US" w:eastAsia="zh-CN"/>
        </w:rPr>
        <w:t>付合同总价款的</w:t>
      </w:r>
      <w:r>
        <w:rPr>
          <w:rFonts w:hint="eastAsia" w:asciiTheme="minorEastAsia" w:hAnsiTheme="minorEastAsia" w:eastAsiaTheme="minorEastAsia"/>
          <w:color w:val="auto"/>
          <w:sz w:val="24"/>
          <w:szCs w:val="24"/>
          <w:lang w:eastAsia="zh-CN"/>
        </w:rPr>
        <w:t>60%。付款前，中标供应商应为采购人开具全额的增值税电子发票</w:t>
      </w:r>
      <w:r>
        <w:rPr>
          <w:rFonts w:hint="eastAsia" w:ascii="宋体" w:hAnsi="宋体" w:eastAsia="宋体" w:cs="宋体"/>
          <w:i w:val="0"/>
          <w:iCs w:val="0"/>
          <w:color w:val="auto"/>
          <w:kern w:val="0"/>
          <w:sz w:val="24"/>
          <w:szCs w:val="24"/>
          <w:u w:val="none"/>
          <w:lang w:val="en-US" w:eastAsia="zh-CN" w:bidi="ar"/>
        </w:rPr>
        <w:t>。</w:t>
      </w:r>
    </w:p>
    <w:p w14:paraId="79C2730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结算方式：银行转账。</w:t>
      </w:r>
    </w:p>
    <w:p w14:paraId="3920CE3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结算单位：由</w:t>
      </w:r>
      <w:r>
        <w:rPr>
          <w:rFonts w:hint="eastAsia" w:ascii="宋体" w:hAnsi="宋体" w:eastAsia="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rPr>
        <w:t>负责结算，乙方开具</w:t>
      </w:r>
      <w:r>
        <w:rPr>
          <w:rFonts w:hint="eastAsia" w:ascii="宋体" w:hAnsi="宋体" w:eastAsia="宋体" w:cs="宋体"/>
          <w:color w:val="auto"/>
          <w:sz w:val="24"/>
          <w:szCs w:val="24"/>
          <w:highlight w:val="none"/>
          <w:lang w:val="en-US" w:eastAsia="zh-CN"/>
        </w:rPr>
        <w:t>等额</w:t>
      </w:r>
      <w:r>
        <w:rPr>
          <w:rFonts w:hint="eastAsia" w:ascii="宋体" w:hAnsi="宋体" w:eastAsia="宋体" w:cs="宋体"/>
          <w:color w:val="auto"/>
          <w:sz w:val="24"/>
          <w:szCs w:val="24"/>
          <w:highlight w:val="none"/>
        </w:rPr>
        <w:t>发票交采购人。</w:t>
      </w:r>
    </w:p>
    <w:p w14:paraId="56A47076">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46" w:name="_Toc19515387"/>
      <w:r>
        <w:rPr>
          <w:rFonts w:hint="eastAsia" w:ascii="宋体" w:hAnsi="宋体" w:eastAsia="宋体" w:cs="宋体"/>
          <w:color w:val="auto"/>
          <w:sz w:val="24"/>
          <w:szCs w:val="24"/>
          <w:highlight w:val="none"/>
        </w:rPr>
        <w:t>四、履行期限、地点及</w:t>
      </w:r>
      <w:r>
        <w:rPr>
          <w:rFonts w:hint="eastAsia" w:ascii="宋体" w:hAnsi="宋体" w:cs="宋体"/>
          <w:color w:val="auto"/>
          <w:sz w:val="24"/>
          <w:szCs w:val="24"/>
          <w:highlight w:val="none"/>
          <w:lang w:val="en-US" w:eastAsia="zh-CN"/>
        </w:rPr>
        <w:t>质保期</w:t>
      </w:r>
      <w:r>
        <w:rPr>
          <w:rFonts w:hint="eastAsia" w:ascii="宋体" w:hAnsi="宋体" w:eastAsia="宋体" w:cs="宋体"/>
          <w:color w:val="auto"/>
          <w:sz w:val="24"/>
          <w:szCs w:val="24"/>
          <w:highlight w:val="none"/>
        </w:rPr>
        <w:t>:</w:t>
      </w:r>
      <w:bookmarkEnd w:id="146"/>
    </w:p>
    <w:p w14:paraId="19AB75BD">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u w:val="none"/>
          <w:lang w:val="en-US" w:eastAsia="zh-CN" w:bidi="ar"/>
        </w:rPr>
        <w:t>合同履行期：</w:t>
      </w:r>
      <w:r>
        <w:rPr>
          <w:rFonts w:hint="eastAsia" w:ascii="宋体" w:hAnsi="宋体" w:cs="宋体"/>
          <w:i w:val="0"/>
          <w:iCs w:val="0"/>
          <w:color w:val="auto"/>
          <w:kern w:val="0"/>
          <w:sz w:val="24"/>
          <w:szCs w:val="24"/>
          <w:u w:val="none"/>
          <w:lang w:val="en-US" w:eastAsia="zh-CN" w:bidi="ar"/>
        </w:rPr>
        <w:t>在合同签订后30日历天内完成项目所有软硬件的供货、安装、调试、培训等。</w:t>
      </w:r>
    </w:p>
    <w:p w14:paraId="52365E9F">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紫阳县内甲方指定地点。</w:t>
      </w:r>
    </w:p>
    <w:p w14:paraId="18F7338F">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i w:val="0"/>
          <w:iCs w:val="0"/>
          <w:color w:val="auto"/>
          <w:kern w:val="0"/>
          <w:sz w:val="24"/>
          <w:szCs w:val="24"/>
          <w:u w:val="none"/>
          <w:lang w:val="en-US" w:eastAsia="zh-CN" w:bidi="ar"/>
        </w:rPr>
        <w:t>质保期:自验收合格之日起不低于1年。</w:t>
      </w:r>
    </w:p>
    <w:p w14:paraId="40E5AB4F">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w:t>
      </w:r>
      <w:r>
        <w:rPr>
          <w:rFonts w:hint="eastAsia" w:ascii="宋体" w:hAnsi="宋体" w:cs="宋体"/>
          <w:i w:val="0"/>
          <w:iCs w:val="0"/>
          <w:color w:val="auto"/>
          <w:kern w:val="0"/>
          <w:sz w:val="24"/>
          <w:szCs w:val="24"/>
          <w:u w:val="none"/>
          <w:lang w:val="en-US" w:eastAsia="zh-CN" w:bidi="ar"/>
        </w:rPr>
        <w:t>运输及安装:乙方负责办理设备运抵采购人指定交货地点的一切运输事项，承担验收前的一切风险、责任和费用。负责产品安装调试、系统对接、利旧改造等事项，完成后应达到预期效果。</w:t>
      </w:r>
    </w:p>
    <w:p w14:paraId="21BCCED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售后服务</w:t>
      </w:r>
    </w:p>
    <w:p w14:paraId="57F1812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乙方在接到甲方电话通知后在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小时内派出合格的服务人员到达现场进行服务，承担相应费用。</w:t>
      </w:r>
    </w:p>
    <w:p w14:paraId="6AF4B0C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如果乙方在收到通知后两天内没有弥补缺陷，甲方可采取必要的补救措施，但其风险和费用将由乙方承担，甲方根据合同规定对乙方行使的其它权力不受影响。</w:t>
      </w:r>
    </w:p>
    <w:p w14:paraId="4C9C70DF">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47" w:name="_Toc19515391"/>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、验收</w:t>
      </w:r>
      <w:bookmarkEnd w:id="147"/>
    </w:p>
    <w:p w14:paraId="70001421">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480" w:firstLineChars="200"/>
        <w:jc w:val="left"/>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r>
        <w:rPr>
          <w:rFonts w:hint="default" w:ascii="宋体" w:hAnsi="宋体" w:cs="宋体"/>
          <w:i w:val="0"/>
          <w:iCs w:val="0"/>
          <w:color w:val="auto"/>
          <w:kern w:val="0"/>
          <w:sz w:val="24"/>
          <w:szCs w:val="24"/>
          <w:u w:val="none"/>
          <w:lang w:val="en-US" w:eastAsia="zh-CN" w:bidi="ar"/>
        </w:rPr>
        <w:t>验收标准:升级改造后的系统需与审判系统对接，支持全国“一张网”办公办案平台系统对接，主要功能包含:排期管理，音视频连接与控制，庭审录音录像、笔录制作、笔录模板、笔录同步、电子捺印辅助等功能</w:t>
      </w:r>
      <w:r>
        <w:rPr>
          <w:rFonts w:hint="eastAsia" w:ascii="宋体" w:hAnsi="宋体" w:cs="宋体"/>
          <w:i w:val="0"/>
          <w:iCs w:val="0"/>
          <w:color w:val="auto"/>
          <w:kern w:val="0"/>
          <w:sz w:val="24"/>
          <w:szCs w:val="24"/>
          <w:u w:val="none"/>
          <w:lang w:val="en-US" w:eastAsia="zh-CN" w:bidi="ar"/>
        </w:rPr>
        <w:t>；</w:t>
      </w:r>
      <w:r>
        <w:rPr>
          <w:rFonts w:hint="default" w:ascii="宋体" w:hAnsi="宋体" w:cs="宋体"/>
          <w:i w:val="0"/>
          <w:iCs w:val="0"/>
          <w:color w:val="auto"/>
          <w:kern w:val="0"/>
          <w:sz w:val="24"/>
          <w:szCs w:val="24"/>
          <w:u w:val="none"/>
          <w:lang w:val="en-US" w:eastAsia="zh-CN" w:bidi="ar"/>
        </w:rPr>
        <w:t>与陕西省高级人民法院审务督察系统数据无缝对接，保证庭审音视频文件实时</w:t>
      </w:r>
      <w:r>
        <w:rPr>
          <w:rFonts w:hint="eastAsia" w:ascii="宋体" w:hAnsi="宋体" w:cs="宋体"/>
          <w:i w:val="0"/>
          <w:iCs w:val="0"/>
          <w:color w:val="auto"/>
          <w:kern w:val="0"/>
          <w:sz w:val="24"/>
          <w:szCs w:val="24"/>
          <w:u w:val="none"/>
          <w:lang w:val="en-US" w:eastAsia="zh-CN" w:bidi="ar"/>
        </w:rPr>
        <w:t>上报；</w:t>
      </w:r>
      <w:r>
        <w:rPr>
          <w:rFonts w:hint="default" w:ascii="宋体" w:hAnsi="宋体" w:cs="宋体"/>
          <w:i w:val="0"/>
          <w:iCs w:val="0"/>
          <w:color w:val="auto"/>
          <w:kern w:val="0"/>
          <w:sz w:val="24"/>
          <w:szCs w:val="24"/>
          <w:u w:val="none"/>
          <w:lang w:val="en-US" w:eastAsia="zh-CN" w:bidi="ar"/>
        </w:rPr>
        <w:t>与本院现有庭审资源管理平台实现无缝对接</w:t>
      </w:r>
      <w:r>
        <w:rPr>
          <w:rFonts w:hint="eastAsia" w:ascii="宋体" w:hAnsi="宋体" w:cs="宋体"/>
          <w:i w:val="0"/>
          <w:iCs w:val="0"/>
          <w:color w:val="auto"/>
          <w:kern w:val="0"/>
          <w:sz w:val="24"/>
          <w:szCs w:val="24"/>
          <w:u w:val="none"/>
          <w:lang w:val="en-US" w:eastAsia="zh-CN" w:bidi="ar"/>
        </w:rPr>
        <w:t>；</w:t>
      </w:r>
      <w:r>
        <w:rPr>
          <w:rFonts w:hint="default" w:ascii="宋体" w:hAnsi="宋体" w:cs="宋体"/>
          <w:i w:val="0"/>
          <w:iCs w:val="0"/>
          <w:color w:val="auto"/>
          <w:kern w:val="0"/>
          <w:sz w:val="24"/>
          <w:szCs w:val="24"/>
          <w:u w:val="none"/>
          <w:lang w:val="en-US" w:eastAsia="zh-CN" w:bidi="ar"/>
        </w:rPr>
        <w:t>实现人民法庭与镇综治、村社区视频网络互联互通。</w:t>
      </w:r>
    </w:p>
    <w:p w14:paraId="48723268">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480" w:firstLineChars="200"/>
        <w:jc w:val="left"/>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default" w:ascii="宋体" w:hAnsi="宋体" w:cs="宋体"/>
          <w:i w:val="0"/>
          <w:iCs w:val="0"/>
          <w:color w:val="auto"/>
          <w:kern w:val="0"/>
          <w:sz w:val="24"/>
          <w:szCs w:val="24"/>
          <w:u w:val="none"/>
          <w:lang w:val="en-US" w:eastAsia="zh-CN" w:bidi="ar"/>
        </w:rPr>
        <w:t>验收内容包括确认软硬件产品的规格、数量、技术参数和系统运行情况等。</w:t>
      </w:r>
    </w:p>
    <w:p w14:paraId="481FC14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i w:val="0"/>
          <w:iCs w:val="0"/>
          <w:color w:val="auto"/>
          <w:kern w:val="0"/>
          <w:sz w:val="24"/>
          <w:szCs w:val="24"/>
          <w:u w:val="none"/>
          <w:lang w:val="en-US" w:eastAsia="zh-CN" w:bidi="ar"/>
        </w:rPr>
        <w:t>3.</w:t>
      </w:r>
      <w:r>
        <w:rPr>
          <w:rFonts w:hint="default" w:ascii="宋体" w:hAnsi="宋体" w:cs="宋体"/>
          <w:i w:val="0"/>
          <w:iCs w:val="0"/>
          <w:color w:val="auto"/>
          <w:kern w:val="0"/>
          <w:sz w:val="24"/>
          <w:szCs w:val="24"/>
          <w:u w:val="none"/>
          <w:lang w:val="en-US" w:eastAsia="zh-CN" w:bidi="ar"/>
        </w:rPr>
        <w:t>验收合格后，填写验收单，双方签字生效。</w:t>
      </w:r>
    </w:p>
    <w:p w14:paraId="111C9589">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知识产权归属和处理方式</w:t>
      </w:r>
    </w:p>
    <w:p w14:paraId="37E2AE71">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乙方应保证在本项目中使用的任何技术、产品和服务（包括部分使用），不会产生因第三方提出侵犯其专利权、商标权或其它知识产权而引起的法律和经济纠纷，如因专利权、商标权或其它知识产权而引起法律和经济纠纷，由乙方承担所有相关责任。甲方享有本项目实施过程中产生的知识成果及知识产权。</w:t>
      </w:r>
    </w:p>
    <w:p w14:paraId="6288E417">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乙方将在采购项目实施过程中采用自有或者第三方知识成果的，使用该知识成果后，乙方需提供开发接口和开发手册等技术资料，并承诺提供无限期支持，甲方享有使用权（含甲方委托第三方在该项目后续开发的使用权）。</w:t>
      </w:r>
    </w:p>
    <w:p w14:paraId="2251FFE5">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如采用乙方所不拥有的知识产权，则在报价中必须包括合法使用该知识产权的相关费用。</w:t>
      </w:r>
    </w:p>
    <w:p w14:paraId="668B97AD">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构成本招标文件的各组成部分，未经甲方书面同意，乙方不得擅自复印或用于非本招标项目所需的其他目的。</w:t>
      </w:r>
    </w:p>
    <w:p w14:paraId="1D2BB082">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bookmarkStart w:id="148" w:name="_Toc19515392"/>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甲乙双方的责任和义务</w:t>
      </w:r>
    </w:p>
    <w:p w14:paraId="6A1D4BF2">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甲方的责任和义务：</w:t>
      </w:r>
    </w:p>
    <w:p w14:paraId="08162CFC">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（1）甲方有权安排相关人员对乙方采购安装事宜进行监督及质量的检查，有权对乙方的安装提出建议和修改意见，使其符合甲方的要求。</w:t>
      </w:r>
    </w:p>
    <w:p w14:paraId="5542ACB0">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（2）向乙方确认安装摆放位置。</w:t>
      </w:r>
    </w:p>
    <w:p w14:paraId="1526B782">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（3）按本协议约定结算相关费用。</w:t>
      </w:r>
    </w:p>
    <w:p w14:paraId="556D756F">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乙方的责任和义务：</w:t>
      </w:r>
    </w:p>
    <w:p w14:paraId="08F33D92">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确保在本协议约定的时间内，按时、按质（即合同要求规格、型号）、按量完成供货与安装调试完毕，并交付甲方使用。如因乙方原因，逾期完工，将视为违约，每逾期一天，按合同总额的0.5%向甲方支付违约金；若逾期超过15天，甲方有权解除合同，给甲方造成的损失将由乙方承担。</w:t>
      </w:r>
    </w:p>
    <w:p w14:paraId="06925A1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十</w:t>
      </w:r>
      <w:r>
        <w:rPr>
          <w:rFonts w:hint="eastAsia" w:ascii="宋体" w:hAnsi="宋体" w:eastAsia="宋体" w:cs="宋体"/>
          <w:color w:val="auto"/>
          <w:sz w:val="24"/>
          <w:szCs w:val="24"/>
          <w:highlight w:val="none"/>
        </w:rPr>
        <w:t>、违约责任</w:t>
      </w:r>
      <w:bookmarkEnd w:id="148"/>
    </w:p>
    <w:p w14:paraId="408D696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按《中华人民共和国民法典》中的相关条款执行。</w:t>
      </w:r>
    </w:p>
    <w:p w14:paraId="3D6E2B1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乙方履约延误</w:t>
      </w:r>
    </w:p>
    <w:p w14:paraId="4F12C20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如乙方事先未征得甲方同意并得到甲方的谅解而单方面延迟执行合同，将按违约终止合同。</w:t>
      </w:r>
    </w:p>
    <w:p w14:paraId="2D10E57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14:paraId="65621C3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违约终止合同：未按合同要求提供服务或不能满足技术要求，甲方会同监督机构有权终止合同，对乙方违约行为进行追究，同时按政府采购法的有关规定进行相应的处罚。</w:t>
      </w:r>
    </w:p>
    <w:p w14:paraId="23456AB7">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49" w:name="_Toc19515393"/>
      <w:r>
        <w:rPr>
          <w:rFonts w:hint="eastAsia" w:ascii="宋体" w:hAnsi="宋体" w:cs="宋体"/>
          <w:color w:val="auto"/>
          <w:sz w:val="24"/>
          <w:szCs w:val="24"/>
          <w:highlight w:val="none"/>
          <w:lang w:val="en-US" w:eastAsia="zh-CN"/>
        </w:rPr>
        <w:t>十一</w:t>
      </w:r>
      <w:r>
        <w:rPr>
          <w:rFonts w:hint="eastAsia" w:ascii="宋体" w:hAnsi="宋体" w:eastAsia="宋体" w:cs="宋体"/>
          <w:color w:val="auto"/>
          <w:sz w:val="24"/>
          <w:szCs w:val="24"/>
          <w:highlight w:val="none"/>
        </w:rPr>
        <w:t>、合同组成</w:t>
      </w:r>
      <w:bookmarkEnd w:id="149"/>
    </w:p>
    <w:p w14:paraId="38A2E54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14:paraId="7C49748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合同文件</w:t>
      </w:r>
    </w:p>
    <w:p w14:paraId="3F1F2A6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国家相关规范及标准</w:t>
      </w:r>
    </w:p>
    <w:p w14:paraId="237D60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5716E85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p w14:paraId="71468FC3">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50" w:name="_Toc19515394"/>
      <w:r>
        <w:rPr>
          <w:rFonts w:hint="eastAsia" w:ascii="宋体" w:hAnsi="宋体" w:eastAsia="宋体" w:cs="宋体"/>
          <w:color w:val="auto"/>
          <w:sz w:val="24"/>
          <w:szCs w:val="24"/>
          <w:highlight w:val="none"/>
          <w:lang w:val="en-US" w:eastAsia="zh-CN"/>
        </w:rPr>
        <w:t>十</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解决争议的方法</w:t>
      </w:r>
      <w:bookmarkEnd w:id="150"/>
    </w:p>
    <w:p w14:paraId="1F2EE9C3">
      <w:pPr>
        <w:widowControl/>
        <w:autoSpaceDE w:val="0"/>
        <w:autoSpaceDN w:val="0"/>
        <w:snapToGrid w:val="0"/>
        <w:spacing w:line="360" w:lineRule="auto"/>
        <w:ind w:right="-110" w:firstLine="480" w:firstLineChars="20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凡因本合同引起的或与本合同有关的争议，双方应友好协商解决。协商不成时，双方均同意采用以下第（  ）种争议解决方式：</w:t>
      </w:r>
    </w:p>
    <w:p w14:paraId="3DD5B070">
      <w:pPr>
        <w:widowControl/>
        <w:autoSpaceDE w:val="0"/>
        <w:autoSpaceDN w:val="0"/>
        <w:snapToGrid w:val="0"/>
        <w:spacing w:line="360" w:lineRule="auto"/>
        <w:ind w:right="-110" w:firstLine="480" w:firstLineChars="20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甲、乙双方均同意向（甲方所在地人民法院）提起诉讼。</w:t>
      </w:r>
    </w:p>
    <w:p w14:paraId="2A8C9E5F">
      <w:pPr>
        <w:widowControl/>
        <w:autoSpaceDE w:val="0"/>
        <w:autoSpaceDN w:val="0"/>
        <w:snapToGrid w:val="0"/>
        <w:spacing w:line="360" w:lineRule="auto"/>
        <w:ind w:right="-110" w:firstLine="480" w:firstLineChars="20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甲、乙双方均同意向（</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"http://www.baidu.com/s?wd=%E4%BB%B2%E8%A3%81%E5%A7%94%E5%91%98%E4%BC%9A&amp;tn=SE_PcZhidaonwhc_ngpagmjz&amp;rsv_dl=gh_pc_zhidao" \t "_blank"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仲裁委员会</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）提起仲裁。</w:t>
      </w:r>
    </w:p>
    <w:p w14:paraId="710A7DE2">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51" w:name="_Toc19515395"/>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、合同生效及其它</w:t>
      </w:r>
      <w:bookmarkEnd w:id="151"/>
    </w:p>
    <w:p w14:paraId="1BF06E96">
      <w:pPr>
        <w:widowControl/>
        <w:autoSpaceDE w:val="0"/>
        <w:autoSpaceDN w:val="0"/>
        <w:snapToGrid w:val="0"/>
        <w:spacing w:line="360" w:lineRule="auto"/>
        <w:ind w:right="-110" w:firstLine="480" w:firstLineChars="20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合同未尽事宜、由甲、乙双方协商，作为合同补充，与原合同具有同等法律效力。</w:t>
      </w:r>
    </w:p>
    <w:p w14:paraId="5D51AEA0">
      <w:pPr>
        <w:widowControl/>
        <w:tabs>
          <w:tab w:val="left" w:pos="8391"/>
        </w:tabs>
        <w:autoSpaceDE w:val="0"/>
        <w:autoSpaceDN w:val="0"/>
        <w:snapToGrid w:val="0"/>
        <w:spacing w:line="360" w:lineRule="auto"/>
        <w:ind w:right="-69" w:firstLine="480" w:firstLineChars="20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本合同正本一式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份，甲方、乙方双方分别执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备案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w:t>
      </w:r>
    </w:p>
    <w:p w14:paraId="5D476562">
      <w:pPr>
        <w:widowControl/>
        <w:tabs>
          <w:tab w:val="left" w:pos="8391"/>
        </w:tabs>
        <w:autoSpaceDE w:val="0"/>
        <w:autoSpaceDN w:val="0"/>
        <w:snapToGrid w:val="0"/>
        <w:spacing w:line="360" w:lineRule="auto"/>
        <w:ind w:right="-69" w:firstLine="480" w:firstLineChars="20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合同经甲乙双方盖章、签字后生效，合同签订地点为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AD569BA">
      <w:pPr>
        <w:widowControl/>
        <w:tabs>
          <w:tab w:val="left" w:pos="8391"/>
        </w:tabs>
        <w:autoSpaceDE w:val="0"/>
        <w:autoSpaceDN w:val="0"/>
        <w:snapToGrid w:val="0"/>
        <w:spacing w:line="360" w:lineRule="auto"/>
        <w:ind w:right="-69" w:firstLine="480" w:firstLineChars="20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生效时间：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64DF1945">
      <w:pPr>
        <w:widowControl/>
        <w:tabs>
          <w:tab w:val="left" w:pos="8391"/>
        </w:tabs>
        <w:autoSpaceDE w:val="0"/>
        <w:autoSpaceDN w:val="0"/>
        <w:snapToGrid w:val="0"/>
        <w:spacing w:line="360" w:lineRule="auto"/>
        <w:ind w:right="-69" w:firstLine="480" w:firstLineChars="200"/>
        <w:textAlignment w:val="bottom"/>
        <w:rPr>
          <w:rFonts w:hint="eastAsia" w:ascii="宋体" w:hAnsi="宋体" w:eastAsia="宋体" w:cs="宋体"/>
          <w:color w:val="auto"/>
          <w:kern w:val="0"/>
          <w:sz w:val="24"/>
          <w:szCs w:val="24"/>
          <w:highlight w:val="none"/>
        </w:rPr>
      </w:pPr>
    </w:p>
    <w:p w14:paraId="5B6E2D73">
      <w:pPr>
        <w:widowControl/>
        <w:tabs>
          <w:tab w:val="left" w:pos="8391"/>
        </w:tabs>
        <w:autoSpaceDE w:val="0"/>
        <w:autoSpaceDN w:val="0"/>
        <w:snapToGrid w:val="0"/>
        <w:spacing w:line="360" w:lineRule="auto"/>
        <w:ind w:right="-69" w:firstLine="480" w:firstLineChars="200"/>
        <w:textAlignment w:val="bottom"/>
        <w:rPr>
          <w:rFonts w:hint="eastAsia" w:ascii="宋体" w:hAnsi="宋体" w:eastAsia="宋体" w:cs="宋体"/>
          <w:color w:val="auto"/>
          <w:kern w:val="0"/>
          <w:sz w:val="24"/>
          <w:szCs w:val="24"/>
          <w:highlight w:val="none"/>
        </w:rPr>
      </w:pPr>
    </w:p>
    <w:tbl>
      <w:tblPr>
        <w:tblStyle w:val="40"/>
        <w:tblW w:w="0" w:type="auto"/>
        <w:jc w:val="center"/>
        <w:tblLayout w:type="fixed"/>
        <w:tblCellMar>
          <w:top w:w="0" w:type="dxa"/>
          <w:left w:w="108" w:type="dxa"/>
          <w:bottom w:w="0" w:type="dxa"/>
          <w:right w:w="108" w:type="dxa"/>
        </w:tblCellMar>
      </w:tblPr>
      <w:tblGrid>
        <w:gridCol w:w="4643"/>
        <w:gridCol w:w="4643"/>
      </w:tblGrid>
      <w:tr w14:paraId="630B6EE2">
        <w:tblPrEx>
          <w:tblCellMar>
            <w:top w:w="0" w:type="dxa"/>
            <w:left w:w="108" w:type="dxa"/>
            <w:bottom w:w="0" w:type="dxa"/>
            <w:right w:w="108" w:type="dxa"/>
          </w:tblCellMar>
        </w:tblPrEx>
        <w:trPr>
          <w:jc w:val="center"/>
        </w:trPr>
        <w:tc>
          <w:tcPr>
            <w:tcW w:w="4643" w:type="dxa"/>
            <w:noWrap w:val="0"/>
            <w:vAlign w:val="top"/>
          </w:tcPr>
          <w:p w14:paraId="33D53E69">
            <w:pPr>
              <w:keepNext w:val="0"/>
              <w:keepLines w:val="0"/>
              <w:widowControl/>
              <w:suppressLineNumbers w:val="0"/>
              <w:autoSpaceDE w:val="0"/>
              <w:autoSpaceDN w:val="0"/>
              <w:snapToGrid w:val="0"/>
              <w:spacing w:before="0" w:beforeAutospacing="0" w:after="0" w:afterAutospacing="0" w:line="360" w:lineRule="auto"/>
              <w:ind w:left="0" w:right="-154"/>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甲方名称</w:t>
            </w:r>
            <w:r>
              <w:rPr>
                <w:rFonts w:hint="eastAsia" w:ascii="宋体" w:hAnsi="宋体" w:eastAsia="宋体" w:cs="宋体"/>
                <w:color w:val="auto"/>
                <w:spacing w:val="-20"/>
                <w:kern w:val="0"/>
                <w:sz w:val="24"/>
                <w:szCs w:val="24"/>
                <w:highlight w:val="none"/>
              </w:rPr>
              <w:t>（盖章）</w:t>
            </w:r>
            <w:r>
              <w:rPr>
                <w:rFonts w:hint="eastAsia" w:ascii="宋体" w:hAnsi="宋体" w:eastAsia="宋体" w:cs="宋体"/>
                <w:color w:val="auto"/>
                <w:kern w:val="0"/>
                <w:sz w:val="24"/>
                <w:szCs w:val="24"/>
                <w:highlight w:val="none"/>
              </w:rPr>
              <w:t>:</w:t>
            </w:r>
          </w:p>
          <w:p w14:paraId="542D775D">
            <w:pPr>
              <w:keepNext w:val="0"/>
              <w:keepLines w:val="0"/>
              <w:widowControl/>
              <w:suppressLineNumbers w:val="0"/>
              <w:autoSpaceDE w:val="0"/>
              <w:autoSpaceDN w:val="0"/>
              <w:snapToGrid w:val="0"/>
              <w:spacing w:before="0" w:beforeAutospacing="0" w:after="0" w:afterAutospacing="0" w:line="360" w:lineRule="auto"/>
              <w:ind w:left="0" w:right="-154"/>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p>
          <w:p w14:paraId="57426EE5">
            <w:pPr>
              <w:keepNext w:val="0"/>
              <w:keepLines w:val="0"/>
              <w:widowControl/>
              <w:suppressLineNumbers w:val="0"/>
              <w:autoSpaceDE w:val="0"/>
              <w:autoSpaceDN w:val="0"/>
              <w:snapToGrid w:val="0"/>
              <w:spacing w:before="0" w:beforeAutospacing="0" w:after="0" w:afterAutospacing="0" w:line="360" w:lineRule="auto"/>
              <w:ind w:left="0" w:right="-154"/>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代表人（签字）：</w:t>
            </w:r>
          </w:p>
          <w:p w14:paraId="549CF1F6">
            <w:pPr>
              <w:keepNext w:val="0"/>
              <w:keepLines w:val="0"/>
              <w:widowControl/>
              <w:suppressLineNumbers w:val="0"/>
              <w:autoSpaceDE w:val="0"/>
              <w:autoSpaceDN w:val="0"/>
              <w:snapToGrid w:val="0"/>
              <w:spacing w:before="0" w:beforeAutospacing="0" w:after="0" w:afterAutospacing="0" w:line="360" w:lineRule="auto"/>
              <w:ind w:left="0" w:right="-154"/>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p w14:paraId="78EECAA1">
            <w:pPr>
              <w:keepNext w:val="0"/>
              <w:keepLines w:val="0"/>
              <w:widowControl/>
              <w:suppressLineNumbers w:val="0"/>
              <w:autoSpaceDE w:val="0"/>
              <w:autoSpaceDN w:val="0"/>
              <w:snapToGrid w:val="0"/>
              <w:spacing w:before="0" w:beforeAutospacing="0" w:after="0" w:afterAutospacing="0" w:line="360" w:lineRule="auto"/>
              <w:ind w:left="0" w:right="-154"/>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61789C88">
            <w:pPr>
              <w:keepNext w:val="0"/>
              <w:keepLines w:val="0"/>
              <w:widowControl/>
              <w:suppressLineNumbers w:val="0"/>
              <w:autoSpaceDE w:val="0"/>
              <w:autoSpaceDN w:val="0"/>
              <w:snapToGrid w:val="0"/>
              <w:spacing w:before="0" w:beforeAutospacing="0" w:after="0" w:afterAutospacing="0" w:line="360" w:lineRule="auto"/>
              <w:ind w:left="0" w:right="-154"/>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w:t>
            </w:r>
          </w:p>
        </w:tc>
        <w:tc>
          <w:tcPr>
            <w:tcW w:w="4643" w:type="dxa"/>
            <w:noWrap w:val="0"/>
            <w:vAlign w:val="top"/>
          </w:tcPr>
          <w:p w14:paraId="36C5FA70">
            <w:pPr>
              <w:keepNext w:val="0"/>
              <w:keepLines w:val="0"/>
              <w:widowControl/>
              <w:suppressLineNumbers w:val="0"/>
              <w:autoSpaceDE w:val="0"/>
              <w:autoSpaceDN w:val="0"/>
              <w:snapToGrid w:val="0"/>
              <w:spacing w:before="0" w:beforeAutospacing="0" w:after="0" w:afterAutospacing="0" w:line="360" w:lineRule="auto"/>
              <w:ind w:left="0" w:right="-154"/>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乙方名称</w:t>
            </w:r>
            <w:r>
              <w:rPr>
                <w:rFonts w:hint="eastAsia" w:ascii="宋体" w:hAnsi="宋体" w:eastAsia="宋体" w:cs="宋体"/>
                <w:color w:val="auto"/>
                <w:spacing w:val="-20"/>
                <w:kern w:val="0"/>
                <w:sz w:val="24"/>
                <w:szCs w:val="24"/>
                <w:highlight w:val="none"/>
              </w:rPr>
              <w:t>（盖章）</w:t>
            </w:r>
            <w:r>
              <w:rPr>
                <w:rFonts w:hint="eastAsia" w:ascii="宋体" w:hAnsi="宋体" w:eastAsia="宋体" w:cs="宋体"/>
                <w:color w:val="auto"/>
                <w:kern w:val="0"/>
                <w:sz w:val="24"/>
                <w:szCs w:val="24"/>
                <w:highlight w:val="none"/>
              </w:rPr>
              <w:t>:</w:t>
            </w:r>
          </w:p>
          <w:p w14:paraId="06C9BA3C">
            <w:pPr>
              <w:keepNext w:val="0"/>
              <w:keepLines w:val="0"/>
              <w:widowControl/>
              <w:suppressLineNumbers w:val="0"/>
              <w:autoSpaceDE w:val="0"/>
              <w:autoSpaceDN w:val="0"/>
              <w:snapToGrid w:val="0"/>
              <w:spacing w:before="0" w:beforeAutospacing="0" w:after="0" w:afterAutospacing="0" w:line="360" w:lineRule="auto"/>
              <w:ind w:left="0" w:right="-154"/>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p>
          <w:p w14:paraId="06DC1E45">
            <w:pPr>
              <w:keepNext w:val="0"/>
              <w:keepLines w:val="0"/>
              <w:widowControl/>
              <w:suppressLineNumbers w:val="0"/>
              <w:autoSpaceDE w:val="0"/>
              <w:autoSpaceDN w:val="0"/>
              <w:snapToGrid w:val="0"/>
              <w:spacing w:before="0" w:beforeAutospacing="0" w:after="0" w:afterAutospacing="0" w:line="360" w:lineRule="auto"/>
              <w:ind w:left="0" w:right="-154"/>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代表人（签字）：</w:t>
            </w:r>
          </w:p>
          <w:p w14:paraId="6912856B">
            <w:pPr>
              <w:keepNext w:val="0"/>
              <w:keepLines w:val="0"/>
              <w:widowControl/>
              <w:suppressLineNumbers w:val="0"/>
              <w:autoSpaceDE w:val="0"/>
              <w:autoSpaceDN w:val="0"/>
              <w:snapToGrid w:val="0"/>
              <w:spacing w:before="0" w:beforeAutospacing="0" w:after="0" w:afterAutospacing="0" w:line="360" w:lineRule="auto"/>
              <w:ind w:left="0" w:right="-154"/>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p w14:paraId="4527D8F4">
            <w:pPr>
              <w:keepNext w:val="0"/>
              <w:keepLines w:val="0"/>
              <w:widowControl/>
              <w:suppressLineNumbers w:val="0"/>
              <w:autoSpaceDE w:val="0"/>
              <w:autoSpaceDN w:val="0"/>
              <w:snapToGrid w:val="0"/>
              <w:spacing w:before="0" w:beforeAutospacing="0" w:after="0" w:afterAutospacing="0" w:line="360" w:lineRule="auto"/>
              <w:ind w:left="0" w:right="-154"/>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0E007C49">
            <w:pPr>
              <w:keepNext w:val="0"/>
              <w:keepLines w:val="0"/>
              <w:widowControl/>
              <w:suppressLineNumbers w:val="0"/>
              <w:autoSpaceDE w:val="0"/>
              <w:autoSpaceDN w:val="0"/>
              <w:snapToGrid w:val="0"/>
              <w:spacing w:before="0" w:beforeAutospacing="0" w:after="0" w:afterAutospacing="0" w:line="360" w:lineRule="auto"/>
              <w:ind w:left="0" w:right="-154"/>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w:t>
            </w:r>
          </w:p>
        </w:tc>
      </w:tr>
    </w:tbl>
    <w:p w14:paraId="4435FAC7">
      <w:pPr>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6BD7C3D9">
      <w:pPr>
        <w:ind w:left="0" w:leftChars="0" w:firstLine="0" w:firstLineChars="0"/>
        <w:rPr>
          <w:rFonts w:hint="eastAsia" w:ascii="宋体" w:hAnsi="宋体" w:eastAsia="宋体" w:cs="宋体"/>
          <w:color w:val="auto"/>
          <w:sz w:val="24"/>
          <w:szCs w:val="24"/>
        </w:rPr>
        <w:sectPr>
          <w:pgSz w:w="11906" w:h="16838"/>
          <w:pgMar w:top="1417" w:right="1417" w:bottom="1417" w:left="1417" w:header="1134" w:footer="992" w:gutter="0"/>
          <w:pgBorders>
            <w:top w:val="none" w:sz="0" w:space="0"/>
            <w:left w:val="none" w:sz="0" w:space="0"/>
            <w:bottom w:val="none" w:sz="0" w:space="0"/>
            <w:right w:val="none" w:sz="0" w:space="0"/>
          </w:pgBorders>
          <w:pgNumType w:fmt="decimal"/>
          <w:cols w:space="0" w:num="1"/>
          <w:titlePg/>
          <w:docGrid w:type="lines" w:linePitch="326" w:charSpace="0"/>
        </w:sectPr>
      </w:pPr>
      <w:r>
        <w:rPr>
          <w:rFonts w:hint="eastAsia" w:ascii="宋体" w:hAnsi="宋体" w:eastAsia="宋体" w:cs="宋体"/>
          <w:color w:val="auto"/>
          <w:sz w:val="24"/>
          <w:szCs w:val="24"/>
        </w:rPr>
        <w:t xml:space="preserve"> </w:t>
      </w:r>
    </w:p>
    <w:p w14:paraId="03ED0EC2">
      <w:pPr>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70C81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合同附件：</w:t>
      </w:r>
    </w:p>
    <w:tbl>
      <w:tblPr>
        <w:tblStyle w:val="40"/>
        <w:tblW w:w="5000" w:type="pct"/>
        <w:tblInd w:w="0" w:type="dxa"/>
        <w:tblLayout w:type="autofit"/>
        <w:tblCellMar>
          <w:top w:w="0" w:type="dxa"/>
          <w:left w:w="108" w:type="dxa"/>
          <w:bottom w:w="0" w:type="dxa"/>
          <w:right w:w="108" w:type="dxa"/>
        </w:tblCellMar>
      </w:tblPr>
      <w:tblGrid>
        <w:gridCol w:w="1713"/>
        <w:gridCol w:w="2506"/>
        <w:gridCol w:w="2751"/>
        <w:gridCol w:w="2318"/>
      </w:tblGrid>
      <w:tr w14:paraId="54E2CA19">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14:paraId="317E991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政府采购项目货物（服务）验收入库报告单</w:t>
            </w:r>
          </w:p>
        </w:tc>
      </w:tr>
      <w:tr w14:paraId="11BA8C22">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14:paraId="58F3647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14:paraId="428A7B2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3E509C4">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644AF91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14:paraId="0FBE49E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F253074">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14:paraId="2E0C8F5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14:paraId="383532F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81" w:type="pct"/>
            <w:tcBorders>
              <w:top w:val="nil"/>
              <w:left w:val="nil"/>
              <w:bottom w:val="single" w:color="auto" w:sz="4" w:space="0"/>
              <w:right w:val="single" w:color="auto" w:sz="4" w:space="0"/>
            </w:tcBorders>
            <w:noWrap/>
            <w:vAlign w:val="center"/>
          </w:tcPr>
          <w:p w14:paraId="5FB8E40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合同金额</w:t>
            </w:r>
          </w:p>
        </w:tc>
        <w:tc>
          <w:tcPr>
            <w:tcW w:w="1248" w:type="pct"/>
            <w:tcBorders>
              <w:top w:val="nil"/>
              <w:left w:val="nil"/>
              <w:bottom w:val="single" w:color="auto" w:sz="4" w:space="0"/>
              <w:right w:val="single" w:color="auto" w:sz="8" w:space="0"/>
            </w:tcBorders>
            <w:noWrap/>
            <w:vAlign w:val="center"/>
          </w:tcPr>
          <w:p w14:paraId="6E6E42C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r w14:paraId="00048E8D">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noWrap w:val="0"/>
            <w:vAlign w:val="center"/>
          </w:tcPr>
          <w:p w14:paraId="562A1B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349" w:type="pct"/>
            <w:vMerge w:val="continue"/>
            <w:tcBorders>
              <w:top w:val="nil"/>
              <w:left w:val="single" w:color="auto" w:sz="4" w:space="0"/>
              <w:bottom w:val="single" w:color="auto" w:sz="4" w:space="0"/>
              <w:right w:val="single" w:color="auto" w:sz="4" w:space="0"/>
            </w:tcBorders>
            <w:noWrap w:val="0"/>
            <w:vAlign w:val="center"/>
          </w:tcPr>
          <w:p w14:paraId="5D51C53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81" w:type="pct"/>
            <w:tcBorders>
              <w:top w:val="nil"/>
              <w:left w:val="nil"/>
              <w:bottom w:val="single" w:color="auto" w:sz="4" w:space="0"/>
              <w:right w:val="single" w:color="auto" w:sz="4" w:space="0"/>
            </w:tcBorders>
            <w:noWrap/>
            <w:vAlign w:val="center"/>
          </w:tcPr>
          <w:p w14:paraId="783CB45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验收时间/地点</w:t>
            </w:r>
          </w:p>
        </w:tc>
        <w:tc>
          <w:tcPr>
            <w:tcW w:w="1248" w:type="pct"/>
            <w:tcBorders>
              <w:top w:val="nil"/>
              <w:left w:val="nil"/>
              <w:bottom w:val="single" w:color="auto" w:sz="4" w:space="0"/>
              <w:right w:val="single" w:color="auto" w:sz="8" w:space="0"/>
            </w:tcBorders>
            <w:noWrap/>
            <w:vAlign w:val="center"/>
          </w:tcPr>
          <w:p w14:paraId="3512D70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835765C">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14:paraId="7133A79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14:paraId="1560FBD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4839982">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30261C1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开户行</w:t>
            </w:r>
          </w:p>
        </w:tc>
        <w:tc>
          <w:tcPr>
            <w:tcW w:w="1349" w:type="pct"/>
            <w:tcBorders>
              <w:top w:val="nil"/>
              <w:left w:val="nil"/>
              <w:bottom w:val="single" w:color="auto" w:sz="4" w:space="0"/>
              <w:right w:val="single" w:color="auto" w:sz="4" w:space="0"/>
            </w:tcBorders>
            <w:noWrap/>
            <w:vAlign w:val="center"/>
          </w:tcPr>
          <w:p w14:paraId="49493F4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81" w:type="pct"/>
            <w:tcBorders>
              <w:top w:val="nil"/>
              <w:left w:val="nil"/>
              <w:bottom w:val="single" w:color="auto" w:sz="4" w:space="0"/>
              <w:right w:val="single" w:color="auto" w:sz="4" w:space="0"/>
            </w:tcBorders>
            <w:noWrap/>
            <w:vAlign w:val="center"/>
          </w:tcPr>
          <w:p w14:paraId="1762602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w:t>
            </w:r>
          </w:p>
        </w:tc>
        <w:tc>
          <w:tcPr>
            <w:tcW w:w="1248" w:type="pct"/>
            <w:tcBorders>
              <w:top w:val="nil"/>
              <w:left w:val="nil"/>
              <w:bottom w:val="single" w:color="auto" w:sz="4" w:space="0"/>
              <w:right w:val="single" w:color="auto" w:sz="8" w:space="0"/>
            </w:tcBorders>
            <w:noWrap/>
            <w:vAlign w:val="center"/>
          </w:tcPr>
          <w:p w14:paraId="503DC23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A7796C7">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14:paraId="10CDCFD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p>
        </w:tc>
        <w:tc>
          <w:tcPr>
            <w:tcW w:w="1349" w:type="pct"/>
            <w:tcBorders>
              <w:top w:val="nil"/>
              <w:left w:val="nil"/>
              <w:bottom w:val="nil"/>
              <w:right w:val="single" w:color="auto" w:sz="4" w:space="0"/>
            </w:tcBorders>
            <w:noWrap/>
            <w:vAlign w:val="center"/>
          </w:tcPr>
          <w:p w14:paraId="73F6FD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81" w:type="pct"/>
            <w:tcBorders>
              <w:top w:val="nil"/>
              <w:left w:val="nil"/>
              <w:bottom w:val="nil"/>
              <w:right w:val="single" w:color="auto" w:sz="4" w:space="0"/>
            </w:tcBorders>
            <w:noWrap/>
            <w:vAlign w:val="center"/>
          </w:tcPr>
          <w:p w14:paraId="27FD0FA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1248" w:type="pct"/>
            <w:tcBorders>
              <w:top w:val="nil"/>
              <w:left w:val="nil"/>
              <w:bottom w:val="nil"/>
              <w:right w:val="single" w:color="auto" w:sz="8" w:space="0"/>
            </w:tcBorders>
            <w:noWrap/>
            <w:vAlign w:val="center"/>
          </w:tcPr>
          <w:p w14:paraId="286BED0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BC0525A">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noWrap w:val="0"/>
            <w:vAlign w:val="top"/>
          </w:tcPr>
          <w:p w14:paraId="6ACDB8F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供货单位：（盖章）</w:t>
            </w:r>
          </w:p>
        </w:tc>
        <w:tc>
          <w:tcPr>
            <w:tcW w:w="2729" w:type="pct"/>
            <w:gridSpan w:val="2"/>
            <w:tcBorders>
              <w:top w:val="single" w:color="auto" w:sz="4" w:space="0"/>
              <w:left w:val="single" w:color="auto" w:sz="4" w:space="0"/>
              <w:bottom w:val="nil"/>
              <w:right w:val="single" w:color="000000" w:sz="8" w:space="0"/>
            </w:tcBorders>
            <w:noWrap w:val="0"/>
            <w:vAlign w:val="top"/>
          </w:tcPr>
          <w:p w14:paraId="09F0BD8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使用单位验收意见：（盖章）</w:t>
            </w:r>
          </w:p>
          <w:p w14:paraId="53E5600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5EE26A0">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14:paraId="3A5CD82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签字：</w:t>
            </w:r>
          </w:p>
        </w:tc>
        <w:tc>
          <w:tcPr>
            <w:tcW w:w="1349" w:type="pct"/>
            <w:tcBorders>
              <w:top w:val="nil"/>
              <w:left w:val="nil"/>
              <w:bottom w:val="nil"/>
              <w:right w:val="nil"/>
            </w:tcBorders>
            <w:noWrap/>
            <w:vAlign w:val="center"/>
          </w:tcPr>
          <w:p w14:paraId="4520E6C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481" w:type="pct"/>
            <w:tcBorders>
              <w:top w:val="nil"/>
              <w:left w:val="single" w:color="auto" w:sz="4" w:space="0"/>
              <w:bottom w:val="nil"/>
              <w:right w:val="nil"/>
            </w:tcBorders>
            <w:noWrap/>
            <w:vAlign w:val="center"/>
          </w:tcPr>
          <w:p w14:paraId="687BE0D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w:t>
            </w:r>
          </w:p>
        </w:tc>
        <w:tc>
          <w:tcPr>
            <w:tcW w:w="1248" w:type="pct"/>
            <w:tcBorders>
              <w:top w:val="nil"/>
              <w:left w:val="nil"/>
              <w:bottom w:val="nil"/>
              <w:right w:val="single" w:color="auto" w:sz="8" w:space="0"/>
            </w:tcBorders>
            <w:noWrap w:val="0"/>
            <w:vAlign w:val="top"/>
          </w:tcPr>
          <w:p w14:paraId="449BE8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78FC7F4">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14:paraId="3D7ADD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349" w:type="pct"/>
            <w:tcBorders>
              <w:top w:val="nil"/>
              <w:left w:val="nil"/>
              <w:bottom w:val="single" w:color="auto" w:sz="4" w:space="0"/>
              <w:right w:val="nil"/>
            </w:tcBorders>
            <w:noWrap w:val="0"/>
            <w:vAlign w:val="bottom"/>
          </w:tcPr>
          <w:p w14:paraId="4497B67C">
            <w:pPr>
              <w:keepNext w:val="0"/>
              <w:keepLines w:val="0"/>
              <w:widowControl/>
              <w:suppressLineNumbers w:val="0"/>
              <w:spacing w:before="0" w:beforeAutospacing="0" w:after="0" w:afterAutospacing="0"/>
              <w:ind w:left="0" w:right="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tc>
        <w:tc>
          <w:tcPr>
            <w:tcW w:w="1481" w:type="pct"/>
            <w:tcBorders>
              <w:top w:val="nil"/>
              <w:left w:val="single" w:color="auto" w:sz="4" w:space="0"/>
              <w:bottom w:val="single" w:color="auto" w:sz="4" w:space="0"/>
              <w:right w:val="nil"/>
            </w:tcBorders>
            <w:noWrap/>
            <w:vAlign w:val="center"/>
          </w:tcPr>
          <w:p w14:paraId="664CB31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248" w:type="pct"/>
            <w:tcBorders>
              <w:top w:val="nil"/>
              <w:left w:val="nil"/>
              <w:bottom w:val="single" w:color="auto" w:sz="4" w:space="0"/>
              <w:right w:val="single" w:color="auto" w:sz="8" w:space="0"/>
            </w:tcBorders>
            <w:noWrap w:val="0"/>
            <w:vAlign w:val="bottom"/>
          </w:tcPr>
          <w:p w14:paraId="28BC3A21">
            <w:pPr>
              <w:keepNext w:val="0"/>
              <w:keepLines w:val="0"/>
              <w:widowControl/>
              <w:suppressLineNumbers w:val="0"/>
              <w:spacing w:before="0" w:beforeAutospacing="0" w:after="0" w:afterAutospacing="0"/>
              <w:ind w:left="0" w:right="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tc>
      </w:tr>
      <w:tr w14:paraId="34DBC309">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14:paraId="433E6F9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采购内容</w:t>
            </w:r>
          </w:p>
        </w:tc>
      </w:tr>
      <w:tr w14:paraId="2E0BE612">
        <w:tblPrEx>
          <w:tblCellMar>
            <w:top w:w="0" w:type="dxa"/>
            <w:left w:w="108" w:type="dxa"/>
            <w:bottom w:w="0" w:type="dxa"/>
            <w:right w:w="108" w:type="dxa"/>
          </w:tblCellMar>
        </w:tblPrEx>
        <w:trPr>
          <w:trHeight w:val="1675" w:hRule="atLeast"/>
        </w:trPr>
        <w:tc>
          <w:tcPr>
            <w:tcW w:w="5000" w:type="pct"/>
            <w:gridSpan w:val="4"/>
            <w:tcBorders>
              <w:top w:val="single" w:color="auto" w:sz="4" w:space="0"/>
              <w:left w:val="single" w:color="auto" w:sz="8" w:space="0"/>
              <w:bottom w:val="single" w:color="auto" w:sz="8" w:space="0"/>
              <w:right w:val="single" w:color="000000" w:sz="8" w:space="0"/>
            </w:tcBorders>
            <w:noWrap w:val="0"/>
            <w:vAlign w:val="top"/>
          </w:tcPr>
          <w:p w14:paraId="5620CF4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采购内容请列明品目、规格、型号、数量、单价、总价</w:t>
            </w:r>
          </w:p>
        </w:tc>
      </w:tr>
    </w:tbl>
    <w:p w14:paraId="58B15D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eastAsia"/>
          <w:color w:val="auto"/>
          <w:sz w:val="24"/>
        </w:rPr>
      </w:pPr>
    </w:p>
    <w:p w14:paraId="00DCD0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eastAsia"/>
          <w:color w:val="auto"/>
          <w:sz w:val="24"/>
        </w:rPr>
      </w:pPr>
    </w:p>
    <w:p w14:paraId="1D173E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default"/>
          <w:color w:val="auto"/>
          <w:sz w:val="24"/>
          <w:lang w:val="en-US" w:eastAsia="zh-CN"/>
        </w:rPr>
      </w:pPr>
    </w:p>
    <w:p w14:paraId="30296D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default"/>
          <w:color w:val="auto"/>
          <w:sz w:val="24"/>
          <w:lang w:val="en-US" w:eastAsia="zh-CN"/>
        </w:rPr>
      </w:pPr>
    </w:p>
    <w:p w14:paraId="54F04C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default"/>
          <w:color w:val="auto"/>
          <w:sz w:val="24"/>
          <w:lang w:val="en-US" w:eastAsia="zh-CN"/>
        </w:rPr>
      </w:pPr>
    </w:p>
    <w:p w14:paraId="384D53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default"/>
          <w:color w:val="auto"/>
          <w:sz w:val="24"/>
          <w:lang w:val="en-US" w:eastAsia="zh-CN"/>
        </w:rPr>
      </w:pPr>
    </w:p>
    <w:p w14:paraId="6EA843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default"/>
          <w:color w:val="auto"/>
          <w:sz w:val="24"/>
          <w:lang w:val="en-US" w:eastAsia="zh-CN"/>
        </w:rPr>
      </w:pPr>
    </w:p>
    <w:p w14:paraId="0E8009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default"/>
          <w:color w:val="auto"/>
          <w:sz w:val="24"/>
          <w:lang w:val="en-US" w:eastAsia="zh-CN"/>
        </w:rPr>
      </w:pPr>
    </w:p>
    <w:p w14:paraId="2707ED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default"/>
          <w:color w:val="auto"/>
          <w:sz w:val="24"/>
          <w:lang w:val="en-US" w:eastAsia="zh-CN"/>
        </w:rPr>
      </w:pPr>
    </w:p>
    <w:p w14:paraId="47F3A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default"/>
          <w:color w:val="auto"/>
          <w:sz w:val="24"/>
          <w:lang w:val="en-US" w:eastAsia="zh-CN"/>
        </w:rPr>
      </w:pPr>
    </w:p>
    <w:p w14:paraId="20F9EE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default"/>
          <w:color w:val="auto"/>
          <w:sz w:val="24"/>
          <w:lang w:val="en-US" w:eastAsia="zh-CN"/>
        </w:rPr>
      </w:pPr>
    </w:p>
    <w:p w14:paraId="1A37F0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default"/>
          <w:color w:val="auto"/>
          <w:sz w:val="24"/>
          <w:lang w:val="en-US" w:eastAsia="zh-CN"/>
        </w:rPr>
      </w:pPr>
    </w:p>
    <w:p w14:paraId="0E8EA2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default"/>
          <w:color w:val="auto"/>
          <w:sz w:val="24"/>
          <w:lang w:val="en-US" w:eastAsia="zh-CN"/>
        </w:rPr>
      </w:pPr>
    </w:p>
    <w:p w14:paraId="69D6F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default"/>
          <w:color w:val="auto"/>
          <w:sz w:val="24"/>
          <w:lang w:val="en-US" w:eastAsia="zh-CN"/>
        </w:rPr>
      </w:pPr>
    </w:p>
    <w:p w14:paraId="0E8BD2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default"/>
          <w:color w:val="auto"/>
          <w:sz w:val="24"/>
          <w:lang w:val="en-US" w:eastAsia="zh-CN"/>
        </w:rPr>
      </w:pPr>
    </w:p>
    <w:p w14:paraId="7501C904">
      <w:pPr>
        <w:keepNext w:val="0"/>
        <w:keepLines w:val="0"/>
        <w:pageBreakBefore w:val="0"/>
        <w:widowControl w:val="0"/>
        <w:kinsoku/>
        <w:wordWrap/>
        <w:overflowPunct/>
        <w:topLinePunct w:val="0"/>
        <w:autoSpaceDE/>
        <w:autoSpaceDN/>
        <w:bidi w:val="0"/>
        <w:adjustRightInd w:val="0"/>
        <w:snapToGrid w:val="0"/>
        <w:spacing w:line="480" w:lineRule="exact"/>
        <w:ind w:firstLine="723" w:firstLineChars="200"/>
        <w:jc w:val="center"/>
        <w:textAlignment w:val="auto"/>
        <w:outlineLvl w:val="0"/>
        <w:rPr>
          <w:rFonts w:hint="default" w:eastAsia="宋体"/>
          <w:color w:val="auto"/>
          <w:sz w:val="32"/>
          <w:szCs w:val="32"/>
          <w:lang w:val="en-US" w:eastAsia="zh-CN"/>
        </w:rPr>
      </w:pPr>
      <w:bookmarkStart w:id="152" w:name="_Toc6574"/>
      <w:r>
        <w:rPr>
          <w:rFonts w:hint="eastAsia"/>
          <w:b/>
          <w:bCs/>
          <w:color w:val="auto"/>
          <w:sz w:val="36"/>
          <w:szCs w:val="36"/>
          <w:lang w:val="en-US" w:eastAsia="zh-CN"/>
        </w:rPr>
        <w:t>第七部分  响应文件格式</w:t>
      </w:r>
      <w:bookmarkEnd w:id="152"/>
    </w:p>
    <w:p w14:paraId="114D1037">
      <w:pPr>
        <w:widowControl/>
        <w:spacing w:line="400" w:lineRule="exact"/>
        <w:jc w:val="right"/>
        <w:rPr>
          <w:rFonts w:cs="仿宋" w:asciiTheme="minorEastAsia" w:hAnsiTheme="minorEastAsia" w:eastAsiaTheme="minorEastAsia"/>
          <w:b/>
          <w:color w:val="auto"/>
          <w:sz w:val="36"/>
          <w:szCs w:val="36"/>
          <w:bdr w:val="single" w:color="auto" w:sz="4" w:space="0"/>
          <w:shd w:val="pct10" w:color="auto" w:fill="FFFFFF"/>
        </w:rPr>
      </w:pPr>
    </w:p>
    <w:p w14:paraId="6D0BE19A">
      <w:pPr>
        <w:keepNext w:val="0"/>
        <w:keepLines w:val="0"/>
        <w:pageBreakBefore w:val="0"/>
        <w:widowControl/>
        <w:kinsoku/>
        <w:wordWrap/>
        <w:overflowPunct/>
        <w:topLinePunct w:val="0"/>
        <w:autoSpaceDE/>
        <w:autoSpaceDN/>
        <w:bidi w:val="0"/>
        <w:adjustRightInd/>
        <w:snapToGrid/>
        <w:spacing w:line="460" w:lineRule="exact"/>
        <w:jc w:val="right"/>
        <w:textAlignment w:val="auto"/>
        <w:rPr>
          <w:rFonts w:cs="仿宋" w:asciiTheme="minorEastAsia" w:hAnsiTheme="minorEastAsia" w:eastAsiaTheme="minorEastAsia"/>
          <w:b/>
          <w:color w:val="auto"/>
          <w:sz w:val="36"/>
          <w:szCs w:val="36"/>
          <w:bdr w:val="single" w:color="auto" w:sz="4" w:space="0"/>
          <w:shd w:val="pct10" w:color="auto" w:fill="FFFFFF"/>
        </w:rPr>
      </w:pPr>
      <w:r>
        <w:rPr>
          <w:rFonts w:hint="eastAsia" w:cs="仿宋" w:asciiTheme="minorEastAsia" w:hAnsiTheme="minorEastAsia" w:eastAsiaTheme="minorEastAsia"/>
          <w:b/>
          <w:color w:val="auto"/>
          <w:sz w:val="36"/>
          <w:szCs w:val="36"/>
          <w:bdr w:val="single" w:color="auto" w:sz="4" w:space="0"/>
          <w:shd w:val="pct10" w:color="auto" w:fill="FFFFFF"/>
        </w:rPr>
        <w:t>政府采购项目</w:t>
      </w:r>
    </w:p>
    <w:p w14:paraId="7C92E603">
      <w:pPr>
        <w:widowControl/>
        <w:spacing w:line="440" w:lineRule="exact"/>
        <w:rPr>
          <w:rFonts w:cs="仿宋" w:asciiTheme="minorEastAsia" w:hAnsiTheme="minorEastAsia" w:eastAsiaTheme="minorEastAsia"/>
          <w:bCs/>
          <w:color w:val="auto"/>
          <w:sz w:val="32"/>
          <w:szCs w:val="32"/>
        </w:rPr>
      </w:pPr>
      <w:r>
        <w:rPr>
          <w:rFonts w:hint="eastAsia" w:ascii="宋体" w:hAnsi="宋体" w:cs="宋体"/>
          <w:b/>
          <w:bCs/>
          <w:color w:val="auto"/>
          <w:kern w:val="44"/>
          <w:sz w:val="32"/>
          <w:szCs w:val="32"/>
        </w:rPr>
        <w:t>项目编号</w:t>
      </w:r>
      <w:r>
        <w:rPr>
          <w:rFonts w:hint="eastAsia" w:ascii="宋体" w:hAnsi="宋体" w:cs="宋体"/>
          <w:b/>
          <w:bCs/>
          <w:color w:val="auto"/>
          <w:kern w:val="44"/>
          <w:sz w:val="32"/>
          <w:szCs w:val="32"/>
          <w:lang w:eastAsia="zh-CN"/>
        </w:rPr>
        <w:t>：</w:t>
      </w:r>
      <w:r>
        <w:rPr>
          <w:rFonts w:hint="eastAsia" w:cs="仿宋" w:asciiTheme="minorEastAsia" w:hAnsiTheme="minorEastAsia" w:eastAsiaTheme="minorEastAsia"/>
          <w:bCs/>
          <w:color w:val="auto"/>
          <w:sz w:val="32"/>
          <w:szCs w:val="32"/>
        </w:rPr>
        <w:t xml:space="preserve"> </w:t>
      </w:r>
    </w:p>
    <w:p w14:paraId="65D0356C">
      <w:pPr>
        <w:widowControl/>
        <w:spacing w:line="600" w:lineRule="exact"/>
        <w:rPr>
          <w:rFonts w:cs="仿宋" w:asciiTheme="minorEastAsia" w:hAnsiTheme="minorEastAsia" w:eastAsiaTheme="minorEastAsia"/>
          <w:bCs/>
          <w:color w:val="auto"/>
          <w:spacing w:val="20"/>
          <w:kern w:val="0"/>
          <w:sz w:val="84"/>
          <w:szCs w:val="84"/>
        </w:rPr>
      </w:pPr>
    </w:p>
    <w:p w14:paraId="163EB016">
      <w:pPr>
        <w:pStyle w:val="5"/>
        <w:rPr>
          <w:color w:val="auto"/>
        </w:rPr>
      </w:pPr>
    </w:p>
    <w:p w14:paraId="6B56535D">
      <w:pPr>
        <w:rPr>
          <w:color w:val="auto"/>
        </w:rPr>
      </w:pPr>
    </w:p>
    <w:p w14:paraId="4204DD75">
      <w:pPr>
        <w:pStyle w:val="5"/>
        <w:rPr>
          <w:color w:val="auto"/>
        </w:rPr>
      </w:pPr>
    </w:p>
    <w:p w14:paraId="61CC9B32">
      <w:pPr>
        <w:rPr>
          <w:color w:val="auto"/>
        </w:rPr>
      </w:pPr>
    </w:p>
    <w:p w14:paraId="2CB84EFB">
      <w:pPr>
        <w:pStyle w:val="23"/>
        <w:jc w:val="center"/>
        <w:rPr>
          <w:rFonts w:hint="eastAsia" w:ascii="宋体" w:hAnsi="宋体" w:eastAsia="宋体" w:cs="宋体"/>
          <w:b/>
          <w:bCs/>
          <w:color w:val="auto"/>
          <w:sz w:val="48"/>
          <w:szCs w:val="48"/>
          <w:lang w:eastAsia="zh-CN"/>
        </w:rPr>
      </w:pPr>
      <w:r>
        <w:rPr>
          <w:rFonts w:hint="eastAsia" w:ascii="宋体" w:hAnsi="宋体" w:cs="宋体"/>
          <w:b/>
          <w:bCs/>
          <w:color w:val="auto"/>
          <w:sz w:val="56"/>
          <w:szCs w:val="56"/>
          <w:u w:val="single"/>
        </w:rPr>
        <w:t xml:space="preserve">                  </w:t>
      </w:r>
      <w:bookmarkStart w:id="153" w:name="OLE_LINK13"/>
      <w:r>
        <w:rPr>
          <w:rFonts w:hint="eastAsia" w:ascii="宋体" w:hAnsi="宋体" w:cs="宋体"/>
          <w:b/>
          <w:bCs/>
          <w:color w:val="auto"/>
          <w:sz w:val="56"/>
          <w:szCs w:val="56"/>
          <w:lang w:val="en-US" w:eastAsia="zh-CN"/>
        </w:rPr>
        <w:t>项目</w:t>
      </w:r>
    </w:p>
    <w:bookmarkEnd w:id="153"/>
    <w:p w14:paraId="2855DFD8">
      <w:pPr>
        <w:pStyle w:val="23"/>
        <w:jc w:val="center"/>
        <w:rPr>
          <w:rFonts w:ascii="宋体" w:hAnsi="宋体" w:cs="宋体"/>
          <w:b/>
          <w:bCs/>
          <w:color w:val="auto"/>
          <w:sz w:val="56"/>
          <w:szCs w:val="56"/>
        </w:rPr>
      </w:pPr>
    </w:p>
    <w:p w14:paraId="026AB55D">
      <w:pPr>
        <w:pStyle w:val="23"/>
        <w:rPr>
          <w:color w:val="auto"/>
        </w:rPr>
      </w:pPr>
    </w:p>
    <w:p w14:paraId="17C8BD7E">
      <w:pPr>
        <w:pStyle w:val="23"/>
        <w:rPr>
          <w:color w:val="auto"/>
        </w:rPr>
      </w:pPr>
    </w:p>
    <w:p w14:paraId="5F9D0EB1">
      <w:pPr>
        <w:pStyle w:val="23"/>
        <w:rPr>
          <w:color w:val="auto"/>
        </w:rPr>
      </w:pPr>
    </w:p>
    <w:p w14:paraId="0C6FFA9B">
      <w:pPr>
        <w:pStyle w:val="23"/>
        <w:rPr>
          <w:color w:val="auto"/>
        </w:rPr>
      </w:pPr>
    </w:p>
    <w:p w14:paraId="00CBABD2">
      <w:pPr>
        <w:widowControl/>
        <w:spacing w:before="163" w:beforeLines="50" w:line="800" w:lineRule="exact"/>
        <w:jc w:val="center"/>
        <w:rPr>
          <w:rFonts w:cs="仿宋" w:asciiTheme="minorEastAsia" w:hAnsiTheme="minorEastAsia" w:eastAsiaTheme="minorEastAsia"/>
          <w:b/>
          <w:color w:val="auto"/>
          <w:spacing w:val="20"/>
          <w:kern w:val="0"/>
          <w:sz w:val="84"/>
          <w:szCs w:val="84"/>
        </w:rPr>
      </w:pPr>
      <w:r>
        <w:rPr>
          <w:rFonts w:hint="eastAsia" w:cs="仿宋" w:asciiTheme="minorEastAsia" w:hAnsiTheme="minorEastAsia" w:eastAsiaTheme="minorEastAsia"/>
          <w:b/>
          <w:color w:val="auto"/>
          <w:spacing w:val="20"/>
          <w:kern w:val="0"/>
          <w:sz w:val="84"/>
          <w:szCs w:val="84"/>
        </w:rPr>
        <w:t>响应文件</w:t>
      </w:r>
    </w:p>
    <w:p w14:paraId="2B3BBCD7">
      <w:pPr>
        <w:pStyle w:val="23"/>
        <w:rPr>
          <w:color w:val="auto"/>
        </w:rPr>
      </w:pPr>
    </w:p>
    <w:p w14:paraId="02575AA1">
      <w:pPr>
        <w:widowControl/>
        <w:spacing w:line="480" w:lineRule="exact"/>
        <w:rPr>
          <w:rFonts w:cs="仿宋" w:asciiTheme="minorEastAsia" w:hAnsiTheme="minorEastAsia" w:eastAsiaTheme="minorEastAsia"/>
          <w:bCs/>
          <w:color w:val="auto"/>
          <w:sz w:val="44"/>
          <w:szCs w:val="44"/>
        </w:rPr>
      </w:pPr>
      <w:r>
        <w:rPr>
          <w:rFonts w:hint="eastAsia" w:cs="仿宋" w:asciiTheme="minorEastAsia" w:hAnsiTheme="minorEastAsia" w:eastAsiaTheme="minorEastAsia"/>
          <w:bCs/>
          <w:color w:val="auto"/>
          <w:sz w:val="32"/>
          <w:szCs w:val="28"/>
        </w:rPr>
        <w:t xml:space="preserve">                     </w:t>
      </w:r>
      <w:r>
        <w:rPr>
          <w:rFonts w:hint="eastAsia" w:cs="仿宋" w:asciiTheme="minorEastAsia" w:hAnsiTheme="minorEastAsia" w:eastAsiaTheme="minorEastAsia"/>
          <w:bCs/>
          <w:color w:val="auto"/>
          <w:sz w:val="44"/>
          <w:szCs w:val="44"/>
        </w:rPr>
        <w:t>（正/副本）</w:t>
      </w:r>
    </w:p>
    <w:p w14:paraId="663219AE">
      <w:pPr>
        <w:widowControl/>
        <w:spacing w:line="400" w:lineRule="exact"/>
        <w:rPr>
          <w:rFonts w:cs="仿宋" w:asciiTheme="minorEastAsia" w:hAnsiTheme="minorEastAsia" w:eastAsiaTheme="minorEastAsia"/>
          <w:bCs/>
          <w:color w:val="auto"/>
          <w:sz w:val="18"/>
          <w:szCs w:val="18"/>
        </w:rPr>
      </w:pPr>
    </w:p>
    <w:p w14:paraId="75A98166">
      <w:pPr>
        <w:widowControl/>
        <w:spacing w:line="400" w:lineRule="exact"/>
        <w:rPr>
          <w:rFonts w:cs="仿宋" w:asciiTheme="minorEastAsia" w:hAnsiTheme="minorEastAsia" w:eastAsiaTheme="minorEastAsia"/>
          <w:bCs/>
          <w:color w:val="auto"/>
          <w:sz w:val="18"/>
          <w:szCs w:val="18"/>
        </w:rPr>
      </w:pPr>
    </w:p>
    <w:p w14:paraId="1E327433">
      <w:pPr>
        <w:widowControl/>
        <w:spacing w:line="400" w:lineRule="exact"/>
        <w:rPr>
          <w:rFonts w:cs="仿宋" w:asciiTheme="minorEastAsia" w:hAnsiTheme="minorEastAsia" w:eastAsiaTheme="minorEastAsia"/>
          <w:bCs/>
          <w:color w:val="auto"/>
          <w:sz w:val="18"/>
          <w:szCs w:val="18"/>
        </w:rPr>
      </w:pPr>
    </w:p>
    <w:p w14:paraId="3281FED2">
      <w:pPr>
        <w:widowControl/>
        <w:spacing w:line="480" w:lineRule="auto"/>
        <w:rPr>
          <w:rFonts w:cs="仿宋" w:asciiTheme="minorEastAsia" w:hAnsiTheme="minorEastAsia" w:eastAsiaTheme="minorEastAsia"/>
          <w:bCs/>
          <w:color w:val="auto"/>
          <w:sz w:val="36"/>
          <w:szCs w:val="36"/>
        </w:rPr>
      </w:pPr>
    </w:p>
    <w:p w14:paraId="366D17AC">
      <w:pPr>
        <w:widowControl/>
        <w:spacing w:line="480" w:lineRule="auto"/>
        <w:rPr>
          <w:rFonts w:cs="仿宋" w:asciiTheme="minorEastAsia" w:hAnsiTheme="minorEastAsia" w:eastAsiaTheme="minorEastAsia"/>
          <w:bCs/>
          <w:color w:val="auto"/>
          <w:sz w:val="36"/>
          <w:szCs w:val="36"/>
        </w:rPr>
      </w:pPr>
    </w:p>
    <w:p w14:paraId="650BEFC9">
      <w:pPr>
        <w:pStyle w:val="12"/>
        <w:rPr>
          <w:color w:val="auto"/>
        </w:rPr>
      </w:pPr>
    </w:p>
    <w:p w14:paraId="5F1EFEF5">
      <w:pPr>
        <w:snapToGrid w:val="0"/>
        <w:spacing w:line="56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lang w:val="zh-CN"/>
        </w:rPr>
        <w:t>供应商（单位名称及公章）：</w:t>
      </w:r>
      <w:r>
        <w:rPr>
          <w:rFonts w:hint="eastAsia" w:ascii="宋体" w:hAnsi="宋体" w:cs="宋体"/>
          <w:color w:val="auto"/>
          <w:sz w:val="24"/>
          <w:szCs w:val="24"/>
        </w:rPr>
        <w:t xml:space="preserve">____________________________ </w:t>
      </w:r>
    </w:p>
    <w:p w14:paraId="3D8E16AD">
      <w:pPr>
        <w:snapToGrid w:val="0"/>
        <w:spacing w:line="560" w:lineRule="exact"/>
        <w:ind w:firstLine="480" w:firstLineChars="200"/>
        <w:jc w:val="left"/>
        <w:rPr>
          <w:rFonts w:cs="Times New Roman"/>
          <w:color w:val="auto"/>
          <w:sz w:val="24"/>
          <w:szCs w:val="24"/>
        </w:rPr>
      </w:pPr>
      <w:r>
        <w:rPr>
          <w:rFonts w:hint="eastAsia" w:ascii="宋体" w:hAnsi="宋体" w:cs="宋体"/>
          <w:color w:val="auto"/>
          <w:sz w:val="24"/>
          <w:szCs w:val="24"/>
          <w:lang w:val="zh-CN"/>
        </w:rPr>
        <w:t>法定代表人或被授权人（签字</w:t>
      </w:r>
      <w:r>
        <w:rPr>
          <w:rFonts w:hint="eastAsia" w:ascii="宋体" w:hAnsi="宋体" w:cs="宋体"/>
          <w:color w:val="auto"/>
          <w:sz w:val="24"/>
          <w:szCs w:val="24"/>
        </w:rPr>
        <w:t>或盖章</w:t>
      </w:r>
      <w:r>
        <w:rPr>
          <w:rFonts w:hint="eastAsia" w:ascii="宋体" w:hAnsi="宋体" w:cs="宋体"/>
          <w:color w:val="auto"/>
          <w:sz w:val="24"/>
          <w:szCs w:val="24"/>
          <w:lang w:val="zh-CN"/>
        </w:rPr>
        <w:t>）：</w:t>
      </w:r>
      <w:r>
        <w:rPr>
          <w:rFonts w:hint="eastAsia" w:ascii="宋体" w:hAnsi="宋体" w:cs="宋体"/>
          <w:color w:val="auto"/>
          <w:sz w:val="24"/>
          <w:szCs w:val="24"/>
        </w:rPr>
        <w:t>______________________</w:t>
      </w:r>
    </w:p>
    <w:p w14:paraId="3C111293">
      <w:pPr>
        <w:snapToGrid w:val="0"/>
        <w:spacing w:line="56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日期</w:t>
      </w:r>
      <w:r>
        <w:rPr>
          <w:rFonts w:hint="eastAsia" w:ascii="宋体" w:hAnsi="宋体" w:cs="宋体"/>
          <w:color w:val="auto"/>
          <w:sz w:val="24"/>
          <w:szCs w:val="24"/>
          <w:lang w:val="zh-CN"/>
        </w:rPr>
        <w:t>：</w:t>
      </w:r>
      <w:r>
        <w:rPr>
          <w:rFonts w:hint="eastAsia" w:ascii="宋体" w:hAnsi="宋体" w:cs="宋体"/>
          <w:color w:val="auto"/>
          <w:sz w:val="24"/>
          <w:szCs w:val="24"/>
        </w:rPr>
        <w:t>____________________________________________________</w:t>
      </w:r>
    </w:p>
    <w:p w14:paraId="4F803CAF">
      <w:pPr>
        <w:pageBreakBefore/>
        <w:jc w:val="center"/>
        <w:rPr>
          <w:rFonts w:ascii="宋体" w:hAnsi="宋体" w:cs="宋体"/>
          <w:b/>
          <w:bCs/>
          <w:color w:val="auto"/>
          <w:sz w:val="50"/>
          <w:szCs w:val="50"/>
        </w:rPr>
      </w:pPr>
      <w:r>
        <w:rPr>
          <w:rFonts w:hint="eastAsia" w:ascii="宋体" w:hAnsi="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cs="宋体"/>
          <w:b/>
          <w:bCs/>
          <w:color w:val="auto"/>
          <w:sz w:val="50"/>
          <w:szCs w:val="50"/>
        </w:rPr>
        <w:t>录</w:t>
      </w:r>
    </w:p>
    <w:p w14:paraId="72624621">
      <w:pPr>
        <w:pStyle w:val="23"/>
        <w:spacing w:line="360" w:lineRule="auto"/>
        <w:ind w:left="1155" w:leftChars="550"/>
        <w:rPr>
          <w:rFonts w:hint="eastAsia" w:ascii="宋体" w:hAnsi="宋体"/>
          <w:color w:val="auto"/>
          <w:sz w:val="32"/>
          <w:szCs w:val="28"/>
        </w:rPr>
      </w:pPr>
    </w:p>
    <w:p w14:paraId="0BC1F6D3">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第一章 </w:t>
      </w:r>
      <w:r>
        <w:rPr>
          <w:rFonts w:ascii="宋体" w:hAnsi="宋体"/>
          <w:color w:val="auto"/>
          <w:sz w:val="32"/>
          <w:szCs w:val="28"/>
        </w:rPr>
        <w:t xml:space="preserve">  </w:t>
      </w:r>
      <w:r>
        <w:rPr>
          <w:rFonts w:hint="eastAsia" w:ascii="宋体" w:hAnsi="宋体"/>
          <w:color w:val="auto"/>
          <w:sz w:val="32"/>
          <w:szCs w:val="28"/>
        </w:rPr>
        <w:t>响应函</w:t>
      </w:r>
    </w:p>
    <w:p w14:paraId="05259D0C">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第二章 </w:t>
      </w:r>
      <w:r>
        <w:rPr>
          <w:rFonts w:ascii="宋体" w:hAnsi="宋体"/>
          <w:color w:val="auto"/>
          <w:sz w:val="32"/>
          <w:szCs w:val="28"/>
        </w:rPr>
        <w:t xml:space="preserve">  </w:t>
      </w:r>
      <w:r>
        <w:rPr>
          <w:rFonts w:hint="eastAsia" w:ascii="宋体" w:hAnsi="宋体"/>
          <w:color w:val="auto"/>
          <w:sz w:val="32"/>
          <w:szCs w:val="28"/>
        </w:rPr>
        <w:t>响应报价表</w:t>
      </w:r>
    </w:p>
    <w:p w14:paraId="3FA74500">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第三章  </w:t>
      </w:r>
      <w:r>
        <w:rPr>
          <w:rFonts w:hint="eastAsia" w:ascii="宋体" w:hAnsi="宋体"/>
          <w:color w:val="auto"/>
          <w:sz w:val="32"/>
          <w:szCs w:val="28"/>
          <w:lang w:val="en-US" w:eastAsia="zh-CN"/>
        </w:rPr>
        <w:t xml:space="preserve"> </w:t>
      </w:r>
      <w:r>
        <w:rPr>
          <w:rFonts w:hint="eastAsia" w:ascii="宋体" w:hAnsi="宋体"/>
          <w:color w:val="auto"/>
          <w:sz w:val="32"/>
          <w:szCs w:val="28"/>
        </w:rPr>
        <w:t>资</w:t>
      </w:r>
      <w:r>
        <w:rPr>
          <w:rFonts w:hint="eastAsia" w:ascii="宋体" w:hAnsi="宋体"/>
          <w:color w:val="auto"/>
          <w:sz w:val="32"/>
          <w:szCs w:val="28"/>
          <w:lang w:val="en-US" w:eastAsia="zh-CN"/>
        </w:rPr>
        <w:t>格</w:t>
      </w:r>
      <w:r>
        <w:rPr>
          <w:rFonts w:hint="eastAsia" w:ascii="宋体" w:hAnsi="宋体"/>
          <w:color w:val="auto"/>
          <w:sz w:val="32"/>
          <w:szCs w:val="28"/>
        </w:rPr>
        <w:t>证明文件</w:t>
      </w:r>
    </w:p>
    <w:p w14:paraId="709006E6">
      <w:pPr>
        <w:pStyle w:val="23"/>
        <w:spacing w:line="360" w:lineRule="auto"/>
        <w:ind w:left="1155" w:leftChars="550"/>
        <w:rPr>
          <w:rFonts w:hint="default" w:ascii="宋体" w:hAnsi="宋体" w:eastAsia="宋体"/>
          <w:color w:val="auto"/>
          <w:sz w:val="32"/>
          <w:szCs w:val="28"/>
          <w:lang w:val="en-US" w:eastAsia="zh-CN"/>
        </w:rPr>
      </w:pPr>
      <w:r>
        <w:rPr>
          <w:rFonts w:hint="eastAsia" w:ascii="宋体" w:hAnsi="宋体"/>
          <w:color w:val="auto"/>
          <w:sz w:val="32"/>
          <w:szCs w:val="28"/>
        </w:rPr>
        <w:t>第</w:t>
      </w:r>
      <w:r>
        <w:rPr>
          <w:rFonts w:hint="eastAsia" w:ascii="宋体" w:hAnsi="宋体"/>
          <w:color w:val="auto"/>
          <w:sz w:val="32"/>
          <w:szCs w:val="28"/>
          <w:lang w:val="en-US" w:eastAsia="zh-CN"/>
        </w:rPr>
        <w:t>四</w:t>
      </w:r>
      <w:r>
        <w:rPr>
          <w:rFonts w:hint="eastAsia" w:ascii="宋体" w:hAnsi="宋体"/>
          <w:color w:val="auto"/>
          <w:sz w:val="32"/>
          <w:szCs w:val="28"/>
        </w:rPr>
        <w:t>章</w:t>
      </w:r>
      <w:r>
        <w:rPr>
          <w:rFonts w:hint="eastAsia" w:ascii="宋体" w:hAnsi="宋体"/>
          <w:color w:val="auto"/>
          <w:sz w:val="32"/>
          <w:szCs w:val="28"/>
          <w:lang w:val="en-US" w:eastAsia="zh-CN"/>
        </w:rPr>
        <w:t xml:space="preserve">   技术</w:t>
      </w:r>
      <w:r>
        <w:rPr>
          <w:rFonts w:hint="eastAsia" w:ascii="宋体" w:hAnsi="宋体"/>
          <w:color w:val="auto"/>
          <w:sz w:val="32"/>
          <w:szCs w:val="28"/>
          <w:lang w:eastAsia="zh-CN"/>
        </w:rPr>
        <w:t>商务偏离表</w:t>
      </w:r>
    </w:p>
    <w:p w14:paraId="4DE8C1F3">
      <w:pPr>
        <w:pStyle w:val="23"/>
        <w:spacing w:line="360" w:lineRule="auto"/>
        <w:ind w:left="1155" w:leftChars="550"/>
        <w:rPr>
          <w:rFonts w:ascii="宋体" w:hAnsi="宋体"/>
          <w:color w:val="auto"/>
          <w:sz w:val="32"/>
          <w:szCs w:val="28"/>
        </w:rPr>
      </w:pPr>
      <w:r>
        <w:rPr>
          <w:rFonts w:hint="eastAsia" w:ascii="宋体" w:hAnsi="宋体"/>
          <w:color w:val="auto"/>
          <w:sz w:val="32"/>
          <w:szCs w:val="28"/>
        </w:rPr>
        <w:t>第</w:t>
      </w:r>
      <w:r>
        <w:rPr>
          <w:rFonts w:hint="eastAsia" w:ascii="宋体" w:hAnsi="宋体"/>
          <w:color w:val="auto"/>
          <w:sz w:val="32"/>
          <w:szCs w:val="28"/>
          <w:lang w:val="en-US" w:eastAsia="zh-CN"/>
        </w:rPr>
        <w:t>五</w:t>
      </w:r>
      <w:r>
        <w:rPr>
          <w:rFonts w:hint="eastAsia" w:ascii="宋体" w:hAnsi="宋体"/>
          <w:color w:val="auto"/>
          <w:sz w:val="32"/>
          <w:szCs w:val="28"/>
        </w:rPr>
        <w:t>章</w:t>
      </w:r>
      <w:r>
        <w:rPr>
          <w:rFonts w:hint="eastAsia" w:ascii="宋体" w:hAnsi="宋体"/>
          <w:color w:val="auto"/>
          <w:sz w:val="32"/>
          <w:szCs w:val="28"/>
          <w:lang w:val="en-US" w:eastAsia="zh-CN"/>
        </w:rPr>
        <w:t xml:space="preserve">   响应</w:t>
      </w:r>
      <w:r>
        <w:rPr>
          <w:rFonts w:hint="eastAsia" w:ascii="宋体" w:hAnsi="宋体"/>
          <w:color w:val="auto"/>
          <w:sz w:val="32"/>
          <w:szCs w:val="28"/>
        </w:rPr>
        <w:t>方案</w:t>
      </w:r>
    </w:p>
    <w:p w14:paraId="00A3307E">
      <w:pPr>
        <w:pStyle w:val="23"/>
        <w:spacing w:line="360" w:lineRule="auto"/>
        <w:ind w:left="1155" w:leftChars="550"/>
        <w:rPr>
          <w:rFonts w:ascii="宋体" w:hAnsi="宋体"/>
          <w:color w:val="auto"/>
          <w:sz w:val="32"/>
          <w:szCs w:val="28"/>
        </w:rPr>
      </w:pPr>
      <w:r>
        <w:rPr>
          <w:rFonts w:hint="eastAsia" w:ascii="宋体" w:hAnsi="宋体"/>
          <w:color w:val="auto"/>
          <w:sz w:val="32"/>
          <w:szCs w:val="28"/>
        </w:rPr>
        <w:t>第</w:t>
      </w:r>
      <w:r>
        <w:rPr>
          <w:rFonts w:hint="eastAsia" w:ascii="宋体" w:hAnsi="宋体"/>
          <w:color w:val="auto"/>
          <w:sz w:val="32"/>
          <w:szCs w:val="28"/>
          <w:lang w:val="en-US" w:eastAsia="zh-CN"/>
        </w:rPr>
        <w:t>六</w:t>
      </w:r>
      <w:r>
        <w:rPr>
          <w:rFonts w:hint="eastAsia" w:ascii="宋体" w:hAnsi="宋体"/>
          <w:color w:val="auto"/>
          <w:sz w:val="32"/>
          <w:szCs w:val="28"/>
        </w:rPr>
        <w:t>章   供应商承诺书</w:t>
      </w:r>
    </w:p>
    <w:p w14:paraId="6C37BA6D">
      <w:pPr>
        <w:pStyle w:val="23"/>
        <w:spacing w:line="360" w:lineRule="auto"/>
        <w:ind w:left="1155" w:leftChars="550"/>
        <w:rPr>
          <w:rFonts w:ascii="宋体" w:hAnsi="宋体"/>
          <w:color w:val="auto"/>
          <w:sz w:val="32"/>
          <w:szCs w:val="28"/>
        </w:rPr>
      </w:pPr>
    </w:p>
    <w:p w14:paraId="287C118E">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   </w:t>
      </w:r>
    </w:p>
    <w:p w14:paraId="2FFAA879">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 </w:t>
      </w:r>
      <w:r>
        <w:rPr>
          <w:rFonts w:ascii="宋体" w:hAnsi="宋体"/>
          <w:color w:val="auto"/>
          <w:sz w:val="32"/>
          <w:szCs w:val="28"/>
        </w:rPr>
        <w:t xml:space="preserve"> </w:t>
      </w:r>
    </w:p>
    <w:p w14:paraId="5D067DEA">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 </w:t>
      </w:r>
      <w:r>
        <w:rPr>
          <w:rFonts w:ascii="宋体" w:hAnsi="宋体"/>
          <w:color w:val="auto"/>
          <w:sz w:val="32"/>
          <w:szCs w:val="28"/>
        </w:rPr>
        <w:t xml:space="preserve"> </w:t>
      </w:r>
    </w:p>
    <w:p w14:paraId="33C49625">
      <w:pPr>
        <w:pStyle w:val="23"/>
        <w:spacing w:line="360" w:lineRule="auto"/>
        <w:ind w:left="1155" w:leftChars="550"/>
        <w:rPr>
          <w:rFonts w:ascii="宋体" w:hAnsi="宋体"/>
          <w:color w:val="auto"/>
          <w:sz w:val="32"/>
          <w:szCs w:val="28"/>
        </w:rPr>
      </w:pPr>
      <w:r>
        <w:rPr>
          <w:rFonts w:ascii="宋体" w:hAnsi="宋体"/>
          <w:color w:val="auto"/>
          <w:sz w:val="32"/>
          <w:szCs w:val="28"/>
        </w:rPr>
        <w:t xml:space="preserve">  </w:t>
      </w:r>
    </w:p>
    <w:p w14:paraId="6A60312B">
      <w:pPr>
        <w:rPr>
          <w:color w:val="auto"/>
        </w:rPr>
      </w:pPr>
    </w:p>
    <w:p w14:paraId="7517C92E">
      <w:pPr>
        <w:pStyle w:val="23"/>
        <w:spacing w:line="480" w:lineRule="auto"/>
        <w:ind w:left="945" w:leftChars="450"/>
        <w:rPr>
          <w:color w:val="auto"/>
        </w:rPr>
      </w:pPr>
      <w:r>
        <w:rPr>
          <w:rFonts w:hint="eastAsia"/>
          <w:color w:val="auto"/>
          <w:sz w:val="30"/>
          <w:szCs w:val="30"/>
        </w:rPr>
        <w:tab/>
      </w:r>
    </w:p>
    <w:p w14:paraId="63B87481">
      <w:pPr>
        <w:pStyle w:val="3"/>
        <w:pageBreakBefore/>
        <w:rPr>
          <w:rFonts w:ascii="宋体" w:cs="Times New Roman"/>
          <w:color w:val="auto"/>
          <w:sz w:val="32"/>
          <w:szCs w:val="32"/>
        </w:rPr>
      </w:pPr>
      <w:bookmarkStart w:id="154" w:name="_Toc2536"/>
      <w:bookmarkStart w:id="155" w:name="_Toc10356"/>
      <w:bookmarkStart w:id="156" w:name="_Toc536429386"/>
      <w:bookmarkStart w:id="157" w:name="_Toc536429333"/>
      <w:bookmarkStart w:id="158" w:name="_Toc536202393"/>
      <w:bookmarkStart w:id="159" w:name="_Toc19543349"/>
      <w:bookmarkStart w:id="160" w:name="_Toc536202324"/>
      <w:r>
        <w:rPr>
          <w:rFonts w:hint="eastAsia" w:ascii="宋体" w:hAnsi="宋体" w:cs="宋体"/>
          <w:color w:val="auto"/>
          <w:sz w:val="32"/>
          <w:szCs w:val="32"/>
        </w:rPr>
        <w:t>第一</w:t>
      </w:r>
      <w:bookmarkEnd w:id="154"/>
      <w:r>
        <w:rPr>
          <w:rFonts w:hint="eastAsia" w:ascii="宋体" w:hAnsi="宋体" w:cs="宋体"/>
          <w:color w:val="auto"/>
          <w:sz w:val="32"/>
          <w:szCs w:val="32"/>
        </w:rPr>
        <w:t>章</w:t>
      </w:r>
      <w:r>
        <w:rPr>
          <w:rFonts w:ascii="宋体" w:hAnsi="宋体" w:cs="宋体"/>
          <w:color w:val="auto"/>
          <w:sz w:val="32"/>
          <w:szCs w:val="32"/>
        </w:rPr>
        <w:t xml:space="preserve">  </w:t>
      </w:r>
      <w:r>
        <w:rPr>
          <w:rFonts w:hint="eastAsia" w:ascii="宋体" w:hAnsi="宋体" w:cs="宋体"/>
          <w:color w:val="auto"/>
          <w:sz w:val="32"/>
          <w:szCs w:val="32"/>
        </w:rPr>
        <w:t>响应函</w:t>
      </w:r>
      <w:bookmarkEnd w:id="155"/>
      <w:bookmarkEnd w:id="156"/>
      <w:bookmarkEnd w:id="157"/>
      <w:bookmarkEnd w:id="158"/>
      <w:bookmarkEnd w:id="159"/>
      <w:bookmarkEnd w:id="160"/>
    </w:p>
    <w:p w14:paraId="53101261">
      <w:pPr>
        <w:adjustRightInd w:val="0"/>
        <w:snapToGrid w:val="0"/>
        <w:spacing w:line="480" w:lineRule="exact"/>
        <w:jc w:val="left"/>
        <w:rPr>
          <w:rFonts w:ascii="宋体" w:cs="Times New Roman"/>
          <w:color w:val="auto"/>
          <w:sz w:val="24"/>
          <w:szCs w:val="24"/>
        </w:rPr>
      </w:pPr>
      <w:r>
        <w:rPr>
          <w:rFonts w:hint="eastAsia" w:ascii="宋体" w:hAnsi="宋体" w:cs="宋体"/>
          <w:color w:val="auto"/>
          <w:sz w:val="24"/>
          <w:szCs w:val="24"/>
        </w:rPr>
        <w:t>安康尚昊招标代理有限公司：</w:t>
      </w:r>
    </w:p>
    <w:p w14:paraId="4AAE6303">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olor w:val="auto"/>
          <w:sz w:val="24"/>
          <w:szCs w:val="24"/>
        </w:rPr>
        <w:t>我单位收到贵公司</w:t>
      </w:r>
      <w:r>
        <w:rPr>
          <w:rFonts w:hint="eastAsia" w:ascii="宋体" w:hAnsi="宋体"/>
          <w:color w:val="auto"/>
          <w:sz w:val="24"/>
          <w:szCs w:val="24"/>
          <w:u w:val="single"/>
        </w:rPr>
        <w:t xml:space="preserve">  （项目名称） （项目编号）    </w:t>
      </w:r>
      <w:r>
        <w:rPr>
          <w:rFonts w:hint="eastAsia" w:ascii="宋体" w:hAnsi="宋体" w:cs="宋体"/>
          <w:color w:val="auto"/>
          <w:sz w:val="24"/>
          <w:szCs w:val="24"/>
        </w:rPr>
        <w:t>竞争性磋商文件，经详细研究，我公司决</w:t>
      </w:r>
      <w:r>
        <w:rPr>
          <w:rFonts w:hint="eastAsia" w:ascii="宋体" w:hAnsi="宋体" w:cs="宋体"/>
          <w:color w:val="auto"/>
          <w:sz w:val="24"/>
          <w:szCs w:val="24"/>
          <w:shd w:val="clear"/>
        </w:rPr>
        <w:t>定参加本</w:t>
      </w:r>
      <w:r>
        <w:rPr>
          <w:rFonts w:hint="eastAsia" w:ascii="宋体" w:hAnsi="宋体" w:cs="宋体"/>
          <w:color w:val="auto"/>
          <w:sz w:val="24"/>
          <w:szCs w:val="24"/>
        </w:rPr>
        <w:t>次磋商活动。为此，我方郑重承诺以下诸点，并负法律责任。</w:t>
      </w:r>
    </w:p>
    <w:p w14:paraId="0F35E8C9">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1.</w:t>
      </w:r>
      <w:r>
        <w:rPr>
          <w:rFonts w:hint="eastAsia" w:ascii="宋体" w:hAnsi="宋体" w:cs="宋体"/>
          <w:color w:val="auto"/>
          <w:sz w:val="24"/>
          <w:szCs w:val="24"/>
        </w:rPr>
        <w:t>愿意按照竞争性磋商文件中的全部要求，提供合格的产品及完善的技术服务，履行合同的责任和义务。</w:t>
      </w:r>
    </w:p>
    <w:p w14:paraId="237FFEFB">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lang w:eastAsia="zh-CN"/>
        </w:rPr>
        <w:t>2.</w:t>
      </w:r>
      <w:r>
        <w:rPr>
          <w:rFonts w:hint="eastAsia" w:ascii="宋体" w:hAnsi="宋体" w:cs="宋体"/>
          <w:color w:val="auto"/>
          <w:sz w:val="24"/>
          <w:szCs w:val="24"/>
        </w:rPr>
        <w:t>按照竞争性磋商文件的规定，我公司的响应总报价为：</w:t>
      </w:r>
    </w:p>
    <w:p w14:paraId="59782492">
      <w:pPr>
        <w:spacing w:line="360" w:lineRule="auto"/>
        <w:ind w:firstLine="480" w:firstLineChars="200"/>
        <w:rPr>
          <w:color w:val="auto"/>
        </w:rPr>
      </w:pPr>
      <w:r>
        <w:rPr>
          <w:rFonts w:hint="eastAsia" w:ascii="宋体" w:hAnsi="宋体" w:cs="宋体"/>
          <w:color w:val="auto"/>
          <w:sz w:val="24"/>
          <w:szCs w:val="24"/>
        </w:rPr>
        <w:t>人民币（大写）：______________元；（小写）￥：______元；</w:t>
      </w:r>
    </w:p>
    <w:p w14:paraId="755F7201">
      <w:pPr>
        <w:adjustRightInd w:val="0"/>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lang w:eastAsia="zh-CN"/>
        </w:rPr>
        <w:t>3.</w:t>
      </w:r>
      <w:r>
        <w:rPr>
          <w:rFonts w:hint="eastAsia" w:ascii="宋体" w:hAnsi="宋体" w:cs="宋体"/>
          <w:color w:val="auto"/>
          <w:sz w:val="24"/>
          <w:szCs w:val="24"/>
        </w:rPr>
        <w:t>我方提交的响应文件正本</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份，电子文件</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w:t>
      </w:r>
    </w:p>
    <w:p w14:paraId="0B836A12">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我们已详细阅读了竞争性磋商文件，完全理解并同意放弃提出含糊不清和误解问题的权力。</w:t>
      </w:r>
    </w:p>
    <w:p w14:paraId="2AD4697A">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如果我方在磋商后到规定的响应有效期内撤回响应文件及承诺，我们将承担相关法律责任。</w:t>
      </w:r>
    </w:p>
    <w:p w14:paraId="5ED5F460">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6.</w:t>
      </w:r>
      <w:r>
        <w:rPr>
          <w:rFonts w:hint="eastAsia" w:ascii="宋体" w:hAnsi="宋体" w:cs="宋体"/>
          <w:color w:val="auto"/>
          <w:sz w:val="24"/>
          <w:szCs w:val="24"/>
        </w:rPr>
        <w:t>同意向贵方提供贵方可能要求的、与本次磋商有关的任何证据资料。</w:t>
      </w:r>
    </w:p>
    <w:p w14:paraId="1F249AEA">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7.</w:t>
      </w:r>
      <w:r>
        <w:rPr>
          <w:rFonts w:hint="eastAsia" w:ascii="宋体" w:hAnsi="宋体" w:cs="宋体"/>
          <w:color w:val="auto"/>
          <w:sz w:val="24"/>
          <w:szCs w:val="24"/>
        </w:rPr>
        <w:t>我方承诺响应有效期为磋商后______日历日内有效。</w:t>
      </w:r>
    </w:p>
    <w:p w14:paraId="6E980EC5">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8.</w:t>
      </w:r>
      <w:r>
        <w:rPr>
          <w:rFonts w:hint="eastAsia" w:ascii="宋体" w:hAnsi="宋体" w:cs="宋体"/>
          <w:color w:val="auto"/>
          <w:sz w:val="24"/>
          <w:szCs w:val="24"/>
        </w:rPr>
        <w:t>所有关于本次磋商的函电，请按下列地址联系：</w:t>
      </w:r>
    </w:p>
    <w:p w14:paraId="5916BC06">
      <w:pPr>
        <w:adjustRightInd w:val="0"/>
        <w:snapToGrid w:val="0"/>
        <w:spacing w:line="48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供应商（单位名称及公章）：_____________________</w:t>
      </w:r>
    </w:p>
    <w:p w14:paraId="3DCB250A">
      <w:pPr>
        <w:adjustRightInd w:val="0"/>
        <w:snapToGrid w:val="0"/>
        <w:spacing w:line="480" w:lineRule="exact"/>
        <w:ind w:firstLine="480" w:firstLineChars="200"/>
        <w:rPr>
          <w:rFonts w:ascii="宋体" w:cs="Times New Roman"/>
          <w:color w:val="auto"/>
          <w:sz w:val="24"/>
          <w:szCs w:val="24"/>
        </w:rPr>
      </w:pPr>
      <w:r>
        <w:rPr>
          <w:rFonts w:hint="eastAsia" w:ascii="宋体" w:hAnsi="宋体" w:cs="宋体"/>
          <w:color w:val="auto"/>
          <w:sz w:val="24"/>
          <w:szCs w:val="24"/>
        </w:rPr>
        <w:t>法定代表人或被授权人（</w:t>
      </w:r>
      <w:r>
        <w:rPr>
          <w:rFonts w:hint="eastAsia" w:ascii="宋体" w:hAnsi="宋体" w:cs="宋体"/>
          <w:color w:val="auto"/>
          <w:sz w:val="24"/>
          <w:szCs w:val="24"/>
          <w:lang w:val="zh-CN"/>
        </w:rPr>
        <w:t>签字</w:t>
      </w:r>
      <w:r>
        <w:rPr>
          <w:rFonts w:hint="eastAsia" w:ascii="宋体" w:hAnsi="宋体" w:cs="宋体"/>
          <w:color w:val="auto"/>
          <w:sz w:val="24"/>
          <w:szCs w:val="24"/>
        </w:rPr>
        <w:t>或盖章）：_____________________</w:t>
      </w:r>
    </w:p>
    <w:p w14:paraId="6669771C">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址：___________________________________</w:t>
      </w:r>
    </w:p>
    <w:p w14:paraId="388861AA">
      <w:pPr>
        <w:adjustRightInd w:val="0"/>
        <w:snapToGrid w:val="0"/>
        <w:spacing w:line="48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开户银行：___________________________________</w:t>
      </w:r>
    </w:p>
    <w:p w14:paraId="04DE065F">
      <w:pPr>
        <w:adjustRightInd w:val="0"/>
        <w:snapToGrid w:val="0"/>
        <w:spacing w:line="48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帐</w:t>
      </w:r>
      <w:r>
        <w:rPr>
          <w:rFonts w:ascii="宋体" w:hAnsi="宋体" w:cs="宋体"/>
          <w:color w:val="auto"/>
          <w:sz w:val="24"/>
          <w:szCs w:val="24"/>
        </w:rPr>
        <w:t xml:space="preserve">    </w:t>
      </w:r>
      <w:r>
        <w:rPr>
          <w:rFonts w:hint="eastAsia" w:ascii="宋体" w:hAnsi="宋体" w:cs="宋体"/>
          <w:color w:val="auto"/>
          <w:sz w:val="24"/>
          <w:szCs w:val="24"/>
        </w:rPr>
        <w:t>号：___________________________________</w:t>
      </w:r>
    </w:p>
    <w:p w14:paraId="0D4DFBF4">
      <w:pPr>
        <w:adjustRightInd w:val="0"/>
        <w:snapToGrid w:val="0"/>
        <w:spacing w:line="48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电</w:t>
      </w:r>
      <w:r>
        <w:rPr>
          <w:rFonts w:ascii="宋体" w:hAnsi="宋体" w:cs="宋体"/>
          <w:color w:val="auto"/>
          <w:sz w:val="24"/>
          <w:szCs w:val="24"/>
        </w:rPr>
        <w:t xml:space="preserve">    </w:t>
      </w:r>
      <w:r>
        <w:rPr>
          <w:rFonts w:hint="eastAsia" w:ascii="宋体" w:hAnsi="宋体" w:cs="宋体"/>
          <w:color w:val="auto"/>
          <w:sz w:val="24"/>
          <w:szCs w:val="24"/>
        </w:rPr>
        <w:t>话：___________________________________</w:t>
      </w:r>
    </w:p>
    <w:p w14:paraId="4801DBFD">
      <w:pPr>
        <w:adjustRightInd w:val="0"/>
        <w:snapToGrid w:val="0"/>
        <w:spacing w:line="48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邮</w:t>
      </w:r>
      <w:r>
        <w:rPr>
          <w:rFonts w:ascii="宋体" w:hAnsi="宋体" w:cs="宋体"/>
          <w:color w:val="auto"/>
          <w:sz w:val="24"/>
          <w:szCs w:val="24"/>
        </w:rPr>
        <w:t xml:space="preserve">    </w:t>
      </w:r>
      <w:r>
        <w:rPr>
          <w:rFonts w:hint="eastAsia" w:ascii="宋体" w:hAnsi="宋体" w:cs="宋体"/>
          <w:color w:val="auto"/>
          <w:sz w:val="24"/>
          <w:szCs w:val="24"/>
        </w:rPr>
        <w:t>编：___________________________________</w:t>
      </w:r>
    </w:p>
    <w:p w14:paraId="7595CA51">
      <w:pPr>
        <w:adjustRightInd w:val="0"/>
        <w:snapToGrid w:val="0"/>
        <w:spacing w:line="480" w:lineRule="exact"/>
        <w:ind w:firstLine="480" w:firstLineChars="200"/>
        <w:rPr>
          <w:rFonts w:ascii="宋体" w:cs="Times New Roman"/>
          <w:color w:val="auto"/>
          <w:sz w:val="24"/>
          <w:szCs w:val="24"/>
        </w:rPr>
        <w:sectPr>
          <w:pgSz w:w="11906" w:h="16838"/>
          <w:pgMar w:top="1417" w:right="1417" w:bottom="1417" w:left="1417" w:header="1134" w:footer="992" w:gutter="0"/>
          <w:pgBorders>
            <w:top w:val="none" w:sz="0" w:space="0"/>
            <w:left w:val="none" w:sz="0" w:space="0"/>
            <w:bottom w:val="none" w:sz="0" w:space="0"/>
            <w:right w:val="none" w:sz="0" w:space="0"/>
          </w:pgBorders>
          <w:pgNumType w:fmt="decimal"/>
          <w:cols w:space="0" w:num="1"/>
          <w:titlePg/>
          <w:docGrid w:type="lines" w:linePitch="326" w:charSpace="0"/>
        </w:sect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期：_______年_______月_______日</w:t>
      </w:r>
      <w:bookmarkStart w:id="161" w:name="_Toc28494"/>
    </w:p>
    <w:bookmarkEnd w:id="161"/>
    <w:p w14:paraId="1A75FD13">
      <w:pPr>
        <w:autoSpaceDE w:val="0"/>
        <w:autoSpaceDN w:val="0"/>
        <w:adjustRightInd w:val="0"/>
        <w:snapToGrid w:val="0"/>
        <w:spacing w:line="360" w:lineRule="auto"/>
        <w:jc w:val="center"/>
        <w:rPr>
          <w:b/>
          <w:color w:val="auto"/>
          <w:sz w:val="24"/>
        </w:rPr>
      </w:pPr>
      <w:bookmarkStart w:id="162" w:name="_Toc11309"/>
      <w:r>
        <w:rPr>
          <w:rFonts w:hint="eastAsia" w:hAnsi="宋体"/>
          <w:b/>
          <w:color w:val="auto"/>
          <w:sz w:val="32"/>
          <w:szCs w:val="32"/>
        </w:rPr>
        <w:t>第二章 响应报价表</w:t>
      </w:r>
    </w:p>
    <w:p w14:paraId="5CBFF5F4">
      <w:pPr>
        <w:autoSpaceDE w:val="0"/>
        <w:autoSpaceDN w:val="0"/>
        <w:adjustRightInd w:val="0"/>
        <w:snapToGrid w:val="0"/>
        <w:spacing w:line="360" w:lineRule="auto"/>
        <w:rPr>
          <w:rFonts w:ascii="宋体" w:hAnsi="宋体" w:cs="宋体"/>
          <w:b/>
          <w:color w:val="auto"/>
          <w:sz w:val="24"/>
          <w:szCs w:val="24"/>
        </w:rPr>
      </w:pPr>
      <w:r>
        <w:rPr>
          <w:rFonts w:hint="eastAsia" w:ascii="宋体" w:hAnsi="宋体" w:cs="宋体"/>
          <w:b/>
          <w:color w:val="auto"/>
          <w:sz w:val="24"/>
          <w:szCs w:val="24"/>
        </w:rPr>
        <w:t xml:space="preserve"> </w:t>
      </w:r>
    </w:p>
    <w:p w14:paraId="2EFF7EAE">
      <w:pPr>
        <w:autoSpaceDE w:val="0"/>
        <w:autoSpaceDN w:val="0"/>
        <w:adjustRightInd w:val="0"/>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项目编号：</w:t>
      </w:r>
    </w:p>
    <w:p w14:paraId="0FEB3582">
      <w:pPr>
        <w:autoSpaceDE w:val="0"/>
        <w:autoSpaceDN w:val="0"/>
        <w:adjustRightInd w:val="0"/>
        <w:snapToGrid w:val="0"/>
        <w:spacing w:line="360" w:lineRule="auto"/>
        <w:ind w:firstLine="480" w:firstLineChars="200"/>
        <w:rPr>
          <w:rFonts w:hint="eastAsia" w:ascii="宋体" w:hAnsi="宋体" w:eastAsia="宋体" w:cs="宋体"/>
          <w:b/>
          <w:color w:val="auto"/>
          <w:sz w:val="24"/>
        </w:rPr>
      </w:pPr>
      <w:r>
        <w:rPr>
          <w:rFonts w:hint="eastAsia" w:ascii="宋体" w:hAnsi="宋体" w:eastAsia="宋体" w:cs="宋体"/>
          <w:bCs/>
          <w:color w:val="auto"/>
          <w:sz w:val="24"/>
        </w:rPr>
        <w:t>项目名称：</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2"/>
        <w:gridCol w:w="2361"/>
        <w:gridCol w:w="1921"/>
        <w:gridCol w:w="1393"/>
        <w:gridCol w:w="1393"/>
      </w:tblGrid>
      <w:tr w14:paraId="5259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188" w:type="pct"/>
            <w:vAlign w:val="center"/>
          </w:tcPr>
          <w:p w14:paraId="4A92594C">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rPr>
            </w:pPr>
            <w:r>
              <w:rPr>
                <w:rFonts w:hint="eastAsia" w:ascii="宋体" w:hAnsi="宋体" w:eastAsia="宋体" w:cs="宋体"/>
                <w:bCs/>
                <w:color w:val="auto"/>
                <w:sz w:val="24"/>
              </w:rPr>
              <w:t>项目名称</w:t>
            </w:r>
          </w:p>
        </w:tc>
        <w:tc>
          <w:tcPr>
            <w:tcW w:w="1273" w:type="pct"/>
            <w:vAlign w:val="center"/>
          </w:tcPr>
          <w:p w14:paraId="5A67815B">
            <w:pPr>
              <w:pStyle w:val="51"/>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投标总报价</w:t>
            </w:r>
          </w:p>
          <w:p w14:paraId="1B7CAF47">
            <w:pPr>
              <w:pStyle w:val="51"/>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（元）</w:t>
            </w:r>
          </w:p>
        </w:tc>
        <w:tc>
          <w:tcPr>
            <w:tcW w:w="1036" w:type="pct"/>
            <w:vAlign w:val="center"/>
          </w:tcPr>
          <w:p w14:paraId="4C184736">
            <w:pPr>
              <w:pStyle w:val="51"/>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合同履行期</w:t>
            </w:r>
          </w:p>
          <w:p w14:paraId="2EFF0651">
            <w:pPr>
              <w:pStyle w:val="51"/>
              <w:keepNext w:val="0"/>
              <w:keepLines w:val="0"/>
              <w:suppressLineNumbers w:val="0"/>
              <w:spacing w:before="0" w:beforeAutospacing="0" w:after="0" w:afterAutospacing="0"/>
              <w:ind w:left="0" w:right="0"/>
              <w:jc w:val="both"/>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w:t>
            </w:r>
            <w:r>
              <w:rPr>
                <w:rFonts w:hint="eastAsia" w:ascii="宋体" w:hAnsi="宋体" w:cs="宋体"/>
                <w:bCs/>
                <w:color w:val="auto"/>
                <w:kern w:val="2"/>
                <w:sz w:val="24"/>
                <w:szCs w:val="21"/>
                <w:lang w:val="en-US" w:eastAsia="zh-CN" w:bidi="ar-SA"/>
              </w:rPr>
              <w:t>日历天</w:t>
            </w:r>
            <w:r>
              <w:rPr>
                <w:rFonts w:hint="eastAsia" w:ascii="宋体" w:hAnsi="宋体" w:eastAsia="宋体" w:cs="宋体"/>
                <w:bCs/>
                <w:color w:val="auto"/>
                <w:kern w:val="2"/>
                <w:sz w:val="24"/>
                <w:szCs w:val="21"/>
                <w:lang w:val="en-US" w:eastAsia="zh-CN" w:bidi="ar-SA"/>
              </w:rPr>
              <w:t>）</w:t>
            </w:r>
          </w:p>
        </w:tc>
        <w:tc>
          <w:tcPr>
            <w:tcW w:w="751" w:type="pct"/>
            <w:vAlign w:val="center"/>
          </w:tcPr>
          <w:p w14:paraId="171072C6">
            <w:pPr>
              <w:pStyle w:val="51"/>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质保期（年）</w:t>
            </w:r>
          </w:p>
        </w:tc>
        <w:tc>
          <w:tcPr>
            <w:tcW w:w="750" w:type="pct"/>
            <w:vAlign w:val="center"/>
          </w:tcPr>
          <w:p w14:paraId="7E987FD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备注</w:t>
            </w:r>
          </w:p>
        </w:tc>
      </w:tr>
      <w:tr w14:paraId="0819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1188" w:type="pct"/>
            <w:vAlign w:val="center"/>
          </w:tcPr>
          <w:p w14:paraId="1FDA5F79">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rPr>
            </w:pPr>
          </w:p>
        </w:tc>
        <w:tc>
          <w:tcPr>
            <w:tcW w:w="1273" w:type="pct"/>
            <w:vAlign w:val="center"/>
          </w:tcPr>
          <w:p w14:paraId="72232B4A">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rPr>
            </w:pPr>
          </w:p>
        </w:tc>
        <w:tc>
          <w:tcPr>
            <w:tcW w:w="1036" w:type="pct"/>
            <w:vAlign w:val="center"/>
          </w:tcPr>
          <w:p w14:paraId="49F73C57">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rPr>
            </w:pPr>
            <w:r>
              <w:rPr>
                <w:rFonts w:hint="eastAsia" w:ascii="宋体" w:hAnsi="宋体" w:eastAsia="宋体" w:cs="宋体"/>
                <w:bCs/>
                <w:color w:val="auto"/>
                <w:sz w:val="24"/>
              </w:rPr>
              <w:t xml:space="preserve"> </w:t>
            </w:r>
          </w:p>
        </w:tc>
        <w:tc>
          <w:tcPr>
            <w:tcW w:w="751" w:type="pct"/>
            <w:vAlign w:val="center"/>
          </w:tcPr>
          <w:p w14:paraId="31E58BF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rPr>
            </w:pPr>
          </w:p>
        </w:tc>
        <w:tc>
          <w:tcPr>
            <w:tcW w:w="750" w:type="pct"/>
            <w:vAlign w:val="center"/>
          </w:tcPr>
          <w:p w14:paraId="50A929B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rPr>
            </w:pPr>
          </w:p>
        </w:tc>
      </w:tr>
      <w:tr w14:paraId="4519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trPr>
        <w:tc>
          <w:tcPr>
            <w:tcW w:w="1188" w:type="pct"/>
            <w:vAlign w:val="center"/>
          </w:tcPr>
          <w:p w14:paraId="6FBA263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rPr>
            </w:pPr>
            <w:r>
              <w:rPr>
                <w:rFonts w:hint="eastAsia" w:ascii="宋体" w:hAnsi="宋体" w:eastAsia="宋体" w:cs="宋体"/>
                <w:bCs/>
                <w:color w:val="auto"/>
                <w:kern w:val="2"/>
                <w:sz w:val="24"/>
                <w:szCs w:val="21"/>
                <w:lang w:val="en-US" w:eastAsia="zh-CN" w:bidi="ar-SA"/>
              </w:rPr>
              <w:t>投标总报价</w:t>
            </w:r>
            <w:r>
              <w:rPr>
                <w:rFonts w:hint="eastAsia" w:ascii="宋体" w:hAnsi="宋体" w:eastAsia="宋体" w:cs="宋体"/>
                <w:bCs/>
                <w:color w:val="auto"/>
                <w:sz w:val="24"/>
              </w:rPr>
              <w:t>（大写）</w:t>
            </w:r>
          </w:p>
        </w:tc>
        <w:tc>
          <w:tcPr>
            <w:tcW w:w="3811" w:type="pct"/>
            <w:gridSpan w:val="4"/>
            <w:vAlign w:val="center"/>
          </w:tcPr>
          <w:p w14:paraId="62AE81B0">
            <w:pPr>
              <w:keepNext w:val="0"/>
              <w:keepLines w:val="0"/>
              <w:suppressLineNumbers w:val="0"/>
              <w:spacing w:before="0" w:beforeAutospacing="0" w:after="0" w:afterAutospacing="0" w:line="560" w:lineRule="exact"/>
              <w:ind w:left="0" w:right="0"/>
              <w:rPr>
                <w:rFonts w:hint="eastAsia" w:ascii="宋体" w:hAnsi="宋体" w:eastAsia="宋体" w:cs="宋体"/>
                <w:bCs/>
                <w:color w:val="auto"/>
                <w:sz w:val="24"/>
              </w:rPr>
            </w:pPr>
          </w:p>
        </w:tc>
      </w:tr>
    </w:tbl>
    <w:p w14:paraId="5B54CC19">
      <w:pPr>
        <w:rPr>
          <w:rFonts w:hint="eastAsia" w:ascii="宋体" w:hAnsi="宋体" w:eastAsia="宋体" w:cs="宋体"/>
          <w:color w:val="auto"/>
          <w:sz w:val="24"/>
        </w:rPr>
      </w:pPr>
    </w:p>
    <w:p w14:paraId="6B59D7A2">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szCs w:val="24"/>
        </w:rPr>
        <w:t>备注：投标人所报的价格应考虑到可能发生的所有与完成本项目相关</w:t>
      </w:r>
      <w:r>
        <w:rPr>
          <w:rFonts w:hint="eastAsia" w:ascii="宋体" w:hAnsi="宋体" w:eastAsia="宋体" w:cs="宋体"/>
          <w:color w:val="auto"/>
          <w:sz w:val="24"/>
          <w:szCs w:val="24"/>
          <w:lang w:val="en-US" w:eastAsia="zh-CN"/>
        </w:rPr>
        <w:t>费用</w:t>
      </w:r>
      <w:r>
        <w:rPr>
          <w:rFonts w:hint="eastAsia" w:ascii="宋体" w:hAnsi="宋体" w:eastAsia="宋体" w:cs="宋体"/>
          <w:color w:val="auto"/>
          <w:sz w:val="24"/>
          <w:szCs w:val="24"/>
        </w:rPr>
        <w:t>及履行合同义务有关的一切费用。</w:t>
      </w:r>
    </w:p>
    <w:p w14:paraId="79EF4168">
      <w:pPr>
        <w:ind w:firstLine="240" w:firstLineChars="100"/>
        <w:rPr>
          <w:rFonts w:hint="eastAsia" w:ascii="宋体" w:hAnsi="宋体" w:eastAsia="宋体" w:cs="宋体"/>
          <w:color w:val="auto"/>
          <w:sz w:val="24"/>
        </w:rPr>
      </w:pPr>
    </w:p>
    <w:p w14:paraId="7ADAAF9C">
      <w:pPr>
        <w:keepNext w:val="0"/>
        <w:keepLines w:val="0"/>
        <w:pageBreakBefore w:val="0"/>
        <w:widowControl w:val="0"/>
        <w:kinsoku/>
        <w:wordWrap/>
        <w:overflowPunct/>
        <w:topLinePunct w:val="0"/>
        <w:autoSpaceDE/>
        <w:autoSpaceDN/>
        <w:bidi w:val="0"/>
        <w:adjustRightInd w:val="0"/>
        <w:snapToGrid w:val="0"/>
        <w:spacing w:line="660" w:lineRule="exact"/>
        <w:ind w:firstLine="240" w:firstLineChars="1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供应商（单位名称及公章）：____________________</w:t>
      </w:r>
    </w:p>
    <w:p w14:paraId="555FD0BA">
      <w:pPr>
        <w:keepNext w:val="0"/>
        <w:keepLines w:val="0"/>
        <w:pageBreakBefore w:val="0"/>
        <w:widowControl w:val="0"/>
        <w:kinsoku/>
        <w:wordWrap/>
        <w:overflowPunct/>
        <w:topLinePunct w:val="0"/>
        <w:autoSpaceDE/>
        <w:autoSpaceDN/>
        <w:bidi w:val="0"/>
        <w:adjustRightInd w:val="0"/>
        <w:snapToGrid w:val="0"/>
        <w:spacing w:line="66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被授权人（签字或盖章）：____________________</w:t>
      </w:r>
    </w:p>
    <w:p w14:paraId="0C2F41E0">
      <w:pPr>
        <w:keepNext w:val="0"/>
        <w:keepLines w:val="0"/>
        <w:pageBreakBefore w:val="0"/>
        <w:widowControl w:val="0"/>
        <w:kinsoku/>
        <w:wordWrap/>
        <w:overflowPunct/>
        <w:topLinePunct w:val="0"/>
        <w:autoSpaceDE/>
        <w:autoSpaceDN/>
        <w:bidi w:val="0"/>
        <w:adjustRightInd w:val="0"/>
        <w:snapToGrid w:val="0"/>
        <w:spacing w:line="660" w:lineRule="exact"/>
        <w:ind w:firstLine="240" w:firstLineChars="100"/>
        <w:textAlignment w:val="auto"/>
        <w:rPr>
          <w:rFonts w:ascii="宋体" w:hAnsi="宋体" w:cs="宋体"/>
          <w:color w:val="auto"/>
          <w:sz w:val="24"/>
          <w:szCs w:val="24"/>
        </w:rPr>
        <w:sectPr>
          <w:pgSz w:w="11906" w:h="16838"/>
          <w:pgMar w:top="1361" w:right="1423" w:bottom="1361" w:left="1423" w:header="1134" w:footer="992" w:gutter="0"/>
          <w:pgBorders>
            <w:top w:val="none" w:sz="0" w:space="0"/>
            <w:left w:val="none" w:sz="0" w:space="0"/>
            <w:bottom w:val="none" w:sz="0" w:space="0"/>
            <w:right w:val="none" w:sz="0" w:space="0"/>
          </w:pgBorders>
          <w:pgNumType w:fmt="decimal"/>
          <w:cols w:space="0" w:num="1"/>
          <w:titlePg/>
          <w:docGrid w:type="lines" w:linePitch="317" w:charSpace="0"/>
        </w:sectPr>
      </w:pPr>
      <w:r>
        <w:rPr>
          <w:rFonts w:hint="eastAsia" w:ascii="宋体" w:hAnsi="宋体" w:eastAsia="宋体" w:cs="宋体"/>
          <w:color w:val="auto"/>
          <w:sz w:val="24"/>
          <w:szCs w:val="24"/>
        </w:rPr>
        <w:t>日    期：________年________月________日</w:t>
      </w:r>
    </w:p>
    <w:p w14:paraId="71D0D765">
      <w:pPr>
        <w:pStyle w:val="3"/>
        <w:jc w:val="center"/>
        <w:rPr>
          <w:color w:val="auto"/>
        </w:rPr>
      </w:pPr>
      <w:bookmarkStart w:id="163" w:name="_Toc26541336"/>
      <w:r>
        <w:rPr>
          <w:rFonts w:hint="eastAsia"/>
          <w:color w:val="auto"/>
        </w:rPr>
        <w:t>投标分项报价表</w:t>
      </w:r>
      <w:bookmarkEnd w:id="163"/>
    </w:p>
    <w:p w14:paraId="480A6396">
      <w:pPr>
        <w:rPr>
          <w:color w:val="auto"/>
        </w:rPr>
      </w:pPr>
    </w:p>
    <w:p w14:paraId="586280B5">
      <w:pPr>
        <w:spacing w:line="480" w:lineRule="exact"/>
        <w:rPr>
          <w:rFonts w:hint="eastAsia" w:ascii="宋体" w:hAnsi="宋体" w:eastAsia="宋体"/>
          <w:color w:val="auto"/>
          <w:sz w:val="24"/>
          <w:szCs w:val="24"/>
        </w:rPr>
      </w:pPr>
      <w:r>
        <w:rPr>
          <w:rFonts w:hint="eastAsia" w:ascii="宋体" w:hAnsi="宋体"/>
          <w:color w:val="auto"/>
          <w:sz w:val="24"/>
          <w:szCs w:val="24"/>
        </w:rPr>
        <w:t>项目名称：</w:t>
      </w:r>
      <w:r>
        <w:rPr>
          <w:rFonts w:hint="eastAsia" w:ascii="宋体" w:hAnsi="宋体"/>
          <w:color w:val="auto"/>
          <w:sz w:val="24"/>
          <w:szCs w:val="24"/>
          <w:lang w:val="en-US" w:eastAsia="zh-CN"/>
        </w:rPr>
        <w:t xml:space="preserve">                                           </w:t>
      </w:r>
      <w:r>
        <w:rPr>
          <w:rFonts w:hint="eastAsia" w:ascii="宋体" w:hAnsi="宋体" w:eastAsia="宋体"/>
          <w:color w:val="auto"/>
          <w:sz w:val="24"/>
          <w:szCs w:val="24"/>
        </w:rPr>
        <w:t xml:space="preserve">第 </w:t>
      </w:r>
      <w:r>
        <w:rPr>
          <w:rFonts w:ascii="宋体" w:hAnsi="宋体" w:eastAsia="宋体"/>
          <w:color w:val="auto"/>
          <w:sz w:val="24"/>
          <w:szCs w:val="24"/>
        </w:rPr>
        <w:t xml:space="preserve"> </w:t>
      </w:r>
      <w:r>
        <w:rPr>
          <w:rFonts w:hint="eastAsia" w:ascii="宋体" w:hAnsi="宋体" w:eastAsia="宋体"/>
          <w:color w:val="auto"/>
          <w:sz w:val="24"/>
          <w:szCs w:val="24"/>
        </w:rPr>
        <w:t>页   共</w:t>
      </w:r>
      <w:r>
        <w:rPr>
          <w:rFonts w:hint="eastAsia" w:ascii="宋体" w:hAnsi="宋体"/>
          <w:color w:val="auto"/>
          <w:sz w:val="24"/>
          <w:szCs w:val="24"/>
          <w:lang w:val="en-US" w:eastAsia="zh-CN"/>
        </w:rPr>
        <w:t xml:space="preserve"> </w:t>
      </w:r>
      <w:r>
        <w:rPr>
          <w:rFonts w:hint="eastAsia" w:ascii="宋体" w:hAnsi="宋体" w:eastAsia="宋体"/>
          <w:color w:val="auto"/>
          <w:sz w:val="24"/>
          <w:szCs w:val="24"/>
        </w:rPr>
        <w:t xml:space="preserve"> 页</w:t>
      </w:r>
    </w:p>
    <w:tbl>
      <w:tblPr>
        <w:tblStyle w:val="41"/>
        <w:tblpPr w:leftFromText="180" w:rightFromText="180" w:vertAnchor="text" w:horzAnchor="page" w:tblpXSpec="center" w:tblpY="321"/>
        <w:tblOverlap w:val="never"/>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09"/>
        <w:gridCol w:w="965"/>
        <w:gridCol w:w="1029"/>
        <w:gridCol w:w="1717"/>
        <w:gridCol w:w="1114"/>
        <w:gridCol w:w="965"/>
        <w:gridCol w:w="965"/>
        <w:gridCol w:w="8"/>
        <w:gridCol w:w="962"/>
      </w:tblGrid>
      <w:tr w14:paraId="7ABD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22" w:type="dxa"/>
            <w:vAlign w:val="center"/>
          </w:tcPr>
          <w:p w14:paraId="749210C6">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r>
              <w:rPr>
                <w:rFonts w:hint="eastAsia" w:ascii="宋体" w:hAnsi="宋体" w:cs="宋体"/>
                <w:color w:val="auto"/>
                <w:sz w:val="24"/>
                <w:szCs w:val="24"/>
              </w:rPr>
              <w:t>序号</w:t>
            </w:r>
          </w:p>
        </w:tc>
        <w:tc>
          <w:tcPr>
            <w:tcW w:w="1209" w:type="dxa"/>
            <w:vAlign w:val="center"/>
          </w:tcPr>
          <w:p w14:paraId="1BEA781A">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r>
              <w:rPr>
                <w:rFonts w:hint="eastAsia" w:ascii="宋体" w:hAnsi="宋体" w:cs="宋体"/>
                <w:color w:val="auto"/>
                <w:sz w:val="24"/>
                <w:szCs w:val="24"/>
              </w:rPr>
              <w:t>名称</w:t>
            </w:r>
          </w:p>
        </w:tc>
        <w:tc>
          <w:tcPr>
            <w:tcW w:w="965" w:type="dxa"/>
            <w:vAlign w:val="center"/>
          </w:tcPr>
          <w:p w14:paraId="01C08B7D">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r>
              <w:rPr>
                <w:rFonts w:hint="eastAsia" w:ascii="宋体" w:hAnsi="宋体" w:cs="宋体"/>
                <w:color w:val="auto"/>
                <w:sz w:val="24"/>
                <w:szCs w:val="24"/>
              </w:rPr>
              <w:t>品牌</w:t>
            </w:r>
          </w:p>
        </w:tc>
        <w:tc>
          <w:tcPr>
            <w:tcW w:w="1029" w:type="dxa"/>
            <w:vAlign w:val="center"/>
          </w:tcPr>
          <w:p w14:paraId="3634A38E">
            <w:pPr>
              <w:keepNext w:val="0"/>
              <w:keepLines w:val="0"/>
              <w:suppressLineNumbers w:val="0"/>
              <w:spacing w:before="0" w:beforeAutospacing="0" w:after="0" w:afterAutospacing="0" w:line="300" w:lineRule="exact"/>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生产</w:t>
            </w:r>
          </w:p>
          <w:p w14:paraId="0B680A2E">
            <w:pPr>
              <w:keepNext w:val="0"/>
              <w:keepLines w:val="0"/>
              <w:suppressLineNumbers w:val="0"/>
              <w:spacing w:before="0" w:beforeAutospacing="0" w:after="0" w:afterAutospacing="0" w:line="300" w:lineRule="exact"/>
              <w:ind w:left="0" w:right="0"/>
              <w:jc w:val="center"/>
              <w:rPr>
                <w:rFonts w:hint="default" w:ascii="宋体" w:hAnsi="宋体" w:cs="宋体"/>
                <w:color w:val="auto"/>
                <w:sz w:val="24"/>
                <w:szCs w:val="24"/>
              </w:rPr>
            </w:pPr>
            <w:r>
              <w:rPr>
                <w:rFonts w:hint="eastAsia" w:ascii="宋体" w:hAnsi="宋体" w:cs="宋体"/>
                <w:color w:val="auto"/>
                <w:kern w:val="0"/>
                <w:sz w:val="24"/>
                <w:szCs w:val="24"/>
              </w:rPr>
              <w:t>厂家</w:t>
            </w:r>
          </w:p>
        </w:tc>
        <w:tc>
          <w:tcPr>
            <w:tcW w:w="1717" w:type="dxa"/>
            <w:vAlign w:val="center"/>
          </w:tcPr>
          <w:p w14:paraId="63D1F91E">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规格型号</w:t>
            </w:r>
          </w:p>
        </w:tc>
        <w:tc>
          <w:tcPr>
            <w:tcW w:w="1114" w:type="dxa"/>
            <w:vAlign w:val="center"/>
          </w:tcPr>
          <w:p w14:paraId="568EDD46">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r>
              <w:rPr>
                <w:rFonts w:hint="eastAsia" w:ascii="宋体" w:hAnsi="宋体" w:cs="宋体"/>
                <w:color w:val="auto"/>
                <w:sz w:val="24"/>
                <w:szCs w:val="24"/>
              </w:rPr>
              <w:t>单位</w:t>
            </w:r>
          </w:p>
        </w:tc>
        <w:tc>
          <w:tcPr>
            <w:tcW w:w="965" w:type="dxa"/>
            <w:vAlign w:val="center"/>
          </w:tcPr>
          <w:p w14:paraId="0D092ED1">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r>
              <w:rPr>
                <w:rFonts w:hint="eastAsia" w:ascii="宋体" w:hAnsi="宋体" w:cs="宋体"/>
                <w:color w:val="auto"/>
                <w:sz w:val="24"/>
                <w:szCs w:val="24"/>
              </w:rPr>
              <w:t>数量</w:t>
            </w:r>
          </w:p>
        </w:tc>
        <w:tc>
          <w:tcPr>
            <w:tcW w:w="965" w:type="dxa"/>
            <w:vAlign w:val="center"/>
          </w:tcPr>
          <w:p w14:paraId="20A22055">
            <w:pPr>
              <w:keepNext w:val="0"/>
              <w:keepLines w:val="0"/>
              <w:suppressLineNumbers w:val="0"/>
              <w:spacing w:before="0" w:beforeAutospacing="0" w:after="0" w:afterAutospacing="0" w:line="300" w:lineRule="exact"/>
              <w:ind w:left="0" w:right="0"/>
              <w:jc w:val="center"/>
              <w:rPr>
                <w:rFonts w:hint="default" w:ascii="宋体" w:hAnsi="宋体" w:cs="宋体"/>
                <w:color w:val="auto"/>
                <w:sz w:val="24"/>
                <w:szCs w:val="24"/>
              </w:rPr>
            </w:pPr>
            <w:r>
              <w:rPr>
                <w:rFonts w:hint="eastAsia" w:ascii="宋体" w:hAnsi="宋体" w:cs="宋体"/>
                <w:color w:val="auto"/>
                <w:sz w:val="24"/>
                <w:szCs w:val="24"/>
              </w:rPr>
              <w:t>单价（元）</w:t>
            </w:r>
          </w:p>
        </w:tc>
        <w:tc>
          <w:tcPr>
            <w:tcW w:w="970" w:type="dxa"/>
            <w:gridSpan w:val="2"/>
            <w:vAlign w:val="center"/>
          </w:tcPr>
          <w:p w14:paraId="0392C987">
            <w:pPr>
              <w:keepNext w:val="0"/>
              <w:keepLines w:val="0"/>
              <w:suppressLineNumbers w:val="0"/>
              <w:spacing w:before="0" w:beforeAutospacing="0" w:after="0" w:afterAutospacing="0" w:line="300" w:lineRule="exact"/>
              <w:ind w:left="0" w:right="0"/>
              <w:jc w:val="center"/>
              <w:rPr>
                <w:rFonts w:hint="default" w:ascii="宋体" w:hAnsi="宋体" w:cs="宋体"/>
                <w:color w:val="auto"/>
                <w:sz w:val="24"/>
                <w:szCs w:val="24"/>
              </w:rPr>
            </w:pPr>
            <w:r>
              <w:rPr>
                <w:rFonts w:hint="eastAsia" w:ascii="宋体" w:hAnsi="宋体" w:cs="宋体"/>
                <w:color w:val="auto"/>
                <w:sz w:val="24"/>
                <w:szCs w:val="24"/>
              </w:rPr>
              <w:t>总价</w:t>
            </w:r>
          </w:p>
          <w:p w14:paraId="4E0670B7">
            <w:pPr>
              <w:keepNext w:val="0"/>
              <w:keepLines w:val="0"/>
              <w:suppressLineNumbers w:val="0"/>
              <w:spacing w:before="0" w:beforeAutospacing="0" w:after="0" w:afterAutospacing="0" w:line="300" w:lineRule="exact"/>
              <w:ind w:left="0" w:right="0"/>
              <w:jc w:val="center"/>
              <w:rPr>
                <w:rFonts w:hint="default" w:ascii="宋体" w:hAnsi="宋体" w:cs="宋体"/>
                <w:color w:val="auto"/>
                <w:sz w:val="24"/>
                <w:szCs w:val="24"/>
              </w:rPr>
            </w:pPr>
            <w:r>
              <w:rPr>
                <w:rFonts w:hint="eastAsia" w:ascii="宋体" w:hAnsi="宋体" w:cs="宋体"/>
                <w:color w:val="auto"/>
                <w:sz w:val="24"/>
                <w:szCs w:val="24"/>
              </w:rPr>
              <w:t>（元）</w:t>
            </w:r>
          </w:p>
        </w:tc>
      </w:tr>
      <w:tr w14:paraId="59B9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22" w:type="dxa"/>
          </w:tcPr>
          <w:p w14:paraId="04303749">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1209" w:type="dxa"/>
          </w:tcPr>
          <w:p w14:paraId="334571E4">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965" w:type="dxa"/>
          </w:tcPr>
          <w:p w14:paraId="7667A650">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1029" w:type="dxa"/>
          </w:tcPr>
          <w:p w14:paraId="6D63F818">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1717" w:type="dxa"/>
          </w:tcPr>
          <w:p w14:paraId="4F04716E">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1114" w:type="dxa"/>
          </w:tcPr>
          <w:p w14:paraId="34DB6C20">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965" w:type="dxa"/>
          </w:tcPr>
          <w:p w14:paraId="2F7AB06E">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965" w:type="dxa"/>
          </w:tcPr>
          <w:p w14:paraId="2D6AAE1E">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970" w:type="dxa"/>
            <w:gridSpan w:val="2"/>
          </w:tcPr>
          <w:p w14:paraId="74D035BE">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r>
      <w:tr w14:paraId="3679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22" w:type="dxa"/>
          </w:tcPr>
          <w:p w14:paraId="2BC2DC31">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1209" w:type="dxa"/>
          </w:tcPr>
          <w:p w14:paraId="20F34DAD">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965" w:type="dxa"/>
          </w:tcPr>
          <w:p w14:paraId="52D54C1E">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1029" w:type="dxa"/>
          </w:tcPr>
          <w:p w14:paraId="5FC661C2">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1717" w:type="dxa"/>
          </w:tcPr>
          <w:p w14:paraId="4F408120">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1114" w:type="dxa"/>
          </w:tcPr>
          <w:p w14:paraId="1C922AA1">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965" w:type="dxa"/>
          </w:tcPr>
          <w:p w14:paraId="1BACEAA7">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965" w:type="dxa"/>
          </w:tcPr>
          <w:p w14:paraId="23ACC015">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970" w:type="dxa"/>
            <w:gridSpan w:val="2"/>
          </w:tcPr>
          <w:p w14:paraId="108F4C3A">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r>
      <w:tr w14:paraId="3846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22" w:type="dxa"/>
          </w:tcPr>
          <w:p w14:paraId="34363035">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1209" w:type="dxa"/>
          </w:tcPr>
          <w:p w14:paraId="40C36F1C">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965" w:type="dxa"/>
          </w:tcPr>
          <w:p w14:paraId="0DC5A989">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1029" w:type="dxa"/>
          </w:tcPr>
          <w:p w14:paraId="7AA93673">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1717" w:type="dxa"/>
          </w:tcPr>
          <w:p w14:paraId="0434C14F">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1114" w:type="dxa"/>
          </w:tcPr>
          <w:p w14:paraId="793ACFC2">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965" w:type="dxa"/>
          </w:tcPr>
          <w:p w14:paraId="2A9A5668">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965" w:type="dxa"/>
          </w:tcPr>
          <w:p w14:paraId="4B44F1EA">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c>
          <w:tcPr>
            <w:tcW w:w="970" w:type="dxa"/>
            <w:gridSpan w:val="2"/>
          </w:tcPr>
          <w:p w14:paraId="79865A7E">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4"/>
              </w:rPr>
            </w:pPr>
          </w:p>
        </w:tc>
      </w:tr>
      <w:tr w14:paraId="056F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694" w:type="dxa"/>
            <w:gridSpan w:val="9"/>
          </w:tcPr>
          <w:p w14:paraId="5B72CD84">
            <w:pPr>
              <w:keepNext w:val="0"/>
              <w:keepLines w:val="0"/>
              <w:suppressLineNumbers w:val="0"/>
              <w:spacing w:before="0" w:beforeAutospacing="0" w:after="0" w:afterAutospacing="0" w:line="520" w:lineRule="exact"/>
              <w:ind w:left="0" w:right="0"/>
              <w:jc w:val="left"/>
              <w:rPr>
                <w:rFonts w:hint="default" w:ascii="宋体" w:hAnsi="宋体" w:cs="宋体"/>
                <w:color w:val="auto"/>
                <w:sz w:val="24"/>
                <w:szCs w:val="24"/>
              </w:rPr>
            </w:pPr>
            <w:r>
              <w:rPr>
                <w:rFonts w:hint="eastAsia" w:ascii="宋体" w:hAnsi="宋体" w:cs="宋体"/>
                <w:color w:val="auto"/>
                <w:kern w:val="0"/>
                <w:sz w:val="24"/>
                <w:szCs w:val="24"/>
              </w:rPr>
              <w:t>投标总报价（大写）：                            （小写：￥       ）</w:t>
            </w:r>
          </w:p>
        </w:tc>
        <w:tc>
          <w:tcPr>
            <w:tcW w:w="962" w:type="dxa"/>
          </w:tcPr>
          <w:p w14:paraId="0E2CC428">
            <w:pPr>
              <w:keepNext w:val="0"/>
              <w:keepLines w:val="0"/>
              <w:suppressLineNumbers w:val="0"/>
              <w:spacing w:before="0" w:beforeAutospacing="0" w:after="0" w:afterAutospacing="0" w:line="520" w:lineRule="exact"/>
              <w:ind w:left="0" w:right="0"/>
              <w:jc w:val="left"/>
              <w:rPr>
                <w:rFonts w:hint="eastAsia" w:ascii="宋体" w:hAnsi="宋体" w:cs="宋体"/>
                <w:color w:val="auto"/>
                <w:kern w:val="0"/>
                <w:sz w:val="24"/>
                <w:szCs w:val="24"/>
              </w:rPr>
            </w:pPr>
          </w:p>
        </w:tc>
      </w:tr>
    </w:tbl>
    <w:p w14:paraId="68734324">
      <w:pPr>
        <w:jc w:val="both"/>
        <w:rPr>
          <w:rFonts w:hint="eastAsia" w:ascii="宋体" w:hAnsi="宋体"/>
          <w:color w:val="auto"/>
          <w:sz w:val="24"/>
          <w:szCs w:val="24"/>
        </w:rPr>
      </w:pPr>
      <w:r>
        <w:rPr>
          <w:rFonts w:hint="eastAsia" w:ascii="宋体" w:hAnsi="宋体"/>
          <w:color w:val="auto"/>
          <w:sz w:val="24"/>
          <w:szCs w:val="24"/>
          <w:lang w:val="en-US" w:eastAsia="zh-CN"/>
        </w:rPr>
        <w:t xml:space="preserve">                                                     </w:t>
      </w:r>
      <w:r>
        <w:rPr>
          <w:rFonts w:ascii="宋体" w:hAnsi="宋体" w:eastAsia="宋体"/>
          <w:color w:val="auto"/>
          <w:sz w:val="24"/>
          <w:szCs w:val="24"/>
        </w:rPr>
        <w:t xml:space="preserve"> </w:t>
      </w:r>
      <w:r>
        <w:rPr>
          <w:rFonts w:hint="eastAsia" w:ascii="宋体" w:hAnsi="宋体"/>
          <w:color w:val="auto"/>
          <w:sz w:val="24"/>
          <w:szCs w:val="24"/>
        </w:rPr>
        <w:t xml:space="preserve">  </w:t>
      </w:r>
    </w:p>
    <w:p w14:paraId="3850033E">
      <w:pPr>
        <w:rPr>
          <w:rFonts w:hint="eastAsia"/>
          <w:color w:val="auto"/>
          <w:lang w:val="en-US" w:eastAsia="zh-CN"/>
        </w:rPr>
      </w:pPr>
    </w:p>
    <w:p w14:paraId="4EE4B73C">
      <w:pPr>
        <w:pStyle w:val="123"/>
        <w:rPr>
          <w:color w:val="auto"/>
        </w:rPr>
      </w:pPr>
    </w:p>
    <w:p w14:paraId="2421871A">
      <w:pPr>
        <w:spacing w:line="360" w:lineRule="auto"/>
        <w:rPr>
          <w:rFonts w:ascii="宋体" w:hAnsi="宋体" w:cs="仿宋"/>
          <w:color w:val="auto"/>
          <w:sz w:val="24"/>
          <w:szCs w:val="24"/>
        </w:rPr>
      </w:pPr>
      <w:r>
        <w:rPr>
          <w:rFonts w:hint="eastAsia" w:ascii="宋体" w:hAnsi="宋体" w:cs="仿宋"/>
          <w:color w:val="auto"/>
          <w:sz w:val="24"/>
          <w:szCs w:val="24"/>
        </w:rPr>
        <w:t>注：1.投标人可根据实际情况自行扩展表格细项。</w:t>
      </w:r>
    </w:p>
    <w:p w14:paraId="769797E5">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2.如果分项报价合计与投标总报价不一致，以分项报价合计为准进行结算。</w:t>
      </w:r>
    </w:p>
    <w:p w14:paraId="50EAAFFD">
      <w:pPr>
        <w:spacing w:line="360" w:lineRule="auto"/>
        <w:ind w:firstLine="480" w:firstLineChars="200"/>
        <w:rPr>
          <w:rFonts w:ascii="宋体" w:hAnsi="宋体" w:cs="仿宋"/>
          <w:color w:val="auto"/>
          <w:sz w:val="24"/>
          <w:szCs w:val="24"/>
        </w:rPr>
      </w:pPr>
      <w:r>
        <w:rPr>
          <w:rFonts w:ascii="宋体" w:hAnsi="宋体" w:cs="仿宋"/>
          <w:color w:val="auto"/>
          <w:sz w:val="24"/>
          <w:szCs w:val="24"/>
        </w:rPr>
        <w:t>3.</w:t>
      </w:r>
      <w:r>
        <w:rPr>
          <w:rFonts w:hint="eastAsia" w:ascii="宋体" w:hAnsi="宋体" w:cs="仿宋"/>
          <w:color w:val="auto"/>
          <w:sz w:val="24"/>
          <w:szCs w:val="24"/>
        </w:rPr>
        <w:t>如果不提供详细分项报价将视为没有实质性响应招标文件。</w:t>
      </w:r>
    </w:p>
    <w:p w14:paraId="301AFD73">
      <w:pPr>
        <w:spacing w:line="360" w:lineRule="auto"/>
        <w:ind w:firstLine="480" w:firstLineChars="200"/>
        <w:rPr>
          <w:rFonts w:ascii="宋体" w:hAnsi="宋体" w:cs="仿宋"/>
          <w:color w:val="auto"/>
          <w:sz w:val="24"/>
          <w:szCs w:val="24"/>
        </w:rPr>
      </w:pPr>
    </w:p>
    <w:p w14:paraId="49A8F123">
      <w:pPr>
        <w:spacing w:line="360" w:lineRule="auto"/>
        <w:ind w:firstLine="480" w:firstLineChars="200"/>
        <w:rPr>
          <w:rFonts w:ascii="宋体" w:hAnsi="宋体" w:cs="仿宋"/>
          <w:color w:val="auto"/>
          <w:sz w:val="24"/>
          <w:szCs w:val="24"/>
        </w:rPr>
      </w:pPr>
    </w:p>
    <w:p w14:paraId="67D7FF50">
      <w:pPr>
        <w:keepNext w:val="0"/>
        <w:keepLines w:val="0"/>
        <w:pageBreakBefore w:val="0"/>
        <w:widowControl w:val="0"/>
        <w:kinsoku/>
        <w:wordWrap/>
        <w:overflowPunct/>
        <w:topLinePunct w:val="0"/>
        <w:autoSpaceDE/>
        <w:autoSpaceDN/>
        <w:bidi w:val="0"/>
        <w:adjustRightInd w:val="0"/>
        <w:snapToGrid w:val="0"/>
        <w:spacing w:line="660" w:lineRule="exact"/>
        <w:ind w:firstLine="240" w:firstLineChars="1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供应商（单位名称及公章）：____________________</w:t>
      </w:r>
    </w:p>
    <w:p w14:paraId="087A4C9A">
      <w:pPr>
        <w:keepNext w:val="0"/>
        <w:keepLines w:val="0"/>
        <w:pageBreakBefore w:val="0"/>
        <w:widowControl w:val="0"/>
        <w:kinsoku/>
        <w:wordWrap/>
        <w:overflowPunct/>
        <w:topLinePunct w:val="0"/>
        <w:autoSpaceDE/>
        <w:autoSpaceDN/>
        <w:bidi w:val="0"/>
        <w:adjustRightInd w:val="0"/>
        <w:snapToGrid w:val="0"/>
        <w:spacing w:line="66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被授权人（签字或盖章）：____________________</w:t>
      </w:r>
    </w:p>
    <w:p w14:paraId="47A61753">
      <w:pPr>
        <w:keepNext w:val="0"/>
        <w:keepLines w:val="0"/>
        <w:pageBreakBefore w:val="0"/>
        <w:widowControl w:val="0"/>
        <w:kinsoku/>
        <w:wordWrap/>
        <w:overflowPunct/>
        <w:topLinePunct w:val="0"/>
        <w:autoSpaceDE/>
        <w:autoSpaceDN/>
        <w:bidi w:val="0"/>
        <w:adjustRightInd w:val="0"/>
        <w:snapToGrid w:val="0"/>
        <w:spacing w:line="660" w:lineRule="exact"/>
        <w:ind w:firstLine="240" w:firstLineChars="100"/>
        <w:textAlignment w:val="auto"/>
        <w:rPr>
          <w:rFonts w:ascii="宋体" w:hAnsi="宋体" w:cs="宋体"/>
          <w:color w:val="auto"/>
          <w:sz w:val="24"/>
          <w:szCs w:val="24"/>
        </w:rPr>
        <w:sectPr>
          <w:pgSz w:w="11906" w:h="16838"/>
          <w:pgMar w:top="1361" w:right="1423" w:bottom="1361" w:left="1423" w:header="1134" w:footer="992" w:gutter="0"/>
          <w:pgBorders>
            <w:top w:val="none" w:sz="0" w:space="0"/>
            <w:left w:val="none" w:sz="0" w:space="0"/>
            <w:bottom w:val="none" w:sz="0" w:space="0"/>
            <w:right w:val="none" w:sz="0" w:space="0"/>
          </w:pgBorders>
          <w:pgNumType w:fmt="decimal"/>
          <w:cols w:space="0" w:num="1"/>
          <w:titlePg/>
          <w:docGrid w:type="lines" w:linePitch="317" w:charSpace="0"/>
        </w:sectPr>
      </w:pPr>
      <w:r>
        <w:rPr>
          <w:rFonts w:hint="eastAsia" w:ascii="宋体" w:hAnsi="宋体" w:eastAsia="宋体" w:cs="宋体"/>
          <w:color w:val="auto"/>
          <w:sz w:val="24"/>
          <w:szCs w:val="24"/>
        </w:rPr>
        <w:t>日    期：________年________月________日</w:t>
      </w:r>
    </w:p>
    <w:p w14:paraId="146E8AC9">
      <w:pPr>
        <w:numPr>
          <w:ilvl w:val="0"/>
          <w:numId w:val="0"/>
        </w:numPr>
        <w:autoSpaceDE w:val="0"/>
        <w:autoSpaceDN w:val="0"/>
        <w:adjustRightInd w:val="0"/>
        <w:snapToGrid w:val="0"/>
        <w:spacing w:line="360" w:lineRule="auto"/>
        <w:jc w:val="center"/>
        <w:rPr>
          <w:rFonts w:ascii="宋体" w:hAnsi="宋体" w:cs="宋体"/>
          <w:color w:val="auto"/>
        </w:rPr>
      </w:pPr>
      <w:r>
        <w:rPr>
          <w:rFonts w:hint="eastAsia" w:ascii="宋体" w:hAnsi="宋体" w:cs="宋体"/>
          <w:b/>
          <w:color w:val="auto"/>
          <w:sz w:val="32"/>
          <w:szCs w:val="32"/>
          <w:lang w:val="en-US" w:eastAsia="zh-CN"/>
        </w:rPr>
        <w:t xml:space="preserve">第三章  </w:t>
      </w:r>
      <w:r>
        <w:rPr>
          <w:rFonts w:hint="eastAsia" w:ascii="Calibri Light" w:hAnsi="Calibri Light" w:cs="Times New Roman"/>
          <w:color w:val="auto"/>
          <w:sz w:val="32"/>
          <w:szCs w:val="32"/>
          <w:lang w:val="en-US" w:eastAsia="zh-CN"/>
        </w:rPr>
        <w:t xml:space="preserve"> </w:t>
      </w:r>
      <w:r>
        <w:rPr>
          <w:rFonts w:hint="eastAsia" w:ascii="Calibri Light" w:hAnsi="Calibri Light" w:cs="Times New Roman"/>
          <w:b/>
          <w:bCs/>
          <w:color w:val="auto"/>
          <w:sz w:val="32"/>
          <w:szCs w:val="32"/>
        </w:rPr>
        <w:t>资</w:t>
      </w:r>
      <w:r>
        <w:rPr>
          <w:rFonts w:hint="eastAsia" w:ascii="Calibri Light" w:hAnsi="Calibri Light" w:cs="Times New Roman"/>
          <w:b/>
          <w:bCs/>
          <w:color w:val="auto"/>
          <w:sz w:val="32"/>
          <w:szCs w:val="32"/>
          <w:lang w:val="en-US" w:eastAsia="zh-CN"/>
        </w:rPr>
        <w:t>格</w:t>
      </w:r>
      <w:r>
        <w:rPr>
          <w:rFonts w:hint="eastAsia" w:ascii="Calibri Light" w:hAnsi="Calibri Light" w:cs="Times New Roman"/>
          <w:b/>
          <w:bCs/>
          <w:color w:val="auto"/>
          <w:sz w:val="32"/>
          <w:szCs w:val="32"/>
        </w:rPr>
        <w:t>证明文件</w:t>
      </w:r>
    </w:p>
    <w:p w14:paraId="5D0D01D5">
      <w:pPr>
        <w:keepNext w:val="0"/>
        <w:keepLines w:val="0"/>
        <w:pageBreakBefore w:val="0"/>
        <w:tabs>
          <w:tab w:val="left" w:pos="567"/>
        </w:tabs>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kern w:val="0"/>
          <w:sz w:val="24"/>
          <w:szCs w:val="24"/>
          <w:lang w:eastAsia="zh-CN"/>
        </w:rPr>
        <w:t>1.具有独立承担民事责任能力的法人、非法人组织或自然人，提供合法有效的营业执照/事业单位法人证书/专业服务机构执业许可证/民办非企业单位登记证书等相关证明，自然人参与地提供其身份证明。</w:t>
      </w:r>
    </w:p>
    <w:p w14:paraId="2A5250CE">
      <w:pPr>
        <w:keepNext w:val="0"/>
        <w:keepLines w:val="0"/>
        <w:pageBreakBefore w:val="0"/>
        <w:kinsoku/>
        <w:wordWrap/>
        <w:overflowPunct/>
        <w:topLinePunct w:val="0"/>
        <w:autoSpaceDE/>
        <w:autoSpaceDN/>
        <w:bidi w:val="0"/>
        <w:adjustRightInd/>
        <w:spacing w:line="420" w:lineRule="exact"/>
        <w:ind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法定代表人授权书及被授权人身份证复印件（法定代表人直接投标只需提交其身份明材料）。</w:t>
      </w:r>
    </w:p>
    <w:p w14:paraId="0102C529">
      <w:pPr>
        <w:keepNext w:val="0"/>
        <w:keepLines w:val="0"/>
        <w:pageBreakBefore w:val="0"/>
        <w:tabs>
          <w:tab w:val="center" w:pos="4153"/>
          <w:tab w:val="right" w:pos="8306"/>
        </w:tabs>
        <w:kinsoku/>
        <w:wordWrap/>
        <w:overflowPunct/>
        <w:topLinePunct w:val="0"/>
        <w:autoSpaceDE/>
        <w:autoSpaceDN/>
        <w:bidi w:val="0"/>
        <w:adjustRightInd/>
        <w:snapToGrid w:val="0"/>
        <w:spacing w:line="42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3434B450">
      <w:pPr>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6F8099F2">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月至今任意一个月缴纳的纳税证明或完税证明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1D822209">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rPr>
        <w:t>财务状况报告：</w:t>
      </w:r>
      <w:r>
        <w:rPr>
          <w:rFonts w:hint="eastAsia" w:ascii="宋体" w:hAnsi="宋体" w:cs="宋体"/>
          <w:color w:val="auto"/>
          <w:sz w:val="24"/>
          <w:szCs w:val="24"/>
          <w:lang w:eastAsia="zh-CN"/>
        </w:rPr>
        <w:t>提供2024年度经审计的财务审计报告</w:t>
      </w:r>
      <w:r>
        <w:rPr>
          <w:rFonts w:hint="eastAsia" w:ascii="宋体" w:hAnsi="宋体" w:cs="宋体"/>
          <w:color w:val="auto"/>
          <w:sz w:val="24"/>
          <w:szCs w:val="24"/>
          <w:lang w:val="en-US" w:eastAsia="zh-CN"/>
        </w:rPr>
        <w:t>或</w:t>
      </w:r>
      <w:r>
        <w:rPr>
          <w:rFonts w:hint="eastAsia" w:ascii="宋体" w:hAnsi="宋体" w:cs="宋体"/>
          <w:color w:val="auto"/>
          <w:sz w:val="24"/>
          <w:szCs w:val="24"/>
          <w:lang w:eastAsia="zh-CN"/>
        </w:rPr>
        <w:t>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3A17D363">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月至今任意一个月社会保障资金缴存单</w:t>
      </w:r>
      <w:r>
        <w:rPr>
          <w:rFonts w:hint="eastAsia" w:ascii="宋体" w:hAnsi="宋体" w:cs="宋体"/>
          <w:color w:val="auto"/>
          <w:sz w:val="24"/>
          <w:szCs w:val="24"/>
        </w:rPr>
        <w:t>据或社保机构开具的社会保险参保缴费情况证明，依法不需要缴纳社会保障资金的单位应提供相关证明材料，单据或证明上应有社保机构或代收机构的印章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成立时间至提交响应文件截止时间不足三个月的可不提供</w:t>
      </w:r>
      <w:r>
        <w:rPr>
          <w:rFonts w:hint="eastAsia" w:ascii="宋体" w:hAnsi="宋体" w:cs="宋体"/>
          <w:color w:val="auto"/>
          <w:sz w:val="24"/>
          <w:szCs w:val="24"/>
          <w:lang w:eastAsia="zh-CN"/>
        </w:rPr>
        <w:t>）。</w:t>
      </w:r>
    </w:p>
    <w:p w14:paraId="5A88B8AF">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所必需的设备和专业技术能力的承诺书</w:t>
      </w:r>
      <w:r>
        <w:rPr>
          <w:rFonts w:hint="eastAsia" w:ascii="宋体" w:hAnsi="宋体" w:cs="宋体"/>
          <w:color w:val="auto"/>
          <w:kern w:val="2"/>
          <w:sz w:val="24"/>
          <w:szCs w:val="24"/>
          <w:lang w:val="en-US" w:eastAsia="zh-CN" w:bidi="ar-SA"/>
        </w:rPr>
        <w:t>（格式自拟）。</w:t>
      </w:r>
    </w:p>
    <w:p w14:paraId="2B901C0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9.本项目不接受联合体投标。</w:t>
      </w:r>
    </w:p>
    <w:p w14:paraId="0811ABB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lang w:val="en-US" w:eastAsia="zh-CN"/>
        </w:rPr>
      </w:pPr>
    </w:p>
    <w:p w14:paraId="2D814AD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lang w:val="en-US" w:eastAsia="zh-CN"/>
        </w:rPr>
      </w:pPr>
    </w:p>
    <w:p w14:paraId="75804CF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lang w:val="en-US" w:eastAsia="zh-CN"/>
        </w:rPr>
      </w:pPr>
    </w:p>
    <w:p w14:paraId="42655F7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lang w:val="en-US" w:eastAsia="zh-CN"/>
        </w:rPr>
      </w:pPr>
    </w:p>
    <w:p w14:paraId="649EE06A">
      <w:pPr>
        <w:tabs>
          <w:tab w:val="center" w:pos="4153"/>
          <w:tab w:val="right" w:pos="8306"/>
        </w:tabs>
        <w:snapToGrid w:val="0"/>
        <w:spacing w:line="360" w:lineRule="auto"/>
        <w:ind w:firstLine="480" w:firstLineChars="200"/>
        <w:jc w:val="left"/>
        <w:rPr>
          <w:rFonts w:hint="eastAsia" w:ascii="宋体" w:hAnsi="宋体" w:cs="宋体"/>
          <w:color w:val="auto"/>
          <w:kern w:val="0"/>
          <w:sz w:val="24"/>
          <w:szCs w:val="24"/>
        </w:rPr>
      </w:pPr>
    </w:p>
    <w:p w14:paraId="7826782E">
      <w:pPr>
        <w:tabs>
          <w:tab w:val="left" w:pos="210"/>
        </w:tabs>
        <w:spacing w:line="420" w:lineRule="exact"/>
        <w:jc w:val="center"/>
        <w:rPr>
          <w:rFonts w:hint="eastAsia" w:ascii="宋体" w:hAnsi="宋体" w:cs="Arial"/>
          <w:b/>
          <w:color w:val="auto"/>
          <w:kern w:val="0"/>
          <w:sz w:val="32"/>
          <w:szCs w:val="32"/>
        </w:rPr>
      </w:pPr>
    </w:p>
    <w:p w14:paraId="0E300679">
      <w:pPr>
        <w:tabs>
          <w:tab w:val="left" w:pos="210"/>
        </w:tabs>
        <w:spacing w:line="420" w:lineRule="exact"/>
        <w:jc w:val="center"/>
        <w:rPr>
          <w:rFonts w:hint="eastAsia" w:ascii="宋体" w:hAnsi="宋体" w:cs="Arial"/>
          <w:b/>
          <w:color w:val="auto"/>
          <w:kern w:val="0"/>
          <w:sz w:val="32"/>
          <w:szCs w:val="32"/>
        </w:rPr>
      </w:pPr>
    </w:p>
    <w:p w14:paraId="18C1B73C">
      <w:pPr>
        <w:tabs>
          <w:tab w:val="left" w:pos="210"/>
        </w:tabs>
        <w:spacing w:line="420" w:lineRule="exact"/>
        <w:jc w:val="center"/>
        <w:rPr>
          <w:rFonts w:ascii="宋体" w:hAnsi="宋体" w:cs="Arial"/>
          <w:b/>
          <w:color w:val="auto"/>
          <w:kern w:val="0"/>
          <w:sz w:val="32"/>
          <w:szCs w:val="32"/>
        </w:rPr>
      </w:pPr>
      <w:r>
        <w:rPr>
          <w:rFonts w:hint="eastAsia" w:ascii="宋体" w:hAnsi="宋体" w:cs="Arial"/>
          <w:b/>
          <w:color w:val="auto"/>
          <w:kern w:val="0"/>
          <w:sz w:val="32"/>
          <w:szCs w:val="32"/>
        </w:rPr>
        <w:t xml:space="preserve">   </w:t>
      </w:r>
      <w:r>
        <w:rPr>
          <w:rFonts w:hint="eastAsia" w:ascii="宋体" w:hAnsi="宋体" w:cs="Arial"/>
          <w:b/>
          <w:color w:val="auto"/>
          <w:kern w:val="0"/>
          <w:sz w:val="28"/>
          <w:szCs w:val="28"/>
        </w:rPr>
        <w:t xml:space="preserve"> 法定代表人证明书</w:t>
      </w:r>
    </w:p>
    <w:p w14:paraId="3278A074">
      <w:pPr>
        <w:tabs>
          <w:tab w:val="left" w:pos="210"/>
        </w:tabs>
        <w:spacing w:line="320" w:lineRule="exact"/>
        <w:jc w:val="center"/>
        <w:rPr>
          <w:rFonts w:ascii="宋体" w:hAnsi="宋体" w:cs="Arial"/>
          <w:b/>
          <w:color w:val="auto"/>
          <w:kern w:val="0"/>
          <w:sz w:val="32"/>
          <w:szCs w:val="32"/>
        </w:rPr>
      </w:pPr>
    </w:p>
    <w:tbl>
      <w:tblPr>
        <w:tblStyle w:val="40"/>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2866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12DA21DB">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r>
              <w:rPr>
                <w:rFonts w:hint="eastAsia" w:ascii="宋体" w:hAnsi="宋体" w:cs="Arial"/>
                <w:color w:val="auto"/>
                <w:kern w:val="0"/>
                <w:sz w:val="24"/>
                <w:szCs w:val="24"/>
              </w:rPr>
              <w:t>致：</w:t>
            </w:r>
            <w:r>
              <w:rPr>
                <w:rFonts w:hint="eastAsia" w:hAnsi="宋体"/>
                <w:color w:val="auto"/>
                <w:sz w:val="24"/>
                <w:szCs w:val="24"/>
              </w:rPr>
              <w:t>安康尚昊招标代理有限公司</w:t>
            </w:r>
          </w:p>
        </w:tc>
      </w:tr>
      <w:tr w14:paraId="32F2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6F05DBF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w:t>
            </w:r>
          </w:p>
          <w:p w14:paraId="60E1B17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13A36D0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业</w:t>
            </w:r>
          </w:p>
          <w:p w14:paraId="60047DB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2FA8C8E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w:t>
            </w:r>
          </w:p>
          <w:p w14:paraId="0F61DBB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184B204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人</w:t>
            </w:r>
          </w:p>
        </w:tc>
        <w:tc>
          <w:tcPr>
            <w:tcW w:w="2223" w:type="dxa"/>
            <w:vAlign w:val="center"/>
          </w:tcPr>
          <w:p w14:paraId="6AE30C5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企业名称</w:t>
            </w:r>
          </w:p>
        </w:tc>
        <w:tc>
          <w:tcPr>
            <w:tcW w:w="6797" w:type="dxa"/>
            <w:gridSpan w:val="4"/>
            <w:vAlign w:val="center"/>
          </w:tcPr>
          <w:p w14:paraId="3D415C7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69F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0D778A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04E3502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法定地址</w:t>
            </w:r>
          </w:p>
        </w:tc>
        <w:tc>
          <w:tcPr>
            <w:tcW w:w="6797" w:type="dxa"/>
            <w:gridSpan w:val="4"/>
            <w:vAlign w:val="center"/>
          </w:tcPr>
          <w:p w14:paraId="468779F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22E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100AA63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5557EEE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邮政编码</w:t>
            </w:r>
          </w:p>
        </w:tc>
        <w:tc>
          <w:tcPr>
            <w:tcW w:w="6797" w:type="dxa"/>
            <w:gridSpan w:val="4"/>
            <w:vAlign w:val="center"/>
          </w:tcPr>
          <w:p w14:paraId="761A188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3695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1C62F86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0E29CEE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工商登记机关</w:t>
            </w:r>
          </w:p>
        </w:tc>
        <w:tc>
          <w:tcPr>
            <w:tcW w:w="6797" w:type="dxa"/>
            <w:gridSpan w:val="4"/>
            <w:vAlign w:val="center"/>
          </w:tcPr>
          <w:p w14:paraId="6B6A7FE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123A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5DADD0B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254C3D7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税务登记机关</w:t>
            </w:r>
          </w:p>
        </w:tc>
        <w:tc>
          <w:tcPr>
            <w:tcW w:w="6797" w:type="dxa"/>
            <w:gridSpan w:val="4"/>
            <w:vAlign w:val="center"/>
          </w:tcPr>
          <w:p w14:paraId="3854697E">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p>
        </w:tc>
      </w:tr>
      <w:tr w14:paraId="6BD6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3EA4B31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39ACCE0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机构代码证号</w:t>
            </w:r>
          </w:p>
        </w:tc>
        <w:tc>
          <w:tcPr>
            <w:tcW w:w="6797" w:type="dxa"/>
            <w:gridSpan w:val="4"/>
            <w:vAlign w:val="center"/>
          </w:tcPr>
          <w:p w14:paraId="559F30C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71B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62055F8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w:t>
            </w:r>
          </w:p>
        </w:tc>
        <w:tc>
          <w:tcPr>
            <w:tcW w:w="2223" w:type="dxa"/>
            <w:vAlign w:val="center"/>
          </w:tcPr>
          <w:p w14:paraId="531BB34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姓名</w:t>
            </w:r>
          </w:p>
        </w:tc>
        <w:tc>
          <w:tcPr>
            <w:tcW w:w="2408" w:type="dxa"/>
            <w:gridSpan w:val="2"/>
            <w:vAlign w:val="center"/>
          </w:tcPr>
          <w:p w14:paraId="794CA98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42B13EB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性别</w:t>
            </w:r>
          </w:p>
        </w:tc>
        <w:tc>
          <w:tcPr>
            <w:tcW w:w="2171" w:type="dxa"/>
            <w:vAlign w:val="center"/>
          </w:tcPr>
          <w:p w14:paraId="3CAA103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42F0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21CC3D2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6835EC8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职务</w:t>
            </w:r>
          </w:p>
        </w:tc>
        <w:tc>
          <w:tcPr>
            <w:tcW w:w="2408" w:type="dxa"/>
            <w:gridSpan w:val="2"/>
            <w:vAlign w:val="center"/>
          </w:tcPr>
          <w:p w14:paraId="66EB80F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5B2715B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联系电话</w:t>
            </w:r>
          </w:p>
        </w:tc>
        <w:tc>
          <w:tcPr>
            <w:tcW w:w="2171" w:type="dxa"/>
            <w:vAlign w:val="center"/>
          </w:tcPr>
          <w:p w14:paraId="297A2E2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7000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469476D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6A65D0B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传真</w:t>
            </w:r>
          </w:p>
        </w:tc>
        <w:tc>
          <w:tcPr>
            <w:tcW w:w="6797" w:type="dxa"/>
            <w:gridSpan w:val="4"/>
            <w:vAlign w:val="center"/>
          </w:tcPr>
          <w:p w14:paraId="1715EA8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F22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1E3DAE9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法定代表人身份证复印件</w:t>
            </w:r>
          </w:p>
        </w:tc>
        <w:tc>
          <w:tcPr>
            <w:tcW w:w="4441" w:type="dxa"/>
            <w:gridSpan w:val="2"/>
            <w:vMerge w:val="restart"/>
            <w:vAlign w:val="center"/>
          </w:tcPr>
          <w:p w14:paraId="002422D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（粘贴处）</w:t>
            </w:r>
          </w:p>
        </w:tc>
        <w:tc>
          <w:tcPr>
            <w:tcW w:w="4579" w:type="dxa"/>
            <w:gridSpan w:val="3"/>
            <w:vAlign w:val="center"/>
          </w:tcPr>
          <w:p w14:paraId="36C427F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法定代表人签字或盖章</w:t>
            </w:r>
          </w:p>
        </w:tc>
      </w:tr>
      <w:tr w14:paraId="40CD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6184D55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441" w:type="dxa"/>
            <w:gridSpan w:val="2"/>
            <w:vMerge w:val="continue"/>
            <w:vAlign w:val="center"/>
          </w:tcPr>
          <w:p w14:paraId="2CD0672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579" w:type="dxa"/>
            <w:gridSpan w:val="3"/>
            <w:vAlign w:val="bottom"/>
          </w:tcPr>
          <w:p w14:paraId="1C423AB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（公章）</w:t>
            </w:r>
          </w:p>
          <w:p w14:paraId="6FD6B3E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2734A89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102BE8C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386F641B">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auto"/>
                <w:kern w:val="0"/>
                <w:sz w:val="24"/>
                <w:szCs w:val="24"/>
              </w:rPr>
            </w:pPr>
            <w:r>
              <w:rPr>
                <w:rFonts w:hint="eastAsia" w:ascii="宋体" w:hAnsi="宋体" w:cs="Arial"/>
                <w:color w:val="auto"/>
                <w:kern w:val="0"/>
                <w:sz w:val="24"/>
                <w:szCs w:val="24"/>
              </w:rPr>
              <w:t xml:space="preserve">年  月  日 </w:t>
            </w:r>
          </w:p>
        </w:tc>
      </w:tr>
    </w:tbl>
    <w:p w14:paraId="074315A0">
      <w:pPr>
        <w:pStyle w:val="3"/>
        <w:pageBreakBefore/>
        <w:rPr>
          <w:rFonts w:ascii="宋体" w:hAnsi="宋体" w:cs="宋体"/>
          <w:color w:val="auto"/>
        </w:rPr>
      </w:pPr>
      <w:bookmarkStart w:id="164" w:name="_Toc19543356"/>
      <w:r>
        <w:rPr>
          <w:rFonts w:hint="eastAsia" w:ascii="宋体" w:hAnsi="宋体" w:cs="宋体"/>
          <w:color w:val="auto"/>
        </w:rPr>
        <w:t>法定代表人授权书</w:t>
      </w:r>
      <w:bookmarkEnd w:id="164"/>
    </w:p>
    <w:p w14:paraId="0956D082">
      <w:pPr>
        <w:pStyle w:val="18"/>
        <w:spacing w:line="400" w:lineRule="exact"/>
        <w:jc w:val="left"/>
        <w:rPr>
          <w:rFonts w:hAnsi="宋体" w:cs="Times New Roman"/>
          <w:color w:val="auto"/>
          <w:sz w:val="24"/>
          <w:szCs w:val="24"/>
        </w:rPr>
      </w:pPr>
      <w:r>
        <w:rPr>
          <w:rFonts w:hint="eastAsia" w:hAnsi="宋体"/>
          <w:color w:val="auto"/>
          <w:sz w:val="24"/>
          <w:szCs w:val="24"/>
        </w:rPr>
        <w:t>安康尚昊招标代理有限公司：</w:t>
      </w:r>
    </w:p>
    <w:p w14:paraId="61CFFD49">
      <w:pPr>
        <w:tabs>
          <w:tab w:val="left" w:pos="8820"/>
        </w:tabs>
        <w:spacing w:line="400" w:lineRule="exact"/>
        <w:ind w:firstLine="570"/>
        <w:rPr>
          <w:rFonts w:ascii="宋体" w:cs="Times New Roman"/>
          <w:color w:val="auto"/>
          <w:sz w:val="24"/>
          <w:szCs w:val="24"/>
          <w:u w:val="single"/>
        </w:rPr>
      </w:pPr>
      <w:r>
        <w:rPr>
          <w:rFonts w:hint="eastAsia" w:ascii="宋体" w:hAnsi="宋体" w:cs="宋体"/>
          <w:color w:val="auto"/>
          <w:sz w:val="24"/>
          <w:szCs w:val="24"/>
        </w:rPr>
        <w:t>本授权委托书声明：我</w:t>
      </w:r>
      <w:r>
        <w:rPr>
          <w:rFonts w:hint="eastAsia" w:ascii="宋体" w:hAnsi="宋体" w:cs="宋体"/>
          <w:color w:val="auto"/>
          <w:sz w:val="24"/>
          <w:szCs w:val="24"/>
          <w:u w:val="single"/>
        </w:rPr>
        <w:t>（法定代表人姓名）</w:t>
      </w:r>
      <w:r>
        <w:rPr>
          <w:rFonts w:ascii="宋体" w:hAnsi="宋体" w:cs="宋体"/>
          <w:color w:val="auto"/>
          <w:sz w:val="24"/>
          <w:szCs w:val="24"/>
          <w:u w:val="single"/>
        </w:rPr>
        <w:t xml:space="preserve">   </w:t>
      </w:r>
      <w:r>
        <w:rPr>
          <w:rFonts w:hint="eastAsia" w:ascii="宋体" w:hAnsi="宋体" w:cs="宋体"/>
          <w:color w:val="auto"/>
          <w:sz w:val="24"/>
          <w:szCs w:val="24"/>
        </w:rPr>
        <w:t>系注册于</w:t>
      </w:r>
      <w:r>
        <w:rPr>
          <w:rFonts w:ascii="宋体" w:hAnsi="宋体" w:cs="宋体"/>
          <w:color w:val="auto"/>
          <w:sz w:val="24"/>
          <w:szCs w:val="24"/>
          <w:u w:val="single"/>
        </w:rPr>
        <w:t xml:space="preserve">  </w:t>
      </w:r>
      <w:r>
        <w:rPr>
          <w:rFonts w:hint="eastAsia" w:ascii="宋体" w:hAnsi="宋体" w:cs="宋体"/>
          <w:color w:val="auto"/>
          <w:sz w:val="24"/>
          <w:szCs w:val="24"/>
          <w:u w:val="single"/>
        </w:rPr>
        <w:t>（供应商地址）</w:t>
      </w:r>
      <w:r>
        <w:rPr>
          <w:rFonts w:hint="eastAsia" w:ascii="宋体" w:hAnsi="宋体" w:cs="宋体"/>
          <w:color w:val="auto"/>
          <w:sz w:val="24"/>
          <w:szCs w:val="24"/>
        </w:rPr>
        <w:t>的</w:t>
      </w:r>
      <w:r>
        <w:rPr>
          <w:rFonts w:hint="eastAsia" w:ascii="宋体" w:hAnsi="宋体" w:cs="宋体"/>
          <w:color w:val="auto"/>
          <w:sz w:val="24"/>
          <w:szCs w:val="24"/>
          <w:u w:val="single"/>
        </w:rPr>
        <w:t>（供应商名称）</w:t>
      </w:r>
      <w:r>
        <w:rPr>
          <w:rFonts w:ascii="宋体" w:hAnsi="宋体" w:cs="宋体"/>
          <w:color w:val="auto"/>
          <w:sz w:val="24"/>
          <w:szCs w:val="24"/>
          <w:u w:val="single"/>
        </w:rPr>
        <w:t xml:space="preserve">  </w:t>
      </w:r>
      <w:r>
        <w:rPr>
          <w:rFonts w:hint="eastAsia" w:ascii="宋体" w:hAnsi="宋体" w:cs="宋体"/>
          <w:color w:val="auto"/>
          <w:sz w:val="24"/>
          <w:szCs w:val="24"/>
        </w:rPr>
        <w:t>的法定代表人，现代表公司授权下面签字的</w:t>
      </w:r>
      <w:r>
        <w:rPr>
          <w:rFonts w:hint="eastAsia" w:ascii="宋体" w:hAnsi="宋体" w:cs="宋体"/>
          <w:color w:val="auto"/>
          <w:sz w:val="24"/>
          <w:szCs w:val="24"/>
          <w:u w:val="single"/>
        </w:rPr>
        <w:t>（被授权人的姓名、职务）</w:t>
      </w:r>
      <w:r>
        <w:rPr>
          <w:rFonts w:ascii="宋体" w:hAnsi="宋体" w:cs="宋体"/>
          <w:color w:val="auto"/>
          <w:sz w:val="24"/>
          <w:szCs w:val="24"/>
          <w:u w:val="single"/>
        </w:rPr>
        <w:t xml:space="preserve">   </w:t>
      </w:r>
      <w:r>
        <w:rPr>
          <w:rFonts w:hint="eastAsia" w:ascii="宋体" w:hAnsi="宋体" w:cs="宋体"/>
          <w:color w:val="auto"/>
          <w:sz w:val="24"/>
          <w:szCs w:val="24"/>
        </w:rPr>
        <w:t>为我公司合法代理人，代表本公司参加</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（项目名称）  </w:t>
      </w:r>
      <w:r>
        <w:rPr>
          <w:rFonts w:hint="eastAsia" w:ascii="宋体" w:hAnsi="宋体" w:cs="宋体"/>
          <w:color w:val="auto"/>
          <w:sz w:val="24"/>
          <w:szCs w:val="24"/>
        </w:rPr>
        <w:t>采购项目编号为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的采购活动。以我方名义全权处理该项目有关磋商、签订合同以及执行合同等一切事宜。</w:t>
      </w:r>
    </w:p>
    <w:p w14:paraId="1AF88CC1">
      <w:pPr>
        <w:spacing w:line="400" w:lineRule="exact"/>
        <w:ind w:firstLine="480" w:firstLineChars="200"/>
        <w:rPr>
          <w:rFonts w:ascii="宋体" w:cs="Times New Roman"/>
          <w:color w:val="auto"/>
          <w:sz w:val="24"/>
          <w:szCs w:val="24"/>
        </w:rPr>
      </w:pPr>
      <w:r>
        <w:rPr>
          <w:rFonts w:hint="eastAsia" w:ascii="宋体" w:hAnsi="宋体" w:cs="宋体"/>
          <w:color w:val="auto"/>
          <w:sz w:val="24"/>
          <w:szCs w:val="24"/>
        </w:rPr>
        <w:t>有效期自磋商之日起</w:t>
      </w:r>
      <w:r>
        <w:rPr>
          <w:rFonts w:hint="eastAsia" w:ascii="宋体" w:hAnsi="宋体" w:cs="宋体"/>
          <w:color w:val="auto"/>
          <w:sz w:val="24"/>
          <w:szCs w:val="24"/>
          <w:u w:val="single"/>
        </w:rPr>
        <w:t xml:space="preserve">    </w:t>
      </w:r>
      <w:r>
        <w:rPr>
          <w:rFonts w:hint="eastAsia" w:ascii="宋体" w:hAnsi="宋体" w:cs="宋体"/>
          <w:color w:val="auto"/>
          <w:sz w:val="24"/>
          <w:szCs w:val="24"/>
        </w:rPr>
        <w:t>日历日，特此声明。</w:t>
      </w:r>
    </w:p>
    <w:p w14:paraId="544BB5DE">
      <w:pPr>
        <w:pStyle w:val="18"/>
        <w:spacing w:line="400" w:lineRule="exact"/>
        <w:ind w:firstLine="480" w:firstLineChars="200"/>
        <w:jc w:val="left"/>
        <w:rPr>
          <w:rFonts w:hAnsi="宋体"/>
          <w:color w:val="auto"/>
          <w:sz w:val="24"/>
          <w:szCs w:val="24"/>
        </w:rPr>
      </w:pPr>
      <w:r>
        <w:rPr>
          <w:rFonts w:hint="eastAsia" w:hAnsi="宋体"/>
          <w:color w:val="auto"/>
          <w:sz w:val="24"/>
          <w:szCs w:val="24"/>
        </w:rPr>
        <w:t>供应商（单位名称及公章）：</w:t>
      </w:r>
      <w:r>
        <w:rPr>
          <w:rFonts w:hAnsi="宋体"/>
          <w:color w:val="auto"/>
          <w:sz w:val="24"/>
          <w:szCs w:val="24"/>
        </w:rPr>
        <w:t>________</w:t>
      </w:r>
    </w:p>
    <w:p w14:paraId="4912CDEF">
      <w:pPr>
        <w:pStyle w:val="18"/>
        <w:spacing w:line="400" w:lineRule="exact"/>
        <w:ind w:firstLine="480" w:firstLineChars="200"/>
        <w:jc w:val="left"/>
        <w:rPr>
          <w:rFonts w:hAnsi="宋体"/>
          <w:color w:val="auto"/>
          <w:sz w:val="24"/>
          <w:szCs w:val="24"/>
          <w:u w:val="single"/>
        </w:rPr>
      </w:pPr>
      <w:r>
        <w:rPr>
          <w:rFonts w:hint="eastAsia" w:hAnsi="宋体"/>
          <w:color w:val="auto"/>
          <w:sz w:val="24"/>
          <w:szCs w:val="24"/>
        </w:rPr>
        <w:t>法定代表人（签字或盖章）：</w:t>
      </w:r>
      <w:r>
        <w:rPr>
          <w:rFonts w:hAnsi="宋体"/>
          <w:color w:val="auto"/>
          <w:sz w:val="24"/>
          <w:szCs w:val="24"/>
        </w:rPr>
        <w:t>________</w:t>
      </w:r>
    </w:p>
    <w:p w14:paraId="587D2846">
      <w:pPr>
        <w:pStyle w:val="18"/>
        <w:spacing w:line="400" w:lineRule="exact"/>
        <w:ind w:firstLine="480" w:firstLineChars="200"/>
        <w:jc w:val="left"/>
        <w:rPr>
          <w:rFonts w:hAnsi="宋体" w:cs="Times New Roman"/>
          <w:color w:val="auto"/>
          <w:sz w:val="24"/>
          <w:szCs w:val="24"/>
        </w:rPr>
      </w:pPr>
      <w:r>
        <w:rPr>
          <w:rFonts w:hint="eastAsia" w:hAnsi="宋体"/>
          <w:color w:val="auto"/>
          <w:sz w:val="24"/>
          <w:szCs w:val="24"/>
        </w:rPr>
        <w:t>被授权人（签字）：</w:t>
      </w:r>
      <w:r>
        <w:rPr>
          <w:rFonts w:hAnsi="宋体"/>
          <w:color w:val="auto"/>
          <w:sz w:val="24"/>
          <w:szCs w:val="24"/>
        </w:rPr>
        <w:t>________</w:t>
      </w:r>
      <w:r>
        <w:rPr>
          <w:rFonts w:hint="eastAsia" w:hAnsi="宋体"/>
          <w:color w:val="auto"/>
          <w:sz w:val="24"/>
          <w:szCs w:val="24"/>
        </w:rPr>
        <w:t>性别：</w:t>
      </w:r>
      <w:r>
        <w:rPr>
          <w:rFonts w:hAnsi="宋体"/>
          <w:color w:val="auto"/>
          <w:sz w:val="24"/>
          <w:szCs w:val="24"/>
        </w:rPr>
        <w:t>________</w:t>
      </w:r>
    </w:p>
    <w:p w14:paraId="52AEF32C">
      <w:pPr>
        <w:pStyle w:val="18"/>
        <w:spacing w:line="400" w:lineRule="exact"/>
        <w:ind w:firstLine="480" w:firstLineChars="200"/>
        <w:jc w:val="left"/>
        <w:rPr>
          <w:rFonts w:hAnsi="宋体" w:cs="Times New Roman"/>
          <w:color w:val="auto"/>
          <w:sz w:val="24"/>
          <w:szCs w:val="24"/>
          <w:u w:val="single"/>
        </w:rPr>
      </w:pPr>
      <w:r>
        <w:rPr>
          <w:rFonts w:hint="eastAsia" w:hAnsi="宋体"/>
          <w:color w:val="auto"/>
          <w:sz w:val="24"/>
          <w:szCs w:val="24"/>
        </w:rPr>
        <w:t>联系地址：</w:t>
      </w:r>
      <w:r>
        <w:rPr>
          <w:rFonts w:hAnsi="宋体"/>
          <w:color w:val="auto"/>
          <w:sz w:val="24"/>
          <w:szCs w:val="24"/>
        </w:rPr>
        <w:t>________________</w:t>
      </w:r>
    </w:p>
    <w:p w14:paraId="056DA94F">
      <w:pPr>
        <w:pStyle w:val="18"/>
        <w:spacing w:line="400" w:lineRule="exact"/>
        <w:ind w:firstLine="480" w:firstLineChars="200"/>
        <w:jc w:val="left"/>
        <w:rPr>
          <w:rFonts w:hAnsi="宋体" w:cs="Times New Roman"/>
          <w:color w:val="auto"/>
          <w:sz w:val="24"/>
          <w:szCs w:val="24"/>
          <w:u w:val="single"/>
        </w:rPr>
      </w:pPr>
      <w:r>
        <w:rPr>
          <w:rFonts w:hint="eastAsia" w:hAnsi="宋体"/>
          <w:color w:val="auto"/>
          <w:sz w:val="24"/>
          <w:szCs w:val="24"/>
        </w:rPr>
        <w:t>联系电话：</w:t>
      </w:r>
      <w:r>
        <w:rPr>
          <w:rFonts w:hAnsi="宋体"/>
          <w:color w:val="auto"/>
          <w:sz w:val="24"/>
          <w:szCs w:val="24"/>
        </w:rPr>
        <w:t>________________</w:t>
      </w:r>
    </w:p>
    <w:p w14:paraId="0B39E9BD">
      <w:pPr>
        <w:pStyle w:val="18"/>
        <w:spacing w:line="400" w:lineRule="exact"/>
        <w:ind w:firstLine="480" w:firstLineChars="200"/>
        <w:jc w:val="left"/>
        <w:rPr>
          <w:rFonts w:hint="default" w:hAnsi="宋体" w:eastAsia="宋体"/>
          <w:color w:val="auto"/>
          <w:sz w:val="24"/>
          <w:szCs w:val="24"/>
          <w:lang w:val="en-US" w:eastAsia="zh-CN"/>
        </w:rPr>
      </w:pPr>
      <w:r>
        <w:rPr>
          <w:rFonts w:hint="eastAsia" w:hAnsi="宋体"/>
          <w:color w:val="auto"/>
          <w:sz w:val="24"/>
          <w:szCs w:val="24"/>
          <w:lang w:val="en-US" w:eastAsia="zh-CN"/>
        </w:rPr>
        <w:t>签发日期：</w:t>
      </w:r>
      <w:r>
        <w:rPr>
          <w:rFonts w:hint="eastAsia" w:hAnsi="宋体"/>
          <w:color w:val="auto"/>
          <w:sz w:val="24"/>
          <w:szCs w:val="24"/>
          <w:u w:val="single"/>
          <w:lang w:val="en-US" w:eastAsia="zh-CN"/>
        </w:rPr>
        <w:t xml:space="preserve">   </w:t>
      </w:r>
      <w:r>
        <w:rPr>
          <w:rFonts w:hint="eastAsia" w:hAnsi="宋体"/>
          <w:color w:val="auto"/>
          <w:sz w:val="24"/>
          <w:szCs w:val="24"/>
          <w:lang w:val="en-US" w:eastAsia="zh-CN"/>
        </w:rPr>
        <w:t>年</w:t>
      </w:r>
      <w:r>
        <w:rPr>
          <w:rFonts w:hint="eastAsia" w:hAnsi="宋体"/>
          <w:color w:val="auto"/>
          <w:sz w:val="24"/>
          <w:szCs w:val="24"/>
          <w:u w:val="single"/>
          <w:lang w:val="en-US" w:eastAsia="zh-CN"/>
        </w:rPr>
        <w:t xml:space="preserve">   </w:t>
      </w:r>
      <w:r>
        <w:rPr>
          <w:rFonts w:hint="eastAsia" w:hAnsi="宋体"/>
          <w:color w:val="auto"/>
          <w:sz w:val="24"/>
          <w:szCs w:val="24"/>
          <w:lang w:val="en-US" w:eastAsia="zh-CN"/>
        </w:rPr>
        <w:t>月</w:t>
      </w:r>
      <w:r>
        <w:rPr>
          <w:rFonts w:hint="eastAsia" w:hAnsi="宋体"/>
          <w:color w:val="auto"/>
          <w:sz w:val="24"/>
          <w:szCs w:val="24"/>
          <w:u w:val="single"/>
          <w:lang w:val="en-US" w:eastAsia="zh-CN"/>
        </w:rPr>
        <w:t xml:space="preserve">   </w:t>
      </w:r>
      <w:r>
        <w:rPr>
          <w:rFonts w:hint="eastAsia" w:hAnsi="宋体"/>
          <w:color w:val="auto"/>
          <w:sz w:val="24"/>
          <w:szCs w:val="24"/>
          <w:lang w:val="en-US" w:eastAsia="zh-CN"/>
        </w:rPr>
        <w:t>日</w:t>
      </w:r>
    </w:p>
    <w:p w14:paraId="78B79C5A">
      <w:pPr>
        <w:pStyle w:val="18"/>
        <w:spacing w:line="400" w:lineRule="exact"/>
        <w:ind w:firstLine="480" w:firstLineChars="200"/>
        <w:jc w:val="left"/>
        <w:rPr>
          <w:rFonts w:hAnsi="宋体" w:cs="Times New Roman"/>
          <w:color w:val="auto"/>
          <w:sz w:val="24"/>
          <w:szCs w:val="24"/>
        </w:rPr>
      </w:pPr>
      <w:r>
        <w:rPr>
          <w:rFonts w:hint="eastAsia" w:hAnsi="宋体"/>
          <w:color w:val="auto"/>
          <w:sz w:val="24"/>
          <w:szCs w:val="24"/>
        </w:rPr>
        <w:t>法定代表人及被授权人身份证复印件（注：身份证复印件须加盖企业公章）</w:t>
      </w:r>
    </w:p>
    <w:tbl>
      <w:tblPr>
        <w:tblStyle w:val="40"/>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3EF0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02C4B839">
            <w:pPr>
              <w:pStyle w:val="18"/>
              <w:keepNext w:val="0"/>
              <w:keepLines w:val="0"/>
              <w:suppressLineNumbers w:val="0"/>
              <w:spacing w:before="0" w:beforeAutospacing="0" w:after="0" w:afterAutospacing="0" w:line="500" w:lineRule="exact"/>
              <w:ind w:left="0" w:right="0"/>
              <w:jc w:val="left"/>
              <w:rPr>
                <w:rFonts w:hint="default" w:hAnsi="宋体" w:cs="Times New Roman"/>
                <w:color w:val="auto"/>
                <w:sz w:val="22"/>
                <w:szCs w:val="24"/>
                <w:shd w:val="pct10" w:color="auto" w:fill="FFFFFF"/>
              </w:rPr>
            </w:pPr>
            <w:r>
              <w:rPr>
                <w:rFonts w:hint="eastAsia" w:hAnsi="宋体"/>
                <w:color w:val="auto"/>
                <w:sz w:val="22"/>
                <w:szCs w:val="24"/>
                <w:shd w:val="pct10" w:color="auto" w:fill="FFFFFF"/>
              </w:rPr>
              <w:t>法定代表人身份证复印件（正面）</w:t>
            </w:r>
          </w:p>
        </w:tc>
        <w:tc>
          <w:tcPr>
            <w:tcW w:w="4531" w:type="dxa"/>
            <w:shd w:val="clear" w:color="auto" w:fill="D9D9D9"/>
            <w:vAlign w:val="center"/>
          </w:tcPr>
          <w:p w14:paraId="07D5D77F">
            <w:pPr>
              <w:pStyle w:val="18"/>
              <w:keepNext w:val="0"/>
              <w:keepLines w:val="0"/>
              <w:suppressLineNumbers w:val="0"/>
              <w:spacing w:before="0" w:beforeAutospacing="0" w:after="0" w:afterAutospacing="0" w:line="500" w:lineRule="exact"/>
              <w:ind w:left="0" w:right="0" w:firstLine="440" w:firstLineChars="200"/>
              <w:jc w:val="left"/>
              <w:rPr>
                <w:rFonts w:hint="default" w:hAnsi="宋体" w:cs="Times New Roman"/>
                <w:color w:val="auto"/>
                <w:sz w:val="22"/>
                <w:szCs w:val="24"/>
                <w:shd w:val="pct10" w:color="auto" w:fill="FFFFFF"/>
              </w:rPr>
            </w:pPr>
            <w:r>
              <w:rPr>
                <w:rFonts w:hint="eastAsia" w:hAnsi="宋体"/>
                <w:color w:val="auto"/>
                <w:sz w:val="22"/>
                <w:szCs w:val="24"/>
                <w:shd w:val="pct10" w:color="auto" w:fill="FFFFFF"/>
              </w:rPr>
              <w:t>被授权人身份证复印件（正面）</w:t>
            </w:r>
          </w:p>
        </w:tc>
      </w:tr>
      <w:tr w14:paraId="2B86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46741FB9">
            <w:pPr>
              <w:pStyle w:val="18"/>
              <w:keepNext w:val="0"/>
              <w:keepLines w:val="0"/>
              <w:suppressLineNumbers w:val="0"/>
              <w:spacing w:before="0" w:beforeAutospacing="0" w:after="0" w:afterAutospacing="0" w:line="500" w:lineRule="exact"/>
              <w:ind w:left="0" w:right="0"/>
              <w:jc w:val="left"/>
              <w:rPr>
                <w:rFonts w:hint="default" w:hAnsi="宋体" w:cs="Times New Roman"/>
                <w:color w:val="auto"/>
                <w:sz w:val="22"/>
                <w:szCs w:val="24"/>
                <w:shd w:val="pct10" w:color="auto" w:fill="FFFFFF"/>
              </w:rPr>
            </w:pPr>
            <w:r>
              <w:rPr>
                <w:rFonts w:hint="eastAsia" w:hAnsi="宋体"/>
                <w:color w:val="auto"/>
                <w:sz w:val="22"/>
                <w:szCs w:val="24"/>
                <w:shd w:val="pct10" w:color="auto" w:fill="FFFFFF"/>
              </w:rPr>
              <w:t>法定代表人身份证复印件（反面）</w:t>
            </w:r>
          </w:p>
        </w:tc>
        <w:tc>
          <w:tcPr>
            <w:tcW w:w="4531" w:type="dxa"/>
            <w:shd w:val="clear" w:color="auto" w:fill="D9D9D9"/>
            <w:vAlign w:val="center"/>
          </w:tcPr>
          <w:p w14:paraId="13DC2C6F">
            <w:pPr>
              <w:pStyle w:val="18"/>
              <w:keepNext w:val="0"/>
              <w:keepLines w:val="0"/>
              <w:suppressLineNumbers w:val="0"/>
              <w:spacing w:before="0" w:beforeAutospacing="0" w:after="0" w:afterAutospacing="0" w:line="500" w:lineRule="exact"/>
              <w:ind w:left="0" w:right="0" w:firstLine="440" w:firstLineChars="200"/>
              <w:jc w:val="left"/>
              <w:rPr>
                <w:rFonts w:hint="default" w:hAnsi="宋体" w:cs="Times New Roman"/>
                <w:color w:val="auto"/>
                <w:sz w:val="22"/>
                <w:szCs w:val="24"/>
                <w:shd w:val="pct10" w:color="auto" w:fill="FFFFFF"/>
              </w:rPr>
            </w:pPr>
            <w:r>
              <w:rPr>
                <w:rFonts w:hint="eastAsia" w:hAnsi="宋体"/>
                <w:color w:val="auto"/>
                <w:sz w:val="22"/>
                <w:szCs w:val="24"/>
                <w:shd w:val="pct10" w:color="auto" w:fill="FFFFFF"/>
              </w:rPr>
              <w:t>被授权人身份证复印件（反面）</w:t>
            </w:r>
          </w:p>
        </w:tc>
      </w:tr>
    </w:tbl>
    <w:p w14:paraId="08762037">
      <w:pPr>
        <w:pStyle w:val="18"/>
        <w:spacing w:line="500" w:lineRule="exact"/>
        <w:ind w:firstLine="480" w:firstLineChars="200"/>
        <w:jc w:val="left"/>
        <w:rPr>
          <w:rFonts w:hAnsi="宋体"/>
          <w:color w:val="auto"/>
          <w:sz w:val="24"/>
          <w:szCs w:val="24"/>
        </w:rPr>
      </w:pPr>
      <w:r>
        <w:rPr>
          <w:rFonts w:hint="eastAsia" w:hAnsi="宋体"/>
          <w:color w:val="auto"/>
          <w:sz w:val="24"/>
          <w:szCs w:val="24"/>
        </w:rPr>
        <w:t>说明：</w:t>
      </w:r>
    </w:p>
    <w:p w14:paraId="47DAA718">
      <w:pPr>
        <w:pStyle w:val="18"/>
        <w:spacing w:line="500" w:lineRule="exact"/>
        <w:ind w:firstLine="480" w:firstLineChars="200"/>
        <w:jc w:val="left"/>
        <w:rPr>
          <w:rFonts w:hAnsi="宋体"/>
          <w:color w:val="auto"/>
          <w:sz w:val="24"/>
          <w:szCs w:val="24"/>
        </w:rPr>
      </w:pPr>
      <w:r>
        <w:rPr>
          <w:rFonts w:hAnsi="宋体"/>
          <w:color w:val="auto"/>
          <w:sz w:val="24"/>
          <w:szCs w:val="24"/>
        </w:rPr>
        <w:t>1</w:t>
      </w:r>
      <w:r>
        <w:rPr>
          <w:rFonts w:hint="eastAsia" w:hAnsi="宋体"/>
          <w:color w:val="auto"/>
          <w:sz w:val="24"/>
          <w:szCs w:val="24"/>
        </w:rPr>
        <w:t>．本授权书有效期自招标大会之日计算不得少于</w:t>
      </w:r>
      <w:r>
        <w:rPr>
          <w:rFonts w:hAnsi="宋体"/>
          <w:color w:val="auto"/>
          <w:sz w:val="24"/>
          <w:szCs w:val="24"/>
        </w:rPr>
        <w:t>90</w:t>
      </w:r>
      <w:r>
        <w:rPr>
          <w:rFonts w:hint="eastAsia" w:hAnsi="宋体"/>
          <w:color w:val="auto"/>
          <w:sz w:val="24"/>
          <w:szCs w:val="24"/>
        </w:rPr>
        <w:t>日历日。</w:t>
      </w:r>
    </w:p>
    <w:p w14:paraId="440356BF">
      <w:pPr>
        <w:pStyle w:val="18"/>
        <w:spacing w:line="500" w:lineRule="exact"/>
        <w:ind w:firstLine="480" w:firstLineChars="200"/>
        <w:jc w:val="left"/>
        <w:rPr>
          <w:rFonts w:hAnsi="宋体"/>
          <w:b/>
          <w:bCs/>
          <w:color w:val="auto"/>
          <w:sz w:val="24"/>
          <w:szCs w:val="24"/>
        </w:rPr>
      </w:pPr>
      <w:r>
        <w:rPr>
          <w:rFonts w:hAnsi="宋体"/>
          <w:color w:val="auto"/>
          <w:sz w:val="24"/>
          <w:szCs w:val="24"/>
        </w:rPr>
        <w:t>2</w:t>
      </w:r>
      <w:r>
        <w:rPr>
          <w:rFonts w:hint="eastAsia" w:hAnsi="宋体"/>
          <w:color w:val="auto"/>
          <w:sz w:val="24"/>
          <w:szCs w:val="24"/>
        </w:rPr>
        <w:t>．授权书内容填写要明确，文字要工整清楚，涂改无效。</w:t>
      </w:r>
      <w:r>
        <w:rPr>
          <w:rFonts w:hint="eastAsia" w:hAnsi="宋体"/>
          <w:color w:val="auto"/>
        </w:rPr>
        <w:br w:type="page"/>
      </w:r>
    </w:p>
    <w:p w14:paraId="3D2D4D30">
      <w:pPr>
        <w:pStyle w:val="3"/>
        <w:jc w:val="center"/>
        <w:rPr>
          <w:rFonts w:hint="eastAsia" w:ascii="宋体" w:hAnsi="宋体" w:eastAsia="宋体" w:cs="宋体"/>
          <w:color w:val="auto"/>
        </w:rPr>
      </w:pPr>
      <w:bookmarkStart w:id="165" w:name="_Toc24284"/>
      <w:bookmarkStart w:id="166" w:name="_Toc7526"/>
      <w:bookmarkStart w:id="167" w:name="_Toc536429390"/>
      <w:bookmarkStart w:id="168" w:name="_Toc536202328"/>
      <w:bookmarkStart w:id="169" w:name="_Toc536202397"/>
      <w:bookmarkStart w:id="170" w:name="_Toc536429337"/>
      <w:bookmarkStart w:id="171" w:name="_Toc19543357"/>
      <w:r>
        <w:rPr>
          <w:rFonts w:hint="eastAsia" w:ascii="宋体" w:hAnsi="宋体" w:eastAsia="宋体" w:cs="宋体"/>
          <w:color w:val="auto"/>
        </w:rPr>
        <w:t>无重大违法记录声明</w:t>
      </w:r>
      <w:bookmarkEnd w:id="165"/>
    </w:p>
    <w:p w14:paraId="471A1BE7">
      <w:pPr>
        <w:snapToGrid w:val="0"/>
        <w:spacing w:line="480" w:lineRule="auto"/>
        <w:ind w:firstLine="480" w:firstLineChars="200"/>
        <w:jc w:val="left"/>
        <w:rPr>
          <w:rFonts w:hint="eastAsia" w:ascii="宋体" w:hAnsi="宋体" w:eastAsia="宋体" w:cs="宋体"/>
          <w:color w:val="auto"/>
          <w:kern w:val="0"/>
          <w:sz w:val="24"/>
          <w:szCs w:val="24"/>
        </w:rPr>
      </w:pPr>
    </w:p>
    <w:p w14:paraId="216C380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我单位参与安康尚昊招标代理有限公司组织的</w:t>
      </w:r>
      <w:r>
        <w:rPr>
          <w:rFonts w:hint="eastAsia" w:ascii="宋体" w:hAnsi="宋体" w:eastAsia="宋体" w:cs="宋体"/>
          <w:color w:val="auto"/>
          <w:sz w:val="24"/>
          <w:szCs w:val="24"/>
          <w:u w:val="single"/>
        </w:rPr>
        <w:t xml:space="preserve">     （项目名称）（项目编号）    </w:t>
      </w:r>
      <w:r>
        <w:rPr>
          <w:rFonts w:hint="eastAsia" w:ascii="宋体" w:hAnsi="宋体" w:eastAsia="宋体" w:cs="宋体"/>
          <w:color w:val="auto"/>
          <w:sz w:val="24"/>
          <w:szCs w:val="24"/>
          <w:lang w:eastAsia="zh-CN"/>
        </w:rPr>
        <w:t>竞争性</w:t>
      </w:r>
      <w:r>
        <w:rPr>
          <w:rFonts w:hint="eastAsia" w:ascii="宋体" w:hAnsi="宋体" w:cs="宋体"/>
          <w:color w:val="auto"/>
          <w:sz w:val="24"/>
          <w:szCs w:val="24"/>
          <w:lang w:val="en-US" w:eastAsia="zh-CN"/>
        </w:rPr>
        <w:t>磋商采购活动</w:t>
      </w:r>
      <w:r>
        <w:rPr>
          <w:rFonts w:hint="eastAsia" w:ascii="宋体" w:hAnsi="宋体" w:eastAsia="宋体" w:cs="宋体"/>
          <w:color w:val="auto"/>
          <w:sz w:val="24"/>
          <w:szCs w:val="24"/>
        </w:rPr>
        <w:t>，我单位郑重声明：我方参加本项目招标工作前三年内无重大违法活动记录，符合《中华人民共和国政府采购法》规定的供应商资格条件，我方对此声明负全部法律责任。</w:t>
      </w:r>
    </w:p>
    <w:p w14:paraId="6445F516">
      <w:pPr>
        <w:spacing w:line="360" w:lineRule="auto"/>
        <w:rPr>
          <w:rFonts w:hint="eastAsia" w:ascii="宋体" w:hAnsi="宋体" w:eastAsia="宋体" w:cs="宋体"/>
          <w:color w:val="auto"/>
          <w:sz w:val="24"/>
          <w:szCs w:val="24"/>
        </w:rPr>
      </w:pPr>
    </w:p>
    <w:p w14:paraId="129527D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337EB69">
      <w:pPr>
        <w:spacing w:line="360" w:lineRule="auto"/>
        <w:rPr>
          <w:rFonts w:hint="eastAsia" w:ascii="宋体" w:hAnsi="宋体" w:eastAsia="宋体" w:cs="宋体"/>
          <w:color w:val="auto"/>
          <w:sz w:val="24"/>
          <w:szCs w:val="24"/>
        </w:rPr>
      </w:pPr>
    </w:p>
    <w:p w14:paraId="6392E13C">
      <w:pPr>
        <w:spacing w:line="360" w:lineRule="auto"/>
        <w:rPr>
          <w:rFonts w:hint="eastAsia" w:ascii="宋体" w:hAnsi="宋体" w:eastAsia="宋体" w:cs="宋体"/>
          <w:color w:val="auto"/>
          <w:sz w:val="24"/>
          <w:szCs w:val="24"/>
        </w:rPr>
      </w:pPr>
    </w:p>
    <w:p w14:paraId="5EFEC173">
      <w:pPr>
        <w:spacing w:line="360" w:lineRule="auto"/>
        <w:rPr>
          <w:rFonts w:hint="eastAsia" w:ascii="宋体" w:hAnsi="宋体" w:eastAsia="宋体" w:cs="宋体"/>
          <w:color w:val="auto"/>
          <w:sz w:val="24"/>
          <w:szCs w:val="24"/>
          <w:lang w:eastAsia="zh-CN"/>
        </w:rPr>
      </w:pPr>
    </w:p>
    <w:p w14:paraId="08943A0E">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w:t>
      </w:r>
      <w:r>
        <w:rPr>
          <w:rFonts w:hint="eastAsia" w:ascii="宋体" w:hAnsi="宋体" w:cs="宋体"/>
          <w:color w:val="auto"/>
          <w:sz w:val="24"/>
          <w:szCs w:val="24"/>
          <w:u w:val="single"/>
          <w:lang w:val="en-US" w:eastAsia="zh-CN"/>
        </w:rPr>
        <w:t xml:space="preserve">                   </w:t>
      </w:r>
    </w:p>
    <w:p w14:paraId="0C4B8B6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cs="宋体"/>
          <w:color w:val="auto"/>
          <w:sz w:val="24"/>
          <w:szCs w:val="24"/>
          <w:u w:val="single"/>
          <w:lang w:val="en-US" w:eastAsia="zh-CN"/>
        </w:rPr>
        <w:t xml:space="preserve">                   </w:t>
      </w:r>
    </w:p>
    <w:p w14:paraId="695D1BB4">
      <w:pPr>
        <w:adjustRightInd w:val="0"/>
        <w:snapToGrid w:val="0"/>
        <w:spacing w:line="360" w:lineRule="auto"/>
        <w:rPr>
          <w:color w:val="auto"/>
        </w:rPr>
        <w:sectPr>
          <w:headerReference r:id="rId15" w:type="first"/>
          <w:footerReference r:id="rId17" w:type="first"/>
          <w:headerReference r:id="rId14" w:type="default"/>
          <w:footerReference r:id="rId16" w:type="default"/>
          <w:pgSz w:w="11906" w:h="16838"/>
          <w:pgMar w:top="1417" w:right="1417" w:bottom="1417" w:left="1417" w:header="1134" w:footer="992" w:gutter="0"/>
          <w:pgBorders>
            <w:top w:val="none" w:sz="0" w:space="0"/>
            <w:left w:val="none" w:sz="0" w:space="0"/>
            <w:bottom w:val="none" w:sz="0" w:space="0"/>
            <w:right w:val="none" w:sz="0" w:space="0"/>
          </w:pgBorders>
          <w:pgNumType w:fmt="decimal"/>
          <w:cols w:space="0" w:num="1"/>
          <w:titlePg/>
          <w:docGrid w:type="lines" w:linePitch="326" w:charSpace="0"/>
        </w:sectPr>
      </w:pPr>
      <w:r>
        <w:rPr>
          <w:rFonts w:hint="eastAsia" w:ascii="宋体" w:hAnsi="宋体" w:eastAsia="宋体" w:cs="宋体"/>
          <w:color w:val="auto"/>
          <w:sz w:val="24"/>
          <w:szCs w:val="24"/>
        </w:rPr>
        <w:t>日    期：</w:t>
      </w:r>
      <w:r>
        <w:rPr>
          <w:rFonts w:hint="eastAsia" w:ascii="宋体" w:hAnsi="宋体" w:cs="宋体"/>
          <w:color w:val="auto"/>
          <w:sz w:val="24"/>
          <w:szCs w:val="24"/>
          <w:u w:val="single"/>
          <w:lang w:val="en-US" w:eastAsia="zh-CN"/>
        </w:rPr>
        <w:t xml:space="preserve">                   </w:t>
      </w:r>
    </w:p>
    <w:p w14:paraId="149FB120">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投标人非联合体投标声明</w:t>
      </w:r>
    </w:p>
    <w:p w14:paraId="479D4833">
      <w:pPr>
        <w:adjustRightInd w:val="0"/>
        <w:snapToGrid w:val="0"/>
        <w:spacing w:line="360" w:lineRule="auto"/>
        <w:rPr>
          <w:rFonts w:ascii="仿宋" w:hAnsi="仿宋" w:eastAsia="仿宋" w:cs="黑体"/>
          <w:bCs/>
          <w:color w:val="auto"/>
          <w:sz w:val="28"/>
          <w:szCs w:val="28"/>
        </w:rPr>
      </w:pPr>
    </w:p>
    <w:p w14:paraId="1AFAD58F">
      <w:pPr>
        <w:adjustRightInd w:val="0"/>
        <w:snapToGrid w:val="0"/>
        <w:spacing w:line="408" w:lineRule="auto"/>
        <w:rPr>
          <w:rFonts w:ascii="宋体" w:hAnsi="宋体" w:cs="宋体"/>
          <w:bCs/>
          <w:color w:val="auto"/>
          <w:sz w:val="24"/>
          <w:szCs w:val="24"/>
        </w:rPr>
      </w:pPr>
      <w:r>
        <w:rPr>
          <w:rFonts w:hint="eastAsia" w:ascii="宋体" w:hAnsi="宋体" w:cs="宋体"/>
          <w:color w:val="auto"/>
          <w:sz w:val="24"/>
          <w:szCs w:val="24"/>
        </w:rPr>
        <w:t>安康尚昊招标代理有限公司</w:t>
      </w:r>
      <w:r>
        <w:rPr>
          <w:rFonts w:hint="eastAsia" w:ascii="宋体" w:hAnsi="宋体" w:cs="宋体"/>
          <w:bCs/>
          <w:color w:val="auto"/>
          <w:sz w:val="24"/>
          <w:szCs w:val="24"/>
        </w:rPr>
        <w:t>：</w:t>
      </w:r>
    </w:p>
    <w:p w14:paraId="0DC64912">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我方愿响应贵方</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年</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月</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日发布的</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项目（项目编号：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）招标内容，参与投标，提供采购人需求中规定的全部内容。本公司就参加投标工作，作出郑重声明：</w:t>
      </w:r>
    </w:p>
    <w:p w14:paraId="41DDC500">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1.本公司保证在本项目投标中不与其他单位围标、串标，不出让投标资格，不向采购人、采购代理机构和评标委员会成员行贿。</w:t>
      </w:r>
    </w:p>
    <w:p w14:paraId="64F2AACA">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2.本公司保证本项目并非联合体投标，本项目服务由本公司独立承担。</w:t>
      </w:r>
    </w:p>
    <w:p w14:paraId="0563EEA0">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本公司违反上述保证，或本声明陈述与事实不符，经查实，我方自行承担一切后果及法律责任</w:t>
      </w:r>
      <w:r>
        <w:rPr>
          <w:rFonts w:hint="eastAsia" w:ascii="宋体" w:hAnsi="宋体" w:cs="宋体"/>
          <w:bCs/>
          <w:color w:val="auto"/>
          <w:sz w:val="24"/>
          <w:szCs w:val="24"/>
          <w:lang w:eastAsia="zh-CN"/>
        </w:rPr>
        <w:t>。</w:t>
      </w:r>
    </w:p>
    <w:p w14:paraId="1E35049E">
      <w:pPr>
        <w:adjustRightInd w:val="0"/>
        <w:snapToGrid w:val="0"/>
        <w:spacing w:line="408" w:lineRule="auto"/>
        <w:ind w:firstLine="480"/>
        <w:rPr>
          <w:rFonts w:ascii="宋体" w:hAnsi="宋体" w:cs="宋体"/>
          <w:bCs/>
          <w:color w:val="auto"/>
          <w:sz w:val="24"/>
          <w:szCs w:val="24"/>
        </w:rPr>
      </w:pPr>
      <w:r>
        <w:rPr>
          <w:rFonts w:hint="eastAsia" w:ascii="宋体" w:hAnsi="宋体" w:cs="宋体"/>
          <w:bCs/>
          <w:color w:val="auto"/>
          <w:sz w:val="24"/>
          <w:szCs w:val="24"/>
        </w:rPr>
        <w:t>特此声明。</w:t>
      </w:r>
    </w:p>
    <w:p w14:paraId="412BA115">
      <w:pPr>
        <w:pStyle w:val="31"/>
        <w:ind w:firstLine="480"/>
        <w:rPr>
          <w:color w:val="auto"/>
        </w:rPr>
      </w:pPr>
    </w:p>
    <w:p w14:paraId="5A2BEFE7">
      <w:pPr>
        <w:spacing w:line="360" w:lineRule="auto"/>
        <w:rPr>
          <w:rFonts w:ascii="宋体"/>
          <w:color w:val="auto"/>
          <w:sz w:val="24"/>
          <w:szCs w:val="24"/>
          <w:u w:val="single"/>
        </w:rPr>
      </w:pPr>
      <w:r>
        <w:rPr>
          <w:rFonts w:hint="eastAsia" w:ascii="宋体" w:hAnsi="宋体" w:cs="宋体"/>
          <w:color w:val="auto"/>
          <w:sz w:val="24"/>
          <w:szCs w:val="24"/>
        </w:rPr>
        <w:t>供应商（单位名称及公章）：</w:t>
      </w:r>
      <w:r>
        <w:rPr>
          <w:rFonts w:ascii="宋体" w:hAnsi="宋体" w:cs="宋体"/>
          <w:color w:val="auto"/>
          <w:sz w:val="24"/>
          <w:szCs w:val="24"/>
        </w:rPr>
        <w:t>____________________</w:t>
      </w:r>
    </w:p>
    <w:p w14:paraId="03BA3B2C">
      <w:pPr>
        <w:adjustRightInd w:val="0"/>
        <w:snapToGrid w:val="0"/>
        <w:spacing w:line="360" w:lineRule="auto"/>
        <w:rPr>
          <w:rFonts w:ascii="宋体"/>
          <w:color w:val="auto"/>
          <w:sz w:val="24"/>
          <w:szCs w:val="24"/>
        </w:rPr>
      </w:pPr>
      <w:r>
        <w:rPr>
          <w:rFonts w:hint="eastAsia" w:ascii="宋体" w:hAnsi="宋体" w:cs="宋体"/>
          <w:color w:val="auto"/>
          <w:sz w:val="24"/>
          <w:szCs w:val="24"/>
        </w:rPr>
        <w:t>法定代表人或被授权人（</w:t>
      </w:r>
      <w:r>
        <w:rPr>
          <w:rFonts w:hint="eastAsia" w:ascii="宋体" w:hAnsi="宋体" w:cs="宋体"/>
          <w:color w:val="auto"/>
          <w:sz w:val="24"/>
          <w:szCs w:val="24"/>
          <w:lang w:val="zh-CN"/>
        </w:rPr>
        <w:t>签字</w:t>
      </w:r>
      <w:r>
        <w:rPr>
          <w:rFonts w:hint="eastAsia" w:ascii="宋体" w:hAnsi="宋体" w:cs="宋体"/>
          <w:color w:val="auto"/>
          <w:sz w:val="24"/>
          <w:szCs w:val="24"/>
        </w:rPr>
        <w:t>或盖章）：</w:t>
      </w:r>
      <w:r>
        <w:rPr>
          <w:rFonts w:ascii="宋体" w:hAnsi="宋体" w:cs="宋体"/>
          <w:color w:val="auto"/>
          <w:sz w:val="24"/>
          <w:szCs w:val="24"/>
        </w:rPr>
        <w:t>____________________</w:t>
      </w:r>
    </w:p>
    <w:p w14:paraId="3CA329FE">
      <w:pPr>
        <w:adjustRightInd w:val="0"/>
        <w:snapToGrid w:val="0"/>
        <w:spacing w:line="360" w:lineRule="auto"/>
        <w:rPr>
          <w:color w:val="auto"/>
        </w:rPr>
        <w:sectPr>
          <w:pgSz w:w="11906" w:h="16838"/>
          <w:pgMar w:top="1417" w:right="1417" w:bottom="1417" w:left="1417" w:header="1134" w:footer="992" w:gutter="0"/>
          <w:pgBorders>
            <w:top w:val="none" w:sz="0" w:space="0"/>
            <w:left w:val="none" w:sz="0" w:space="0"/>
            <w:bottom w:val="none" w:sz="0" w:space="0"/>
            <w:right w:val="none" w:sz="0" w:space="0"/>
          </w:pgBorders>
          <w:pgNumType w:fmt="decimal"/>
          <w:cols w:space="0" w:num="1"/>
          <w:titlePg/>
          <w:docGrid w:type="lines" w:linePitch="326" w:charSpace="0"/>
        </w:sect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________</w:t>
      </w:r>
      <w:r>
        <w:rPr>
          <w:rFonts w:hint="eastAsia" w:ascii="宋体" w:hAnsi="宋体" w:cs="宋体"/>
          <w:color w:val="auto"/>
          <w:sz w:val="24"/>
          <w:szCs w:val="24"/>
        </w:rPr>
        <w:t>年</w:t>
      </w:r>
      <w:r>
        <w:rPr>
          <w:rFonts w:ascii="宋体" w:hAnsi="宋体" w:cs="宋体"/>
          <w:color w:val="auto"/>
          <w:sz w:val="24"/>
          <w:szCs w:val="24"/>
        </w:rPr>
        <w:t>________</w:t>
      </w:r>
      <w:r>
        <w:rPr>
          <w:rFonts w:hint="eastAsia" w:ascii="宋体" w:hAnsi="宋体" w:cs="宋体"/>
          <w:color w:val="auto"/>
          <w:sz w:val="24"/>
          <w:szCs w:val="24"/>
        </w:rPr>
        <w:t>月</w:t>
      </w:r>
      <w:r>
        <w:rPr>
          <w:rFonts w:ascii="宋体" w:hAnsi="宋体" w:cs="宋体"/>
          <w:color w:val="auto"/>
          <w:sz w:val="24"/>
          <w:szCs w:val="24"/>
        </w:rPr>
        <w:t>________</w:t>
      </w:r>
      <w:r>
        <w:rPr>
          <w:rFonts w:hint="eastAsia" w:ascii="宋体" w:hAnsi="宋体" w:cs="宋体"/>
          <w:color w:val="auto"/>
          <w:sz w:val="24"/>
          <w:szCs w:val="24"/>
        </w:rPr>
        <w:t>日</w:t>
      </w:r>
    </w:p>
    <w:p w14:paraId="08109110">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中小企业声明函（</w:t>
      </w:r>
      <w:r>
        <w:rPr>
          <w:rFonts w:hint="eastAsia" w:ascii="宋体" w:hAnsi="宋体" w:cs="宋体"/>
          <w:b/>
          <w:bCs/>
          <w:color w:val="auto"/>
          <w:sz w:val="28"/>
          <w:szCs w:val="28"/>
          <w:lang w:val="en-US" w:eastAsia="zh-CN"/>
        </w:rPr>
        <w:t>货物</w:t>
      </w:r>
      <w:r>
        <w:rPr>
          <w:rFonts w:hint="eastAsia" w:ascii="宋体" w:hAnsi="宋体" w:cs="宋体"/>
          <w:b/>
          <w:bCs/>
          <w:color w:val="auto"/>
          <w:sz w:val="28"/>
          <w:szCs w:val="28"/>
        </w:rPr>
        <w:t>）</w:t>
      </w:r>
    </w:p>
    <w:p w14:paraId="7C50C49B">
      <w:pPr>
        <w:adjustRightInd w:val="0"/>
        <w:snapToGrid w:val="0"/>
        <w:spacing w:line="360" w:lineRule="auto"/>
        <w:jc w:val="center"/>
        <w:rPr>
          <w:rFonts w:ascii="仿宋" w:hAnsi="仿宋" w:eastAsia="仿宋" w:cs="黑体"/>
          <w:bCs/>
          <w:color w:val="auto"/>
          <w:sz w:val="28"/>
          <w:szCs w:val="28"/>
        </w:rPr>
      </w:pPr>
    </w:p>
    <w:p w14:paraId="7DB1B0DD">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本公司郑重声明，根据《政府采购促进中小企业发展管理办法》（财库[2020]46 号）的规定，本公司参加</w:t>
      </w:r>
      <w:r>
        <w:rPr>
          <w:rFonts w:hint="eastAsia" w:ascii="宋体" w:hAnsi="宋体" w:cs="宋体"/>
          <w:bCs/>
          <w:color w:val="auto"/>
          <w:sz w:val="24"/>
          <w:szCs w:val="24"/>
          <w:u w:val="single"/>
        </w:rPr>
        <w:t>（单位名称）</w:t>
      </w:r>
      <w:r>
        <w:rPr>
          <w:rFonts w:hint="eastAsia" w:ascii="宋体" w:hAnsi="宋体" w:cs="宋体"/>
          <w:bCs/>
          <w:color w:val="auto"/>
          <w:sz w:val="24"/>
          <w:szCs w:val="24"/>
        </w:rPr>
        <w:t>的</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u w:val="single"/>
        </w:rPr>
        <w:t>项目名称：（项目编号：）</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lang w:val="en-US" w:eastAsia="zh-CN"/>
        </w:rPr>
        <w:t>包号：</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采购活动，提供的货物全部由符合政策要求的中小企业制造。相关企业的具体情况如下：</w:t>
      </w:r>
    </w:p>
    <w:p w14:paraId="36A0B207">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u w:val="single"/>
        </w:rPr>
        <w:t>（标的名称）</w:t>
      </w:r>
      <w:r>
        <w:rPr>
          <w:rFonts w:hint="eastAsia" w:ascii="宋体" w:hAnsi="宋体" w:cs="宋体"/>
          <w:bCs/>
          <w:color w:val="auto"/>
          <w:sz w:val="24"/>
          <w:szCs w:val="24"/>
        </w:rPr>
        <w:t>，属于</w:t>
      </w:r>
      <w:r>
        <w:rPr>
          <w:rFonts w:hint="eastAsia" w:ascii="宋体" w:hAnsi="宋体" w:cs="宋体"/>
          <w:bCs/>
          <w:color w:val="auto"/>
          <w:sz w:val="24"/>
          <w:szCs w:val="24"/>
          <w:u w:val="single"/>
        </w:rPr>
        <w:t>（采购文件中明确的所属行业）行业</w:t>
      </w:r>
      <w:r>
        <w:rPr>
          <w:rFonts w:hint="eastAsia" w:ascii="宋体" w:hAnsi="宋体" w:cs="宋体"/>
          <w:bCs/>
          <w:color w:val="auto"/>
          <w:sz w:val="24"/>
          <w:szCs w:val="24"/>
        </w:rPr>
        <w:t>；制造商为</w:t>
      </w:r>
      <w:r>
        <w:rPr>
          <w:rFonts w:hint="eastAsia" w:ascii="宋体" w:hAnsi="宋体" w:cs="宋体"/>
          <w:bCs/>
          <w:color w:val="auto"/>
          <w:sz w:val="24"/>
          <w:szCs w:val="24"/>
          <w:u w:val="single"/>
        </w:rPr>
        <w:t>（企业名称）</w:t>
      </w:r>
      <w:r>
        <w:rPr>
          <w:rFonts w:hint="eastAsia" w:ascii="宋体" w:hAnsi="宋体" w:cs="宋体"/>
          <w:bCs/>
          <w:color w:val="auto"/>
          <w:sz w:val="24"/>
          <w:szCs w:val="24"/>
        </w:rPr>
        <w:t>，从业人员</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人，营业收入为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万元，资产总额为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万元，属于</w:t>
      </w:r>
      <w:r>
        <w:rPr>
          <w:rFonts w:hint="eastAsia" w:ascii="宋体" w:hAnsi="宋体" w:cs="宋体"/>
          <w:bCs/>
          <w:color w:val="auto"/>
          <w:sz w:val="24"/>
          <w:szCs w:val="24"/>
          <w:u w:val="single"/>
        </w:rPr>
        <w:t>（中型企业、小型企业、微型企业）</w:t>
      </w:r>
      <w:r>
        <w:rPr>
          <w:rFonts w:hint="eastAsia" w:ascii="宋体" w:hAnsi="宋体" w:cs="宋体"/>
          <w:bCs/>
          <w:color w:val="auto"/>
          <w:sz w:val="24"/>
          <w:szCs w:val="24"/>
        </w:rPr>
        <w:t>；</w:t>
      </w:r>
    </w:p>
    <w:p w14:paraId="67B931E8">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u w:val="single"/>
        </w:rPr>
        <w:t>（标的名称）</w:t>
      </w:r>
      <w:r>
        <w:rPr>
          <w:rFonts w:hint="eastAsia" w:ascii="宋体" w:hAnsi="宋体" w:cs="宋体"/>
          <w:bCs/>
          <w:color w:val="auto"/>
          <w:sz w:val="24"/>
          <w:szCs w:val="24"/>
        </w:rPr>
        <w:t>，属于</w:t>
      </w:r>
      <w:r>
        <w:rPr>
          <w:rFonts w:hint="eastAsia" w:ascii="宋体" w:hAnsi="宋体" w:cs="宋体"/>
          <w:bCs/>
          <w:color w:val="auto"/>
          <w:sz w:val="24"/>
          <w:szCs w:val="24"/>
          <w:u w:val="single"/>
        </w:rPr>
        <w:t>（采购文件中明确的所属行业）行业</w:t>
      </w:r>
      <w:r>
        <w:rPr>
          <w:rFonts w:hint="eastAsia" w:ascii="宋体" w:hAnsi="宋体" w:cs="宋体"/>
          <w:bCs/>
          <w:color w:val="auto"/>
          <w:sz w:val="24"/>
          <w:szCs w:val="24"/>
        </w:rPr>
        <w:t>；制造商为</w:t>
      </w:r>
      <w:r>
        <w:rPr>
          <w:rFonts w:hint="eastAsia" w:ascii="宋体" w:hAnsi="宋体" w:cs="宋体"/>
          <w:bCs/>
          <w:color w:val="auto"/>
          <w:sz w:val="24"/>
          <w:szCs w:val="24"/>
          <w:u w:val="single"/>
        </w:rPr>
        <w:t>（企业名称）</w:t>
      </w:r>
      <w:r>
        <w:rPr>
          <w:rFonts w:hint="eastAsia" w:ascii="宋体" w:hAnsi="宋体" w:cs="宋体"/>
          <w:bCs/>
          <w:color w:val="auto"/>
          <w:sz w:val="24"/>
          <w:szCs w:val="24"/>
        </w:rPr>
        <w:t>，从业人员</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人，营业收入为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万元，资产总额为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万元，属于</w:t>
      </w:r>
      <w:r>
        <w:rPr>
          <w:rFonts w:hint="eastAsia" w:ascii="宋体" w:hAnsi="宋体" w:cs="宋体"/>
          <w:bCs/>
          <w:color w:val="auto"/>
          <w:sz w:val="24"/>
          <w:szCs w:val="24"/>
          <w:u w:val="single"/>
        </w:rPr>
        <w:t>（中型企业、小型企业、微型企业）</w:t>
      </w:r>
      <w:r>
        <w:rPr>
          <w:rFonts w:hint="eastAsia" w:ascii="宋体" w:hAnsi="宋体" w:cs="宋体"/>
          <w:bCs/>
          <w:color w:val="auto"/>
          <w:sz w:val="24"/>
          <w:szCs w:val="24"/>
        </w:rPr>
        <w:t>；</w:t>
      </w:r>
    </w:p>
    <w:p w14:paraId="10AC0FF2">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p>
    <w:p w14:paraId="6ED18EE9">
      <w:pPr>
        <w:wordWrap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以上企业，不属于大企业的分支机构，不存在控股股东为大企业的情形，也不存在与大企业的负责人为同一人的情形。</w:t>
      </w:r>
    </w:p>
    <w:p w14:paraId="1091C5B3">
      <w:pPr>
        <w:wordWrap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本企业对上述声明内容的真实性负责。如有虚假，将依法承担相应责任。</w:t>
      </w:r>
    </w:p>
    <w:p w14:paraId="7AE95E83">
      <w:pPr>
        <w:wordWrap w:val="0"/>
        <w:snapToGrid w:val="0"/>
        <w:spacing w:line="360" w:lineRule="auto"/>
        <w:ind w:firstLine="480" w:firstLineChars="200"/>
        <w:rPr>
          <w:rFonts w:hint="eastAsia" w:ascii="宋体" w:hAnsi="宋体" w:eastAsia="宋体" w:cs="宋体"/>
          <w:bCs/>
          <w:color w:val="auto"/>
          <w:sz w:val="24"/>
          <w:szCs w:val="24"/>
        </w:rPr>
      </w:pPr>
    </w:p>
    <w:p w14:paraId="37903E1F">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44B10EBD">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7AC6222B">
      <w:pPr>
        <w:pStyle w:val="114"/>
        <w:rPr>
          <w:rFonts w:hint="eastAsia"/>
          <w:color w:val="auto"/>
          <w:lang w:val="en-US" w:eastAsia="zh-CN"/>
        </w:rPr>
      </w:pPr>
    </w:p>
    <w:p w14:paraId="6E634D69">
      <w:pPr>
        <w:autoSpaceDE w:val="0"/>
        <w:autoSpaceDN w:val="0"/>
        <w:adjustRightInd w:val="0"/>
        <w:spacing w:line="600" w:lineRule="auto"/>
        <w:rPr>
          <w:rFonts w:ascii="宋体" w:hAnsi="宋体" w:cs="宋体"/>
          <w:color w:val="auto"/>
          <w:sz w:val="24"/>
          <w:szCs w:val="24"/>
          <w:u w:val="single"/>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529CB349">
      <w:pPr>
        <w:keepNext/>
        <w:keepLines/>
        <w:spacing w:line="415" w:lineRule="auto"/>
        <w:jc w:val="center"/>
        <w:outlineLvl w:val="1"/>
        <w:rPr>
          <w:rFonts w:ascii="Calibri Light" w:hAnsi="Calibri Light" w:cs="Times New Roman"/>
          <w:b/>
          <w:bCs/>
          <w:color w:val="auto"/>
          <w:sz w:val="32"/>
          <w:szCs w:val="32"/>
        </w:rPr>
        <w:sectPr>
          <w:footerReference r:id="rId19" w:type="first"/>
          <w:footerReference r:id="rId18" w:type="default"/>
          <w:pgSz w:w="11906" w:h="16838"/>
          <w:pgMar w:top="1417" w:right="1417" w:bottom="1417" w:left="1417" w:header="1134" w:footer="992" w:gutter="0"/>
          <w:pgBorders>
            <w:top w:val="none" w:sz="0" w:space="0"/>
            <w:left w:val="none" w:sz="0" w:space="0"/>
            <w:bottom w:val="none" w:sz="0" w:space="0"/>
            <w:right w:val="none" w:sz="0" w:space="0"/>
          </w:pgBorders>
          <w:pgNumType w:fmt="decimal"/>
          <w:cols w:space="0" w:num="1"/>
          <w:titlePg/>
          <w:docGrid w:type="lines" w:linePitch="326" w:charSpace="0"/>
        </w:sectPr>
      </w:pPr>
    </w:p>
    <w:p w14:paraId="0FB85AEA">
      <w:pPr>
        <w:pStyle w:val="3"/>
        <w:numPr>
          <w:ilvl w:val="0"/>
          <w:numId w:val="0"/>
        </w:numPr>
        <w:jc w:val="center"/>
        <w:rPr>
          <w:rFonts w:hint="eastAsia" w:ascii="Calibri Light" w:hAnsi="Calibri Light" w:cs="Times New Roman"/>
          <w:b/>
          <w:bCs/>
          <w:color w:val="auto"/>
          <w:sz w:val="32"/>
          <w:szCs w:val="32"/>
          <w:lang w:eastAsia="zh-CN"/>
        </w:rPr>
      </w:pPr>
      <w:bookmarkStart w:id="172" w:name="_Toc19543354"/>
      <w:r>
        <w:rPr>
          <w:rFonts w:hint="eastAsia" w:ascii="Calibri Light" w:hAnsi="Calibri Light" w:cs="Times New Roman"/>
          <w:b/>
          <w:bCs/>
          <w:color w:val="auto"/>
          <w:sz w:val="32"/>
          <w:szCs w:val="32"/>
          <w:lang w:val="en-US" w:eastAsia="zh-CN"/>
        </w:rPr>
        <w:t xml:space="preserve">第四章 </w:t>
      </w:r>
      <w:r>
        <w:rPr>
          <w:rFonts w:hint="eastAsia" w:ascii="Calibri Light" w:hAnsi="Calibri Light" w:cs="Times New Roman"/>
          <w:b/>
          <w:bCs/>
          <w:color w:val="auto"/>
          <w:sz w:val="32"/>
          <w:szCs w:val="32"/>
        </w:rPr>
        <w:t xml:space="preserve"> </w:t>
      </w:r>
      <w:bookmarkEnd w:id="172"/>
      <w:bookmarkStart w:id="173" w:name="OLE_LINK28"/>
      <w:r>
        <w:rPr>
          <w:rFonts w:hint="eastAsia" w:ascii="Calibri Light" w:hAnsi="Calibri Light" w:cs="Times New Roman"/>
          <w:b/>
          <w:bCs/>
          <w:color w:val="auto"/>
          <w:sz w:val="32"/>
          <w:szCs w:val="32"/>
          <w:lang w:val="en-US" w:eastAsia="zh-CN"/>
        </w:rPr>
        <w:t>技术</w:t>
      </w:r>
      <w:r>
        <w:rPr>
          <w:rFonts w:hint="eastAsia" w:ascii="Calibri Light" w:hAnsi="Calibri Light" w:cs="Times New Roman"/>
          <w:b/>
          <w:bCs/>
          <w:color w:val="auto"/>
          <w:sz w:val="32"/>
          <w:szCs w:val="32"/>
          <w:lang w:eastAsia="zh-CN"/>
        </w:rPr>
        <w:t>商务偏离表</w:t>
      </w:r>
      <w:bookmarkEnd w:id="173"/>
    </w:p>
    <w:p w14:paraId="39FCAE42">
      <w:pPr>
        <w:pStyle w:val="3"/>
        <w:spacing w:before="0" w:after="0"/>
        <w:ind w:firstLine="422" w:firstLineChars="150"/>
        <w:jc w:val="center"/>
        <w:rPr>
          <w:color w:val="auto"/>
          <w:sz w:val="28"/>
          <w:szCs w:val="28"/>
        </w:rPr>
      </w:pPr>
      <w:r>
        <w:rPr>
          <w:rFonts w:hint="eastAsia"/>
          <w:color w:val="auto"/>
          <w:sz w:val="28"/>
          <w:szCs w:val="28"/>
        </w:rPr>
        <w:t>技术偏离表</w:t>
      </w:r>
    </w:p>
    <w:tbl>
      <w:tblPr>
        <w:tblStyle w:val="40"/>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1E6E1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57BFBDB7">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序号</w:t>
            </w:r>
          </w:p>
        </w:tc>
        <w:tc>
          <w:tcPr>
            <w:tcW w:w="2050" w:type="dxa"/>
            <w:vAlign w:val="center"/>
          </w:tcPr>
          <w:p w14:paraId="714D5DFC">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招标文件技术要求</w:t>
            </w:r>
          </w:p>
        </w:tc>
        <w:tc>
          <w:tcPr>
            <w:tcW w:w="3934" w:type="dxa"/>
            <w:vAlign w:val="center"/>
          </w:tcPr>
          <w:p w14:paraId="330686D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lang w:val="en-US" w:eastAsia="zh-CN"/>
              </w:rPr>
            </w:pPr>
            <w:r>
              <w:rPr>
                <w:rFonts w:hint="eastAsia" w:ascii="宋体" w:hAnsi="宋体" w:cs="宋体"/>
                <w:b/>
                <w:color w:val="auto"/>
                <w:szCs w:val="21"/>
              </w:rPr>
              <w:t>投标文件技术参数</w:t>
            </w:r>
            <w:r>
              <w:rPr>
                <w:rFonts w:hint="eastAsia" w:ascii="宋体" w:hAnsi="宋体" w:cs="宋体"/>
                <w:b/>
                <w:color w:val="auto"/>
                <w:szCs w:val="21"/>
                <w:lang w:val="en-US" w:eastAsia="zh-CN"/>
              </w:rPr>
              <w:t>应答</w:t>
            </w:r>
          </w:p>
        </w:tc>
        <w:tc>
          <w:tcPr>
            <w:tcW w:w="1583" w:type="dxa"/>
            <w:vAlign w:val="center"/>
          </w:tcPr>
          <w:p w14:paraId="119947B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eastAsia" w:ascii="宋体" w:hAnsi="宋体" w:cs="宋体"/>
                <w:b/>
                <w:color w:val="auto"/>
                <w:szCs w:val="21"/>
                <w:lang w:val="en-US" w:eastAsia="zh-CN"/>
              </w:rPr>
              <w:t>响应/偏离</w:t>
            </w:r>
          </w:p>
        </w:tc>
        <w:tc>
          <w:tcPr>
            <w:tcW w:w="1369" w:type="dxa"/>
            <w:vAlign w:val="center"/>
          </w:tcPr>
          <w:p w14:paraId="11D73082">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偏离简述</w:t>
            </w:r>
          </w:p>
        </w:tc>
      </w:tr>
      <w:tr w14:paraId="4CE3D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3AE70D6C">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1</w:t>
            </w:r>
          </w:p>
        </w:tc>
        <w:tc>
          <w:tcPr>
            <w:tcW w:w="2050" w:type="dxa"/>
          </w:tcPr>
          <w:p w14:paraId="4A8DD82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0C81078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023C7CD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4F196F08">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6F590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A9C2019">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2</w:t>
            </w:r>
          </w:p>
        </w:tc>
        <w:tc>
          <w:tcPr>
            <w:tcW w:w="2050" w:type="dxa"/>
          </w:tcPr>
          <w:p w14:paraId="3AA1C85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42D5E27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6F3D2EF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6AB4B7CB">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0AE54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3CEC954E">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3</w:t>
            </w:r>
          </w:p>
        </w:tc>
        <w:tc>
          <w:tcPr>
            <w:tcW w:w="2050" w:type="dxa"/>
          </w:tcPr>
          <w:p w14:paraId="3E1CDA8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2CCBDD9B">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0A9D29B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690A20E0">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4668E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FF134C4">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4</w:t>
            </w:r>
          </w:p>
        </w:tc>
        <w:tc>
          <w:tcPr>
            <w:tcW w:w="2050" w:type="dxa"/>
          </w:tcPr>
          <w:p w14:paraId="5BF2F9C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506071F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2A6ACFB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1F8FE372">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018E6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6E6705D">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w:t>
            </w:r>
          </w:p>
        </w:tc>
        <w:tc>
          <w:tcPr>
            <w:tcW w:w="2050" w:type="dxa"/>
          </w:tcPr>
          <w:p w14:paraId="549F93C1">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36A62FB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391106A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6D85E113">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1385ABEB">
      <w:pPr>
        <w:pStyle w:val="3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20" w:lineRule="exact"/>
        <w:ind w:left="0" w:right="0" w:firstLine="480" w:firstLineChars="200"/>
        <w:jc w:val="left"/>
        <w:textAlignment w:val="auto"/>
        <w:rPr>
          <w:rFonts w:hint="eastAsia" w:ascii="宋体" w:hAnsi="宋体" w:cs="仿宋"/>
          <w:color w:val="auto"/>
          <w:sz w:val="24"/>
          <w:szCs w:val="24"/>
          <w:lang w:val="en-US"/>
        </w:rPr>
      </w:pPr>
      <w:r>
        <w:rPr>
          <w:rFonts w:hint="eastAsia" w:ascii="宋体" w:hAnsi="宋体" w:cs="仿宋"/>
          <w:color w:val="auto"/>
          <w:sz w:val="24"/>
          <w:szCs w:val="24"/>
        </w:rPr>
        <w:t>注：</w:t>
      </w:r>
      <w:r>
        <w:rPr>
          <w:rFonts w:hint="eastAsia" w:ascii="宋体" w:hAnsi="宋体" w:cs="仿宋"/>
          <w:color w:val="auto"/>
          <w:sz w:val="24"/>
          <w:szCs w:val="24"/>
          <w:lang w:val="en-US" w:eastAsia="zh-CN"/>
        </w:rPr>
        <w:t>1.如有漏报、瞒报竞争性</w:t>
      </w:r>
      <w:r>
        <w:rPr>
          <w:rFonts w:hint="eastAsia" w:cs="仿宋"/>
          <w:color w:val="auto"/>
          <w:sz w:val="24"/>
          <w:szCs w:val="24"/>
          <w:lang w:val="en-US" w:eastAsia="zh-CN"/>
        </w:rPr>
        <w:t>磋商</w:t>
      </w:r>
      <w:r>
        <w:rPr>
          <w:rFonts w:hint="eastAsia" w:ascii="宋体" w:hAnsi="宋体" w:cs="仿宋"/>
          <w:color w:val="auto"/>
          <w:sz w:val="24"/>
          <w:szCs w:val="24"/>
          <w:lang w:val="en-US" w:eastAsia="zh-CN"/>
        </w:rPr>
        <w:t>文件所要求的性能指标等，将视为没有实质性响应。竞争性</w:t>
      </w:r>
      <w:r>
        <w:rPr>
          <w:rFonts w:hint="eastAsia" w:cs="仿宋"/>
          <w:color w:val="auto"/>
          <w:sz w:val="24"/>
          <w:szCs w:val="24"/>
          <w:lang w:val="en-US" w:eastAsia="zh-CN"/>
        </w:rPr>
        <w:t>磋商</w:t>
      </w:r>
      <w:r>
        <w:rPr>
          <w:rFonts w:hint="eastAsia" w:ascii="宋体" w:hAnsi="宋体" w:cs="仿宋"/>
          <w:color w:val="auto"/>
          <w:sz w:val="24"/>
          <w:szCs w:val="24"/>
          <w:lang w:val="en-US" w:eastAsia="zh-CN"/>
        </w:rPr>
        <w:t>文件第五部分采购内容及技术要求中技术参数必须逐条响应，技术偏离表各项内容不得复制粘贴竞争性</w:t>
      </w:r>
      <w:r>
        <w:rPr>
          <w:rFonts w:hint="eastAsia" w:cs="仿宋"/>
          <w:color w:val="auto"/>
          <w:sz w:val="24"/>
          <w:szCs w:val="24"/>
          <w:lang w:val="en-US" w:eastAsia="zh-CN"/>
        </w:rPr>
        <w:t>磋商</w:t>
      </w:r>
      <w:r>
        <w:rPr>
          <w:rFonts w:hint="eastAsia" w:ascii="宋体" w:hAnsi="宋体" w:cs="仿宋"/>
          <w:color w:val="auto"/>
          <w:sz w:val="24"/>
          <w:szCs w:val="24"/>
          <w:lang w:val="en-US" w:eastAsia="zh-CN"/>
        </w:rPr>
        <w:t>文件技术参数要求，否则视为无效投标；</w:t>
      </w:r>
    </w:p>
    <w:p w14:paraId="7856DB14">
      <w:pPr>
        <w:pStyle w:val="3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20" w:lineRule="exact"/>
        <w:ind w:left="0" w:right="0" w:firstLine="0" w:firstLineChars="0"/>
        <w:jc w:val="left"/>
        <w:textAlignment w:val="auto"/>
        <w:rPr>
          <w:rFonts w:hint="eastAsia" w:ascii="宋体" w:hAnsi="宋体" w:eastAsia="宋体" w:cs="Times New Roman"/>
          <w:b/>
          <w:bCs/>
          <w:color w:val="auto"/>
          <w:kern w:val="2"/>
          <w:sz w:val="24"/>
          <w:szCs w:val="24"/>
          <w:lang w:val="en-US" w:eastAsia="zh-CN" w:bidi="ar-SA"/>
        </w:rPr>
      </w:pPr>
      <w:r>
        <w:rPr>
          <w:rFonts w:hint="eastAsia" w:ascii="宋体" w:hAnsi="宋体" w:cs="仿宋"/>
          <w:color w:val="auto"/>
          <w:sz w:val="24"/>
          <w:szCs w:val="24"/>
          <w:lang w:val="en-US" w:eastAsia="zh-CN"/>
        </w:rPr>
        <w:t>2.“投标文件响应条款”必须与投标文件中提供的证明材料的响应情况相一致。若在评审环节发现该项与响应文件证明材料的响应情况不一致，供应商自行承担因证明材料不全或不一致被视为技术参数偏离的风险。</w:t>
      </w:r>
    </w:p>
    <w:p w14:paraId="7F1EAB5C">
      <w:pPr>
        <w:keepNext w:val="0"/>
        <w:keepLines w:val="0"/>
        <w:pageBreakBefore w:val="0"/>
        <w:widowControl/>
        <w:suppressLineNumbers w:val="0"/>
        <w:kinsoku/>
        <w:wordWrap/>
        <w:overflowPunct/>
        <w:topLinePunct w:val="0"/>
        <w:autoSpaceDE/>
        <w:autoSpaceDN/>
        <w:bidi w:val="0"/>
        <w:snapToGrid/>
        <w:spacing w:line="520" w:lineRule="exact"/>
        <w:ind w:firstLine="480" w:firstLineChars="200"/>
        <w:jc w:val="left"/>
        <w:textAlignment w:val="auto"/>
        <w:rPr>
          <w:rFonts w:hint="eastAsia" w:ascii="宋体" w:hAnsi="宋体" w:eastAsia="宋体" w:cs="Times New Roman"/>
          <w:color w:val="auto"/>
          <w:kern w:val="2"/>
          <w:sz w:val="24"/>
          <w:szCs w:val="24"/>
          <w:lang w:val="zh-CN" w:eastAsia="zh-CN" w:bidi="ar-SA"/>
        </w:rPr>
      </w:pPr>
    </w:p>
    <w:p w14:paraId="001D95F4">
      <w:pPr>
        <w:pStyle w:val="26"/>
        <w:rPr>
          <w:color w:val="auto"/>
        </w:rPr>
      </w:pPr>
    </w:p>
    <w:p w14:paraId="70824FEC">
      <w:pPr>
        <w:jc w:val="center"/>
        <w:rPr>
          <w:rFonts w:ascii="宋体" w:hAnsi="宋体"/>
          <w:b/>
          <w:color w:val="auto"/>
          <w:sz w:val="24"/>
          <w:szCs w:val="24"/>
        </w:rPr>
      </w:pPr>
    </w:p>
    <w:p w14:paraId="6A728989">
      <w:pPr>
        <w:jc w:val="center"/>
        <w:rPr>
          <w:rFonts w:ascii="宋体" w:hAnsi="宋体"/>
          <w:b/>
          <w:color w:val="auto"/>
          <w:sz w:val="24"/>
          <w:szCs w:val="24"/>
        </w:rPr>
      </w:pPr>
    </w:p>
    <w:p w14:paraId="132D85FD">
      <w:pPr>
        <w:spacing w:line="360" w:lineRule="auto"/>
        <w:rPr>
          <w:rFonts w:ascii="宋体"/>
          <w:color w:val="auto"/>
          <w:sz w:val="24"/>
          <w:szCs w:val="24"/>
          <w:u w:val="single"/>
        </w:rPr>
      </w:pP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 xml:space="preserve"> </w:t>
      </w:r>
      <w:r>
        <w:rPr>
          <w:rFonts w:hint="eastAsia" w:ascii="宋体" w:hAnsi="宋体" w:cs="宋体"/>
          <w:color w:val="auto"/>
          <w:sz w:val="24"/>
          <w:szCs w:val="24"/>
        </w:rPr>
        <w:t>供应商（单位名称及公章）：</w:t>
      </w:r>
      <w:r>
        <w:rPr>
          <w:rFonts w:ascii="宋体" w:hAnsi="宋体" w:cs="宋体"/>
          <w:color w:val="auto"/>
          <w:sz w:val="24"/>
          <w:szCs w:val="24"/>
        </w:rPr>
        <w:t>____________________</w:t>
      </w:r>
    </w:p>
    <w:p w14:paraId="7F58DC75">
      <w:pPr>
        <w:adjustRightInd w:val="0"/>
        <w:snapToGrid w:val="0"/>
        <w:spacing w:line="360" w:lineRule="auto"/>
        <w:ind w:firstLine="240" w:firstLineChars="100"/>
        <w:rPr>
          <w:rFonts w:ascii="宋体"/>
          <w:color w:val="auto"/>
          <w:sz w:val="24"/>
          <w:szCs w:val="24"/>
        </w:rPr>
      </w:pPr>
      <w:r>
        <w:rPr>
          <w:rFonts w:hint="eastAsia" w:ascii="宋体" w:hAnsi="宋体" w:cs="宋体"/>
          <w:color w:val="auto"/>
          <w:sz w:val="24"/>
          <w:szCs w:val="24"/>
        </w:rPr>
        <w:t>法定代表人或被授权人（</w:t>
      </w:r>
      <w:r>
        <w:rPr>
          <w:rFonts w:hint="eastAsia" w:ascii="宋体" w:hAnsi="宋体" w:cs="宋体"/>
          <w:color w:val="auto"/>
          <w:sz w:val="24"/>
          <w:szCs w:val="24"/>
          <w:lang w:val="zh-CN"/>
        </w:rPr>
        <w:t>签字</w:t>
      </w:r>
      <w:r>
        <w:rPr>
          <w:rFonts w:hint="eastAsia" w:ascii="宋体" w:hAnsi="宋体" w:cs="宋体"/>
          <w:color w:val="auto"/>
          <w:sz w:val="24"/>
          <w:szCs w:val="24"/>
        </w:rPr>
        <w:t>或盖章）：</w:t>
      </w:r>
      <w:r>
        <w:rPr>
          <w:rFonts w:ascii="宋体" w:hAnsi="宋体" w:cs="宋体"/>
          <w:color w:val="auto"/>
          <w:sz w:val="24"/>
          <w:szCs w:val="24"/>
        </w:rPr>
        <w:t>____________________</w:t>
      </w:r>
    </w:p>
    <w:p w14:paraId="13B4BC5E">
      <w:pPr>
        <w:numPr>
          <w:ilvl w:val="0"/>
          <w:numId w:val="0"/>
        </w:numPr>
        <w:ind w:firstLine="240" w:firstLineChars="100"/>
        <w:rPr>
          <w:rFonts w:hint="eastAsia"/>
          <w:color w:val="auto"/>
          <w:lang w:eastAsia="zh-CN"/>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________</w:t>
      </w:r>
      <w:r>
        <w:rPr>
          <w:rFonts w:hint="eastAsia" w:ascii="宋体" w:hAnsi="宋体" w:cs="宋体"/>
          <w:color w:val="auto"/>
          <w:sz w:val="24"/>
          <w:szCs w:val="24"/>
        </w:rPr>
        <w:t>年</w:t>
      </w:r>
      <w:r>
        <w:rPr>
          <w:rFonts w:ascii="宋体" w:hAnsi="宋体" w:cs="宋体"/>
          <w:color w:val="auto"/>
          <w:sz w:val="24"/>
          <w:szCs w:val="24"/>
        </w:rPr>
        <w:t>________</w:t>
      </w:r>
      <w:r>
        <w:rPr>
          <w:rFonts w:hint="eastAsia" w:ascii="宋体" w:hAnsi="宋体" w:cs="宋体"/>
          <w:color w:val="auto"/>
          <w:sz w:val="24"/>
          <w:szCs w:val="24"/>
        </w:rPr>
        <w:t>月</w:t>
      </w:r>
      <w:r>
        <w:rPr>
          <w:rFonts w:ascii="宋体" w:hAnsi="宋体" w:cs="宋体"/>
          <w:color w:val="auto"/>
          <w:sz w:val="24"/>
          <w:szCs w:val="24"/>
        </w:rPr>
        <w:t>________</w:t>
      </w:r>
      <w:r>
        <w:rPr>
          <w:rFonts w:hint="eastAsia" w:ascii="宋体" w:hAnsi="宋体" w:cs="宋体"/>
          <w:color w:val="auto"/>
          <w:sz w:val="24"/>
          <w:szCs w:val="24"/>
        </w:rPr>
        <w:t>日</w:t>
      </w:r>
    </w:p>
    <w:p w14:paraId="722BD4DF">
      <w:pPr>
        <w:rPr>
          <w:rFonts w:hint="eastAsia"/>
          <w:color w:val="auto"/>
          <w:lang w:eastAsia="zh-CN"/>
        </w:rPr>
      </w:pPr>
    </w:p>
    <w:p w14:paraId="76DC15C6">
      <w:pPr>
        <w:numPr>
          <w:ilvl w:val="0"/>
          <w:numId w:val="0"/>
        </w:numPr>
        <w:jc w:val="center"/>
        <w:rPr>
          <w:rFonts w:hint="eastAsia" w:ascii="Arial" w:hAnsi="Arial" w:eastAsia="宋体" w:cs="Arial"/>
          <w:b/>
          <w:bCs/>
          <w:color w:val="auto"/>
          <w:kern w:val="2"/>
          <w:sz w:val="24"/>
          <w:szCs w:val="24"/>
          <w:lang w:val="en-US" w:eastAsia="zh-CN" w:bidi="ar-SA"/>
        </w:rPr>
      </w:pPr>
    </w:p>
    <w:p w14:paraId="7E56EC98">
      <w:pPr>
        <w:numPr>
          <w:ilvl w:val="0"/>
          <w:numId w:val="0"/>
        </w:numPr>
        <w:jc w:val="center"/>
        <w:rPr>
          <w:rFonts w:hint="eastAsia" w:ascii="Arial" w:hAnsi="Arial" w:eastAsia="宋体" w:cs="Arial"/>
          <w:b/>
          <w:bCs/>
          <w:color w:val="auto"/>
          <w:kern w:val="2"/>
          <w:sz w:val="24"/>
          <w:szCs w:val="24"/>
          <w:lang w:val="en-US" w:eastAsia="zh-CN" w:bidi="ar-SA"/>
        </w:rPr>
      </w:pPr>
    </w:p>
    <w:p w14:paraId="2DEE89FB">
      <w:pPr>
        <w:numPr>
          <w:ilvl w:val="0"/>
          <w:numId w:val="0"/>
        </w:numPr>
        <w:jc w:val="center"/>
        <w:rPr>
          <w:rFonts w:hint="eastAsia" w:ascii="Arial" w:hAnsi="Arial" w:eastAsia="宋体" w:cs="Arial"/>
          <w:b/>
          <w:bCs/>
          <w:color w:val="auto"/>
          <w:kern w:val="2"/>
          <w:sz w:val="24"/>
          <w:szCs w:val="24"/>
          <w:lang w:val="en-US" w:eastAsia="zh-CN" w:bidi="ar-SA"/>
        </w:rPr>
      </w:pPr>
    </w:p>
    <w:p w14:paraId="5575D653">
      <w:pPr>
        <w:numPr>
          <w:ilvl w:val="0"/>
          <w:numId w:val="0"/>
        </w:numPr>
        <w:jc w:val="center"/>
        <w:rPr>
          <w:rFonts w:hint="eastAsia" w:ascii="Arial" w:hAnsi="Arial" w:eastAsia="宋体" w:cs="Arial"/>
          <w:b/>
          <w:bCs/>
          <w:color w:val="auto"/>
          <w:kern w:val="2"/>
          <w:sz w:val="24"/>
          <w:szCs w:val="24"/>
          <w:lang w:val="en-US" w:eastAsia="zh-CN" w:bidi="ar-SA"/>
        </w:rPr>
      </w:pPr>
    </w:p>
    <w:p w14:paraId="56DC4788">
      <w:pPr>
        <w:numPr>
          <w:ilvl w:val="0"/>
          <w:numId w:val="0"/>
        </w:numPr>
        <w:jc w:val="center"/>
        <w:rPr>
          <w:rFonts w:hint="eastAsia" w:ascii="Arial" w:hAnsi="Arial" w:eastAsia="宋体" w:cs="Arial"/>
          <w:b/>
          <w:bCs/>
          <w:color w:val="auto"/>
          <w:kern w:val="2"/>
          <w:sz w:val="24"/>
          <w:szCs w:val="24"/>
          <w:lang w:val="en-US" w:eastAsia="zh-CN" w:bidi="ar-SA"/>
        </w:rPr>
      </w:pPr>
    </w:p>
    <w:p w14:paraId="02C80047">
      <w:pPr>
        <w:numPr>
          <w:ilvl w:val="0"/>
          <w:numId w:val="0"/>
        </w:numPr>
        <w:jc w:val="center"/>
        <w:rPr>
          <w:rFonts w:hint="eastAsia" w:ascii="Arial" w:hAnsi="Arial" w:eastAsia="宋体" w:cs="Arial"/>
          <w:b/>
          <w:bCs/>
          <w:color w:val="auto"/>
          <w:kern w:val="2"/>
          <w:sz w:val="24"/>
          <w:szCs w:val="24"/>
          <w:lang w:val="en-US" w:eastAsia="zh-CN" w:bidi="ar-SA"/>
        </w:rPr>
      </w:pPr>
    </w:p>
    <w:p w14:paraId="59BD0A95">
      <w:pPr>
        <w:numPr>
          <w:ilvl w:val="0"/>
          <w:numId w:val="0"/>
        </w:numPr>
        <w:jc w:val="center"/>
        <w:rPr>
          <w:rFonts w:hint="eastAsia" w:ascii="Arial" w:hAnsi="Arial" w:eastAsia="宋体" w:cs="Arial"/>
          <w:b/>
          <w:bCs/>
          <w:color w:val="auto"/>
          <w:kern w:val="2"/>
          <w:sz w:val="24"/>
          <w:szCs w:val="24"/>
          <w:lang w:val="en-US" w:eastAsia="zh-CN" w:bidi="ar-SA"/>
        </w:rPr>
      </w:pPr>
    </w:p>
    <w:p w14:paraId="12F346CB">
      <w:pPr>
        <w:numPr>
          <w:ilvl w:val="0"/>
          <w:numId w:val="0"/>
        </w:numPr>
        <w:jc w:val="center"/>
        <w:rPr>
          <w:rFonts w:hint="eastAsia" w:ascii="Arial" w:hAnsi="Arial" w:cs="Arial"/>
          <w:b/>
          <w:bCs/>
          <w:color w:val="auto"/>
          <w:kern w:val="2"/>
          <w:sz w:val="24"/>
          <w:szCs w:val="24"/>
          <w:lang w:val="en-US" w:eastAsia="zh-CN" w:bidi="ar-SA"/>
        </w:rPr>
      </w:pPr>
    </w:p>
    <w:p w14:paraId="4BF56B7C">
      <w:pPr>
        <w:numPr>
          <w:ilvl w:val="0"/>
          <w:numId w:val="0"/>
        </w:numPr>
        <w:jc w:val="center"/>
        <w:rPr>
          <w:rFonts w:hint="eastAsia" w:ascii="Arial" w:hAnsi="Arial" w:eastAsia="宋体" w:cs="Arial"/>
          <w:b/>
          <w:bCs/>
          <w:color w:val="auto"/>
          <w:kern w:val="2"/>
          <w:sz w:val="28"/>
          <w:szCs w:val="28"/>
          <w:lang w:val="en-US" w:eastAsia="zh-CN" w:bidi="ar-SA"/>
        </w:rPr>
      </w:pPr>
      <w:r>
        <w:rPr>
          <w:rFonts w:hint="eastAsia" w:ascii="Arial" w:hAnsi="Arial" w:eastAsia="宋体" w:cs="Arial"/>
          <w:b/>
          <w:bCs/>
          <w:color w:val="auto"/>
          <w:kern w:val="2"/>
          <w:sz w:val="28"/>
          <w:szCs w:val="28"/>
          <w:lang w:val="en-US" w:eastAsia="zh-CN" w:bidi="ar-SA"/>
        </w:rPr>
        <w:t>商务偏离表</w:t>
      </w:r>
    </w:p>
    <w:p w14:paraId="41F72526">
      <w:pPr>
        <w:numPr>
          <w:ilvl w:val="0"/>
          <w:numId w:val="0"/>
        </w:numPr>
        <w:jc w:val="center"/>
        <w:rPr>
          <w:rFonts w:hint="default" w:ascii="Arial" w:hAnsi="Arial" w:cs="Arial"/>
          <w:b/>
          <w:bCs/>
          <w:color w:val="auto"/>
          <w:kern w:val="2"/>
          <w:sz w:val="24"/>
          <w:szCs w:val="24"/>
          <w:lang w:val="en-US" w:eastAsia="zh-CN" w:bidi="ar-SA"/>
        </w:rPr>
      </w:pPr>
    </w:p>
    <w:tbl>
      <w:tblPr>
        <w:tblStyle w:val="40"/>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4B42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375AD8C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lang w:val="en-US" w:eastAsia="zh-CN"/>
              </w:rPr>
            </w:pPr>
            <w:r>
              <w:rPr>
                <w:rFonts w:hint="default"/>
                <w:color w:val="auto"/>
              </w:rPr>
              <w:br w:type="page"/>
            </w:r>
            <w:r>
              <w:rPr>
                <w:rFonts w:hint="eastAsia" w:ascii="宋体" w:hAnsi="宋体" w:eastAsia="宋体" w:cs="宋体"/>
                <w:b/>
                <w:color w:val="auto"/>
                <w:szCs w:val="21"/>
                <w:lang w:val="en-US" w:eastAsia="zh-CN"/>
              </w:rPr>
              <w:t>序号</w:t>
            </w:r>
          </w:p>
        </w:tc>
        <w:tc>
          <w:tcPr>
            <w:tcW w:w="2835" w:type="dxa"/>
            <w:vAlign w:val="center"/>
          </w:tcPr>
          <w:p w14:paraId="3F8368C1">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cs="宋体"/>
                <w:b/>
                <w:color w:val="auto"/>
                <w:szCs w:val="21"/>
                <w:lang w:eastAsia="zh-CN"/>
              </w:rPr>
              <w:t>磋商文件</w:t>
            </w:r>
            <w:r>
              <w:rPr>
                <w:rFonts w:hint="eastAsia" w:ascii="宋体" w:hAnsi="宋体" w:eastAsia="宋体" w:cs="宋体"/>
                <w:b/>
                <w:color w:val="auto"/>
                <w:szCs w:val="21"/>
              </w:rPr>
              <w:t>商务要求</w:t>
            </w:r>
          </w:p>
        </w:tc>
        <w:tc>
          <w:tcPr>
            <w:tcW w:w="2552" w:type="dxa"/>
            <w:vAlign w:val="center"/>
          </w:tcPr>
          <w:p w14:paraId="43E23661">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cs="宋体"/>
                <w:b/>
                <w:color w:val="auto"/>
                <w:szCs w:val="21"/>
                <w:lang w:eastAsia="zh-CN"/>
              </w:rPr>
              <w:t>响应文件</w:t>
            </w:r>
            <w:r>
              <w:rPr>
                <w:rFonts w:hint="eastAsia" w:ascii="宋体" w:hAnsi="宋体" w:eastAsia="宋体" w:cs="宋体"/>
                <w:b/>
                <w:color w:val="auto"/>
                <w:szCs w:val="21"/>
              </w:rPr>
              <w:t>商务应答</w:t>
            </w:r>
          </w:p>
        </w:tc>
        <w:tc>
          <w:tcPr>
            <w:tcW w:w="1516" w:type="dxa"/>
            <w:vAlign w:val="center"/>
          </w:tcPr>
          <w:p w14:paraId="284866A9">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4"/>
                <w:szCs w:val="24"/>
                <w:lang w:val="en-US" w:eastAsia="zh-CN"/>
              </w:rPr>
            </w:pPr>
            <w:r>
              <w:rPr>
                <w:rFonts w:hint="eastAsia" w:ascii="宋体" w:hAnsi="宋体" w:eastAsia="宋体" w:cs="宋体"/>
                <w:b/>
                <w:color w:val="auto"/>
                <w:szCs w:val="21"/>
                <w:lang w:val="en-US" w:eastAsia="zh-CN"/>
              </w:rPr>
              <w:t>响应/偏离</w:t>
            </w:r>
          </w:p>
        </w:tc>
        <w:tc>
          <w:tcPr>
            <w:tcW w:w="1516" w:type="dxa"/>
            <w:vAlign w:val="center"/>
          </w:tcPr>
          <w:p w14:paraId="2A97E35F">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偏离简述</w:t>
            </w:r>
          </w:p>
        </w:tc>
      </w:tr>
      <w:tr w14:paraId="3541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A1C714A">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1</w:t>
            </w:r>
          </w:p>
        </w:tc>
        <w:tc>
          <w:tcPr>
            <w:tcW w:w="2835" w:type="dxa"/>
            <w:vAlign w:val="center"/>
          </w:tcPr>
          <w:p w14:paraId="65189C40">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5F0E0D47">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2EF09333">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2FC39D6D">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4111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A6B9299">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2</w:t>
            </w:r>
          </w:p>
        </w:tc>
        <w:tc>
          <w:tcPr>
            <w:tcW w:w="2835" w:type="dxa"/>
            <w:vAlign w:val="center"/>
          </w:tcPr>
          <w:p w14:paraId="63649DCD">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6A18DF75">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4917B87F">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5D00C2B2">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675F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EE9F769">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3</w:t>
            </w:r>
          </w:p>
        </w:tc>
        <w:tc>
          <w:tcPr>
            <w:tcW w:w="2835" w:type="dxa"/>
            <w:vAlign w:val="center"/>
          </w:tcPr>
          <w:p w14:paraId="31F281BC">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24CC7D6C">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A2AC91A">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66B81FDE">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4BB0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CFFA42C">
            <w:pPr>
              <w:keepNext w:val="0"/>
              <w:keepLines w:val="0"/>
              <w:suppressLineNumbers w:val="0"/>
              <w:wordWrap w:val="0"/>
              <w:spacing w:before="0" w:beforeAutospacing="0" w:after="0" w:afterAutospacing="0"/>
              <w:ind w:left="0" w:right="0"/>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w:t>
            </w:r>
          </w:p>
        </w:tc>
        <w:tc>
          <w:tcPr>
            <w:tcW w:w="2835" w:type="dxa"/>
            <w:vAlign w:val="center"/>
          </w:tcPr>
          <w:p w14:paraId="4BA485D2">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5A09BB90">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5FB3BE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57DE5015">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bl>
    <w:p w14:paraId="63E044A6">
      <w:pPr>
        <w:spacing w:line="360" w:lineRule="auto"/>
        <w:ind w:firstLine="480" w:firstLineChars="200"/>
        <w:rPr>
          <w:b w:val="0"/>
          <w:bCs w:val="0"/>
          <w:color w:val="auto"/>
          <w:sz w:val="24"/>
          <w:szCs w:val="24"/>
        </w:rPr>
      </w:pPr>
      <w:r>
        <w:rPr>
          <w:rFonts w:hint="eastAsia" w:ascii="宋体" w:hAnsi="宋体"/>
          <w:b w:val="0"/>
          <w:bCs w:val="0"/>
          <w:color w:val="auto"/>
          <w:sz w:val="24"/>
          <w:szCs w:val="24"/>
        </w:rPr>
        <w:t>注：对</w:t>
      </w:r>
      <w:r>
        <w:rPr>
          <w:rFonts w:hint="eastAsia" w:ascii="宋体" w:hAnsi="宋体"/>
          <w:b w:val="0"/>
          <w:bCs w:val="0"/>
          <w:color w:val="auto"/>
          <w:sz w:val="24"/>
          <w:szCs w:val="24"/>
          <w:lang w:eastAsia="zh-CN"/>
        </w:rPr>
        <w:t>磋商文件</w:t>
      </w:r>
      <w:r>
        <w:rPr>
          <w:rFonts w:hint="eastAsia" w:ascii="宋体" w:hAnsi="宋体"/>
          <w:b w:val="0"/>
          <w:bCs w:val="0"/>
          <w:color w:val="auto"/>
          <w:sz w:val="24"/>
          <w:szCs w:val="24"/>
        </w:rPr>
        <w:t>中要求的商务条款逐条响应并详细说明。</w:t>
      </w:r>
    </w:p>
    <w:p w14:paraId="5C42B219">
      <w:pPr>
        <w:rPr>
          <w:color w:val="auto"/>
          <w:sz w:val="24"/>
          <w:szCs w:val="24"/>
        </w:rPr>
      </w:pPr>
    </w:p>
    <w:p w14:paraId="74D85CD8">
      <w:pPr>
        <w:spacing w:line="360" w:lineRule="auto"/>
        <w:ind w:firstLine="420" w:firstLineChars="175"/>
        <w:rPr>
          <w:rFonts w:ascii="宋体" w:hAnsi="宋体"/>
          <w:color w:val="auto"/>
          <w:sz w:val="24"/>
          <w:szCs w:val="24"/>
        </w:rPr>
      </w:pPr>
      <w:r>
        <w:rPr>
          <w:rFonts w:ascii="宋体" w:hAnsi="宋体"/>
          <w:color w:val="auto"/>
          <w:sz w:val="24"/>
          <w:szCs w:val="24"/>
        </w:rPr>
        <w:t xml:space="preserve">    </w:t>
      </w:r>
    </w:p>
    <w:p w14:paraId="7C9117F4">
      <w:pPr>
        <w:spacing w:line="360" w:lineRule="auto"/>
        <w:ind w:firstLine="420" w:firstLineChars="175"/>
        <w:rPr>
          <w:rFonts w:hint="eastAsia" w:ascii="宋体" w:hAnsi="宋体" w:cs="Times New Roman"/>
          <w:b/>
          <w:bCs/>
          <w:color w:val="auto"/>
          <w:sz w:val="24"/>
          <w:szCs w:val="24"/>
        </w:rPr>
      </w:pPr>
      <w:r>
        <w:rPr>
          <w:rFonts w:hint="eastAsia" w:ascii="宋体" w:hAnsi="宋体"/>
          <w:color w:val="auto"/>
          <w:sz w:val="24"/>
          <w:szCs w:val="24"/>
        </w:rPr>
        <w:t xml:space="preserve">   </w:t>
      </w:r>
    </w:p>
    <w:p w14:paraId="0AB7D895">
      <w:pPr>
        <w:pStyle w:val="23"/>
        <w:rPr>
          <w:color w:val="auto"/>
        </w:rPr>
      </w:pPr>
    </w:p>
    <w:p w14:paraId="2BA58935">
      <w:pPr>
        <w:pStyle w:val="23"/>
        <w:rPr>
          <w:color w:val="auto"/>
        </w:rPr>
      </w:pPr>
    </w:p>
    <w:p w14:paraId="1C4722CB">
      <w:pPr>
        <w:pStyle w:val="23"/>
        <w:rPr>
          <w:color w:val="auto"/>
        </w:rPr>
      </w:pPr>
    </w:p>
    <w:p w14:paraId="1AB5B24F">
      <w:pPr>
        <w:spacing w:line="360" w:lineRule="auto"/>
        <w:rPr>
          <w:rFonts w:ascii="宋体"/>
          <w:color w:val="auto"/>
          <w:sz w:val="24"/>
          <w:szCs w:val="24"/>
          <w:u w:val="single"/>
        </w:rPr>
      </w:pPr>
      <w:r>
        <w:rPr>
          <w:rFonts w:hint="eastAsia" w:ascii="宋体" w:hAnsi="宋体" w:cs="宋体"/>
          <w:color w:val="auto"/>
          <w:sz w:val="24"/>
          <w:szCs w:val="24"/>
        </w:rPr>
        <w:t>供应商（单位名称及公章）：</w:t>
      </w:r>
      <w:r>
        <w:rPr>
          <w:rFonts w:ascii="宋体" w:hAnsi="宋体" w:cs="宋体"/>
          <w:color w:val="auto"/>
          <w:sz w:val="24"/>
          <w:szCs w:val="24"/>
        </w:rPr>
        <w:t>____________________</w:t>
      </w:r>
    </w:p>
    <w:p w14:paraId="50021096">
      <w:pPr>
        <w:adjustRightInd w:val="0"/>
        <w:snapToGrid w:val="0"/>
        <w:spacing w:line="360" w:lineRule="auto"/>
        <w:rPr>
          <w:rFonts w:ascii="宋体"/>
          <w:color w:val="auto"/>
          <w:sz w:val="24"/>
          <w:szCs w:val="24"/>
        </w:rPr>
      </w:pPr>
      <w:r>
        <w:rPr>
          <w:rFonts w:hint="eastAsia" w:ascii="宋体" w:hAnsi="宋体" w:cs="宋体"/>
          <w:color w:val="auto"/>
          <w:sz w:val="24"/>
          <w:szCs w:val="24"/>
        </w:rPr>
        <w:t>法定代表人或被授权人（</w:t>
      </w:r>
      <w:r>
        <w:rPr>
          <w:rFonts w:hint="eastAsia" w:ascii="宋体" w:hAnsi="宋体" w:cs="宋体"/>
          <w:color w:val="auto"/>
          <w:sz w:val="24"/>
          <w:szCs w:val="24"/>
          <w:lang w:val="zh-CN"/>
        </w:rPr>
        <w:t>签字</w:t>
      </w:r>
      <w:r>
        <w:rPr>
          <w:rFonts w:hint="eastAsia" w:ascii="宋体" w:hAnsi="宋体" w:cs="宋体"/>
          <w:color w:val="auto"/>
          <w:sz w:val="24"/>
          <w:szCs w:val="24"/>
        </w:rPr>
        <w:t>或盖章）：</w:t>
      </w:r>
      <w:r>
        <w:rPr>
          <w:rFonts w:ascii="宋体" w:hAnsi="宋体" w:cs="宋体"/>
          <w:color w:val="auto"/>
          <w:sz w:val="24"/>
          <w:szCs w:val="24"/>
        </w:rPr>
        <w:t>____________________</w:t>
      </w:r>
    </w:p>
    <w:p w14:paraId="394EFABB">
      <w:pPr>
        <w:adjustRightInd w:val="0"/>
        <w:snapToGrid w:val="0"/>
        <w:spacing w:line="480" w:lineRule="auto"/>
        <w:rPr>
          <w:rFonts w:ascii="宋体" w:cs="Times New Roman"/>
          <w:color w:val="auto"/>
          <w:sz w:val="24"/>
          <w:szCs w:val="24"/>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________</w:t>
      </w:r>
      <w:r>
        <w:rPr>
          <w:rFonts w:hint="eastAsia" w:ascii="宋体" w:hAnsi="宋体" w:cs="宋体"/>
          <w:color w:val="auto"/>
          <w:sz w:val="24"/>
          <w:szCs w:val="24"/>
        </w:rPr>
        <w:t>年</w:t>
      </w:r>
      <w:r>
        <w:rPr>
          <w:rFonts w:ascii="宋体" w:hAnsi="宋体" w:cs="宋体"/>
          <w:color w:val="auto"/>
          <w:sz w:val="24"/>
          <w:szCs w:val="24"/>
        </w:rPr>
        <w:t>________</w:t>
      </w:r>
      <w:r>
        <w:rPr>
          <w:rFonts w:hint="eastAsia" w:ascii="宋体" w:hAnsi="宋体" w:cs="宋体"/>
          <w:color w:val="auto"/>
          <w:sz w:val="24"/>
          <w:szCs w:val="24"/>
        </w:rPr>
        <w:t>月</w:t>
      </w:r>
      <w:r>
        <w:rPr>
          <w:rFonts w:ascii="宋体" w:hAnsi="宋体" w:cs="宋体"/>
          <w:color w:val="auto"/>
          <w:sz w:val="24"/>
          <w:szCs w:val="24"/>
        </w:rPr>
        <w:t>________</w:t>
      </w:r>
      <w:r>
        <w:rPr>
          <w:rFonts w:hint="eastAsia" w:ascii="宋体" w:hAnsi="宋体" w:cs="宋体"/>
          <w:color w:val="auto"/>
          <w:sz w:val="24"/>
          <w:szCs w:val="24"/>
        </w:rPr>
        <w:t>日</w:t>
      </w:r>
    </w:p>
    <w:p w14:paraId="1325C13C">
      <w:pPr>
        <w:widowControl/>
        <w:jc w:val="left"/>
        <w:rPr>
          <w:rFonts w:ascii="宋体" w:hAnsi="宋体" w:cs="宋体"/>
          <w:b/>
          <w:bCs/>
          <w:color w:val="auto"/>
          <w:sz w:val="28"/>
          <w:szCs w:val="28"/>
        </w:rPr>
      </w:pPr>
    </w:p>
    <w:bookmarkEnd w:id="162"/>
    <w:bookmarkEnd w:id="166"/>
    <w:bookmarkEnd w:id="167"/>
    <w:bookmarkEnd w:id="168"/>
    <w:bookmarkEnd w:id="169"/>
    <w:bookmarkEnd w:id="170"/>
    <w:bookmarkEnd w:id="171"/>
    <w:p w14:paraId="43B331B0">
      <w:pPr>
        <w:pStyle w:val="3"/>
        <w:pageBreakBefore/>
        <w:rPr>
          <w:rFonts w:ascii="宋体" w:cs="Times New Roman"/>
          <w:color w:val="auto"/>
          <w:sz w:val="24"/>
          <w:szCs w:val="24"/>
        </w:rPr>
        <w:sectPr>
          <w:footerReference r:id="rId20" w:type="default"/>
          <w:pgSz w:w="11906" w:h="16838"/>
          <w:pgMar w:top="1417" w:right="1417" w:bottom="1417" w:left="1417" w:header="1134" w:footer="992" w:gutter="0"/>
          <w:pgBorders>
            <w:top w:val="none" w:sz="0" w:space="0"/>
            <w:left w:val="none" w:sz="0" w:space="0"/>
            <w:bottom w:val="none" w:sz="0" w:space="0"/>
            <w:right w:val="none" w:sz="0" w:space="0"/>
          </w:pgBorders>
          <w:pgNumType w:fmt="decimal"/>
          <w:cols w:space="0" w:num="1"/>
          <w:titlePg/>
          <w:docGrid w:type="lines" w:linePitch="326" w:charSpace="0"/>
        </w:sectPr>
      </w:pPr>
      <w:bookmarkStart w:id="174" w:name="_Toc1408"/>
    </w:p>
    <w:bookmarkEnd w:id="174"/>
    <w:p w14:paraId="68F52725">
      <w:pPr>
        <w:pStyle w:val="3"/>
        <w:keepNext/>
        <w:keepLines/>
        <w:pageBreakBefore/>
        <w:widowControl w:val="0"/>
        <w:kinsoku/>
        <w:wordWrap/>
        <w:overflowPunct/>
        <w:topLinePunct w:val="0"/>
        <w:autoSpaceDE/>
        <w:autoSpaceDN/>
        <w:bidi w:val="0"/>
        <w:adjustRightInd/>
        <w:snapToGrid/>
        <w:spacing w:line="413" w:lineRule="auto"/>
        <w:textAlignment w:val="auto"/>
        <w:rPr>
          <w:rFonts w:ascii="宋体" w:hAnsi="宋体" w:cs="宋体"/>
          <w:color w:val="auto"/>
          <w:sz w:val="32"/>
          <w:szCs w:val="32"/>
        </w:rPr>
      </w:pPr>
      <w:bookmarkStart w:id="175" w:name="_Toc9172"/>
      <w:bookmarkStart w:id="176" w:name="_Toc536429339"/>
      <w:bookmarkStart w:id="177" w:name="_Toc14937"/>
      <w:bookmarkStart w:id="178" w:name="_Toc536202330"/>
      <w:bookmarkStart w:id="179" w:name="_Toc19543359"/>
      <w:bookmarkStart w:id="180" w:name="_Toc536202399"/>
      <w:bookmarkStart w:id="181" w:name="_Toc536429392"/>
      <w:bookmarkStart w:id="182" w:name="_Toc1803"/>
      <w:r>
        <w:rPr>
          <w:rFonts w:hint="eastAsia" w:ascii="宋体" w:hAnsi="宋体" w:cs="宋体"/>
          <w:color w:val="auto"/>
          <w:sz w:val="32"/>
          <w:szCs w:val="32"/>
        </w:rPr>
        <w:t>第</w:t>
      </w:r>
      <w:r>
        <w:rPr>
          <w:rFonts w:hint="eastAsia" w:ascii="宋体" w:hAnsi="宋体" w:cs="宋体"/>
          <w:color w:val="auto"/>
          <w:sz w:val="32"/>
          <w:szCs w:val="32"/>
          <w:lang w:val="en-US" w:eastAsia="zh-CN"/>
        </w:rPr>
        <w:t>五</w:t>
      </w:r>
      <w:r>
        <w:rPr>
          <w:rFonts w:hint="eastAsia" w:ascii="宋体" w:hAnsi="宋体" w:cs="宋体"/>
          <w:color w:val="auto"/>
          <w:sz w:val="32"/>
          <w:szCs w:val="32"/>
        </w:rPr>
        <w:t>章</w:t>
      </w:r>
      <w:r>
        <w:rPr>
          <w:rFonts w:ascii="宋体" w:hAnsi="宋体" w:cs="宋体"/>
          <w:color w:val="auto"/>
          <w:sz w:val="32"/>
          <w:szCs w:val="32"/>
        </w:rPr>
        <w:t xml:space="preserve">  </w:t>
      </w:r>
      <w:bookmarkEnd w:id="175"/>
      <w:r>
        <w:rPr>
          <w:rFonts w:hint="eastAsia" w:ascii="宋体" w:hAnsi="宋体" w:cs="宋体"/>
          <w:color w:val="auto"/>
          <w:sz w:val="32"/>
          <w:szCs w:val="32"/>
          <w:lang w:val="en-US" w:eastAsia="zh-CN"/>
        </w:rPr>
        <w:t>响应</w:t>
      </w:r>
      <w:r>
        <w:rPr>
          <w:rFonts w:hint="eastAsia" w:ascii="宋体" w:hAnsi="宋体" w:cs="宋体"/>
          <w:color w:val="auto"/>
          <w:sz w:val="32"/>
          <w:szCs w:val="32"/>
        </w:rPr>
        <w:t>方案</w:t>
      </w:r>
      <w:bookmarkEnd w:id="176"/>
      <w:bookmarkEnd w:id="177"/>
      <w:bookmarkEnd w:id="178"/>
      <w:bookmarkEnd w:id="179"/>
      <w:bookmarkEnd w:id="180"/>
      <w:bookmarkEnd w:id="181"/>
    </w:p>
    <w:p w14:paraId="3416B348">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color w:val="auto"/>
        </w:rPr>
      </w:pPr>
      <w:bookmarkStart w:id="183" w:name="_Toc528240834"/>
      <w:bookmarkStart w:id="184" w:name="_Toc26541342"/>
      <w:bookmarkStart w:id="185" w:name="_Toc484198844"/>
      <w:bookmarkStart w:id="186" w:name="_Toc23258631"/>
      <w:bookmarkStart w:id="187" w:name="_Toc19543360"/>
      <w:r>
        <w:rPr>
          <w:rFonts w:hint="eastAsia" w:ascii="宋体" w:hAnsi="宋体" w:eastAsia="宋体" w:cs="宋体"/>
          <w:b/>
          <w:bCs w:val="0"/>
          <w:color w:val="auto"/>
          <w:kern w:val="2"/>
          <w:sz w:val="24"/>
          <w:szCs w:val="22"/>
          <w:lang w:val="en-US" w:eastAsia="zh-CN" w:bidi="ar"/>
        </w:rPr>
        <w:t>供应商按照</w:t>
      </w:r>
      <w:r>
        <w:rPr>
          <w:rFonts w:hint="eastAsia" w:ascii="宋体" w:hAnsi="宋体" w:cs="宋体"/>
          <w:b/>
          <w:bCs w:val="0"/>
          <w:color w:val="auto"/>
          <w:kern w:val="2"/>
          <w:sz w:val="24"/>
          <w:szCs w:val="22"/>
          <w:lang w:val="en-US" w:eastAsia="zh-CN" w:bidi="ar"/>
        </w:rPr>
        <w:t>竞争性磋商</w:t>
      </w:r>
      <w:r>
        <w:rPr>
          <w:rFonts w:hint="eastAsia" w:ascii="宋体" w:hAnsi="宋体" w:eastAsia="宋体" w:cs="宋体"/>
          <w:b/>
          <w:bCs w:val="0"/>
          <w:color w:val="auto"/>
          <w:kern w:val="2"/>
          <w:sz w:val="24"/>
          <w:szCs w:val="22"/>
          <w:lang w:val="en-US" w:eastAsia="zh-CN" w:bidi="ar"/>
        </w:rPr>
        <w:t>文件的要求编制</w:t>
      </w:r>
      <w:r>
        <w:rPr>
          <w:rFonts w:hint="eastAsia" w:ascii="宋体" w:hAnsi="宋体" w:cs="宋体"/>
          <w:b/>
          <w:bCs w:val="0"/>
          <w:color w:val="auto"/>
          <w:kern w:val="2"/>
          <w:sz w:val="24"/>
          <w:szCs w:val="22"/>
          <w:lang w:val="en-US" w:eastAsia="zh-CN" w:bidi="ar"/>
        </w:rPr>
        <w:t>响应</w:t>
      </w:r>
      <w:r>
        <w:rPr>
          <w:rFonts w:hint="eastAsia" w:ascii="宋体" w:hAnsi="宋体" w:eastAsia="宋体" w:cs="宋体"/>
          <w:b/>
          <w:bCs w:val="0"/>
          <w:color w:val="auto"/>
          <w:kern w:val="2"/>
          <w:sz w:val="24"/>
          <w:szCs w:val="22"/>
          <w:lang w:val="en-US" w:eastAsia="zh-CN" w:bidi="ar"/>
        </w:rPr>
        <w:t>方案，</w:t>
      </w:r>
      <w:r>
        <w:rPr>
          <w:rFonts w:hint="eastAsia" w:ascii="宋体" w:hAnsi="宋体" w:cs="宋体"/>
          <w:b/>
          <w:bCs w:val="0"/>
          <w:color w:val="auto"/>
          <w:kern w:val="2"/>
          <w:sz w:val="24"/>
          <w:szCs w:val="22"/>
          <w:lang w:val="en-US" w:eastAsia="zh-CN" w:bidi="ar"/>
        </w:rPr>
        <w:t>响应</w:t>
      </w:r>
      <w:r>
        <w:rPr>
          <w:rFonts w:hint="eastAsia" w:ascii="宋体" w:hAnsi="宋体" w:eastAsia="宋体" w:cs="宋体"/>
          <w:b/>
          <w:bCs w:val="0"/>
          <w:color w:val="auto"/>
          <w:kern w:val="2"/>
          <w:sz w:val="24"/>
          <w:szCs w:val="22"/>
          <w:lang w:val="en-US" w:eastAsia="zh-CN" w:bidi="ar"/>
        </w:rPr>
        <w:t>方案由供应商自行编写，无具体格式，参照</w:t>
      </w:r>
      <w:r>
        <w:rPr>
          <w:rFonts w:hint="eastAsia" w:ascii="宋体" w:hAnsi="宋体" w:cs="宋体"/>
          <w:b/>
          <w:bCs w:val="0"/>
          <w:color w:val="auto"/>
          <w:kern w:val="2"/>
          <w:sz w:val="24"/>
          <w:szCs w:val="22"/>
          <w:lang w:val="en-US" w:eastAsia="zh-CN" w:bidi="ar"/>
        </w:rPr>
        <w:t>竞争性磋商</w:t>
      </w:r>
      <w:r>
        <w:rPr>
          <w:rFonts w:hint="eastAsia" w:ascii="宋体" w:hAnsi="宋体" w:eastAsia="宋体" w:cs="宋体"/>
          <w:b/>
          <w:bCs w:val="0"/>
          <w:color w:val="auto"/>
          <w:kern w:val="2"/>
          <w:sz w:val="24"/>
          <w:szCs w:val="22"/>
          <w:lang w:val="en-US" w:eastAsia="zh-CN" w:bidi="ar"/>
        </w:rPr>
        <w:t>文件中《</w:t>
      </w:r>
      <w:r>
        <w:rPr>
          <w:rFonts w:hint="eastAsia" w:ascii="宋体" w:hAnsi="宋体" w:cs="宋体"/>
          <w:b/>
          <w:bCs w:val="0"/>
          <w:color w:val="auto"/>
          <w:kern w:val="2"/>
          <w:sz w:val="24"/>
          <w:szCs w:val="22"/>
          <w:lang w:val="en-US" w:eastAsia="zh-CN" w:bidi="ar"/>
        </w:rPr>
        <w:t>评分标准</w:t>
      </w:r>
      <w:r>
        <w:rPr>
          <w:rFonts w:hint="eastAsia" w:ascii="宋体" w:hAnsi="宋体" w:eastAsia="宋体" w:cs="宋体"/>
          <w:b/>
          <w:bCs w:val="0"/>
          <w:color w:val="auto"/>
          <w:kern w:val="2"/>
          <w:sz w:val="24"/>
          <w:szCs w:val="22"/>
          <w:lang w:val="en-US" w:eastAsia="zh-CN" w:bidi="ar"/>
        </w:rPr>
        <w:t>》各条款的要求及</w:t>
      </w:r>
      <w:r>
        <w:rPr>
          <w:rFonts w:hint="eastAsia" w:ascii="宋体" w:hAnsi="宋体" w:cs="宋体"/>
          <w:b/>
          <w:bCs w:val="0"/>
          <w:color w:val="auto"/>
          <w:kern w:val="2"/>
          <w:sz w:val="24"/>
          <w:szCs w:val="22"/>
          <w:lang w:val="en-US" w:eastAsia="zh-CN" w:bidi="ar"/>
        </w:rPr>
        <w:t>竞争性磋商</w:t>
      </w:r>
      <w:r>
        <w:rPr>
          <w:rFonts w:hint="eastAsia" w:ascii="宋体" w:hAnsi="宋体" w:eastAsia="宋体" w:cs="宋体"/>
          <w:b/>
          <w:bCs w:val="0"/>
          <w:color w:val="auto"/>
          <w:kern w:val="2"/>
          <w:sz w:val="24"/>
          <w:szCs w:val="22"/>
          <w:lang w:val="en-US" w:eastAsia="zh-CN" w:bidi="ar"/>
        </w:rPr>
        <w:t>文件</w:t>
      </w:r>
      <w:r>
        <w:rPr>
          <w:rFonts w:hint="eastAsia" w:ascii="宋体" w:hAnsi="宋体" w:cs="宋体"/>
          <w:b/>
          <w:bCs w:val="0"/>
          <w:color w:val="auto"/>
          <w:kern w:val="2"/>
          <w:sz w:val="24"/>
          <w:szCs w:val="22"/>
          <w:lang w:val="en-US" w:eastAsia="zh-CN" w:bidi="ar"/>
        </w:rPr>
        <w:t>第五部分</w:t>
      </w:r>
      <w:r>
        <w:rPr>
          <w:rFonts w:hint="eastAsia" w:ascii="宋体" w:hAnsi="宋体" w:eastAsia="宋体" w:cs="宋体"/>
          <w:b/>
          <w:bCs w:val="0"/>
          <w:color w:val="auto"/>
          <w:kern w:val="2"/>
          <w:sz w:val="24"/>
          <w:szCs w:val="22"/>
          <w:lang w:val="en-US" w:eastAsia="zh-CN" w:bidi="ar"/>
        </w:rPr>
        <w:t>《采购内容</w:t>
      </w:r>
      <w:r>
        <w:rPr>
          <w:rFonts w:hint="eastAsia" w:ascii="宋体" w:hAnsi="宋体" w:cs="宋体"/>
          <w:b/>
          <w:bCs w:val="0"/>
          <w:color w:val="auto"/>
          <w:kern w:val="2"/>
          <w:sz w:val="24"/>
          <w:szCs w:val="22"/>
          <w:lang w:val="en-US" w:eastAsia="zh-CN" w:bidi="ar"/>
        </w:rPr>
        <w:t>及要求</w:t>
      </w:r>
      <w:r>
        <w:rPr>
          <w:rFonts w:hint="eastAsia" w:ascii="宋体" w:hAnsi="宋体" w:eastAsia="宋体" w:cs="宋体"/>
          <w:b/>
          <w:bCs w:val="0"/>
          <w:color w:val="auto"/>
          <w:kern w:val="2"/>
          <w:sz w:val="24"/>
          <w:szCs w:val="22"/>
          <w:lang w:val="en-US" w:eastAsia="zh-CN" w:bidi="ar"/>
        </w:rPr>
        <w:t>》进行编制</w:t>
      </w:r>
      <w:r>
        <w:rPr>
          <w:rFonts w:hint="eastAsia" w:ascii="宋体" w:hAnsi="宋体" w:cs="宋体"/>
          <w:b/>
          <w:bCs w:val="0"/>
          <w:color w:val="auto"/>
          <w:kern w:val="2"/>
          <w:sz w:val="24"/>
          <w:szCs w:val="22"/>
          <w:lang w:val="en-US" w:eastAsia="zh-CN" w:bidi="ar"/>
        </w:rPr>
        <w:t>响应</w:t>
      </w:r>
      <w:r>
        <w:rPr>
          <w:rFonts w:hint="eastAsia" w:ascii="宋体" w:hAnsi="宋体" w:eastAsia="宋体" w:cs="宋体"/>
          <w:b/>
          <w:bCs w:val="0"/>
          <w:color w:val="auto"/>
          <w:kern w:val="2"/>
          <w:sz w:val="24"/>
          <w:szCs w:val="22"/>
          <w:lang w:val="en-US" w:eastAsia="zh-CN" w:bidi="ar"/>
        </w:rPr>
        <w:t>方案。</w:t>
      </w:r>
    </w:p>
    <w:p w14:paraId="219EC004">
      <w:pPr>
        <w:spacing w:line="360" w:lineRule="auto"/>
        <w:ind w:firstLine="720" w:firstLineChars="300"/>
        <w:rPr>
          <w:rFonts w:ascii="宋体" w:hAnsi="宋体" w:cs="Times New Roman"/>
          <w:color w:val="auto"/>
          <w:sz w:val="24"/>
          <w:szCs w:val="24"/>
        </w:rPr>
      </w:pPr>
      <w:r>
        <w:rPr>
          <w:rFonts w:ascii="宋体" w:hAnsi="宋体" w:cs="Times New Roman"/>
          <w:color w:val="auto"/>
          <w:sz w:val="24"/>
          <w:szCs w:val="24"/>
        </w:rPr>
        <w:br w:type="page"/>
      </w:r>
    </w:p>
    <w:p w14:paraId="495EA792">
      <w:pPr>
        <w:keepNext/>
        <w:keepLines/>
        <w:spacing w:before="260" w:after="260" w:line="416" w:lineRule="auto"/>
        <w:ind w:firstLine="422" w:firstLineChars="150"/>
        <w:jc w:val="center"/>
        <w:outlineLvl w:val="1"/>
        <w:rPr>
          <w:rFonts w:ascii="宋体" w:hAnsi="宋体" w:cs="宋体"/>
          <w:b/>
          <w:bCs/>
          <w:color w:val="auto"/>
          <w:kern w:val="20"/>
          <w:sz w:val="22"/>
          <w:szCs w:val="22"/>
        </w:rPr>
      </w:pPr>
      <w:r>
        <w:rPr>
          <w:rFonts w:hint="eastAsia" w:ascii="Calibri Light" w:hAnsi="Calibri Light" w:cs="Times New Roman"/>
          <w:b/>
          <w:bCs/>
          <w:color w:val="auto"/>
          <w:sz w:val="28"/>
          <w:szCs w:val="28"/>
        </w:rPr>
        <w:t>拟投入人员情况表</w:t>
      </w:r>
      <w:bookmarkEnd w:id="183"/>
      <w:bookmarkEnd w:id="184"/>
      <w:bookmarkEnd w:id="185"/>
      <w:bookmarkEnd w:id="186"/>
    </w:p>
    <w:tbl>
      <w:tblPr>
        <w:tblStyle w:val="40"/>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1740"/>
        <w:gridCol w:w="800"/>
        <w:gridCol w:w="800"/>
        <w:gridCol w:w="800"/>
        <w:gridCol w:w="1049"/>
        <w:gridCol w:w="2635"/>
        <w:gridCol w:w="954"/>
      </w:tblGrid>
      <w:tr w14:paraId="4F9D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blHeader/>
          <w:jc w:val="center"/>
        </w:trPr>
        <w:tc>
          <w:tcPr>
            <w:tcW w:w="782" w:type="dxa"/>
            <w:tcMar>
              <w:top w:w="15" w:type="dxa"/>
              <w:left w:w="15" w:type="dxa"/>
              <w:bottom w:w="0" w:type="dxa"/>
              <w:right w:w="15" w:type="dxa"/>
            </w:tcMar>
            <w:vAlign w:val="center"/>
          </w:tcPr>
          <w:p w14:paraId="52B75DA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序号</w:t>
            </w:r>
          </w:p>
        </w:tc>
        <w:tc>
          <w:tcPr>
            <w:tcW w:w="1740" w:type="dxa"/>
            <w:tcMar>
              <w:top w:w="15" w:type="dxa"/>
              <w:left w:w="15" w:type="dxa"/>
              <w:bottom w:w="0" w:type="dxa"/>
              <w:right w:w="15" w:type="dxa"/>
            </w:tcMar>
            <w:vAlign w:val="center"/>
          </w:tcPr>
          <w:p w14:paraId="543BE0A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姓  名</w:t>
            </w:r>
          </w:p>
        </w:tc>
        <w:tc>
          <w:tcPr>
            <w:tcW w:w="800" w:type="dxa"/>
            <w:tcMar>
              <w:top w:w="15" w:type="dxa"/>
              <w:left w:w="15" w:type="dxa"/>
              <w:bottom w:w="0" w:type="dxa"/>
              <w:right w:w="15" w:type="dxa"/>
            </w:tcMar>
            <w:vAlign w:val="center"/>
          </w:tcPr>
          <w:p w14:paraId="3DBD4BB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性别</w:t>
            </w:r>
          </w:p>
        </w:tc>
        <w:tc>
          <w:tcPr>
            <w:tcW w:w="800" w:type="dxa"/>
            <w:tcMar>
              <w:top w:w="15" w:type="dxa"/>
              <w:left w:w="15" w:type="dxa"/>
              <w:bottom w:w="0" w:type="dxa"/>
              <w:right w:w="15" w:type="dxa"/>
            </w:tcMar>
            <w:vAlign w:val="center"/>
          </w:tcPr>
          <w:p w14:paraId="2334095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年龄</w:t>
            </w:r>
          </w:p>
        </w:tc>
        <w:tc>
          <w:tcPr>
            <w:tcW w:w="800" w:type="dxa"/>
            <w:tcMar>
              <w:top w:w="15" w:type="dxa"/>
              <w:left w:w="15" w:type="dxa"/>
              <w:bottom w:w="0" w:type="dxa"/>
              <w:right w:w="15" w:type="dxa"/>
            </w:tcMar>
            <w:vAlign w:val="center"/>
          </w:tcPr>
          <w:p w14:paraId="6A6DE53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学历</w:t>
            </w:r>
          </w:p>
        </w:tc>
        <w:tc>
          <w:tcPr>
            <w:tcW w:w="1049" w:type="dxa"/>
            <w:tcMar>
              <w:top w:w="15" w:type="dxa"/>
              <w:left w:w="15" w:type="dxa"/>
              <w:bottom w:w="0" w:type="dxa"/>
              <w:right w:w="15" w:type="dxa"/>
            </w:tcMar>
            <w:vAlign w:val="center"/>
          </w:tcPr>
          <w:p w14:paraId="12E41AA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工作</w:t>
            </w:r>
          </w:p>
          <w:p w14:paraId="0F7620A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年限</w:t>
            </w:r>
          </w:p>
        </w:tc>
        <w:tc>
          <w:tcPr>
            <w:tcW w:w="2635" w:type="dxa"/>
            <w:tcMar>
              <w:top w:w="15" w:type="dxa"/>
              <w:left w:w="15" w:type="dxa"/>
              <w:bottom w:w="0" w:type="dxa"/>
              <w:right w:w="15" w:type="dxa"/>
            </w:tcMar>
            <w:vAlign w:val="center"/>
          </w:tcPr>
          <w:p w14:paraId="5B6EB5D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拟担任的职务</w:t>
            </w:r>
          </w:p>
        </w:tc>
        <w:tc>
          <w:tcPr>
            <w:tcW w:w="954" w:type="dxa"/>
            <w:tcMar>
              <w:top w:w="15" w:type="dxa"/>
              <w:left w:w="15" w:type="dxa"/>
              <w:bottom w:w="0" w:type="dxa"/>
              <w:right w:w="15" w:type="dxa"/>
            </w:tcMar>
            <w:vAlign w:val="center"/>
          </w:tcPr>
          <w:p w14:paraId="6C612D7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岗位</w:t>
            </w:r>
          </w:p>
          <w:p w14:paraId="3AA158A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情况</w:t>
            </w:r>
          </w:p>
        </w:tc>
      </w:tr>
      <w:tr w14:paraId="6E4F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4A3ACB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5172CB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639D10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1747E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7D0D70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07E634D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0BB7A90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5D01885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1322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72A93CE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389B97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FCE3E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288FB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56FC9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389680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72FBE6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60DCE5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4940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85F67E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066EB64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1D07BB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3AD89D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374BE1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53CE990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2B97CB4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7CBC63A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06DC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70B6F61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11FA74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4BA6D0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FC6937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F15079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00EFC3B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0ABD786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455AB6F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40F6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7FD10F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786C1B2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98A3E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F3B53B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7E7CA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11C58E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307D90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7DE0E76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5935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31E244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2F078E2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762460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8108D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9F3EC0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438EDB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4879E7D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37D4619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2299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6D1A20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3174DF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91BF1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6953C3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EB424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776C29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0C4F387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2A0EA98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7F8E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7B7924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0F89580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E0565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1F8CA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37A31C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601DE9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47FF30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7F8C8A5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0C2C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2AF76C3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6773D1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3594B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BDBEBA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7B664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4BE2D3B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28AD9A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1EB5602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5B81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6ACA71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5683A1D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3A560A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28CCF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AB3FC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342070E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7662DFD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70B0AD0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7285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25A57A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34CA9F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3DFF06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66FAF7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A7973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0E7A28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685EDE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752559F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7C90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28826C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1F9769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ED5AB8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C1FEBA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6558C8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5FF9866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7D71322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20C4C1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3E84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18F9C4B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384A63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2BF4BB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0C65E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FED00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7B1552C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11D2B7D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0D1399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238E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C7DF0B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174AF3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CEC69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B2331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944ACD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71AB6B8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5A0033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5C96E65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3F51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6C1CBFE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4917122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9EE93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B65893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1836B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3EA4453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767F17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617DB5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38F9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965179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22A8607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82282B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8049DB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6EA8B9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1EC4E0F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2E0883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2B90D5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68B5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782" w:type="dxa"/>
            <w:tcMar>
              <w:top w:w="15" w:type="dxa"/>
              <w:left w:w="15" w:type="dxa"/>
              <w:bottom w:w="0" w:type="dxa"/>
              <w:right w:w="15" w:type="dxa"/>
            </w:tcMar>
            <w:vAlign w:val="bottom"/>
          </w:tcPr>
          <w:p w14:paraId="5D0ACC0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4F9F79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27C30F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98F53D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14BB1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0F63EC1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3EA207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575411D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bl>
    <w:p w14:paraId="454BE937">
      <w:pPr>
        <w:rPr>
          <w:rFonts w:ascii="Times New Roman" w:hAnsi="Times New Roman" w:cs="Times New Roman"/>
          <w:color w:val="auto"/>
          <w:szCs w:val="22"/>
        </w:rPr>
      </w:pPr>
    </w:p>
    <w:p w14:paraId="61033E98">
      <w:pPr>
        <w:adjustRightInd w:val="0"/>
        <w:snapToGrid w:val="0"/>
        <w:spacing w:line="480" w:lineRule="auto"/>
        <w:jc w:val="left"/>
        <w:rPr>
          <w:rFonts w:hint="eastAsia" w:cs="宋体" w:asciiTheme="minorEastAsia" w:hAnsiTheme="minorEastAsia" w:eastAsiaTheme="minorEastAsia"/>
          <w:color w:val="auto"/>
          <w:sz w:val="24"/>
          <w:szCs w:val="24"/>
        </w:rPr>
      </w:pPr>
      <w:bookmarkStart w:id="188" w:name="_Hlt491572882"/>
      <w:bookmarkEnd w:id="188"/>
      <w:bookmarkStart w:id="189" w:name="_Hlt491765868"/>
      <w:bookmarkEnd w:id="189"/>
      <w:bookmarkStart w:id="190" w:name="_Hlt491766019"/>
      <w:bookmarkEnd w:id="190"/>
      <w:bookmarkStart w:id="191" w:name="_Hlt491765944"/>
      <w:bookmarkEnd w:id="191"/>
      <w:bookmarkStart w:id="192" w:name="_Hlt491573425"/>
      <w:bookmarkEnd w:id="192"/>
    </w:p>
    <w:p w14:paraId="663AF719">
      <w:pPr>
        <w:adjustRightInd w:val="0"/>
        <w:snapToGrid w:val="0"/>
        <w:spacing w:line="480" w:lineRule="auto"/>
        <w:jc w:val="left"/>
        <w:rPr>
          <w:rFonts w:cs="Times New Roman"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供应商（单位名称及公章）：</w:t>
      </w:r>
      <w:r>
        <w:rPr>
          <w:rFonts w:cs="宋体" w:asciiTheme="minorEastAsia" w:hAnsiTheme="minorEastAsia" w:eastAsiaTheme="minorEastAsia"/>
          <w:color w:val="auto"/>
          <w:sz w:val="24"/>
          <w:szCs w:val="24"/>
        </w:rPr>
        <w:t>____________________</w:t>
      </w:r>
    </w:p>
    <w:p w14:paraId="21E7A305">
      <w:pPr>
        <w:adjustRightInd w:val="0"/>
        <w:snapToGrid w:val="0"/>
        <w:spacing w:line="480" w:lineRule="auto"/>
        <w:rPr>
          <w:rFonts w:cs="Times New Roman"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法定代表人或被授权人（</w:t>
      </w:r>
      <w:r>
        <w:rPr>
          <w:rFonts w:hint="eastAsia" w:ascii="宋体" w:hAnsi="宋体" w:cs="宋体"/>
          <w:color w:val="auto"/>
          <w:sz w:val="24"/>
          <w:szCs w:val="24"/>
          <w:lang w:val="zh-CN"/>
        </w:rPr>
        <w:t>签字</w:t>
      </w:r>
      <w:r>
        <w:rPr>
          <w:rFonts w:hint="eastAsia" w:ascii="宋体" w:hAnsi="宋体" w:cs="宋体"/>
          <w:color w:val="auto"/>
          <w:sz w:val="24"/>
          <w:szCs w:val="24"/>
        </w:rPr>
        <w:t>或盖章</w:t>
      </w:r>
      <w:r>
        <w:rPr>
          <w:rFonts w:hint="eastAsia"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rPr>
        <w:t>____________________</w:t>
      </w:r>
    </w:p>
    <w:p w14:paraId="6255A2E5">
      <w:pPr>
        <w:adjustRightInd w:val="0"/>
        <w:snapToGrid w:val="0"/>
        <w:spacing w:line="480" w:lineRule="auto"/>
        <w:rPr>
          <w:rFonts w:ascii="宋体" w:cs="Times New Roman"/>
          <w:color w:val="auto"/>
        </w:rPr>
      </w:pPr>
      <w:r>
        <w:rPr>
          <w:rFonts w:hint="eastAsia" w:cs="宋体" w:asciiTheme="minorEastAsia" w:hAnsiTheme="minorEastAsia" w:eastAsiaTheme="minorEastAsia"/>
          <w:color w:val="auto"/>
          <w:sz w:val="24"/>
          <w:szCs w:val="24"/>
        </w:rPr>
        <w:t>日</w:t>
      </w:r>
      <w:r>
        <w:rPr>
          <w:rFonts w:cs="宋体" w:asciiTheme="minorEastAsia" w:hAnsiTheme="minorEastAsia" w:eastAsiaTheme="minorEastAsia"/>
          <w:color w:val="auto"/>
          <w:sz w:val="24"/>
          <w:szCs w:val="24"/>
        </w:rPr>
        <w:t xml:space="preserve">    </w:t>
      </w:r>
      <w:r>
        <w:rPr>
          <w:rFonts w:hint="eastAsia" w:cs="宋体" w:asciiTheme="minorEastAsia" w:hAnsiTheme="minorEastAsia" w:eastAsiaTheme="minorEastAsia"/>
          <w:color w:val="auto"/>
          <w:sz w:val="24"/>
          <w:szCs w:val="24"/>
        </w:rPr>
        <w:t>期：</w:t>
      </w:r>
      <w:r>
        <w:rPr>
          <w:rFonts w:cs="宋体" w:asciiTheme="minorEastAsia" w:hAnsiTheme="minorEastAsia" w:eastAsiaTheme="minorEastAsia"/>
          <w:color w:val="auto"/>
          <w:sz w:val="24"/>
          <w:szCs w:val="24"/>
        </w:rPr>
        <w:t>________</w:t>
      </w:r>
      <w:r>
        <w:rPr>
          <w:rFonts w:hint="eastAsia" w:cs="宋体" w:asciiTheme="minorEastAsia" w:hAnsiTheme="minorEastAsia" w:eastAsiaTheme="minorEastAsia"/>
          <w:color w:val="auto"/>
          <w:sz w:val="24"/>
          <w:szCs w:val="24"/>
        </w:rPr>
        <w:t>年</w:t>
      </w:r>
      <w:r>
        <w:rPr>
          <w:rFonts w:cs="宋体" w:asciiTheme="minorEastAsia" w:hAnsiTheme="minorEastAsia" w:eastAsiaTheme="minorEastAsia"/>
          <w:color w:val="auto"/>
          <w:sz w:val="24"/>
          <w:szCs w:val="24"/>
        </w:rPr>
        <w:t>________</w:t>
      </w:r>
      <w:r>
        <w:rPr>
          <w:rFonts w:hint="eastAsia" w:cs="宋体" w:asciiTheme="minorEastAsia" w:hAnsiTheme="minorEastAsia" w:eastAsiaTheme="minorEastAsia"/>
          <w:color w:val="auto"/>
          <w:sz w:val="24"/>
          <w:szCs w:val="24"/>
        </w:rPr>
        <w:t>月</w:t>
      </w:r>
      <w:r>
        <w:rPr>
          <w:rFonts w:cs="宋体" w:asciiTheme="minorEastAsia" w:hAnsiTheme="minorEastAsia" w:eastAsiaTheme="minorEastAsia"/>
          <w:color w:val="auto"/>
          <w:sz w:val="24"/>
          <w:szCs w:val="24"/>
        </w:rPr>
        <w:t>________</w:t>
      </w:r>
      <w:r>
        <w:rPr>
          <w:rFonts w:hint="eastAsia" w:cs="宋体" w:asciiTheme="minorEastAsia" w:hAnsiTheme="minorEastAsia" w:eastAsiaTheme="minorEastAsia"/>
          <w:color w:val="auto"/>
          <w:sz w:val="24"/>
          <w:szCs w:val="24"/>
        </w:rPr>
        <w:t>日</w:t>
      </w:r>
    </w:p>
    <w:p w14:paraId="31735FB5">
      <w:pPr>
        <w:rPr>
          <w:rFonts w:ascii="Times New Roman" w:hAnsi="Times New Roman" w:cs="Times New Roman"/>
          <w:color w:val="auto"/>
          <w:sz w:val="24"/>
          <w:szCs w:val="24"/>
        </w:rPr>
      </w:pPr>
    </w:p>
    <w:p w14:paraId="7108D3BB">
      <w:pPr>
        <w:spacing w:line="360" w:lineRule="auto"/>
        <w:ind w:firstLine="420" w:firstLineChars="175"/>
        <w:rPr>
          <w:rFonts w:ascii="宋体" w:hAnsi="宋体" w:cs="Times New Roman"/>
          <w:color w:val="auto"/>
          <w:sz w:val="24"/>
          <w:szCs w:val="24"/>
        </w:rPr>
      </w:pPr>
      <w:r>
        <w:rPr>
          <w:rFonts w:ascii="宋体" w:hAnsi="宋体" w:cs="Times New Roman"/>
          <w:color w:val="auto"/>
          <w:sz w:val="24"/>
          <w:szCs w:val="24"/>
        </w:rPr>
        <w:t xml:space="preserve">    </w:t>
      </w:r>
    </w:p>
    <w:p w14:paraId="029A92DA">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业绩</w:t>
      </w:r>
      <w:bookmarkEnd w:id="187"/>
    </w:p>
    <w:tbl>
      <w:tblPr>
        <w:tblStyle w:val="40"/>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7941B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5ACBB14">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序号</w:t>
            </w:r>
          </w:p>
        </w:tc>
        <w:tc>
          <w:tcPr>
            <w:tcW w:w="1414" w:type="dxa"/>
            <w:vAlign w:val="center"/>
          </w:tcPr>
          <w:p w14:paraId="2A03F49D">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项目名称</w:t>
            </w:r>
          </w:p>
        </w:tc>
        <w:tc>
          <w:tcPr>
            <w:tcW w:w="2364" w:type="dxa"/>
            <w:vAlign w:val="center"/>
          </w:tcPr>
          <w:p w14:paraId="4F9754AB">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项目内容</w:t>
            </w:r>
          </w:p>
        </w:tc>
        <w:tc>
          <w:tcPr>
            <w:tcW w:w="2409" w:type="dxa"/>
            <w:vAlign w:val="center"/>
          </w:tcPr>
          <w:p w14:paraId="7F46FEFC">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合同金额</w:t>
            </w:r>
          </w:p>
        </w:tc>
        <w:tc>
          <w:tcPr>
            <w:tcW w:w="2409" w:type="dxa"/>
            <w:vAlign w:val="center"/>
          </w:tcPr>
          <w:p w14:paraId="78344B5B">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采购人名称</w:t>
            </w:r>
          </w:p>
        </w:tc>
      </w:tr>
      <w:tr w14:paraId="1C4EE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13DF556">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1</w:t>
            </w:r>
          </w:p>
        </w:tc>
        <w:tc>
          <w:tcPr>
            <w:tcW w:w="1414" w:type="dxa"/>
            <w:vAlign w:val="center"/>
          </w:tcPr>
          <w:p w14:paraId="2D09229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11817E0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3765AE7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7784F4B8">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1CE05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D5286C1">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2</w:t>
            </w:r>
          </w:p>
        </w:tc>
        <w:tc>
          <w:tcPr>
            <w:tcW w:w="1414" w:type="dxa"/>
            <w:vAlign w:val="center"/>
          </w:tcPr>
          <w:p w14:paraId="11C5E256">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27D22DC6">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2FB64352">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501630F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2D7B4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DDA92CC">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3</w:t>
            </w:r>
          </w:p>
        </w:tc>
        <w:tc>
          <w:tcPr>
            <w:tcW w:w="1414" w:type="dxa"/>
            <w:vAlign w:val="center"/>
          </w:tcPr>
          <w:p w14:paraId="484A6E0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7A01191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4106C756">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2B6953A3">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35F13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18C0A99">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4</w:t>
            </w:r>
          </w:p>
        </w:tc>
        <w:tc>
          <w:tcPr>
            <w:tcW w:w="1414" w:type="dxa"/>
            <w:vAlign w:val="center"/>
          </w:tcPr>
          <w:p w14:paraId="5CFB1508">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6F77E213">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4166F5C4">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29460FA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10E33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B700E7F">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5</w:t>
            </w:r>
          </w:p>
        </w:tc>
        <w:tc>
          <w:tcPr>
            <w:tcW w:w="1414" w:type="dxa"/>
            <w:vAlign w:val="center"/>
          </w:tcPr>
          <w:p w14:paraId="687887E3">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277164A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676330E5">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212040CB">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39D86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1F5BB73">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w:t>
            </w:r>
          </w:p>
        </w:tc>
        <w:tc>
          <w:tcPr>
            <w:tcW w:w="1414" w:type="dxa"/>
            <w:vAlign w:val="center"/>
          </w:tcPr>
          <w:p w14:paraId="3240706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1948861B">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757FC12C">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03F8B749">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2FA7E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F4CE41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1414" w:type="dxa"/>
            <w:vAlign w:val="center"/>
          </w:tcPr>
          <w:p w14:paraId="48BB622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0BBF8F74">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31BD91BD">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62530919">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35CC0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F496668">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1414" w:type="dxa"/>
            <w:vAlign w:val="center"/>
          </w:tcPr>
          <w:p w14:paraId="4BE2E252">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3B08B61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1B0FE96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5E858FF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08C7C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AF10428">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1414" w:type="dxa"/>
            <w:vAlign w:val="center"/>
          </w:tcPr>
          <w:p w14:paraId="25DB3088">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1922808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2EE7EA6B">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43F6A20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74E70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AE5868A">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p>
        </w:tc>
        <w:tc>
          <w:tcPr>
            <w:tcW w:w="1414" w:type="dxa"/>
            <w:vAlign w:val="center"/>
          </w:tcPr>
          <w:p w14:paraId="285630E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305AA95F">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747B533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0DE70126">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bl>
    <w:p w14:paraId="5D566C2F">
      <w:pPr>
        <w:tabs>
          <w:tab w:val="left" w:pos="8782"/>
        </w:tabs>
        <w:snapToGrid w:val="0"/>
        <w:spacing w:line="360" w:lineRule="auto"/>
        <w:ind w:firstLine="480" w:firstLineChars="200"/>
        <w:rPr>
          <w:rFonts w:ascii="宋体" w:hAnsi="宋体" w:cs="Times New Roman"/>
          <w:color w:val="auto"/>
          <w:sz w:val="24"/>
          <w:szCs w:val="24"/>
        </w:rPr>
      </w:pPr>
    </w:p>
    <w:p w14:paraId="18F9DFEA">
      <w:pPr>
        <w:tabs>
          <w:tab w:val="left" w:pos="8782"/>
        </w:tabs>
        <w:snapToGrid w:val="0"/>
        <w:spacing w:line="360" w:lineRule="auto"/>
        <w:ind w:firstLine="480" w:firstLineChars="200"/>
        <w:rPr>
          <w:rFonts w:ascii="宋体" w:hAnsi="宋体" w:cs="Times New Roman"/>
          <w:color w:val="auto"/>
          <w:sz w:val="24"/>
          <w:szCs w:val="24"/>
        </w:rPr>
      </w:pPr>
      <w:r>
        <w:rPr>
          <w:rFonts w:hint="eastAsia" w:ascii="宋体" w:hAnsi="宋体" w:cs="Times New Roman"/>
          <w:color w:val="auto"/>
          <w:sz w:val="24"/>
          <w:szCs w:val="24"/>
        </w:rPr>
        <w:t>注：1.投标人应如实列出以上情况，如有隐瞒，一经查实将导致其报价申请被拒绝。</w:t>
      </w:r>
    </w:p>
    <w:p w14:paraId="45E44574">
      <w:pPr>
        <w:tabs>
          <w:tab w:val="left" w:pos="8782"/>
        </w:tabs>
        <w:snapToGrid w:val="0"/>
        <w:spacing w:line="360" w:lineRule="auto"/>
        <w:ind w:firstLine="960" w:firstLineChars="400"/>
        <w:rPr>
          <w:rFonts w:ascii="宋体" w:hAnsi="宋体" w:cs="Times New Roman"/>
          <w:color w:val="auto"/>
          <w:sz w:val="24"/>
          <w:szCs w:val="24"/>
        </w:rPr>
      </w:pPr>
      <w:r>
        <w:rPr>
          <w:rFonts w:hint="eastAsia" w:ascii="宋体" w:hAnsi="宋体" w:cs="Times New Roman"/>
          <w:color w:val="auto"/>
          <w:sz w:val="24"/>
          <w:szCs w:val="24"/>
        </w:rPr>
        <w:t>2.投标人应提供双方签订的合同（合同复印件加盖公章装订在</w:t>
      </w:r>
      <w:r>
        <w:rPr>
          <w:rFonts w:hint="eastAsia" w:ascii="宋体" w:hAnsi="宋体" w:cs="Times New Roman"/>
          <w:color w:val="auto"/>
          <w:sz w:val="24"/>
          <w:szCs w:val="24"/>
          <w:lang w:eastAsia="zh-CN"/>
        </w:rPr>
        <w:t>响应文件</w:t>
      </w:r>
      <w:r>
        <w:rPr>
          <w:rFonts w:hint="eastAsia" w:ascii="宋体" w:hAnsi="宋体" w:cs="Times New Roman"/>
          <w:color w:val="auto"/>
          <w:sz w:val="24"/>
          <w:szCs w:val="24"/>
        </w:rPr>
        <w:t xml:space="preserve">中）。 </w:t>
      </w:r>
    </w:p>
    <w:p w14:paraId="74F85110">
      <w:pPr>
        <w:pStyle w:val="23"/>
        <w:rPr>
          <w:color w:val="auto"/>
        </w:rPr>
      </w:pPr>
    </w:p>
    <w:p w14:paraId="6245DB9E">
      <w:pPr>
        <w:pStyle w:val="23"/>
        <w:rPr>
          <w:color w:val="auto"/>
        </w:rPr>
      </w:pPr>
    </w:p>
    <w:p w14:paraId="13A54528">
      <w:pPr>
        <w:pStyle w:val="23"/>
        <w:rPr>
          <w:color w:val="auto"/>
        </w:rPr>
      </w:pPr>
    </w:p>
    <w:p w14:paraId="779D5DC1">
      <w:pPr>
        <w:adjustRightInd w:val="0"/>
        <w:snapToGrid w:val="0"/>
        <w:spacing w:line="480" w:lineRule="auto"/>
        <w:jc w:val="left"/>
        <w:rPr>
          <w:rFonts w:cs="Times New Roman"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供应商（单位名称及公章）：</w:t>
      </w:r>
      <w:r>
        <w:rPr>
          <w:rFonts w:cs="宋体" w:asciiTheme="minorEastAsia" w:hAnsiTheme="minorEastAsia" w:eastAsiaTheme="minorEastAsia"/>
          <w:color w:val="auto"/>
          <w:sz w:val="24"/>
          <w:szCs w:val="24"/>
        </w:rPr>
        <w:t>____________________</w:t>
      </w:r>
    </w:p>
    <w:p w14:paraId="749A6967">
      <w:pPr>
        <w:adjustRightInd w:val="0"/>
        <w:snapToGrid w:val="0"/>
        <w:spacing w:line="480" w:lineRule="auto"/>
        <w:rPr>
          <w:rFonts w:cs="Times New Roman"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法定代表人或被授权人（</w:t>
      </w:r>
      <w:r>
        <w:rPr>
          <w:rFonts w:hint="eastAsia" w:ascii="宋体" w:hAnsi="宋体" w:cs="宋体"/>
          <w:color w:val="auto"/>
          <w:sz w:val="24"/>
          <w:szCs w:val="24"/>
          <w:lang w:val="zh-CN"/>
        </w:rPr>
        <w:t>签字</w:t>
      </w:r>
      <w:r>
        <w:rPr>
          <w:rFonts w:hint="eastAsia" w:ascii="宋体" w:hAnsi="宋体" w:cs="宋体"/>
          <w:color w:val="auto"/>
          <w:sz w:val="24"/>
          <w:szCs w:val="24"/>
        </w:rPr>
        <w:t>或盖章</w:t>
      </w:r>
      <w:r>
        <w:rPr>
          <w:rFonts w:hint="eastAsia"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rPr>
        <w:t>____________________</w:t>
      </w:r>
    </w:p>
    <w:p w14:paraId="4D1B1FC7">
      <w:pPr>
        <w:adjustRightInd w:val="0"/>
        <w:snapToGrid w:val="0"/>
        <w:spacing w:line="480" w:lineRule="auto"/>
        <w:rPr>
          <w:rFonts w:ascii="宋体" w:cs="Times New Roman"/>
          <w:color w:val="auto"/>
        </w:rPr>
      </w:pPr>
      <w:r>
        <w:rPr>
          <w:rFonts w:hint="eastAsia" w:cs="宋体" w:asciiTheme="minorEastAsia" w:hAnsiTheme="minorEastAsia" w:eastAsiaTheme="minorEastAsia"/>
          <w:color w:val="auto"/>
          <w:sz w:val="24"/>
          <w:szCs w:val="24"/>
        </w:rPr>
        <w:t>日</w:t>
      </w:r>
      <w:r>
        <w:rPr>
          <w:rFonts w:cs="宋体" w:asciiTheme="minorEastAsia" w:hAnsiTheme="minorEastAsia" w:eastAsiaTheme="minorEastAsia"/>
          <w:color w:val="auto"/>
          <w:sz w:val="24"/>
          <w:szCs w:val="24"/>
        </w:rPr>
        <w:t xml:space="preserve">    </w:t>
      </w:r>
      <w:r>
        <w:rPr>
          <w:rFonts w:hint="eastAsia" w:cs="宋体" w:asciiTheme="minorEastAsia" w:hAnsiTheme="minorEastAsia" w:eastAsiaTheme="minorEastAsia"/>
          <w:color w:val="auto"/>
          <w:sz w:val="24"/>
          <w:szCs w:val="24"/>
        </w:rPr>
        <w:t>期：</w:t>
      </w:r>
      <w:r>
        <w:rPr>
          <w:rFonts w:cs="宋体" w:asciiTheme="minorEastAsia" w:hAnsiTheme="minorEastAsia" w:eastAsiaTheme="minorEastAsia"/>
          <w:color w:val="auto"/>
          <w:sz w:val="24"/>
          <w:szCs w:val="24"/>
        </w:rPr>
        <w:t>________</w:t>
      </w:r>
      <w:r>
        <w:rPr>
          <w:rFonts w:hint="eastAsia" w:cs="宋体" w:asciiTheme="minorEastAsia" w:hAnsiTheme="minorEastAsia" w:eastAsiaTheme="minorEastAsia"/>
          <w:color w:val="auto"/>
          <w:sz w:val="24"/>
          <w:szCs w:val="24"/>
        </w:rPr>
        <w:t>年</w:t>
      </w:r>
      <w:r>
        <w:rPr>
          <w:rFonts w:cs="宋体" w:asciiTheme="minorEastAsia" w:hAnsiTheme="minorEastAsia" w:eastAsiaTheme="minorEastAsia"/>
          <w:color w:val="auto"/>
          <w:sz w:val="24"/>
          <w:szCs w:val="24"/>
        </w:rPr>
        <w:t>________</w:t>
      </w:r>
      <w:r>
        <w:rPr>
          <w:rFonts w:hint="eastAsia" w:cs="宋体" w:asciiTheme="minorEastAsia" w:hAnsiTheme="minorEastAsia" w:eastAsiaTheme="minorEastAsia"/>
          <w:color w:val="auto"/>
          <w:sz w:val="24"/>
          <w:szCs w:val="24"/>
        </w:rPr>
        <w:t>月</w:t>
      </w:r>
      <w:r>
        <w:rPr>
          <w:rFonts w:cs="宋体" w:asciiTheme="minorEastAsia" w:hAnsiTheme="minorEastAsia" w:eastAsiaTheme="minorEastAsia"/>
          <w:color w:val="auto"/>
          <w:sz w:val="24"/>
          <w:szCs w:val="24"/>
        </w:rPr>
        <w:t>________</w:t>
      </w:r>
      <w:r>
        <w:rPr>
          <w:rFonts w:hint="eastAsia" w:cs="宋体" w:asciiTheme="minorEastAsia" w:hAnsiTheme="minorEastAsia" w:eastAsiaTheme="minorEastAsia"/>
          <w:color w:val="auto"/>
          <w:sz w:val="24"/>
          <w:szCs w:val="24"/>
        </w:rPr>
        <w:t>日</w:t>
      </w:r>
    </w:p>
    <w:bookmarkEnd w:id="182"/>
    <w:p w14:paraId="74044EE5">
      <w:pPr>
        <w:pStyle w:val="3"/>
        <w:keepNext/>
        <w:keepLines/>
        <w:pageBreakBefore w:val="0"/>
        <w:widowControl w:val="0"/>
        <w:kinsoku/>
        <w:wordWrap/>
        <w:overflowPunct/>
        <w:topLinePunct w:val="0"/>
        <w:autoSpaceDE/>
        <w:autoSpaceDN/>
        <w:bidi w:val="0"/>
        <w:adjustRightInd/>
        <w:snapToGrid/>
        <w:spacing w:line="413" w:lineRule="auto"/>
        <w:textAlignment w:val="auto"/>
        <w:rPr>
          <w:rFonts w:ascii="宋体" w:hAnsi="宋体" w:cs="宋体"/>
          <w:color w:val="auto"/>
          <w:sz w:val="32"/>
          <w:szCs w:val="32"/>
        </w:rPr>
      </w:pPr>
      <w:bookmarkStart w:id="193" w:name="_Toc10667"/>
      <w:bookmarkStart w:id="194" w:name="_Toc536429395"/>
      <w:bookmarkStart w:id="195" w:name="_Toc19543363"/>
      <w:bookmarkStart w:id="196" w:name="_Toc536202402"/>
      <w:bookmarkStart w:id="197" w:name="_Toc536202333"/>
      <w:bookmarkStart w:id="198" w:name="_Toc536429342"/>
      <w:bookmarkStart w:id="199" w:name="_Toc24683"/>
      <w:r>
        <w:rPr>
          <w:rFonts w:hint="eastAsia" w:ascii="宋体" w:hAnsi="宋体" w:cs="宋体"/>
          <w:color w:val="auto"/>
          <w:sz w:val="32"/>
          <w:szCs w:val="32"/>
        </w:rPr>
        <w:t>第</w:t>
      </w:r>
      <w:r>
        <w:rPr>
          <w:rFonts w:hint="eastAsia" w:ascii="宋体" w:hAnsi="宋体" w:cs="宋体"/>
          <w:color w:val="auto"/>
          <w:sz w:val="32"/>
          <w:szCs w:val="32"/>
          <w:lang w:val="en-US" w:eastAsia="zh-CN"/>
        </w:rPr>
        <w:t>六</w:t>
      </w:r>
      <w:r>
        <w:rPr>
          <w:rFonts w:hint="eastAsia" w:ascii="宋体" w:hAnsi="宋体" w:cs="宋体"/>
          <w:color w:val="auto"/>
          <w:sz w:val="32"/>
          <w:szCs w:val="32"/>
        </w:rPr>
        <w:t>章</w:t>
      </w:r>
      <w:r>
        <w:rPr>
          <w:rFonts w:ascii="宋体" w:hAnsi="宋体" w:cs="宋体"/>
          <w:color w:val="auto"/>
          <w:sz w:val="32"/>
          <w:szCs w:val="32"/>
        </w:rPr>
        <w:t xml:space="preserve">  </w:t>
      </w:r>
      <w:r>
        <w:rPr>
          <w:rFonts w:hint="eastAsia" w:ascii="宋体" w:hAnsi="宋体" w:cs="宋体"/>
          <w:color w:val="auto"/>
          <w:sz w:val="32"/>
          <w:szCs w:val="32"/>
        </w:rPr>
        <w:t>供应商承诺书</w:t>
      </w:r>
      <w:bookmarkEnd w:id="193"/>
      <w:bookmarkEnd w:id="194"/>
      <w:bookmarkEnd w:id="195"/>
      <w:bookmarkEnd w:id="196"/>
      <w:bookmarkEnd w:id="197"/>
      <w:bookmarkEnd w:id="198"/>
      <w:bookmarkEnd w:id="199"/>
    </w:p>
    <w:p w14:paraId="00CD2DDF">
      <w:pPr>
        <w:widowControl/>
        <w:spacing w:line="480" w:lineRule="exact"/>
        <w:jc w:val="center"/>
        <w:rPr>
          <w:rFonts w:cs="仿宋" w:asciiTheme="minorEastAsia" w:hAnsiTheme="minorEastAsia" w:eastAsiaTheme="minorEastAsia"/>
          <w:b/>
          <w:bCs w:val="0"/>
          <w:color w:val="auto"/>
          <w:kern w:val="0"/>
          <w:sz w:val="28"/>
          <w:szCs w:val="32"/>
        </w:rPr>
      </w:pPr>
      <w:r>
        <w:rPr>
          <w:rFonts w:hint="eastAsia" w:cs="仿宋" w:asciiTheme="minorEastAsia" w:hAnsiTheme="minorEastAsia" w:eastAsiaTheme="minorEastAsia"/>
          <w:b/>
          <w:bCs w:val="0"/>
          <w:color w:val="auto"/>
          <w:kern w:val="0"/>
          <w:sz w:val="28"/>
          <w:szCs w:val="32"/>
        </w:rPr>
        <w:t>政府采购供应商拒绝政府采购领域商业贿赂承诺书</w:t>
      </w:r>
    </w:p>
    <w:p w14:paraId="37F3D8B4">
      <w:pPr>
        <w:widowControl/>
        <w:spacing w:line="240" w:lineRule="exact"/>
        <w:ind w:firstLine="420" w:firstLineChars="200"/>
        <w:jc w:val="left"/>
        <w:rPr>
          <w:rFonts w:cs="仿宋" w:asciiTheme="minorEastAsia" w:hAnsiTheme="minorEastAsia" w:eastAsiaTheme="minorEastAsia"/>
          <w:bCs/>
          <w:color w:val="auto"/>
          <w:kern w:val="0"/>
        </w:rPr>
      </w:pPr>
    </w:p>
    <w:p w14:paraId="1588FE9A">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rPr>
        <w:t xml:space="preserve">为响应党中央、国务院关于治理政府采购领域商业贿赂行为的号召，我单位在此庄严承诺： </w:t>
      </w:r>
    </w:p>
    <w:p w14:paraId="059AE5C5">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1.</w:t>
      </w:r>
      <w:r>
        <w:rPr>
          <w:rFonts w:hint="eastAsia" w:cs="仿宋" w:asciiTheme="minorEastAsia" w:hAnsiTheme="minorEastAsia" w:eastAsiaTheme="minorEastAsia"/>
          <w:bCs/>
          <w:color w:val="auto"/>
          <w:kern w:val="0"/>
          <w:sz w:val="24"/>
          <w:szCs w:val="28"/>
        </w:rPr>
        <w:t xml:space="preserve">在参与政府采购活动中遵纪守法、诚信经营、公平竞标。 </w:t>
      </w:r>
    </w:p>
    <w:p w14:paraId="7E1A1E64">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2.</w:t>
      </w:r>
      <w:r>
        <w:rPr>
          <w:rFonts w:hint="eastAsia" w:cs="仿宋" w:asciiTheme="minorEastAsia" w:hAnsiTheme="minorEastAsia" w:eastAsiaTheme="minorEastAsia"/>
          <w:bCs/>
          <w:color w:val="auto"/>
          <w:kern w:val="0"/>
          <w:sz w:val="24"/>
          <w:szCs w:val="28"/>
        </w:rPr>
        <w:t xml:space="preserve">不向采购人、招标代理机构和政府采购评审专家进行任何形式的商业贿赂以谋取交易机会。 </w:t>
      </w:r>
    </w:p>
    <w:p w14:paraId="47FF4190">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3.</w:t>
      </w:r>
      <w:r>
        <w:rPr>
          <w:rFonts w:hint="eastAsia" w:cs="仿宋" w:asciiTheme="minorEastAsia" w:hAnsiTheme="minorEastAsia" w:eastAsiaTheme="minorEastAsia"/>
          <w:bCs/>
          <w:color w:val="auto"/>
          <w:kern w:val="0"/>
          <w:sz w:val="24"/>
          <w:szCs w:val="28"/>
        </w:rPr>
        <w:t xml:space="preserve">不向政府采购招标代理机构和采购人提供虚假资质文件或采用虚假应标方式参与政府采购市场竞争并谋取成交、成交。 </w:t>
      </w:r>
    </w:p>
    <w:p w14:paraId="38C7DEA2">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4.</w:t>
      </w:r>
      <w:r>
        <w:rPr>
          <w:rFonts w:hint="eastAsia" w:cs="仿宋" w:asciiTheme="minorEastAsia" w:hAnsiTheme="minorEastAsia" w:eastAsiaTheme="minorEastAsia"/>
          <w:bCs/>
          <w:color w:val="auto"/>
          <w:kern w:val="0"/>
          <w:sz w:val="24"/>
          <w:szCs w:val="28"/>
        </w:rPr>
        <w:t>不采取“围标、陪标”等商业欺诈手段获得政府采购</w:t>
      </w:r>
      <w:r>
        <w:rPr>
          <w:rFonts w:hint="eastAsia" w:cs="仿宋" w:asciiTheme="minorEastAsia" w:hAnsiTheme="minorEastAsia" w:eastAsiaTheme="minorEastAsia"/>
          <w:bCs/>
          <w:color w:val="auto"/>
          <w:kern w:val="0"/>
          <w:sz w:val="24"/>
          <w:szCs w:val="28"/>
          <w:lang w:eastAsia="zh-CN"/>
        </w:rPr>
        <w:t>订单</w:t>
      </w:r>
      <w:r>
        <w:rPr>
          <w:rFonts w:hint="eastAsia" w:cs="仿宋" w:asciiTheme="minorEastAsia" w:hAnsiTheme="minorEastAsia" w:eastAsiaTheme="minorEastAsia"/>
          <w:bCs/>
          <w:color w:val="auto"/>
          <w:kern w:val="0"/>
          <w:sz w:val="24"/>
          <w:szCs w:val="28"/>
        </w:rPr>
        <w:t xml:space="preserve">。 </w:t>
      </w:r>
    </w:p>
    <w:p w14:paraId="1AC41FFD">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5.</w:t>
      </w:r>
      <w:r>
        <w:rPr>
          <w:rFonts w:hint="eastAsia" w:cs="仿宋" w:asciiTheme="minorEastAsia" w:hAnsiTheme="minorEastAsia" w:eastAsiaTheme="minorEastAsia"/>
          <w:bCs/>
          <w:color w:val="auto"/>
          <w:kern w:val="0"/>
          <w:sz w:val="24"/>
          <w:szCs w:val="28"/>
        </w:rPr>
        <w:t>不采取不正当手段</w:t>
      </w:r>
      <w:r>
        <w:rPr>
          <w:rFonts w:hint="eastAsia" w:cs="仿宋" w:asciiTheme="minorEastAsia" w:hAnsiTheme="minorEastAsia" w:eastAsiaTheme="minorEastAsia"/>
          <w:bCs/>
          <w:color w:val="auto"/>
          <w:kern w:val="0"/>
          <w:sz w:val="24"/>
          <w:szCs w:val="28"/>
          <w:lang w:eastAsia="zh-CN"/>
        </w:rPr>
        <w:t>诋毁</w:t>
      </w:r>
      <w:r>
        <w:rPr>
          <w:rFonts w:hint="eastAsia" w:cs="仿宋" w:asciiTheme="minorEastAsia" w:hAnsiTheme="minorEastAsia" w:eastAsiaTheme="minorEastAsia"/>
          <w:bCs/>
          <w:color w:val="auto"/>
          <w:kern w:val="0"/>
          <w:sz w:val="24"/>
          <w:szCs w:val="28"/>
        </w:rPr>
        <w:t xml:space="preserve">、排挤其他供应商。 </w:t>
      </w:r>
    </w:p>
    <w:p w14:paraId="6BE93C94">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6.不再提供</w:t>
      </w:r>
      <w:r>
        <w:rPr>
          <w:rFonts w:hint="eastAsia" w:cs="仿宋" w:asciiTheme="minorEastAsia" w:hAnsiTheme="minorEastAsia" w:eastAsiaTheme="minorEastAsia"/>
          <w:bCs/>
          <w:color w:val="auto"/>
          <w:kern w:val="0"/>
          <w:sz w:val="24"/>
          <w:szCs w:val="28"/>
        </w:rPr>
        <w:t xml:space="preserve">商品和服务时“偷梁换柱、以次充好”损害采购人的合法权益。 </w:t>
      </w:r>
    </w:p>
    <w:p w14:paraId="3620EAC6">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7.</w:t>
      </w:r>
      <w:r>
        <w:rPr>
          <w:rFonts w:hint="eastAsia" w:cs="仿宋" w:asciiTheme="minorEastAsia" w:hAnsiTheme="minorEastAsia" w:eastAsiaTheme="minorEastAsia"/>
          <w:bCs/>
          <w:color w:val="auto"/>
          <w:kern w:val="0"/>
          <w:sz w:val="24"/>
          <w:szCs w:val="28"/>
        </w:rPr>
        <w:t>不与采购人、招标代理机构政府采购评审专家</w:t>
      </w:r>
      <w:r>
        <w:rPr>
          <w:rFonts w:hint="eastAsia" w:cs="仿宋" w:asciiTheme="minorEastAsia" w:hAnsiTheme="minorEastAsia" w:eastAsiaTheme="minorEastAsia"/>
          <w:bCs/>
          <w:color w:val="auto"/>
          <w:kern w:val="0"/>
          <w:sz w:val="24"/>
          <w:szCs w:val="28"/>
          <w:lang w:eastAsia="zh-CN"/>
        </w:rPr>
        <w:t>或其他</w:t>
      </w:r>
      <w:r>
        <w:rPr>
          <w:rFonts w:hint="eastAsia" w:cs="仿宋" w:asciiTheme="minorEastAsia" w:hAnsiTheme="minorEastAsia" w:eastAsiaTheme="minorEastAsia"/>
          <w:bCs/>
          <w:color w:val="auto"/>
          <w:kern w:val="0"/>
          <w:sz w:val="24"/>
          <w:szCs w:val="28"/>
        </w:rPr>
        <w:t xml:space="preserve">供应商恶意串通，进行质疑和投诉，维护政府采购市场秩序。 </w:t>
      </w:r>
    </w:p>
    <w:p w14:paraId="7ECE6DB5">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8.</w:t>
      </w:r>
      <w:r>
        <w:rPr>
          <w:rFonts w:hint="eastAsia" w:cs="仿宋" w:asciiTheme="minorEastAsia" w:hAnsiTheme="minorEastAsia" w:eastAsiaTheme="minorEastAsia"/>
          <w:bCs/>
          <w:color w:val="auto"/>
          <w:kern w:val="0"/>
          <w:sz w:val="24"/>
          <w:szCs w:val="28"/>
        </w:rPr>
        <w:t xml:space="preserve">尊重和接受政府采购监督管理部门的监督和政府招标代理机构招标要求，承担因违约行为给采购人造成的损失。 </w:t>
      </w:r>
    </w:p>
    <w:p w14:paraId="09C37753">
      <w:pPr>
        <w:widowControl/>
        <w:spacing w:line="440" w:lineRule="exact"/>
        <w:ind w:firstLine="480" w:firstLineChars="200"/>
        <w:rPr>
          <w:rFonts w:cs="仿宋" w:asciiTheme="minorEastAsia" w:hAnsiTheme="minorEastAsia" w:eastAsiaTheme="minorEastAsia"/>
          <w:bCs/>
          <w:color w:val="auto"/>
          <w:kern w:val="0"/>
          <w:sz w:val="22"/>
          <w:szCs w:val="24"/>
        </w:rPr>
      </w:pPr>
      <w:r>
        <w:rPr>
          <w:rFonts w:hint="eastAsia" w:cs="仿宋" w:asciiTheme="minorEastAsia" w:hAnsiTheme="minorEastAsia" w:eastAsiaTheme="minorEastAsia"/>
          <w:bCs/>
          <w:color w:val="auto"/>
          <w:kern w:val="0"/>
          <w:sz w:val="24"/>
          <w:szCs w:val="28"/>
          <w:lang w:eastAsia="zh-CN"/>
        </w:rPr>
        <w:t>9.</w:t>
      </w:r>
      <w:r>
        <w:rPr>
          <w:rFonts w:hint="eastAsia" w:cs="仿宋" w:asciiTheme="minorEastAsia" w:hAnsiTheme="minorEastAsia" w:eastAsiaTheme="minorEastAsia"/>
          <w:bCs/>
          <w:color w:val="auto"/>
          <w:kern w:val="0"/>
          <w:sz w:val="24"/>
          <w:szCs w:val="28"/>
        </w:rPr>
        <w:t xml:space="preserve">不发生其他有悖于政府采购公开、公平、公正和诚信原则的行为。 </w:t>
      </w:r>
    </w:p>
    <w:p w14:paraId="03857F17">
      <w:pPr>
        <w:widowControl/>
        <w:spacing w:line="440" w:lineRule="exact"/>
        <w:ind w:firstLine="960" w:firstLineChars="400"/>
        <w:rPr>
          <w:rFonts w:cs="仿宋" w:asciiTheme="minorEastAsia" w:hAnsiTheme="minorEastAsia" w:eastAsiaTheme="minorEastAsia"/>
          <w:bCs/>
          <w:color w:val="auto"/>
          <w:kern w:val="0"/>
          <w:sz w:val="24"/>
          <w:szCs w:val="28"/>
        </w:rPr>
      </w:pPr>
    </w:p>
    <w:p w14:paraId="0B296E04">
      <w:pPr>
        <w:widowControl/>
        <w:spacing w:line="440" w:lineRule="exact"/>
        <w:ind w:firstLine="960" w:firstLineChars="4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承诺单位：</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（盖章）</w:t>
      </w:r>
    </w:p>
    <w:p w14:paraId="4910565F">
      <w:pPr>
        <w:widowControl/>
        <w:spacing w:line="440" w:lineRule="exact"/>
        <w:ind w:firstLine="480" w:firstLineChars="2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全权代表：</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w:t>
      </w:r>
      <w:r>
        <w:rPr>
          <w:rFonts w:hint="eastAsia" w:ascii="宋体" w:hAnsi="宋体" w:cs="宋体"/>
          <w:color w:val="auto"/>
          <w:sz w:val="24"/>
          <w:szCs w:val="24"/>
          <w:lang w:val="zh-CN"/>
        </w:rPr>
        <w:t>签字</w:t>
      </w:r>
      <w:r>
        <w:rPr>
          <w:rFonts w:hint="eastAsia" w:ascii="宋体" w:hAnsi="宋体" w:cs="宋体"/>
          <w:color w:val="auto"/>
          <w:sz w:val="24"/>
          <w:szCs w:val="24"/>
        </w:rPr>
        <w:t>或盖章</w:t>
      </w:r>
      <w:r>
        <w:rPr>
          <w:rFonts w:hint="eastAsia" w:cs="仿宋" w:asciiTheme="minorEastAsia" w:hAnsiTheme="minorEastAsia" w:eastAsiaTheme="minorEastAsia"/>
          <w:bCs/>
          <w:color w:val="auto"/>
          <w:kern w:val="0"/>
          <w:sz w:val="24"/>
          <w:szCs w:val="28"/>
        </w:rPr>
        <w:t xml:space="preserve">） </w:t>
      </w:r>
    </w:p>
    <w:p w14:paraId="6D64F7C3">
      <w:pPr>
        <w:widowControl/>
        <w:spacing w:line="520" w:lineRule="exact"/>
        <w:ind w:firstLine="480" w:firstLineChars="200"/>
        <w:rPr>
          <w:rFonts w:cs="仿宋" w:asciiTheme="minorEastAsia" w:hAnsiTheme="minorEastAsia" w:eastAsiaTheme="minorEastAsia"/>
          <w:bCs/>
          <w:color w:val="auto"/>
          <w:kern w:val="0"/>
          <w:sz w:val="24"/>
          <w:szCs w:val="28"/>
          <w:u w:val="single"/>
        </w:rPr>
      </w:pPr>
      <w:r>
        <w:rPr>
          <w:rFonts w:hint="eastAsia" w:cs="仿宋" w:asciiTheme="minorEastAsia" w:hAnsiTheme="minorEastAsia" w:eastAsiaTheme="minorEastAsia"/>
          <w:bCs/>
          <w:color w:val="auto"/>
          <w:kern w:val="0"/>
          <w:sz w:val="24"/>
          <w:szCs w:val="28"/>
        </w:rPr>
        <w:t xml:space="preserve">    地　　址：</w:t>
      </w:r>
      <w:r>
        <w:rPr>
          <w:rFonts w:hint="eastAsia" w:cs="仿宋" w:asciiTheme="minorEastAsia" w:hAnsiTheme="minorEastAsia" w:eastAsiaTheme="minorEastAsia"/>
          <w:bCs/>
          <w:color w:val="auto"/>
          <w:kern w:val="0"/>
          <w:sz w:val="24"/>
          <w:szCs w:val="28"/>
          <w:u w:val="single"/>
        </w:rPr>
        <w:t xml:space="preserve">                              </w:t>
      </w:r>
    </w:p>
    <w:p w14:paraId="138B1006">
      <w:pPr>
        <w:widowControl/>
        <w:spacing w:line="520" w:lineRule="exact"/>
        <w:ind w:firstLine="480" w:firstLineChars="2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xml:space="preserve">    邮    编：</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u w:val="single"/>
          <w:lang w:val="en-US" w:eastAsia="zh-CN"/>
        </w:rPr>
        <w:t xml:space="preserve"> </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   </w:t>
      </w:r>
    </w:p>
    <w:p w14:paraId="0195E3A2">
      <w:pPr>
        <w:widowControl/>
        <w:spacing w:line="520" w:lineRule="exact"/>
        <w:ind w:firstLine="720" w:firstLineChars="3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电　　话：</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 xml:space="preserve">　　 </w:t>
      </w:r>
    </w:p>
    <w:p w14:paraId="4A563F5D">
      <w:pPr>
        <w:widowControl/>
        <w:spacing w:line="340" w:lineRule="exact"/>
        <w:rPr>
          <w:rFonts w:cs="仿宋" w:asciiTheme="minorEastAsia" w:hAnsiTheme="minorEastAsia" w:eastAsiaTheme="minorEastAsia"/>
          <w:bCs/>
          <w:color w:val="auto"/>
          <w:kern w:val="0"/>
          <w:sz w:val="24"/>
          <w:szCs w:val="28"/>
        </w:rPr>
      </w:pPr>
    </w:p>
    <w:p w14:paraId="3500C9FD">
      <w:pPr>
        <w:widowControl/>
        <w:spacing w:line="340" w:lineRule="exact"/>
        <w:ind w:firstLine="4920" w:firstLineChars="2050"/>
        <w:rPr>
          <w:rFonts w:cs="仿宋" w:asciiTheme="minorEastAsia" w:hAnsiTheme="minorEastAsia" w:eastAsiaTheme="minorEastAsia"/>
          <w:bCs/>
          <w:color w:val="auto"/>
          <w:sz w:val="36"/>
          <w:szCs w:val="40"/>
        </w:rPr>
      </w:pPr>
      <w:r>
        <w:rPr>
          <w:rFonts w:hint="eastAsia" w:cs="仿宋" w:asciiTheme="minorEastAsia" w:hAnsiTheme="minorEastAsia" w:eastAsiaTheme="minorEastAsia"/>
          <w:bCs/>
          <w:color w:val="auto"/>
          <w:kern w:val="0"/>
          <w:sz w:val="24"/>
          <w:szCs w:val="28"/>
        </w:rPr>
        <w:t>年　　月　　日</w:t>
      </w:r>
    </w:p>
    <w:p w14:paraId="065475BE">
      <w:pPr>
        <w:widowControl/>
        <w:spacing w:line="640" w:lineRule="exact"/>
        <w:jc w:val="center"/>
        <w:rPr>
          <w:rFonts w:cs="仿宋" w:asciiTheme="minorEastAsia" w:hAnsiTheme="minorEastAsia" w:eastAsiaTheme="minorEastAsia"/>
          <w:bCs/>
          <w:color w:val="auto"/>
          <w:sz w:val="36"/>
          <w:szCs w:val="40"/>
        </w:rPr>
      </w:pPr>
    </w:p>
    <w:p w14:paraId="37C31C4B">
      <w:pPr>
        <w:widowControl/>
        <w:tabs>
          <w:tab w:val="left" w:pos="3930"/>
        </w:tabs>
        <w:spacing w:line="400" w:lineRule="exact"/>
        <w:jc w:val="left"/>
        <w:rPr>
          <w:rFonts w:cs="仿宋" w:asciiTheme="minorEastAsia" w:hAnsiTheme="minorEastAsia" w:eastAsiaTheme="minorEastAsia"/>
          <w:bCs/>
          <w:color w:val="auto"/>
          <w:sz w:val="40"/>
          <w:szCs w:val="40"/>
        </w:rPr>
      </w:pPr>
      <w:r>
        <w:rPr>
          <w:rFonts w:hint="eastAsia" w:cs="仿宋" w:asciiTheme="minorEastAsia" w:hAnsiTheme="minorEastAsia" w:eastAsiaTheme="minorEastAsia"/>
          <w:bCs/>
          <w:color w:val="auto"/>
          <w:sz w:val="40"/>
          <w:szCs w:val="40"/>
        </w:rPr>
        <w:tab/>
      </w:r>
    </w:p>
    <w:p w14:paraId="29A50DA2">
      <w:pPr>
        <w:widowControl/>
        <w:jc w:val="left"/>
        <w:rPr>
          <w:rFonts w:cs="仿宋" w:asciiTheme="minorEastAsia" w:hAnsiTheme="minorEastAsia" w:eastAsiaTheme="minorEastAsia"/>
          <w:bCs/>
          <w:color w:val="auto"/>
          <w:kern w:val="0"/>
          <w:sz w:val="32"/>
          <w:szCs w:val="32"/>
        </w:rPr>
      </w:pPr>
    </w:p>
    <w:p w14:paraId="51130DB3">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auto"/>
          <w:kern w:val="0"/>
          <w:sz w:val="32"/>
          <w:szCs w:val="32"/>
        </w:rPr>
      </w:pPr>
    </w:p>
    <w:p w14:paraId="7289363C">
      <w:pPr>
        <w:widowControl/>
        <w:shd w:val="clear" w:color="auto" w:fill="FFFFFF"/>
        <w:spacing w:before="100" w:beforeAutospacing="1" w:after="100" w:afterAutospacing="1" w:line="400" w:lineRule="exact"/>
        <w:jc w:val="center"/>
        <w:rPr>
          <w:rFonts w:cs="仿宋" w:asciiTheme="minorEastAsia" w:hAnsiTheme="minorEastAsia" w:eastAsiaTheme="minorEastAsia"/>
          <w:b/>
          <w:color w:val="auto"/>
          <w:kern w:val="0"/>
          <w:sz w:val="22"/>
          <w:szCs w:val="22"/>
        </w:rPr>
      </w:pPr>
      <w:r>
        <w:rPr>
          <w:rFonts w:hint="eastAsia" w:cs="仿宋" w:asciiTheme="minorEastAsia" w:hAnsiTheme="minorEastAsia" w:eastAsiaTheme="minorEastAsia"/>
          <w:b/>
          <w:color w:val="auto"/>
          <w:kern w:val="0"/>
          <w:sz w:val="28"/>
          <w:szCs w:val="28"/>
        </w:rPr>
        <w:t>承诺书Ⅱ</w:t>
      </w:r>
    </w:p>
    <w:p w14:paraId="57B01AEE">
      <w:pPr>
        <w:widowControl/>
        <w:spacing w:line="440" w:lineRule="exact"/>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致：安康尚昊招标代理有限公司</w:t>
      </w:r>
    </w:p>
    <w:p w14:paraId="2C7394EF">
      <w:pPr>
        <w:widowControl/>
        <w:spacing w:line="440" w:lineRule="exact"/>
        <w:ind w:firstLine="472" w:firstLineChars="197"/>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为了诚实、客观、有序地参与政府采购活动，愿就以下内容作出承诺：</w:t>
      </w:r>
    </w:p>
    <w:p w14:paraId="313740F0">
      <w:pPr>
        <w:widowControl/>
        <w:spacing w:line="440" w:lineRule="exact"/>
        <w:ind w:firstLine="472" w:firstLineChars="197"/>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lang w:eastAsia="zh-CN"/>
        </w:rPr>
        <w:t>1.</w:t>
      </w:r>
      <w:r>
        <w:rPr>
          <w:rFonts w:hint="eastAsia" w:cs="Times New Roman" w:asciiTheme="minorEastAsia" w:hAnsiTheme="minorEastAsia" w:eastAsiaTheme="minorEastAsia"/>
          <w:color w:val="auto"/>
          <w:sz w:val="24"/>
          <w:szCs w:val="28"/>
        </w:rPr>
        <w:t>参加采购代理机构组织的政府采购活动时，严格按照磋商文件的规定和要求提供所需的相关材料，并对所提供的各类资料的真实性负责，不虚假应标，不虚列业绩。</w:t>
      </w:r>
    </w:p>
    <w:p w14:paraId="4908E045">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2.</w:t>
      </w:r>
      <w:r>
        <w:rPr>
          <w:rFonts w:hint="eastAsia" w:cs="仿宋" w:asciiTheme="minorEastAsia" w:hAnsiTheme="minorEastAsia" w:eastAsiaTheme="minorEastAsia"/>
          <w:bCs/>
          <w:color w:val="auto"/>
          <w:kern w:val="0"/>
          <w:sz w:val="24"/>
          <w:szCs w:val="28"/>
        </w:rPr>
        <w:t>尊重参与政府采购活动各相关方的合法行为，接受政府采购活动依法形成的意见、结果。</w:t>
      </w:r>
    </w:p>
    <w:p w14:paraId="42F98668">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3.</w:t>
      </w:r>
      <w:r>
        <w:rPr>
          <w:rFonts w:hint="eastAsia" w:cs="仿宋" w:asciiTheme="minorEastAsia" w:hAnsiTheme="minorEastAsia" w:eastAsiaTheme="minorEastAsia"/>
          <w:bCs/>
          <w:color w:val="auto"/>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次（没有填零），如有隐瞒实情，愿承担一切责任及后果。</w:t>
      </w:r>
    </w:p>
    <w:p w14:paraId="1CE661B4">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4.</w:t>
      </w:r>
      <w:r>
        <w:rPr>
          <w:rFonts w:hint="eastAsia" w:cs="仿宋" w:asciiTheme="minorEastAsia" w:hAnsiTheme="minorEastAsia" w:eastAsiaTheme="minorEastAsia"/>
          <w:bCs/>
          <w:color w:val="auto"/>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35A555C6">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5.</w:t>
      </w:r>
      <w:r>
        <w:rPr>
          <w:rFonts w:hint="eastAsia" w:cs="仿宋" w:asciiTheme="minorEastAsia" w:hAnsiTheme="minorEastAsia" w:eastAsiaTheme="minorEastAsia"/>
          <w:bCs/>
          <w:color w:val="auto"/>
          <w:kern w:val="0"/>
          <w:sz w:val="24"/>
          <w:szCs w:val="28"/>
        </w:rPr>
        <w:t>近三年受到有关行政主管部门的行政处理、不良行为记录为</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次（没有填零），如有隐瞒实情，愿承担一切责任及后果。</w:t>
      </w:r>
    </w:p>
    <w:p w14:paraId="3BC8D1F4">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6.</w:t>
      </w:r>
      <w:r>
        <w:rPr>
          <w:rFonts w:hint="eastAsia" w:cs="仿宋" w:asciiTheme="minorEastAsia" w:hAnsiTheme="minorEastAsia" w:eastAsiaTheme="minorEastAsia"/>
          <w:bCs/>
          <w:color w:val="auto"/>
          <w:kern w:val="0"/>
          <w:sz w:val="24"/>
          <w:szCs w:val="28"/>
        </w:rPr>
        <w:t>参加本次磋商提交的所有</w:t>
      </w:r>
      <w:r>
        <w:rPr>
          <w:rFonts w:hint="eastAsia" w:cs="仿宋" w:asciiTheme="minorEastAsia" w:hAnsiTheme="minorEastAsia" w:eastAsiaTheme="minorEastAsia"/>
          <w:bCs/>
          <w:color w:val="auto"/>
          <w:kern w:val="0"/>
          <w:sz w:val="24"/>
          <w:szCs w:val="28"/>
          <w:lang w:val="en-US" w:eastAsia="zh-CN"/>
        </w:rPr>
        <w:t>资格</w:t>
      </w:r>
      <w:r>
        <w:rPr>
          <w:rFonts w:hint="eastAsia" w:cs="仿宋" w:asciiTheme="minorEastAsia" w:hAnsiTheme="minorEastAsia" w:eastAsiaTheme="minorEastAsia"/>
          <w:bCs/>
          <w:color w:val="auto"/>
          <w:kern w:val="0"/>
          <w:sz w:val="24"/>
          <w:szCs w:val="28"/>
        </w:rPr>
        <w:t>证明文件及业绩证明是真实的、有效的，如有隐瞒实情，愿承担一切责任及后果。</w:t>
      </w:r>
    </w:p>
    <w:p w14:paraId="4CFC98A7">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7.</w:t>
      </w:r>
      <w:r>
        <w:rPr>
          <w:rFonts w:hint="eastAsia" w:cs="仿宋" w:asciiTheme="minorEastAsia" w:hAnsiTheme="minorEastAsia" w:eastAsiaTheme="minorEastAsia"/>
          <w:bCs/>
          <w:color w:val="auto"/>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71FF43F8">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8.</w:t>
      </w:r>
      <w:r>
        <w:rPr>
          <w:rFonts w:hint="eastAsia" w:cs="仿宋" w:asciiTheme="minorEastAsia" w:hAnsiTheme="minorEastAsia" w:eastAsiaTheme="minorEastAsia"/>
          <w:bCs/>
          <w:color w:val="auto"/>
          <w:kern w:val="0"/>
          <w:sz w:val="24"/>
          <w:szCs w:val="28"/>
        </w:rPr>
        <w:t>认真履行成交单位应承担的责任和义务，全面执行采购合同规定的各项内容，保质保量地按时提供采购物品。</w:t>
      </w:r>
    </w:p>
    <w:p w14:paraId="39AB471A">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若本企业（单位）发生有悖于上述承诺的行为，愿意接受《中华人民共和国政府采购法》和《中华人民共和国政府采购法实施条例》中对响应单位的相关处理。</w:t>
      </w:r>
    </w:p>
    <w:p w14:paraId="1DE402C5">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本承诺是采购项目响应文件的组成部分。</w:t>
      </w:r>
    </w:p>
    <w:p w14:paraId="7E916807">
      <w:pPr>
        <w:widowControl/>
        <w:shd w:val="clear" w:color="auto" w:fill="FFFFFF"/>
        <w:spacing w:line="440" w:lineRule="exact"/>
        <w:ind w:firstLine="2152" w:firstLineChars="897"/>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承诺单位：</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（盖章）</w:t>
      </w:r>
    </w:p>
    <w:p w14:paraId="4FFFA6A6">
      <w:pPr>
        <w:widowControl/>
        <w:shd w:val="clear" w:color="auto" w:fill="FFFFFF"/>
        <w:spacing w:line="440" w:lineRule="exact"/>
        <w:ind w:firstLine="2152" w:firstLineChars="897"/>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全权代表：</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w:t>
      </w:r>
      <w:r>
        <w:rPr>
          <w:rFonts w:hint="eastAsia" w:ascii="宋体" w:hAnsi="宋体" w:cs="宋体"/>
          <w:color w:val="auto"/>
          <w:sz w:val="24"/>
          <w:szCs w:val="24"/>
          <w:lang w:val="zh-CN"/>
        </w:rPr>
        <w:t>签字</w:t>
      </w:r>
      <w:r>
        <w:rPr>
          <w:rFonts w:hint="eastAsia" w:ascii="宋体" w:hAnsi="宋体" w:cs="宋体"/>
          <w:color w:val="auto"/>
          <w:sz w:val="24"/>
          <w:szCs w:val="24"/>
        </w:rPr>
        <w:t>或盖章</w:t>
      </w:r>
      <w:r>
        <w:rPr>
          <w:rFonts w:hint="eastAsia" w:cs="仿宋" w:asciiTheme="minorEastAsia" w:hAnsiTheme="minorEastAsia" w:eastAsiaTheme="minorEastAsia"/>
          <w:bCs/>
          <w:color w:val="auto"/>
          <w:kern w:val="0"/>
          <w:sz w:val="24"/>
          <w:szCs w:val="28"/>
        </w:rPr>
        <w:t>）</w:t>
      </w:r>
    </w:p>
    <w:p w14:paraId="02929F93">
      <w:pPr>
        <w:widowControl/>
        <w:shd w:val="clear" w:color="auto" w:fill="FFFFFF"/>
        <w:spacing w:line="440" w:lineRule="exact"/>
        <w:ind w:firstLine="2152" w:firstLineChars="897"/>
        <w:rPr>
          <w:rFonts w:cs="仿宋" w:asciiTheme="minorEastAsia" w:hAnsiTheme="minorEastAsia" w:eastAsiaTheme="minorEastAsia"/>
          <w:bCs/>
          <w:color w:val="auto"/>
          <w:sz w:val="24"/>
          <w:szCs w:val="28"/>
        </w:rPr>
      </w:pPr>
      <w:r>
        <w:rPr>
          <w:rFonts w:hint="eastAsia" w:cs="仿宋" w:asciiTheme="minorEastAsia" w:hAnsiTheme="minorEastAsia" w:eastAsiaTheme="minorEastAsia"/>
          <w:bCs/>
          <w:color w:val="auto"/>
          <w:kern w:val="0"/>
          <w:sz w:val="24"/>
          <w:szCs w:val="28"/>
        </w:rPr>
        <w:t>日    期：</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年</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月</w:t>
      </w:r>
      <w:r>
        <w:rPr>
          <w:rFonts w:hint="eastAsia" w:cs="仿宋" w:asciiTheme="minorEastAsia" w:hAnsiTheme="minorEastAsia" w:eastAsiaTheme="minorEastAsia"/>
          <w:bCs/>
          <w:color w:val="auto"/>
          <w:sz w:val="28"/>
          <w:szCs w:val="32"/>
          <w:u w:val="single"/>
        </w:rPr>
        <w:t xml:space="preserve">    </w:t>
      </w:r>
      <w:r>
        <w:rPr>
          <w:rFonts w:hint="eastAsia" w:cs="仿宋" w:asciiTheme="minorEastAsia" w:hAnsiTheme="minorEastAsia" w:eastAsiaTheme="minorEastAsia"/>
          <w:bCs/>
          <w:color w:val="auto"/>
          <w:sz w:val="24"/>
          <w:szCs w:val="28"/>
        </w:rPr>
        <w:t>日</w:t>
      </w:r>
    </w:p>
    <w:p w14:paraId="09067856">
      <w:pPr>
        <w:pStyle w:val="3"/>
        <w:adjustRightInd w:val="0"/>
        <w:spacing w:line="416" w:lineRule="atLeast"/>
        <w:textAlignment w:val="baseline"/>
        <w:rPr>
          <w:rFonts w:ascii="宋体" w:hAnsi="宋体" w:cs="宋体"/>
          <w:color w:val="auto"/>
        </w:rPr>
      </w:pPr>
      <w:bookmarkStart w:id="200" w:name="_Toc536429396"/>
      <w:bookmarkStart w:id="201" w:name="_Toc536202403"/>
      <w:bookmarkStart w:id="202" w:name="_Toc536429343"/>
      <w:bookmarkStart w:id="203" w:name="_Toc25514"/>
      <w:bookmarkStart w:id="204" w:name="_Toc536202334"/>
    </w:p>
    <w:bookmarkEnd w:id="0"/>
    <w:bookmarkEnd w:id="200"/>
    <w:bookmarkEnd w:id="201"/>
    <w:bookmarkEnd w:id="202"/>
    <w:bookmarkEnd w:id="203"/>
    <w:bookmarkEnd w:id="204"/>
    <w:p w14:paraId="29B291BD">
      <w:pPr>
        <w:widowControl/>
        <w:jc w:val="left"/>
        <w:rPr>
          <w:color w:val="auto"/>
          <w:sz w:val="24"/>
          <w:szCs w:val="28"/>
        </w:rPr>
      </w:pPr>
    </w:p>
    <w:p w14:paraId="153B6C26">
      <w:pPr>
        <w:pStyle w:val="12"/>
        <w:rPr>
          <w:color w:val="auto"/>
          <w:sz w:val="24"/>
          <w:szCs w:val="28"/>
        </w:rPr>
      </w:pPr>
    </w:p>
    <w:p w14:paraId="2DF1B956">
      <w:pPr>
        <w:rPr>
          <w:color w:val="auto"/>
          <w:sz w:val="24"/>
          <w:szCs w:val="28"/>
        </w:rPr>
      </w:pPr>
    </w:p>
    <w:p w14:paraId="4D577E03">
      <w:pPr>
        <w:pStyle w:val="12"/>
        <w:rPr>
          <w:color w:val="auto"/>
          <w:sz w:val="24"/>
          <w:szCs w:val="28"/>
        </w:rPr>
        <w:sectPr>
          <w:footerReference r:id="rId22" w:type="first"/>
          <w:footerReference r:id="rId21" w:type="default"/>
          <w:pgSz w:w="11906" w:h="16838"/>
          <w:pgMar w:top="1417" w:right="1417" w:bottom="1417" w:left="1417" w:header="1134" w:footer="992" w:gutter="0"/>
          <w:pgBorders>
            <w:top w:val="none" w:sz="0" w:space="0"/>
            <w:left w:val="none" w:sz="0" w:space="0"/>
            <w:bottom w:val="none" w:sz="0" w:space="0"/>
            <w:right w:val="none" w:sz="0" w:space="0"/>
          </w:pgBorders>
          <w:pgNumType w:fmt="decimal"/>
          <w:cols w:space="0" w:num="1"/>
          <w:titlePg/>
          <w:docGrid w:type="lines" w:linePitch="326" w:charSpace="0"/>
        </w:sectPr>
      </w:pPr>
    </w:p>
    <w:p w14:paraId="788D1FFC">
      <w:pPr>
        <w:rPr>
          <w:color w:val="auto"/>
        </w:rPr>
      </w:pPr>
    </w:p>
    <w:p w14:paraId="2A06850F">
      <w:pPr>
        <w:pStyle w:val="23"/>
        <w:rPr>
          <w:color w:val="auto"/>
        </w:rPr>
      </w:pPr>
    </w:p>
    <w:p w14:paraId="6D536D9C">
      <w:pPr>
        <w:pStyle w:val="23"/>
        <w:rPr>
          <w:color w:val="auto"/>
        </w:rPr>
      </w:pPr>
    </w:p>
    <w:p w14:paraId="6E3EF1A8">
      <w:pPr>
        <w:pStyle w:val="23"/>
        <w:rPr>
          <w:color w:val="auto"/>
        </w:rPr>
      </w:pPr>
    </w:p>
    <w:p w14:paraId="1781D8FB">
      <w:pPr>
        <w:pStyle w:val="23"/>
        <w:rPr>
          <w:color w:val="auto"/>
        </w:rPr>
      </w:pPr>
    </w:p>
    <w:p w14:paraId="7B35E6A3">
      <w:pPr>
        <w:pStyle w:val="23"/>
        <w:rPr>
          <w:color w:val="auto"/>
        </w:rPr>
      </w:pPr>
    </w:p>
    <w:p w14:paraId="1676252C">
      <w:pPr>
        <w:pStyle w:val="23"/>
        <w:rPr>
          <w:color w:val="auto"/>
        </w:rPr>
      </w:pPr>
    </w:p>
    <w:p w14:paraId="13558132">
      <w:pPr>
        <w:pStyle w:val="23"/>
        <w:rPr>
          <w:color w:val="auto"/>
        </w:rPr>
      </w:pPr>
    </w:p>
    <w:p w14:paraId="7317F6CC">
      <w:pPr>
        <w:pStyle w:val="23"/>
        <w:rPr>
          <w:color w:val="auto"/>
        </w:rPr>
      </w:pPr>
    </w:p>
    <w:p w14:paraId="74299A6F">
      <w:pPr>
        <w:pStyle w:val="23"/>
        <w:rPr>
          <w:color w:val="auto"/>
        </w:rPr>
      </w:pPr>
    </w:p>
    <w:p w14:paraId="558E9CC7">
      <w:pPr>
        <w:pStyle w:val="23"/>
        <w:rPr>
          <w:color w:val="auto"/>
        </w:rPr>
      </w:pPr>
    </w:p>
    <w:p w14:paraId="6A4F7824">
      <w:pPr>
        <w:pStyle w:val="23"/>
        <w:rPr>
          <w:color w:val="auto"/>
        </w:rPr>
      </w:pPr>
    </w:p>
    <w:p w14:paraId="4EACD6EE">
      <w:pPr>
        <w:pStyle w:val="23"/>
        <w:rPr>
          <w:color w:val="auto"/>
        </w:rPr>
      </w:pPr>
    </w:p>
    <w:p w14:paraId="3EF830C7">
      <w:pPr>
        <w:pStyle w:val="23"/>
        <w:rPr>
          <w:color w:val="auto"/>
        </w:rPr>
      </w:pPr>
    </w:p>
    <w:p w14:paraId="3B60CCCD">
      <w:pPr>
        <w:pStyle w:val="23"/>
        <w:rPr>
          <w:color w:val="auto"/>
        </w:rPr>
      </w:pPr>
    </w:p>
    <w:p w14:paraId="7B790FF1">
      <w:pPr>
        <w:pStyle w:val="23"/>
        <w:rPr>
          <w:color w:val="auto"/>
        </w:rPr>
      </w:pPr>
    </w:p>
    <w:p w14:paraId="64A33E46">
      <w:pPr>
        <w:pStyle w:val="23"/>
        <w:rPr>
          <w:color w:val="auto"/>
        </w:rPr>
      </w:pPr>
    </w:p>
    <w:p w14:paraId="1C16210D">
      <w:pPr>
        <w:pStyle w:val="23"/>
        <w:rPr>
          <w:color w:val="auto"/>
        </w:rPr>
      </w:pPr>
    </w:p>
    <w:p w14:paraId="4252DED8">
      <w:pPr>
        <w:pStyle w:val="23"/>
        <w:rPr>
          <w:color w:val="auto"/>
        </w:rPr>
      </w:pPr>
    </w:p>
    <w:p w14:paraId="1618FAEB">
      <w:pPr>
        <w:pStyle w:val="23"/>
        <w:rPr>
          <w:color w:val="auto"/>
        </w:rPr>
      </w:pPr>
    </w:p>
    <w:p w14:paraId="3FF2123E">
      <w:pPr>
        <w:pStyle w:val="23"/>
        <w:rPr>
          <w:color w:val="auto"/>
        </w:rPr>
      </w:pPr>
    </w:p>
    <w:p w14:paraId="1A6CBE9A">
      <w:pPr>
        <w:pStyle w:val="23"/>
        <w:rPr>
          <w:color w:val="auto"/>
        </w:rPr>
      </w:pPr>
    </w:p>
    <w:p w14:paraId="3F43E0C8">
      <w:pPr>
        <w:pStyle w:val="23"/>
        <w:rPr>
          <w:color w:val="auto"/>
        </w:rPr>
      </w:pPr>
    </w:p>
    <w:p w14:paraId="33D8CD95">
      <w:pPr>
        <w:pStyle w:val="23"/>
        <w:rPr>
          <w:color w:val="auto"/>
        </w:rPr>
      </w:pPr>
    </w:p>
    <w:p w14:paraId="05BA5D89">
      <w:pPr>
        <w:pStyle w:val="23"/>
        <w:rPr>
          <w:color w:val="auto"/>
        </w:rPr>
      </w:pPr>
    </w:p>
    <w:p w14:paraId="59D7A27B">
      <w:pPr>
        <w:pStyle w:val="23"/>
        <w:rPr>
          <w:color w:val="auto"/>
        </w:rPr>
      </w:pPr>
    </w:p>
    <w:p w14:paraId="6A5EE0C2">
      <w:pPr>
        <w:pStyle w:val="23"/>
        <w:rPr>
          <w:color w:val="auto"/>
        </w:rPr>
      </w:pPr>
    </w:p>
    <w:p w14:paraId="463F3918">
      <w:pPr>
        <w:pStyle w:val="23"/>
        <w:rPr>
          <w:color w:val="auto"/>
        </w:rPr>
      </w:pPr>
    </w:p>
    <w:p w14:paraId="4B73C698">
      <w:pPr>
        <w:pStyle w:val="23"/>
        <w:rPr>
          <w:color w:val="auto"/>
        </w:rPr>
      </w:pPr>
    </w:p>
    <w:p w14:paraId="17991E62">
      <w:pPr>
        <w:pStyle w:val="23"/>
        <w:rPr>
          <w:color w:val="auto"/>
        </w:rPr>
      </w:pPr>
    </w:p>
    <w:p w14:paraId="29561E64">
      <w:pPr>
        <w:pStyle w:val="23"/>
        <w:rPr>
          <w:color w:val="auto"/>
        </w:rPr>
      </w:pPr>
    </w:p>
    <w:p w14:paraId="0A32F819">
      <w:pPr>
        <w:pStyle w:val="23"/>
        <w:rPr>
          <w:color w:val="auto"/>
        </w:rPr>
      </w:pPr>
    </w:p>
    <w:p w14:paraId="24CBB826">
      <w:pPr>
        <w:pStyle w:val="23"/>
        <w:rPr>
          <w:color w:val="auto"/>
        </w:rPr>
      </w:pPr>
    </w:p>
    <w:p w14:paraId="21E311D0">
      <w:pPr>
        <w:pStyle w:val="23"/>
        <w:rPr>
          <w:color w:val="auto"/>
        </w:rPr>
      </w:pPr>
    </w:p>
    <w:p w14:paraId="574FD4B8">
      <w:pPr>
        <w:pStyle w:val="23"/>
        <w:rPr>
          <w:color w:val="auto"/>
        </w:rPr>
      </w:pPr>
    </w:p>
    <w:p w14:paraId="0F6219CB">
      <w:pPr>
        <w:pStyle w:val="23"/>
        <w:rPr>
          <w:color w:val="auto"/>
        </w:rPr>
      </w:pPr>
    </w:p>
    <w:p w14:paraId="72EBDF60">
      <w:pPr>
        <w:pStyle w:val="23"/>
        <w:rPr>
          <w:color w:val="auto"/>
        </w:rPr>
      </w:pPr>
    </w:p>
    <w:p w14:paraId="56B6761C">
      <w:pPr>
        <w:pStyle w:val="23"/>
        <w:rPr>
          <w:color w:val="auto"/>
        </w:rPr>
      </w:pPr>
    </w:p>
    <w:p w14:paraId="7E7F16F3">
      <w:pPr>
        <w:pStyle w:val="23"/>
        <w:rPr>
          <w:color w:val="auto"/>
        </w:rPr>
      </w:pPr>
    </w:p>
    <w:p w14:paraId="28453B87">
      <w:pPr>
        <w:pStyle w:val="23"/>
        <w:rPr>
          <w:color w:val="auto"/>
        </w:rPr>
      </w:pPr>
    </w:p>
    <w:p w14:paraId="7781B137">
      <w:pPr>
        <w:pStyle w:val="23"/>
        <w:rPr>
          <w:color w:val="auto"/>
        </w:rPr>
      </w:pPr>
    </w:p>
    <w:p w14:paraId="11CC7E1B">
      <w:pPr>
        <w:pStyle w:val="23"/>
        <w:rPr>
          <w:color w:val="auto"/>
        </w:rPr>
      </w:pPr>
    </w:p>
    <w:p w14:paraId="340E5B11">
      <w:pPr>
        <w:pStyle w:val="23"/>
        <w:rPr>
          <w:color w:val="auto"/>
        </w:rPr>
      </w:pPr>
      <w:r>
        <w:rPr>
          <w:rFonts w:hint="eastAsia"/>
          <w:color w:val="auto"/>
        </w:rPr>
        <w:drawing>
          <wp:anchor distT="0" distB="0" distL="114300" distR="114300" simplePos="0" relativeHeight="251668480" behindDoc="0" locked="0" layoutInCell="1" allowOverlap="1">
            <wp:simplePos x="0" y="0"/>
            <wp:positionH relativeFrom="column">
              <wp:posOffset>2520950</wp:posOffset>
            </wp:positionH>
            <wp:positionV relativeFrom="paragraph">
              <wp:posOffset>122555</wp:posOffset>
            </wp:positionV>
            <wp:extent cx="554355" cy="401320"/>
            <wp:effectExtent l="0" t="0" r="17145" b="17780"/>
            <wp:wrapNone/>
            <wp:docPr id="15" name="图片 15"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_尚昊 标"/>
                    <pic:cNvPicPr>
                      <a:picLocks noChangeAspect="1"/>
                    </pic:cNvPicPr>
                  </pic:nvPicPr>
                  <pic:blipFill>
                    <a:blip r:embed="rId26"/>
                    <a:stretch>
                      <a:fillRect/>
                    </a:stretch>
                  </pic:blipFill>
                  <pic:spPr>
                    <a:xfrm>
                      <a:off x="0" y="0"/>
                      <a:ext cx="554355" cy="401320"/>
                    </a:xfrm>
                    <a:prstGeom prst="rect">
                      <a:avLst/>
                    </a:prstGeom>
                  </pic:spPr>
                </pic:pic>
              </a:graphicData>
            </a:graphic>
          </wp:anchor>
        </w:drawing>
      </w:r>
    </w:p>
    <w:p w14:paraId="27381CA8">
      <w:pPr>
        <w:pStyle w:val="23"/>
        <w:rPr>
          <w:color w:val="auto"/>
        </w:rPr>
      </w:pPr>
    </w:p>
    <w:p w14:paraId="572382E5">
      <w:pPr>
        <w:spacing w:line="440" w:lineRule="exact"/>
        <w:rPr>
          <w:color w:val="auto"/>
          <w:sz w:val="32"/>
          <w:szCs w:val="32"/>
        </w:rPr>
      </w:pPr>
      <w:r>
        <w:rPr>
          <w:rFonts w:hint="eastAsia"/>
          <w:color w:val="auto"/>
          <w:sz w:val="32"/>
          <w:szCs w:val="32"/>
        </w:rPr>
        <w:t>安康尚昊招标代理有限公司</w:t>
      </w:r>
    </w:p>
    <w:p w14:paraId="21286A54">
      <w:pPr>
        <w:spacing w:line="440" w:lineRule="exact"/>
        <w:jc w:val="center"/>
        <w:rPr>
          <w:color w:val="auto"/>
          <w:sz w:val="32"/>
          <w:szCs w:val="32"/>
        </w:rPr>
      </w:pPr>
      <w:r>
        <w:rPr>
          <w:rFonts w:hint="eastAsia"/>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pt;width:423pt;z-index:251663360;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cKp9jT&#10;AAAABgEAAA8AAAAAAAAAAQAgAAAAIgAAAGRycy9kb3ducmV2LnhtbFBLAQIUABQAAAAIAIdO4kD7&#10;0hfG7AEAANkDAAAOAAAAAAAAAAEAIAAAACIBAABkcnMvZTJvRG9jLnhtbFBLBQYAAAAABgAGAFkB&#10;AACABQAAAAA=&#10;">
                <v:fill on="f" focussize="0,0"/>
                <v:stroke weight="1.5pt" color="#000000" joinstyle="round"/>
                <v:imagedata o:title=""/>
                <o:lock v:ext="edit" aspectratio="f"/>
              </v:line>
            </w:pict>
          </mc:Fallback>
        </mc:AlternateContent>
      </w:r>
    </w:p>
    <w:p w14:paraId="6EFB4668">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982331336"/>
        </w:rPr>
        <w:t xml:space="preserve">地    </w:t>
      </w:r>
      <w:r>
        <w:rPr>
          <w:rFonts w:hint="eastAsia" w:hAnsi="宋体"/>
          <w:color w:val="auto"/>
          <w:spacing w:val="0"/>
          <w:kern w:val="0"/>
          <w:sz w:val="24"/>
          <w:szCs w:val="24"/>
          <w:fitText w:val="1050" w:id="982331336"/>
        </w:rPr>
        <w:t>址</w:t>
      </w:r>
      <w:r>
        <w:rPr>
          <w:rFonts w:hint="eastAsia" w:hAnsi="宋体"/>
          <w:color w:val="auto"/>
          <w:spacing w:val="-6"/>
          <w:sz w:val="24"/>
          <w:szCs w:val="24"/>
        </w:rPr>
        <w:t>：安康市高新区</w:t>
      </w:r>
      <w:r>
        <w:rPr>
          <w:rFonts w:hint="eastAsia" w:hAnsi="宋体"/>
          <w:color w:val="auto"/>
          <w:spacing w:val="-6"/>
          <w:sz w:val="24"/>
          <w:szCs w:val="24"/>
          <w:lang w:eastAsia="zh-CN"/>
        </w:rPr>
        <w:t>高新观澜8栋</w:t>
      </w:r>
      <w:r>
        <w:rPr>
          <w:rFonts w:hint="eastAsia" w:hAnsi="宋体"/>
          <w:color w:val="auto"/>
          <w:spacing w:val="-6"/>
          <w:sz w:val="24"/>
          <w:szCs w:val="24"/>
        </w:rPr>
        <w:t>2单元801室</w:t>
      </w:r>
    </w:p>
    <w:p w14:paraId="090A00DB">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1"/>
        </w:rPr>
        <w:t xml:space="preserve">邮    </w:t>
      </w:r>
      <w:r>
        <w:rPr>
          <w:rFonts w:hint="eastAsia" w:hAnsi="宋体"/>
          <w:color w:val="auto"/>
          <w:spacing w:val="0"/>
          <w:kern w:val="0"/>
          <w:sz w:val="24"/>
          <w:szCs w:val="24"/>
          <w:fitText w:val="1050" w:id="1"/>
        </w:rPr>
        <w:t>编</w:t>
      </w:r>
      <w:r>
        <w:rPr>
          <w:rFonts w:hint="eastAsia" w:hAnsi="宋体"/>
          <w:color w:val="auto"/>
          <w:sz w:val="24"/>
          <w:szCs w:val="24"/>
        </w:rPr>
        <w:t>：725000</w:t>
      </w:r>
    </w:p>
    <w:p w14:paraId="31A72DAA">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2"/>
        </w:rPr>
        <w:t xml:space="preserve">电    </w:t>
      </w:r>
      <w:r>
        <w:rPr>
          <w:rFonts w:hint="eastAsia" w:hAnsi="宋体"/>
          <w:color w:val="auto"/>
          <w:spacing w:val="0"/>
          <w:kern w:val="0"/>
          <w:sz w:val="24"/>
          <w:szCs w:val="24"/>
          <w:fitText w:val="1050" w:id="2"/>
        </w:rPr>
        <w:t>话</w:t>
      </w:r>
      <w:r>
        <w:rPr>
          <w:rFonts w:hint="eastAsia" w:hAnsi="宋体"/>
          <w:color w:val="auto"/>
          <w:sz w:val="24"/>
          <w:szCs w:val="24"/>
        </w:rPr>
        <w:t>：13991519725</w:t>
      </w:r>
    </w:p>
    <w:p w14:paraId="0FC97798">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3"/>
        </w:rPr>
        <w:t>公司名</w:t>
      </w:r>
      <w:r>
        <w:rPr>
          <w:rFonts w:hint="eastAsia" w:hAnsi="宋体"/>
          <w:color w:val="auto"/>
          <w:spacing w:val="0"/>
          <w:kern w:val="0"/>
          <w:sz w:val="24"/>
          <w:szCs w:val="24"/>
          <w:fitText w:val="1050" w:id="3"/>
        </w:rPr>
        <w:t>称</w:t>
      </w:r>
      <w:r>
        <w:rPr>
          <w:rFonts w:hint="eastAsia" w:hAnsi="宋体"/>
          <w:color w:val="auto"/>
          <w:sz w:val="24"/>
          <w:szCs w:val="24"/>
        </w:rPr>
        <w:t>：安康尚昊招标代理有限公司</w:t>
      </w:r>
    </w:p>
    <w:p w14:paraId="21E776D7">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4"/>
        </w:rPr>
        <w:t>开户银</w:t>
      </w:r>
      <w:r>
        <w:rPr>
          <w:rFonts w:hint="eastAsia" w:hAnsi="宋体"/>
          <w:color w:val="auto"/>
          <w:spacing w:val="0"/>
          <w:kern w:val="0"/>
          <w:sz w:val="24"/>
          <w:szCs w:val="24"/>
          <w:fitText w:val="1050" w:id="4"/>
        </w:rPr>
        <w:t>行</w:t>
      </w:r>
      <w:r>
        <w:rPr>
          <w:rFonts w:hint="eastAsia" w:hAnsi="宋体"/>
          <w:color w:val="auto"/>
          <w:sz w:val="24"/>
          <w:szCs w:val="24"/>
        </w:rPr>
        <w:t>：中国建设银行股份有限公司安康分行营业部</w:t>
      </w:r>
    </w:p>
    <w:p w14:paraId="222FDA54">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5"/>
        </w:rPr>
        <w:t xml:space="preserve">账    </w:t>
      </w:r>
      <w:r>
        <w:rPr>
          <w:rFonts w:hint="eastAsia" w:hAnsi="宋体"/>
          <w:color w:val="auto"/>
          <w:spacing w:val="0"/>
          <w:kern w:val="0"/>
          <w:sz w:val="24"/>
          <w:szCs w:val="24"/>
          <w:fitText w:val="1050" w:id="5"/>
        </w:rPr>
        <w:t>号</w:t>
      </w:r>
      <w:r>
        <w:rPr>
          <w:rFonts w:hint="eastAsia" w:hAnsi="宋体"/>
          <w:color w:val="auto"/>
          <w:sz w:val="24"/>
          <w:szCs w:val="24"/>
        </w:rPr>
        <w:t>：</w:t>
      </w:r>
      <w:r>
        <w:rPr>
          <w:rFonts w:hint="eastAsia" w:ascii="宋体" w:hAnsi="宋体" w:cs="宋体"/>
          <w:color w:val="auto"/>
          <w:sz w:val="24"/>
          <w:szCs w:val="28"/>
        </w:rPr>
        <w:t>61050166371100000492</w:t>
      </w:r>
      <w:r>
        <w:rPr>
          <w:rFonts w:hint="eastAsia" w:hAnsi="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pt;width:423pt;z-index:251662336;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i+1gLT&#10;AAAABgEAAA8AAAAAAAAAAQAgAAAAIgAAAGRycy9kb3ducmV2LnhtbFBLAQIUABQAAAAIAIdO4kDI&#10;KlhK7AEAANkDAAAOAAAAAAAAAAEAIAAAACIBAABkcnMvZTJvRG9jLnhtbFBLBQYAAAAABgAGAFkB&#10;AACABQAAAAA=&#10;">
                <v:fill on="f" focussize="0,0"/>
                <v:stroke weight="1.5pt" color="#000000" joinstyle="round"/>
                <v:imagedata o:title=""/>
                <o:lock v:ext="edit" aspectratio="f"/>
              </v:line>
            </w:pict>
          </mc:Fallback>
        </mc:AlternateContent>
      </w:r>
    </w:p>
    <w:p w14:paraId="33EC508C">
      <w:pPr>
        <w:pStyle w:val="108"/>
        <w:ind w:firstLine="420"/>
        <w:rPr>
          <w:color w:val="auto"/>
        </w:rPr>
      </w:pPr>
    </w:p>
    <w:p w14:paraId="0A6EDC4D">
      <w:pPr>
        <w:spacing w:line="20" w:lineRule="exact"/>
        <w:rPr>
          <w:color w:val="auto"/>
        </w:rPr>
      </w:pPr>
    </w:p>
    <w:sectPr>
      <w:footerReference r:id="rId24" w:type="first"/>
      <w:footerReference r:id="rId23" w:type="default"/>
      <w:pgSz w:w="11906" w:h="16838"/>
      <w:pgMar w:top="1417" w:right="1417" w:bottom="1417" w:left="1417" w:header="1134" w:footer="992" w:gutter="0"/>
      <w:pgBorders>
        <w:top w:val="none" w:sz="0" w:space="0"/>
        <w:left w:val="none" w:sz="0" w:space="0"/>
        <w:bottom w:val="none" w:sz="0" w:space="0"/>
        <w:right w:val="none" w:sz="0" w:space="0"/>
      </w:pgBorders>
      <w:pgNumType w:fmt="decimal"/>
      <w:cols w:space="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2CC96">
    <w:pPr>
      <w:pStyle w:val="23"/>
      <w:jc w:val="right"/>
      <w:rPr>
        <w:rFonts w:ascii="宋体" w:cs="Times New Roman"/>
      </w:rPr>
    </w:pPr>
    <w:r>
      <w:rPr>
        <w:rFonts w:hint="eastAsia" w:ascii="宋体" w:hAnsi="宋体" w:cs="宋体"/>
      </w:rPr>
      <w:t>安康尚昊招标代理有限公司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E6A3">
    <w:pPr>
      <w:pStyle w:val="23"/>
      <w:tabs>
        <w:tab w:val="center" w:pos="4819"/>
        <w:tab w:val="left" w:pos="7440"/>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E5749">
                          <w:pPr>
                            <w:pStyle w:val="23"/>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4E5749">
                    <w:pPr>
                      <w:pStyle w:val="23"/>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58</w:t>
                    </w:r>
                    <w:r>
                      <w:t xml:space="preserve"> 页</w:t>
                    </w:r>
                  </w:p>
                </w:txbxContent>
              </v:textbox>
            </v:shape>
          </w:pict>
        </mc:Fallback>
      </mc:AlternateContent>
    </w:r>
    <w:r>
      <w:tab/>
    </w:r>
  </w:p>
  <w:p w14:paraId="348276B3">
    <w:pPr>
      <w:pStyle w:val="23"/>
      <w:ind w:right="360"/>
      <w:jc w:val="center"/>
      <w:rPr>
        <w:rFonts w:ascii="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DC1F">
    <w:pPr>
      <w:pStyle w:val="23"/>
      <w:tabs>
        <w:tab w:val="center" w:pos="4819"/>
        <w:tab w:val="left" w:pos="7440"/>
      </w:tabs>
      <w:jc w:val="center"/>
      <w:rPr>
        <w:rFonts w:ascii="宋体"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559D6">
                          <w:pPr>
                            <w:pStyle w:val="23"/>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99559D6">
                    <w:pPr>
                      <w:pStyle w:val="23"/>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58</w:t>
                    </w: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2027">
    <w:pPr>
      <w:pStyle w:val="2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BA4EE">
                          <w:pPr>
                            <w:pStyle w:val="23"/>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58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89BA4EE">
                    <w:pPr>
                      <w:pStyle w:val="23"/>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58</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74222">
    <w:pPr>
      <w:pStyle w:val="23"/>
      <w:tabs>
        <w:tab w:val="center" w:pos="4819"/>
        <w:tab w:val="left" w:pos="7440"/>
      </w:tabs>
    </w:pPr>
    <w:r>
      <w:tab/>
    </w:r>
  </w:p>
  <w:p w14:paraId="7CBF6A3F">
    <w:pPr>
      <w:pStyle w:val="23"/>
      <w:ind w:right="360"/>
      <w:jc w:val="center"/>
      <w:rPr>
        <w:rFonts w:ascii="宋体"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C0CEF">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00B1">
    <w:pPr>
      <w:pStyle w:val="23"/>
      <w:tabs>
        <w:tab w:val="center" w:pos="4819"/>
        <w:tab w:val="left" w:pos="7440"/>
      </w:tabs>
    </w:pPr>
    <w:r>
      <w:tab/>
    </w:r>
  </w:p>
  <w:p w14:paraId="3F7463FF">
    <w:pPr>
      <w:pStyle w:val="23"/>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B56AD">
    <w:pPr>
      <w:pStyle w:val="23"/>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B8EF6">
    <w:pPr>
      <w:pStyle w:val="23"/>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CDB96">
                          <w:pPr>
                            <w:pStyle w:val="23"/>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lang w:val="en-US" w:eastAsia="zh-CN"/>
                            </w:rPr>
                            <w:t>58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9CDB96">
                    <w:pPr>
                      <w:pStyle w:val="23"/>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lang w:val="en-US" w:eastAsia="zh-CN"/>
                      </w:rPr>
                      <w:t>58</w:t>
                    </w:r>
                    <w:r>
                      <w:t>页</w:t>
                    </w:r>
                  </w:p>
                </w:txbxContent>
              </v:textbox>
            </v:shape>
          </w:pict>
        </mc:Fallback>
      </mc:AlternateContent>
    </w:r>
    <w:r>
      <w:tab/>
    </w:r>
  </w:p>
  <w:p w14:paraId="5ECC928F">
    <w:pPr>
      <w:pStyle w:val="23"/>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C13F8">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8801A">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C8801A">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58</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123C1">
    <w:pPr>
      <w:pStyle w:val="23"/>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7B4E5">
                          <w:pPr>
                            <w:pStyle w:val="23"/>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B7B4E5">
                    <w:pPr>
                      <w:pStyle w:val="23"/>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58</w:t>
                    </w:r>
                    <w:r>
                      <w:t xml:space="preserve"> 页</w:t>
                    </w:r>
                  </w:p>
                </w:txbxContent>
              </v:textbox>
            </v:shape>
          </w:pict>
        </mc:Fallback>
      </mc:AlternateContent>
    </w:r>
    <w:r>
      <w:tab/>
    </w:r>
  </w:p>
  <w:p w14:paraId="44C4023F">
    <w:pPr>
      <w:pStyle w:val="23"/>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FCE32">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F8341">
                          <w:pPr>
                            <w:pStyle w:val="2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3F8341">
                    <w:pPr>
                      <w:pStyle w:val="2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58</w:t>
                    </w:r>
                    <w: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A88A7">
    <w:pPr>
      <w:pStyle w:val="2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BD947">
                          <w:pPr>
                            <w:pStyle w:val="23"/>
                          </w:pPr>
                          <w:r>
                            <w:t xml:space="preserve">第 </w:t>
                          </w:r>
                          <w:r>
                            <w:fldChar w:fldCharType="begin"/>
                          </w:r>
                          <w:r>
                            <w:instrText xml:space="preserve"> PAGE  \* MERGEFORMAT </w:instrText>
                          </w:r>
                          <w:r>
                            <w:fldChar w:fldCharType="separate"/>
                          </w:r>
                          <w:r>
                            <w:t>77</w:t>
                          </w:r>
                          <w:r>
                            <w:fldChar w:fldCharType="end"/>
                          </w:r>
                          <w:r>
                            <w:t xml:space="preserve"> 页 共 </w:t>
                          </w:r>
                          <w:r>
                            <w:rPr>
                              <w:rFonts w:hint="eastAsia"/>
                              <w:lang w:val="en-US" w:eastAsia="zh-CN"/>
                            </w:rPr>
                            <w:t>59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C2BD947">
                    <w:pPr>
                      <w:pStyle w:val="23"/>
                    </w:pPr>
                    <w:r>
                      <w:t xml:space="preserve">第 </w:t>
                    </w:r>
                    <w:r>
                      <w:fldChar w:fldCharType="begin"/>
                    </w:r>
                    <w:r>
                      <w:instrText xml:space="preserve"> PAGE  \* MERGEFORMAT </w:instrText>
                    </w:r>
                    <w:r>
                      <w:fldChar w:fldCharType="separate"/>
                    </w:r>
                    <w:r>
                      <w:t>77</w:t>
                    </w:r>
                    <w:r>
                      <w:fldChar w:fldCharType="end"/>
                    </w:r>
                    <w:r>
                      <w:t xml:space="preserve"> 页 共 </w:t>
                    </w:r>
                    <w:r>
                      <w:rPr>
                        <w:rFonts w:hint="eastAsia"/>
                        <w:lang w:val="en-US" w:eastAsia="zh-CN"/>
                      </w:rPr>
                      <w:t>59</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17C79">
    <w:pPr>
      <w:pStyle w:val="2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E906D">
                          <w:pPr>
                            <w:pStyle w:val="23"/>
                          </w:pPr>
                          <w:r>
                            <w:t xml:space="preserve">第 </w:t>
                          </w:r>
                          <w:r>
                            <w:fldChar w:fldCharType="begin"/>
                          </w:r>
                          <w:r>
                            <w:instrText xml:space="preserve"> PAGE  \* MERGEFORMAT </w:instrText>
                          </w:r>
                          <w:r>
                            <w:fldChar w:fldCharType="separate"/>
                          </w:r>
                          <w:r>
                            <w:t>76</w:t>
                          </w:r>
                          <w:r>
                            <w:fldChar w:fldCharType="end"/>
                          </w:r>
                          <w:r>
                            <w:t xml:space="preserve"> 页 共 </w:t>
                          </w:r>
                          <w:r>
                            <w:rPr>
                              <w:rFonts w:hint="eastAsia"/>
                              <w:lang w:val="en-US" w:eastAsia="zh-CN"/>
                            </w:rPr>
                            <w:t>58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B1E906D">
                    <w:pPr>
                      <w:pStyle w:val="23"/>
                    </w:pPr>
                    <w:r>
                      <w:t xml:space="preserve">第 </w:t>
                    </w:r>
                    <w:r>
                      <w:fldChar w:fldCharType="begin"/>
                    </w:r>
                    <w:r>
                      <w:instrText xml:space="preserve"> PAGE  \* MERGEFORMAT </w:instrText>
                    </w:r>
                    <w:r>
                      <w:fldChar w:fldCharType="separate"/>
                    </w:r>
                    <w:r>
                      <w:t>76</w:t>
                    </w:r>
                    <w:r>
                      <w:fldChar w:fldCharType="end"/>
                    </w:r>
                    <w:r>
                      <w:t xml:space="preserve"> 页 共 </w:t>
                    </w:r>
                    <w:r>
                      <w:rPr>
                        <w:rFonts w:hint="eastAsia"/>
                        <w:lang w:val="en-US" w:eastAsia="zh-CN"/>
                      </w:rPr>
                      <w:t>58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613DC">
    <w:pPr>
      <w:adjustRightInd w:val="0"/>
      <w:snapToGrid w:val="0"/>
      <w:spacing w:line="360" w:lineRule="auto"/>
      <w:jc w:val="left"/>
      <w:rPr>
        <w:rFonts w:ascii="宋体" w:cs="Times New Roman"/>
        <w:u w:val="single"/>
      </w:rPr>
    </w:pPr>
    <w:r>
      <w:rPr>
        <w:rFonts w:hint="eastAsia" w:ascii="宋体" w:hAnsi="宋体" w:cs="宋体"/>
        <w:sz w:val="15"/>
        <w:szCs w:val="15"/>
        <w:u w:val="single"/>
        <w:lang w:eastAsia="zh-CN"/>
      </w:rPr>
      <w:t>紫阳县人民法院</w:t>
    </w:r>
    <w:r>
      <w:rPr>
        <w:rFonts w:hint="eastAsia" w:ascii="宋体" w:hAnsi="宋体" w:cs="宋体"/>
        <w:sz w:val="15"/>
        <w:szCs w:val="15"/>
        <w:u w:val="single"/>
      </w:rPr>
      <w:t>互联网医院建设服务项目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AKSH2020-ZCS-010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773E4">
    <w:pPr>
      <w:pStyle w:val="24"/>
      <w:pBdr>
        <w:bottom w:val="none" w:color="auto" w:sz="0" w:space="1"/>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3B448">
    <w:pPr>
      <w:pStyle w:val="24"/>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院机关第一审判庭系统升级改造项目</w:t>
    </w:r>
    <w:r>
      <w:rPr>
        <w:rFonts w:hint="eastAsia" w:ascii="宋体" w:hAnsi="宋体" w:cs="宋体"/>
        <w:sz w:val="21"/>
        <w:szCs w:val="21"/>
        <w:u w:val="single"/>
      </w:rPr>
      <w:t xml:space="preserve">          项目编号：</w:t>
    </w:r>
    <w:r>
      <w:rPr>
        <w:rFonts w:hint="eastAsia" w:ascii="宋体" w:hAnsi="宋体" w:cs="宋体"/>
        <w:sz w:val="21"/>
        <w:szCs w:val="21"/>
        <w:u w:val="single"/>
        <w:lang w:eastAsia="zh-CN"/>
      </w:rPr>
      <w:t>AKSH2025-ZCS-171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A84B2">
    <w:pPr>
      <w:pStyle w:val="2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BC6E9">
    <w:pPr>
      <w:pStyle w:val="24"/>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院机关第一审判庭系统升级改造项目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lang w:eastAsia="zh-CN"/>
      </w:rPr>
      <w:t>项目编号：AKSH2025-ZCS-171</w:t>
    </w:r>
    <w:r>
      <w:rPr>
        <w:rFonts w:hint="eastAsia" w:ascii="宋体" w:hAnsi="宋体" w:cs="宋体"/>
        <w:sz w:val="21"/>
        <w:szCs w:val="21"/>
        <w:u w:val="single"/>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2F41D">
    <w:pPr>
      <w:pStyle w:val="24"/>
      <w:pBdr>
        <w:bottom w:val="none" w:color="auto" w:sz="0" w:space="1"/>
      </w:pBdr>
      <w:jc w:val="both"/>
      <w:rPr>
        <w:rFonts w:ascii="宋体" w:hAnsi="宋体" w:cs="宋体"/>
        <w:sz w:val="21"/>
        <w:szCs w:val="21"/>
        <w:u w:val="single"/>
      </w:rPr>
    </w:pPr>
    <w:r>
      <w:rPr>
        <w:rFonts w:hint="eastAsia" w:ascii="宋体" w:hAnsi="宋体" w:cs="宋体"/>
        <w:sz w:val="21"/>
        <w:szCs w:val="21"/>
        <w:u w:val="single"/>
      </w:rPr>
      <w:t>项目名称：</w:t>
    </w:r>
    <w:r>
      <w:rPr>
        <w:rFonts w:hint="eastAsia" w:ascii="宋体" w:hAnsi="宋体" w:cs="宋体"/>
        <w:sz w:val="21"/>
        <w:szCs w:val="21"/>
        <w:u w:val="single"/>
        <w:lang w:eastAsia="zh-CN"/>
      </w:rPr>
      <w:t>院机关第一审判庭系统升级改造项目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项目编号：AKSH2025-ZCS-171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AB91C">
    <w:pPr>
      <w:pStyle w:val="24"/>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院机关第一审判庭系统升级改造项目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项目编号：AKSH2025-ZCS-171    </w:t>
    </w:r>
    <w:r>
      <w:rPr>
        <w:rFonts w:hint="eastAsia" w:ascii="宋体" w:hAnsi="宋体" w:cs="宋体"/>
        <w:sz w:val="21"/>
        <w:szCs w:val="21"/>
        <w:u w:val="single"/>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23EF0">
    <w:pPr>
      <w:pStyle w:val="24"/>
      <w:pBdr>
        <w:bottom w:val="none" w:color="auto" w:sz="0" w:space="1"/>
      </w:pBdr>
      <w:jc w:val="both"/>
      <w:rPr>
        <w:rFonts w:hint="eastAsia" w:eastAsia="宋体"/>
        <w:lang w:eastAsia="zh-CN"/>
      </w:rPr>
    </w:pPr>
    <w:bookmarkStart w:id="205" w:name="OLE_LINK2"/>
    <w:r>
      <w:rPr>
        <w:rFonts w:hint="eastAsia" w:ascii="宋体" w:hAnsi="宋体" w:cs="宋体"/>
        <w:sz w:val="21"/>
        <w:szCs w:val="21"/>
        <w:u w:val="single"/>
      </w:rPr>
      <w:t>项目名称：</w:t>
    </w:r>
    <w:r>
      <w:rPr>
        <w:rFonts w:hint="eastAsia" w:ascii="宋体" w:hAnsi="宋体" w:cs="宋体"/>
        <w:sz w:val="21"/>
        <w:szCs w:val="21"/>
        <w:u w:val="single"/>
        <w:lang w:eastAsia="zh-CN"/>
      </w:rPr>
      <w:t>院机关第一审判庭系统升级改造项目</w:t>
    </w:r>
    <w:r>
      <w:rPr>
        <w:rFonts w:hint="eastAsia" w:ascii="宋体" w:hAnsi="宋体" w:cs="宋体"/>
        <w:sz w:val="21"/>
        <w:szCs w:val="21"/>
        <w:u w:val="single"/>
        <w:lang w:val="en-US" w:eastAsia="zh-CN"/>
      </w:rPr>
      <w:t xml:space="preserve">         项目编号：AKSH2025-ZCS-171     </w:t>
    </w:r>
    <w:r>
      <w:rPr>
        <w:rFonts w:hint="eastAsia" w:ascii="宋体" w:hAnsi="宋体" w:cs="宋体"/>
        <w:sz w:val="21"/>
        <w:szCs w:val="21"/>
        <w:u w:val="single"/>
      </w:rPr>
      <w:t xml:space="preserve">   </w:t>
    </w:r>
    <w:bookmarkEnd w:id="20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9121D"/>
    <w:multiLevelType w:val="singleLevel"/>
    <w:tmpl w:val="8DF9121D"/>
    <w:lvl w:ilvl="0" w:tentative="0">
      <w:start w:val="1"/>
      <w:numFmt w:val="decimal"/>
      <w:lvlText w:val="%1"/>
      <w:lvlJc w:val="left"/>
      <w:pPr>
        <w:tabs>
          <w:tab w:val="left" w:pos="420"/>
        </w:tabs>
        <w:ind w:left="425" w:leftChars="0" w:hanging="425" w:firstLineChars="0"/>
      </w:pPr>
      <w:rPr>
        <w:rFonts w:hint="default"/>
      </w:rPr>
    </w:lvl>
  </w:abstractNum>
  <w:abstractNum w:abstractNumId="1">
    <w:nsid w:val="B6C6ED33"/>
    <w:multiLevelType w:val="singleLevel"/>
    <w:tmpl w:val="B6C6ED33"/>
    <w:lvl w:ilvl="0" w:tentative="0">
      <w:start w:val="4"/>
      <w:numFmt w:val="chineseCounting"/>
      <w:suff w:val="space"/>
      <w:lvlText w:val="第%1部分"/>
      <w:lvlJc w:val="left"/>
      <w:rPr>
        <w:rFonts w:hint="eastAsia"/>
      </w:rPr>
    </w:lvl>
  </w:abstractNum>
  <w:abstractNum w:abstractNumId="2">
    <w:nsid w:val="4F60F180"/>
    <w:multiLevelType w:val="singleLevel"/>
    <w:tmpl w:val="4F60F180"/>
    <w:lvl w:ilvl="0" w:tentative="0">
      <w:start w:val="3"/>
      <w:numFmt w:val="decimal"/>
      <w:lvlText w:val="%1."/>
      <w:lvlJc w:val="left"/>
      <w:pPr>
        <w:tabs>
          <w:tab w:val="left" w:pos="312"/>
        </w:tabs>
      </w:pPr>
    </w:lvl>
  </w:abstractNum>
  <w:abstractNum w:abstractNumId="3">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4">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5">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6">
    <w:nsid w:val="6C09D19A"/>
    <w:multiLevelType w:val="singleLevel"/>
    <w:tmpl w:val="6C09D19A"/>
    <w:lvl w:ilvl="0" w:tentative="0">
      <w:start w:val="1"/>
      <w:numFmt w:val="decimal"/>
      <w:lvlText w:val="%1."/>
      <w:lvlJc w:val="left"/>
      <w:pPr>
        <w:tabs>
          <w:tab w:val="left" w:pos="312"/>
        </w:tabs>
      </w:pPr>
    </w:lvl>
  </w:abstractNum>
  <w:abstractNum w:abstractNumId="7">
    <w:nsid w:val="7FA36529"/>
    <w:multiLevelType w:val="singleLevel"/>
    <w:tmpl w:val="7FA36529"/>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dit="forms" w:enforcement="1" w:cryptProviderType="rsaFull" w:cryptAlgorithmClass="hash" w:cryptAlgorithmType="typeAny" w:cryptAlgorithmSid="4" w:cryptSpinCount="0" w:hash="BjX4Akd/fqi2TfMkbd2ZBEEoZJk=" w:salt="tLtB9x++Is5j+Whwxyx1qQ=="/>
  <w:defaultTabStop w:val="420"/>
  <w:doNotHyphenateCaps/>
  <w:drawingGridHorizontalSpacing w:val="210"/>
  <w:drawingGridVerticalSpacing w:val="16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172A27"/>
    <w:rsid w:val="00003D89"/>
    <w:rsid w:val="00004BA7"/>
    <w:rsid w:val="00005B32"/>
    <w:rsid w:val="00010EA2"/>
    <w:rsid w:val="00015CE5"/>
    <w:rsid w:val="0001630B"/>
    <w:rsid w:val="00016924"/>
    <w:rsid w:val="000215F9"/>
    <w:rsid w:val="0002193F"/>
    <w:rsid w:val="000251B2"/>
    <w:rsid w:val="000354E9"/>
    <w:rsid w:val="0003768B"/>
    <w:rsid w:val="00040CAE"/>
    <w:rsid w:val="0005257D"/>
    <w:rsid w:val="0005463B"/>
    <w:rsid w:val="00056A18"/>
    <w:rsid w:val="0006270F"/>
    <w:rsid w:val="0006767E"/>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22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E616D"/>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45A5B"/>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035"/>
    <w:rsid w:val="00642F93"/>
    <w:rsid w:val="006657C9"/>
    <w:rsid w:val="006739A1"/>
    <w:rsid w:val="00675301"/>
    <w:rsid w:val="00676150"/>
    <w:rsid w:val="0068208A"/>
    <w:rsid w:val="006852A3"/>
    <w:rsid w:val="00686E29"/>
    <w:rsid w:val="00691EC3"/>
    <w:rsid w:val="00696FBA"/>
    <w:rsid w:val="006A2AC7"/>
    <w:rsid w:val="006A2D96"/>
    <w:rsid w:val="006A3734"/>
    <w:rsid w:val="006B38D0"/>
    <w:rsid w:val="006C4563"/>
    <w:rsid w:val="006D079F"/>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94C43"/>
    <w:rsid w:val="007A16A6"/>
    <w:rsid w:val="007A2512"/>
    <w:rsid w:val="007A36C0"/>
    <w:rsid w:val="007A69BE"/>
    <w:rsid w:val="007B2B77"/>
    <w:rsid w:val="007B6B64"/>
    <w:rsid w:val="007B6BCF"/>
    <w:rsid w:val="007B6D05"/>
    <w:rsid w:val="007C18C2"/>
    <w:rsid w:val="007C1CAA"/>
    <w:rsid w:val="007C7DEA"/>
    <w:rsid w:val="007D00DF"/>
    <w:rsid w:val="007E3909"/>
    <w:rsid w:val="007E552D"/>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2EB"/>
    <w:rsid w:val="00870EAE"/>
    <w:rsid w:val="008710F1"/>
    <w:rsid w:val="00876563"/>
    <w:rsid w:val="008839DC"/>
    <w:rsid w:val="00885D6D"/>
    <w:rsid w:val="008866C0"/>
    <w:rsid w:val="008878D1"/>
    <w:rsid w:val="00887D1E"/>
    <w:rsid w:val="00891290"/>
    <w:rsid w:val="008962A7"/>
    <w:rsid w:val="00897D92"/>
    <w:rsid w:val="008A0975"/>
    <w:rsid w:val="008A367A"/>
    <w:rsid w:val="008B2891"/>
    <w:rsid w:val="008B3BC3"/>
    <w:rsid w:val="008B7CA5"/>
    <w:rsid w:val="008C08F3"/>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3AE7"/>
    <w:rsid w:val="00954CF1"/>
    <w:rsid w:val="00956521"/>
    <w:rsid w:val="00962505"/>
    <w:rsid w:val="00964B6E"/>
    <w:rsid w:val="0096516F"/>
    <w:rsid w:val="0096641E"/>
    <w:rsid w:val="00967538"/>
    <w:rsid w:val="0097045D"/>
    <w:rsid w:val="0097134B"/>
    <w:rsid w:val="009729CB"/>
    <w:rsid w:val="00983FAD"/>
    <w:rsid w:val="0098589A"/>
    <w:rsid w:val="009859B0"/>
    <w:rsid w:val="0099232E"/>
    <w:rsid w:val="009935A5"/>
    <w:rsid w:val="009A4A76"/>
    <w:rsid w:val="009A6B98"/>
    <w:rsid w:val="009A77A9"/>
    <w:rsid w:val="009B5F0C"/>
    <w:rsid w:val="009C0F48"/>
    <w:rsid w:val="009C28C6"/>
    <w:rsid w:val="009C52D9"/>
    <w:rsid w:val="009C65C7"/>
    <w:rsid w:val="009D4358"/>
    <w:rsid w:val="009D657F"/>
    <w:rsid w:val="009D6BDA"/>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AE9"/>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C01460"/>
    <w:rsid w:val="00C03A4F"/>
    <w:rsid w:val="00C0667B"/>
    <w:rsid w:val="00C06804"/>
    <w:rsid w:val="00C11350"/>
    <w:rsid w:val="00C1147B"/>
    <w:rsid w:val="00C16128"/>
    <w:rsid w:val="00C27EF0"/>
    <w:rsid w:val="00C36694"/>
    <w:rsid w:val="00C43EB2"/>
    <w:rsid w:val="00C53826"/>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4D24"/>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C1730"/>
    <w:rsid w:val="00EC4D0A"/>
    <w:rsid w:val="00ED216E"/>
    <w:rsid w:val="00ED25F2"/>
    <w:rsid w:val="00ED57BA"/>
    <w:rsid w:val="00ED79B8"/>
    <w:rsid w:val="00EE016C"/>
    <w:rsid w:val="00EE1052"/>
    <w:rsid w:val="00EE50E0"/>
    <w:rsid w:val="00EE5620"/>
    <w:rsid w:val="00EF266D"/>
    <w:rsid w:val="00EF3819"/>
    <w:rsid w:val="00EF4D87"/>
    <w:rsid w:val="00EF6691"/>
    <w:rsid w:val="00F14EC1"/>
    <w:rsid w:val="00F17E7D"/>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6BF8"/>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3730A5"/>
    <w:rsid w:val="013A223F"/>
    <w:rsid w:val="0141481B"/>
    <w:rsid w:val="01525A0A"/>
    <w:rsid w:val="01630F53"/>
    <w:rsid w:val="016A454D"/>
    <w:rsid w:val="016D50E6"/>
    <w:rsid w:val="017D3840"/>
    <w:rsid w:val="018E640A"/>
    <w:rsid w:val="01920D21"/>
    <w:rsid w:val="01AC2FBF"/>
    <w:rsid w:val="01AC5842"/>
    <w:rsid w:val="01AD1AAE"/>
    <w:rsid w:val="01D86994"/>
    <w:rsid w:val="01DA363D"/>
    <w:rsid w:val="01EE19B6"/>
    <w:rsid w:val="01F90F7C"/>
    <w:rsid w:val="01FD1152"/>
    <w:rsid w:val="020531A4"/>
    <w:rsid w:val="020600F6"/>
    <w:rsid w:val="02064B47"/>
    <w:rsid w:val="02193145"/>
    <w:rsid w:val="022D433C"/>
    <w:rsid w:val="023C7D0C"/>
    <w:rsid w:val="023F763D"/>
    <w:rsid w:val="02590F24"/>
    <w:rsid w:val="02854F8C"/>
    <w:rsid w:val="028A67B7"/>
    <w:rsid w:val="02906142"/>
    <w:rsid w:val="02BA4D88"/>
    <w:rsid w:val="02BA6C1F"/>
    <w:rsid w:val="02C56FBB"/>
    <w:rsid w:val="02CB14A4"/>
    <w:rsid w:val="02D06F2C"/>
    <w:rsid w:val="02D3498C"/>
    <w:rsid w:val="02D37EB0"/>
    <w:rsid w:val="02D533B3"/>
    <w:rsid w:val="02E57ADC"/>
    <w:rsid w:val="02F61685"/>
    <w:rsid w:val="02FA17E2"/>
    <w:rsid w:val="02FD5BFC"/>
    <w:rsid w:val="02FE73C3"/>
    <w:rsid w:val="030A0C9E"/>
    <w:rsid w:val="03123218"/>
    <w:rsid w:val="03442ED4"/>
    <w:rsid w:val="034C725D"/>
    <w:rsid w:val="0358398D"/>
    <w:rsid w:val="03720CB3"/>
    <w:rsid w:val="037E5DCB"/>
    <w:rsid w:val="03963471"/>
    <w:rsid w:val="03990B73"/>
    <w:rsid w:val="03A27284"/>
    <w:rsid w:val="03C10C9F"/>
    <w:rsid w:val="03C14100"/>
    <w:rsid w:val="03C921C1"/>
    <w:rsid w:val="03CA29C7"/>
    <w:rsid w:val="03FD053E"/>
    <w:rsid w:val="040B7728"/>
    <w:rsid w:val="0411533A"/>
    <w:rsid w:val="042A0462"/>
    <w:rsid w:val="04536164"/>
    <w:rsid w:val="0459572E"/>
    <w:rsid w:val="047A39D5"/>
    <w:rsid w:val="04B17441"/>
    <w:rsid w:val="04CB26A7"/>
    <w:rsid w:val="04CD0688"/>
    <w:rsid w:val="04CD34EE"/>
    <w:rsid w:val="04D502BA"/>
    <w:rsid w:val="04DF4866"/>
    <w:rsid w:val="04F06D3D"/>
    <w:rsid w:val="04FF39AD"/>
    <w:rsid w:val="050047DB"/>
    <w:rsid w:val="050438CD"/>
    <w:rsid w:val="050E77DB"/>
    <w:rsid w:val="052B0940"/>
    <w:rsid w:val="053973B5"/>
    <w:rsid w:val="05402991"/>
    <w:rsid w:val="054E1CE0"/>
    <w:rsid w:val="056C728C"/>
    <w:rsid w:val="057A7F6E"/>
    <w:rsid w:val="05CA380B"/>
    <w:rsid w:val="05D137D6"/>
    <w:rsid w:val="05D71396"/>
    <w:rsid w:val="05E73C3B"/>
    <w:rsid w:val="05FA123D"/>
    <w:rsid w:val="05FB4E02"/>
    <w:rsid w:val="05FF224E"/>
    <w:rsid w:val="060454DB"/>
    <w:rsid w:val="06110D47"/>
    <w:rsid w:val="063F6A07"/>
    <w:rsid w:val="064055CE"/>
    <w:rsid w:val="065110EC"/>
    <w:rsid w:val="065A46B0"/>
    <w:rsid w:val="065B3B93"/>
    <w:rsid w:val="066C37F1"/>
    <w:rsid w:val="066D1D57"/>
    <w:rsid w:val="06AE0265"/>
    <w:rsid w:val="06B12629"/>
    <w:rsid w:val="06BD3616"/>
    <w:rsid w:val="06BE30D0"/>
    <w:rsid w:val="06C6330B"/>
    <w:rsid w:val="06CD112D"/>
    <w:rsid w:val="06D15B14"/>
    <w:rsid w:val="06DC7813"/>
    <w:rsid w:val="06E56C12"/>
    <w:rsid w:val="06E81FA4"/>
    <w:rsid w:val="070B3D9D"/>
    <w:rsid w:val="07224610"/>
    <w:rsid w:val="072B0A4F"/>
    <w:rsid w:val="073278A0"/>
    <w:rsid w:val="073E5E68"/>
    <w:rsid w:val="07433EF7"/>
    <w:rsid w:val="07610E7C"/>
    <w:rsid w:val="07621A18"/>
    <w:rsid w:val="076808B4"/>
    <w:rsid w:val="077166EC"/>
    <w:rsid w:val="077965D0"/>
    <w:rsid w:val="07836EDF"/>
    <w:rsid w:val="07892C9E"/>
    <w:rsid w:val="07997C89"/>
    <w:rsid w:val="07A9711F"/>
    <w:rsid w:val="07B241D3"/>
    <w:rsid w:val="07DF3D76"/>
    <w:rsid w:val="07E562BD"/>
    <w:rsid w:val="07FC0B21"/>
    <w:rsid w:val="07FC0D88"/>
    <w:rsid w:val="08145F16"/>
    <w:rsid w:val="08366DA4"/>
    <w:rsid w:val="08404F36"/>
    <w:rsid w:val="08452820"/>
    <w:rsid w:val="087D1536"/>
    <w:rsid w:val="089E6E52"/>
    <w:rsid w:val="08B16FB6"/>
    <w:rsid w:val="08B905B4"/>
    <w:rsid w:val="08CE2541"/>
    <w:rsid w:val="08DA2D14"/>
    <w:rsid w:val="08E53CD3"/>
    <w:rsid w:val="08E74CA6"/>
    <w:rsid w:val="08E95814"/>
    <w:rsid w:val="090360D7"/>
    <w:rsid w:val="090A42F6"/>
    <w:rsid w:val="092266DC"/>
    <w:rsid w:val="09271A18"/>
    <w:rsid w:val="093E76C7"/>
    <w:rsid w:val="09442803"/>
    <w:rsid w:val="0949327F"/>
    <w:rsid w:val="094D1E21"/>
    <w:rsid w:val="09560FD7"/>
    <w:rsid w:val="095D32ED"/>
    <w:rsid w:val="097237E4"/>
    <w:rsid w:val="097A7578"/>
    <w:rsid w:val="097D251D"/>
    <w:rsid w:val="09810619"/>
    <w:rsid w:val="099106B6"/>
    <w:rsid w:val="09913C41"/>
    <w:rsid w:val="09A52E1C"/>
    <w:rsid w:val="09A9060C"/>
    <w:rsid w:val="09C30A93"/>
    <w:rsid w:val="09CF513B"/>
    <w:rsid w:val="09D65B51"/>
    <w:rsid w:val="09E25AD9"/>
    <w:rsid w:val="09E779CE"/>
    <w:rsid w:val="09EA213D"/>
    <w:rsid w:val="0A010578"/>
    <w:rsid w:val="0A0976BB"/>
    <w:rsid w:val="0A1E12A6"/>
    <w:rsid w:val="0A2D0142"/>
    <w:rsid w:val="0A3E3F88"/>
    <w:rsid w:val="0A672A35"/>
    <w:rsid w:val="0A706A46"/>
    <w:rsid w:val="0A891706"/>
    <w:rsid w:val="0A8A693C"/>
    <w:rsid w:val="0A982836"/>
    <w:rsid w:val="0A9C61F8"/>
    <w:rsid w:val="0A9D21CB"/>
    <w:rsid w:val="0ABA57A8"/>
    <w:rsid w:val="0ABD461B"/>
    <w:rsid w:val="0AC32834"/>
    <w:rsid w:val="0AEE50E0"/>
    <w:rsid w:val="0AFC5610"/>
    <w:rsid w:val="0B14133A"/>
    <w:rsid w:val="0B2F31E8"/>
    <w:rsid w:val="0B565626"/>
    <w:rsid w:val="0B5D1A85"/>
    <w:rsid w:val="0B5D1E36"/>
    <w:rsid w:val="0B651A2B"/>
    <w:rsid w:val="0B776EC0"/>
    <w:rsid w:val="0BB5243F"/>
    <w:rsid w:val="0BCF1A6D"/>
    <w:rsid w:val="0BED26A5"/>
    <w:rsid w:val="0BEE4F68"/>
    <w:rsid w:val="0BEF2EFA"/>
    <w:rsid w:val="0BEF7DA3"/>
    <w:rsid w:val="0BF91A7F"/>
    <w:rsid w:val="0BFB3BB6"/>
    <w:rsid w:val="0C0A394D"/>
    <w:rsid w:val="0C200572"/>
    <w:rsid w:val="0C2F779B"/>
    <w:rsid w:val="0C306AE2"/>
    <w:rsid w:val="0C3D5924"/>
    <w:rsid w:val="0C4A5A7C"/>
    <w:rsid w:val="0C5F0865"/>
    <w:rsid w:val="0C605AD8"/>
    <w:rsid w:val="0C7B690B"/>
    <w:rsid w:val="0C807692"/>
    <w:rsid w:val="0C9B2B46"/>
    <w:rsid w:val="0CA81750"/>
    <w:rsid w:val="0CB5191B"/>
    <w:rsid w:val="0CB6728F"/>
    <w:rsid w:val="0CBF5FD8"/>
    <w:rsid w:val="0CE360B2"/>
    <w:rsid w:val="0CFD25BD"/>
    <w:rsid w:val="0D1F6213"/>
    <w:rsid w:val="0D452987"/>
    <w:rsid w:val="0D62596E"/>
    <w:rsid w:val="0D6C19EE"/>
    <w:rsid w:val="0D7B32BC"/>
    <w:rsid w:val="0D933F5C"/>
    <w:rsid w:val="0DA46170"/>
    <w:rsid w:val="0DA800E4"/>
    <w:rsid w:val="0DB25485"/>
    <w:rsid w:val="0DC7526D"/>
    <w:rsid w:val="0DCB40A1"/>
    <w:rsid w:val="0DCB704F"/>
    <w:rsid w:val="0DE7465B"/>
    <w:rsid w:val="0E005C7A"/>
    <w:rsid w:val="0E0C42FA"/>
    <w:rsid w:val="0E2844A2"/>
    <w:rsid w:val="0E381521"/>
    <w:rsid w:val="0E4D3106"/>
    <w:rsid w:val="0E7F7FCB"/>
    <w:rsid w:val="0E9C75AF"/>
    <w:rsid w:val="0EA91CC7"/>
    <w:rsid w:val="0EC75A69"/>
    <w:rsid w:val="0EC875FE"/>
    <w:rsid w:val="0ECE1A18"/>
    <w:rsid w:val="0EDC5D28"/>
    <w:rsid w:val="0EE235F9"/>
    <w:rsid w:val="0EE36E7C"/>
    <w:rsid w:val="0EE54141"/>
    <w:rsid w:val="0EFD2AF6"/>
    <w:rsid w:val="0F03025E"/>
    <w:rsid w:val="0F1A17DC"/>
    <w:rsid w:val="0F1C13DE"/>
    <w:rsid w:val="0F323BCC"/>
    <w:rsid w:val="0F401F5A"/>
    <w:rsid w:val="0F537409"/>
    <w:rsid w:val="0F79260C"/>
    <w:rsid w:val="0F7F4595"/>
    <w:rsid w:val="0F987E27"/>
    <w:rsid w:val="0FA66BBA"/>
    <w:rsid w:val="0FA95318"/>
    <w:rsid w:val="0FAE784A"/>
    <w:rsid w:val="0FBB76E3"/>
    <w:rsid w:val="0FBE7AE4"/>
    <w:rsid w:val="0FC66DA3"/>
    <w:rsid w:val="0FC72972"/>
    <w:rsid w:val="0FCD3553"/>
    <w:rsid w:val="0FDE750E"/>
    <w:rsid w:val="0FE77623"/>
    <w:rsid w:val="100D394F"/>
    <w:rsid w:val="100E0796"/>
    <w:rsid w:val="10122E9C"/>
    <w:rsid w:val="10123CEB"/>
    <w:rsid w:val="10204FBD"/>
    <w:rsid w:val="10372E26"/>
    <w:rsid w:val="103966FB"/>
    <w:rsid w:val="103A4EAF"/>
    <w:rsid w:val="10460CC2"/>
    <w:rsid w:val="104F3B50"/>
    <w:rsid w:val="106C132D"/>
    <w:rsid w:val="108D683E"/>
    <w:rsid w:val="108E6DDE"/>
    <w:rsid w:val="109B61CD"/>
    <w:rsid w:val="10A6243E"/>
    <w:rsid w:val="10AB38B0"/>
    <w:rsid w:val="10D80231"/>
    <w:rsid w:val="10DD209D"/>
    <w:rsid w:val="10FF1E8F"/>
    <w:rsid w:val="110D2C89"/>
    <w:rsid w:val="112B7251"/>
    <w:rsid w:val="112C7AF5"/>
    <w:rsid w:val="1180102E"/>
    <w:rsid w:val="119963B1"/>
    <w:rsid w:val="11B361D3"/>
    <w:rsid w:val="11BB4D58"/>
    <w:rsid w:val="11BB6630"/>
    <w:rsid w:val="11BF4CAB"/>
    <w:rsid w:val="11C7593B"/>
    <w:rsid w:val="11E8085A"/>
    <w:rsid w:val="11EE5A02"/>
    <w:rsid w:val="11EF6F34"/>
    <w:rsid w:val="11F052D6"/>
    <w:rsid w:val="11FF551A"/>
    <w:rsid w:val="12134735"/>
    <w:rsid w:val="1217313B"/>
    <w:rsid w:val="122E2D61"/>
    <w:rsid w:val="12340E2D"/>
    <w:rsid w:val="12503834"/>
    <w:rsid w:val="125E4936"/>
    <w:rsid w:val="12793BBE"/>
    <w:rsid w:val="127A31E0"/>
    <w:rsid w:val="127F1866"/>
    <w:rsid w:val="12802B6B"/>
    <w:rsid w:val="128C33F4"/>
    <w:rsid w:val="12A957E0"/>
    <w:rsid w:val="12AA1929"/>
    <w:rsid w:val="12B24C82"/>
    <w:rsid w:val="131C06AC"/>
    <w:rsid w:val="133A4EB7"/>
    <w:rsid w:val="13441D7E"/>
    <w:rsid w:val="1345554B"/>
    <w:rsid w:val="13487675"/>
    <w:rsid w:val="135618C9"/>
    <w:rsid w:val="13645F7C"/>
    <w:rsid w:val="136B6621"/>
    <w:rsid w:val="137447B2"/>
    <w:rsid w:val="13830E2C"/>
    <w:rsid w:val="138D11BC"/>
    <w:rsid w:val="138E1A23"/>
    <w:rsid w:val="13992EB6"/>
    <w:rsid w:val="139D2FCC"/>
    <w:rsid w:val="13AF1F58"/>
    <w:rsid w:val="13C61B7D"/>
    <w:rsid w:val="13D84C83"/>
    <w:rsid w:val="13DD49EF"/>
    <w:rsid w:val="13EA285B"/>
    <w:rsid w:val="14074063"/>
    <w:rsid w:val="140D7D73"/>
    <w:rsid w:val="14116779"/>
    <w:rsid w:val="142468C7"/>
    <w:rsid w:val="143321B1"/>
    <w:rsid w:val="143A0A8B"/>
    <w:rsid w:val="143B2E41"/>
    <w:rsid w:val="143C08C2"/>
    <w:rsid w:val="143C5260"/>
    <w:rsid w:val="147F6DAD"/>
    <w:rsid w:val="149C20CC"/>
    <w:rsid w:val="14A12650"/>
    <w:rsid w:val="14AA5673"/>
    <w:rsid w:val="14AF4B49"/>
    <w:rsid w:val="14B41673"/>
    <w:rsid w:val="14C64FA3"/>
    <w:rsid w:val="14CD1555"/>
    <w:rsid w:val="14E868B9"/>
    <w:rsid w:val="14F13F0D"/>
    <w:rsid w:val="14F75772"/>
    <w:rsid w:val="14F838A9"/>
    <w:rsid w:val="14FF6402"/>
    <w:rsid w:val="150C5718"/>
    <w:rsid w:val="15273101"/>
    <w:rsid w:val="153E2DB6"/>
    <w:rsid w:val="15420170"/>
    <w:rsid w:val="15550B09"/>
    <w:rsid w:val="155550C1"/>
    <w:rsid w:val="15576ACE"/>
    <w:rsid w:val="155B3298"/>
    <w:rsid w:val="15655DA6"/>
    <w:rsid w:val="1568217F"/>
    <w:rsid w:val="157306F8"/>
    <w:rsid w:val="15761223"/>
    <w:rsid w:val="15784E47"/>
    <w:rsid w:val="158C14E9"/>
    <w:rsid w:val="158D6F6A"/>
    <w:rsid w:val="159517A5"/>
    <w:rsid w:val="159A07FF"/>
    <w:rsid w:val="15A05265"/>
    <w:rsid w:val="15A74B21"/>
    <w:rsid w:val="15D27F83"/>
    <w:rsid w:val="15DC4AEB"/>
    <w:rsid w:val="15E23CA8"/>
    <w:rsid w:val="15EE0289"/>
    <w:rsid w:val="15FA6095"/>
    <w:rsid w:val="161271C4"/>
    <w:rsid w:val="161A5018"/>
    <w:rsid w:val="164F7029"/>
    <w:rsid w:val="166127C6"/>
    <w:rsid w:val="166B3507"/>
    <w:rsid w:val="166C32BB"/>
    <w:rsid w:val="16747E6A"/>
    <w:rsid w:val="16A37A9D"/>
    <w:rsid w:val="16AF0347"/>
    <w:rsid w:val="16C2284B"/>
    <w:rsid w:val="16CB423B"/>
    <w:rsid w:val="16FC471D"/>
    <w:rsid w:val="17062F69"/>
    <w:rsid w:val="170767D7"/>
    <w:rsid w:val="17381F07"/>
    <w:rsid w:val="17423544"/>
    <w:rsid w:val="17450DD5"/>
    <w:rsid w:val="1750480D"/>
    <w:rsid w:val="175423EC"/>
    <w:rsid w:val="17575561"/>
    <w:rsid w:val="17656B71"/>
    <w:rsid w:val="1779199A"/>
    <w:rsid w:val="177D6416"/>
    <w:rsid w:val="17907B2D"/>
    <w:rsid w:val="179944DC"/>
    <w:rsid w:val="17A06173"/>
    <w:rsid w:val="17B56054"/>
    <w:rsid w:val="17C22E6D"/>
    <w:rsid w:val="17C4240D"/>
    <w:rsid w:val="17C5460C"/>
    <w:rsid w:val="17D662EB"/>
    <w:rsid w:val="17D908F6"/>
    <w:rsid w:val="17DA4A5F"/>
    <w:rsid w:val="17DF536C"/>
    <w:rsid w:val="17EA0C48"/>
    <w:rsid w:val="17F760DF"/>
    <w:rsid w:val="17F86219"/>
    <w:rsid w:val="18120EEB"/>
    <w:rsid w:val="181254FA"/>
    <w:rsid w:val="18186614"/>
    <w:rsid w:val="18194096"/>
    <w:rsid w:val="182B6938"/>
    <w:rsid w:val="18300B23"/>
    <w:rsid w:val="183C0DD2"/>
    <w:rsid w:val="183D0E38"/>
    <w:rsid w:val="18403F55"/>
    <w:rsid w:val="1841587E"/>
    <w:rsid w:val="18496DE3"/>
    <w:rsid w:val="18630E03"/>
    <w:rsid w:val="186F3E63"/>
    <w:rsid w:val="187857E7"/>
    <w:rsid w:val="187A2E35"/>
    <w:rsid w:val="187B19AA"/>
    <w:rsid w:val="18811F09"/>
    <w:rsid w:val="188321C6"/>
    <w:rsid w:val="188859EA"/>
    <w:rsid w:val="18921717"/>
    <w:rsid w:val="1892798E"/>
    <w:rsid w:val="189F35B2"/>
    <w:rsid w:val="18A25EE0"/>
    <w:rsid w:val="18A474FD"/>
    <w:rsid w:val="18BE00A7"/>
    <w:rsid w:val="18FD1C93"/>
    <w:rsid w:val="190D3CF6"/>
    <w:rsid w:val="190E1B7D"/>
    <w:rsid w:val="191477B1"/>
    <w:rsid w:val="19291751"/>
    <w:rsid w:val="192F739D"/>
    <w:rsid w:val="193A1B55"/>
    <w:rsid w:val="1999328D"/>
    <w:rsid w:val="19A2002B"/>
    <w:rsid w:val="19C169D0"/>
    <w:rsid w:val="19D10924"/>
    <w:rsid w:val="19DC5DE9"/>
    <w:rsid w:val="19E42EEC"/>
    <w:rsid w:val="19ED4F8F"/>
    <w:rsid w:val="19FC4F49"/>
    <w:rsid w:val="1A004525"/>
    <w:rsid w:val="1A1E247D"/>
    <w:rsid w:val="1A206E13"/>
    <w:rsid w:val="1A277C98"/>
    <w:rsid w:val="1A324F2D"/>
    <w:rsid w:val="1A3520BA"/>
    <w:rsid w:val="1A3F6DFB"/>
    <w:rsid w:val="1A462475"/>
    <w:rsid w:val="1A574945"/>
    <w:rsid w:val="1A5A58C9"/>
    <w:rsid w:val="1A5B6C04"/>
    <w:rsid w:val="1A754C02"/>
    <w:rsid w:val="1AA30DFE"/>
    <w:rsid w:val="1AA475A6"/>
    <w:rsid w:val="1AC06A39"/>
    <w:rsid w:val="1ACC4F36"/>
    <w:rsid w:val="1AF11218"/>
    <w:rsid w:val="1AF44A0B"/>
    <w:rsid w:val="1AF844CE"/>
    <w:rsid w:val="1AFC0863"/>
    <w:rsid w:val="1AFD0956"/>
    <w:rsid w:val="1B115D3C"/>
    <w:rsid w:val="1B1E0896"/>
    <w:rsid w:val="1B24030F"/>
    <w:rsid w:val="1B483F91"/>
    <w:rsid w:val="1B520060"/>
    <w:rsid w:val="1B5E3E72"/>
    <w:rsid w:val="1B614048"/>
    <w:rsid w:val="1B740D26"/>
    <w:rsid w:val="1B807337"/>
    <w:rsid w:val="1B943AD9"/>
    <w:rsid w:val="1BA36B65"/>
    <w:rsid w:val="1BA47C58"/>
    <w:rsid w:val="1BB80F43"/>
    <w:rsid w:val="1BC170B5"/>
    <w:rsid w:val="1BC5039F"/>
    <w:rsid w:val="1BC63CDD"/>
    <w:rsid w:val="1BC85289"/>
    <w:rsid w:val="1BDC02C0"/>
    <w:rsid w:val="1BEB4B83"/>
    <w:rsid w:val="1BF0529D"/>
    <w:rsid w:val="1C282642"/>
    <w:rsid w:val="1C380FA2"/>
    <w:rsid w:val="1C446BE5"/>
    <w:rsid w:val="1C6C70DC"/>
    <w:rsid w:val="1C6D0873"/>
    <w:rsid w:val="1C705992"/>
    <w:rsid w:val="1C915866"/>
    <w:rsid w:val="1C92426F"/>
    <w:rsid w:val="1CA26A88"/>
    <w:rsid w:val="1D07422E"/>
    <w:rsid w:val="1D385997"/>
    <w:rsid w:val="1D3C25C0"/>
    <w:rsid w:val="1D432F52"/>
    <w:rsid w:val="1D4A3A1E"/>
    <w:rsid w:val="1D584F32"/>
    <w:rsid w:val="1D5E31C4"/>
    <w:rsid w:val="1D604FC2"/>
    <w:rsid w:val="1D631052"/>
    <w:rsid w:val="1D6628F1"/>
    <w:rsid w:val="1D673AB8"/>
    <w:rsid w:val="1D6B0D1C"/>
    <w:rsid w:val="1D7025D9"/>
    <w:rsid w:val="1D724537"/>
    <w:rsid w:val="1D7942D2"/>
    <w:rsid w:val="1D804DF1"/>
    <w:rsid w:val="1D812873"/>
    <w:rsid w:val="1D8D5C15"/>
    <w:rsid w:val="1D946A32"/>
    <w:rsid w:val="1DA31A6F"/>
    <w:rsid w:val="1DB22E46"/>
    <w:rsid w:val="1DB51F23"/>
    <w:rsid w:val="1DC65199"/>
    <w:rsid w:val="1DDB7E33"/>
    <w:rsid w:val="1DE40399"/>
    <w:rsid w:val="1DE55082"/>
    <w:rsid w:val="1DEB7A42"/>
    <w:rsid w:val="1DF11C2D"/>
    <w:rsid w:val="1DF97E9A"/>
    <w:rsid w:val="1E105DC7"/>
    <w:rsid w:val="1E1259E5"/>
    <w:rsid w:val="1E240748"/>
    <w:rsid w:val="1E322697"/>
    <w:rsid w:val="1E3A7AA3"/>
    <w:rsid w:val="1E421B94"/>
    <w:rsid w:val="1E422931"/>
    <w:rsid w:val="1E5A1C2F"/>
    <w:rsid w:val="1E5E18A6"/>
    <w:rsid w:val="1E605592"/>
    <w:rsid w:val="1E79638E"/>
    <w:rsid w:val="1E7B3D90"/>
    <w:rsid w:val="1E832DAB"/>
    <w:rsid w:val="1E865B1A"/>
    <w:rsid w:val="1E9858BE"/>
    <w:rsid w:val="1E9A4F48"/>
    <w:rsid w:val="1EA0654E"/>
    <w:rsid w:val="1EA374D2"/>
    <w:rsid w:val="1EA44F54"/>
    <w:rsid w:val="1EBA70F8"/>
    <w:rsid w:val="1EBF675C"/>
    <w:rsid w:val="1EC2624D"/>
    <w:rsid w:val="1EC331FD"/>
    <w:rsid w:val="1F1F3A24"/>
    <w:rsid w:val="1F206854"/>
    <w:rsid w:val="1F244EC9"/>
    <w:rsid w:val="1F2D6E0F"/>
    <w:rsid w:val="1F3A2C21"/>
    <w:rsid w:val="1F3D3E4E"/>
    <w:rsid w:val="1F5A3842"/>
    <w:rsid w:val="1F6659C8"/>
    <w:rsid w:val="1F690A75"/>
    <w:rsid w:val="1F7977EE"/>
    <w:rsid w:val="1F7F7C9A"/>
    <w:rsid w:val="1F895E51"/>
    <w:rsid w:val="1F9F1011"/>
    <w:rsid w:val="1FA060F1"/>
    <w:rsid w:val="1FA073B6"/>
    <w:rsid w:val="1FA712FF"/>
    <w:rsid w:val="1FB12B7F"/>
    <w:rsid w:val="20025D99"/>
    <w:rsid w:val="200A2C27"/>
    <w:rsid w:val="202645B9"/>
    <w:rsid w:val="203159E0"/>
    <w:rsid w:val="203A68C1"/>
    <w:rsid w:val="204A02A8"/>
    <w:rsid w:val="2054435F"/>
    <w:rsid w:val="206225DB"/>
    <w:rsid w:val="20670906"/>
    <w:rsid w:val="206E56D0"/>
    <w:rsid w:val="206E7A43"/>
    <w:rsid w:val="20731CCC"/>
    <w:rsid w:val="207C25DC"/>
    <w:rsid w:val="208E24F6"/>
    <w:rsid w:val="20A11517"/>
    <w:rsid w:val="20BF6E61"/>
    <w:rsid w:val="20C06E4B"/>
    <w:rsid w:val="20C3636D"/>
    <w:rsid w:val="20D25569"/>
    <w:rsid w:val="20E03EA8"/>
    <w:rsid w:val="20EA2C10"/>
    <w:rsid w:val="20ED38FC"/>
    <w:rsid w:val="20FF7332"/>
    <w:rsid w:val="21053439"/>
    <w:rsid w:val="210B3EDB"/>
    <w:rsid w:val="21186BD7"/>
    <w:rsid w:val="211D78B0"/>
    <w:rsid w:val="212154AC"/>
    <w:rsid w:val="212C10FB"/>
    <w:rsid w:val="212E72D0"/>
    <w:rsid w:val="21380A2B"/>
    <w:rsid w:val="213E32F0"/>
    <w:rsid w:val="2149131F"/>
    <w:rsid w:val="2149340F"/>
    <w:rsid w:val="214E43E5"/>
    <w:rsid w:val="21561F3F"/>
    <w:rsid w:val="21600B88"/>
    <w:rsid w:val="217414EF"/>
    <w:rsid w:val="21AD61D1"/>
    <w:rsid w:val="21B53414"/>
    <w:rsid w:val="21C1459A"/>
    <w:rsid w:val="21E5038E"/>
    <w:rsid w:val="21E8206B"/>
    <w:rsid w:val="21EA14F4"/>
    <w:rsid w:val="221C0A03"/>
    <w:rsid w:val="222B101D"/>
    <w:rsid w:val="223E6CF8"/>
    <w:rsid w:val="2243364A"/>
    <w:rsid w:val="224C3884"/>
    <w:rsid w:val="224E045E"/>
    <w:rsid w:val="226823A3"/>
    <w:rsid w:val="227C1E95"/>
    <w:rsid w:val="22873935"/>
    <w:rsid w:val="229226B8"/>
    <w:rsid w:val="22A73267"/>
    <w:rsid w:val="22AF5BBC"/>
    <w:rsid w:val="22C677C0"/>
    <w:rsid w:val="22CD1033"/>
    <w:rsid w:val="22DD3C85"/>
    <w:rsid w:val="22E25187"/>
    <w:rsid w:val="232102B1"/>
    <w:rsid w:val="236E03B0"/>
    <w:rsid w:val="23740A0F"/>
    <w:rsid w:val="23773046"/>
    <w:rsid w:val="23795BFF"/>
    <w:rsid w:val="23827050"/>
    <w:rsid w:val="238A31D0"/>
    <w:rsid w:val="23921869"/>
    <w:rsid w:val="239E3959"/>
    <w:rsid w:val="23A012D9"/>
    <w:rsid w:val="23A128D5"/>
    <w:rsid w:val="23A243DF"/>
    <w:rsid w:val="23A25387"/>
    <w:rsid w:val="23B1689B"/>
    <w:rsid w:val="23B42767"/>
    <w:rsid w:val="23B452A1"/>
    <w:rsid w:val="23BA1BE8"/>
    <w:rsid w:val="23CC074A"/>
    <w:rsid w:val="23E303FA"/>
    <w:rsid w:val="23EA577B"/>
    <w:rsid w:val="23EB5574"/>
    <w:rsid w:val="23F911BA"/>
    <w:rsid w:val="23FE56CB"/>
    <w:rsid w:val="240B1533"/>
    <w:rsid w:val="24283062"/>
    <w:rsid w:val="242B39CD"/>
    <w:rsid w:val="242C61E4"/>
    <w:rsid w:val="242D3C66"/>
    <w:rsid w:val="242D516F"/>
    <w:rsid w:val="243335F1"/>
    <w:rsid w:val="245247ED"/>
    <w:rsid w:val="24575A93"/>
    <w:rsid w:val="248B67FD"/>
    <w:rsid w:val="248F6CA6"/>
    <w:rsid w:val="24BF3406"/>
    <w:rsid w:val="24D97602"/>
    <w:rsid w:val="2508212D"/>
    <w:rsid w:val="251D6DF2"/>
    <w:rsid w:val="252B038C"/>
    <w:rsid w:val="252D50E0"/>
    <w:rsid w:val="252E1698"/>
    <w:rsid w:val="25533A48"/>
    <w:rsid w:val="25543DDA"/>
    <w:rsid w:val="255F7AD2"/>
    <w:rsid w:val="2562439C"/>
    <w:rsid w:val="256D4FBD"/>
    <w:rsid w:val="25710A7A"/>
    <w:rsid w:val="257E016B"/>
    <w:rsid w:val="258B7426"/>
    <w:rsid w:val="259B76C0"/>
    <w:rsid w:val="25AA58E4"/>
    <w:rsid w:val="25B52A47"/>
    <w:rsid w:val="25C10491"/>
    <w:rsid w:val="25C46D47"/>
    <w:rsid w:val="25E074E7"/>
    <w:rsid w:val="25E258B6"/>
    <w:rsid w:val="25EE4017"/>
    <w:rsid w:val="25F63B93"/>
    <w:rsid w:val="25F97290"/>
    <w:rsid w:val="2601616B"/>
    <w:rsid w:val="260512EE"/>
    <w:rsid w:val="26223B26"/>
    <w:rsid w:val="26241D26"/>
    <w:rsid w:val="2627224F"/>
    <w:rsid w:val="262B372C"/>
    <w:rsid w:val="263E274C"/>
    <w:rsid w:val="265B0A5D"/>
    <w:rsid w:val="266360FF"/>
    <w:rsid w:val="266A6A94"/>
    <w:rsid w:val="266C4868"/>
    <w:rsid w:val="26862B41"/>
    <w:rsid w:val="26960BDD"/>
    <w:rsid w:val="269C0568"/>
    <w:rsid w:val="269D762C"/>
    <w:rsid w:val="26A10A3D"/>
    <w:rsid w:val="26AA7CF2"/>
    <w:rsid w:val="26C976F8"/>
    <w:rsid w:val="26E31456"/>
    <w:rsid w:val="26E563DD"/>
    <w:rsid w:val="26EF72E5"/>
    <w:rsid w:val="26FC4A2E"/>
    <w:rsid w:val="270B0E4A"/>
    <w:rsid w:val="27114CA3"/>
    <w:rsid w:val="27180E6A"/>
    <w:rsid w:val="271E393C"/>
    <w:rsid w:val="271E669F"/>
    <w:rsid w:val="27333A9E"/>
    <w:rsid w:val="27334708"/>
    <w:rsid w:val="273D5A6D"/>
    <w:rsid w:val="274023D4"/>
    <w:rsid w:val="274253D5"/>
    <w:rsid w:val="274C4E88"/>
    <w:rsid w:val="274E038B"/>
    <w:rsid w:val="2750388E"/>
    <w:rsid w:val="275C4318"/>
    <w:rsid w:val="275D2BA4"/>
    <w:rsid w:val="27663E92"/>
    <w:rsid w:val="276D74EC"/>
    <w:rsid w:val="276F6A21"/>
    <w:rsid w:val="27771DBE"/>
    <w:rsid w:val="277B2154"/>
    <w:rsid w:val="2788146A"/>
    <w:rsid w:val="278A534F"/>
    <w:rsid w:val="27C128C8"/>
    <w:rsid w:val="27D163B4"/>
    <w:rsid w:val="27F37895"/>
    <w:rsid w:val="27F4659B"/>
    <w:rsid w:val="28002089"/>
    <w:rsid w:val="280542B6"/>
    <w:rsid w:val="280D4F46"/>
    <w:rsid w:val="281C1B43"/>
    <w:rsid w:val="281C3EC7"/>
    <w:rsid w:val="281C4CDA"/>
    <w:rsid w:val="281D775F"/>
    <w:rsid w:val="282B36F9"/>
    <w:rsid w:val="28375A3F"/>
    <w:rsid w:val="28520495"/>
    <w:rsid w:val="28713562"/>
    <w:rsid w:val="287813D0"/>
    <w:rsid w:val="287A7AF8"/>
    <w:rsid w:val="28901C9C"/>
    <w:rsid w:val="2893739E"/>
    <w:rsid w:val="28A013AD"/>
    <w:rsid w:val="28A46793"/>
    <w:rsid w:val="28A813E1"/>
    <w:rsid w:val="28B92E20"/>
    <w:rsid w:val="28B93CEB"/>
    <w:rsid w:val="28E02A8F"/>
    <w:rsid w:val="28E1683E"/>
    <w:rsid w:val="28F97D4B"/>
    <w:rsid w:val="29125D60"/>
    <w:rsid w:val="292B1C11"/>
    <w:rsid w:val="29311825"/>
    <w:rsid w:val="293E7836"/>
    <w:rsid w:val="29437541"/>
    <w:rsid w:val="29454C43"/>
    <w:rsid w:val="2960365F"/>
    <w:rsid w:val="29614573"/>
    <w:rsid w:val="299A22A0"/>
    <w:rsid w:val="29BA3FA4"/>
    <w:rsid w:val="29C44761"/>
    <w:rsid w:val="29C73F17"/>
    <w:rsid w:val="29D10A88"/>
    <w:rsid w:val="29DA2F38"/>
    <w:rsid w:val="2A01667B"/>
    <w:rsid w:val="2A020879"/>
    <w:rsid w:val="2A1A46E9"/>
    <w:rsid w:val="2A2A2452"/>
    <w:rsid w:val="2A3717F0"/>
    <w:rsid w:val="2A3A4256"/>
    <w:rsid w:val="2A437712"/>
    <w:rsid w:val="2A441BE1"/>
    <w:rsid w:val="2A4836B1"/>
    <w:rsid w:val="2A4A0382"/>
    <w:rsid w:val="2A5E4337"/>
    <w:rsid w:val="2A7541F8"/>
    <w:rsid w:val="2A851BD9"/>
    <w:rsid w:val="2A863893"/>
    <w:rsid w:val="2A9248E5"/>
    <w:rsid w:val="2A932720"/>
    <w:rsid w:val="2A946DF4"/>
    <w:rsid w:val="2A9A1CF1"/>
    <w:rsid w:val="2A9D2C76"/>
    <w:rsid w:val="2AA02867"/>
    <w:rsid w:val="2AB357E7"/>
    <w:rsid w:val="2AC9578D"/>
    <w:rsid w:val="2ACA60C4"/>
    <w:rsid w:val="2ACC5C5A"/>
    <w:rsid w:val="2AD74E2E"/>
    <w:rsid w:val="2ADE4D64"/>
    <w:rsid w:val="2AF04F6E"/>
    <w:rsid w:val="2B000827"/>
    <w:rsid w:val="2B0E422E"/>
    <w:rsid w:val="2B420288"/>
    <w:rsid w:val="2B421328"/>
    <w:rsid w:val="2B4D2E1A"/>
    <w:rsid w:val="2B563729"/>
    <w:rsid w:val="2B5E1033"/>
    <w:rsid w:val="2B6366C1"/>
    <w:rsid w:val="2B641D7F"/>
    <w:rsid w:val="2B6D3C7A"/>
    <w:rsid w:val="2B7462A4"/>
    <w:rsid w:val="2B786D85"/>
    <w:rsid w:val="2B827A70"/>
    <w:rsid w:val="2B955445"/>
    <w:rsid w:val="2BA95732"/>
    <w:rsid w:val="2BAF763B"/>
    <w:rsid w:val="2BB23B01"/>
    <w:rsid w:val="2BB32D41"/>
    <w:rsid w:val="2BC069D0"/>
    <w:rsid w:val="2BC26022"/>
    <w:rsid w:val="2BC367B8"/>
    <w:rsid w:val="2BE30D8F"/>
    <w:rsid w:val="2BE46810"/>
    <w:rsid w:val="2BE960EF"/>
    <w:rsid w:val="2C071A15"/>
    <w:rsid w:val="2C0B44D1"/>
    <w:rsid w:val="2C0B64AA"/>
    <w:rsid w:val="2C2D3420"/>
    <w:rsid w:val="2C372A17"/>
    <w:rsid w:val="2C486535"/>
    <w:rsid w:val="2C55584A"/>
    <w:rsid w:val="2C792640"/>
    <w:rsid w:val="2C7B4E8C"/>
    <w:rsid w:val="2C842D34"/>
    <w:rsid w:val="2C9446A0"/>
    <w:rsid w:val="2CA04D25"/>
    <w:rsid w:val="2CA13945"/>
    <w:rsid w:val="2CCF1C91"/>
    <w:rsid w:val="2CD6709D"/>
    <w:rsid w:val="2CE73722"/>
    <w:rsid w:val="2CED77C1"/>
    <w:rsid w:val="2CF617E0"/>
    <w:rsid w:val="2CFD14DB"/>
    <w:rsid w:val="2D16631A"/>
    <w:rsid w:val="2D4C5A5E"/>
    <w:rsid w:val="2D5544C3"/>
    <w:rsid w:val="2D5A4743"/>
    <w:rsid w:val="2D6C2100"/>
    <w:rsid w:val="2D762BBA"/>
    <w:rsid w:val="2D7D7F0E"/>
    <w:rsid w:val="2D9263A7"/>
    <w:rsid w:val="2D944CD1"/>
    <w:rsid w:val="2DBB723B"/>
    <w:rsid w:val="2DC37DF1"/>
    <w:rsid w:val="2DCE0619"/>
    <w:rsid w:val="2DD35AE8"/>
    <w:rsid w:val="2DE463B0"/>
    <w:rsid w:val="2DE64BF5"/>
    <w:rsid w:val="2DE84AF7"/>
    <w:rsid w:val="2DED4EA0"/>
    <w:rsid w:val="2E0D173F"/>
    <w:rsid w:val="2E273547"/>
    <w:rsid w:val="2E307DB7"/>
    <w:rsid w:val="2E3E5270"/>
    <w:rsid w:val="2E601123"/>
    <w:rsid w:val="2E6011D7"/>
    <w:rsid w:val="2E627EA9"/>
    <w:rsid w:val="2E695B55"/>
    <w:rsid w:val="2E76670C"/>
    <w:rsid w:val="2E961606"/>
    <w:rsid w:val="2EA22E91"/>
    <w:rsid w:val="2EC54F0E"/>
    <w:rsid w:val="2EEC173E"/>
    <w:rsid w:val="2EFE7D6E"/>
    <w:rsid w:val="2F1507D9"/>
    <w:rsid w:val="2F1E74CF"/>
    <w:rsid w:val="2F25085E"/>
    <w:rsid w:val="2F486EA2"/>
    <w:rsid w:val="2F747966"/>
    <w:rsid w:val="2F984ABB"/>
    <w:rsid w:val="2FB67708"/>
    <w:rsid w:val="2FBE480E"/>
    <w:rsid w:val="2FC254E7"/>
    <w:rsid w:val="303F594F"/>
    <w:rsid w:val="30534DD6"/>
    <w:rsid w:val="30561692"/>
    <w:rsid w:val="30600479"/>
    <w:rsid w:val="306927FC"/>
    <w:rsid w:val="30702187"/>
    <w:rsid w:val="309E4373"/>
    <w:rsid w:val="30AA13BF"/>
    <w:rsid w:val="30CA159C"/>
    <w:rsid w:val="30DF6CA0"/>
    <w:rsid w:val="30E61DC6"/>
    <w:rsid w:val="30ED32FC"/>
    <w:rsid w:val="30F139DA"/>
    <w:rsid w:val="310061F3"/>
    <w:rsid w:val="31143B11"/>
    <w:rsid w:val="31195802"/>
    <w:rsid w:val="311A5A74"/>
    <w:rsid w:val="31256CB3"/>
    <w:rsid w:val="31286700"/>
    <w:rsid w:val="312C253A"/>
    <w:rsid w:val="313533BC"/>
    <w:rsid w:val="313E4759"/>
    <w:rsid w:val="314B1C9B"/>
    <w:rsid w:val="31612184"/>
    <w:rsid w:val="317B5B3D"/>
    <w:rsid w:val="317D0C73"/>
    <w:rsid w:val="31926D16"/>
    <w:rsid w:val="3194218A"/>
    <w:rsid w:val="31A50EFF"/>
    <w:rsid w:val="31B444D7"/>
    <w:rsid w:val="31BB6926"/>
    <w:rsid w:val="31C33D33"/>
    <w:rsid w:val="31C342A2"/>
    <w:rsid w:val="31C97E3A"/>
    <w:rsid w:val="31E0281A"/>
    <w:rsid w:val="31F83438"/>
    <w:rsid w:val="31FC5556"/>
    <w:rsid w:val="32021299"/>
    <w:rsid w:val="32170FF5"/>
    <w:rsid w:val="32356B5E"/>
    <w:rsid w:val="324326C2"/>
    <w:rsid w:val="324E226E"/>
    <w:rsid w:val="32AF1AA3"/>
    <w:rsid w:val="32C1086E"/>
    <w:rsid w:val="32D4454C"/>
    <w:rsid w:val="32DA44FC"/>
    <w:rsid w:val="32DD76BC"/>
    <w:rsid w:val="32F341BB"/>
    <w:rsid w:val="32F54E61"/>
    <w:rsid w:val="32FD49B4"/>
    <w:rsid w:val="330001A2"/>
    <w:rsid w:val="33055644"/>
    <w:rsid w:val="331830EB"/>
    <w:rsid w:val="332A6927"/>
    <w:rsid w:val="333077D1"/>
    <w:rsid w:val="33434A04"/>
    <w:rsid w:val="334713E7"/>
    <w:rsid w:val="33541442"/>
    <w:rsid w:val="335C0F0C"/>
    <w:rsid w:val="3363480C"/>
    <w:rsid w:val="33770F5C"/>
    <w:rsid w:val="338257CE"/>
    <w:rsid w:val="339B35BC"/>
    <w:rsid w:val="33DA309D"/>
    <w:rsid w:val="33EA4F8B"/>
    <w:rsid w:val="33EF3043"/>
    <w:rsid w:val="33FA13D4"/>
    <w:rsid w:val="34006B60"/>
    <w:rsid w:val="34027E2D"/>
    <w:rsid w:val="34083F6D"/>
    <w:rsid w:val="3417738B"/>
    <w:rsid w:val="341A1198"/>
    <w:rsid w:val="34237B7A"/>
    <w:rsid w:val="34384B8F"/>
    <w:rsid w:val="344A5CAF"/>
    <w:rsid w:val="34627AFE"/>
    <w:rsid w:val="34627E84"/>
    <w:rsid w:val="346907A6"/>
    <w:rsid w:val="346C4843"/>
    <w:rsid w:val="34761B3D"/>
    <w:rsid w:val="347C6980"/>
    <w:rsid w:val="34845AB5"/>
    <w:rsid w:val="34861646"/>
    <w:rsid w:val="3486483B"/>
    <w:rsid w:val="34A22AE6"/>
    <w:rsid w:val="34D32B0A"/>
    <w:rsid w:val="34E96ADE"/>
    <w:rsid w:val="34ED2EF3"/>
    <w:rsid w:val="34FB6280"/>
    <w:rsid w:val="35184C6D"/>
    <w:rsid w:val="351C016C"/>
    <w:rsid w:val="351F0B3B"/>
    <w:rsid w:val="353D1B92"/>
    <w:rsid w:val="354143E4"/>
    <w:rsid w:val="355754E9"/>
    <w:rsid w:val="356A2C20"/>
    <w:rsid w:val="35773F4E"/>
    <w:rsid w:val="358259D7"/>
    <w:rsid w:val="358B1967"/>
    <w:rsid w:val="358D3D69"/>
    <w:rsid w:val="35906410"/>
    <w:rsid w:val="359E09A4"/>
    <w:rsid w:val="35A23D0E"/>
    <w:rsid w:val="35AA797D"/>
    <w:rsid w:val="35BE61A8"/>
    <w:rsid w:val="35D408E8"/>
    <w:rsid w:val="35D903FF"/>
    <w:rsid w:val="35DB2555"/>
    <w:rsid w:val="35E1119D"/>
    <w:rsid w:val="35EF609A"/>
    <w:rsid w:val="360E3D96"/>
    <w:rsid w:val="361352C6"/>
    <w:rsid w:val="361D3657"/>
    <w:rsid w:val="362B1258"/>
    <w:rsid w:val="36475791"/>
    <w:rsid w:val="366F28DB"/>
    <w:rsid w:val="36735C80"/>
    <w:rsid w:val="368178C2"/>
    <w:rsid w:val="36890788"/>
    <w:rsid w:val="36897EB8"/>
    <w:rsid w:val="368A2987"/>
    <w:rsid w:val="36906629"/>
    <w:rsid w:val="369301F2"/>
    <w:rsid w:val="369C6124"/>
    <w:rsid w:val="369F5F8F"/>
    <w:rsid w:val="36A056B5"/>
    <w:rsid w:val="36A1205A"/>
    <w:rsid w:val="36A46172"/>
    <w:rsid w:val="36CD7058"/>
    <w:rsid w:val="36D22E56"/>
    <w:rsid w:val="36D90673"/>
    <w:rsid w:val="36FE0747"/>
    <w:rsid w:val="370666E5"/>
    <w:rsid w:val="37305FF2"/>
    <w:rsid w:val="373511EA"/>
    <w:rsid w:val="373F25CC"/>
    <w:rsid w:val="374D3D49"/>
    <w:rsid w:val="374E3698"/>
    <w:rsid w:val="374E6478"/>
    <w:rsid w:val="375111F8"/>
    <w:rsid w:val="375D0761"/>
    <w:rsid w:val="3776710C"/>
    <w:rsid w:val="37785578"/>
    <w:rsid w:val="378123A9"/>
    <w:rsid w:val="379501B2"/>
    <w:rsid w:val="37AB75F3"/>
    <w:rsid w:val="37B77B75"/>
    <w:rsid w:val="37C37A26"/>
    <w:rsid w:val="37DD61FF"/>
    <w:rsid w:val="37DE77FC"/>
    <w:rsid w:val="37E56DDC"/>
    <w:rsid w:val="37E92B66"/>
    <w:rsid w:val="37ED5C91"/>
    <w:rsid w:val="37F66761"/>
    <w:rsid w:val="37FB2BE8"/>
    <w:rsid w:val="3818637F"/>
    <w:rsid w:val="383A3644"/>
    <w:rsid w:val="385F1A9D"/>
    <w:rsid w:val="3883540B"/>
    <w:rsid w:val="388614C8"/>
    <w:rsid w:val="38910707"/>
    <w:rsid w:val="389712F2"/>
    <w:rsid w:val="38A65C6F"/>
    <w:rsid w:val="38AF2F46"/>
    <w:rsid w:val="38B42B1B"/>
    <w:rsid w:val="38C42E95"/>
    <w:rsid w:val="38D428CC"/>
    <w:rsid w:val="38DD3307"/>
    <w:rsid w:val="38E23DE0"/>
    <w:rsid w:val="38EC0F5C"/>
    <w:rsid w:val="38F46D95"/>
    <w:rsid w:val="38FF590E"/>
    <w:rsid w:val="390447E4"/>
    <w:rsid w:val="390C2A26"/>
    <w:rsid w:val="390F1C92"/>
    <w:rsid w:val="39293DB0"/>
    <w:rsid w:val="3932357B"/>
    <w:rsid w:val="393542AD"/>
    <w:rsid w:val="393C0FF6"/>
    <w:rsid w:val="393E44F9"/>
    <w:rsid w:val="39661E3A"/>
    <w:rsid w:val="3968533E"/>
    <w:rsid w:val="398630C2"/>
    <w:rsid w:val="398D772B"/>
    <w:rsid w:val="39945775"/>
    <w:rsid w:val="39A03524"/>
    <w:rsid w:val="39A06505"/>
    <w:rsid w:val="39A828A4"/>
    <w:rsid w:val="39AA162A"/>
    <w:rsid w:val="39AD1252"/>
    <w:rsid w:val="39B13AE1"/>
    <w:rsid w:val="39D5466D"/>
    <w:rsid w:val="39E901AB"/>
    <w:rsid w:val="39F36619"/>
    <w:rsid w:val="39FC2F9F"/>
    <w:rsid w:val="39FF07C8"/>
    <w:rsid w:val="3A2940F7"/>
    <w:rsid w:val="3A405AB1"/>
    <w:rsid w:val="3A5D2151"/>
    <w:rsid w:val="3A5E6443"/>
    <w:rsid w:val="3A6E01EF"/>
    <w:rsid w:val="3A8D3267"/>
    <w:rsid w:val="3A956CA9"/>
    <w:rsid w:val="3A9A5F88"/>
    <w:rsid w:val="3A9B3EA5"/>
    <w:rsid w:val="3A9E0B45"/>
    <w:rsid w:val="3AB86041"/>
    <w:rsid w:val="3ABD23EC"/>
    <w:rsid w:val="3AC06BF4"/>
    <w:rsid w:val="3AC53565"/>
    <w:rsid w:val="3AD30754"/>
    <w:rsid w:val="3AD31A4B"/>
    <w:rsid w:val="3AD63FAA"/>
    <w:rsid w:val="3AD82BC6"/>
    <w:rsid w:val="3ADE2921"/>
    <w:rsid w:val="3AE96733"/>
    <w:rsid w:val="3AFE2C6B"/>
    <w:rsid w:val="3B1866F7"/>
    <w:rsid w:val="3B2B2A20"/>
    <w:rsid w:val="3B376687"/>
    <w:rsid w:val="3B3E6939"/>
    <w:rsid w:val="3B4A1AE9"/>
    <w:rsid w:val="3B4F12B2"/>
    <w:rsid w:val="3B5B73B5"/>
    <w:rsid w:val="3B6343C3"/>
    <w:rsid w:val="3B730A2C"/>
    <w:rsid w:val="3B760E54"/>
    <w:rsid w:val="3B77509E"/>
    <w:rsid w:val="3BA46E66"/>
    <w:rsid w:val="3BAB412E"/>
    <w:rsid w:val="3BAC4273"/>
    <w:rsid w:val="3BAE5839"/>
    <w:rsid w:val="3BC73BD4"/>
    <w:rsid w:val="3BCE5AAC"/>
    <w:rsid w:val="3BDB763B"/>
    <w:rsid w:val="3BFB5246"/>
    <w:rsid w:val="3C0A04BB"/>
    <w:rsid w:val="3C3360EC"/>
    <w:rsid w:val="3C3643F9"/>
    <w:rsid w:val="3C3F3B8F"/>
    <w:rsid w:val="3C452831"/>
    <w:rsid w:val="3C491387"/>
    <w:rsid w:val="3C5D17C0"/>
    <w:rsid w:val="3C5D5748"/>
    <w:rsid w:val="3C5E539B"/>
    <w:rsid w:val="3C7057AE"/>
    <w:rsid w:val="3C741ABD"/>
    <w:rsid w:val="3C795D45"/>
    <w:rsid w:val="3C841D58"/>
    <w:rsid w:val="3CA53C3A"/>
    <w:rsid w:val="3CA60B04"/>
    <w:rsid w:val="3CA74A0B"/>
    <w:rsid w:val="3CA97F92"/>
    <w:rsid w:val="3CC1259B"/>
    <w:rsid w:val="3CCA6C49"/>
    <w:rsid w:val="3CDB442E"/>
    <w:rsid w:val="3CE242F0"/>
    <w:rsid w:val="3CEA1C78"/>
    <w:rsid w:val="3CF0119C"/>
    <w:rsid w:val="3D045B29"/>
    <w:rsid w:val="3D136199"/>
    <w:rsid w:val="3D3056F4"/>
    <w:rsid w:val="3D37642D"/>
    <w:rsid w:val="3D4B442E"/>
    <w:rsid w:val="3D53112B"/>
    <w:rsid w:val="3D672756"/>
    <w:rsid w:val="3D6D69CE"/>
    <w:rsid w:val="3D8D5B29"/>
    <w:rsid w:val="3D945377"/>
    <w:rsid w:val="3D9C11FA"/>
    <w:rsid w:val="3D9C6FA1"/>
    <w:rsid w:val="3DA962B7"/>
    <w:rsid w:val="3DB13B3B"/>
    <w:rsid w:val="3DC065C6"/>
    <w:rsid w:val="3DC70F93"/>
    <w:rsid w:val="3DDC0B07"/>
    <w:rsid w:val="3DDC7D8B"/>
    <w:rsid w:val="3DE051EE"/>
    <w:rsid w:val="3DF33233"/>
    <w:rsid w:val="3E0169BD"/>
    <w:rsid w:val="3E16578E"/>
    <w:rsid w:val="3E2C3483"/>
    <w:rsid w:val="3E2E4312"/>
    <w:rsid w:val="3E3D3FF6"/>
    <w:rsid w:val="3E4203B8"/>
    <w:rsid w:val="3E5700F6"/>
    <w:rsid w:val="3E5D317C"/>
    <w:rsid w:val="3E790CAC"/>
    <w:rsid w:val="3E7A3FF6"/>
    <w:rsid w:val="3E7B17BF"/>
    <w:rsid w:val="3E802A97"/>
    <w:rsid w:val="3E9E3D62"/>
    <w:rsid w:val="3EB721C8"/>
    <w:rsid w:val="3EBF7C5B"/>
    <w:rsid w:val="3EC7628C"/>
    <w:rsid w:val="3EE14631"/>
    <w:rsid w:val="3EE44D3A"/>
    <w:rsid w:val="3EF4037B"/>
    <w:rsid w:val="3F0355EF"/>
    <w:rsid w:val="3F197280"/>
    <w:rsid w:val="3F4B496B"/>
    <w:rsid w:val="3F4B6BB2"/>
    <w:rsid w:val="3F7B3FB4"/>
    <w:rsid w:val="3F8A64BB"/>
    <w:rsid w:val="3F8A67CD"/>
    <w:rsid w:val="3F8F2C54"/>
    <w:rsid w:val="3F903F59"/>
    <w:rsid w:val="3F91658F"/>
    <w:rsid w:val="3F965E62"/>
    <w:rsid w:val="3FA45178"/>
    <w:rsid w:val="3FA46EF8"/>
    <w:rsid w:val="3FA660FD"/>
    <w:rsid w:val="3FB83E19"/>
    <w:rsid w:val="3FEC6BE3"/>
    <w:rsid w:val="4010076E"/>
    <w:rsid w:val="402203F5"/>
    <w:rsid w:val="40223297"/>
    <w:rsid w:val="402657A8"/>
    <w:rsid w:val="4028158A"/>
    <w:rsid w:val="403D4072"/>
    <w:rsid w:val="40554F9C"/>
    <w:rsid w:val="40574F8A"/>
    <w:rsid w:val="40AE5034"/>
    <w:rsid w:val="40B35057"/>
    <w:rsid w:val="40BF6BC9"/>
    <w:rsid w:val="40D24565"/>
    <w:rsid w:val="41091371"/>
    <w:rsid w:val="411029F0"/>
    <w:rsid w:val="41303C39"/>
    <w:rsid w:val="41364AA2"/>
    <w:rsid w:val="41425B1E"/>
    <w:rsid w:val="414F74CB"/>
    <w:rsid w:val="415B6654"/>
    <w:rsid w:val="41636FFF"/>
    <w:rsid w:val="41662EBF"/>
    <w:rsid w:val="416745BC"/>
    <w:rsid w:val="41690F03"/>
    <w:rsid w:val="417C2EE6"/>
    <w:rsid w:val="41872CB2"/>
    <w:rsid w:val="418A3D14"/>
    <w:rsid w:val="41907140"/>
    <w:rsid w:val="41A171BC"/>
    <w:rsid w:val="41A55BC2"/>
    <w:rsid w:val="41B119D5"/>
    <w:rsid w:val="41B13BD3"/>
    <w:rsid w:val="41BF23A4"/>
    <w:rsid w:val="41C46BAD"/>
    <w:rsid w:val="41CC21FF"/>
    <w:rsid w:val="41D12A32"/>
    <w:rsid w:val="41D301C3"/>
    <w:rsid w:val="41D623AF"/>
    <w:rsid w:val="41E05BEB"/>
    <w:rsid w:val="41E06CA1"/>
    <w:rsid w:val="41F6377C"/>
    <w:rsid w:val="420B66EE"/>
    <w:rsid w:val="421B5801"/>
    <w:rsid w:val="422F49B3"/>
    <w:rsid w:val="42301F23"/>
    <w:rsid w:val="423767ED"/>
    <w:rsid w:val="425213C3"/>
    <w:rsid w:val="425968DE"/>
    <w:rsid w:val="42664FBD"/>
    <w:rsid w:val="426E68C9"/>
    <w:rsid w:val="427E58A6"/>
    <w:rsid w:val="42802614"/>
    <w:rsid w:val="42B01704"/>
    <w:rsid w:val="42CA554C"/>
    <w:rsid w:val="42CC4106"/>
    <w:rsid w:val="42D22B67"/>
    <w:rsid w:val="42DC0E76"/>
    <w:rsid w:val="42DF0DC2"/>
    <w:rsid w:val="42E21D47"/>
    <w:rsid w:val="42E661CE"/>
    <w:rsid w:val="42E92879"/>
    <w:rsid w:val="42EC69CA"/>
    <w:rsid w:val="42EE6E5E"/>
    <w:rsid w:val="42FB4A28"/>
    <w:rsid w:val="42FC375F"/>
    <w:rsid w:val="431F1AE3"/>
    <w:rsid w:val="433858A5"/>
    <w:rsid w:val="434028D7"/>
    <w:rsid w:val="43527105"/>
    <w:rsid w:val="436D4954"/>
    <w:rsid w:val="438753A5"/>
    <w:rsid w:val="43891048"/>
    <w:rsid w:val="43920E07"/>
    <w:rsid w:val="43951B04"/>
    <w:rsid w:val="43A24887"/>
    <w:rsid w:val="43DA20AE"/>
    <w:rsid w:val="43F715ED"/>
    <w:rsid w:val="44000E21"/>
    <w:rsid w:val="440875AB"/>
    <w:rsid w:val="440B6331"/>
    <w:rsid w:val="440D15A1"/>
    <w:rsid w:val="4413593C"/>
    <w:rsid w:val="442B201A"/>
    <w:rsid w:val="44444E8A"/>
    <w:rsid w:val="444B4C5F"/>
    <w:rsid w:val="44621DE3"/>
    <w:rsid w:val="44655A6C"/>
    <w:rsid w:val="4467168F"/>
    <w:rsid w:val="44766B6D"/>
    <w:rsid w:val="44864A89"/>
    <w:rsid w:val="44890DFE"/>
    <w:rsid w:val="448F50C0"/>
    <w:rsid w:val="44983838"/>
    <w:rsid w:val="44984355"/>
    <w:rsid w:val="44A8226D"/>
    <w:rsid w:val="44AA08C6"/>
    <w:rsid w:val="44B32010"/>
    <w:rsid w:val="44C84166"/>
    <w:rsid w:val="44EF4A70"/>
    <w:rsid w:val="44FE14DD"/>
    <w:rsid w:val="45011D41"/>
    <w:rsid w:val="452364C9"/>
    <w:rsid w:val="452B7DF8"/>
    <w:rsid w:val="45342FB5"/>
    <w:rsid w:val="454C0370"/>
    <w:rsid w:val="4550153F"/>
    <w:rsid w:val="455D4659"/>
    <w:rsid w:val="455E7EDC"/>
    <w:rsid w:val="45631ACD"/>
    <w:rsid w:val="45660998"/>
    <w:rsid w:val="458000C7"/>
    <w:rsid w:val="45806396"/>
    <w:rsid w:val="4585213C"/>
    <w:rsid w:val="458B3F95"/>
    <w:rsid w:val="45967A06"/>
    <w:rsid w:val="45AA2F38"/>
    <w:rsid w:val="45C41CBE"/>
    <w:rsid w:val="45CF1BC3"/>
    <w:rsid w:val="45F428E0"/>
    <w:rsid w:val="4601483F"/>
    <w:rsid w:val="46025A85"/>
    <w:rsid w:val="461A266E"/>
    <w:rsid w:val="46323738"/>
    <w:rsid w:val="46401681"/>
    <w:rsid w:val="464B7FDD"/>
    <w:rsid w:val="465530CB"/>
    <w:rsid w:val="4669507C"/>
    <w:rsid w:val="46760020"/>
    <w:rsid w:val="468C2B4D"/>
    <w:rsid w:val="468D05CE"/>
    <w:rsid w:val="46982676"/>
    <w:rsid w:val="469D2F6D"/>
    <w:rsid w:val="46A7659A"/>
    <w:rsid w:val="46D00C57"/>
    <w:rsid w:val="46D06EA9"/>
    <w:rsid w:val="46D17AD3"/>
    <w:rsid w:val="46F956FF"/>
    <w:rsid w:val="47230AF2"/>
    <w:rsid w:val="47262F6D"/>
    <w:rsid w:val="47496783"/>
    <w:rsid w:val="474B1C86"/>
    <w:rsid w:val="47630D4C"/>
    <w:rsid w:val="476A14DB"/>
    <w:rsid w:val="476A5FE9"/>
    <w:rsid w:val="4782435E"/>
    <w:rsid w:val="4790205D"/>
    <w:rsid w:val="479804CC"/>
    <w:rsid w:val="47A56E76"/>
    <w:rsid w:val="47AC0A26"/>
    <w:rsid w:val="47B75E90"/>
    <w:rsid w:val="47C03E43"/>
    <w:rsid w:val="47C56CDE"/>
    <w:rsid w:val="47D74267"/>
    <w:rsid w:val="47FD3740"/>
    <w:rsid w:val="48082BD4"/>
    <w:rsid w:val="481903DC"/>
    <w:rsid w:val="48195197"/>
    <w:rsid w:val="48266030"/>
    <w:rsid w:val="483319A6"/>
    <w:rsid w:val="483413B6"/>
    <w:rsid w:val="48383932"/>
    <w:rsid w:val="48431FBC"/>
    <w:rsid w:val="48490A61"/>
    <w:rsid w:val="487657D6"/>
    <w:rsid w:val="48A57A1A"/>
    <w:rsid w:val="48D664FA"/>
    <w:rsid w:val="49001E86"/>
    <w:rsid w:val="49081412"/>
    <w:rsid w:val="490B081A"/>
    <w:rsid w:val="4924150C"/>
    <w:rsid w:val="492A223F"/>
    <w:rsid w:val="494B2817"/>
    <w:rsid w:val="49500C1A"/>
    <w:rsid w:val="495B1646"/>
    <w:rsid w:val="496D50BB"/>
    <w:rsid w:val="49831FB1"/>
    <w:rsid w:val="49834DA9"/>
    <w:rsid w:val="498E1308"/>
    <w:rsid w:val="498E392B"/>
    <w:rsid w:val="49953FD2"/>
    <w:rsid w:val="49A60395"/>
    <w:rsid w:val="49A67FEA"/>
    <w:rsid w:val="49B42357"/>
    <w:rsid w:val="49BE170B"/>
    <w:rsid w:val="49C60D15"/>
    <w:rsid w:val="49CC282C"/>
    <w:rsid w:val="49CE19A5"/>
    <w:rsid w:val="49D14C7B"/>
    <w:rsid w:val="49EE2E55"/>
    <w:rsid w:val="49F64E88"/>
    <w:rsid w:val="49FE3D2D"/>
    <w:rsid w:val="4A0B5680"/>
    <w:rsid w:val="4A442DE8"/>
    <w:rsid w:val="4A4C3C76"/>
    <w:rsid w:val="4A582F08"/>
    <w:rsid w:val="4A586086"/>
    <w:rsid w:val="4A5B47E7"/>
    <w:rsid w:val="4A5C19ED"/>
    <w:rsid w:val="4A713EF7"/>
    <w:rsid w:val="4A71669A"/>
    <w:rsid w:val="4A990DB8"/>
    <w:rsid w:val="4AB30EDE"/>
    <w:rsid w:val="4ACE7349"/>
    <w:rsid w:val="4AE87797"/>
    <w:rsid w:val="4AEA5999"/>
    <w:rsid w:val="4B0A392B"/>
    <w:rsid w:val="4B100A0B"/>
    <w:rsid w:val="4B140282"/>
    <w:rsid w:val="4B341F77"/>
    <w:rsid w:val="4B383175"/>
    <w:rsid w:val="4B3F27FC"/>
    <w:rsid w:val="4B4C4394"/>
    <w:rsid w:val="4B536B77"/>
    <w:rsid w:val="4B7B039D"/>
    <w:rsid w:val="4B7D207A"/>
    <w:rsid w:val="4B875EB6"/>
    <w:rsid w:val="4B8D42B7"/>
    <w:rsid w:val="4B982295"/>
    <w:rsid w:val="4B9F639D"/>
    <w:rsid w:val="4BAB57EF"/>
    <w:rsid w:val="4BB308C1"/>
    <w:rsid w:val="4BBC3115"/>
    <w:rsid w:val="4BE63A02"/>
    <w:rsid w:val="4C1750C8"/>
    <w:rsid w:val="4C3A6B73"/>
    <w:rsid w:val="4C3D761E"/>
    <w:rsid w:val="4C3F21A1"/>
    <w:rsid w:val="4C43011D"/>
    <w:rsid w:val="4C4658B1"/>
    <w:rsid w:val="4C657AAE"/>
    <w:rsid w:val="4C6C226D"/>
    <w:rsid w:val="4C7D1FFD"/>
    <w:rsid w:val="4C8A275C"/>
    <w:rsid w:val="4C8C446E"/>
    <w:rsid w:val="4CA97B54"/>
    <w:rsid w:val="4CC43F81"/>
    <w:rsid w:val="4CC74F06"/>
    <w:rsid w:val="4CD377AA"/>
    <w:rsid w:val="4CE51F37"/>
    <w:rsid w:val="4CF5763E"/>
    <w:rsid w:val="4D1400D2"/>
    <w:rsid w:val="4D1B6B8E"/>
    <w:rsid w:val="4D1E7969"/>
    <w:rsid w:val="4D2A0882"/>
    <w:rsid w:val="4D3951FB"/>
    <w:rsid w:val="4D3F7CBF"/>
    <w:rsid w:val="4D473FC5"/>
    <w:rsid w:val="4D4D4DDF"/>
    <w:rsid w:val="4D555A6E"/>
    <w:rsid w:val="4D6D4C62"/>
    <w:rsid w:val="4DA65831"/>
    <w:rsid w:val="4DAC647D"/>
    <w:rsid w:val="4DB7491F"/>
    <w:rsid w:val="4DC46301"/>
    <w:rsid w:val="4DCD6596"/>
    <w:rsid w:val="4DEF23EA"/>
    <w:rsid w:val="4DF036EE"/>
    <w:rsid w:val="4DF71CA3"/>
    <w:rsid w:val="4DF807D9"/>
    <w:rsid w:val="4DFE3CC8"/>
    <w:rsid w:val="4E096817"/>
    <w:rsid w:val="4E1230AB"/>
    <w:rsid w:val="4E3450DC"/>
    <w:rsid w:val="4E3F7ECE"/>
    <w:rsid w:val="4E4E418E"/>
    <w:rsid w:val="4E5C1022"/>
    <w:rsid w:val="4E8167AD"/>
    <w:rsid w:val="4EA902EC"/>
    <w:rsid w:val="4EAD5D22"/>
    <w:rsid w:val="4EAF2828"/>
    <w:rsid w:val="4EBE3E8A"/>
    <w:rsid w:val="4ED107DE"/>
    <w:rsid w:val="4EE058CB"/>
    <w:rsid w:val="4EF8069D"/>
    <w:rsid w:val="4EFF706A"/>
    <w:rsid w:val="4F0A7123"/>
    <w:rsid w:val="4F2A3762"/>
    <w:rsid w:val="4F2E0DB1"/>
    <w:rsid w:val="4F360EA8"/>
    <w:rsid w:val="4F802128"/>
    <w:rsid w:val="4F871206"/>
    <w:rsid w:val="4F8B568E"/>
    <w:rsid w:val="4F9F1B0F"/>
    <w:rsid w:val="4FA56238"/>
    <w:rsid w:val="4FA67F9C"/>
    <w:rsid w:val="4FA904C1"/>
    <w:rsid w:val="4FD41C1D"/>
    <w:rsid w:val="4FD64C5B"/>
    <w:rsid w:val="4FDA48F5"/>
    <w:rsid w:val="4FE0099B"/>
    <w:rsid w:val="4FE30C63"/>
    <w:rsid w:val="4FED2322"/>
    <w:rsid w:val="4FEE647A"/>
    <w:rsid w:val="4FFD53C6"/>
    <w:rsid w:val="501040B3"/>
    <w:rsid w:val="50213603"/>
    <w:rsid w:val="50321789"/>
    <w:rsid w:val="50353485"/>
    <w:rsid w:val="503D1B16"/>
    <w:rsid w:val="50795316"/>
    <w:rsid w:val="508E47DC"/>
    <w:rsid w:val="50A90064"/>
    <w:rsid w:val="50AE3F83"/>
    <w:rsid w:val="50CF7A4B"/>
    <w:rsid w:val="50E92709"/>
    <w:rsid w:val="50FD7AEE"/>
    <w:rsid w:val="51145515"/>
    <w:rsid w:val="511A741E"/>
    <w:rsid w:val="51354115"/>
    <w:rsid w:val="5137564E"/>
    <w:rsid w:val="514E0A72"/>
    <w:rsid w:val="51576FE4"/>
    <w:rsid w:val="51586419"/>
    <w:rsid w:val="515D338B"/>
    <w:rsid w:val="516C77CE"/>
    <w:rsid w:val="51954F77"/>
    <w:rsid w:val="519F488C"/>
    <w:rsid w:val="51A27694"/>
    <w:rsid w:val="51BB2504"/>
    <w:rsid w:val="51C5493F"/>
    <w:rsid w:val="51CA5F3D"/>
    <w:rsid w:val="520713EF"/>
    <w:rsid w:val="520923F4"/>
    <w:rsid w:val="520934A3"/>
    <w:rsid w:val="5222282D"/>
    <w:rsid w:val="52257550"/>
    <w:rsid w:val="522762D7"/>
    <w:rsid w:val="52302A27"/>
    <w:rsid w:val="523742BD"/>
    <w:rsid w:val="52450012"/>
    <w:rsid w:val="52547F54"/>
    <w:rsid w:val="5265033A"/>
    <w:rsid w:val="527F07B8"/>
    <w:rsid w:val="528A0778"/>
    <w:rsid w:val="52903990"/>
    <w:rsid w:val="529320FE"/>
    <w:rsid w:val="5296438C"/>
    <w:rsid w:val="52990A97"/>
    <w:rsid w:val="529A30BA"/>
    <w:rsid w:val="529A6D62"/>
    <w:rsid w:val="529D3476"/>
    <w:rsid w:val="529D4EC7"/>
    <w:rsid w:val="529E7DC9"/>
    <w:rsid w:val="52A1157D"/>
    <w:rsid w:val="52A501FA"/>
    <w:rsid w:val="52DE4780"/>
    <w:rsid w:val="530B2D71"/>
    <w:rsid w:val="530C4EFF"/>
    <w:rsid w:val="530D3EEC"/>
    <w:rsid w:val="53194965"/>
    <w:rsid w:val="532452B2"/>
    <w:rsid w:val="532838FB"/>
    <w:rsid w:val="533237C4"/>
    <w:rsid w:val="53331AF6"/>
    <w:rsid w:val="5333550F"/>
    <w:rsid w:val="534357AA"/>
    <w:rsid w:val="534E3B3B"/>
    <w:rsid w:val="535B4CF0"/>
    <w:rsid w:val="53693CDD"/>
    <w:rsid w:val="538006C3"/>
    <w:rsid w:val="538A5F1E"/>
    <w:rsid w:val="538C4158"/>
    <w:rsid w:val="539C576C"/>
    <w:rsid w:val="53AA6453"/>
    <w:rsid w:val="53BA08AE"/>
    <w:rsid w:val="53BC278B"/>
    <w:rsid w:val="53D146C7"/>
    <w:rsid w:val="53D53162"/>
    <w:rsid w:val="5400093A"/>
    <w:rsid w:val="540F6177"/>
    <w:rsid w:val="54103BF9"/>
    <w:rsid w:val="54140080"/>
    <w:rsid w:val="541A1B62"/>
    <w:rsid w:val="541A5C08"/>
    <w:rsid w:val="543B6670"/>
    <w:rsid w:val="543E150A"/>
    <w:rsid w:val="544A4CD7"/>
    <w:rsid w:val="54503E85"/>
    <w:rsid w:val="54760CFA"/>
    <w:rsid w:val="547747B8"/>
    <w:rsid w:val="547F24EC"/>
    <w:rsid w:val="54B972CF"/>
    <w:rsid w:val="54BC0A6D"/>
    <w:rsid w:val="54E164AC"/>
    <w:rsid w:val="54E67898"/>
    <w:rsid w:val="551B6B41"/>
    <w:rsid w:val="552227BC"/>
    <w:rsid w:val="55230827"/>
    <w:rsid w:val="552968C4"/>
    <w:rsid w:val="553E2FE6"/>
    <w:rsid w:val="55411377"/>
    <w:rsid w:val="55671C2C"/>
    <w:rsid w:val="55781EC6"/>
    <w:rsid w:val="55992746"/>
    <w:rsid w:val="55A15285"/>
    <w:rsid w:val="55A96275"/>
    <w:rsid w:val="55AE7D4E"/>
    <w:rsid w:val="55B31E70"/>
    <w:rsid w:val="55C05B3D"/>
    <w:rsid w:val="55C51BA3"/>
    <w:rsid w:val="55C9649C"/>
    <w:rsid w:val="55DA41BD"/>
    <w:rsid w:val="56063D5E"/>
    <w:rsid w:val="5625421C"/>
    <w:rsid w:val="564306A0"/>
    <w:rsid w:val="564451BE"/>
    <w:rsid w:val="564E3912"/>
    <w:rsid w:val="564F4128"/>
    <w:rsid w:val="565076BF"/>
    <w:rsid w:val="565B2641"/>
    <w:rsid w:val="56617B1E"/>
    <w:rsid w:val="56625644"/>
    <w:rsid w:val="569B59A6"/>
    <w:rsid w:val="56A62938"/>
    <w:rsid w:val="56E6209D"/>
    <w:rsid w:val="56EA4326"/>
    <w:rsid w:val="570D57DF"/>
    <w:rsid w:val="57132F95"/>
    <w:rsid w:val="572664EB"/>
    <w:rsid w:val="572D4E3F"/>
    <w:rsid w:val="572D56F6"/>
    <w:rsid w:val="572F3796"/>
    <w:rsid w:val="5732287F"/>
    <w:rsid w:val="573C5E95"/>
    <w:rsid w:val="573D052D"/>
    <w:rsid w:val="57452597"/>
    <w:rsid w:val="57454D4A"/>
    <w:rsid w:val="57521214"/>
    <w:rsid w:val="57606393"/>
    <w:rsid w:val="57686C8A"/>
    <w:rsid w:val="57733E7E"/>
    <w:rsid w:val="57871C26"/>
    <w:rsid w:val="57894A0E"/>
    <w:rsid w:val="57961A49"/>
    <w:rsid w:val="57A77F5C"/>
    <w:rsid w:val="57C02302"/>
    <w:rsid w:val="57C63600"/>
    <w:rsid w:val="57D83FAF"/>
    <w:rsid w:val="57DB3900"/>
    <w:rsid w:val="57E148BE"/>
    <w:rsid w:val="57E8417C"/>
    <w:rsid w:val="581D479D"/>
    <w:rsid w:val="582B03E3"/>
    <w:rsid w:val="583077A8"/>
    <w:rsid w:val="58315DB1"/>
    <w:rsid w:val="58430210"/>
    <w:rsid w:val="585838C1"/>
    <w:rsid w:val="58606A21"/>
    <w:rsid w:val="5863214C"/>
    <w:rsid w:val="58663849"/>
    <w:rsid w:val="58717162"/>
    <w:rsid w:val="58857496"/>
    <w:rsid w:val="58871392"/>
    <w:rsid w:val="58B96227"/>
    <w:rsid w:val="58ED44C3"/>
    <w:rsid w:val="5947124D"/>
    <w:rsid w:val="59647B33"/>
    <w:rsid w:val="596C7E01"/>
    <w:rsid w:val="597F1615"/>
    <w:rsid w:val="59801346"/>
    <w:rsid w:val="59A47948"/>
    <w:rsid w:val="59B447B9"/>
    <w:rsid w:val="59DC43D8"/>
    <w:rsid w:val="5A22286F"/>
    <w:rsid w:val="5A270225"/>
    <w:rsid w:val="5A366BCB"/>
    <w:rsid w:val="5A400973"/>
    <w:rsid w:val="5A6776CD"/>
    <w:rsid w:val="5A706581"/>
    <w:rsid w:val="5A737DB0"/>
    <w:rsid w:val="5A7747D4"/>
    <w:rsid w:val="5A7F451A"/>
    <w:rsid w:val="5A8042EB"/>
    <w:rsid w:val="5A8A0F99"/>
    <w:rsid w:val="5AA549B2"/>
    <w:rsid w:val="5AAE2C06"/>
    <w:rsid w:val="5AB51DDE"/>
    <w:rsid w:val="5AD36B10"/>
    <w:rsid w:val="5ADC7386"/>
    <w:rsid w:val="5B117F79"/>
    <w:rsid w:val="5B5104F9"/>
    <w:rsid w:val="5B584E6A"/>
    <w:rsid w:val="5B5D0855"/>
    <w:rsid w:val="5B654DE1"/>
    <w:rsid w:val="5B7D50AA"/>
    <w:rsid w:val="5B817F90"/>
    <w:rsid w:val="5BAC4E3A"/>
    <w:rsid w:val="5BBD471D"/>
    <w:rsid w:val="5BC87CA3"/>
    <w:rsid w:val="5BCC3C8B"/>
    <w:rsid w:val="5BD347B4"/>
    <w:rsid w:val="5BF65C6D"/>
    <w:rsid w:val="5C012B8C"/>
    <w:rsid w:val="5C362AF4"/>
    <w:rsid w:val="5C3B6CBD"/>
    <w:rsid w:val="5C3E4720"/>
    <w:rsid w:val="5C526BB4"/>
    <w:rsid w:val="5C5B3413"/>
    <w:rsid w:val="5C615D0C"/>
    <w:rsid w:val="5C694A3B"/>
    <w:rsid w:val="5C9B09C7"/>
    <w:rsid w:val="5CAD579C"/>
    <w:rsid w:val="5CB660AB"/>
    <w:rsid w:val="5CB815AE"/>
    <w:rsid w:val="5CC85BD5"/>
    <w:rsid w:val="5CDC5954"/>
    <w:rsid w:val="5CE018DD"/>
    <w:rsid w:val="5CEB5280"/>
    <w:rsid w:val="5D0403A9"/>
    <w:rsid w:val="5D153EC6"/>
    <w:rsid w:val="5D1928CC"/>
    <w:rsid w:val="5D1B01A7"/>
    <w:rsid w:val="5D26561D"/>
    <w:rsid w:val="5D317F73"/>
    <w:rsid w:val="5D4C4020"/>
    <w:rsid w:val="5D4C7389"/>
    <w:rsid w:val="5D530128"/>
    <w:rsid w:val="5D5B7D4A"/>
    <w:rsid w:val="5D602734"/>
    <w:rsid w:val="5D6A35D0"/>
    <w:rsid w:val="5D7209DD"/>
    <w:rsid w:val="5DA46C2D"/>
    <w:rsid w:val="5DB554E1"/>
    <w:rsid w:val="5DBA0DD1"/>
    <w:rsid w:val="5DE233F0"/>
    <w:rsid w:val="5DE52DE2"/>
    <w:rsid w:val="5DF04B2E"/>
    <w:rsid w:val="5DF72B16"/>
    <w:rsid w:val="5E0314BA"/>
    <w:rsid w:val="5E0324CA"/>
    <w:rsid w:val="5E074110"/>
    <w:rsid w:val="5E0854EE"/>
    <w:rsid w:val="5E0B78D6"/>
    <w:rsid w:val="5E214762"/>
    <w:rsid w:val="5E486ECD"/>
    <w:rsid w:val="5E6200F2"/>
    <w:rsid w:val="5E8E1E7B"/>
    <w:rsid w:val="5E933865"/>
    <w:rsid w:val="5E987E55"/>
    <w:rsid w:val="5E9D308B"/>
    <w:rsid w:val="5EAB5261"/>
    <w:rsid w:val="5EAF3C67"/>
    <w:rsid w:val="5EB1181D"/>
    <w:rsid w:val="5EBC03E1"/>
    <w:rsid w:val="5EC33BF1"/>
    <w:rsid w:val="5EC52109"/>
    <w:rsid w:val="5EDC6635"/>
    <w:rsid w:val="5EDF242A"/>
    <w:rsid w:val="5EE04437"/>
    <w:rsid w:val="5EEC4CC9"/>
    <w:rsid w:val="5EF03EB9"/>
    <w:rsid w:val="5EF14313"/>
    <w:rsid w:val="5EF85E29"/>
    <w:rsid w:val="5EFC424F"/>
    <w:rsid w:val="5F0C439F"/>
    <w:rsid w:val="5F0E1A83"/>
    <w:rsid w:val="5F29359B"/>
    <w:rsid w:val="5F387DD8"/>
    <w:rsid w:val="5F3F4450"/>
    <w:rsid w:val="5F610F9A"/>
    <w:rsid w:val="5F6601DC"/>
    <w:rsid w:val="5F712D16"/>
    <w:rsid w:val="5F782C2C"/>
    <w:rsid w:val="5F8416C1"/>
    <w:rsid w:val="5F88611B"/>
    <w:rsid w:val="5F925D02"/>
    <w:rsid w:val="5FA6205D"/>
    <w:rsid w:val="5FA93E7F"/>
    <w:rsid w:val="5FBD7E8C"/>
    <w:rsid w:val="5FC72CEE"/>
    <w:rsid w:val="5FD27242"/>
    <w:rsid w:val="5FE17054"/>
    <w:rsid w:val="5FED5F7E"/>
    <w:rsid w:val="5FF04AF3"/>
    <w:rsid w:val="6001450E"/>
    <w:rsid w:val="60056797"/>
    <w:rsid w:val="6012222A"/>
    <w:rsid w:val="602B5EDC"/>
    <w:rsid w:val="602C20DD"/>
    <w:rsid w:val="603C0E70"/>
    <w:rsid w:val="60442474"/>
    <w:rsid w:val="60452D1D"/>
    <w:rsid w:val="60472A84"/>
    <w:rsid w:val="60636B31"/>
    <w:rsid w:val="606964BC"/>
    <w:rsid w:val="606A3F3D"/>
    <w:rsid w:val="60844AE7"/>
    <w:rsid w:val="609C218E"/>
    <w:rsid w:val="60B12374"/>
    <w:rsid w:val="60B12B22"/>
    <w:rsid w:val="60BE39C7"/>
    <w:rsid w:val="60CB5CDD"/>
    <w:rsid w:val="60D14E8D"/>
    <w:rsid w:val="60D45B6B"/>
    <w:rsid w:val="610E11C8"/>
    <w:rsid w:val="610E2650"/>
    <w:rsid w:val="61177267"/>
    <w:rsid w:val="611C7D9F"/>
    <w:rsid w:val="61623A9A"/>
    <w:rsid w:val="617519E8"/>
    <w:rsid w:val="618A7FBC"/>
    <w:rsid w:val="61B42655"/>
    <w:rsid w:val="61B473D7"/>
    <w:rsid w:val="61C55F03"/>
    <w:rsid w:val="61DC62AA"/>
    <w:rsid w:val="61E01520"/>
    <w:rsid w:val="61EB04E9"/>
    <w:rsid w:val="621825F1"/>
    <w:rsid w:val="622F4266"/>
    <w:rsid w:val="622F7878"/>
    <w:rsid w:val="62390CB6"/>
    <w:rsid w:val="623D18BA"/>
    <w:rsid w:val="62462A72"/>
    <w:rsid w:val="624C1ED5"/>
    <w:rsid w:val="6259166C"/>
    <w:rsid w:val="626A1485"/>
    <w:rsid w:val="62846CDE"/>
    <w:rsid w:val="62A42D3A"/>
    <w:rsid w:val="62B95A2A"/>
    <w:rsid w:val="62D00E29"/>
    <w:rsid w:val="62EA6460"/>
    <w:rsid w:val="63030F14"/>
    <w:rsid w:val="63185A08"/>
    <w:rsid w:val="63375355"/>
    <w:rsid w:val="634A2CF1"/>
    <w:rsid w:val="635051A2"/>
    <w:rsid w:val="63607EDD"/>
    <w:rsid w:val="637C0957"/>
    <w:rsid w:val="63806113"/>
    <w:rsid w:val="638A3ADA"/>
    <w:rsid w:val="63942F1D"/>
    <w:rsid w:val="63AA400F"/>
    <w:rsid w:val="63D25CA3"/>
    <w:rsid w:val="63D26110"/>
    <w:rsid w:val="63D57637"/>
    <w:rsid w:val="63E477B4"/>
    <w:rsid w:val="63ED6827"/>
    <w:rsid w:val="63F10007"/>
    <w:rsid w:val="64087C2C"/>
    <w:rsid w:val="64432E01"/>
    <w:rsid w:val="6453132F"/>
    <w:rsid w:val="6470710A"/>
    <w:rsid w:val="649B6252"/>
    <w:rsid w:val="64A036C7"/>
    <w:rsid w:val="64A05CB5"/>
    <w:rsid w:val="64C22BED"/>
    <w:rsid w:val="64D82908"/>
    <w:rsid w:val="64D91523"/>
    <w:rsid w:val="64DB2E27"/>
    <w:rsid w:val="64EC5F80"/>
    <w:rsid w:val="65067B4F"/>
    <w:rsid w:val="65257F68"/>
    <w:rsid w:val="652F708D"/>
    <w:rsid w:val="654B1ECF"/>
    <w:rsid w:val="65585BAA"/>
    <w:rsid w:val="65622439"/>
    <w:rsid w:val="656E52FB"/>
    <w:rsid w:val="657D7DA4"/>
    <w:rsid w:val="65811A17"/>
    <w:rsid w:val="658D680B"/>
    <w:rsid w:val="659D4F99"/>
    <w:rsid w:val="65A12770"/>
    <w:rsid w:val="65D976D1"/>
    <w:rsid w:val="65EC32C5"/>
    <w:rsid w:val="65F94B59"/>
    <w:rsid w:val="66035B03"/>
    <w:rsid w:val="661462F7"/>
    <w:rsid w:val="66150AEC"/>
    <w:rsid w:val="66386A97"/>
    <w:rsid w:val="6650158D"/>
    <w:rsid w:val="665A22F4"/>
    <w:rsid w:val="666F3B91"/>
    <w:rsid w:val="66770CAA"/>
    <w:rsid w:val="668B5CC3"/>
    <w:rsid w:val="66901A75"/>
    <w:rsid w:val="66AA0200"/>
    <w:rsid w:val="66B06886"/>
    <w:rsid w:val="66D238E8"/>
    <w:rsid w:val="66E30E48"/>
    <w:rsid w:val="67010AE3"/>
    <w:rsid w:val="670B371C"/>
    <w:rsid w:val="670F1CAF"/>
    <w:rsid w:val="670F7F24"/>
    <w:rsid w:val="67110EA9"/>
    <w:rsid w:val="67251571"/>
    <w:rsid w:val="672524A2"/>
    <w:rsid w:val="672542C6"/>
    <w:rsid w:val="67322B5A"/>
    <w:rsid w:val="67352362"/>
    <w:rsid w:val="67410373"/>
    <w:rsid w:val="67433876"/>
    <w:rsid w:val="676D5D3F"/>
    <w:rsid w:val="6783286B"/>
    <w:rsid w:val="67851192"/>
    <w:rsid w:val="678A5539"/>
    <w:rsid w:val="6794124F"/>
    <w:rsid w:val="67972ADA"/>
    <w:rsid w:val="67C373D8"/>
    <w:rsid w:val="67C7664D"/>
    <w:rsid w:val="67DB42ED"/>
    <w:rsid w:val="67DD4F5A"/>
    <w:rsid w:val="67E62186"/>
    <w:rsid w:val="67EA5309"/>
    <w:rsid w:val="67EE40CD"/>
    <w:rsid w:val="67F035BE"/>
    <w:rsid w:val="67F22715"/>
    <w:rsid w:val="68002120"/>
    <w:rsid w:val="68075EEC"/>
    <w:rsid w:val="68183231"/>
    <w:rsid w:val="68423799"/>
    <w:rsid w:val="68633281"/>
    <w:rsid w:val="68695ADC"/>
    <w:rsid w:val="687112E4"/>
    <w:rsid w:val="68811569"/>
    <w:rsid w:val="688D02FE"/>
    <w:rsid w:val="688D5AAB"/>
    <w:rsid w:val="689F47D3"/>
    <w:rsid w:val="68BC6E36"/>
    <w:rsid w:val="68C83A2C"/>
    <w:rsid w:val="68E814B4"/>
    <w:rsid w:val="68F44821"/>
    <w:rsid w:val="68F91EAB"/>
    <w:rsid w:val="6905258B"/>
    <w:rsid w:val="690A6A65"/>
    <w:rsid w:val="69121E3A"/>
    <w:rsid w:val="69154D60"/>
    <w:rsid w:val="691D7C84"/>
    <w:rsid w:val="691F4D9F"/>
    <w:rsid w:val="69206401"/>
    <w:rsid w:val="694655C5"/>
    <w:rsid w:val="694A6DBA"/>
    <w:rsid w:val="69701C8D"/>
    <w:rsid w:val="69723EB6"/>
    <w:rsid w:val="69732C11"/>
    <w:rsid w:val="697E47D3"/>
    <w:rsid w:val="699243C0"/>
    <w:rsid w:val="699954C4"/>
    <w:rsid w:val="699D36D6"/>
    <w:rsid w:val="69A7578F"/>
    <w:rsid w:val="69B02560"/>
    <w:rsid w:val="69B779BF"/>
    <w:rsid w:val="69C21B11"/>
    <w:rsid w:val="69CD7FDE"/>
    <w:rsid w:val="69DC2306"/>
    <w:rsid w:val="69F0323B"/>
    <w:rsid w:val="69F55085"/>
    <w:rsid w:val="6A07214F"/>
    <w:rsid w:val="6A097C8B"/>
    <w:rsid w:val="6A0B4089"/>
    <w:rsid w:val="6A1E7827"/>
    <w:rsid w:val="6A2E2210"/>
    <w:rsid w:val="6A2F7723"/>
    <w:rsid w:val="6A3A1355"/>
    <w:rsid w:val="6A586D90"/>
    <w:rsid w:val="6A6F632C"/>
    <w:rsid w:val="6A7263A9"/>
    <w:rsid w:val="6A7E510F"/>
    <w:rsid w:val="6A9F44B9"/>
    <w:rsid w:val="6AA9740B"/>
    <w:rsid w:val="6ABB21A6"/>
    <w:rsid w:val="6ABF6D3B"/>
    <w:rsid w:val="6ACE0CEA"/>
    <w:rsid w:val="6ACE1BC9"/>
    <w:rsid w:val="6ADB2F03"/>
    <w:rsid w:val="6AE2354A"/>
    <w:rsid w:val="6AEB5722"/>
    <w:rsid w:val="6AF8649D"/>
    <w:rsid w:val="6AFA7A77"/>
    <w:rsid w:val="6AFB24CA"/>
    <w:rsid w:val="6AFF2463"/>
    <w:rsid w:val="6B0874EA"/>
    <w:rsid w:val="6B1D20DD"/>
    <w:rsid w:val="6B1F10AD"/>
    <w:rsid w:val="6B22477C"/>
    <w:rsid w:val="6B2C79E4"/>
    <w:rsid w:val="6B320A31"/>
    <w:rsid w:val="6B3555BC"/>
    <w:rsid w:val="6B491DA4"/>
    <w:rsid w:val="6B513865"/>
    <w:rsid w:val="6B594672"/>
    <w:rsid w:val="6B5D28FD"/>
    <w:rsid w:val="6B5E4D2E"/>
    <w:rsid w:val="6B7113D2"/>
    <w:rsid w:val="6B75365C"/>
    <w:rsid w:val="6B8B79FD"/>
    <w:rsid w:val="6BAE5444"/>
    <w:rsid w:val="6BB05F5F"/>
    <w:rsid w:val="6BE116D3"/>
    <w:rsid w:val="6BE970D1"/>
    <w:rsid w:val="6BFB6DB8"/>
    <w:rsid w:val="6C027255"/>
    <w:rsid w:val="6C2A7865"/>
    <w:rsid w:val="6C2C6080"/>
    <w:rsid w:val="6C506213"/>
    <w:rsid w:val="6C5D5B58"/>
    <w:rsid w:val="6C620EF9"/>
    <w:rsid w:val="6C670665"/>
    <w:rsid w:val="6C6A54FD"/>
    <w:rsid w:val="6C737CFB"/>
    <w:rsid w:val="6C950FE9"/>
    <w:rsid w:val="6C983716"/>
    <w:rsid w:val="6CCB618B"/>
    <w:rsid w:val="6CF02B48"/>
    <w:rsid w:val="6CF6746A"/>
    <w:rsid w:val="6D1055FB"/>
    <w:rsid w:val="6D127D3D"/>
    <w:rsid w:val="6D203E37"/>
    <w:rsid w:val="6D21370B"/>
    <w:rsid w:val="6D22461C"/>
    <w:rsid w:val="6D2D03F9"/>
    <w:rsid w:val="6D455BB8"/>
    <w:rsid w:val="6D48513C"/>
    <w:rsid w:val="6D660588"/>
    <w:rsid w:val="6D673814"/>
    <w:rsid w:val="6D802B33"/>
    <w:rsid w:val="6D9767D9"/>
    <w:rsid w:val="6D9E588E"/>
    <w:rsid w:val="6DA94262"/>
    <w:rsid w:val="6DB70CB4"/>
    <w:rsid w:val="6DE74955"/>
    <w:rsid w:val="6DEE71E8"/>
    <w:rsid w:val="6DF67E77"/>
    <w:rsid w:val="6E094352"/>
    <w:rsid w:val="6E0A2C2C"/>
    <w:rsid w:val="6E0D62B9"/>
    <w:rsid w:val="6E135B2D"/>
    <w:rsid w:val="6E4E6307"/>
    <w:rsid w:val="6E520C8F"/>
    <w:rsid w:val="6E540211"/>
    <w:rsid w:val="6E5864AC"/>
    <w:rsid w:val="6E7579F1"/>
    <w:rsid w:val="6E7855AD"/>
    <w:rsid w:val="6E8F5B69"/>
    <w:rsid w:val="6E92195E"/>
    <w:rsid w:val="6E9D66DB"/>
    <w:rsid w:val="6EA9791B"/>
    <w:rsid w:val="6EAD6321"/>
    <w:rsid w:val="6EE64C0C"/>
    <w:rsid w:val="6EEC1689"/>
    <w:rsid w:val="6F0C79BF"/>
    <w:rsid w:val="6F1624CD"/>
    <w:rsid w:val="6F19182E"/>
    <w:rsid w:val="6F1E7F02"/>
    <w:rsid w:val="6F3626B6"/>
    <w:rsid w:val="6F3F40AE"/>
    <w:rsid w:val="6F815117"/>
    <w:rsid w:val="6FAD7EFC"/>
    <w:rsid w:val="6FC91EF0"/>
    <w:rsid w:val="6FDC6A13"/>
    <w:rsid w:val="6FEA4288"/>
    <w:rsid w:val="70234308"/>
    <w:rsid w:val="702A2DF0"/>
    <w:rsid w:val="70650EF5"/>
    <w:rsid w:val="708020B9"/>
    <w:rsid w:val="708304A5"/>
    <w:rsid w:val="708F3F4F"/>
    <w:rsid w:val="709771CD"/>
    <w:rsid w:val="70B269EA"/>
    <w:rsid w:val="70DA275C"/>
    <w:rsid w:val="70DB30B2"/>
    <w:rsid w:val="70E329E4"/>
    <w:rsid w:val="70F40DF1"/>
    <w:rsid w:val="70F52EE5"/>
    <w:rsid w:val="70FD13AF"/>
    <w:rsid w:val="71026C27"/>
    <w:rsid w:val="71155E1B"/>
    <w:rsid w:val="712447AC"/>
    <w:rsid w:val="71313F5D"/>
    <w:rsid w:val="71393588"/>
    <w:rsid w:val="714D6812"/>
    <w:rsid w:val="7170308B"/>
    <w:rsid w:val="717A2FBC"/>
    <w:rsid w:val="718E21F2"/>
    <w:rsid w:val="718E63D9"/>
    <w:rsid w:val="71971267"/>
    <w:rsid w:val="71995F66"/>
    <w:rsid w:val="719E503F"/>
    <w:rsid w:val="71A5799C"/>
    <w:rsid w:val="71AB3036"/>
    <w:rsid w:val="71AC3D91"/>
    <w:rsid w:val="71CC455D"/>
    <w:rsid w:val="71D62051"/>
    <w:rsid w:val="71E65261"/>
    <w:rsid w:val="71E87D6D"/>
    <w:rsid w:val="71EC253A"/>
    <w:rsid w:val="71FF0740"/>
    <w:rsid w:val="71FF0BB1"/>
    <w:rsid w:val="720D0234"/>
    <w:rsid w:val="7238693B"/>
    <w:rsid w:val="723D27EE"/>
    <w:rsid w:val="7249798C"/>
    <w:rsid w:val="72534E9D"/>
    <w:rsid w:val="726409BB"/>
    <w:rsid w:val="72804A68"/>
    <w:rsid w:val="72856C67"/>
    <w:rsid w:val="72896FE0"/>
    <w:rsid w:val="728E5F19"/>
    <w:rsid w:val="72907369"/>
    <w:rsid w:val="729A1F96"/>
    <w:rsid w:val="72A31F40"/>
    <w:rsid w:val="72A5093A"/>
    <w:rsid w:val="72BA3948"/>
    <w:rsid w:val="72C773DB"/>
    <w:rsid w:val="73013FCC"/>
    <w:rsid w:val="73047240"/>
    <w:rsid w:val="73085C46"/>
    <w:rsid w:val="730E64E0"/>
    <w:rsid w:val="73221F8B"/>
    <w:rsid w:val="73245D0B"/>
    <w:rsid w:val="73357A0F"/>
    <w:rsid w:val="733866F9"/>
    <w:rsid w:val="73547991"/>
    <w:rsid w:val="736938A6"/>
    <w:rsid w:val="736D75D5"/>
    <w:rsid w:val="73796EEC"/>
    <w:rsid w:val="738E6C88"/>
    <w:rsid w:val="739169F9"/>
    <w:rsid w:val="739D39C9"/>
    <w:rsid w:val="73A52AED"/>
    <w:rsid w:val="73C43DFB"/>
    <w:rsid w:val="73CD33BB"/>
    <w:rsid w:val="73E159A2"/>
    <w:rsid w:val="73F44C19"/>
    <w:rsid w:val="74031DA5"/>
    <w:rsid w:val="740C6947"/>
    <w:rsid w:val="742D4234"/>
    <w:rsid w:val="74326F65"/>
    <w:rsid w:val="743F4CBA"/>
    <w:rsid w:val="74404DBF"/>
    <w:rsid w:val="7443040B"/>
    <w:rsid w:val="744765D2"/>
    <w:rsid w:val="74504A57"/>
    <w:rsid w:val="7473071B"/>
    <w:rsid w:val="747E452E"/>
    <w:rsid w:val="74825416"/>
    <w:rsid w:val="748A000B"/>
    <w:rsid w:val="7490224A"/>
    <w:rsid w:val="749330FE"/>
    <w:rsid w:val="749331CE"/>
    <w:rsid w:val="74942EB6"/>
    <w:rsid w:val="749B3E5E"/>
    <w:rsid w:val="749E119A"/>
    <w:rsid w:val="74A356E3"/>
    <w:rsid w:val="74A37C5A"/>
    <w:rsid w:val="74AC1B7A"/>
    <w:rsid w:val="74D33EF6"/>
    <w:rsid w:val="74D81279"/>
    <w:rsid w:val="74DD4D68"/>
    <w:rsid w:val="74E1558B"/>
    <w:rsid w:val="74ED25E3"/>
    <w:rsid w:val="74F26A6B"/>
    <w:rsid w:val="75157FF9"/>
    <w:rsid w:val="75427AEF"/>
    <w:rsid w:val="754B297D"/>
    <w:rsid w:val="75536DC9"/>
    <w:rsid w:val="7560709F"/>
    <w:rsid w:val="757356C1"/>
    <w:rsid w:val="75776CC4"/>
    <w:rsid w:val="7585337A"/>
    <w:rsid w:val="75A01957"/>
    <w:rsid w:val="75A41F9F"/>
    <w:rsid w:val="75B456A9"/>
    <w:rsid w:val="75C03C40"/>
    <w:rsid w:val="75C404DC"/>
    <w:rsid w:val="75C50AA6"/>
    <w:rsid w:val="75D94171"/>
    <w:rsid w:val="75E64D79"/>
    <w:rsid w:val="75EA51DF"/>
    <w:rsid w:val="75EB4A8F"/>
    <w:rsid w:val="76016C28"/>
    <w:rsid w:val="76051776"/>
    <w:rsid w:val="7605782D"/>
    <w:rsid w:val="760B6FB5"/>
    <w:rsid w:val="760C646B"/>
    <w:rsid w:val="763B7D07"/>
    <w:rsid w:val="76435113"/>
    <w:rsid w:val="766F2EEF"/>
    <w:rsid w:val="76905212"/>
    <w:rsid w:val="769D4442"/>
    <w:rsid w:val="76AE0A05"/>
    <w:rsid w:val="76AF515A"/>
    <w:rsid w:val="76B61F68"/>
    <w:rsid w:val="76CC1292"/>
    <w:rsid w:val="76D54682"/>
    <w:rsid w:val="77210231"/>
    <w:rsid w:val="773D64AD"/>
    <w:rsid w:val="77437CF9"/>
    <w:rsid w:val="775D10E3"/>
    <w:rsid w:val="77617D97"/>
    <w:rsid w:val="77723A3F"/>
    <w:rsid w:val="777703EE"/>
    <w:rsid w:val="77816A4D"/>
    <w:rsid w:val="77A33763"/>
    <w:rsid w:val="77B77A99"/>
    <w:rsid w:val="77CB1717"/>
    <w:rsid w:val="77D01510"/>
    <w:rsid w:val="77E2543A"/>
    <w:rsid w:val="78023DEF"/>
    <w:rsid w:val="78203AD8"/>
    <w:rsid w:val="78437924"/>
    <w:rsid w:val="78447F3E"/>
    <w:rsid w:val="78531D63"/>
    <w:rsid w:val="785D6A87"/>
    <w:rsid w:val="78615D56"/>
    <w:rsid w:val="7879213E"/>
    <w:rsid w:val="78A15077"/>
    <w:rsid w:val="78B54873"/>
    <w:rsid w:val="78BC2324"/>
    <w:rsid w:val="78C445BB"/>
    <w:rsid w:val="78C83AD2"/>
    <w:rsid w:val="78DB3308"/>
    <w:rsid w:val="78F03A78"/>
    <w:rsid w:val="790106AE"/>
    <w:rsid w:val="790F0AA9"/>
    <w:rsid w:val="79306213"/>
    <w:rsid w:val="793842B6"/>
    <w:rsid w:val="79395171"/>
    <w:rsid w:val="79424A2B"/>
    <w:rsid w:val="79516F63"/>
    <w:rsid w:val="79565544"/>
    <w:rsid w:val="795F53B0"/>
    <w:rsid w:val="79614697"/>
    <w:rsid w:val="796660A9"/>
    <w:rsid w:val="796946E1"/>
    <w:rsid w:val="796E1666"/>
    <w:rsid w:val="798A5C60"/>
    <w:rsid w:val="798F487B"/>
    <w:rsid w:val="79932EBA"/>
    <w:rsid w:val="79A07515"/>
    <w:rsid w:val="79A9103A"/>
    <w:rsid w:val="79AB36F9"/>
    <w:rsid w:val="79BA116F"/>
    <w:rsid w:val="79C51CFD"/>
    <w:rsid w:val="79C71FD3"/>
    <w:rsid w:val="79D60872"/>
    <w:rsid w:val="79DD1D32"/>
    <w:rsid w:val="79EB1886"/>
    <w:rsid w:val="79EC4C14"/>
    <w:rsid w:val="79EF06E6"/>
    <w:rsid w:val="79F06745"/>
    <w:rsid w:val="7A00729F"/>
    <w:rsid w:val="7A230972"/>
    <w:rsid w:val="7A402138"/>
    <w:rsid w:val="7A435623"/>
    <w:rsid w:val="7A4A4C3A"/>
    <w:rsid w:val="7A51551F"/>
    <w:rsid w:val="7A5C78B1"/>
    <w:rsid w:val="7A5E3C4E"/>
    <w:rsid w:val="7A733BF4"/>
    <w:rsid w:val="7A8C4B1E"/>
    <w:rsid w:val="7AAA2726"/>
    <w:rsid w:val="7AAC1296"/>
    <w:rsid w:val="7AC313F4"/>
    <w:rsid w:val="7ACA5466"/>
    <w:rsid w:val="7AD45C10"/>
    <w:rsid w:val="7AD522D5"/>
    <w:rsid w:val="7AE318EE"/>
    <w:rsid w:val="7AFB2BD3"/>
    <w:rsid w:val="7AFF0807"/>
    <w:rsid w:val="7B07175A"/>
    <w:rsid w:val="7B0A6A9B"/>
    <w:rsid w:val="7B0D2818"/>
    <w:rsid w:val="7B3D676B"/>
    <w:rsid w:val="7B416F0A"/>
    <w:rsid w:val="7B5D35F7"/>
    <w:rsid w:val="7B912D47"/>
    <w:rsid w:val="7B917CAE"/>
    <w:rsid w:val="7B92467D"/>
    <w:rsid w:val="7B943CCB"/>
    <w:rsid w:val="7B994E29"/>
    <w:rsid w:val="7B9D745B"/>
    <w:rsid w:val="7BAD3F83"/>
    <w:rsid w:val="7BB12C0A"/>
    <w:rsid w:val="7BB73BB8"/>
    <w:rsid w:val="7BC96E50"/>
    <w:rsid w:val="7BD24E35"/>
    <w:rsid w:val="7BDA36FA"/>
    <w:rsid w:val="7C005CAF"/>
    <w:rsid w:val="7C055284"/>
    <w:rsid w:val="7C254F1C"/>
    <w:rsid w:val="7C302710"/>
    <w:rsid w:val="7C424F97"/>
    <w:rsid w:val="7C425CF3"/>
    <w:rsid w:val="7C4C2BF6"/>
    <w:rsid w:val="7C5533D1"/>
    <w:rsid w:val="7C57415F"/>
    <w:rsid w:val="7C57508E"/>
    <w:rsid w:val="7C594D0E"/>
    <w:rsid w:val="7C5D3714"/>
    <w:rsid w:val="7C60651C"/>
    <w:rsid w:val="7C640CBC"/>
    <w:rsid w:val="7C71680F"/>
    <w:rsid w:val="7C796B8F"/>
    <w:rsid w:val="7C812178"/>
    <w:rsid w:val="7C8415C1"/>
    <w:rsid w:val="7C912A1E"/>
    <w:rsid w:val="7CA83B93"/>
    <w:rsid w:val="7CAA7279"/>
    <w:rsid w:val="7CB82DCD"/>
    <w:rsid w:val="7CBC3199"/>
    <w:rsid w:val="7CC72DC3"/>
    <w:rsid w:val="7CCA3477"/>
    <w:rsid w:val="7CCB17CA"/>
    <w:rsid w:val="7CD66DE6"/>
    <w:rsid w:val="7CE57657"/>
    <w:rsid w:val="7CF348C1"/>
    <w:rsid w:val="7D1E37C3"/>
    <w:rsid w:val="7D225A5C"/>
    <w:rsid w:val="7D3A42B0"/>
    <w:rsid w:val="7D653F46"/>
    <w:rsid w:val="7D6F1CD1"/>
    <w:rsid w:val="7D723F16"/>
    <w:rsid w:val="7D896705"/>
    <w:rsid w:val="7D8E3A4A"/>
    <w:rsid w:val="7D972197"/>
    <w:rsid w:val="7D990F1D"/>
    <w:rsid w:val="7D9A2209"/>
    <w:rsid w:val="7DA9460F"/>
    <w:rsid w:val="7DB70989"/>
    <w:rsid w:val="7DC73FEB"/>
    <w:rsid w:val="7DC80B9A"/>
    <w:rsid w:val="7DCB29F1"/>
    <w:rsid w:val="7DD47EE4"/>
    <w:rsid w:val="7DE03DE0"/>
    <w:rsid w:val="7DE5055D"/>
    <w:rsid w:val="7DE65FBE"/>
    <w:rsid w:val="7DFF6F70"/>
    <w:rsid w:val="7E1C41A7"/>
    <w:rsid w:val="7E2461C2"/>
    <w:rsid w:val="7E252460"/>
    <w:rsid w:val="7E397349"/>
    <w:rsid w:val="7E3B2283"/>
    <w:rsid w:val="7E425EB3"/>
    <w:rsid w:val="7E676FEC"/>
    <w:rsid w:val="7E7452A4"/>
    <w:rsid w:val="7E826950"/>
    <w:rsid w:val="7E89682B"/>
    <w:rsid w:val="7E8A1B2B"/>
    <w:rsid w:val="7E904003"/>
    <w:rsid w:val="7E9064E4"/>
    <w:rsid w:val="7EA66AB7"/>
    <w:rsid w:val="7EA85236"/>
    <w:rsid w:val="7EB76F44"/>
    <w:rsid w:val="7EBB18A6"/>
    <w:rsid w:val="7EBC33F7"/>
    <w:rsid w:val="7EBE7B90"/>
    <w:rsid w:val="7ED60925"/>
    <w:rsid w:val="7EF249D2"/>
    <w:rsid w:val="7EFF5CB3"/>
    <w:rsid w:val="7F0F1615"/>
    <w:rsid w:val="7F113622"/>
    <w:rsid w:val="7F1E0D19"/>
    <w:rsid w:val="7F314CA2"/>
    <w:rsid w:val="7F4C1035"/>
    <w:rsid w:val="7F50176F"/>
    <w:rsid w:val="7F7057E9"/>
    <w:rsid w:val="7F7405C7"/>
    <w:rsid w:val="7F7F75D9"/>
    <w:rsid w:val="7F8B38CC"/>
    <w:rsid w:val="7FAF6BB9"/>
    <w:rsid w:val="7FBB179D"/>
    <w:rsid w:val="7FCF43C0"/>
    <w:rsid w:val="7FD208D9"/>
    <w:rsid w:val="7FD44198"/>
    <w:rsid w:val="7FDB4950"/>
    <w:rsid w:val="7FDF55E5"/>
    <w:rsid w:val="7FDF5D5C"/>
    <w:rsid w:val="7FFA2F91"/>
    <w:rsid w:val="7FFF38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54"/>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55"/>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6"/>
    <w:autoRedefine/>
    <w:semiHidden/>
    <w:unhideWhenUsed/>
    <w:qFormat/>
    <w:uiPriority w:val="0"/>
    <w:pPr>
      <w:keepNext/>
      <w:keepLines/>
      <w:spacing w:line="413" w:lineRule="auto"/>
      <w:outlineLvl w:val="2"/>
    </w:pPr>
    <w:rPr>
      <w:b/>
      <w:bCs/>
      <w:sz w:val="32"/>
      <w:szCs w:val="32"/>
    </w:rPr>
  </w:style>
  <w:style w:type="paragraph" w:styleId="5">
    <w:name w:val="heading 4"/>
    <w:basedOn w:val="1"/>
    <w:next w:val="1"/>
    <w:link w:val="57"/>
    <w:semiHidden/>
    <w:unhideWhenUsed/>
    <w:qFormat/>
    <w:uiPriority w:val="0"/>
    <w:pPr>
      <w:keepNext/>
      <w:keepLines/>
      <w:jc w:val="left"/>
      <w:outlineLvl w:val="3"/>
    </w:pPr>
    <w:rPr>
      <w:rFonts w:ascii="Arial" w:hAnsi="Arial" w:cs="Arial"/>
      <w:b/>
      <w:bCs/>
      <w:sz w:val="32"/>
      <w:szCs w:val="32"/>
    </w:rPr>
  </w:style>
  <w:style w:type="paragraph" w:styleId="6">
    <w:name w:val="heading 6"/>
    <w:basedOn w:val="1"/>
    <w:next w:val="1"/>
    <w:autoRedefine/>
    <w:qFormat/>
    <w:uiPriority w:val="1"/>
    <w:pPr>
      <w:ind w:left="878"/>
      <w:outlineLvl w:val="5"/>
    </w:pPr>
    <w:rPr>
      <w:rFonts w:ascii="仿宋" w:hAnsi="仿宋" w:eastAsia="仿宋" w:cs="仿宋"/>
      <w:b/>
      <w:bCs/>
      <w:sz w:val="28"/>
      <w:szCs w:val="28"/>
      <w:lang w:val="zh-CN" w:bidi="zh-CN"/>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1260"/>
      <w:jc w:val="left"/>
    </w:pPr>
    <w:rPr>
      <w:rFonts w:asciiTheme="minorHAnsi" w:hAnsiTheme="minorHAnsi"/>
      <w:sz w:val="18"/>
      <w:szCs w:val="18"/>
    </w:rPr>
  </w:style>
  <w:style w:type="paragraph" w:styleId="8">
    <w:name w:val="Normal Indent"/>
    <w:basedOn w:val="1"/>
    <w:autoRedefine/>
    <w:qFormat/>
    <w:uiPriority w:val="0"/>
    <w:pPr>
      <w:ind w:firstLine="420"/>
    </w:pPr>
  </w:style>
  <w:style w:type="paragraph" w:styleId="9">
    <w:name w:val="toa heading"/>
    <w:basedOn w:val="1"/>
    <w:next w:val="1"/>
    <w:autoRedefine/>
    <w:unhideWhenUsed/>
    <w:qFormat/>
    <w:uiPriority w:val="0"/>
    <w:pPr>
      <w:spacing w:before="120"/>
    </w:pPr>
    <w:rPr>
      <w:rFonts w:asciiTheme="majorHAnsi" w:hAnsiTheme="majorHAnsi" w:cstheme="majorBidi"/>
      <w:sz w:val="24"/>
    </w:rPr>
  </w:style>
  <w:style w:type="paragraph" w:styleId="10">
    <w:name w:val="annotation text"/>
    <w:basedOn w:val="1"/>
    <w:link w:val="58"/>
    <w:autoRedefine/>
    <w:qFormat/>
    <w:uiPriority w:val="0"/>
    <w:pPr>
      <w:jc w:val="left"/>
    </w:pPr>
    <w:rPr>
      <w:rFonts w:ascii="宋体" w:cs="宋体"/>
      <w:kern w:val="0"/>
      <w:sz w:val="34"/>
      <w:szCs w:val="34"/>
    </w:rPr>
  </w:style>
  <w:style w:type="paragraph" w:styleId="11">
    <w:name w:val="Body Text 3"/>
    <w:basedOn w:val="1"/>
    <w:next w:val="12"/>
    <w:qFormat/>
    <w:uiPriority w:val="0"/>
    <w:pPr>
      <w:spacing w:line="360" w:lineRule="exact"/>
    </w:pPr>
    <w:rPr>
      <w:sz w:val="28"/>
      <w:szCs w:val="16"/>
    </w:rPr>
  </w:style>
  <w:style w:type="paragraph" w:styleId="12">
    <w:name w:val="Body Text"/>
    <w:basedOn w:val="1"/>
    <w:link w:val="59"/>
    <w:autoRedefine/>
    <w:unhideWhenUsed/>
    <w:qFormat/>
    <w:uiPriority w:val="99"/>
  </w:style>
  <w:style w:type="paragraph" w:styleId="13">
    <w:name w:val="Body Text Indent"/>
    <w:basedOn w:val="1"/>
    <w:next w:val="14"/>
    <w:link w:val="60"/>
    <w:autoRedefine/>
    <w:qFormat/>
    <w:uiPriority w:val="0"/>
    <w:pPr>
      <w:spacing w:after="120"/>
      <w:ind w:left="420" w:leftChars="200"/>
    </w:pPr>
  </w:style>
  <w:style w:type="paragraph" w:styleId="14">
    <w:name w:val="envelope return"/>
    <w:basedOn w:val="1"/>
    <w:unhideWhenUsed/>
    <w:qFormat/>
    <w:uiPriority w:val="0"/>
    <w:pPr>
      <w:snapToGrid w:val="0"/>
    </w:pPr>
    <w:rPr>
      <w:rFonts w:ascii="Arial" w:hAnsi="Arial" w:eastAsia="宋体"/>
      <w:szCs w:val="24"/>
    </w:rPr>
  </w:style>
  <w:style w:type="paragraph" w:styleId="15">
    <w:name w:val="Block Text"/>
    <w:basedOn w:val="1"/>
    <w:autoRedefine/>
    <w:qFormat/>
    <w:uiPriority w:val="0"/>
    <w:pPr>
      <w:spacing w:after="120"/>
      <w:ind w:left="1440" w:leftChars="700" w:right="700" w:rightChars="700"/>
    </w:pPr>
  </w:style>
  <w:style w:type="paragraph" w:styleId="16">
    <w:name w:val="toc 5"/>
    <w:basedOn w:val="1"/>
    <w:next w:val="1"/>
    <w:autoRedefine/>
    <w:qFormat/>
    <w:uiPriority w:val="0"/>
    <w:pPr>
      <w:ind w:left="840"/>
      <w:jc w:val="left"/>
    </w:pPr>
    <w:rPr>
      <w:rFonts w:asciiTheme="minorHAnsi" w:hAnsiTheme="minorHAnsi"/>
      <w:sz w:val="18"/>
      <w:szCs w:val="18"/>
    </w:rPr>
  </w:style>
  <w:style w:type="paragraph" w:styleId="17">
    <w:name w:val="toc 3"/>
    <w:basedOn w:val="1"/>
    <w:next w:val="1"/>
    <w:autoRedefine/>
    <w:qFormat/>
    <w:uiPriority w:val="0"/>
    <w:pPr>
      <w:ind w:left="420"/>
      <w:jc w:val="left"/>
    </w:pPr>
    <w:rPr>
      <w:rFonts w:asciiTheme="minorHAnsi" w:hAnsiTheme="minorHAnsi"/>
      <w:i/>
      <w:iCs/>
      <w:sz w:val="20"/>
      <w:szCs w:val="20"/>
    </w:rPr>
  </w:style>
  <w:style w:type="paragraph" w:styleId="18">
    <w:name w:val="Plain Text"/>
    <w:basedOn w:val="1"/>
    <w:link w:val="61"/>
    <w:autoRedefine/>
    <w:qFormat/>
    <w:uiPriority w:val="0"/>
    <w:pPr>
      <w:spacing w:line="324" w:lineRule="auto"/>
    </w:pPr>
    <w:rPr>
      <w:rFonts w:ascii="宋体" w:hAnsi="Courier New" w:cs="宋体"/>
    </w:rPr>
  </w:style>
  <w:style w:type="paragraph" w:styleId="19">
    <w:name w:val="toc 8"/>
    <w:basedOn w:val="1"/>
    <w:next w:val="1"/>
    <w:autoRedefine/>
    <w:qFormat/>
    <w:uiPriority w:val="0"/>
    <w:pPr>
      <w:ind w:left="1470"/>
      <w:jc w:val="left"/>
    </w:pPr>
    <w:rPr>
      <w:rFonts w:asciiTheme="minorHAnsi" w:hAnsiTheme="minorHAnsi"/>
      <w:sz w:val="18"/>
      <w:szCs w:val="18"/>
    </w:rPr>
  </w:style>
  <w:style w:type="paragraph" w:styleId="20">
    <w:name w:val="Date"/>
    <w:basedOn w:val="1"/>
    <w:next w:val="1"/>
    <w:link w:val="85"/>
    <w:autoRedefine/>
    <w:qFormat/>
    <w:uiPriority w:val="0"/>
    <w:pPr>
      <w:ind w:left="100" w:leftChars="2500"/>
    </w:pPr>
  </w:style>
  <w:style w:type="paragraph" w:styleId="21">
    <w:name w:val="Body Text Indent 2"/>
    <w:basedOn w:val="1"/>
    <w:link w:val="62"/>
    <w:autoRedefine/>
    <w:qFormat/>
    <w:uiPriority w:val="0"/>
    <w:pPr>
      <w:spacing w:after="120" w:line="480" w:lineRule="auto"/>
      <w:ind w:left="420" w:leftChars="200"/>
    </w:pPr>
  </w:style>
  <w:style w:type="paragraph" w:styleId="22">
    <w:name w:val="Balloon Text"/>
    <w:basedOn w:val="1"/>
    <w:link w:val="63"/>
    <w:autoRedefine/>
    <w:qFormat/>
    <w:uiPriority w:val="0"/>
    <w:rPr>
      <w:sz w:val="18"/>
      <w:szCs w:val="18"/>
    </w:rPr>
  </w:style>
  <w:style w:type="paragraph" w:styleId="23">
    <w:name w:val="footer"/>
    <w:basedOn w:val="1"/>
    <w:link w:val="64"/>
    <w:autoRedefine/>
    <w:unhideWhenUsed/>
    <w:qFormat/>
    <w:uiPriority w:val="99"/>
    <w:pPr>
      <w:tabs>
        <w:tab w:val="center" w:pos="4153"/>
        <w:tab w:val="right" w:pos="8306"/>
      </w:tabs>
      <w:snapToGrid w:val="0"/>
      <w:jc w:val="left"/>
    </w:pPr>
    <w:rPr>
      <w:sz w:val="18"/>
      <w:szCs w:val="18"/>
    </w:rPr>
  </w:style>
  <w:style w:type="paragraph" w:styleId="24">
    <w:name w:val="header"/>
    <w:basedOn w:val="1"/>
    <w:link w:val="65"/>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rFonts w:asciiTheme="minorHAnsi" w:hAnsiTheme="minorHAnsi"/>
      <w:b/>
      <w:bCs/>
      <w:caps/>
      <w:sz w:val="20"/>
      <w:szCs w:val="20"/>
    </w:rPr>
  </w:style>
  <w:style w:type="paragraph" w:styleId="26">
    <w:name w:val="toc 4"/>
    <w:basedOn w:val="1"/>
    <w:next w:val="1"/>
    <w:autoRedefine/>
    <w:qFormat/>
    <w:uiPriority w:val="0"/>
    <w:pPr>
      <w:ind w:left="630"/>
      <w:jc w:val="left"/>
    </w:pPr>
    <w:rPr>
      <w:rFonts w:asciiTheme="minorHAnsi" w:hAnsiTheme="minorHAnsi"/>
      <w:sz w:val="18"/>
      <w:szCs w:val="18"/>
    </w:rPr>
  </w:style>
  <w:style w:type="paragraph" w:styleId="27">
    <w:name w:val="footnote text"/>
    <w:basedOn w:val="1"/>
    <w:autoRedefine/>
    <w:qFormat/>
    <w:uiPriority w:val="0"/>
    <w:pPr>
      <w:snapToGrid w:val="0"/>
      <w:jc w:val="left"/>
    </w:pPr>
    <w:rPr>
      <w:sz w:val="18"/>
    </w:rPr>
  </w:style>
  <w:style w:type="paragraph" w:styleId="28">
    <w:name w:val="toc 6"/>
    <w:basedOn w:val="1"/>
    <w:next w:val="1"/>
    <w:autoRedefine/>
    <w:qFormat/>
    <w:uiPriority w:val="0"/>
    <w:pPr>
      <w:ind w:left="1050"/>
      <w:jc w:val="left"/>
    </w:pPr>
    <w:rPr>
      <w:rFonts w:asciiTheme="minorHAnsi" w:hAnsiTheme="minorHAnsi"/>
      <w:sz w:val="18"/>
      <w:szCs w:val="18"/>
    </w:rPr>
  </w:style>
  <w:style w:type="paragraph" w:styleId="29">
    <w:name w:val="toc 2"/>
    <w:basedOn w:val="1"/>
    <w:next w:val="1"/>
    <w:autoRedefine/>
    <w:qFormat/>
    <w:uiPriority w:val="0"/>
    <w:pPr>
      <w:ind w:left="210"/>
      <w:jc w:val="left"/>
    </w:pPr>
    <w:rPr>
      <w:rFonts w:asciiTheme="minorHAnsi" w:hAnsiTheme="minorHAnsi"/>
      <w:smallCaps/>
      <w:sz w:val="20"/>
      <w:szCs w:val="20"/>
    </w:rPr>
  </w:style>
  <w:style w:type="paragraph" w:styleId="30">
    <w:name w:val="toc 9"/>
    <w:basedOn w:val="1"/>
    <w:next w:val="1"/>
    <w:autoRedefine/>
    <w:qFormat/>
    <w:uiPriority w:val="0"/>
    <w:pPr>
      <w:ind w:left="1680"/>
      <w:jc w:val="left"/>
    </w:pPr>
    <w:rPr>
      <w:rFonts w:asciiTheme="minorHAnsi" w:hAnsiTheme="minorHAnsi"/>
      <w:sz w:val="18"/>
      <w:szCs w:val="18"/>
    </w:rPr>
  </w:style>
  <w:style w:type="paragraph" w:styleId="31">
    <w:name w:val="Body Text 2"/>
    <w:basedOn w:val="1"/>
    <w:link w:val="66"/>
    <w:autoRedefine/>
    <w:qFormat/>
    <w:uiPriority w:val="0"/>
    <w:pPr>
      <w:jc w:val="center"/>
    </w:pPr>
    <w:rPr>
      <w:b/>
      <w:bCs/>
      <w:spacing w:val="-20"/>
      <w:w w:val="130"/>
      <w:sz w:val="48"/>
      <w:szCs w:val="48"/>
    </w:rPr>
  </w:style>
  <w:style w:type="paragraph" w:styleId="32">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3">
    <w:name w:val="annotation subject"/>
    <w:basedOn w:val="10"/>
    <w:next w:val="1"/>
    <w:link w:val="95"/>
    <w:autoRedefine/>
    <w:qFormat/>
    <w:uiPriority w:val="0"/>
    <w:rPr>
      <w:rFonts w:ascii="Calibri" w:cs="Calibri"/>
      <w:b/>
      <w:bCs/>
      <w:kern w:val="2"/>
      <w:sz w:val="21"/>
      <w:szCs w:val="21"/>
    </w:rPr>
  </w:style>
  <w:style w:type="paragraph" w:styleId="34">
    <w:name w:val="Body Text First Indent"/>
    <w:basedOn w:val="12"/>
    <w:next w:val="35"/>
    <w:autoRedefine/>
    <w:qFormat/>
    <w:uiPriority w:val="0"/>
    <w:pPr>
      <w:ind w:firstLine="420" w:firstLineChars="100"/>
    </w:pPr>
  </w:style>
  <w:style w:type="paragraph" w:styleId="35">
    <w:name w:val="Body Text First Indent 2"/>
    <w:basedOn w:val="13"/>
    <w:next w:val="36"/>
    <w:autoRedefine/>
    <w:qFormat/>
    <w:uiPriority w:val="99"/>
    <w:pPr>
      <w:tabs>
        <w:tab w:val="left" w:pos="4900"/>
      </w:tabs>
      <w:ind w:firstLine="420" w:firstLineChars="200"/>
    </w:pPr>
  </w:style>
  <w:style w:type="paragraph" w:customStyle="1" w:styleId="36">
    <w:name w:val="样式 标题 3 + (中文) 黑体 小四 非加粗 段前: 7.8 磅 段后: 0 磅 行距: 固定值 20 磅_0"/>
    <w:basedOn w:val="37"/>
    <w:qFormat/>
    <w:uiPriority w:val="0"/>
    <w:pPr>
      <w:spacing w:before="0" w:after="0" w:line="400" w:lineRule="exact"/>
    </w:pPr>
    <w:rPr>
      <w:rFonts w:ascii="Times New Roman" w:hAnsi="Times New Roman" w:eastAsia="黑体" w:cs="宋体"/>
      <w:b w:val="0"/>
      <w:bCs w:val="0"/>
      <w:sz w:val="21"/>
      <w:szCs w:val="20"/>
    </w:rPr>
  </w:style>
  <w:style w:type="paragraph" w:customStyle="1" w:styleId="37">
    <w:name w:val="标题 3_0"/>
    <w:basedOn w:val="38"/>
    <w:next w:val="39"/>
    <w:qFormat/>
    <w:uiPriority w:val="0"/>
    <w:pPr>
      <w:keepNext/>
      <w:keepLines/>
      <w:spacing w:before="260" w:after="260" w:line="416" w:lineRule="auto"/>
      <w:outlineLvl w:val="2"/>
    </w:pPr>
    <w:rPr>
      <w:rFonts w:ascii="Calibri" w:hAnsi="Calibri" w:eastAsia="宋体"/>
      <w:b/>
      <w:bCs/>
      <w:sz w:val="32"/>
      <w:szCs w:val="32"/>
    </w:rPr>
  </w:style>
  <w:style w:type="paragraph" w:customStyle="1" w:styleId="38">
    <w:name w:val="正文_0"/>
    <w:next w:val="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1"/>
    <w:next w:val="35"/>
    <w:qFormat/>
    <w:uiPriority w:val="0"/>
    <w:pPr>
      <w:widowControl w:val="0"/>
      <w:jc w:val="both"/>
    </w:pPr>
    <w:rPr>
      <w:rFonts w:ascii="Calibri" w:hAnsi="Calibri" w:eastAsia="仿宋_GB2312" w:cs="Times New Roman"/>
      <w:kern w:val="2"/>
      <w:sz w:val="21"/>
      <w:szCs w:val="22"/>
      <w:lang w:val="en-US" w:eastAsia="zh-CN" w:bidi="ar-SA"/>
    </w:rPr>
  </w:style>
  <w:style w:type="table" w:styleId="41">
    <w:name w:val="Table Grid"/>
    <w:basedOn w:val="4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sz w:val="24"/>
      <w:szCs w:val="24"/>
    </w:rPr>
  </w:style>
  <w:style w:type="character" w:styleId="44">
    <w:name w:val="page number"/>
    <w:basedOn w:val="42"/>
    <w:autoRedefine/>
    <w:qFormat/>
    <w:uiPriority w:val="0"/>
  </w:style>
  <w:style w:type="character" w:styleId="45">
    <w:name w:val="Emphasis"/>
    <w:autoRedefine/>
    <w:qFormat/>
    <w:uiPriority w:val="0"/>
    <w:rPr>
      <w:i/>
      <w:iCs/>
    </w:rPr>
  </w:style>
  <w:style w:type="character" w:styleId="46">
    <w:name w:val="Hyperlink"/>
    <w:autoRedefine/>
    <w:qFormat/>
    <w:uiPriority w:val="99"/>
    <w:rPr>
      <w:color w:val="0000FF"/>
      <w:u w:val="single"/>
    </w:rPr>
  </w:style>
  <w:style w:type="character" w:styleId="47">
    <w:name w:val="annotation reference"/>
    <w:autoRedefine/>
    <w:qFormat/>
    <w:uiPriority w:val="0"/>
    <w:rPr>
      <w:sz w:val="21"/>
      <w:szCs w:val="21"/>
    </w:rPr>
  </w:style>
  <w:style w:type="character" w:styleId="48">
    <w:name w:val="HTML Cite"/>
    <w:autoRedefine/>
    <w:qFormat/>
    <w:uiPriority w:val="0"/>
    <w:rPr>
      <w:sz w:val="24"/>
      <w:szCs w:val="24"/>
    </w:rPr>
  </w:style>
  <w:style w:type="character" w:styleId="49">
    <w:name w:val="footnote reference"/>
    <w:basedOn w:val="42"/>
    <w:autoRedefine/>
    <w:qFormat/>
    <w:uiPriority w:val="0"/>
    <w:rPr>
      <w:vertAlign w:val="superscript"/>
    </w:rPr>
  </w:style>
  <w:style w:type="paragraph" w:customStyle="1" w:styleId="50">
    <w:name w:val="Default"/>
    <w:next w:val="29"/>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52">
    <w:name w:val="列出段落1"/>
    <w:basedOn w:val="1"/>
    <w:autoRedefine/>
    <w:qFormat/>
    <w:uiPriority w:val="99"/>
    <w:pPr>
      <w:ind w:firstLine="420" w:firstLineChars="200"/>
    </w:pPr>
  </w:style>
  <w:style w:type="paragraph" w:customStyle="1" w:styleId="53">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54">
    <w:name w:val="标题 1 字符"/>
    <w:link w:val="2"/>
    <w:autoRedefine/>
    <w:qFormat/>
    <w:locked/>
    <w:uiPriority w:val="99"/>
    <w:rPr>
      <w:rFonts w:ascii="Calibri" w:hAnsi="Calibri" w:cs="Calibri"/>
      <w:b/>
      <w:bCs/>
      <w:kern w:val="44"/>
      <w:sz w:val="44"/>
      <w:szCs w:val="44"/>
    </w:rPr>
  </w:style>
  <w:style w:type="character" w:customStyle="1" w:styleId="55">
    <w:name w:val="标题 2 字符"/>
    <w:link w:val="3"/>
    <w:autoRedefine/>
    <w:qFormat/>
    <w:locked/>
    <w:uiPriority w:val="99"/>
    <w:rPr>
      <w:rFonts w:ascii="Cambria" w:hAnsi="Cambria" w:eastAsia="宋体" w:cs="Cambria"/>
      <w:b/>
      <w:bCs/>
      <w:sz w:val="32"/>
      <w:szCs w:val="32"/>
    </w:rPr>
  </w:style>
  <w:style w:type="character" w:customStyle="1" w:styleId="56">
    <w:name w:val="标题 3 字符"/>
    <w:link w:val="4"/>
    <w:autoRedefine/>
    <w:semiHidden/>
    <w:qFormat/>
    <w:locked/>
    <w:uiPriority w:val="99"/>
    <w:rPr>
      <w:rFonts w:ascii="Calibri" w:hAnsi="Calibri" w:cs="Calibri"/>
      <w:b/>
      <w:bCs/>
      <w:sz w:val="32"/>
      <w:szCs w:val="32"/>
    </w:rPr>
  </w:style>
  <w:style w:type="character" w:customStyle="1" w:styleId="57">
    <w:name w:val="标题 4 字符"/>
    <w:link w:val="5"/>
    <w:autoRedefine/>
    <w:semiHidden/>
    <w:qFormat/>
    <w:uiPriority w:val="9"/>
    <w:rPr>
      <w:rFonts w:ascii="Cambria" w:hAnsi="Cambria" w:eastAsia="宋体" w:cs="Times New Roman"/>
      <w:b/>
      <w:bCs/>
      <w:sz w:val="28"/>
      <w:szCs w:val="28"/>
    </w:rPr>
  </w:style>
  <w:style w:type="character" w:customStyle="1" w:styleId="58">
    <w:name w:val="批注文字 字符"/>
    <w:link w:val="10"/>
    <w:autoRedefine/>
    <w:qFormat/>
    <w:locked/>
    <w:uiPriority w:val="99"/>
    <w:rPr>
      <w:rFonts w:ascii="宋体" w:hAnsi="Calibri" w:eastAsia="宋体" w:cs="宋体"/>
      <w:sz w:val="22"/>
      <w:szCs w:val="22"/>
    </w:rPr>
  </w:style>
  <w:style w:type="character" w:customStyle="1" w:styleId="59">
    <w:name w:val="正文文本 字符"/>
    <w:link w:val="12"/>
    <w:autoRedefine/>
    <w:semiHidden/>
    <w:qFormat/>
    <w:locked/>
    <w:uiPriority w:val="99"/>
    <w:rPr>
      <w:rFonts w:ascii="Calibri" w:hAnsi="Calibri" w:cs="Calibri"/>
    </w:rPr>
  </w:style>
  <w:style w:type="character" w:customStyle="1" w:styleId="60">
    <w:name w:val="正文文本缩进 字符"/>
    <w:link w:val="13"/>
    <w:autoRedefine/>
    <w:semiHidden/>
    <w:qFormat/>
    <w:uiPriority w:val="99"/>
    <w:rPr>
      <w:rFonts w:ascii="Calibri" w:hAnsi="Calibri" w:cs="Calibri"/>
      <w:szCs w:val="21"/>
    </w:rPr>
  </w:style>
  <w:style w:type="character" w:customStyle="1" w:styleId="61">
    <w:name w:val="纯文本 字符"/>
    <w:link w:val="18"/>
    <w:autoRedefine/>
    <w:qFormat/>
    <w:locked/>
    <w:uiPriority w:val="0"/>
    <w:rPr>
      <w:rFonts w:ascii="宋体" w:hAnsi="Courier New" w:cs="宋体"/>
      <w:sz w:val="21"/>
      <w:szCs w:val="21"/>
    </w:rPr>
  </w:style>
  <w:style w:type="character" w:customStyle="1" w:styleId="62">
    <w:name w:val="正文文本缩进 2 字符"/>
    <w:link w:val="21"/>
    <w:autoRedefine/>
    <w:semiHidden/>
    <w:qFormat/>
    <w:locked/>
    <w:uiPriority w:val="99"/>
    <w:rPr>
      <w:rFonts w:ascii="Calibri" w:hAnsi="Calibri" w:cs="Calibri"/>
    </w:rPr>
  </w:style>
  <w:style w:type="character" w:customStyle="1" w:styleId="63">
    <w:name w:val="批注框文本 字符"/>
    <w:link w:val="22"/>
    <w:autoRedefine/>
    <w:qFormat/>
    <w:locked/>
    <w:uiPriority w:val="99"/>
    <w:rPr>
      <w:rFonts w:ascii="Calibri" w:hAnsi="Calibri" w:eastAsia="宋体" w:cs="Calibri"/>
      <w:kern w:val="2"/>
      <w:sz w:val="18"/>
      <w:szCs w:val="18"/>
    </w:rPr>
  </w:style>
  <w:style w:type="character" w:customStyle="1" w:styleId="64">
    <w:name w:val="页脚 字符"/>
    <w:basedOn w:val="42"/>
    <w:link w:val="23"/>
    <w:autoRedefine/>
    <w:qFormat/>
    <w:locked/>
    <w:uiPriority w:val="99"/>
    <w:rPr>
      <w:rFonts w:ascii="Calibri" w:hAnsi="Calibri" w:cs="Calibri"/>
      <w:sz w:val="18"/>
      <w:szCs w:val="18"/>
    </w:rPr>
  </w:style>
  <w:style w:type="character" w:customStyle="1" w:styleId="65">
    <w:name w:val="页眉 字符"/>
    <w:basedOn w:val="42"/>
    <w:link w:val="24"/>
    <w:autoRedefine/>
    <w:qFormat/>
    <w:locked/>
    <w:uiPriority w:val="99"/>
    <w:rPr>
      <w:rFonts w:ascii="Calibri" w:hAnsi="Calibri" w:cs="Calibri"/>
      <w:sz w:val="18"/>
      <w:szCs w:val="18"/>
    </w:rPr>
  </w:style>
  <w:style w:type="character" w:customStyle="1" w:styleId="66">
    <w:name w:val="正文文本 2 字符"/>
    <w:link w:val="31"/>
    <w:autoRedefine/>
    <w:semiHidden/>
    <w:qFormat/>
    <w:locked/>
    <w:uiPriority w:val="99"/>
    <w:rPr>
      <w:rFonts w:ascii="Calibri" w:hAnsi="Calibri" w:cs="Calibri"/>
    </w:rPr>
  </w:style>
  <w:style w:type="paragraph" w:customStyle="1" w:styleId="67">
    <w:name w:val="Char2 Char Char Char"/>
    <w:basedOn w:val="1"/>
    <w:autoRedefine/>
    <w:qFormat/>
    <w:uiPriority w:val="99"/>
    <w:rPr>
      <w:rFonts w:ascii="Tahoma" w:hAnsi="Tahoma" w:cs="Tahoma"/>
      <w:sz w:val="24"/>
      <w:szCs w:val="24"/>
    </w:rPr>
  </w:style>
  <w:style w:type="character" w:customStyle="1" w:styleId="68">
    <w:name w:val="10"/>
    <w:autoRedefine/>
    <w:qFormat/>
    <w:uiPriority w:val="99"/>
    <w:rPr>
      <w:rFonts w:ascii="Calibri" w:hAnsi="Calibri" w:cs="Calibri"/>
    </w:rPr>
  </w:style>
  <w:style w:type="character" w:customStyle="1" w:styleId="69">
    <w:name w:val="15"/>
    <w:autoRedefine/>
    <w:qFormat/>
    <w:uiPriority w:val="99"/>
    <w:rPr>
      <w:rFonts w:ascii="Calibri" w:hAnsi="Calibri" w:cs="Calibri"/>
      <w:i/>
      <w:iCs/>
    </w:rPr>
  </w:style>
  <w:style w:type="paragraph" w:customStyle="1" w:styleId="70">
    <w:name w:val="_Style 2"/>
    <w:basedOn w:val="1"/>
    <w:autoRedefine/>
    <w:qFormat/>
    <w:uiPriority w:val="99"/>
    <w:pPr>
      <w:ind w:firstLine="420" w:firstLineChars="200"/>
    </w:pPr>
  </w:style>
  <w:style w:type="character" w:customStyle="1" w:styleId="71">
    <w:name w:val="apple-style-span"/>
    <w:autoRedefine/>
    <w:qFormat/>
    <w:uiPriority w:val="99"/>
  </w:style>
  <w:style w:type="character" w:customStyle="1" w:styleId="72">
    <w:name w:val="del"/>
    <w:basedOn w:val="42"/>
    <w:autoRedefine/>
    <w:qFormat/>
    <w:uiPriority w:val="99"/>
  </w:style>
  <w:style w:type="character" w:customStyle="1" w:styleId="73">
    <w:name w:val="del1"/>
    <w:autoRedefine/>
    <w:qFormat/>
    <w:uiPriority w:val="99"/>
    <w:rPr>
      <w:vanish/>
      <w:color w:val="auto"/>
      <w:sz w:val="18"/>
      <w:szCs w:val="18"/>
      <w:u w:val="single"/>
    </w:rPr>
  </w:style>
  <w:style w:type="character" w:customStyle="1" w:styleId="74">
    <w:name w:val="del2"/>
    <w:autoRedefine/>
    <w:qFormat/>
    <w:uiPriority w:val="99"/>
    <w:rPr>
      <w:vanish/>
    </w:rPr>
  </w:style>
  <w:style w:type="character" w:customStyle="1" w:styleId="75">
    <w:name w:val="del3"/>
    <w:autoRedefine/>
    <w:qFormat/>
    <w:uiPriority w:val="99"/>
    <w:rPr>
      <w:vanish/>
    </w:rPr>
  </w:style>
  <w:style w:type="paragraph" w:customStyle="1" w:styleId="76">
    <w:name w:val="_Style 4"/>
    <w:basedOn w:val="1"/>
    <w:autoRedefine/>
    <w:qFormat/>
    <w:uiPriority w:val="99"/>
    <w:pPr>
      <w:ind w:firstLine="420" w:firstLineChars="200"/>
    </w:pPr>
  </w:style>
  <w:style w:type="paragraph" w:customStyle="1" w:styleId="77">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8">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9">
    <w:name w:val="font101"/>
    <w:basedOn w:val="42"/>
    <w:autoRedefine/>
    <w:qFormat/>
    <w:uiPriority w:val="0"/>
    <w:rPr>
      <w:rFonts w:hint="eastAsia" w:ascii="宋体" w:hAnsi="宋体" w:eastAsia="宋体" w:cs="宋体"/>
      <w:color w:val="000000"/>
      <w:sz w:val="24"/>
      <w:szCs w:val="24"/>
      <w:u w:val="none"/>
    </w:rPr>
  </w:style>
  <w:style w:type="character" w:customStyle="1" w:styleId="80">
    <w:name w:val="font91"/>
    <w:basedOn w:val="42"/>
    <w:autoRedefine/>
    <w:qFormat/>
    <w:uiPriority w:val="0"/>
    <w:rPr>
      <w:rFonts w:hint="eastAsia" w:ascii="宋体" w:hAnsi="宋体" w:eastAsia="宋体" w:cs="宋体"/>
      <w:color w:val="000000"/>
      <w:sz w:val="24"/>
      <w:szCs w:val="24"/>
      <w:u w:val="none"/>
    </w:rPr>
  </w:style>
  <w:style w:type="character" w:customStyle="1" w:styleId="81">
    <w:name w:val="font41"/>
    <w:basedOn w:val="42"/>
    <w:autoRedefine/>
    <w:qFormat/>
    <w:uiPriority w:val="0"/>
    <w:rPr>
      <w:rFonts w:hint="eastAsia" w:ascii="宋体" w:hAnsi="宋体" w:eastAsia="宋体" w:cs="宋体"/>
      <w:color w:val="000000"/>
      <w:sz w:val="24"/>
      <w:szCs w:val="24"/>
      <w:u w:val="none"/>
    </w:rPr>
  </w:style>
  <w:style w:type="character" w:customStyle="1" w:styleId="82">
    <w:name w:val="font21"/>
    <w:basedOn w:val="42"/>
    <w:autoRedefine/>
    <w:qFormat/>
    <w:uiPriority w:val="0"/>
    <w:rPr>
      <w:rFonts w:hint="eastAsia" w:ascii="宋体" w:hAnsi="宋体" w:eastAsia="宋体" w:cs="宋体"/>
      <w:color w:val="000000"/>
      <w:sz w:val="24"/>
      <w:szCs w:val="24"/>
      <w:u w:val="none"/>
    </w:rPr>
  </w:style>
  <w:style w:type="paragraph" w:styleId="83">
    <w:name w:val="List Paragraph"/>
    <w:basedOn w:val="1"/>
    <w:autoRedefine/>
    <w:qFormat/>
    <w:uiPriority w:val="99"/>
    <w:pPr>
      <w:ind w:firstLine="420" w:firstLineChars="200"/>
    </w:pPr>
  </w:style>
  <w:style w:type="table" w:customStyle="1" w:styleId="84">
    <w:name w:val="TableGrid"/>
    <w:autoRedefine/>
    <w:qFormat/>
    <w:uiPriority w:val="0"/>
    <w:rPr>
      <w:kern w:val="2"/>
      <w:sz w:val="21"/>
      <w:szCs w:val="22"/>
    </w:rPr>
    <w:tblPr>
      <w:tblCellMar>
        <w:top w:w="0" w:type="dxa"/>
        <w:left w:w="0" w:type="dxa"/>
        <w:bottom w:w="0" w:type="dxa"/>
        <w:right w:w="0" w:type="dxa"/>
      </w:tblCellMar>
    </w:tblPr>
  </w:style>
  <w:style w:type="character" w:customStyle="1" w:styleId="85">
    <w:name w:val="日期 字符"/>
    <w:basedOn w:val="42"/>
    <w:link w:val="20"/>
    <w:autoRedefine/>
    <w:qFormat/>
    <w:uiPriority w:val="0"/>
    <w:rPr>
      <w:rFonts w:ascii="Calibri" w:hAnsi="Calibri" w:cs="Calibri"/>
      <w:kern w:val="2"/>
      <w:sz w:val="21"/>
      <w:szCs w:val="21"/>
    </w:rPr>
  </w:style>
  <w:style w:type="character" w:customStyle="1" w:styleId="86">
    <w:name w:val="List Paragraph Char1"/>
    <w:link w:val="87"/>
    <w:autoRedefine/>
    <w:qFormat/>
    <w:locked/>
    <w:uiPriority w:val="0"/>
    <w:rPr>
      <w:sz w:val="24"/>
    </w:rPr>
  </w:style>
  <w:style w:type="paragraph" w:customStyle="1" w:styleId="87">
    <w:name w:val="列出段落2"/>
    <w:basedOn w:val="1"/>
    <w:link w:val="86"/>
    <w:autoRedefine/>
    <w:qFormat/>
    <w:uiPriority w:val="0"/>
    <w:pPr>
      <w:ind w:firstLine="420" w:firstLineChars="200"/>
    </w:pPr>
    <w:rPr>
      <w:rFonts w:ascii="Times New Roman" w:hAnsi="Times New Roman" w:cs="Times New Roman"/>
      <w:kern w:val="0"/>
      <w:sz w:val="24"/>
      <w:szCs w:val="20"/>
    </w:rPr>
  </w:style>
  <w:style w:type="table" w:customStyle="1" w:styleId="88">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9">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0">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1">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2">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3">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95">
    <w:name w:val="批注主题 字符"/>
    <w:basedOn w:val="58"/>
    <w:link w:val="33"/>
    <w:autoRedefine/>
    <w:semiHidden/>
    <w:qFormat/>
    <w:uiPriority w:val="99"/>
    <w:rPr>
      <w:rFonts w:ascii="Calibri" w:hAnsi="Calibri" w:eastAsia="宋体" w:cs="Calibri"/>
      <w:b/>
      <w:bCs/>
      <w:kern w:val="2"/>
      <w:sz w:val="21"/>
      <w:szCs w:val="21"/>
    </w:rPr>
  </w:style>
  <w:style w:type="paragraph" w:customStyle="1" w:styleId="96">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7">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9"/>
    <w:autoRedefine/>
    <w:qFormat/>
    <w:uiPriority w:val="0"/>
    <w:rPr>
      <w:kern w:val="2"/>
      <w:sz w:val="21"/>
      <w:szCs w:val="22"/>
    </w:rPr>
    <w:tblPr>
      <w:tblCellMar>
        <w:top w:w="0" w:type="dxa"/>
        <w:left w:w="0" w:type="dxa"/>
        <w:bottom w:w="0" w:type="dxa"/>
        <w:right w:w="0" w:type="dxa"/>
      </w:tblCellMar>
    </w:tblPr>
  </w:style>
  <w:style w:type="table" w:customStyle="1" w:styleId="99">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0">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1">
    <w:name w:val="TableGrid12"/>
    <w:autoRedefine/>
    <w:qFormat/>
    <w:uiPriority w:val="0"/>
    <w:rPr>
      <w:kern w:val="2"/>
      <w:sz w:val="21"/>
      <w:szCs w:val="22"/>
    </w:rPr>
    <w:tblPr>
      <w:tblCellMar>
        <w:top w:w="0" w:type="dxa"/>
        <w:left w:w="0" w:type="dxa"/>
        <w:bottom w:w="0" w:type="dxa"/>
        <w:right w:w="0" w:type="dxa"/>
      </w:tblCellMar>
    </w:tblPr>
  </w:style>
  <w:style w:type="table" w:customStyle="1" w:styleId="102">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3">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4">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5">
    <w:name w:val="网格型1"/>
    <w:basedOn w:val="4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6">
    <w:name w:val="high-light-bg4"/>
    <w:basedOn w:val="42"/>
    <w:autoRedefine/>
    <w:qFormat/>
    <w:uiPriority w:val="0"/>
  </w:style>
  <w:style w:type="paragraph" w:customStyle="1" w:styleId="107">
    <w:name w:val="p16"/>
    <w:basedOn w:val="1"/>
    <w:autoRedefine/>
    <w:qFormat/>
    <w:uiPriority w:val="0"/>
    <w:rPr>
      <w:rFonts w:ascii="宋体" w:hAnsi="宋体" w:cs="宋体"/>
      <w:sz w:val="28"/>
      <w:szCs w:val="28"/>
    </w:rPr>
  </w:style>
  <w:style w:type="paragraph" w:customStyle="1" w:styleId="108">
    <w:name w:val="+正文"/>
    <w:basedOn w:val="1"/>
    <w:autoRedefine/>
    <w:qFormat/>
    <w:uiPriority w:val="99"/>
    <w:pPr>
      <w:spacing w:line="360" w:lineRule="auto"/>
      <w:ind w:firstLine="200" w:firstLineChars="200"/>
    </w:pPr>
  </w:style>
  <w:style w:type="paragraph" w:customStyle="1" w:styleId="109">
    <w:name w:val="正文 New"/>
    <w:autoRedefine/>
    <w:qFormat/>
    <w:uiPriority w:val="99"/>
    <w:pPr>
      <w:widowControl w:val="0"/>
      <w:jc w:val="both"/>
    </w:pPr>
    <w:rPr>
      <w:rFonts w:ascii="Times New Roman" w:hAnsi="Times New Roman" w:eastAsia="宋体" w:cs="Times New Roman"/>
      <w:lang w:val="en-US" w:eastAsia="zh-CN" w:bidi="ar-SA"/>
    </w:rPr>
  </w:style>
  <w:style w:type="character" w:customStyle="1" w:styleId="110">
    <w:name w:val="font01"/>
    <w:basedOn w:val="42"/>
    <w:autoRedefine/>
    <w:qFormat/>
    <w:uiPriority w:val="0"/>
    <w:rPr>
      <w:rFonts w:hint="eastAsia" w:ascii="仿宋" w:hAnsi="仿宋" w:eastAsia="仿宋" w:cs="仿宋"/>
      <w:color w:val="000000"/>
      <w:sz w:val="28"/>
      <w:szCs w:val="28"/>
      <w:u w:val="none"/>
    </w:rPr>
  </w:style>
  <w:style w:type="character" w:customStyle="1" w:styleId="111">
    <w:name w:val="font31"/>
    <w:basedOn w:val="42"/>
    <w:autoRedefine/>
    <w:qFormat/>
    <w:uiPriority w:val="0"/>
    <w:rPr>
      <w:rFonts w:hint="eastAsia" w:ascii="仿宋" w:hAnsi="仿宋" w:eastAsia="仿宋" w:cs="仿宋"/>
      <w:color w:val="000000"/>
      <w:sz w:val="24"/>
      <w:szCs w:val="24"/>
      <w:u w:val="none"/>
    </w:rPr>
  </w:style>
  <w:style w:type="character" w:customStyle="1" w:styleId="112">
    <w:name w:val="font11"/>
    <w:basedOn w:val="42"/>
    <w:autoRedefine/>
    <w:qFormat/>
    <w:uiPriority w:val="0"/>
    <w:rPr>
      <w:rFonts w:hint="eastAsia" w:ascii="宋体" w:hAnsi="宋体" w:eastAsia="宋体" w:cs="宋体"/>
      <w:color w:val="000000"/>
      <w:sz w:val="32"/>
      <w:szCs w:val="32"/>
      <w:u w:val="none"/>
    </w:rPr>
  </w:style>
  <w:style w:type="paragraph" w:customStyle="1" w:styleId="113">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14">
    <w:name w:val="正文格式"/>
    <w:basedOn w:val="1"/>
    <w:autoRedefine/>
    <w:qFormat/>
    <w:uiPriority w:val="0"/>
    <w:pPr>
      <w:adjustRightInd w:val="0"/>
      <w:snapToGrid w:val="0"/>
      <w:spacing w:line="400" w:lineRule="atLeast"/>
      <w:ind w:firstLine="482"/>
      <w:textAlignment w:val="baseline"/>
    </w:pPr>
  </w:style>
  <w:style w:type="paragraph" w:customStyle="1" w:styleId="115">
    <w:name w:val="※正文"/>
    <w:basedOn w:val="1"/>
    <w:next w:val="1"/>
    <w:qFormat/>
    <w:uiPriority w:val="0"/>
    <w:pPr>
      <w:widowControl/>
      <w:wordWrap w:val="0"/>
      <w:spacing w:line="400" w:lineRule="exact"/>
    </w:pPr>
    <w:rPr>
      <w:rFonts w:ascii="Calibri Light" w:hAnsi="Calibri Light" w:eastAsia="华文仿宋"/>
      <w:sz w:val="28"/>
      <w:szCs w:val="28"/>
    </w:rPr>
  </w:style>
  <w:style w:type="table" w:customStyle="1" w:styleId="116">
    <w:name w:val="Table Normal"/>
    <w:basedOn w:val="40"/>
    <w:qFormat/>
    <w:uiPriority w:val="0"/>
    <w:rPr>
      <w:rFonts w:ascii="Times New Roman" w:hAnsi="Times New Roman" w:eastAsia="Times New Roman" w:cs="Times New Roman"/>
      <w:kern w:val="0"/>
      <w:sz w:val="20"/>
      <w:szCs w:val="20"/>
      <w14:ligatures w14:val="none"/>
    </w:rPr>
    <w:tblPr>
      <w:tblCellMar>
        <w:left w:w="0" w:type="dxa"/>
        <w:right w:w="0" w:type="dxa"/>
      </w:tblCellMar>
    </w:tblPr>
  </w:style>
  <w:style w:type="paragraph" w:customStyle="1" w:styleId="117">
    <w:name w:val="MSG_EN_FONT_STYLE_NAME_TEMPLATE_ROLE_NUMBER MSG_EN_FONT_STYLE_NAME_BY_ROLE_TEXT 2"/>
    <w:basedOn w:val="1"/>
    <w:qFormat/>
    <w:uiPriority w:val="0"/>
    <w:pPr>
      <w:shd w:val="clear" w:color="auto" w:fill="FFFFFF"/>
      <w:spacing w:after="240" w:line="220" w:lineRule="exact"/>
      <w:jc w:val="distribute"/>
    </w:pPr>
    <w:rPr>
      <w:rFonts w:ascii="宋体" w:hAnsi="宋体" w:eastAsia="宋体" w:cs="宋体"/>
      <w:sz w:val="22"/>
    </w:rPr>
  </w:style>
  <w:style w:type="paragraph" w:customStyle="1" w:styleId="11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正文文本首行缩进 2 字符"/>
    <w:qFormat/>
    <w:uiPriority w:val="0"/>
    <w:rPr>
      <w:rFonts w:hint="default" w:ascii="Calibri" w:hAnsi="Calibri" w:cs="Calibri"/>
      <w:kern w:val="2"/>
      <w:sz w:val="21"/>
      <w:szCs w:val="21"/>
    </w:rPr>
  </w:style>
  <w:style w:type="paragraph" w:customStyle="1" w:styleId="120">
    <w:name w:val="1正文"/>
    <w:basedOn w:val="32"/>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21">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22">
    <w:name w:val="font61"/>
    <w:basedOn w:val="42"/>
    <w:qFormat/>
    <w:uiPriority w:val="0"/>
    <w:rPr>
      <w:rFonts w:ascii="Calibri" w:hAnsi="Calibri" w:cs="Calibri"/>
      <w:color w:val="000000"/>
      <w:sz w:val="20"/>
      <w:szCs w:val="20"/>
      <w:u w:val="none"/>
    </w:rPr>
  </w:style>
  <w:style w:type="paragraph" w:customStyle="1" w:styleId="123">
    <w:name w:val="HTML Preformatted"/>
    <w:basedOn w:val="1"/>
    <w:qFormat/>
    <w:uiPriority w:val="0"/>
    <w:rPr>
      <w:rFonts w:ascii="Courier New" w:hAnsi="Courier New"/>
      <w:sz w:val="20"/>
    </w:rPr>
  </w:style>
  <w:style w:type="character" w:customStyle="1" w:styleId="124">
    <w:name w:val="font51"/>
    <w:basedOn w:val="42"/>
    <w:qFormat/>
    <w:uiPriority w:val="0"/>
    <w:rPr>
      <w:rFonts w:hint="eastAsia" w:ascii="宋体" w:hAnsi="宋体" w:eastAsia="宋体" w:cs="宋体"/>
      <w:color w:val="000000"/>
      <w:sz w:val="20"/>
      <w:szCs w:val="20"/>
      <w:u w:val="none"/>
    </w:rPr>
  </w:style>
  <w:style w:type="character" w:customStyle="1" w:styleId="125">
    <w:name w:val="font71"/>
    <w:basedOn w:val="42"/>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180A0-0E1E-43DA-AE95-CE829FEE3260}">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61</Pages>
  <Words>18874</Words>
  <Characters>19807</Characters>
  <Lines>176</Lines>
  <Paragraphs>49</Paragraphs>
  <TotalTime>40</TotalTime>
  <ScaleCrop>false</ScaleCrop>
  <LinksUpToDate>false</LinksUpToDate>
  <CharactersWithSpaces>20006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2023-06-08T02:12:00Z</dcterms:created>
  <dc:creator>Administrator</dc:creator>
  <cp:lastModifiedBy>WPS_1528011989</cp:lastModifiedBy>
  <cp:lastPrinted>2024-10-16T09:09:00Z</cp:lastPrinted>
  <dcterms:modified xsi:type="dcterms:W3CDTF">2025-12-25T06:19:08Z</dcterms:modified>
  <dc:title>政府采购项目</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47CB4FC20F1648FE898360C693374DBB_13</vt:lpwstr>
  </property>
  <property fmtid="{D5CDD505-2E9C-101B-9397-08002B2CF9AE}" pid="4" name="KSOTemplateDocerSaveRecord">
    <vt:lpwstr>eyJoZGlkIjoiMDg1OGE3YTllNWRkNjgwY2M5ZDEwMmY0ODQzZDFhY2IiLCJ1c2VySWQiOiIzNzU3MTM1MjkifQ==</vt:lpwstr>
  </property>
</Properties>
</file>