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DB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8" w:beforeLines="50" w:after="168" w:afterLines="50" w:line="480" w:lineRule="exact"/>
        <w:ind w:firstLine="883" w:firstLineChars="200"/>
        <w:jc w:val="center"/>
        <w:textAlignment w:val="auto"/>
        <w:outlineLvl w:val="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 w:val="44"/>
          <w:szCs w:val="44"/>
          <w:highlight w:val="none"/>
        </w:rPr>
        <w:t>采购内容及技术要求</w:t>
      </w:r>
    </w:p>
    <w:p w14:paraId="235BCBB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80" w:lineRule="exact"/>
        <w:ind w:left="0" w:leftChars="0" w:firstLine="0" w:firstLineChars="0"/>
        <w:jc w:val="both"/>
        <w:textAlignment w:val="center"/>
        <w:rPr>
          <w:rFonts w:hint="eastAsia" w:ascii="仿宋" w:hAnsi="仿宋" w:eastAsia="仿宋" w:cs="仿宋"/>
          <w:b/>
          <w:bCs/>
          <w:snapToGrid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sz w:val="24"/>
          <w:szCs w:val="24"/>
          <w:lang w:val="en-US" w:eastAsia="zh-CN"/>
        </w:rPr>
        <w:t>一、项目概况</w:t>
      </w:r>
    </w:p>
    <w:p w14:paraId="5532EF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1、项目名称：2026年秦汉新城“一区一策”大气污染防治咨询服务（二次）</w:t>
      </w:r>
    </w:p>
    <w:p w14:paraId="0ED1BE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default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2、项目预算：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1,989,000.00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FFFFFF"/>
          <w:lang w:eastAsia="zh-CN"/>
        </w:rPr>
        <w:t>元</w:t>
      </w:r>
    </w:p>
    <w:p w14:paraId="2429838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80" w:lineRule="exact"/>
        <w:ind w:left="0" w:leftChars="0" w:firstLine="0" w:firstLineChars="0"/>
        <w:jc w:val="both"/>
        <w:textAlignment w:val="center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sz w:val="24"/>
          <w:szCs w:val="24"/>
          <w:lang w:val="en-US" w:eastAsia="zh-CN"/>
        </w:rPr>
        <w:t>二、</w:t>
      </w:r>
      <w:bookmarkStart w:id="0" w:name="_Toc8921"/>
      <w:bookmarkStart w:id="1" w:name="_Toc23890"/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 w:bidi="ar-SA"/>
        </w:rPr>
        <w:t>采购内容</w:t>
      </w:r>
    </w:p>
    <w:p w14:paraId="4946EB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default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本项目采购内容及要求详见下表：</w:t>
      </w:r>
    </w:p>
    <w:bookmarkEnd w:id="0"/>
    <w:bookmarkEnd w:id="1"/>
    <w:tbl>
      <w:tblPr>
        <w:tblStyle w:val="12"/>
        <w:tblW w:w="50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1082"/>
        <w:gridCol w:w="5802"/>
        <w:gridCol w:w="1132"/>
      </w:tblGrid>
      <w:tr w14:paraId="7CC0A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344" w:type="pct"/>
            <w:noWrap w:val="0"/>
            <w:vAlign w:val="center"/>
          </w:tcPr>
          <w:p w14:paraId="566079B8">
            <w:pPr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628" w:type="pct"/>
            <w:noWrap w:val="0"/>
            <w:vAlign w:val="center"/>
          </w:tcPr>
          <w:p w14:paraId="38F33D1F">
            <w:pPr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采购项目</w:t>
            </w:r>
          </w:p>
        </w:tc>
        <w:tc>
          <w:tcPr>
            <w:tcW w:w="3368" w:type="pct"/>
            <w:noWrap w:val="0"/>
            <w:vAlign w:val="center"/>
          </w:tcPr>
          <w:p w14:paraId="085B9658">
            <w:pPr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采购内容</w:t>
            </w:r>
          </w:p>
        </w:tc>
        <w:tc>
          <w:tcPr>
            <w:tcW w:w="657" w:type="pct"/>
            <w:noWrap w:val="0"/>
            <w:vAlign w:val="center"/>
          </w:tcPr>
          <w:p w14:paraId="37099D79">
            <w:pPr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采购数量</w:t>
            </w:r>
          </w:p>
        </w:tc>
      </w:tr>
      <w:tr w14:paraId="08D97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  <w:jc w:val="center"/>
        </w:trPr>
        <w:tc>
          <w:tcPr>
            <w:tcW w:w="344" w:type="pct"/>
            <w:noWrap w:val="0"/>
            <w:vAlign w:val="center"/>
          </w:tcPr>
          <w:p w14:paraId="4B56C91F">
            <w:pPr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628" w:type="pct"/>
            <w:noWrap w:val="0"/>
            <w:vAlign w:val="center"/>
          </w:tcPr>
          <w:p w14:paraId="766B5108">
            <w:pPr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环保咨询服务</w:t>
            </w:r>
          </w:p>
        </w:tc>
        <w:tc>
          <w:tcPr>
            <w:tcW w:w="3368" w:type="pct"/>
            <w:noWrap w:val="0"/>
            <w:vAlign w:val="center"/>
          </w:tcPr>
          <w:p w14:paraId="629DDB85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1、日空气质量研判分析。每日剖析前一日空气质量，并聚焦未来24-72小时，提出基于预测的针对性措施；</w:t>
            </w:r>
          </w:p>
          <w:p w14:paraId="43B828DC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2、阶段性总结评估。剖析总结月、季、年空气质量情况，提出中长期优化建议，动态调整管控策略；</w:t>
            </w:r>
          </w:p>
          <w:p w14:paraId="766C4E5D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3、分析研判调度。实时监控数据变化，提出并及时推送精细化管控措施；</w:t>
            </w:r>
          </w:p>
          <w:p w14:paraId="1600A49B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4、异常数据响应。针对高值或异常数据进行核查和分析评估上报，避免异常数据对监测数据的干扰；</w:t>
            </w:r>
          </w:p>
          <w:p w14:paraId="07E4A584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5、污染成因解读。解析区域与站点层面污染过程特征、成因及演变规律，提供书面分析。</w:t>
            </w:r>
          </w:p>
          <w:p w14:paraId="671E4B17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6、区域专题咨询服务。协助工作部开展专业化咨询服务、环保类专题培训、区域企业绩效升级指导帮扶、中省资金项目申报、环保问题整改。</w:t>
            </w:r>
          </w:p>
        </w:tc>
        <w:tc>
          <w:tcPr>
            <w:tcW w:w="657" w:type="pct"/>
            <w:noWrap w:val="0"/>
            <w:vAlign w:val="center"/>
          </w:tcPr>
          <w:p w14:paraId="033F5627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日报告365份；阶段性分析评估不少于15份；研判调度不少于500次；异常数据、污染成因等分析、区域专题咨询按需提供</w:t>
            </w:r>
          </w:p>
        </w:tc>
      </w:tr>
      <w:tr w14:paraId="424B9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344" w:type="pct"/>
            <w:noWrap w:val="0"/>
            <w:vAlign w:val="center"/>
          </w:tcPr>
          <w:p w14:paraId="224C0F33">
            <w:pPr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628" w:type="pct"/>
            <w:noWrap w:val="0"/>
            <w:vAlign w:val="center"/>
          </w:tcPr>
          <w:p w14:paraId="773F7374">
            <w:pPr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环保督查服务</w:t>
            </w:r>
          </w:p>
        </w:tc>
        <w:tc>
          <w:tcPr>
            <w:tcW w:w="3368" w:type="pct"/>
            <w:noWrap w:val="0"/>
            <w:vAlign w:val="center"/>
          </w:tcPr>
          <w:p w14:paraId="08B4DD8E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结合监测数据、气象数据、污染源数据，配合工作部完成常对辖区重点管控区域工业企业、道路扬尘、工地扬尘、机动车、非道路机械等污染源的督导检查工作。每月开展不得少于20次。</w:t>
            </w:r>
          </w:p>
        </w:tc>
        <w:tc>
          <w:tcPr>
            <w:tcW w:w="657" w:type="pct"/>
            <w:noWrap w:val="0"/>
            <w:vAlign w:val="center"/>
          </w:tcPr>
          <w:p w14:paraId="558A756B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12个月</w:t>
            </w:r>
          </w:p>
        </w:tc>
      </w:tr>
      <w:tr w14:paraId="05D1A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344" w:type="pct"/>
            <w:noWrap w:val="0"/>
            <w:vAlign w:val="center"/>
          </w:tcPr>
          <w:p w14:paraId="35EDC32B">
            <w:pPr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3</w:t>
            </w:r>
          </w:p>
        </w:tc>
        <w:tc>
          <w:tcPr>
            <w:tcW w:w="628" w:type="pct"/>
            <w:noWrap w:val="0"/>
            <w:vAlign w:val="center"/>
          </w:tcPr>
          <w:p w14:paraId="2AA108C4">
            <w:pPr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污染源定位服务</w:t>
            </w:r>
          </w:p>
        </w:tc>
        <w:tc>
          <w:tcPr>
            <w:tcW w:w="3368" w:type="pct"/>
            <w:noWrap w:val="0"/>
            <w:vAlign w:val="center"/>
          </w:tcPr>
          <w:p w14:paraId="18836698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结合各种监测数据，对污染源进行精准定位分类，通过地理信息系统生成污染源地图，并实时更新。</w:t>
            </w:r>
          </w:p>
        </w:tc>
        <w:tc>
          <w:tcPr>
            <w:tcW w:w="657" w:type="pct"/>
            <w:noWrap w:val="0"/>
            <w:vAlign w:val="center"/>
          </w:tcPr>
          <w:p w14:paraId="289E645E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12个月</w:t>
            </w:r>
          </w:p>
        </w:tc>
      </w:tr>
      <w:tr w14:paraId="40D83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344" w:type="pct"/>
            <w:noWrap w:val="0"/>
            <w:vAlign w:val="center"/>
          </w:tcPr>
          <w:p w14:paraId="3199163A">
            <w:pPr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4</w:t>
            </w:r>
          </w:p>
        </w:tc>
        <w:tc>
          <w:tcPr>
            <w:tcW w:w="628" w:type="pct"/>
            <w:noWrap w:val="0"/>
            <w:vAlign w:val="center"/>
          </w:tcPr>
          <w:p w14:paraId="5024DDB2">
            <w:pPr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便携式仪器监测服务</w:t>
            </w:r>
          </w:p>
        </w:tc>
        <w:tc>
          <w:tcPr>
            <w:tcW w:w="3368" w:type="pct"/>
            <w:noWrap w:val="0"/>
            <w:vAlign w:val="center"/>
          </w:tcPr>
          <w:p w14:paraId="6BA6DD35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使用便携式仪器不定期对区域内企业、园区或特定点位进行实地检测。1年内按天提供便携式仪器监测服务，依据空气质量完成情况提供服务50-80天，出具相应总结报告。</w:t>
            </w:r>
          </w:p>
        </w:tc>
        <w:tc>
          <w:tcPr>
            <w:tcW w:w="657" w:type="pct"/>
            <w:noWrap w:val="0"/>
            <w:vAlign w:val="center"/>
          </w:tcPr>
          <w:p w14:paraId="5E8FF525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50-80次</w:t>
            </w:r>
          </w:p>
        </w:tc>
      </w:tr>
      <w:tr w14:paraId="011BA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344" w:type="pct"/>
            <w:noWrap w:val="0"/>
            <w:vAlign w:val="center"/>
          </w:tcPr>
          <w:p w14:paraId="0AA7F407">
            <w:pPr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5</w:t>
            </w:r>
          </w:p>
        </w:tc>
        <w:tc>
          <w:tcPr>
            <w:tcW w:w="628" w:type="pct"/>
            <w:noWrap w:val="0"/>
            <w:vAlign w:val="center"/>
          </w:tcPr>
          <w:p w14:paraId="534ACF61">
            <w:pPr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扬尘专项管控服务</w:t>
            </w:r>
          </w:p>
        </w:tc>
        <w:tc>
          <w:tcPr>
            <w:tcW w:w="3368" w:type="pct"/>
            <w:noWrap w:val="0"/>
            <w:vAlign w:val="center"/>
          </w:tcPr>
          <w:p w14:paraId="0F72B1B8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安排人员定期或不定期对工地进行现场检查、对隐患及问题提供持续的咨询和指导。每月开展不得少于3次。</w:t>
            </w:r>
          </w:p>
        </w:tc>
        <w:tc>
          <w:tcPr>
            <w:tcW w:w="657" w:type="pct"/>
            <w:noWrap w:val="0"/>
            <w:vAlign w:val="center"/>
          </w:tcPr>
          <w:p w14:paraId="57AF863C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12个月</w:t>
            </w:r>
          </w:p>
        </w:tc>
      </w:tr>
      <w:tr w14:paraId="0CB41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344" w:type="pct"/>
            <w:noWrap w:val="0"/>
            <w:vAlign w:val="center"/>
          </w:tcPr>
          <w:p w14:paraId="05E92AC6">
            <w:pPr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6</w:t>
            </w:r>
          </w:p>
        </w:tc>
        <w:tc>
          <w:tcPr>
            <w:tcW w:w="628" w:type="pct"/>
            <w:noWrap w:val="0"/>
            <w:vAlign w:val="center"/>
          </w:tcPr>
          <w:p w14:paraId="69E1A33C">
            <w:pPr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专项研判报告编制服务</w:t>
            </w:r>
          </w:p>
        </w:tc>
        <w:tc>
          <w:tcPr>
            <w:tcW w:w="3368" w:type="pct"/>
            <w:noWrap w:val="0"/>
            <w:vAlign w:val="center"/>
          </w:tcPr>
          <w:p w14:paraId="6A89E743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根据当地实际情况、空气质量数据变化和日常工作实际需求，编纂分析、专项报告或特定工作报告，为辖区大气污染防治工作提供科学依据和决策支持。</w:t>
            </w:r>
          </w:p>
        </w:tc>
        <w:tc>
          <w:tcPr>
            <w:tcW w:w="657" w:type="pct"/>
            <w:noWrap w:val="0"/>
            <w:vAlign w:val="center"/>
          </w:tcPr>
          <w:p w14:paraId="7CCF8BCE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1年</w:t>
            </w:r>
          </w:p>
        </w:tc>
      </w:tr>
      <w:tr w14:paraId="58947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344" w:type="pct"/>
            <w:noWrap w:val="0"/>
            <w:vAlign w:val="center"/>
          </w:tcPr>
          <w:p w14:paraId="594AEA54">
            <w:pPr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7</w:t>
            </w:r>
          </w:p>
        </w:tc>
        <w:tc>
          <w:tcPr>
            <w:tcW w:w="628" w:type="pct"/>
            <w:noWrap w:val="0"/>
            <w:vAlign w:val="center"/>
          </w:tcPr>
          <w:p w14:paraId="6C1B35CD">
            <w:pPr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重点时期污染源研判</w:t>
            </w:r>
          </w:p>
        </w:tc>
        <w:tc>
          <w:tcPr>
            <w:tcW w:w="3368" w:type="pct"/>
            <w:noWrap w:val="0"/>
            <w:vAlign w:val="center"/>
          </w:tcPr>
          <w:p w14:paraId="5F38FAA0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重污染天气期间拟邀请专家对污染成因、传输路径、影响范围进行深入剖析，形成详细的研判报告，并提出针对性的管控措施建议。全年出具不少于重污染天数的污染源研判报告。</w:t>
            </w:r>
          </w:p>
        </w:tc>
        <w:tc>
          <w:tcPr>
            <w:tcW w:w="657" w:type="pct"/>
            <w:noWrap w:val="0"/>
            <w:vAlign w:val="center"/>
          </w:tcPr>
          <w:p w14:paraId="4FC6A823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不少于重污染天数</w:t>
            </w:r>
          </w:p>
        </w:tc>
      </w:tr>
      <w:tr w14:paraId="526BE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344" w:type="pct"/>
            <w:noWrap w:val="0"/>
            <w:vAlign w:val="center"/>
          </w:tcPr>
          <w:p w14:paraId="006A040F">
            <w:pPr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8</w:t>
            </w:r>
          </w:p>
        </w:tc>
        <w:tc>
          <w:tcPr>
            <w:tcW w:w="628" w:type="pct"/>
            <w:noWrap w:val="0"/>
            <w:vAlign w:val="center"/>
          </w:tcPr>
          <w:p w14:paraId="6D6AC738">
            <w:pPr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颗粒物激光雷达服务</w:t>
            </w:r>
          </w:p>
        </w:tc>
        <w:tc>
          <w:tcPr>
            <w:tcW w:w="3368" w:type="pct"/>
            <w:noWrap w:val="0"/>
            <w:vAlign w:val="center"/>
          </w:tcPr>
          <w:p w14:paraId="2FB12FBA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为区域大气污染综合整治提供重要目标指向，固定点气溶胶激光雷达使用期间每日24小时扫描。</w:t>
            </w:r>
          </w:p>
        </w:tc>
        <w:tc>
          <w:tcPr>
            <w:tcW w:w="657" w:type="pct"/>
            <w:noWrap w:val="0"/>
            <w:vAlign w:val="center"/>
          </w:tcPr>
          <w:p w14:paraId="745D5FE7">
            <w:pPr>
              <w:widowControl/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不少于4个月</w:t>
            </w:r>
          </w:p>
        </w:tc>
      </w:tr>
      <w:tr w14:paraId="5815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44" w:type="pct"/>
            <w:noWrap w:val="0"/>
            <w:vAlign w:val="center"/>
          </w:tcPr>
          <w:p w14:paraId="59691A80">
            <w:pPr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9</w:t>
            </w:r>
          </w:p>
        </w:tc>
        <w:tc>
          <w:tcPr>
            <w:tcW w:w="628" w:type="pct"/>
            <w:noWrap w:val="0"/>
            <w:vAlign w:val="center"/>
          </w:tcPr>
          <w:p w14:paraId="4AB6996C">
            <w:pPr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秋冬季燃烧源调研与分析</w:t>
            </w:r>
          </w:p>
        </w:tc>
        <w:tc>
          <w:tcPr>
            <w:tcW w:w="3368" w:type="pct"/>
            <w:noWrap w:val="0"/>
            <w:vAlign w:val="center"/>
          </w:tcPr>
          <w:p w14:paraId="7D7B627D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针对周边村庄进行秋冬季散煤及生物质燃烧情况调查，对重点时段、散煤用量、散煤用户数、薪柴用量、薪柴用户数、平均用量等进行分析，估算散煤燃烧、生物质燃烧对贡献量，并提出减排措施建议。出具报告1份。</w:t>
            </w:r>
          </w:p>
        </w:tc>
        <w:tc>
          <w:tcPr>
            <w:tcW w:w="657" w:type="pct"/>
            <w:noWrap w:val="0"/>
            <w:vAlign w:val="center"/>
          </w:tcPr>
          <w:p w14:paraId="7075486D">
            <w:pPr>
              <w:widowControl/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不少于6个月</w:t>
            </w:r>
          </w:p>
        </w:tc>
      </w:tr>
      <w:tr w14:paraId="7054D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344" w:type="pct"/>
            <w:noWrap w:val="0"/>
            <w:vAlign w:val="center"/>
          </w:tcPr>
          <w:p w14:paraId="7F4C1981">
            <w:pPr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10</w:t>
            </w:r>
          </w:p>
        </w:tc>
        <w:tc>
          <w:tcPr>
            <w:tcW w:w="628" w:type="pct"/>
            <w:noWrap w:val="0"/>
            <w:vAlign w:val="center"/>
          </w:tcPr>
          <w:p w14:paraId="291A23D7">
            <w:pPr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VOCs走航监测服务</w:t>
            </w:r>
          </w:p>
        </w:tc>
        <w:tc>
          <w:tcPr>
            <w:tcW w:w="3368" w:type="pct"/>
            <w:noWrap w:val="0"/>
            <w:vAlign w:val="center"/>
          </w:tcPr>
          <w:p w14:paraId="74A02F9A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利用走航监测对区域内的污染源进行调查，重点是夏季臭氧、VOCs组分的排查，了解污染源排放位置、排放类型及浓度分布。出具年度分析报告1份。</w:t>
            </w:r>
          </w:p>
        </w:tc>
        <w:tc>
          <w:tcPr>
            <w:tcW w:w="657" w:type="pct"/>
            <w:noWrap w:val="0"/>
            <w:vAlign w:val="center"/>
          </w:tcPr>
          <w:p w14:paraId="06D9BE04">
            <w:pPr>
              <w:widowControl/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不少于10天</w:t>
            </w:r>
          </w:p>
        </w:tc>
      </w:tr>
      <w:tr w14:paraId="6F967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344" w:type="pct"/>
            <w:noWrap w:val="0"/>
            <w:vAlign w:val="center"/>
          </w:tcPr>
          <w:p w14:paraId="5622FA76">
            <w:pPr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11</w:t>
            </w:r>
          </w:p>
        </w:tc>
        <w:tc>
          <w:tcPr>
            <w:tcW w:w="628" w:type="pct"/>
            <w:noWrap w:val="0"/>
            <w:vAlign w:val="center"/>
          </w:tcPr>
          <w:p w14:paraId="10A58274">
            <w:pPr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夏季臭氧源解析</w:t>
            </w:r>
          </w:p>
        </w:tc>
        <w:tc>
          <w:tcPr>
            <w:tcW w:w="3368" w:type="pct"/>
            <w:noWrap w:val="0"/>
            <w:vAlign w:val="center"/>
          </w:tcPr>
          <w:p w14:paraId="042B2A1A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通过气象模型重构城市近地面精细化实时风场，实时识别各站点臭氧异常值，并对臭氧进行溯源，准确识别臭氧污染高值气团来源轨迹及具体污染源，实现精准溯源追踪。</w:t>
            </w:r>
          </w:p>
        </w:tc>
        <w:tc>
          <w:tcPr>
            <w:tcW w:w="657" w:type="pct"/>
            <w:noWrap w:val="0"/>
            <w:vAlign w:val="center"/>
          </w:tcPr>
          <w:p w14:paraId="225D088B">
            <w:pPr>
              <w:widowControl/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不少于10天</w:t>
            </w:r>
          </w:p>
        </w:tc>
      </w:tr>
      <w:tr w14:paraId="5AA35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344" w:type="pct"/>
            <w:tcBorders>
              <w:bottom w:val="single" w:color="auto" w:sz="4" w:space="0"/>
            </w:tcBorders>
            <w:noWrap w:val="0"/>
            <w:vAlign w:val="center"/>
          </w:tcPr>
          <w:p w14:paraId="19A5EFF1">
            <w:pPr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12</w:t>
            </w:r>
          </w:p>
        </w:tc>
        <w:tc>
          <w:tcPr>
            <w:tcW w:w="628" w:type="pct"/>
            <w:tcBorders>
              <w:bottom w:val="single" w:color="auto" w:sz="4" w:space="0"/>
            </w:tcBorders>
            <w:noWrap w:val="0"/>
            <w:vAlign w:val="center"/>
          </w:tcPr>
          <w:p w14:paraId="05F4D541">
            <w:pPr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秋冬季颗粒物来源解析</w:t>
            </w:r>
          </w:p>
        </w:tc>
        <w:tc>
          <w:tcPr>
            <w:tcW w:w="3368" w:type="pct"/>
            <w:tcBorders>
              <w:bottom w:val="single" w:color="auto" w:sz="4" w:space="0"/>
            </w:tcBorders>
            <w:noWrap w:val="0"/>
            <w:vAlign w:val="center"/>
          </w:tcPr>
          <w:p w14:paraId="0D54EF2D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按照工作部要求，配合进行重点区域PM2.5来源解析，重点时段区域污染源分析，评估各项污染源对重点区域颗粒物的贡献，对大气颗粒物的来源进行详细解析。</w:t>
            </w:r>
          </w:p>
        </w:tc>
        <w:tc>
          <w:tcPr>
            <w:tcW w:w="657" w:type="pct"/>
            <w:tcBorders>
              <w:bottom w:val="single" w:color="auto" w:sz="4" w:space="0"/>
            </w:tcBorders>
            <w:noWrap w:val="0"/>
            <w:vAlign w:val="center"/>
          </w:tcPr>
          <w:p w14:paraId="08223F55">
            <w:pPr>
              <w:widowControl/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不少于7天</w:t>
            </w:r>
          </w:p>
        </w:tc>
      </w:tr>
      <w:tr w14:paraId="4DC02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344" w:type="pct"/>
            <w:tcBorders>
              <w:bottom w:val="single" w:color="auto" w:sz="4" w:space="0"/>
            </w:tcBorders>
            <w:noWrap w:val="0"/>
            <w:vAlign w:val="center"/>
          </w:tcPr>
          <w:p w14:paraId="575A54FE">
            <w:pPr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13</w:t>
            </w:r>
          </w:p>
        </w:tc>
        <w:tc>
          <w:tcPr>
            <w:tcW w:w="628" w:type="pct"/>
            <w:tcBorders>
              <w:bottom w:val="single" w:color="auto" w:sz="4" w:space="0"/>
            </w:tcBorders>
            <w:noWrap w:val="0"/>
            <w:vAlign w:val="center"/>
          </w:tcPr>
          <w:p w14:paraId="1A0562DF">
            <w:pPr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重点企业帮扶服务</w:t>
            </w:r>
          </w:p>
        </w:tc>
        <w:tc>
          <w:tcPr>
            <w:tcW w:w="3368" w:type="pct"/>
            <w:tcBorders>
              <w:bottom w:val="single" w:color="auto" w:sz="4" w:space="0"/>
            </w:tcBorders>
            <w:noWrap w:val="0"/>
            <w:vAlign w:val="center"/>
          </w:tcPr>
          <w:p w14:paraId="4E627F3F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对辖区企业进行重点帮扶，对辖区企业进行摸底排查，提供企业问题清单，包括生产状况、环保手续、自行监测、污染防治设施运行等，配合完成企业减排任务等。</w:t>
            </w:r>
          </w:p>
        </w:tc>
        <w:tc>
          <w:tcPr>
            <w:tcW w:w="657" w:type="pct"/>
            <w:tcBorders>
              <w:bottom w:val="single" w:color="auto" w:sz="4" w:space="0"/>
            </w:tcBorders>
            <w:noWrap w:val="0"/>
            <w:vAlign w:val="center"/>
          </w:tcPr>
          <w:p w14:paraId="7C5342EE">
            <w:pPr>
              <w:widowControl/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12个月</w:t>
            </w:r>
          </w:p>
        </w:tc>
      </w:tr>
    </w:tbl>
    <w:p w14:paraId="47B103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 w:bidi="ar-SA"/>
        </w:rPr>
        <w:t>三、服务期</w:t>
      </w:r>
    </w:p>
    <w:p w14:paraId="2046B0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自合同签订之日起一年</w:t>
      </w:r>
    </w:p>
    <w:p w14:paraId="6996FBC7">
      <w:pPr>
        <w:rPr>
          <w:rFonts w:hint="eastAsia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GYXIQ+Frutiger-Cn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F3680"/>
    <w:rsid w:val="022557E3"/>
    <w:rsid w:val="07BF18FD"/>
    <w:rsid w:val="09733BCD"/>
    <w:rsid w:val="0A751F3D"/>
    <w:rsid w:val="119242E3"/>
    <w:rsid w:val="129C0D42"/>
    <w:rsid w:val="170219D5"/>
    <w:rsid w:val="17E74F00"/>
    <w:rsid w:val="183D193B"/>
    <w:rsid w:val="18C33753"/>
    <w:rsid w:val="195E1C3C"/>
    <w:rsid w:val="1A2A3B3E"/>
    <w:rsid w:val="1EFD169A"/>
    <w:rsid w:val="22E10413"/>
    <w:rsid w:val="252C351F"/>
    <w:rsid w:val="296C0B43"/>
    <w:rsid w:val="2BAC1149"/>
    <w:rsid w:val="2E3D66A4"/>
    <w:rsid w:val="3E27534E"/>
    <w:rsid w:val="425E5826"/>
    <w:rsid w:val="44B91127"/>
    <w:rsid w:val="4E646531"/>
    <w:rsid w:val="4F7059EC"/>
    <w:rsid w:val="50BF7D4B"/>
    <w:rsid w:val="53A75A71"/>
    <w:rsid w:val="599B1161"/>
    <w:rsid w:val="5A515100"/>
    <w:rsid w:val="5DDF4B26"/>
    <w:rsid w:val="66E431C0"/>
    <w:rsid w:val="685D5026"/>
    <w:rsid w:val="6BA21785"/>
    <w:rsid w:val="71797846"/>
    <w:rsid w:val="72F23390"/>
    <w:rsid w:val="736900D2"/>
    <w:rsid w:val="7D76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30"/>
      <w:ind w:left="791" w:right="1168"/>
      <w:jc w:val="center"/>
      <w:outlineLvl w:val="0"/>
    </w:pPr>
    <w:rPr>
      <w:rFonts w:ascii="仿宋" w:hAnsi="仿宋" w:eastAsia="仿宋" w:cs="仿宋"/>
      <w:b/>
      <w:bCs/>
      <w:sz w:val="32"/>
      <w:szCs w:val="32"/>
    </w:rPr>
  </w:style>
  <w:style w:type="paragraph" w:styleId="4">
    <w:name w:val="heading 2"/>
    <w:basedOn w:val="1"/>
    <w:next w:val="1"/>
    <w:qFormat/>
    <w:uiPriority w:val="9"/>
    <w:pPr>
      <w:keepNext/>
      <w:keepLines/>
      <w:widowControl/>
      <w:spacing w:before="260" w:beforeLines="0" w:after="260" w:afterLines="0"/>
      <w:ind w:left="284"/>
      <w:jc w:val="left"/>
      <w:outlineLvl w:val="1"/>
    </w:pPr>
    <w:rPr>
      <w:rFonts w:ascii="Arial" w:hAnsi="Arial"/>
      <w:b/>
      <w:bCs/>
      <w:sz w:val="28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tabs>
        <w:tab w:val="left" w:pos="864"/>
      </w:tabs>
      <w:spacing w:before="120" w:line="360" w:lineRule="auto"/>
      <w:ind w:left="864" w:hanging="864"/>
      <w:outlineLvl w:val="3"/>
    </w:pPr>
    <w:rPr>
      <w:rFonts w:ascii="Arial" w:hAnsi="Arial"/>
      <w:bCs/>
      <w:kern w:val="2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tabs>
        <w:tab w:val="left" w:pos="1418"/>
        <w:tab w:val="right" w:leader="dot" w:pos="8302"/>
      </w:tabs>
      <w:spacing w:line="960" w:lineRule="auto"/>
    </w:pPr>
  </w:style>
  <w:style w:type="paragraph" w:styleId="6">
    <w:name w:val="Normal Indent"/>
    <w:basedOn w:val="1"/>
    <w:qFormat/>
    <w:uiPriority w:val="0"/>
    <w:pPr>
      <w:spacing w:line="300" w:lineRule="auto"/>
      <w:ind w:firstLine="420" w:firstLineChars="200"/>
    </w:pPr>
    <w:rPr>
      <w:rFonts w:ascii="Times New Roman"/>
      <w:kern w:val="2"/>
      <w:sz w:val="21"/>
      <w:szCs w:val="24"/>
    </w:rPr>
  </w:style>
  <w:style w:type="paragraph" w:styleId="7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</w:rPr>
  </w:style>
  <w:style w:type="paragraph" w:styleId="8">
    <w:name w:val="Body Text Indent"/>
    <w:basedOn w:val="1"/>
    <w:qFormat/>
    <w:uiPriority w:val="0"/>
    <w:pPr>
      <w:widowControl/>
      <w:ind w:firstLine="652" w:firstLineChars="233"/>
    </w:pPr>
    <w:rPr>
      <w:rFonts w:ascii="Times New Roman"/>
      <w:sz w:val="28"/>
    </w:rPr>
  </w:style>
  <w:style w:type="paragraph" w:styleId="9">
    <w:name w:val="Plain Text"/>
    <w:basedOn w:val="1"/>
    <w:next w:val="1"/>
    <w:qFormat/>
    <w:uiPriority w:val="0"/>
    <w:rPr>
      <w:rFonts w:hAnsi="Courier New"/>
      <w:kern w:val="2"/>
      <w:sz w:val="21"/>
    </w:rPr>
  </w:style>
  <w:style w:type="paragraph" w:styleId="10">
    <w:name w:val="footer"/>
    <w:basedOn w:val="1"/>
    <w:next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/>
      <w:kern w:val="2"/>
      <w:sz w:val="18"/>
      <w:szCs w:val="18"/>
    </w:rPr>
  </w:style>
  <w:style w:type="paragraph" w:styleId="11">
    <w:name w:val="Body Text First Indent 2"/>
    <w:basedOn w:val="8"/>
    <w:unhideWhenUsed/>
    <w:qFormat/>
    <w:uiPriority w:val="99"/>
    <w:pPr>
      <w:widowControl/>
      <w:ind w:firstLine="420"/>
      <w:jc w:val="left"/>
    </w:pPr>
    <w:rPr>
      <w:rFonts w:ascii="宋体" w:hAnsi="宋体" w:cs="宋体"/>
      <w:sz w:val="21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正文文本 31"/>
    <w:basedOn w:val="1"/>
    <w:qFormat/>
    <w:uiPriority w:val="0"/>
    <w:rPr>
      <w:sz w:val="16"/>
      <w:szCs w:val="16"/>
    </w:rPr>
  </w:style>
  <w:style w:type="character" w:customStyle="1" w:styleId="16">
    <w:name w:val="NormalCharacter"/>
    <w:qFormat/>
    <w:uiPriority w:val="0"/>
  </w:style>
  <w:style w:type="paragraph" w:customStyle="1" w:styleId="1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AGYXIQ+Frutiger-Cn" w:hAnsi="Times New Roman" w:eastAsia="AGYXIQ+Frutiger-Cn" w:cs="AGYXIQ+Frutiger-Cn"/>
      <w:color w:val="000000"/>
      <w:sz w:val="24"/>
      <w:szCs w:val="24"/>
      <w:lang w:val="en-US" w:eastAsia="zh-CN" w:bidi="ar-SA"/>
    </w:rPr>
  </w:style>
  <w:style w:type="paragraph" w:customStyle="1" w:styleId="19">
    <w:name w:val="列出段落1"/>
    <w:basedOn w:val="1"/>
    <w:qFormat/>
    <w:uiPriority w:val="0"/>
    <w:pPr>
      <w:ind w:firstLine="420" w:firstLineChars="200"/>
    </w:p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Calibri" w:hAnsi="Calibri"/>
      <w:kern w:val="2"/>
      <w:sz w:val="21"/>
      <w:szCs w:val="22"/>
    </w:rPr>
  </w:style>
  <w:style w:type="character" w:customStyle="1" w:styleId="21">
    <w:name w:val="15"/>
    <w:basedOn w:val="14"/>
    <w:qFormat/>
    <w:uiPriority w:val="0"/>
    <w:rPr>
      <w:rFonts w:hint="default" w:ascii="Times New Roman" w:hAnsi="Times New Roman" w:cs="Times New Roman"/>
    </w:rPr>
  </w:style>
  <w:style w:type="paragraph" w:customStyle="1" w:styleId="22">
    <w:name w:val="BodyText1I"/>
    <w:basedOn w:val="23"/>
    <w:qFormat/>
    <w:uiPriority w:val="0"/>
    <w:pPr>
      <w:ind w:firstLine="420" w:firstLineChars="100"/>
    </w:pPr>
    <w:rPr>
      <w:rFonts w:ascii="宋体"/>
    </w:rPr>
  </w:style>
  <w:style w:type="paragraph" w:customStyle="1" w:styleId="23">
    <w:name w:val="BodyText"/>
    <w:basedOn w:val="1"/>
    <w:qFormat/>
    <w:uiPriority w:val="0"/>
    <w:pPr>
      <w:spacing w:after="120"/>
    </w:pPr>
    <w:rPr>
      <w:rFonts w:ascii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583</Words>
  <Characters>601</Characters>
  <Lines>0</Lines>
  <Paragraphs>0</Paragraphs>
  <TotalTime>0</TotalTime>
  <ScaleCrop>false</ScaleCrop>
  <LinksUpToDate>false</LinksUpToDate>
  <CharactersWithSpaces>602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2025-03-06T04:05:00Z</dcterms:created>
  <dc:creator>李江</dc:creator>
  <cp:lastModifiedBy>年少时代</cp:lastModifiedBy>
  <dcterms:modified xsi:type="dcterms:W3CDTF">2026-01-06T02:10:42Z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eyJoZGlkIjoiYzVkZjAwMTI1ODYzNjhmOTg0YjRhNjIwM2FkNTNlZjMiLCJ1c2VySWQiOiI3MDczMjM0OTYifQ==</vt:lpwstr>
  </property>
  <property fmtid="{D5CDD505-2E9C-101B-9397-08002B2CF9AE}" pid="4" name="ICV">
    <vt:lpwstr>FE5C44C39B7E49F5B6928CA06E070AC7_12</vt:lpwstr>
  </property>
</Properties>
</file>