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D83E9">
      <w:pPr>
        <w:snapToGrid w:val="0"/>
        <w:jc w:val="center"/>
        <w:rPr>
          <w:rFonts w:hint="eastAsia" w:ascii="宋体" w:hAnsi="宋体" w:eastAsia="宋体" w:cs="宋体"/>
          <w:b/>
          <w:color w:val="auto"/>
          <w:sz w:val="48"/>
          <w:szCs w:val="48"/>
          <w:highlight w:val="none"/>
        </w:rPr>
      </w:pPr>
    </w:p>
    <w:p w14:paraId="07BBDBFA">
      <w:pPr>
        <w:rPr>
          <w:rFonts w:hint="default" w:ascii="仿宋" w:hAnsi="仿宋" w:eastAsia="仿宋" w:cs="仿宋"/>
          <w:b/>
          <w:sz w:val="30"/>
          <w:szCs w:val="30"/>
          <w:highlight w:val="none"/>
          <w:lang w:val="en-US" w:eastAsia="zh-CN"/>
        </w:rPr>
      </w:pPr>
      <w:r>
        <w:rPr>
          <w:rFonts w:hint="eastAsia" w:ascii="仿宋" w:hAnsi="仿宋" w:eastAsia="仿宋" w:cs="仿宋"/>
          <w:b/>
          <w:sz w:val="30"/>
          <w:szCs w:val="30"/>
          <w:highlight w:val="none"/>
        </w:rPr>
        <w:t>采购项目编号：</w:t>
      </w:r>
      <w:r>
        <w:rPr>
          <w:rFonts w:hint="eastAsia" w:ascii="仿宋" w:hAnsi="仿宋" w:eastAsia="仿宋" w:cs="仿宋"/>
          <w:b/>
          <w:color w:val="auto"/>
          <w:sz w:val="30"/>
          <w:szCs w:val="30"/>
          <w:highlight w:val="none"/>
          <w:lang w:val="en-US" w:eastAsia="zh-CN"/>
        </w:rPr>
        <w:t>SXQFY-2025-YL034.1B1</w:t>
      </w:r>
    </w:p>
    <w:p w14:paraId="7112B0DF">
      <w:pPr>
        <w:spacing w:line="700" w:lineRule="exact"/>
        <w:rPr>
          <w:rFonts w:hint="eastAsia" w:ascii="仿宋" w:hAnsi="仿宋" w:eastAsia="仿宋" w:cs="仿宋"/>
          <w:b/>
          <w:bCs/>
          <w:sz w:val="10"/>
          <w:szCs w:val="10"/>
          <w:highlight w:val="none"/>
        </w:rPr>
      </w:pPr>
    </w:p>
    <w:p w14:paraId="0397A3D6">
      <w:pPr>
        <w:pStyle w:val="10"/>
        <w:rPr>
          <w:rFonts w:hint="eastAsia" w:ascii="仿宋" w:hAnsi="仿宋" w:eastAsia="仿宋" w:cs="仿宋"/>
          <w:highlight w:val="none"/>
        </w:rPr>
      </w:pPr>
    </w:p>
    <w:p w14:paraId="2C60B82E">
      <w:pPr>
        <w:rPr>
          <w:rFonts w:hint="eastAsia" w:ascii="仿宋" w:hAnsi="仿宋" w:eastAsia="仿宋" w:cs="仿宋"/>
          <w:highlight w:val="none"/>
        </w:rPr>
      </w:pPr>
    </w:p>
    <w:p w14:paraId="40560AE4">
      <w:pPr>
        <w:pStyle w:val="24"/>
        <w:rPr>
          <w:rFonts w:hint="eastAsia" w:ascii="仿宋" w:hAnsi="仿宋" w:eastAsia="仿宋" w:cs="仿宋"/>
          <w:highlight w:val="none"/>
        </w:rPr>
      </w:pPr>
    </w:p>
    <w:p w14:paraId="0DB0A1EB">
      <w:pPr>
        <w:rPr>
          <w:rFonts w:hint="eastAsia" w:ascii="仿宋" w:hAnsi="仿宋" w:eastAsia="仿宋" w:cs="仿宋"/>
          <w:highlight w:val="none"/>
        </w:rPr>
      </w:pPr>
    </w:p>
    <w:p w14:paraId="66F259BD">
      <w:pPr>
        <w:jc w:val="center"/>
        <w:rPr>
          <w:rFonts w:hint="eastAsia" w:ascii="仿宋" w:hAnsi="仿宋" w:eastAsia="仿宋" w:cs="仿宋"/>
          <w:b/>
          <w:sz w:val="44"/>
          <w:szCs w:val="44"/>
          <w:highlight w:val="none"/>
          <w:lang w:val="en-US" w:eastAsia="zh-CN"/>
        </w:rPr>
      </w:pPr>
      <w:r>
        <w:rPr>
          <w:rFonts w:hint="eastAsia" w:ascii="仿宋" w:hAnsi="仿宋" w:eastAsia="仿宋" w:cs="仿宋"/>
          <w:b/>
          <w:sz w:val="44"/>
          <w:szCs w:val="44"/>
          <w:highlight w:val="none"/>
          <w:lang w:val="en-US" w:eastAsia="zh-CN"/>
        </w:rPr>
        <w:t>2026年度榆佳经济技术开发区两厂(场)</w:t>
      </w:r>
    </w:p>
    <w:p w14:paraId="5B780C18">
      <w:pPr>
        <w:jc w:val="center"/>
        <w:rPr>
          <w:rFonts w:hint="eastAsia" w:ascii="仿宋" w:hAnsi="仿宋" w:eastAsia="仿宋" w:cs="仿宋"/>
          <w:b/>
          <w:sz w:val="44"/>
          <w:szCs w:val="44"/>
          <w:highlight w:val="none"/>
          <w:lang w:val="en-US" w:eastAsia="zh-CN"/>
        </w:rPr>
      </w:pPr>
      <w:r>
        <w:rPr>
          <w:rFonts w:hint="eastAsia" w:ascii="仿宋" w:hAnsi="仿宋" w:eastAsia="仿宋" w:cs="仿宋"/>
          <w:b/>
          <w:sz w:val="44"/>
          <w:szCs w:val="44"/>
          <w:highlight w:val="none"/>
          <w:lang w:val="en-US" w:eastAsia="zh-CN"/>
        </w:rPr>
        <w:t>运营管理服务项目（二次）</w:t>
      </w:r>
    </w:p>
    <w:p w14:paraId="70EF59FE">
      <w:pPr>
        <w:keepNext/>
        <w:keepLines/>
        <w:widowControl w:val="0"/>
        <w:numPr>
          <w:ilvl w:val="1"/>
          <w:numId w:val="0"/>
        </w:numPr>
        <w:spacing w:before="260" w:after="260"/>
        <w:ind w:firstLine="0" w:firstLineChars="0"/>
        <w:jc w:val="both"/>
        <w:outlineLvl w:val="9"/>
        <w:rPr>
          <w:rFonts w:hint="eastAsia" w:ascii="仿宋" w:hAnsi="仿宋" w:eastAsia="仿宋" w:cs="仿宋"/>
          <w:b/>
          <w:bCs/>
          <w:kern w:val="2"/>
          <w:sz w:val="32"/>
          <w:szCs w:val="32"/>
          <w:highlight w:val="none"/>
          <w:lang w:val="en-US" w:eastAsia="zh-CN" w:bidi="ar-SA"/>
        </w:rPr>
      </w:pPr>
    </w:p>
    <w:p w14:paraId="6E2FBB0A">
      <w:pPr>
        <w:rPr>
          <w:rFonts w:hint="eastAsia" w:ascii="仿宋" w:hAnsi="仿宋" w:eastAsia="仿宋" w:cs="仿宋"/>
          <w:highlight w:val="none"/>
        </w:rPr>
      </w:pPr>
    </w:p>
    <w:p w14:paraId="4CCA3278">
      <w:pPr>
        <w:pStyle w:val="24"/>
        <w:rPr>
          <w:rFonts w:hint="eastAsia" w:ascii="仿宋" w:hAnsi="仿宋" w:eastAsia="仿宋" w:cs="仿宋"/>
          <w:highlight w:val="none"/>
        </w:rPr>
      </w:pPr>
    </w:p>
    <w:p w14:paraId="4F471723">
      <w:pPr>
        <w:spacing w:line="360" w:lineRule="auto"/>
        <w:jc w:val="center"/>
        <w:rPr>
          <w:rFonts w:hint="eastAsia" w:ascii="仿宋" w:hAnsi="仿宋" w:eastAsia="仿宋" w:cs="仿宋"/>
          <w:b/>
          <w:bCs/>
          <w:sz w:val="96"/>
          <w:szCs w:val="96"/>
          <w:highlight w:val="none"/>
        </w:rPr>
      </w:pPr>
      <w:r>
        <w:rPr>
          <w:rFonts w:hint="eastAsia" w:ascii="仿宋" w:hAnsi="仿宋" w:eastAsia="仿宋" w:cs="仿宋"/>
          <w:b/>
          <w:bCs/>
          <w:sz w:val="96"/>
          <w:szCs w:val="96"/>
          <w:highlight w:val="none"/>
        </w:rPr>
        <w:t>招标文件</w:t>
      </w:r>
    </w:p>
    <w:p w14:paraId="596F80BE">
      <w:pPr>
        <w:spacing w:line="360" w:lineRule="auto"/>
        <w:rPr>
          <w:rFonts w:hint="eastAsia" w:ascii="仿宋" w:hAnsi="仿宋" w:eastAsia="仿宋" w:cs="仿宋"/>
          <w:b/>
          <w:sz w:val="11"/>
          <w:szCs w:val="11"/>
          <w:highlight w:val="none"/>
        </w:rPr>
      </w:pPr>
    </w:p>
    <w:p w14:paraId="13D30258">
      <w:pPr>
        <w:spacing w:line="360" w:lineRule="auto"/>
        <w:rPr>
          <w:rFonts w:hint="eastAsia" w:ascii="仿宋" w:hAnsi="仿宋" w:eastAsia="仿宋" w:cs="仿宋"/>
          <w:b/>
          <w:sz w:val="11"/>
          <w:szCs w:val="11"/>
          <w:highlight w:val="none"/>
        </w:rPr>
      </w:pPr>
    </w:p>
    <w:p w14:paraId="34C8576D">
      <w:pPr>
        <w:spacing w:line="360" w:lineRule="auto"/>
        <w:rPr>
          <w:rFonts w:hint="eastAsia" w:ascii="仿宋" w:hAnsi="仿宋" w:eastAsia="仿宋" w:cs="仿宋"/>
          <w:b/>
          <w:sz w:val="11"/>
          <w:szCs w:val="11"/>
          <w:highlight w:val="none"/>
        </w:rPr>
      </w:pPr>
    </w:p>
    <w:p w14:paraId="4BE43EB4">
      <w:pPr>
        <w:spacing w:line="360" w:lineRule="auto"/>
        <w:rPr>
          <w:rFonts w:hint="eastAsia" w:ascii="仿宋" w:hAnsi="仿宋" w:eastAsia="仿宋" w:cs="仿宋"/>
          <w:b/>
          <w:sz w:val="11"/>
          <w:szCs w:val="11"/>
          <w:highlight w:val="none"/>
        </w:rPr>
      </w:pPr>
    </w:p>
    <w:p w14:paraId="370BC309">
      <w:pPr>
        <w:pStyle w:val="10"/>
        <w:rPr>
          <w:rFonts w:hint="eastAsia" w:ascii="仿宋" w:hAnsi="仿宋" w:eastAsia="仿宋" w:cs="仿宋"/>
          <w:b w:val="0"/>
          <w:sz w:val="11"/>
          <w:szCs w:val="11"/>
          <w:highlight w:val="none"/>
        </w:rPr>
      </w:pPr>
    </w:p>
    <w:p w14:paraId="22002A84">
      <w:pPr>
        <w:rPr>
          <w:rFonts w:hint="eastAsia" w:ascii="仿宋" w:hAnsi="仿宋" w:eastAsia="仿宋" w:cs="仿宋"/>
          <w:b/>
          <w:sz w:val="11"/>
          <w:szCs w:val="11"/>
          <w:highlight w:val="none"/>
        </w:rPr>
      </w:pPr>
    </w:p>
    <w:p w14:paraId="7EF731F3">
      <w:pPr>
        <w:pStyle w:val="10"/>
        <w:rPr>
          <w:rFonts w:hint="eastAsia" w:ascii="仿宋" w:hAnsi="仿宋" w:eastAsia="仿宋" w:cs="仿宋"/>
          <w:b w:val="0"/>
          <w:sz w:val="11"/>
          <w:szCs w:val="11"/>
          <w:highlight w:val="none"/>
        </w:rPr>
      </w:pPr>
    </w:p>
    <w:p w14:paraId="62055507">
      <w:pPr>
        <w:rPr>
          <w:rFonts w:hint="eastAsia" w:ascii="仿宋" w:hAnsi="仿宋" w:eastAsia="仿宋" w:cs="仿宋"/>
          <w:b/>
          <w:sz w:val="11"/>
          <w:szCs w:val="11"/>
          <w:highlight w:val="none"/>
        </w:rPr>
      </w:pPr>
    </w:p>
    <w:p w14:paraId="17C09238">
      <w:pPr>
        <w:pStyle w:val="10"/>
        <w:rPr>
          <w:rFonts w:hint="eastAsia" w:ascii="仿宋" w:hAnsi="仿宋" w:eastAsia="仿宋" w:cs="仿宋"/>
          <w:b w:val="0"/>
          <w:sz w:val="11"/>
          <w:szCs w:val="11"/>
          <w:highlight w:val="none"/>
        </w:rPr>
      </w:pPr>
    </w:p>
    <w:p w14:paraId="35059FF2">
      <w:pPr>
        <w:rPr>
          <w:rFonts w:hint="eastAsia" w:ascii="仿宋" w:hAnsi="仿宋" w:eastAsia="仿宋" w:cs="仿宋"/>
          <w:b/>
          <w:sz w:val="11"/>
          <w:szCs w:val="11"/>
          <w:highlight w:val="none"/>
        </w:rPr>
      </w:pPr>
    </w:p>
    <w:p w14:paraId="6EAED6F7">
      <w:pPr>
        <w:pStyle w:val="12"/>
        <w:rPr>
          <w:rFonts w:hint="eastAsia" w:ascii="仿宋" w:hAnsi="仿宋" w:eastAsia="仿宋" w:cs="仿宋"/>
          <w:highlight w:val="none"/>
        </w:rPr>
      </w:pPr>
    </w:p>
    <w:p w14:paraId="2079E458">
      <w:pPr>
        <w:rPr>
          <w:rFonts w:hint="eastAsia" w:ascii="仿宋" w:hAnsi="仿宋" w:eastAsia="仿宋" w:cs="仿宋"/>
          <w:highlight w:val="none"/>
        </w:rPr>
      </w:pPr>
    </w:p>
    <w:p w14:paraId="35B7E997">
      <w:pPr>
        <w:spacing w:line="360" w:lineRule="auto"/>
        <w:rPr>
          <w:rFonts w:hint="eastAsia" w:ascii="仿宋" w:hAnsi="仿宋" w:eastAsia="仿宋" w:cs="仿宋"/>
          <w:b/>
          <w:sz w:val="16"/>
          <w:szCs w:val="16"/>
          <w:highlight w:val="none"/>
        </w:rPr>
      </w:pPr>
    </w:p>
    <w:p w14:paraId="2E69FFA7">
      <w:pPr>
        <w:spacing w:line="600" w:lineRule="auto"/>
        <w:jc w:val="center"/>
        <w:rPr>
          <w:rFonts w:hint="eastAsia" w:ascii="仿宋" w:hAnsi="仿宋" w:eastAsia="仿宋" w:cs="仿宋"/>
          <w:b/>
          <w:sz w:val="32"/>
          <w:szCs w:val="32"/>
          <w:highlight w:val="none"/>
          <w:lang w:val="en-US" w:eastAsia="zh-CN"/>
        </w:rPr>
      </w:pPr>
      <w:r>
        <w:rPr>
          <w:rFonts w:hint="eastAsia" w:ascii="仿宋" w:hAnsi="仿宋" w:eastAsia="仿宋" w:cs="仿宋"/>
          <w:b/>
          <w:sz w:val="32"/>
          <w:szCs w:val="32"/>
          <w:highlight w:val="none"/>
        </w:rPr>
        <w:t>采购人：</w:t>
      </w:r>
      <w:r>
        <w:rPr>
          <w:rFonts w:hint="eastAsia" w:ascii="仿宋" w:hAnsi="仿宋" w:eastAsia="仿宋" w:cs="仿宋"/>
          <w:b/>
          <w:sz w:val="32"/>
          <w:szCs w:val="32"/>
          <w:highlight w:val="none"/>
          <w:lang w:val="en-US" w:eastAsia="zh-CN"/>
        </w:rPr>
        <w:t>榆佳经济技术开发区管理委员会</w:t>
      </w:r>
    </w:p>
    <w:p w14:paraId="5092E885">
      <w:pPr>
        <w:spacing w:line="600" w:lineRule="auto"/>
        <w:jc w:val="center"/>
        <w:rPr>
          <w:rFonts w:hint="eastAsia" w:ascii="仿宋" w:hAnsi="仿宋" w:eastAsia="仿宋" w:cs="仿宋"/>
          <w:b/>
          <w:sz w:val="32"/>
          <w:szCs w:val="32"/>
          <w:highlight w:val="none"/>
          <w:lang w:eastAsia="zh-CN"/>
        </w:rPr>
      </w:pPr>
      <w:r>
        <w:rPr>
          <w:rFonts w:hint="eastAsia" w:ascii="仿宋" w:hAnsi="仿宋" w:eastAsia="仿宋" w:cs="仿宋"/>
          <w:b/>
          <w:sz w:val="32"/>
          <w:szCs w:val="32"/>
          <w:highlight w:val="none"/>
        </w:rPr>
        <w:t>采购代理机构：</w:t>
      </w:r>
      <w:r>
        <w:rPr>
          <w:rFonts w:hint="eastAsia" w:ascii="仿宋" w:hAnsi="仿宋" w:eastAsia="仿宋" w:cs="仿宋"/>
          <w:b/>
          <w:sz w:val="32"/>
          <w:szCs w:val="32"/>
          <w:highlight w:val="none"/>
          <w:lang w:eastAsia="zh-CN"/>
        </w:rPr>
        <w:t>陕西秦丰源项目管理有限公司</w:t>
      </w:r>
    </w:p>
    <w:p w14:paraId="6FEB4C71">
      <w:pPr>
        <w:spacing w:line="600" w:lineRule="auto"/>
        <w:jc w:val="center"/>
        <w:rPr>
          <w:rFonts w:hint="eastAsia" w:ascii="仿宋" w:hAnsi="仿宋" w:eastAsia="仿宋" w:cs="仿宋"/>
          <w:b/>
          <w:sz w:val="28"/>
          <w:highlight w:val="none"/>
        </w:rPr>
        <w:sectPr>
          <w:headerReference r:id="rId4" w:type="first"/>
          <w:headerReference r:id="rId3" w:type="default"/>
          <w:footerReference r:id="rId5" w:type="default"/>
          <w:footerReference r:id="rId6" w:type="even"/>
          <w:footnotePr>
            <w:pos w:val="beneathText"/>
          </w:footnotePr>
          <w:pgSz w:w="11906" w:h="16838"/>
          <w:pgMar w:top="1440" w:right="1423" w:bottom="1219" w:left="1644" w:header="851" w:footer="992" w:gutter="0"/>
          <w:pgNumType w:fmt="decimal"/>
          <w:cols w:space="720" w:num="1"/>
          <w:titlePg/>
          <w:docGrid w:linePitch="312" w:charSpace="92"/>
        </w:sectPr>
      </w:pPr>
      <w:r>
        <w:rPr>
          <w:rFonts w:hint="eastAsia" w:ascii="仿宋" w:hAnsi="仿宋" w:eastAsia="仿宋" w:cs="仿宋"/>
          <w:b/>
          <w:sz w:val="32"/>
          <w:szCs w:val="32"/>
          <w:highlight w:val="none"/>
        </w:rPr>
        <w:t>二零二</w:t>
      </w:r>
      <w:r>
        <w:rPr>
          <w:rFonts w:hint="eastAsia" w:ascii="仿宋" w:hAnsi="仿宋" w:eastAsia="仿宋" w:cs="仿宋"/>
          <w:b/>
          <w:sz w:val="32"/>
          <w:szCs w:val="32"/>
          <w:highlight w:val="none"/>
          <w:lang w:val="en-US" w:eastAsia="zh-CN"/>
        </w:rPr>
        <w:t>五</w:t>
      </w:r>
      <w:r>
        <w:rPr>
          <w:rFonts w:hint="eastAsia" w:ascii="仿宋" w:hAnsi="仿宋" w:eastAsia="仿宋" w:cs="仿宋"/>
          <w:b/>
          <w:sz w:val="32"/>
          <w:szCs w:val="32"/>
          <w:highlight w:val="none"/>
        </w:rPr>
        <w:t>年</w:t>
      </w:r>
      <w:r>
        <w:rPr>
          <w:rFonts w:hint="eastAsia" w:ascii="仿宋" w:hAnsi="仿宋" w:eastAsia="仿宋" w:cs="仿宋"/>
          <w:b/>
          <w:sz w:val="32"/>
          <w:szCs w:val="32"/>
          <w:highlight w:val="none"/>
          <w:u w:val="none"/>
          <w:lang w:val="en-US" w:eastAsia="zh-CN"/>
        </w:rPr>
        <w:t>十二</w:t>
      </w:r>
      <w:r>
        <w:rPr>
          <w:rFonts w:hint="eastAsia" w:ascii="仿宋" w:hAnsi="仿宋" w:eastAsia="仿宋" w:cs="仿宋"/>
          <w:b/>
          <w:sz w:val="32"/>
          <w:szCs w:val="32"/>
          <w:highlight w:val="none"/>
        </w:rPr>
        <w:t>月</w:t>
      </w:r>
    </w:p>
    <w:p w14:paraId="4A685572">
      <w:pPr>
        <w:snapToGrid w:val="0"/>
        <w:jc w:val="center"/>
        <w:rPr>
          <w:color w:val="auto"/>
          <w:highlight w:val="none"/>
        </w:rPr>
      </w:pPr>
    </w:p>
    <w:p w14:paraId="61C195B8">
      <w:pPr>
        <w:snapToGrid w:val="0"/>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36AF89F6">
      <w:pPr>
        <w:rPr>
          <w:rFonts w:hint="eastAsia"/>
          <w:color w:val="auto"/>
          <w:highlight w:val="none"/>
        </w:rPr>
      </w:pPr>
    </w:p>
    <w:p w14:paraId="44CCCF67">
      <w:pPr>
        <w:numPr>
          <w:ilvl w:val="0"/>
          <w:numId w:val="3"/>
        </w:numPr>
        <w:spacing w:line="600" w:lineRule="auto"/>
        <w:ind w:left="580" w:leftChars="0" w:firstLine="470" w:firstLineChars="0"/>
        <w:rPr>
          <w:rFonts w:hint="eastAsia" w:ascii="宋体" w:hAnsi="宋体" w:eastAsia="宋体" w:cs="宋体"/>
          <w:color w:val="auto"/>
          <w:kern w:val="1"/>
          <w:sz w:val="24"/>
          <w:highlight w:val="none"/>
        </w:rPr>
      </w:pPr>
      <w:bookmarkStart w:id="0" w:name="_Toc498326351"/>
      <w:bookmarkStart w:id="1" w:name="_Toc245657539"/>
      <w:bookmarkStart w:id="2" w:name="_Toc167591478"/>
      <w:bookmarkStart w:id="3" w:name="_Toc167591130"/>
      <w:bookmarkStart w:id="4" w:name="_Toc169838518"/>
      <w:bookmarkStart w:id="5" w:name="_Toc173549964"/>
      <w:bookmarkStart w:id="6" w:name="_Toc175033578"/>
      <w:bookmarkStart w:id="7" w:name="_Toc245176651"/>
      <w:bookmarkStart w:id="8" w:name="_Toc167591316"/>
      <w:bookmarkStart w:id="9" w:name="_Toc207897902"/>
      <w:bookmarkStart w:id="10" w:name="_Toc170980440"/>
      <w:bookmarkStart w:id="11" w:name="_Toc167590761"/>
      <w:bookmarkStart w:id="12" w:name="_Toc244623577"/>
      <w:bookmarkStart w:id="13" w:name="_Toc154482465"/>
      <w:bookmarkStart w:id="14" w:name="_Toc245658520"/>
      <w:bookmarkStart w:id="15" w:name="_Toc175032423"/>
      <w:bookmarkStart w:id="16" w:name="_Toc167591029"/>
      <w:bookmarkStart w:id="17" w:name="_Toc170980538"/>
      <w:bookmarkStart w:id="18" w:name="_Toc169846859"/>
      <w:bookmarkStart w:id="19" w:name="_Toc169846762"/>
      <w:bookmarkStart w:id="20" w:name="_Toc167849346"/>
      <w:bookmarkStart w:id="21" w:name="_Toc208337150"/>
      <w:bookmarkStart w:id="22" w:name="_Toc201650492"/>
      <w:bookmarkStart w:id="23" w:name="_Toc260242592"/>
      <w:r>
        <w:rPr>
          <w:rFonts w:hint="eastAsia" w:ascii="宋体" w:hAnsi="宋体" w:eastAsia="宋体" w:cs="宋体"/>
          <w:color w:val="auto"/>
          <w:kern w:val="1"/>
          <w:sz w:val="24"/>
          <w:highlight w:val="none"/>
        </w:rPr>
        <w:t xml:space="preserve"> 招标公告</w:t>
      </w:r>
    </w:p>
    <w:p w14:paraId="0D84BE75">
      <w:pPr>
        <w:numPr>
          <w:ilvl w:val="0"/>
          <w:numId w:val="3"/>
        </w:numPr>
        <w:spacing w:line="600" w:lineRule="auto"/>
        <w:ind w:left="580" w:leftChars="0" w:firstLine="470" w:firstLineChars="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 xml:space="preserve"> 投标须知前附表</w:t>
      </w:r>
    </w:p>
    <w:p w14:paraId="4C497817">
      <w:pPr>
        <w:numPr>
          <w:ilvl w:val="0"/>
          <w:numId w:val="3"/>
        </w:numPr>
        <w:spacing w:line="600" w:lineRule="auto"/>
        <w:ind w:left="580" w:leftChars="0" w:firstLine="470" w:firstLineChars="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 xml:space="preserve"> 投标须知</w:t>
      </w:r>
    </w:p>
    <w:p w14:paraId="64EED223">
      <w:pPr>
        <w:numPr>
          <w:ilvl w:val="0"/>
          <w:numId w:val="3"/>
        </w:numPr>
        <w:spacing w:line="600" w:lineRule="auto"/>
        <w:ind w:left="580" w:leftChars="0" w:firstLine="470" w:firstLineChars="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 xml:space="preserve"> </w:t>
      </w:r>
      <w:r>
        <w:rPr>
          <w:rFonts w:hint="eastAsia" w:ascii="宋体" w:hAnsi="宋体" w:eastAsia="宋体" w:cs="宋体"/>
          <w:color w:val="auto"/>
          <w:kern w:val="1"/>
          <w:sz w:val="24"/>
          <w:highlight w:val="none"/>
          <w:lang w:val="en-US" w:eastAsia="zh-CN"/>
        </w:rPr>
        <w:t>采购内容及技术要</w:t>
      </w:r>
    </w:p>
    <w:p w14:paraId="4E7493F9">
      <w:pPr>
        <w:numPr>
          <w:ilvl w:val="0"/>
          <w:numId w:val="3"/>
        </w:numPr>
        <w:spacing w:line="600" w:lineRule="auto"/>
        <w:ind w:left="580" w:leftChars="0" w:firstLine="470" w:firstLineChars="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val="en-US" w:eastAsia="zh-CN"/>
        </w:rPr>
        <w:t xml:space="preserve"> 商务条款</w:t>
      </w:r>
    </w:p>
    <w:p w14:paraId="7929464B">
      <w:pPr>
        <w:numPr>
          <w:ilvl w:val="0"/>
          <w:numId w:val="3"/>
        </w:numPr>
        <w:spacing w:line="600" w:lineRule="auto"/>
        <w:ind w:left="580" w:leftChars="0" w:firstLine="470" w:firstLineChars="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val="en-US" w:eastAsia="zh-CN"/>
        </w:rPr>
        <w:t xml:space="preserve"> 政府采购合同（参考格式）</w:t>
      </w:r>
      <w:r>
        <w:rPr>
          <w:rFonts w:hint="eastAsia" w:ascii="宋体" w:hAnsi="宋体" w:eastAsia="宋体" w:cs="宋体"/>
          <w:color w:val="auto"/>
          <w:kern w:val="1"/>
          <w:sz w:val="24"/>
          <w:highlight w:val="none"/>
        </w:rPr>
        <w:t xml:space="preserve"> </w:t>
      </w:r>
    </w:p>
    <w:p w14:paraId="5F26C7F7">
      <w:pPr>
        <w:numPr>
          <w:ilvl w:val="0"/>
          <w:numId w:val="3"/>
        </w:numPr>
        <w:spacing w:line="600" w:lineRule="auto"/>
        <w:ind w:left="580" w:leftChars="0" w:firstLine="470" w:firstLineChars="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 xml:space="preserve"> 投标文件基本格式</w:t>
      </w:r>
    </w:p>
    <w:p w14:paraId="46EE2C26">
      <w:pPr>
        <w:numPr>
          <w:ilvl w:val="0"/>
          <w:numId w:val="3"/>
        </w:numPr>
        <w:spacing w:line="600" w:lineRule="auto"/>
        <w:ind w:left="580" w:leftChars="0" w:firstLine="470" w:firstLineChars="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val="en-US" w:eastAsia="zh-CN"/>
        </w:rPr>
        <w:t xml:space="preserve"> 榆林市公共资源交易平台全流程电子化政府采购项目内容</w:t>
      </w:r>
    </w:p>
    <w:p w14:paraId="34CB91D8">
      <w:pPr>
        <w:snapToGrid w:val="0"/>
        <w:spacing w:before="312" w:beforeLines="100" w:after="156" w:afterLines="50" w:line="600" w:lineRule="auto"/>
        <w:jc w:val="center"/>
        <w:rPr>
          <w:rFonts w:hint="eastAsia" w:ascii="宋体" w:hAnsi="宋体" w:eastAsia="宋体" w:cs="宋体"/>
          <w:b/>
          <w:color w:val="auto"/>
          <w:sz w:val="32"/>
          <w:szCs w:val="32"/>
          <w:highlight w:val="none"/>
        </w:rPr>
        <w:sectPr>
          <w:headerReference r:id="rId7" w:type="default"/>
          <w:footerReference r:id="rId8" w:type="default"/>
          <w:pgSz w:w="11906" w:h="16838"/>
          <w:pgMar w:top="1304" w:right="1304" w:bottom="1304" w:left="130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3C6EBB9">
      <w:pPr>
        <w:snapToGrid w:val="0"/>
        <w:spacing w:before="312" w:beforeLines="100" w:after="156" w:afterLines="50" w:line="440" w:lineRule="exact"/>
        <w:jc w:val="center"/>
        <w:outlineLvl w:val="0"/>
        <w:rPr>
          <w:rFonts w:hint="eastAsia" w:ascii="宋体" w:hAnsi="宋体" w:eastAsia="宋体" w:cs="宋体"/>
          <w:b/>
          <w:color w:val="auto"/>
          <w:sz w:val="32"/>
          <w:szCs w:val="32"/>
          <w:highlight w:val="none"/>
        </w:rPr>
      </w:pPr>
      <w:bookmarkStart w:id="24" w:name="_Toc15683"/>
      <w:r>
        <w:rPr>
          <w:rFonts w:hint="eastAsia" w:ascii="宋体" w:hAnsi="宋体" w:eastAsia="宋体" w:cs="宋体"/>
          <w:b/>
          <w:color w:val="auto"/>
          <w:sz w:val="32"/>
          <w:szCs w:val="32"/>
          <w:highlight w:val="none"/>
        </w:rPr>
        <w:t>第一章  招标公告</w:t>
      </w:r>
      <w:bookmarkEnd w:id="24"/>
    </w:p>
    <w:p w14:paraId="04557CD0">
      <w:pPr>
        <w:pStyle w:val="100"/>
        <w:spacing w:line="480" w:lineRule="exact"/>
        <w:jc w:val="center"/>
        <w:rPr>
          <w:rFonts w:hint="eastAsia" w:ascii="宋体" w:hAnsi="宋体" w:eastAsia="宋体" w:cs="宋体"/>
          <w:sz w:val="24"/>
          <w:szCs w:val="24"/>
          <w:highlight w:val="none"/>
        </w:rPr>
      </w:pPr>
      <w:r>
        <w:rPr>
          <w:rFonts w:hint="eastAsia" w:ascii="宋体" w:hAnsi="宋体" w:eastAsia="宋体" w:cs="宋体"/>
          <w:b/>
          <w:sz w:val="24"/>
          <w:szCs w:val="24"/>
          <w:highlight w:val="none"/>
        </w:rPr>
        <w:t>2026年度榆佳经济技术开发区两厂(场)运营管理服务项目(二次)招标公告</w:t>
      </w:r>
    </w:p>
    <w:p w14:paraId="110394A9">
      <w:pPr>
        <w:pStyle w:val="100"/>
        <w:outlineLvl w:val="5"/>
        <w:rPr>
          <w:rFonts w:hint="eastAsia" w:ascii="宋体" w:hAnsi="宋体" w:eastAsia="宋体" w:cs="宋体"/>
          <w:sz w:val="24"/>
          <w:szCs w:val="24"/>
          <w:highlight w:val="none"/>
        </w:rPr>
      </w:pPr>
      <w:r>
        <w:rPr>
          <w:rFonts w:hint="eastAsia" w:ascii="宋体" w:hAnsi="宋体" w:eastAsia="宋体" w:cs="宋体"/>
          <w:b/>
          <w:sz w:val="24"/>
          <w:szCs w:val="24"/>
          <w:highlight w:val="none"/>
        </w:rPr>
        <w:t xml:space="preserve"> 项目概况</w:t>
      </w:r>
    </w:p>
    <w:p w14:paraId="5CA9F1A3">
      <w:pPr>
        <w:pStyle w:val="100"/>
        <w:rPr>
          <w:rFonts w:hint="eastAsia" w:ascii="宋体" w:hAnsi="宋体" w:eastAsia="宋体" w:cs="宋体"/>
          <w:sz w:val="24"/>
          <w:szCs w:val="24"/>
          <w:highlight w:val="none"/>
        </w:rPr>
      </w:pPr>
      <w:r>
        <w:rPr>
          <w:rFonts w:hint="eastAsia" w:ascii="宋体" w:hAnsi="宋体" w:eastAsia="宋体" w:cs="宋体"/>
          <w:sz w:val="24"/>
          <w:szCs w:val="24"/>
          <w:highlight w:val="none"/>
        </w:rPr>
        <w:t>2026年度榆佳经济技术开发区两厂(场)运营管理服务项目(二次)招标项目的潜在投标人应在全国公共资源交易中心平台(陕西省)使用CA锁报名后自行下载获取招标文件，并于 2026年01月15日 09时30分 （北京时间）前递交投标文件。</w:t>
      </w:r>
    </w:p>
    <w:p w14:paraId="52A9F7FA">
      <w:pPr>
        <w:pStyle w:val="100"/>
        <w:outlineLvl w:val="3"/>
        <w:rPr>
          <w:rFonts w:hint="eastAsia" w:ascii="宋体" w:hAnsi="宋体" w:eastAsia="宋体" w:cs="宋体"/>
          <w:sz w:val="24"/>
          <w:szCs w:val="24"/>
          <w:highlight w:val="none"/>
        </w:rPr>
      </w:pPr>
      <w:r>
        <w:rPr>
          <w:rFonts w:hint="eastAsia" w:ascii="宋体" w:hAnsi="宋体" w:eastAsia="宋体" w:cs="宋体"/>
          <w:b/>
          <w:sz w:val="24"/>
          <w:szCs w:val="24"/>
          <w:highlight w:val="none"/>
        </w:rPr>
        <w:t>一、项目基本情况</w:t>
      </w:r>
    </w:p>
    <w:p w14:paraId="1EE6C8A3">
      <w:pPr>
        <w:pStyle w:val="100"/>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lang w:eastAsia="zh-CN"/>
        </w:rPr>
        <w:t>SXQFY-2025-YL034.1B1</w:t>
      </w:r>
    </w:p>
    <w:p w14:paraId="0AEEE9EE">
      <w:pPr>
        <w:pStyle w:val="100"/>
        <w:rPr>
          <w:rFonts w:hint="eastAsia" w:ascii="宋体" w:hAnsi="宋体" w:eastAsia="宋体" w:cs="宋体"/>
          <w:sz w:val="24"/>
          <w:szCs w:val="24"/>
          <w:highlight w:val="none"/>
        </w:rPr>
      </w:pPr>
      <w:r>
        <w:rPr>
          <w:rFonts w:hint="eastAsia" w:ascii="宋体" w:hAnsi="宋体" w:eastAsia="宋体" w:cs="宋体"/>
          <w:sz w:val="24"/>
          <w:szCs w:val="24"/>
          <w:highlight w:val="none"/>
        </w:rPr>
        <w:t>项目名称：2026年度榆佳经济技术开发区两厂(场)运营管理服务项目(二次)</w:t>
      </w:r>
    </w:p>
    <w:p w14:paraId="722C123F">
      <w:pPr>
        <w:pStyle w:val="100"/>
        <w:rPr>
          <w:rFonts w:hint="eastAsia" w:ascii="宋体" w:hAnsi="宋体" w:eastAsia="宋体" w:cs="宋体"/>
          <w:sz w:val="24"/>
          <w:szCs w:val="24"/>
          <w:highlight w:val="none"/>
        </w:rPr>
      </w:pPr>
      <w:r>
        <w:rPr>
          <w:rFonts w:hint="eastAsia" w:ascii="宋体" w:hAnsi="宋体" w:eastAsia="宋体" w:cs="宋体"/>
          <w:sz w:val="24"/>
          <w:szCs w:val="24"/>
          <w:highlight w:val="none"/>
        </w:rPr>
        <w:t>采购方式：公开招标</w:t>
      </w:r>
    </w:p>
    <w:p w14:paraId="477EDE52">
      <w:pPr>
        <w:pStyle w:val="100"/>
        <w:rPr>
          <w:rFonts w:hint="eastAsia" w:ascii="宋体" w:hAnsi="宋体" w:eastAsia="宋体" w:cs="宋体"/>
          <w:sz w:val="24"/>
          <w:szCs w:val="24"/>
          <w:highlight w:val="none"/>
        </w:rPr>
      </w:pPr>
      <w:r>
        <w:rPr>
          <w:rFonts w:hint="eastAsia" w:ascii="宋体" w:hAnsi="宋体" w:eastAsia="宋体" w:cs="宋体"/>
          <w:sz w:val="24"/>
          <w:szCs w:val="24"/>
          <w:highlight w:val="none"/>
        </w:rPr>
        <w:t>预算金额：3,070,000.00元</w:t>
      </w:r>
    </w:p>
    <w:p w14:paraId="461E3495">
      <w:pPr>
        <w:pStyle w:val="100"/>
        <w:rPr>
          <w:rFonts w:hint="eastAsia" w:ascii="宋体" w:hAnsi="宋体" w:eastAsia="宋体" w:cs="宋体"/>
          <w:sz w:val="24"/>
          <w:szCs w:val="24"/>
          <w:highlight w:val="none"/>
        </w:rPr>
      </w:pPr>
      <w:r>
        <w:rPr>
          <w:rFonts w:hint="eastAsia" w:ascii="宋体" w:hAnsi="宋体" w:eastAsia="宋体" w:cs="宋体"/>
          <w:sz w:val="24"/>
          <w:szCs w:val="24"/>
          <w:highlight w:val="none"/>
        </w:rPr>
        <w:t>采购需求：</w:t>
      </w:r>
    </w:p>
    <w:p w14:paraId="51F9DC14">
      <w:pPr>
        <w:pStyle w:val="100"/>
        <w:rPr>
          <w:rFonts w:hint="eastAsia" w:ascii="宋体" w:hAnsi="宋体" w:eastAsia="宋体" w:cs="宋体"/>
          <w:sz w:val="24"/>
          <w:szCs w:val="24"/>
          <w:highlight w:val="none"/>
        </w:rPr>
      </w:pPr>
      <w:r>
        <w:rPr>
          <w:rFonts w:hint="eastAsia" w:ascii="宋体" w:hAnsi="宋体" w:eastAsia="宋体" w:cs="宋体"/>
          <w:sz w:val="24"/>
          <w:szCs w:val="24"/>
          <w:highlight w:val="none"/>
        </w:rPr>
        <w:t>合同包1(2026年度榆佳经济技术开发区两厂(场)运营管理服务项目):</w:t>
      </w:r>
    </w:p>
    <w:p w14:paraId="017F0307">
      <w:pPr>
        <w:pStyle w:val="100"/>
        <w:ind w:firstLine="630"/>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合同包预算金额：3,070,000.00元</w:t>
      </w:r>
    </w:p>
    <w:p w14:paraId="1AA2D135">
      <w:pPr>
        <w:pStyle w:val="100"/>
        <w:ind w:firstLine="63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合同包最高限价：3,070,000.00元</w:t>
      </w:r>
    </w:p>
    <w:tbl>
      <w:tblPr>
        <w:tblStyle w:val="2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6"/>
        <w:gridCol w:w="1250"/>
        <w:gridCol w:w="2550"/>
        <w:gridCol w:w="1067"/>
        <w:gridCol w:w="1417"/>
        <w:gridCol w:w="1402"/>
      </w:tblGrid>
      <w:tr w14:paraId="2B3F16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6" w:type="dxa"/>
          </w:tcPr>
          <w:p w14:paraId="041A9B6D">
            <w:pPr>
              <w:pStyle w:val="100"/>
              <w:keepNext w:val="0"/>
              <w:keepLines w:val="0"/>
              <w:widowControl/>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品目号</w:t>
            </w:r>
          </w:p>
        </w:tc>
        <w:tc>
          <w:tcPr>
            <w:tcW w:w="1250" w:type="dxa"/>
          </w:tcPr>
          <w:p w14:paraId="202CAEB7">
            <w:pPr>
              <w:pStyle w:val="100"/>
              <w:keepNext w:val="0"/>
              <w:keepLines w:val="0"/>
              <w:widowControl/>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品目名称</w:t>
            </w:r>
          </w:p>
        </w:tc>
        <w:tc>
          <w:tcPr>
            <w:tcW w:w="2550" w:type="dxa"/>
          </w:tcPr>
          <w:p w14:paraId="2577A211">
            <w:pPr>
              <w:pStyle w:val="100"/>
              <w:keepNext w:val="0"/>
              <w:keepLines w:val="0"/>
              <w:widowControl/>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采购标的</w:t>
            </w:r>
          </w:p>
        </w:tc>
        <w:tc>
          <w:tcPr>
            <w:tcW w:w="1067" w:type="dxa"/>
          </w:tcPr>
          <w:p w14:paraId="6538A540">
            <w:pPr>
              <w:pStyle w:val="100"/>
              <w:keepNext w:val="0"/>
              <w:keepLines w:val="0"/>
              <w:widowControl/>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数量（单位）</w:t>
            </w:r>
          </w:p>
        </w:tc>
        <w:tc>
          <w:tcPr>
            <w:tcW w:w="1417" w:type="dxa"/>
          </w:tcPr>
          <w:p w14:paraId="2BADEE58">
            <w:pPr>
              <w:pStyle w:val="100"/>
              <w:keepNext w:val="0"/>
              <w:keepLines w:val="0"/>
              <w:widowControl/>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技术规格、参数及要求</w:t>
            </w:r>
          </w:p>
        </w:tc>
        <w:tc>
          <w:tcPr>
            <w:tcW w:w="1402" w:type="dxa"/>
          </w:tcPr>
          <w:p w14:paraId="413B9553">
            <w:pPr>
              <w:pStyle w:val="100"/>
              <w:keepNext w:val="0"/>
              <w:keepLines w:val="0"/>
              <w:widowControl/>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品目预算(元)</w:t>
            </w:r>
          </w:p>
        </w:tc>
      </w:tr>
      <w:tr w14:paraId="11A502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6" w:type="dxa"/>
          </w:tcPr>
          <w:p w14:paraId="652A5C6C">
            <w:pPr>
              <w:pStyle w:val="100"/>
              <w:keepNext w:val="0"/>
              <w:keepLines w:val="0"/>
              <w:widowControl/>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1250" w:type="dxa"/>
          </w:tcPr>
          <w:p w14:paraId="57E43CD9">
            <w:pPr>
              <w:pStyle w:val="100"/>
              <w:keepNext w:val="0"/>
              <w:keepLines w:val="0"/>
              <w:widowControl/>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市政公用设施管理服务</w:t>
            </w:r>
          </w:p>
        </w:tc>
        <w:tc>
          <w:tcPr>
            <w:tcW w:w="2550" w:type="dxa"/>
          </w:tcPr>
          <w:p w14:paraId="4A03E220">
            <w:pPr>
              <w:pStyle w:val="100"/>
              <w:keepNext w:val="0"/>
              <w:keepLines w:val="0"/>
              <w:widowControl/>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2026年度榆佳经济技术开发区两厂(场)运营管理服务项目</w:t>
            </w:r>
          </w:p>
        </w:tc>
        <w:tc>
          <w:tcPr>
            <w:tcW w:w="1067" w:type="dxa"/>
          </w:tcPr>
          <w:p w14:paraId="04C8620A">
            <w:pPr>
              <w:pStyle w:val="100"/>
              <w:keepNext w:val="0"/>
              <w:keepLines w:val="0"/>
              <w:widowControl/>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1(项)</w:t>
            </w:r>
          </w:p>
        </w:tc>
        <w:tc>
          <w:tcPr>
            <w:tcW w:w="1417" w:type="dxa"/>
          </w:tcPr>
          <w:p w14:paraId="0BEC0D67">
            <w:pPr>
              <w:pStyle w:val="100"/>
              <w:keepNext w:val="0"/>
              <w:keepLines w:val="0"/>
              <w:widowControl/>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详见采购文件</w:t>
            </w:r>
          </w:p>
        </w:tc>
        <w:tc>
          <w:tcPr>
            <w:tcW w:w="1402" w:type="dxa"/>
          </w:tcPr>
          <w:p w14:paraId="34B6CF48">
            <w:pPr>
              <w:pStyle w:val="100"/>
              <w:keepNext w:val="0"/>
              <w:keepLines w:val="0"/>
              <w:widowControl/>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3,070,000.00</w:t>
            </w:r>
          </w:p>
        </w:tc>
      </w:tr>
    </w:tbl>
    <w:p w14:paraId="1522047F">
      <w:pPr>
        <w:pStyle w:val="1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本合同包不接受联合体投标</w:t>
      </w:r>
    </w:p>
    <w:p w14:paraId="7BE4D871">
      <w:pPr>
        <w:pStyle w:val="1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合同履行期限：合同履行期限一年，总服务期限两年（一年一签）。</w:t>
      </w:r>
    </w:p>
    <w:p w14:paraId="362BBE45">
      <w:pPr>
        <w:pStyle w:val="100"/>
        <w:outlineLvl w:val="3"/>
        <w:rPr>
          <w:rFonts w:hint="eastAsia" w:ascii="宋体" w:hAnsi="宋体" w:eastAsia="宋体" w:cs="宋体"/>
          <w:sz w:val="24"/>
          <w:szCs w:val="24"/>
          <w:highlight w:val="none"/>
        </w:rPr>
      </w:pPr>
      <w:r>
        <w:rPr>
          <w:rFonts w:hint="eastAsia" w:ascii="宋体" w:hAnsi="宋体" w:eastAsia="宋体" w:cs="宋体"/>
          <w:b/>
          <w:sz w:val="24"/>
          <w:szCs w:val="24"/>
          <w:highlight w:val="none"/>
        </w:rPr>
        <w:t>二、申请人的资格要求：</w:t>
      </w:r>
    </w:p>
    <w:p w14:paraId="3559CD36">
      <w:pPr>
        <w:pStyle w:val="100"/>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1.满足《中华人民共和国政府采购法》第二十二条规定;</w:t>
      </w:r>
    </w:p>
    <w:p w14:paraId="45589A20">
      <w:pPr>
        <w:pStyle w:val="100"/>
        <w:rPr>
          <w:rFonts w:hint="eastAsia" w:ascii="宋体" w:hAnsi="宋体" w:eastAsia="宋体" w:cs="宋体"/>
          <w:sz w:val="24"/>
          <w:szCs w:val="24"/>
          <w:highlight w:val="none"/>
        </w:rPr>
      </w:pPr>
      <w:r>
        <w:rPr>
          <w:rFonts w:hint="eastAsia" w:ascii="宋体" w:hAnsi="宋体" w:eastAsia="宋体" w:cs="宋体"/>
          <w:sz w:val="24"/>
          <w:szCs w:val="24"/>
          <w:highlight w:val="none"/>
        </w:rPr>
        <w:t>2.落实政府采购政策需满足的资格要求：</w:t>
      </w:r>
    </w:p>
    <w:p w14:paraId="659EDE33">
      <w:pPr>
        <w:pStyle w:val="100"/>
        <w:rPr>
          <w:rFonts w:hint="eastAsia" w:ascii="宋体" w:hAnsi="宋体" w:eastAsia="宋体" w:cs="宋体"/>
          <w:sz w:val="24"/>
          <w:szCs w:val="24"/>
          <w:highlight w:val="none"/>
        </w:rPr>
      </w:pPr>
      <w:r>
        <w:rPr>
          <w:rFonts w:hint="eastAsia" w:ascii="宋体" w:hAnsi="宋体" w:eastAsia="宋体" w:cs="宋体"/>
          <w:sz w:val="24"/>
          <w:szCs w:val="24"/>
          <w:highlight w:val="none"/>
        </w:rPr>
        <w:t>合同包1(2026年度榆佳经济技术开发区两厂(场)运营管理服务项目)落实政府采购政策需满足的资格要求如下:</w:t>
      </w:r>
    </w:p>
    <w:p w14:paraId="73C84BD8">
      <w:pPr>
        <w:pStyle w:val="100"/>
        <w:ind w:left="480"/>
        <w:rPr>
          <w:rFonts w:hint="eastAsia" w:ascii="宋体" w:hAnsi="宋体" w:eastAsia="宋体" w:cs="宋体"/>
          <w:sz w:val="24"/>
          <w:szCs w:val="24"/>
          <w:highlight w:val="none"/>
        </w:rPr>
      </w:pPr>
      <w:r>
        <w:rPr>
          <w:rFonts w:hint="eastAsia" w:ascii="宋体" w:hAnsi="宋体" w:eastAsia="宋体" w:cs="宋体"/>
          <w:sz w:val="24"/>
          <w:szCs w:val="24"/>
          <w:highlight w:val="none"/>
        </w:rPr>
        <w:t>（1）《节能产品政府采购实施意见》（财库〔2004〕185号）；（2）《环境标志产品政府采购实施的意见》（财库〔2006〕90号）；（3）《国务院办公厅关于建立政府强制采购节能产品制度的通知》（国办发〔2007〕51号）；（4）《榆林市财政局关于进一步加大政府采购支持中小企业力度的通知》陕财办采函〔2022〕10号；（5）《政府采购促进中小企业发展管理办法》（财库〔2020〕46号）；（6）根据《陕西省财政厅关于进一步加大政府采购支持中小企业力度的通知》（陕财办采〔2022〕5号）；（7）陕西省财政厅关于印发《陕西省中小企业政府采购信用融资办法》（陕财办采〔2018〕23号）相关政策、业务流程、办理平台（http://www.ccgp-shaanxi.gov.cn/zcdservice/zcd/shanxi/）；（8）财政部司法部关于政府采购支持监狱企业发展有关问题的通知（财库〔2014〕68号）；（9）《财政部民政部中国残疾人联合会关于促进残疾人就业政府采购政策的通知》（财库〔2017〕141号）；（10）《关于在政府采购活动中查询及使用信用记录有关问题的通知》（财库〔2016〕125号）；（11）其他需要落实的政府采购政策。</w:t>
      </w:r>
    </w:p>
    <w:p w14:paraId="1B602848">
      <w:pPr>
        <w:pStyle w:val="100"/>
        <w:rPr>
          <w:rFonts w:hint="eastAsia" w:ascii="宋体" w:hAnsi="宋体" w:eastAsia="宋体" w:cs="宋体"/>
          <w:sz w:val="24"/>
          <w:szCs w:val="24"/>
          <w:highlight w:val="none"/>
        </w:rPr>
      </w:pPr>
      <w:r>
        <w:rPr>
          <w:rFonts w:hint="eastAsia" w:ascii="宋体" w:hAnsi="宋体" w:eastAsia="宋体" w:cs="宋体"/>
          <w:sz w:val="24"/>
          <w:szCs w:val="24"/>
          <w:highlight w:val="none"/>
        </w:rPr>
        <w:t>3.本项目的特定资格要求：</w:t>
      </w:r>
    </w:p>
    <w:p w14:paraId="156568E7">
      <w:pPr>
        <w:pStyle w:val="100"/>
        <w:rPr>
          <w:rFonts w:hint="eastAsia" w:ascii="宋体" w:hAnsi="宋体" w:eastAsia="宋体" w:cs="宋体"/>
          <w:sz w:val="24"/>
          <w:szCs w:val="24"/>
          <w:highlight w:val="none"/>
        </w:rPr>
      </w:pPr>
      <w:r>
        <w:rPr>
          <w:rFonts w:hint="eastAsia" w:ascii="宋体" w:hAnsi="宋体" w:eastAsia="宋体" w:cs="宋体"/>
          <w:sz w:val="24"/>
          <w:szCs w:val="24"/>
          <w:highlight w:val="none"/>
        </w:rPr>
        <w:t>合同包1(2026年度榆佳经济技术开发区两厂(场)运营管理服务项目)特定资格要求如下:</w:t>
      </w:r>
    </w:p>
    <w:p w14:paraId="05BA4B6D">
      <w:pPr>
        <w:pStyle w:val="100"/>
        <w:ind w:left="480"/>
        <w:rPr>
          <w:rFonts w:hint="eastAsia" w:ascii="宋体" w:hAnsi="宋体" w:eastAsia="宋体" w:cs="宋体"/>
          <w:sz w:val="24"/>
          <w:szCs w:val="24"/>
          <w:highlight w:val="none"/>
        </w:rPr>
      </w:pPr>
      <w:r>
        <w:rPr>
          <w:rFonts w:hint="eastAsia" w:ascii="宋体" w:hAnsi="宋体" w:eastAsia="宋体" w:cs="宋体"/>
          <w:sz w:val="24"/>
          <w:szCs w:val="24"/>
          <w:highlight w:val="none"/>
        </w:rPr>
        <w:t>（1）投标人为具有独立承担民事责任能力的法人。企业法人应提供合法有效的标识有统一社会信用代码的营业执照；</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财务状况报告：提供完整的2024年度赋码财务审计报告，成立时间至提交投标文件截止时间不足一年的提供其基本账户开户银行出具的资信证明及基本账户开户许可证；（注：2022年后已在注册会计师行业统一监管平台（http://acc.mof.gov.cn/）报备的财务审计报告须可查询，并提供网页查询截图。）</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3）社会保障资金缴纳证明：提供2025年1月至投标截止时间止至少1个月的社会保障资金银行缴费单据或社保机构开具的社会保险参保缴费情况证明（五险一金任意一项即可），依法不需要缴纳社会保障资金的单位应提供相关证明材料（加盖公章的复印件）；</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税收缴纳证明：提供2025年1月至投标截止时间止至少1个月的纳税证明（银行缴费凭证）或完税证明（时间以税款所属日期为准、税种须包含增值税或企业所得税或营业税），依法免税的单位应提供相关证明材料；</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（5）参加政府采购活动前三年内，在经营活动中没有重大违法记录的书面声明；</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（6）提供具有履行合同所必需的设备和专业技术能力的证明资料或承诺书；</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7）对列入“信用中国”网站(www.creditchina.gov.cn)“记录失信被执行人、重大税收违法案件当事人名单、企业经营异常名录”记录名单；中国政府采购网(www.ccgp.gov.cn)“政府采购严重违法失信行为信息记录”的单位，应当拒绝参与政府采购活动（处罚期限届满的除外，如相关失信记录已失效，投标人需提供相关证明资料，附投标截止日前的查询结果但以投标截止日当天查询结果为准）。提供“信用中国”网站(www.creditchina.gov.cn)、中国政府采购网(www.ccgp.gov.cn)等网页截图加盖投标人公章（鲜章）为准；</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（8）本项目采用信用承诺书代替投标保证金，提供信用中国陕西榆林承诺网页截图（截图须体现合同包名称）；</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（9）提供《榆林市政府采购服务类项目供应商信用承诺书》；</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（10）本项目专门面向中小企业采购，投标人须填写《中小企业声明函》；</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（11）本项目不接受联合体投标，单位负责人为同一人或者存在直接控股、管理关系的不同投标人，不得参加同一合同项下的政府采购活动。（提供书面声明材料）</w:t>
      </w:r>
    </w:p>
    <w:p w14:paraId="7A7EE886">
      <w:pPr>
        <w:pStyle w:val="100"/>
        <w:outlineLvl w:val="3"/>
        <w:rPr>
          <w:rFonts w:hint="eastAsia" w:ascii="宋体" w:hAnsi="宋体" w:eastAsia="宋体" w:cs="宋体"/>
          <w:sz w:val="24"/>
          <w:szCs w:val="24"/>
          <w:highlight w:val="none"/>
        </w:rPr>
      </w:pPr>
      <w:r>
        <w:rPr>
          <w:rFonts w:hint="eastAsia" w:ascii="宋体" w:hAnsi="宋体" w:eastAsia="宋体" w:cs="宋体"/>
          <w:b/>
          <w:sz w:val="24"/>
          <w:szCs w:val="24"/>
          <w:highlight w:val="none"/>
        </w:rPr>
        <w:t>三、获取招标文件</w:t>
      </w:r>
    </w:p>
    <w:p w14:paraId="053CDE5B">
      <w:pPr>
        <w:pStyle w:val="100"/>
        <w:rPr>
          <w:rFonts w:hint="eastAsia" w:ascii="宋体" w:hAnsi="宋体" w:eastAsia="宋体" w:cs="宋体"/>
          <w:sz w:val="24"/>
          <w:szCs w:val="24"/>
          <w:highlight w:val="none"/>
        </w:rPr>
      </w:pPr>
      <w:r>
        <w:rPr>
          <w:rFonts w:hint="eastAsia" w:ascii="宋体" w:hAnsi="宋体" w:eastAsia="宋体" w:cs="宋体"/>
          <w:sz w:val="24"/>
          <w:szCs w:val="24"/>
          <w:highlight w:val="none"/>
        </w:rPr>
        <w:t>时间： 2025年12月26日 至 2026年01月04日 ，每天上午 09:00:00 至 12:00:00 ，下午 12:00:00 至 17:00:00 （北京时间）</w:t>
      </w:r>
    </w:p>
    <w:p w14:paraId="671EE606">
      <w:pPr>
        <w:pStyle w:val="100"/>
        <w:rPr>
          <w:rFonts w:hint="eastAsia" w:ascii="宋体" w:hAnsi="宋体" w:eastAsia="宋体" w:cs="宋体"/>
          <w:sz w:val="24"/>
          <w:szCs w:val="24"/>
          <w:highlight w:val="none"/>
        </w:rPr>
      </w:pPr>
      <w:r>
        <w:rPr>
          <w:rFonts w:hint="eastAsia" w:ascii="宋体" w:hAnsi="宋体" w:eastAsia="宋体" w:cs="宋体"/>
          <w:sz w:val="24"/>
          <w:szCs w:val="24"/>
          <w:highlight w:val="none"/>
        </w:rPr>
        <w:t>途径：全国公共资源交易中心平台(陕西省)使用CA锁报名后自行下载</w:t>
      </w:r>
    </w:p>
    <w:p w14:paraId="25A9AB3A">
      <w:pPr>
        <w:pStyle w:val="100"/>
        <w:rPr>
          <w:rFonts w:hint="eastAsia" w:ascii="宋体" w:hAnsi="宋体" w:eastAsia="宋体" w:cs="宋体"/>
          <w:sz w:val="24"/>
          <w:szCs w:val="24"/>
          <w:highlight w:val="none"/>
        </w:rPr>
      </w:pPr>
      <w:r>
        <w:rPr>
          <w:rFonts w:hint="eastAsia" w:ascii="宋体" w:hAnsi="宋体" w:eastAsia="宋体" w:cs="宋体"/>
          <w:sz w:val="24"/>
          <w:szCs w:val="24"/>
          <w:highlight w:val="none"/>
        </w:rPr>
        <w:t>方式：在线获取</w:t>
      </w:r>
    </w:p>
    <w:p w14:paraId="0A286DE1">
      <w:pPr>
        <w:pStyle w:val="100"/>
        <w:rPr>
          <w:rFonts w:hint="eastAsia" w:ascii="宋体" w:hAnsi="宋体" w:eastAsia="宋体" w:cs="宋体"/>
          <w:sz w:val="24"/>
          <w:szCs w:val="24"/>
          <w:highlight w:val="none"/>
        </w:rPr>
      </w:pPr>
      <w:r>
        <w:rPr>
          <w:rFonts w:hint="eastAsia" w:ascii="宋体" w:hAnsi="宋体" w:eastAsia="宋体" w:cs="宋体"/>
          <w:sz w:val="24"/>
          <w:szCs w:val="24"/>
          <w:highlight w:val="none"/>
        </w:rPr>
        <w:t>售价： 0元</w:t>
      </w:r>
    </w:p>
    <w:p w14:paraId="024A5CDB">
      <w:pPr>
        <w:pStyle w:val="100"/>
        <w:outlineLvl w:val="3"/>
        <w:rPr>
          <w:rFonts w:hint="eastAsia" w:ascii="宋体" w:hAnsi="宋体" w:eastAsia="宋体" w:cs="宋体"/>
          <w:sz w:val="24"/>
          <w:szCs w:val="24"/>
          <w:highlight w:val="none"/>
        </w:rPr>
      </w:pPr>
      <w:r>
        <w:rPr>
          <w:rFonts w:hint="eastAsia" w:ascii="宋体" w:hAnsi="宋体" w:eastAsia="宋体" w:cs="宋体"/>
          <w:b/>
          <w:sz w:val="24"/>
          <w:szCs w:val="24"/>
          <w:highlight w:val="none"/>
        </w:rPr>
        <w:t>四、提交投标文件截止时间、开标时间和地点</w:t>
      </w:r>
    </w:p>
    <w:p w14:paraId="54675B5D">
      <w:pPr>
        <w:pStyle w:val="100"/>
        <w:rPr>
          <w:rFonts w:hint="eastAsia" w:ascii="宋体" w:hAnsi="宋体" w:eastAsia="宋体" w:cs="宋体"/>
          <w:sz w:val="24"/>
          <w:szCs w:val="24"/>
          <w:highlight w:val="none"/>
        </w:rPr>
      </w:pPr>
      <w:r>
        <w:rPr>
          <w:rFonts w:hint="eastAsia" w:ascii="宋体" w:hAnsi="宋体" w:eastAsia="宋体" w:cs="宋体"/>
          <w:sz w:val="24"/>
          <w:szCs w:val="24"/>
          <w:highlight w:val="none"/>
        </w:rPr>
        <w:t>时间： 2026年01月15日 09时30分00秒 （北京时间）</w:t>
      </w:r>
    </w:p>
    <w:p w14:paraId="5C086552">
      <w:pPr>
        <w:pStyle w:val="100"/>
        <w:rPr>
          <w:rFonts w:hint="eastAsia" w:ascii="宋体" w:hAnsi="宋体" w:eastAsia="宋体" w:cs="宋体"/>
          <w:sz w:val="24"/>
          <w:szCs w:val="24"/>
          <w:highlight w:val="none"/>
        </w:rPr>
      </w:pPr>
      <w:r>
        <w:rPr>
          <w:rFonts w:hint="eastAsia" w:ascii="宋体" w:hAnsi="宋体" w:eastAsia="宋体" w:cs="宋体"/>
          <w:sz w:val="24"/>
          <w:szCs w:val="24"/>
          <w:highlight w:val="none"/>
        </w:rPr>
        <w:t>提交投标文件地点：登录全国公共资源交易平台(陕西省榆林市)网站〖首页)电子交易平台)陕西政府采购交易系统)企业端】，在线提交</w:t>
      </w:r>
    </w:p>
    <w:p w14:paraId="33BE943C">
      <w:pPr>
        <w:pStyle w:val="100"/>
        <w:rPr>
          <w:rFonts w:hint="eastAsia" w:ascii="宋体" w:hAnsi="宋体" w:eastAsia="宋体" w:cs="宋体"/>
          <w:sz w:val="24"/>
          <w:szCs w:val="24"/>
          <w:highlight w:val="none"/>
        </w:rPr>
      </w:pPr>
      <w:r>
        <w:rPr>
          <w:rFonts w:hint="eastAsia" w:ascii="宋体" w:hAnsi="宋体" w:eastAsia="宋体" w:cs="宋体"/>
          <w:sz w:val="24"/>
          <w:szCs w:val="24"/>
          <w:highlight w:val="none"/>
        </w:rPr>
        <w:t>开标地点：登录全国公共资源交易平台(陕西省榆林市)网站〖首页)不见面开标〗系统，在线参加开标过程</w:t>
      </w:r>
    </w:p>
    <w:p w14:paraId="464DF65C">
      <w:pPr>
        <w:pStyle w:val="100"/>
        <w:outlineLvl w:val="3"/>
        <w:rPr>
          <w:rFonts w:hint="eastAsia" w:ascii="宋体" w:hAnsi="宋体" w:eastAsia="宋体" w:cs="宋体"/>
          <w:sz w:val="24"/>
          <w:szCs w:val="24"/>
          <w:highlight w:val="none"/>
        </w:rPr>
      </w:pPr>
      <w:r>
        <w:rPr>
          <w:rFonts w:hint="eastAsia" w:ascii="宋体" w:hAnsi="宋体" w:eastAsia="宋体" w:cs="宋体"/>
          <w:b/>
          <w:sz w:val="24"/>
          <w:szCs w:val="24"/>
          <w:highlight w:val="none"/>
        </w:rPr>
        <w:t>五、公告期限</w:t>
      </w:r>
    </w:p>
    <w:p w14:paraId="10744B17">
      <w:pPr>
        <w:pStyle w:val="100"/>
        <w:rPr>
          <w:rFonts w:hint="eastAsia" w:ascii="宋体" w:hAnsi="宋体" w:eastAsia="宋体" w:cs="宋体"/>
          <w:sz w:val="24"/>
          <w:szCs w:val="24"/>
          <w:highlight w:val="none"/>
        </w:rPr>
      </w:pPr>
      <w:r>
        <w:rPr>
          <w:rFonts w:hint="eastAsia" w:ascii="宋体" w:hAnsi="宋体" w:eastAsia="宋体" w:cs="宋体"/>
          <w:sz w:val="24"/>
          <w:szCs w:val="24"/>
          <w:highlight w:val="none"/>
        </w:rPr>
        <w:t>自本公告发布之日起5个工作日。</w:t>
      </w:r>
    </w:p>
    <w:p w14:paraId="51F65A2B">
      <w:pPr>
        <w:pStyle w:val="100"/>
        <w:outlineLvl w:val="3"/>
        <w:rPr>
          <w:rFonts w:hint="eastAsia" w:ascii="宋体" w:hAnsi="宋体" w:eastAsia="宋体" w:cs="宋体"/>
          <w:sz w:val="24"/>
          <w:szCs w:val="24"/>
          <w:highlight w:val="none"/>
        </w:rPr>
      </w:pPr>
      <w:r>
        <w:rPr>
          <w:rFonts w:hint="eastAsia" w:ascii="宋体" w:hAnsi="宋体" w:eastAsia="宋体" w:cs="宋体"/>
          <w:b/>
          <w:sz w:val="24"/>
          <w:szCs w:val="24"/>
          <w:highlight w:val="none"/>
        </w:rPr>
        <w:t>六、其他补充事宜</w:t>
      </w:r>
    </w:p>
    <w:p w14:paraId="0D148624">
      <w:pPr>
        <w:pStyle w:val="100"/>
        <w:rPr>
          <w:rFonts w:hint="eastAsia" w:ascii="宋体" w:hAnsi="宋体" w:eastAsia="宋体" w:cs="宋体"/>
          <w:sz w:val="24"/>
          <w:szCs w:val="24"/>
          <w:highlight w:val="none"/>
        </w:rPr>
      </w:pPr>
      <w:r>
        <w:rPr>
          <w:rFonts w:hint="eastAsia" w:ascii="宋体" w:hAnsi="宋体" w:eastAsia="宋体" w:cs="宋体"/>
          <w:sz w:val="24"/>
          <w:szCs w:val="24"/>
          <w:highlight w:val="none"/>
        </w:rPr>
        <w:t>（1）供应商登录全国公共资源交易中心平台（陕西省）（http://www.sxggzyjy.cn/）,选择“电子交易平台→陕西政府采购交易系统→陕西省公共资源交易平台→投标人”进行登录，登录后选择“交易乙方”身份进入投标人界面进行报名并下载招标文件。未及时下载招标文件将会影响后续开评标活动，其后果自负。</w:t>
      </w:r>
    </w:p>
    <w:p w14:paraId="0B53B4B2">
      <w:pPr>
        <w:pStyle w:val="100"/>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（2）供应商须按照陕西省财政厅关于政府采购供应商注册登记有关事项的通知中的要求，通过陕西省政府采购网（http://www.ccgp-shaanxi.gov.cn/）注册登记加入陕西省政府采购供应商库；</w:t>
      </w:r>
    </w:p>
    <w:p w14:paraId="328C9677">
      <w:pPr>
        <w:pStyle w:val="100"/>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供应商初次使用交易平台，须先完成诚信入库登记、CA锁认证及企业信息绑定。相关操作流程详见全国公共资源交易平台（陕西省）网站首页“服务指南”下载专区中的《陕西省公共资源交易中心政府采购项目投标指南》。</w:t>
      </w:r>
    </w:p>
    <w:p w14:paraId="2523656A">
      <w:pPr>
        <w:pStyle w:val="100"/>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特别提醒：①本项目将采取“不见面”开标的形式，供应商无须到达开标现场，即可在网上直接参与开标活动。相关注意事项具体详见招标文件要求。②本项目采用电子化招投标的方式，供应商使用CA锁对投标文件进行制作、签封、加密、递交、解密等相关招投标事宜。电子投标文件制作软件技术支持热线：400-998-0000；CA锁购买：榆林市民大厦3楼，E18、E19窗口,电话：0912-3452148。</w:t>
      </w:r>
    </w:p>
    <w:p w14:paraId="67E62ECF">
      <w:pPr>
        <w:pStyle w:val="100"/>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5）投标人应随时关注发布的变更公告，当澄清或修改的内容影响投标文件编制时，将在交易平台上同步发布答疑文件，此时投标人应从“项目流程·〉答疑文件下载”下载最新发布的答疑文件（*.SXSCF格式），并使用该文件重新编制电子投标文件（*.SXSTF格式），使用旧版电子招标文件或旧版答疑文件制作的电子投标文件，系统将拒绝接收。各投标人在提交投标文件截止时间之前，应随时关注发布的变更公告，代理公司不再单独通知，因投标人未及时关注所造成的一切后果由投标人自行承担。</w:t>
      </w:r>
    </w:p>
    <w:p w14:paraId="08AE89D4">
      <w:pPr>
        <w:pStyle w:val="100"/>
        <w:outlineLvl w:val="3"/>
        <w:rPr>
          <w:rFonts w:hint="eastAsia" w:ascii="宋体" w:hAnsi="宋体" w:eastAsia="宋体" w:cs="宋体"/>
          <w:sz w:val="24"/>
          <w:szCs w:val="24"/>
          <w:highlight w:val="none"/>
        </w:rPr>
      </w:pPr>
      <w:r>
        <w:rPr>
          <w:rFonts w:hint="eastAsia" w:ascii="宋体" w:hAnsi="宋体" w:eastAsia="宋体" w:cs="宋体"/>
          <w:b/>
          <w:sz w:val="24"/>
          <w:szCs w:val="24"/>
          <w:highlight w:val="none"/>
        </w:rPr>
        <w:t>七、对本次招标提出询问，请按以下方式联系。</w:t>
      </w:r>
    </w:p>
    <w:p w14:paraId="487B9BE2">
      <w:pPr>
        <w:pStyle w:val="100"/>
        <w:outlineLvl w:val="5"/>
        <w:rPr>
          <w:rFonts w:hint="eastAsia" w:ascii="宋体" w:hAnsi="宋体" w:eastAsia="宋体" w:cs="宋体"/>
          <w:sz w:val="24"/>
          <w:szCs w:val="24"/>
          <w:highlight w:val="none"/>
        </w:rPr>
      </w:pPr>
      <w:r>
        <w:rPr>
          <w:rFonts w:hint="eastAsia" w:ascii="宋体" w:hAnsi="宋体" w:eastAsia="宋体" w:cs="宋体"/>
          <w:b/>
          <w:sz w:val="24"/>
          <w:szCs w:val="24"/>
          <w:highlight w:val="none"/>
        </w:rPr>
        <w:t>1.采购人信息</w:t>
      </w:r>
    </w:p>
    <w:p w14:paraId="34337B12">
      <w:pPr>
        <w:pStyle w:val="100"/>
        <w:rPr>
          <w:rFonts w:hint="eastAsia" w:ascii="宋体" w:hAnsi="宋体" w:eastAsia="宋体" w:cs="宋体"/>
          <w:sz w:val="24"/>
          <w:szCs w:val="24"/>
          <w:highlight w:val="none"/>
        </w:rPr>
      </w:pPr>
      <w:r>
        <w:rPr>
          <w:rFonts w:hint="eastAsia" w:ascii="宋体" w:hAnsi="宋体" w:eastAsia="宋体" w:cs="宋体"/>
          <w:sz w:val="24"/>
          <w:szCs w:val="24"/>
          <w:highlight w:val="none"/>
        </w:rPr>
        <w:t>名称：榆佳经济技术开发区管理委员会</w:t>
      </w:r>
    </w:p>
    <w:p w14:paraId="0F3651DF">
      <w:pPr>
        <w:pStyle w:val="100"/>
        <w:rPr>
          <w:rFonts w:hint="eastAsia" w:ascii="宋体" w:hAnsi="宋体" w:eastAsia="宋体" w:cs="宋体"/>
          <w:sz w:val="24"/>
          <w:szCs w:val="24"/>
          <w:highlight w:val="none"/>
        </w:rPr>
      </w:pPr>
      <w:r>
        <w:rPr>
          <w:rFonts w:hint="eastAsia" w:ascii="宋体" w:hAnsi="宋体" w:eastAsia="宋体" w:cs="宋体"/>
          <w:sz w:val="24"/>
          <w:szCs w:val="24"/>
          <w:highlight w:val="none"/>
        </w:rPr>
        <w:t>地址：佳县榆佳工业园区</w:t>
      </w:r>
    </w:p>
    <w:p w14:paraId="6A2C4C15">
      <w:pPr>
        <w:pStyle w:val="100"/>
        <w:rPr>
          <w:rFonts w:hint="eastAsia" w:ascii="宋体" w:hAnsi="宋体" w:eastAsia="宋体" w:cs="宋体"/>
          <w:sz w:val="24"/>
          <w:szCs w:val="24"/>
          <w:highlight w:val="none"/>
        </w:rPr>
      </w:pPr>
      <w:r>
        <w:rPr>
          <w:rFonts w:hint="eastAsia" w:ascii="宋体" w:hAnsi="宋体" w:eastAsia="宋体" w:cs="宋体"/>
          <w:sz w:val="24"/>
          <w:szCs w:val="24"/>
          <w:highlight w:val="none"/>
        </w:rPr>
        <w:t>联系方式：0912-2362716</w:t>
      </w:r>
    </w:p>
    <w:p w14:paraId="6AF56D34">
      <w:pPr>
        <w:pStyle w:val="100"/>
        <w:outlineLvl w:val="5"/>
        <w:rPr>
          <w:rFonts w:hint="eastAsia" w:ascii="宋体" w:hAnsi="宋体" w:eastAsia="宋体" w:cs="宋体"/>
          <w:sz w:val="24"/>
          <w:szCs w:val="24"/>
          <w:highlight w:val="none"/>
        </w:rPr>
      </w:pPr>
      <w:r>
        <w:rPr>
          <w:rFonts w:hint="eastAsia" w:ascii="宋体" w:hAnsi="宋体" w:eastAsia="宋体" w:cs="宋体"/>
          <w:b/>
          <w:sz w:val="24"/>
          <w:szCs w:val="24"/>
          <w:highlight w:val="none"/>
        </w:rPr>
        <w:t>2.采购代理机构信息</w:t>
      </w:r>
    </w:p>
    <w:p w14:paraId="07EF3387">
      <w:pPr>
        <w:pStyle w:val="100"/>
        <w:rPr>
          <w:rFonts w:hint="eastAsia" w:ascii="宋体" w:hAnsi="宋体" w:eastAsia="宋体" w:cs="宋体"/>
          <w:sz w:val="24"/>
          <w:szCs w:val="24"/>
          <w:highlight w:val="none"/>
        </w:rPr>
      </w:pPr>
      <w:r>
        <w:rPr>
          <w:rFonts w:hint="eastAsia" w:ascii="宋体" w:hAnsi="宋体" w:eastAsia="宋体" w:cs="宋体"/>
          <w:sz w:val="24"/>
          <w:szCs w:val="24"/>
          <w:highlight w:val="none"/>
        </w:rPr>
        <w:t>名称：陕西秦丰源项目管理有限公司</w:t>
      </w:r>
    </w:p>
    <w:p w14:paraId="72EC992B">
      <w:pPr>
        <w:pStyle w:val="100"/>
        <w:rPr>
          <w:rFonts w:hint="eastAsia" w:ascii="宋体" w:hAnsi="宋体" w:eastAsia="宋体" w:cs="宋体"/>
          <w:sz w:val="24"/>
          <w:szCs w:val="24"/>
          <w:highlight w:val="none"/>
        </w:rPr>
      </w:pPr>
      <w:r>
        <w:rPr>
          <w:rFonts w:hint="eastAsia" w:ascii="宋体" w:hAnsi="宋体" w:eastAsia="宋体" w:cs="宋体"/>
          <w:sz w:val="24"/>
          <w:szCs w:val="24"/>
          <w:highlight w:val="none"/>
        </w:rPr>
        <w:t>地址：陕西省西安市高新区丈八一路1号汇鑫IBC(C座)第13层1308室</w:t>
      </w:r>
    </w:p>
    <w:p w14:paraId="0AAD3D0C">
      <w:pPr>
        <w:pStyle w:val="100"/>
        <w:rPr>
          <w:rFonts w:hint="eastAsia" w:ascii="宋体" w:hAnsi="宋体" w:eastAsia="宋体" w:cs="宋体"/>
          <w:sz w:val="24"/>
          <w:szCs w:val="24"/>
          <w:highlight w:val="none"/>
        </w:rPr>
      </w:pPr>
      <w:r>
        <w:rPr>
          <w:rFonts w:hint="eastAsia" w:ascii="宋体" w:hAnsi="宋体" w:eastAsia="宋体" w:cs="宋体"/>
          <w:sz w:val="24"/>
          <w:szCs w:val="24"/>
          <w:highlight w:val="none"/>
        </w:rPr>
        <w:t>联系方式：17795967122</w:t>
      </w:r>
    </w:p>
    <w:p w14:paraId="17CC45D8">
      <w:pPr>
        <w:pStyle w:val="100"/>
        <w:outlineLvl w:val="5"/>
        <w:rPr>
          <w:rFonts w:hint="eastAsia" w:ascii="宋体" w:hAnsi="宋体" w:eastAsia="宋体" w:cs="宋体"/>
          <w:sz w:val="24"/>
          <w:szCs w:val="24"/>
          <w:highlight w:val="none"/>
        </w:rPr>
      </w:pPr>
      <w:r>
        <w:rPr>
          <w:rFonts w:hint="eastAsia" w:ascii="宋体" w:hAnsi="宋体" w:eastAsia="宋体" w:cs="宋体"/>
          <w:b/>
          <w:sz w:val="24"/>
          <w:szCs w:val="24"/>
          <w:highlight w:val="none"/>
        </w:rPr>
        <w:t>3.项目联系方式</w:t>
      </w:r>
    </w:p>
    <w:p w14:paraId="2DA11131">
      <w:pPr>
        <w:pStyle w:val="100"/>
        <w:rPr>
          <w:rFonts w:hint="eastAsia" w:ascii="宋体" w:hAnsi="宋体" w:eastAsia="宋体" w:cs="宋体"/>
          <w:sz w:val="24"/>
          <w:szCs w:val="24"/>
          <w:highlight w:val="none"/>
        </w:rPr>
      </w:pPr>
      <w:r>
        <w:rPr>
          <w:rFonts w:hint="eastAsia" w:ascii="宋体" w:hAnsi="宋体" w:eastAsia="宋体" w:cs="宋体"/>
          <w:sz w:val="24"/>
          <w:szCs w:val="24"/>
          <w:highlight w:val="none"/>
        </w:rPr>
        <w:t>项目联系人：刘银</w:t>
      </w:r>
    </w:p>
    <w:p w14:paraId="1A629DDB">
      <w:pPr>
        <w:pStyle w:val="100"/>
        <w:rPr>
          <w:rFonts w:hint="eastAsia" w:ascii="宋体" w:hAnsi="宋体" w:eastAsia="宋体" w:cs="宋体"/>
          <w:sz w:val="24"/>
          <w:szCs w:val="24"/>
          <w:highlight w:val="none"/>
        </w:rPr>
      </w:pPr>
      <w:r>
        <w:rPr>
          <w:rFonts w:hint="eastAsia" w:ascii="宋体" w:hAnsi="宋体" w:eastAsia="宋体" w:cs="宋体"/>
          <w:sz w:val="24"/>
          <w:szCs w:val="24"/>
          <w:highlight w:val="none"/>
        </w:rPr>
        <w:t>电话：17795967122</w:t>
      </w:r>
    </w:p>
    <w:p w14:paraId="08261F59">
      <w:pPr>
        <w:pStyle w:val="100"/>
        <w:rPr>
          <w:rFonts w:hint="eastAsia"/>
          <w:sz w:val="24"/>
          <w:szCs w:val="24"/>
          <w:highlight w:val="none"/>
          <w:lang w:val="en-US" w:eastAsia="zh-Hans"/>
        </w:rPr>
      </w:pPr>
    </w:p>
    <w:p w14:paraId="5FD67BB2">
      <w:pPr>
        <w:pStyle w:val="100"/>
        <w:spacing w:line="240" w:lineRule="auto"/>
        <w:rPr>
          <w:rFonts w:hint="eastAsia" w:ascii="宋体" w:hAnsi="宋体" w:eastAsia="宋体" w:cs="宋体"/>
          <w:sz w:val="24"/>
          <w:szCs w:val="24"/>
          <w:highlight w:val="none"/>
          <w:lang w:val="en-US" w:eastAsia="zh-Hans"/>
        </w:rPr>
      </w:pPr>
    </w:p>
    <w:p w14:paraId="5BEE91DB">
      <w:pPr>
        <w:pStyle w:val="100"/>
        <w:spacing w:line="240" w:lineRule="auto"/>
        <w:rPr>
          <w:rFonts w:hint="eastAsia" w:ascii="宋体" w:hAnsi="宋体" w:eastAsia="宋体" w:cs="宋体"/>
          <w:sz w:val="24"/>
          <w:szCs w:val="24"/>
          <w:highlight w:val="none"/>
          <w:lang w:val="en-US" w:eastAsia="zh-Hans"/>
        </w:rPr>
      </w:pPr>
    </w:p>
    <w:p w14:paraId="5419DE66">
      <w:pPr>
        <w:rPr>
          <w:rFonts w:hint="eastAsia"/>
          <w:highlight w:val="none"/>
          <w:lang w:val="en-US" w:eastAsia="zh-Hans"/>
        </w:rPr>
      </w:pPr>
    </w:p>
    <w:p w14:paraId="39537F65">
      <w:pPr>
        <w:pStyle w:val="100"/>
        <w:wordWrap w:val="0"/>
        <w:jc w:val="right"/>
        <w:rPr>
          <w:rFonts w:hint="eastAsia" w:ascii="宋体" w:hAnsi="宋体" w:eastAsia="宋体" w:cs="宋体"/>
          <w:sz w:val="24"/>
          <w:szCs w:val="24"/>
          <w:highlight w:val="none"/>
          <w:lang w:val="en-US" w:eastAsia="zh-CN"/>
        </w:rPr>
      </w:pPr>
    </w:p>
    <w:p w14:paraId="4EDB0160">
      <w:pPr>
        <w:pStyle w:val="100"/>
        <w:wordWrap w:val="0"/>
        <w:jc w:val="right"/>
        <w:rPr>
          <w:rFonts w:hint="eastAsia" w:ascii="宋体" w:hAnsi="宋体" w:eastAsia="宋体" w:cs="宋体"/>
          <w:sz w:val="24"/>
          <w:szCs w:val="24"/>
          <w:highlight w:val="none"/>
          <w:lang w:val="en-US" w:eastAsia="zh-CN"/>
        </w:rPr>
      </w:pPr>
    </w:p>
    <w:p w14:paraId="42D237BD">
      <w:pPr>
        <w:pStyle w:val="100"/>
        <w:wordWrap w:val="0"/>
        <w:jc w:val="right"/>
        <w:rPr>
          <w:rFonts w:hint="eastAsia" w:ascii="宋体" w:hAnsi="宋体" w:eastAsia="宋体" w:cs="宋体"/>
          <w:sz w:val="24"/>
          <w:szCs w:val="24"/>
          <w:highlight w:val="none"/>
          <w:lang w:val="en-US" w:eastAsia="zh-CN"/>
        </w:rPr>
      </w:pPr>
    </w:p>
    <w:p w14:paraId="0EC26F68">
      <w:pPr>
        <w:pStyle w:val="100"/>
        <w:wordWrap w:val="0"/>
        <w:jc w:val="right"/>
        <w:rPr>
          <w:rFonts w:hint="eastAsia" w:ascii="宋体" w:hAnsi="宋体" w:eastAsia="宋体" w:cs="宋体"/>
          <w:sz w:val="24"/>
          <w:szCs w:val="24"/>
          <w:highlight w:val="none"/>
          <w:lang w:val="en-US" w:eastAsia="zh-CN"/>
        </w:rPr>
      </w:pPr>
    </w:p>
    <w:p w14:paraId="0CB71B28">
      <w:pPr>
        <w:pStyle w:val="100"/>
        <w:wordWrap w:val="0"/>
        <w:jc w:val="right"/>
        <w:rPr>
          <w:rFonts w:hint="eastAsia" w:ascii="宋体" w:hAnsi="宋体" w:eastAsia="宋体" w:cs="宋体"/>
          <w:sz w:val="24"/>
          <w:szCs w:val="24"/>
          <w:highlight w:val="none"/>
          <w:lang w:val="en-US" w:eastAsia="zh-CN"/>
        </w:rPr>
      </w:pPr>
    </w:p>
    <w:p w14:paraId="64734023">
      <w:pPr>
        <w:pStyle w:val="100"/>
        <w:wordWrap/>
        <w:jc w:val="right"/>
        <w:rPr>
          <w:rFonts w:hint="eastAsia" w:ascii="宋体" w:hAnsi="宋体" w:eastAsia="宋体" w:cs="宋体"/>
          <w:sz w:val="24"/>
          <w:szCs w:val="24"/>
          <w:highlight w:val="none"/>
          <w:lang w:val="en-US" w:eastAsia="zh-CN"/>
        </w:rPr>
      </w:pPr>
    </w:p>
    <w:p w14:paraId="7A71E382">
      <w:pPr>
        <w:pStyle w:val="100"/>
        <w:wordWrap/>
        <w:jc w:val="right"/>
        <w:rPr>
          <w:rFonts w:hint="eastAsia" w:ascii="宋体" w:hAnsi="宋体" w:eastAsia="宋体" w:cs="宋体"/>
          <w:sz w:val="24"/>
          <w:szCs w:val="24"/>
          <w:highlight w:val="none"/>
          <w:lang w:val="en-US" w:eastAsia="zh-CN"/>
        </w:rPr>
      </w:pPr>
    </w:p>
    <w:p w14:paraId="196B6579">
      <w:pPr>
        <w:pStyle w:val="100"/>
        <w:wordWrap w:val="0"/>
        <w:jc w:val="righ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p>
    <w:p w14:paraId="058CC64C">
      <w:pPr>
        <w:pStyle w:val="100"/>
        <w:rPr>
          <w:rFonts w:hint="eastAsia" w:ascii="宋体" w:hAnsi="宋体" w:eastAsia="宋体" w:cs="宋体"/>
          <w:sz w:val="24"/>
          <w:szCs w:val="24"/>
          <w:highlight w:val="none"/>
          <w:lang w:val="en-US" w:eastAsia="zh-Hans"/>
        </w:rPr>
      </w:pPr>
    </w:p>
    <w:p w14:paraId="53FFE90A">
      <w:pPr>
        <w:spacing w:line="360" w:lineRule="auto"/>
        <w:jc w:val="center"/>
        <w:outlineLvl w:val="0"/>
        <w:rPr>
          <w:rFonts w:hint="eastAsia" w:ascii="宋体" w:hAnsi="宋体" w:eastAsia="宋体" w:cs="宋体"/>
          <w:b/>
          <w:bCs/>
          <w:color w:val="auto"/>
          <w:sz w:val="32"/>
          <w:szCs w:val="32"/>
          <w:highlight w:val="none"/>
        </w:rPr>
      </w:pPr>
      <w:bookmarkStart w:id="25" w:name="_Toc2818"/>
      <w:r>
        <w:rPr>
          <w:rFonts w:hint="eastAsia" w:ascii="宋体" w:hAnsi="宋体" w:eastAsia="宋体" w:cs="宋体"/>
          <w:b/>
          <w:bCs/>
          <w:color w:val="auto"/>
          <w:sz w:val="32"/>
          <w:szCs w:val="32"/>
          <w:highlight w:val="none"/>
        </w:rPr>
        <w:t>第二章 投标须知前附表</w:t>
      </w:r>
      <w:bookmarkEnd w:id="25"/>
    </w:p>
    <w:bookmarkEnd w:id="0"/>
    <w:tbl>
      <w:tblPr>
        <w:tblStyle w:val="25"/>
        <w:tblpPr w:leftFromText="180" w:rightFromText="180" w:vertAnchor="text" w:horzAnchor="page" w:tblpX="1206" w:tblpY="714"/>
        <w:tblOverlap w:val="never"/>
        <w:tblW w:w="52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483"/>
        <w:gridCol w:w="7832"/>
      </w:tblGrid>
      <w:tr w14:paraId="3CE2F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379" w:type="pct"/>
            <w:noWrap w:val="0"/>
            <w:vAlign w:val="center"/>
          </w:tcPr>
          <w:p w14:paraId="7CD128E4">
            <w:pPr>
              <w:keepNext w:val="0"/>
              <w:keepLines w:val="0"/>
              <w:suppressLineNumbers w:val="0"/>
              <w:shd w:val="clear" w:color="auto" w:fill="auto"/>
              <w:adjustRightInd w:val="0"/>
              <w:snapToGrid w:val="0"/>
              <w:spacing w:before="0" w:beforeAutospacing="0" w:after="0" w:afterAutospacing="0" w:line="440" w:lineRule="exact"/>
              <w:ind w:left="0" w:right="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序号</w:t>
            </w:r>
          </w:p>
        </w:tc>
        <w:tc>
          <w:tcPr>
            <w:tcW w:w="735" w:type="pct"/>
            <w:noWrap w:val="0"/>
            <w:vAlign w:val="center"/>
          </w:tcPr>
          <w:p w14:paraId="3B56A06A">
            <w:pPr>
              <w:keepNext w:val="0"/>
              <w:keepLines w:val="0"/>
              <w:suppressLineNumbers w:val="0"/>
              <w:shd w:val="clear" w:color="auto" w:fill="auto"/>
              <w:adjustRightInd w:val="0"/>
              <w:snapToGrid w:val="0"/>
              <w:spacing w:before="0" w:beforeAutospacing="0" w:after="0" w:afterAutospacing="0" w:line="440" w:lineRule="exact"/>
              <w:ind w:left="0" w:right="0" w:firstLine="220" w:firstLineChars="1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条款名称</w:t>
            </w:r>
          </w:p>
        </w:tc>
        <w:tc>
          <w:tcPr>
            <w:tcW w:w="3884" w:type="pct"/>
            <w:noWrap w:val="0"/>
            <w:vAlign w:val="center"/>
          </w:tcPr>
          <w:p w14:paraId="311A95E1">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编 列 内 容</w:t>
            </w:r>
          </w:p>
        </w:tc>
      </w:tr>
      <w:tr w14:paraId="3C3C1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79" w:type="pct"/>
            <w:noWrap w:val="0"/>
            <w:vAlign w:val="center"/>
          </w:tcPr>
          <w:p w14:paraId="6D7D01CA">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w:t>
            </w:r>
          </w:p>
        </w:tc>
        <w:tc>
          <w:tcPr>
            <w:tcW w:w="735" w:type="pct"/>
            <w:noWrap w:val="0"/>
            <w:vAlign w:val="center"/>
          </w:tcPr>
          <w:p w14:paraId="7BEB3A91">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招标人</w:t>
            </w:r>
          </w:p>
        </w:tc>
        <w:tc>
          <w:tcPr>
            <w:tcW w:w="3884" w:type="pct"/>
            <w:noWrap w:val="0"/>
            <w:vAlign w:val="center"/>
          </w:tcPr>
          <w:p w14:paraId="15FD5336">
            <w:pPr>
              <w:keepNext w:val="0"/>
              <w:keepLines w:val="0"/>
              <w:suppressLineNumbers w:val="0"/>
              <w:shd w:val="clear" w:color="auto" w:fill="auto"/>
              <w:adjustRightInd w:val="0"/>
              <w:snapToGrid w:val="0"/>
              <w:spacing w:before="0" w:beforeAutospacing="0" w:after="0" w:afterAutospacing="0" w:line="276" w:lineRule="auto"/>
              <w:ind w:left="0" w:right="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名  称：</w:t>
            </w:r>
            <w:r>
              <w:rPr>
                <w:rFonts w:hint="eastAsia" w:ascii="宋体" w:hAnsi="宋体" w:cs="宋体"/>
                <w:snapToGrid w:val="0"/>
                <w:color w:val="auto"/>
                <w:kern w:val="0"/>
                <w:sz w:val="22"/>
                <w:szCs w:val="22"/>
                <w:highlight w:val="none"/>
                <w:lang w:eastAsia="zh-CN"/>
              </w:rPr>
              <w:t>榆佳经济技术开发区管理委员会</w:t>
            </w:r>
            <w:r>
              <w:rPr>
                <w:rFonts w:hint="eastAsia" w:ascii="宋体" w:hAnsi="宋体" w:eastAsia="宋体" w:cs="宋体"/>
                <w:snapToGrid w:val="0"/>
                <w:color w:val="auto"/>
                <w:kern w:val="0"/>
                <w:sz w:val="22"/>
                <w:szCs w:val="22"/>
                <w:highlight w:val="none"/>
              </w:rPr>
              <w:t xml:space="preserve"> </w:t>
            </w:r>
          </w:p>
          <w:p w14:paraId="2583E9AF">
            <w:pPr>
              <w:keepNext w:val="0"/>
              <w:keepLines w:val="0"/>
              <w:suppressLineNumbers w:val="0"/>
              <w:shd w:val="clear" w:color="auto" w:fill="auto"/>
              <w:adjustRightInd w:val="0"/>
              <w:snapToGrid w:val="0"/>
              <w:spacing w:before="0" w:beforeAutospacing="0" w:after="0" w:afterAutospacing="0" w:line="276" w:lineRule="auto"/>
              <w:ind w:left="0" w:right="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地  址：</w:t>
            </w:r>
            <w:r>
              <w:rPr>
                <w:rFonts w:hint="eastAsia" w:ascii="宋体" w:hAnsi="宋体" w:cs="宋体"/>
                <w:snapToGrid w:val="0"/>
                <w:color w:val="auto"/>
                <w:kern w:val="0"/>
                <w:sz w:val="22"/>
                <w:szCs w:val="22"/>
                <w:highlight w:val="none"/>
                <w:lang w:eastAsia="zh-CN"/>
              </w:rPr>
              <w:t>佳县榆佳工业园区</w:t>
            </w:r>
            <w:r>
              <w:rPr>
                <w:rFonts w:hint="eastAsia" w:ascii="宋体" w:hAnsi="宋体" w:eastAsia="宋体" w:cs="宋体"/>
                <w:snapToGrid w:val="0"/>
                <w:color w:val="auto"/>
                <w:kern w:val="0"/>
                <w:sz w:val="22"/>
                <w:szCs w:val="22"/>
                <w:highlight w:val="none"/>
              </w:rPr>
              <w:t xml:space="preserve">                      </w:t>
            </w:r>
          </w:p>
          <w:p w14:paraId="3DABCD96">
            <w:pPr>
              <w:keepNext w:val="0"/>
              <w:keepLines w:val="0"/>
              <w:suppressLineNumbers w:val="0"/>
              <w:shd w:val="clear" w:color="auto" w:fill="auto"/>
              <w:adjustRightInd w:val="0"/>
              <w:snapToGrid w:val="0"/>
              <w:spacing w:before="0" w:beforeAutospacing="0" w:after="0" w:afterAutospacing="0" w:line="276" w:lineRule="auto"/>
              <w:ind w:left="0" w:right="0"/>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rPr>
              <w:t>联系人：</w:t>
            </w:r>
            <w:r>
              <w:rPr>
                <w:rFonts w:hint="eastAsia" w:ascii="宋体" w:hAnsi="宋体" w:cs="宋体"/>
                <w:snapToGrid w:val="0"/>
                <w:color w:val="auto"/>
                <w:kern w:val="0"/>
                <w:sz w:val="22"/>
                <w:szCs w:val="22"/>
                <w:highlight w:val="none"/>
                <w:lang w:val="en-US" w:eastAsia="zh-CN"/>
              </w:rPr>
              <w:t>魏刘安</w:t>
            </w:r>
          </w:p>
          <w:p w14:paraId="7C8C1C10">
            <w:pPr>
              <w:keepNext w:val="0"/>
              <w:keepLines w:val="0"/>
              <w:suppressLineNumbers w:val="0"/>
              <w:shd w:val="clear" w:color="auto" w:fill="auto"/>
              <w:adjustRightInd w:val="0"/>
              <w:snapToGrid w:val="0"/>
              <w:spacing w:before="0" w:beforeAutospacing="0" w:after="0" w:afterAutospacing="0" w:line="276"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snapToGrid w:val="0"/>
                <w:color w:val="auto"/>
                <w:kern w:val="0"/>
                <w:sz w:val="22"/>
                <w:szCs w:val="22"/>
                <w:highlight w:val="none"/>
              </w:rPr>
              <w:t>电  话：</w:t>
            </w:r>
            <w:r>
              <w:rPr>
                <w:rFonts w:hint="eastAsia" w:ascii="宋体" w:hAnsi="宋体" w:cs="宋体"/>
                <w:snapToGrid w:val="0"/>
                <w:color w:val="auto"/>
                <w:kern w:val="0"/>
                <w:sz w:val="22"/>
                <w:szCs w:val="22"/>
                <w:highlight w:val="none"/>
                <w:lang w:eastAsia="zh-CN"/>
              </w:rPr>
              <w:t>0912-2362716</w:t>
            </w:r>
          </w:p>
        </w:tc>
      </w:tr>
      <w:tr w14:paraId="5D12D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379" w:type="pct"/>
            <w:noWrap w:val="0"/>
            <w:vAlign w:val="center"/>
          </w:tcPr>
          <w:p w14:paraId="705D34EA">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w:t>
            </w:r>
          </w:p>
        </w:tc>
        <w:tc>
          <w:tcPr>
            <w:tcW w:w="735" w:type="pct"/>
            <w:noWrap w:val="0"/>
            <w:vAlign w:val="center"/>
          </w:tcPr>
          <w:p w14:paraId="47B53C97">
            <w:pPr>
              <w:keepNext w:val="0"/>
              <w:keepLines w:val="0"/>
              <w:suppressLineNumbers w:val="0"/>
              <w:shd w:val="clear" w:color="auto" w:fill="auto"/>
              <w:adjustRightInd w:val="0"/>
              <w:snapToGrid w:val="0"/>
              <w:spacing w:before="0" w:beforeAutospacing="0" w:after="0" w:afterAutospacing="0" w:line="276" w:lineRule="auto"/>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招标代理机构</w:t>
            </w:r>
          </w:p>
        </w:tc>
        <w:tc>
          <w:tcPr>
            <w:tcW w:w="3884" w:type="pct"/>
            <w:noWrap w:val="0"/>
            <w:vAlign w:val="center"/>
          </w:tcPr>
          <w:p w14:paraId="04863BC5">
            <w:pPr>
              <w:keepNext w:val="0"/>
              <w:keepLines w:val="0"/>
              <w:suppressLineNumbers w:val="0"/>
              <w:shd w:val="clear" w:color="auto" w:fill="auto"/>
              <w:adjustRightInd w:val="0"/>
              <w:snapToGrid w:val="0"/>
              <w:spacing w:before="0" w:beforeAutospacing="0" w:after="0" w:afterAutospacing="0" w:line="276" w:lineRule="auto"/>
              <w:ind w:left="0" w:right="0"/>
              <w:rPr>
                <w:rFonts w:hint="eastAsia" w:ascii="宋体" w:hAnsi="宋体" w:cs="宋体"/>
                <w:snapToGrid w:val="0"/>
                <w:color w:val="auto"/>
                <w:kern w:val="0"/>
                <w:sz w:val="22"/>
                <w:szCs w:val="22"/>
                <w:highlight w:val="none"/>
                <w:lang w:eastAsia="zh-CN"/>
              </w:rPr>
            </w:pPr>
            <w:r>
              <w:rPr>
                <w:rFonts w:hint="eastAsia" w:ascii="宋体" w:hAnsi="宋体" w:eastAsia="宋体" w:cs="宋体"/>
                <w:snapToGrid w:val="0"/>
                <w:color w:val="auto"/>
                <w:kern w:val="0"/>
                <w:sz w:val="22"/>
                <w:szCs w:val="22"/>
                <w:highlight w:val="none"/>
              </w:rPr>
              <w:t>名  称：</w:t>
            </w:r>
            <w:r>
              <w:rPr>
                <w:rFonts w:hint="eastAsia" w:ascii="宋体" w:hAnsi="宋体" w:cs="宋体"/>
                <w:snapToGrid w:val="0"/>
                <w:color w:val="auto"/>
                <w:kern w:val="0"/>
                <w:sz w:val="22"/>
                <w:szCs w:val="22"/>
                <w:highlight w:val="none"/>
                <w:lang w:eastAsia="zh-CN"/>
              </w:rPr>
              <w:t>陕西秦丰源项目管理有限公司</w:t>
            </w:r>
          </w:p>
          <w:p w14:paraId="6FD7C10D">
            <w:pPr>
              <w:keepNext w:val="0"/>
              <w:keepLines w:val="0"/>
              <w:suppressLineNumbers w:val="0"/>
              <w:shd w:val="clear" w:color="auto" w:fill="auto"/>
              <w:adjustRightInd w:val="0"/>
              <w:snapToGrid w:val="0"/>
              <w:spacing w:before="0" w:beforeAutospacing="0" w:after="0" w:afterAutospacing="0" w:line="276" w:lineRule="auto"/>
              <w:ind w:left="0" w:right="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地  址：</w:t>
            </w:r>
            <w:r>
              <w:rPr>
                <w:rFonts w:hint="eastAsia" w:ascii="宋体" w:hAnsi="宋体" w:cs="宋体"/>
                <w:snapToGrid w:val="0"/>
                <w:color w:val="auto"/>
                <w:kern w:val="0"/>
                <w:sz w:val="22"/>
                <w:szCs w:val="22"/>
                <w:highlight w:val="none"/>
                <w:lang w:eastAsia="zh-CN"/>
              </w:rPr>
              <w:t>西安市高新区丈八一路1号汇鑫IBC(C座)第13层1308室</w:t>
            </w:r>
            <w:r>
              <w:rPr>
                <w:rFonts w:hint="eastAsia" w:ascii="宋体" w:hAnsi="宋体" w:eastAsia="宋体" w:cs="宋体"/>
                <w:snapToGrid w:val="0"/>
                <w:color w:val="auto"/>
                <w:kern w:val="0"/>
                <w:sz w:val="22"/>
                <w:szCs w:val="22"/>
                <w:highlight w:val="none"/>
              </w:rPr>
              <w:t xml:space="preserve">                        </w:t>
            </w:r>
          </w:p>
          <w:p w14:paraId="0E5412A4">
            <w:pPr>
              <w:keepNext w:val="0"/>
              <w:keepLines w:val="0"/>
              <w:suppressLineNumbers w:val="0"/>
              <w:shd w:val="clear" w:color="auto" w:fill="auto"/>
              <w:adjustRightInd w:val="0"/>
              <w:snapToGrid w:val="0"/>
              <w:spacing w:before="0" w:beforeAutospacing="0" w:after="0" w:afterAutospacing="0" w:line="276" w:lineRule="auto"/>
              <w:ind w:left="0" w:right="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联系人：</w:t>
            </w:r>
            <w:r>
              <w:rPr>
                <w:rFonts w:hint="eastAsia" w:ascii="宋体" w:hAnsi="宋体" w:cs="宋体"/>
                <w:snapToGrid w:val="0"/>
                <w:color w:val="auto"/>
                <w:kern w:val="0"/>
                <w:sz w:val="22"/>
                <w:szCs w:val="22"/>
                <w:highlight w:val="none"/>
                <w:lang w:val="en-US" w:eastAsia="zh-CN"/>
              </w:rPr>
              <w:t>刘银</w:t>
            </w:r>
            <w:r>
              <w:rPr>
                <w:rFonts w:hint="eastAsia" w:ascii="宋体" w:hAnsi="宋体" w:eastAsia="宋体" w:cs="宋体"/>
                <w:snapToGrid w:val="0"/>
                <w:color w:val="auto"/>
                <w:kern w:val="0"/>
                <w:sz w:val="22"/>
                <w:szCs w:val="22"/>
                <w:highlight w:val="none"/>
              </w:rPr>
              <w:t xml:space="preserve">     </w:t>
            </w:r>
          </w:p>
          <w:p w14:paraId="7195EE2E">
            <w:pPr>
              <w:keepNext w:val="0"/>
              <w:keepLines w:val="0"/>
              <w:suppressLineNumbers w:val="0"/>
              <w:shd w:val="clear" w:color="auto" w:fill="auto"/>
              <w:adjustRightInd w:val="0"/>
              <w:snapToGrid w:val="0"/>
              <w:spacing w:before="0" w:beforeAutospacing="0" w:after="0" w:afterAutospacing="0" w:line="276" w:lineRule="auto"/>
              <w:ind w:left="0" w:right="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电  话：</w:t>
            </w:r>
            <w:r>
              <w:rPr>
                <w:rFonts w:hint="eastAsia" w:ascii="宋体" w:hAnsi="宋体" w:cs="宋体"/>
                <w:snapToGrid w:val="0"/>
                <w:color w:val="auto"/>
                <w:kern w:val="0"/>
                <w:sz w:val="22"/>
                <w:szCs w:val="22"/>
                <w:highlight w:val="none"/>
                <w:lang w:val="en-US" w:eastAsia="zh-CN"/>
              </w:rPr>
              <w:t>17795967122</w:t>
            </w:r>
            <w:r>
              <w:rPr>
                <w:rFonts w:hint="eastAsia" w:ascii="宋体" w:hAnsi="宋体" w:eastAsia="宋体" w:cs="宋体"/>
                <w:snapToGrid w:val="0"/>
                <w:color w:val="auto"/>
                <w:kern w:val="0"/>
                <w:sz w:val="22"/>
                <w:szCs w:val="22"/>
                <w:highlight w:val="none"/>
              </w:rPr>
              <w:t xml:space="preserve"> 　　　　　　　　　　　　　</w:t>
            </w:r>
          </w:p>
        </w:tc>
      </w:tr>
      <w:tr w14:paraId="2A201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379" w:type="pct"/>
            <w:noWrap w:val="0"/>
            <w:vAlign w:val="center"/>
          </w:tcPr>
          <w:p w14:paraId="2DF92CF0">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3</w:t>
            </w:r>
          </w:p>
        </w:tc>
        <w:tc>
          <w:tcPr>
            <w:tcW w:w="735" w:type="pct"/>
            <w:shd w:val="clear" w:color="auto" w:fill="auto"/>
            <w:noWrap w:val="0"/>
            <w:vAlign w:val="center"/>
          </w:tcPr>
          <w:p w14:paraId="230BEA1F">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default"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rPr>
              <w:t>项目名称</w:t>
            </w:r>
          </w:p>
        </w:tc>
        <w:tc>
          <w:tcPr>
            <w:tcW w:w="3884" w:type="pct"/>
            <w:shd w:val="clear" w:color="auto" w:fill="auto"/>
            <w:noWrap w:val="0"/>
            <w:vAlign w:val="center"/>
          </w:tcPr>
          <w:p w14:paraId="0B19817D">
            <w:pPr>
              <w:keepNext w:val="0"/>
              <w:keepLines w:val="0"/>
              <w:widowControl/>
              <w:suppressLineNumbers w:val="0"/>
              <w:shd w:val="clear" w:color="auto" w:fill="auto"/>
              <w:adjustRightInd w:val="0"/>
              <w:snapToGrid w:val="0"/>
              <w:spacing w:before="0" w:beforeAutospacing="0" w:after="0" w:afterAutospacing="0" w:line="440" w:lineRule="exact"/>
              <w:ind w:left="0" w:right="-197" w:rightChars="-94"/>
              <w:rPr>
                <w:rFonts w:hint="default" w:ascii="宋体" w:hAnsi="宋体" w:eastAsia="宋体" w:cs="宋体"/>
                <w:snapToGrid w:val="0"/>
                <w:color w:val="auto"/>
                <w:kern w:val="0"/>
                <w:sz w:val="22"/>
                <w:szCs w:val="22"/>
                <w:highlight w:val="none"/>
                <w:lang w:val="en-US" w:eastAsia="zh-CN"/>
              </w:rPr>
            </w:pPr>
            <w:r>
              <w:rPr>
                <w:rFonts w:hint="eastAsia" w:asciiTheme="minorEastAsia" w:hAnsiTheme="minorEastAsia" w:eastAsiaTheme="minorEastAsia" w:cstheme="minorEastAsia"/>
                <w:i w:val="0"/>
                <w:caps w:val="0"/>
                <w:color w:val="auto"/>
                <w:spacing w:val="0"/>
                <w:sz w:val="22"/>
                <w:szCs w:val="22"/>
                <w:highlight w:val="none"/>
                <w:shd w:val="clear" w:fill="FFFFFF"/>
                <w:lang w:eastAsia="zh-CN"/>
              </w:rPr>
              <w:t>2026年度榆佳经济技术开发区两厂(场)运营管理服务项目</w:t>
            </w:r>
            <w:r>
              <w:rPr>
                <w:rFonts w:hint="eastAsia" w:asciiTheme="minorEastAsia" w:hAnsiTheme="minorEastAsia" w:eastAsiaTheme="minorEastAsia" w:cstheme="minorEastAsia"/>
                <w:i w:val="0"/>
                <w:caps w:val="0"/>
                <w:color w:val="auto"/>
                <w:spacing w:val="0"/>
                <w:sz w:val="22"/>
                <w:szCs w:val="22"/>
                <w:highlight w:val="none"/>
                <w:shd w:val="clear" w:fill="FFFFFF"/>
                <w:lang w:val="en-US" w:eastAsia="zh-CN"/>
              </w:rPr>
              <w:t>(二次)</w:t>
            </w:r>
          </w:p>
        </w:tc>
      </w:tr>
      <w:tr w14:paraId="52FE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379" w:type="pct"/>
            <w:noWrap w:val="0"/>
            <w:vAlign w:val="center"/>
          </w:tcPr>
          <w:p w14:paraId="1AAC6738">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4</w:t>
            </w:r>
          </w:p>
        </w:tc>
        <w:tc>
          <w:tcPr>
            <w:tcW w:w="735" w:type="pct"/>
            <w:shd w:val="clear" w:color="auto" w:fill="auto"/>
            <w:noWrap w:val="0"/>
            <w:vAlign w:val="center"/>
          </w:tcPr>
          <w:p w14:paraId="1A89B198">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lang w:val="en-US" w:eastAsia="zh-CN"/>
              </w:rPr>
              <w:t>服务期</w:t>
            </w:r>
          </w:p>
        </w:tc>
        <w:tc>
          <w:tcPr>
            <w:tcW w:w="3884" w:type="pct"/>
            <w:shd w:val="clear" w:color="auto" w:fill="auto"/>
            <w:noWrap w:val="0"/>
            <w:vAlign w:val="center"/>
          </w:tcPr>
          <w:p w14:paraId="07C91E08">
            <w:pPr>
              <w:keepNext w:val="0"/>
              <w:keepLines w:val="0"/>
              <w:widowControl/>
              <w:suppressLineNumbers w:val="0"/>
              <w:shd w:val="clear" w:color="auto" w:fill="auto"/>
              <w:adjustRightInd w:val="0"/>
              <w:snapToGrid w:val="0"/>
              <w:spacing w:before="0" w:beforeAutospacing="0" w:after="0" w:afterAutospacing="0" w:line="440" w:lineRule="exact"/>
              <w:ind w:left="0" w:right="-197" w:rightChars="-94"/>
              <w:rPr>
                <w:rFonts w:hint="default" w:ascii="宋体" w:hAnsi="宋体" w:eastAsia="宋体" w:cs="宋体"/>
                <w:snapToGrid w:val="0"/>
                <w:color w:val="auto"/>
                <w:kern w:val="0"/>
                <w:sz w:val="22"/>
                <w:szCs w:val="22"/>
                <w:highlight w:val="none"/>
                <w:lang w:val="en-US" w:eastAsia="zh-CN"/>
              </w:rPr>
            </w:pPr>
            <w:r>
              <w:rPr>
                <w:rFonts w:hint="eastAsia" w:asciiTheme="minorEastAsia" w:hAnsiTheme="minorEastAsia" w:eastAsiaTheme="minorEastAsia" w:cstheme="minorEastAsia"/>
                <w:i w:val="0"/>
                <w:caps w:val="0"/>
                <w:color w:val="auto"/>
                <w:spacing w:val="0"/>
                <w:sz w:val="22"/>
                <w:szCs w:val="22"/>
                <w:highlight w:val="none"/>
                <w:shd w:val="clear" w:fill="FFFFFF"/>
                <w:lang w:val="en-US" w:eastAsia="zh-CN"/>
              </w:rPr>
              <w:t>合同履行期限一年，总服务期限两年（一年一签），根据考核情况续签下一年。</w:t>
            </w:r>
          </w:p>
        </w:tc>
      </w:tr>
      <w:tr w14:paraId="4163F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379" w:type="pct"/>
            <w:noWrap w:val="0"/>
            <w:vAlign w:val="center"/>
          </w:tcPr>
          <w:p w14:paraId="5888BECD">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5</w:t>
            </w:r>
          </w:p>
        </w:tc>
        <w:tc>
          <w:tcPr>
            <w:tcW w:w="735" w:type="pct"/>
            <w:noWrap w:val="0"/>
            <w:vAlign w:val="center"/>
          </w:tcPr>
          <w:p w14:paraId="41C5468A">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质量目标</w:t>
            </w:r>
          </w:p>
        </w:tc>
        <w:tc>
          <w:tcPr>
            <w:tcW w:w="3884" w:type="pct"/>
            <w:noWrap w:val="0"/>
            <w:vAlign w:val="center"/>
          </w:tcPr>
          <w:p w14:paraId="344FDF22">
            <w:pPr>
              <w:keepNext w:val="0"/>
              <w:keepLines w:val="0"/>
              <w:suppressLineNumbers w:val="0"/>
              <w:shd w:val="clear" w:color="auto" w:fill="auto"/>
              <w:adjustRightInd w:val="0"/>
              <w:snapToGrid w:val="0"/>
              <w:spacing w:before="0" w:beforeAutospacing="0" w:after="0" w:afterAutospacing="0" w:line="440" w:lineRule="exact"/>
              <w:ind w:left="0" w:right="0"/>
              <w:rPr>
                <w:rFonts w:hint="eastAsia" w:ascii="宋体" w:hAnsi="宋体" w:eastAsia="宋体" w:cs="宋体"/>
                <w:snapToGrid w:val="0"/>
                <w:color w:val="auto"/>
                <w:kern w:val="0"/>
                <w:sz w:val="22"/>
                <w:szCs w:val="22"/>
                <w:highlight w:val="none"/>
                <w:lang w:eastAsia="zh-CN"/>
              </w:rPr>
            </w:pPr>
            <w:r>
              <w:rPr>
                <w:rFonts w:hint="eastAsia" w:ascii="宋体" w:hAnsi="宋体" w:cs="宋体"/>
                <w:snapToGrid w:val="0"/>
                <w:color w:val="auto"/>
                <w:kern w:val="0"/>
                <w:sz w:val="22"/>
                <w:szCs w:val="22"/>
                <w:highlight w:val="none"/>
                <w:lang w:eastAsia="zh-CN"/>
              </w:rPr>
              <w:t>达到国家及行业质量验收合格标准</w:t>
            </w:r>
          </w:p>
        </w:tc>
      </w:tr>
      <w:tr w14:paraId="048B5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79" w:type="pct"/>
            <w:noWrap w:val="0"/>
            <w:vAlign w:val="center"/>
          </w:tcPr>
          <w:p w14:paraId="2EF8D539">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6</w:t>
            </w:r>
          </w:p>
        </w:tc>
        <w:tc>
          <w:tcPr>
            <w:tcW w:w="735" w:type="pct"/>
            <w:noWrap w:val="0"/>
            <w:vAlign w:val="center"/>
          </w:tcPr>
          <w:p w14:paraId="5EF16096">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资    金</w:t>
            </w:r>
          </w:p>
        </w:tc>
        <w:tc>
          <w:tcPr>
            <w:tcW w:w="3884" w:type="pct"/>
            <w:noWrap w:val="0"/>
            <w:vAlign w:val="center"/>
          </w:tcPr>
          <w:p w14:paraId="1F0C0A19">
            <w:pPr>
              <w:keepNext w:val="0"/>
              <w:keepLines w:val="0"/>
              <w:suppressLineNumbers w:val="0"/>
              <w:shd w:val="clear" w:color="auto" w:fill="auto"/>
              <w:adjustRightInd w:val="0"/>
              <w:snapToGrid w:val="0"/>
              <w:spacing w:before="0" w:beforeAutospacing="0" w:after="0" w:afterAutospacing="0" w:line="440" w:lineRule="exact"/>
              <w:ind w:left="0" w:right="0"/>
              <w:rPr>
                <w:rFonts w:hint="eastAsia" w:ascii="宋体" w:hAnsi="宋体" w:eastAsia="宋体" w:cs="宋体"/>
                <w:snapToGrid w:val="0"/>
                <w:color w:val="auto"/>
                <w:kern w:val="0"/>
                <w:sz w:val="22"/>
                <w:szCs w:val="22"/>
                <w:highlight w:val="none"/>
              </w:rPr>
            </w:pPr>
            <w:r>
              <w:rPr>
                <w:rFonts w:hint="eastAsia" w:ascii="宋体" w:hAnsi="宋体" w:eastAsia="宋体" w:cs="宋体"/>
                <w:color w:val="auto"/>
                <w:kern w:val="0"/>
                <w:sz w:val="22"/>
                <w:szCs w:val="22"/>
                <w:highlight w:val="none"/>
              </w:rPr>
              <w:t>财政专项资金</w:t>
            </w:r>
          </w:p>
        </w:tc>
      </w:tr>
      <w:tr w14:paraId="779EB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79" w:type="pct"/>
            <w:noWrap w:val="0"/>
            <w:vAlign w:val="center"/>
          </w:tcPr>
          <w:p w14:paraId="58C39D57">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7</w:t>
            </w:r>
          </w:p>
        </w:tc>
        <w:tc>
          <w:tcPr>
            <w:tcW w:w="735" w:type="pct"/>
            <w:shd w:val="clear" w:color="auto" w:fill="auto"/>
            <w:noWrap w:val="0"/>
            <w:vAlign w:val="center"/>
          </w:tcPr>
          <w:p w14:paraId="53E8E821">
            <w:pPr>
              <w:keepNext w:val="0"/>
              <w:keepLines w:val="0"/>
              <w:suppressLineNumbers w:val="0"/>
              <w:shd w:val="clear" w:color="auto" w:fill="auto"/>
              <w:overflowPunct w:val="0"/>
              <w:adjustRightInd w:val="0"/>
              <w:snapToGrid w:val="0"/>
              <w:spacing w:before="0" w:beforeAutospacing="0" w:after="0" w:afterAutospacing="0" w:line="44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招标范围</w:t>
            </w:r>
          </w:p>
        </w:tc>
        <w:tc>
          <w:tcPr>
            <w:tcW w:w="3884" w:type="pct"/>
            <w:shd w:val="clear" w:color="auto" w:fill="auto"/>
            <w:noWrap w:val="0"/>
            <w:vAlign w:val="center"/>
          </w:tcPr>
          <w:p w14:paraId="74B01C14">
            <w:pPr>
              <w:keepNext w:val="0"/>
              <w:keepLines w:val="0"/>
              <w:widowControl/>
              <w:suppressLineNumbers w:val="0"/>
              <w:shd w:val="clear" w:color="auto" w:fill="auto"/>
              <w:adjustRightInd w:val="0"/>
              <w:snapToGrid w:val="0"/>
              <w:spacing w:before="0" w:beforeAutospacing="0" w:after="0" w:afterAutospacing="0" w:line="440" w:lineRule="exact"/>
              <w:ind w:left="0" w:right="-197" w:rightChars="-94"/>
              <w:rPr>
                <w:rFonts w:hint="eastAsia" w:ascii="宋体" w:hAnsi="宋体" w:eastAsia="宋体" w:cs="宋体"/>
                <w:color w:val="auto"/>
                <w:sz w:val="22"/>
                <w:szCs w:val="22"/>
                <w:highlight w:val="none"/>
              </w:rPr>
            </w:pPr>
            <w:r>
              <w:rPr>
                <w:rFonts w:hint="eastAsia" w:asciiTheme="minorEastAsia" w:hAnsiTheme="minorEastAsia" w:eastAsiaTheme="minorEastAsia" w:cstheme="minorEastAsia"/>
                <w:i w:val="0"/>
                <w:caps w:val="0"/>
                <w:color w:val="auto"/>
                <w:spacing w:val="0"/>
                <w:sz w:val="22"/>
                <w:szCs w:val="22"/>
                <w:highlight w:val="none"/>
                <w:shd w:val="clear" w:fill="FFFFFF"/>
                <w:lang w:eastAsia="zh-CN"/>
              </w:rPr>
              <w:t>2026年度榆佳经济技术开发区两厂(场)运营管理服务项目</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详见招标文件第四章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p>
        </w:tc>
      </w:tr>
      <w:tr w14:paraId="76D94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9" w:type="pct"/>
            <w:noWrap w:val="0"/>
            <w:vAlign w:val="center"/>
          </w:tcPr>
          <w:p w14:paraId="6D75DF67">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8</w:t>
            </w:r>
          </w:p>
        </w:tc>
        <w:tc>
          <w:tcPr>
            <w:tcW w:w="735" w:type="pct"/>
            <w:noWrap w:val="0"/>
            <w:vAlign w:val="center"/>
          </w:tcPr>
          <w:p w14:paraId="5C884306">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投标人资格</w:t>
            </w:r>
          </w:p>
          <w:p w14:paraId="74F479E3">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条件</w:t>
            </w:r>
          </w:p>
        </w:tc>
        <w:tc>
          <w:tcPr>
            <w:tcW w:w="3884" w:type="pct"/>
            <w:noWrap w:val="0"/>
            <w:vAlign w:val="center"/>
          </w:tcPr>
          <w:p w14:paraId="1217D6EC">
            <w:pPr>
              <w:pStyle w:val="18"/>
              <w:keepNext w:val="0"/>
              <w:keepLines w:val="0"/>
              <w:pageBreakBefore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宋体" w:hAnsi="宋体" w:eastAsia="宋体" w:cs="宋体"/>
                <w:b w:val="0"/>
                <w:bCs w:val="0"/>
                <w:color w:val="auto"/>
                <w:kern w:val="0"/>
                <w:sz w:val="22"/>
                <w:szCs w:val="22"/>
                <w:highlight w:val="none"/>
                <w:lang w:val="en-US" w:eastAsia="zh-CN" w:bidi="ar-SA"/>
              </w:rPr>
            </w:pPr>
            <w:r>
              <w:rPr>
                <w:rFonts w:hint="eastAsia" w:ascii="宋体" w:hAnsi="宋体" w:eastAsia="宋体" w:cs="宋体"/>
                <w:b w:val="0"/>
                <w:bCs w:val="0"/>
                <w:color w:val="auto"/>
                <w:kern w:val="0"/>
                <w:sz w:val="22"/>
                <w:szCs w:val="22"/>
                <w:highlight w:val="none"/>
                <w:lang w:val="en-US" w:eastAsia="zh-CN" w:bidi="ar-SA"/>
              </w:rPr>
              <w:t>1、基本资格条件：符合《中华人民共和国政府采购法》第二十二条的规定；</w:t>
            </w:r>
          </w:p>
          <w:p w14:paraId="32D1076A">
            <w:pPr>
              <w:pStyle w:val="18"/>
              <w:keepNext w:val="0"/>
              <w:keepLines w:val="0"/>
              <w:pageBreakBefore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leftChars="0" w:right="0" w:firstLine="440" w:firstLineChars="200"/>
              <w:textAlignment w:val="auto"/>
              <w:rPr>
                <w:rFonts w:hint="eastAsia" w:ascii="宋体" w:hAnsi="宋体" w:eastAsia="宋体" w:cs="宋体"/>
                <w:b w:val="0"/>
                <w:bCs w:val="0"/>
                <w:color w:val="auto"/>
                <w:kern w:val="0"/>
                <w:sz w:val="22"/>
                <w:szCs w:val="22"/>
                <w:highlight w:val="none"/>
                <w:lang w:val="en-US" w:eastAsia="zh-CN" w:bidi="ar-SA"/>
              </w:rPr>
            </w:pPr>
            <w:r>
              <w:rPr>
                <w:rFonts w:hint="eastAsia" w:ascii="宋体" w:hAnsi="宋体" w:eastAsia="宋体" w:cs="宋体"/>
                <w:b w:val="0"/>
                <w:bCs w:val="0"/>
                <w:color w:val="auto"/>
                <w:kern w:val="0"/>
                <w:sz w:val="22"/>
                <w:szCs w:val="22"/>
                <w:highlight w:val="none"/>
                <w:lang w:val="en-US" w:eastAsia="zh-CN" w:bidi="ar-SA"/>
              </w:rPr>
              <w:t>2、特定资格要求：</w:t>
            </w:r>
          </w:p>
          <w:p w14:paraId="5F4C81AA">
            <w:pPr>
              <w:pStyle w:val="100"/>
              <w:keepNext w:val="0"/>
              <w:keepLines w:val="0"/>
              <w:widowControl/>
              <w:suppressLineNumbers w:val="0"/>
              <w:spacing w:before="0" w:beforeAutospacing="0" w:after="0" w:afterAutospacing="0" w:line="360" w:lineRule="auto"/>
              <w:ind w:left="480" w:right="0"/>
              <w:rPr>
                <w:rFonts w:hint="eastAsia" w:ascii="宋体" w:hAnsi="宋体" w:eastAsia="宋体" w:cs="宋体"/>
                <w:sz w:val="22"/>
                <w:szCs w:val="22"/>
                <w:highlight w:val="none"/>
              </w:rPr>
            </w:pPr>
            <w:r>
              <w:rPr>
                <w:rFonts w:hint="eastAsia" w:ascii="宋体" w:hAnsi="宋体" w:eastAsia="宋体" w:cs="宋体"/>
                <w:sz w:val="22"/>
                <w:szCs w:val="22"/>
                <w:highlight w:val="none"/>
              </w:rPr>
              <w:t>（1）投标人为具有独立承担民事责任能力的法人。企业法人应提供合法有效的标识有统一社会信用代码的营业执照；</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2）财务状况报告：提供完整的2024年度赋码财务审计报告，成立时间至提交投标文件截止时间不足一年的提供其基本账户开户银行出具的资信证明及基本账户开户许可证；（注：2022年后已在注册会计师行业统一监管平台（http://acc.mof.gov.cn/）报备的财务审计报告须可查询，并提供网页查询截图。）</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（3）社会保障资金缴纳证明：提供2025年1月至投标截止时间止至少</w:t>
            </w: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rPr>
              <w:t>个月的社会保障资金银行缴费单据或社保机构开具的社会保险参保缴费情况证明</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五险一金任意一项即可）</w:t>
            </w:r>
            <w:r>
              <w:rPr>
                <w:rFonts w:hint="eastAsia" w:ascii="宋体" w:hAnsi="宋体" w:eastAsia="宋体" w:cs="宋体"/>
                <w:sz w:val="22"/>
                <w:szCs w:val="22"/>
                <w:highlight w:val="none"/>
              </w:rPr>
              <w:t>，依法不需要缴纳社会保障资金的单位应提供相关证明材料（加盖公章的复印件）；</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（4）税收缴纳证明：提供2025年1月至投标截止时间止至少</w:t>
            </w: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rPr>
              <w:t>个月的纳税证明（银行缴费凭证）或完税证明（时间以税款所属日期为准、税种须包含增值税或企业所得税或营业税），依法免税的单位应提供相关证明材料；</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（5）参加政府采购活动前三年内，在经营活动中没有重大违法记录的书面声明；</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（6）提供具有履行合同所必需的设备和专业技术能力的证明资料或承诺书；</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7）对列入“信用中国”网站(www.creditchina.gov.cn)“记录失信被执行人、重大税收违法案件当事人名单、企业经营异常名录”记录名单；中国政府采购网(www.ccgp.gov.cn)“政府采购严重违法失信行为信息记录”的单位，应当拒绝参与政府采购活动（处罚期限届满的除外，如相关失信记录已失效，投标人需提供相关证明资料，附投标截止日前的查询结果但以投标截止日当天查询结果为准）。提供“信用中国”网站(www.creditchina.gov.cn)、中国政府采购网(www.ccgp.gov.cn)等网页截图加盖投标人公章（鲜章）为准；</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（8）本项目采用信用承诺书代替投标保证金，提供信用中国陕西榆林承诺网页截图（截图须体现合同包名称）；</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（9）提供《榆林市政府采购服务类项目供应商信用承诺书》；</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（10）本项目专门面向中小企业采购，投标人须填写《中小企业声明函》；</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（11）本项目不接受联合体投标，单位负责人为同一人或者存在直接控股、管理关系的不同投标人，不得参加同一合同项下的政府采购活动。（提供书面声明材料）</w:t>
            </w:r>
          </w:p>
          <w:p w14:paraId="52B9469E">
            <w:pPr>
              <w:pStyle w:val="18"/>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leftChars="0" w:right="0" w:rightChars="0" w:firstLine="440" w:firstLineChars="200"/>
              <w:textAlignment w:val="auto"/>
              <w:rPr>
                <w:rFonts w:hint="eastAsia" w:ascii="宋体" w:hAnsi="宋体" w:cs="宋体"/>
                <w:b w:val="0"/>
                <w:bCs w:val="0"/>
                <w:color w:val="auto"/>
                <w:kern w:val="0"/>
                <w:sz w:val="22"/>
                <w:szCs w:val="22"/>
                <w:highlight w:val="none"/>
                <w:lang w:val="en-US" w:eastAsia="zh-CN" w:bidi="ar-SA"/>
              </w:rPr>
            </w:pPr>
            <w:r>
              <w:rPr>
                <w:rFonts w:hint="eastAsia" w:ascii="宋体" w:hAnsi="宋体" w:cs="宋体"/>
                <w:sz w:val="22"/>
                <w:szCs w:val="22"/>
                <w:highlight w:val="none"/>
                <w:lang w:val="en-US" w:eastAsia="zh-CN"/>
              </w:rPr>
              <w:t xml:space="preserve"> </w:t>
            </w:r>
            <w:r>
              <w:rPr>
                <w:rFonts w:hint="eastAsia" w:ascii="宋体" w:hAnsi="宋体" w:eastAsia="宋体" w:cs="宋体"/>
                <w:b/>
                <w:bCs/>
                <w:color w:val="auto"/>
                <w:spacing w:val="4"/>
                <w:w w:val="99"/>
                <w:sz w:val="22"/>
                <w:szCs w:val="22"/>
                <w:highlight w:val="none"/>
                <w:lang w:eastAsia="zh-CN"/>
              </w:rPr>
              <w:t>注</w:t>
            </w:r>
            <w:r>
              <w:rPr>
                <w:rFonts w:hint="eastAsia" w:ascii="宋体" w:hAnsi="宋体" w:eastAsia="宋体" w:cs="宋体"/>
                <w:b/>
                <w:bCs/>
                <w:color w:val="auto"/>
                <w:spacing w:val="-65"/>
                <w:w w:val="99"/>
                <w:sz w:val="22"/>
                <w:szCs w:val="22"/>
                <w:highlight w:val="none"/>
                <w:lang w:eastAsia="zh-CN"/>
              </w:rPr>
              <w:t>：</w:t>
            </w:r>
            <w:r>
              <w:rPr>
                <w:rFonts w:hint="eastAsia" w:ascii="宋体" w:hAnsi="宋体" w:eastAsia="宋体" w:cs="宋体"/>
                <w:b/>
                <w:bCs/>
                <w:color w:val="auto"/>
                <w:spacing w:val="2"/>
                <w:sz w:val="22"/>
                <w:szCs w:val="22"/>
                <w:highlight w:val="none"/>
                <w:lang w:eastAsia="zh-CN"/>
              </w:rPr>
              <w:t>以</w:t>
            </w:r>
            <w:r>
              <w:rPr>
                <w:rFonts w:hint="eastAsia" w:ascii="宋体" w:hAnsi="宋体" w:eastAsia="宋体" w:cs="宋体"/>
                <w:b/>
                <w:bCs/>
                <w:color w:val="auto"/>
                <w:spacing w:val="4"/>
                <w:sz w:val="22"/>
                <w:szCs w:val="22"/>
                <w:highlight w:val="none"/>
                <w:lang w:eastAsia="zh-CN"/>
              </w:rPr>
              <w:t>上</w:t>
            </w:r>
            <w:r>
              <w:rPr>
                <w:rFonts w:hint="eastAsia" w:ascii="宋体" w:hAnsi="宋体" w:eastAsia="宋体" w:cs="宋体"/>
                <w:b/>
                <w:bCs/>
                <w:color w:val="auto"/>
                <w:spacing w:val="2"/>
                <w:sz w:val="22"/>
                <w:szCs w:val="22"/>
                <w:highlight w:val="none"/>
                <w:lang w:eastAsia="zh-CN"/>
              </w:rPr>
              <w:t>为</w:t>
            </w:r>
            <w:r>
              <w:rPr>
                <w:rFonts w:hint="eastAsia" w:ascii="宋体" w:hAnsi="宋体" w:eastAsia="宋体" w:cs="宋体"/>
                <w:b/>
                <w:bCs/>
                <w:color w:val="auto"/>
                <w:spacing w:val="4"/>
                <w:sz w:val="22"/>
                <w:szCs w:val="22"/>
                <w:highlight w:val="none"/>
                <w:lang w:eastAsia="zh-CN"/>
              </w:rPr>
              <w:t>必</w:t>
            </w:r>
            <w:r>
              <w:rPr>
                <w:rFonts w:hint="eastAsia" w:ascii="宋体" w:hAnsi="宋体" w:eastAsia="宋体" w:cs="宋体"/>
                <w:b/>
                <w:bCs/>
                <w:color w:val="auto"/>
                <w:spacing w:val="2"/>
                <w:sz w:val="22"/>
                <w:szCs w:val="22"/>
                <w:highlight w:val="none"/>
                <w:lang w:eastAsia="zh-CN"/>
              </w:rPr>
              <w:t>备</w:t>
            </w:r>
            <w:r>
              <w:rPr>
                <w:rFonts w:hint="eastAsia" w:ascii="宋体" w:hAnsi="宋体" w:eastAsia="宋体" w:cs="宋体"/>
                <w:b/>
                <w:bCs/>
                <w:color w:val="auto"/>
                <w:spacing w:val="4"/>
                <w:sz w:val="22"/>
                <w:szCs w:val="22"/>
                <w:highlight w:val="none"/>
                <w:lang w:eastAsia="zh-CN"/>
              </w:rPr>
              <w:t>资</w:t>
            </w:r>
            <w:r>
              <w:rPr>
                <w:rFonts w:hint="eastAsia" w:ascii="宋体" w:hAnsi="宋体" w:eastAsia="宋体" w:cs="宋体"/>
                <w:b/>
                <w:bCs/>
                <w:color w:val="auto"/>
                <w:spacing w:val="2"/>
                <w:sz w:val="22"/>
                <w:szCs w:val="22"/>
                <w:highlight w:val="none"/>
                <w:lang w:eastAsia="zh-CN"/>
              </w:rPr>
              <w:t>质</w:t>
            </w:r>
            <w:r>
              <w:rPr>
                <w:rFonts w:hint="eastAsia" w:ascii="宋体" w:hAnsi="宋体" w:eastAsia="宋体" w:cs="宋体"/>
                <w:b/>
                <w:bCs/>
                <w:color w:val="auto"/>
                <w:spacing w:val="-65"/>
                <w:sz w:val="22"/>
                <w:szCs w:val="22"/>
                <w:highlight w:val="none"/>
                <w:lang w:eastAsia="zh-CN"/>
              </w:rPr>
              <w:t>，</w:t>
            </w:r>
            <w:r>
              <w:rPr>
                <w:rFonts w:hint="eastAsia" w:ascii="宋体" w:hAnsi="宋体" w:eastAsia="宋体" w:cs="宋体"/>
                <w:b/>
                <w:bCs/>
                <w:color w:val="auto"/>
                <w:spacing w:val="2"/>
                <w:sz w:val="22"/>
                <w:szCs w:val="22"/>
                <w:highlight w:val="none"/>
                <w:lang w:eastAsia="zh-CN"/>
              </w:rPr>
              <w:t>缺</w:t>
            </w:r>
            <w:r>
              <w:rPr>
                <w:rFonts w:hint="eastAsia" w:ascii="宋体" w:hAnsi="宋体" w:eastAsia="宋体" w:cs="宋体"/>
                <w:b/>
                <w:bCs/>
                <w:color w:val="auto"/>
                <w:spacing w:val="4"/>
                <w:sz w:val="22"/>
                <w:szCs w:val="22"/>
                <w:highlight w:val="none"/>
                <w:lang w:eastAsia="zh-CN"/>
              </w:rPr>
              <w:t>一</w:t>
            </w:r>
            <w:r>
              <w:rPr>
                <w:rFonts w:hint="eastAsia" w:ascii="宋体" w:hAnsi="宋体" w:eastAsia="宋体" w:cs="宋体"/>
                <w:b/>
                <w:bCs/>
                <w:color w:val="auto"/>
                <w:spacing w:val="2"/>
                <w:sz w:val="22"/>
                <w:szCs w:val="22"/>
                <w:highlight w:val="none"/>
                <w:lang w:eastAsia="zh-CN"/>
              </w:rPr>
              <w:t>项</w:t>
            </w:r>
            <w:r>
              <w:rPr>
                <w:rFonts w:hint="eastAsia" w:ascii="宋体" w:hAnsi="宋体" w:eastAsia="宋体" w:cs="宋体"/>
                <w:b/>
                <w:bCs/>
                <w:color w:val="auto"/>
                <w:spacing w:val="4"/>
                <w:sz w:val="22"/>
                <w:szCs w:val="22"/>
                <w:highlight w:val="none"/>
                <w:lang w:eastAsia="zh-CN"/>
              </w:rPr>
              <w:t>或</w:t>
            </w:r>
            <w:r>
              <w:rPr>
                <w:rFonts w:hint="eastAsia" w:ascii="宋体" w:hAnsi="宋体" w:eastAsia="宋体" w:cs="宋体"/>
                <w:b/>
                <w:bCs/>
                <w:color w:val="auto"/>
                <w:spacing w:val="2"/>
                <w:sz w:val="22"/>
                <w:szCs w:val="22"/>
                <w:highlight w:val="none"/>
                <w:lang w:eastAsia="zh-CN"/>
              </w:rPr>
              <w:t>某</w:t>
            </w:r>
            <w:r>
              <w:rPr>
                <w:rFonts w:hint="eastAsia" w:ascii="宋体" w:hAnsi="宋体" w:eastAsia="宋体" w:cs="宋体"/>
                <w:b/>
                <w:bCs/>
                <w:color w:val="auto"/>
                <w:spacing w:val="4"/>
                <w:sz w:val="22"/>
                <w:szCs w:val="22"/>
                <w:highlight w:val="none"/>
                <w:lang w:eastAsia="zh-CN"/>
              </w:rPr>
              <w:t>项</w:t>
            </w:r>
            <w:r>
              <w:rPr>
                <w:rFonts w:hint="eastAsia" w:ascii="宋体" w:hAnsi="宋体" w:eastAsia="宋体" w:cs="宋体"/>
                <w:b/>
                <w:bCs/>
                <w:color w:val="auto"/>
                <w:spacing w:val="2"/>
                <w:sz w:val="22"/>
                <w:szCs w:val="22"/>
                <w:highlight w:val="none"/>
                <w:lang w:eastAsia="zh-CN"/>
              </w:rPr>
              <w:t>达不</w:t>
            </w:r>
            <w:r>
              <w:rPr>
                <w:rFonts w:hint="eastAsia" w:ascii="宋体" w:hAnsi="宋体" w:eastAsia="宋体" w:cs="宋体"/>
                <w:b/>
                <w:bCs/>
                <w:color w:val="auto"/>
                <w:spacing w:val="4"/>
                <w:sz w:val="22"/>
                <w:szCs w:val="22"/>
                <w:highlight w:val="none"/>
                <w:lang w:eastAsia="zh-CN"/>
              </w:rPr>
              <w:t>到</w:t>
            </w:r>
            <w:r>
              <w:rPr>
                <w:rFonts w:hint="eastAsia" w:ascii="宋体" w:hAnsi="宋体" w:eastAsia="宋体" w:cs="宋体"/>
                <w:b/>
                <w:bCs/>
                <w:color w:val="auto"/>
                <w:spacing w:val="2"/>
                <w:sz w:val="22"/>
                <w:szCs w:val="22"/>
                <w:highlight w:val="none"/>
                <w:lang w:eastAsia="zh-CN"/>
              </w:rPr>
              <w:t>要</w:t>
            </w:r>
            <w:r>
              <w:rPr>
                <w:rFonts w:hint="eastAsia" w:ascii="宋体" w:hAnsi="宋体" w:eastAsia="宋体" w:cs="宋体"/>
                <w:b/>
                <w:bCs/>
                <w:color w:val="auto"/>
                <w:spacing w:val="4"/>
                <w:sz w:val="22"/>
                <w:szCs w:val="22"/>
                <w:highlight w:val="none"/>
                <w:lang w:eastAsia="zh-CN"/>
              </w:rPr>
              <w:t>求</w:t>
            </w:r>
            <w:r>
              <w:rPr>
                <w:rFonts w:hint="eastAsia" w:ascii="宋体" w:hAnsi="宋体" w:eastAsia="宋体" w:cs="宋体"/>
                <w:b/>
                <w:bCs/>
                <w:color w:val="auto"/>
                <w:spacing w:val="-63"/>
                <w:sz w:val="22"/>
                <w:szCs w:val="22"/>
                <w:highlight w:val="none"/>
                <w:lang w:eastAsia="zh-CN"/>
              </w:rPr>
              <w:t>，</w:t>
            </w:r>
            <w:r>
              <w:rPr>
                <w:rFonts w:hint="eastAsia" w:ascii="宋体" w:hAnsi="宋体" w:eastAsia="宋体" w:cs="宋体"/>
                <w:b/>
                <w:bCs/>
                <w:color w:val="auto"/>
                <w:spacing w:val="2"/>
                <w:sz w:val="22"/>
                <w:szCs w:val="22"/>
                <w:highlight w:val="none"/>
                <w:lang w:eastAsia="zh-CN"/>
              </w:rPr>
              <w:t>按</w:t>
            </w:r>
            <w:r>
              <w:rPr>
                <w:rFonts w:hint="eastAsia" w:ascii="宋体" w:hAnsi="宋体" w:eastAsia="宋体" w:cs="宋体"/>
                <w:b/>
                <w:bCs/>
                <w:color w:val="auto"/>
                <w:spacing w:val="4"/>
                <w:sz w:val="22"/>
                <w:szCs w:val="22"/>
                <w:highlight w:val="none"/>
                <w:lang w:eastAsia="zh-CN"/>
              </w:rPr>
              <w:t>无</w:t>
            </w:r>
            <w:r>
              <w:rPr>
                <w:rFonts w:hint="eastAsia" w:ascii="宋体" w:hAnsi="宋体" w:eastAsia="宋体" w:cs="宋体"/>
                <w:b/>
                <w:bCs/>
                <w:color w:val="auto"/>
                <w:spacing w:val="2"/>
                <w:sz w:val="22"/>
                <w:szCs w:val="22"/>
                <w:highlight w:val="none"/>
                <w:lang w:eastAsia="zh-CN"/>
              </w:rPr>
              <w:t>效</w:t>
            </w:r>
            <w:r>
              <w:rPr>
                <w:rFonts w:hint="eastAsia" w:ascii="宋体" w:hAnsi="宋体" w:eastAsia="宋体" w:cs="宋体"/>
                <w:b/>
                <w:bCs/>
                <w:color w:val="auto"/>
                <w:spacing w:val="4"/>
                <w:sz w:val="22"/>
                <w:szCs w:val="22"/>
                <w:highlight w:val="none"/>
                <w:lang w:eastAsia="zh-CN"/>
              </w:rPr>
              <w:t>处</w:t>
            </w:r>
            <w:r>
              <w:rPr>
                <w:rFonts w:hint="eastAsia" w:ascii="宋体" w:hAnsi="宋体" w:eastAsia="宋体" w:cs="宋体"/>
                <w:b/>
                <w:bCs/>
                <w:color w:val="auto"/>
                <w:spacing w:val="2"/>
                <w:sz w:val="22"/>
                <w:szCs w:val="22"/>
                <w:highlight w:val="none"/>
                <w:lang w:eastAsia="zh-CN"/>
              </w:rPr>
              <w:t>理</w:t>
            </w:r>
          </w:p>
        </w:tc>
      </w:tr>
      <w:tr w14:paraId="5E3C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79" w:type="pct"/>
            <w:noWrap w:val="0"/>
            <w:vAlign w:val="center"/>
          </w:tcPr>
          <w:p w14:paraId="4825747A">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9</w:t>
            </w:r>
          </w:p>
        </w:tc>
        <w:tc>
          <w:tcPr>
            <w:tcW w:w="735" w:type="pct"/>
            <w:noWrap w:val="0"/>
            <w:vAlign w:val="center"/>
          </w:tcPr>
          <w:p w14:paraId="19507D97">
            <w:pPr>
              <w:keepNext w:val="0"/>
              <w:keepLines w:val="0"/>
              <w:suppressLineNumbers w:val="0"/>
              <w:shd w:val="clear" w:color="auto" w:fill="auto"/>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是否接受联合体投标</w:t>
            </w:r>
          </w:p>
        </w:tc>
        <w:tc>
          <w:tcPr>
            <w:tcW w:w="3884" w:type="pct"/>
            <w:noWrap w:val="0"/>
            <w:vAlign w:val="center"/>
          </w:tcPr>
          <w:p w14:paraId="032F99C2">
            <w:pPr>
              <w:keepNext w:val="0"/>
              <w:keepLines w:val="0"/>
              <w:suppressLineNumbers w:val="0"/>
              <w:shd w:val="clear" w:color="auto" w:fill="auto"/>
              <w:adjustRightInd w:val="0"/>
              <w:snapToGrid w:val="0"/>
              <w:spacing w:before="0" w:beforeAutospacing="0" w:after="0" w:afterAutospacing="0" w:line="240" w:lineRule="auto"/>
              <w:ind w:left="0" w:right="0"/>
              <w:jc w:val="lef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lang w:val="en-US" w:eastAsia="zh-CN"/>
              </w:rPr>
              <w:t>不</w:t>
            </w:r>
            <w:r>
              <w:rPr>
                <w:rFonts w:hint="eastAsia" w:ascii="宋体" w:hAnsi="宋体" w:eastAsia="宋体" w:cs="宋体"/>
                <w:snapToGrid w:val="0"/>
                <w:color w:val="auto"/>
                <w:kern w:val="0"/>
                <w:sz w:val="22"/>
                <w:szCs w:val="22"/>
                <w:highlight w:val="none"/>
              </w:rPr>
              <w:t>接受</w:t>
            </w:r>
          </w:p>
        </w:tc>
      </w:tr>
      <w:tr w14:paraId="2BD03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379" w:type="pct"/>
            <w:noWrap w:val="0"/>
            <w:vAlign w:val="center"/>
          </w:tcPr>
          <w:p w14:paraId="0B49F1D8">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10</w:t>
            </w:r>
          </w:p>
        </w:tc>
        <w:tc>
          <w:tcPr>
            <w:tcW w:w="735" w:type="pct"/>
            <w:noWrap w:val="0"/>
            <w:vAlign w:val="center"/>
          </w:tcPr>
          <w:p w14:paraId="395CB5C4">
            <w:pPr>
              <w:keepNext w:val="0"/>
              <w:keepLines w:val="0"/>
              <w:suppressLineNumbers w:val="0"/>
              <w:shd w:val="clear" w:color="auto" w:fill="auto"/>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招标方式</w:t>
            </w:r>
          </w:p>
        </w:tc>
        <w:tc>
          <w:tcPr>
            <w:tcW w:w="3884" w:type="pct"/>
            <w:noWrap w:val="0"/>
            <w:vAlign w:val="center"/>
          </w:tcPr>
          <w:p w14:paraId="10F327DB">
            <w:pPr>
              <w:keepNext w:val="0"/>
              <w:keepLines w:val="0"/>
              <w:suppressLineNumbers w:val="0"/>
              <w:shd w:val="clear" w:color="auto" w:fill="auto"/>
              <w:adjustRightInd w:val="0"/>
              <w:snapToGrid w:val="0"/>
              <w:spacing w:before="0" w:beforeAutospacing="0" w:after="0" w:afterAutospacing="0" w:line="240" w:lineRule="auto"/>
              <w:ind w:left="0" w:right="0"/>
              <w:jc w:val="lef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公开招标</w:t>
            </w:r>
          </w:p>
        </w:tc>
      </w:tr>
      <w:tr w14:paraId="1D9DE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379" w:type="pct"/>
            <w:noWrap w:val="0"/>
            <w:vAlign w:val="center"/>
          </w:tcPr>
          <w:p w14:paraId="1AD981EB">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11</w:t>
            </w:r>
          </w:p>
        </w:tc>
        <w:tc>
          <w:tcPr>
            <w:tcW w:w="735" w:type="pct"/>
            <w:noWrap w:val="0"/>
            <w:vAlign w:val="center"/>
          </w:tcPr>
          <w:p w14:paraId="3BF3C3A6">
            <w:pPr>
              <w:keepNext w:val="0"/>
              <w:keepLines w:val="0"/>
              <w:suppressLineNumbers w:val="0"/>
              <w:shd w:val="clear" w:color="auto" w:fill="auto"/>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投标有效期</w:t>
            </w:r>
          </w:p>
        </w:tc>
        <w:tc>
          <w:tcPr>
            <w:tcW w:w="3884" w:type="pct"/>
            <w:noWrap w:val="0"/>
            <w:vAlign w:val="center"/>
          </w:tcPr>
          <w:p w14:paraId="2EE33DC6">
            <w:pPr>
              <w:keepNext w:val="0"/>
              <w:keepLines w:val="0"/>
              <w:suppressLineNumbers w:val="0"/>
              <w:shd w:val="clear" w:color="auto" w:fill="auto"/>
              <w:adjustRightInd w:val="0"/>
              <w:snapToGrid w:val="0"/>
              <w:spacing w:before="0" w:beforeAutospacing="0" w:after="0" w:afterAutospacing="0" w:line="240" w:lineRule="auto"/>
              <w:ind w:left="0" w:right="0"/>
              <w:jc w:val="left"/>
              <w:rPr>
                <w:rFonts w:hint="eastAsia" w:ascii="宋体" w:hAnsi="宋体" w:eastAsia="宋体" w:cs="宋体"/>
                <w:snapToGrid w:val="0"/>
                <w:color w:val="auto"/>
                <w:kern w:val="0"/>
                <w:sz w:val="22"/>
                <w:szCs w:val="22"/>
                <w:highlight w:val="none"/>
              </w:rPr>
            </w:pPr>
            <w:r>
              <w:rPr>
                <w:rFonts w:hint="eastAsia" w:ascii="宋体" w:hAnsi="宋体" w:eastAsia="宋体" w:cs="宋体"/>
                <w:color w:val="auto"/>
                <w:kern w:val="2"/>
                <w:sz w:val="22"/>
                <w:szCs w:val="22"/>
                <w:highlight w:val="none"/>
                <w:lang w:val="en-US" w:eastAsia="zh-CN" w:bidi="ar-SA"/>
              </w:rPr>
              <w:t>投标文件从投标截止日起，投标有效期为90日历天（中标人的投标文件有效期与合同有效期一致）。投标人的投标有效期比招标文件规定短的将被视为非响应性投标而予以拒绝。</w:t>
            </w:r>
          </w:p>
        </w:tc>
      </w:tr>
      <w:tr w14:paraId="296F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79" w:type="pct"/>
            <w:noWrap w:val="0"/>
            <w:vAlign w:val="center"/>
          </w:tcPr>
          <w:p w14:paraId="14CA1378">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12</w:t>
            </w:r>
          </w:p>
        </w:tc>
        <w:tc>
          <w:tcPr>
            <w:tcW w:w="735" w:type="pct"/>
            <w:noWrap w:val="0"/>
            <w:vAlign w:val="center"/>
          </w:tcPr>
          <w:p w14:paraId="5361ADAD">
            <w:pPr>
              <w:keepNext w:val="0"/>
              <w:keepLines w:val="0"/>
              <w:suppressLineNumbers w:val="0"/>
              <w:shd w:val="clear" w:color="auto" w:fill="auto"/>
              <w:adjustRightInd w:val="0"/>
              <w:snapToGrid w:val="0"/>
              <w:spacing w:before="0" w:beforeAutospacing="0" w:after="0" w:afterAutospacing="0" w:line="276" w:lineRule="auto"/>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投标保证金</w:t>
            </w:r>
          </w:p>
        </w:tc>
        <w:tc>
          <w:tcPr>
            <w:tcW w:w="3884" w:type="pct"/>
            <w:noWrap w:val="0"/>
            <w:vAlign w:val="center"/>
          </w:tcPr>
          <w:p w14:paraId="615B5B4B">
            <w:pPr>
              <w:pStyle w:val="91"/>
              <w:keepNext w:val="0"/>
              <w:keepLines w:val="0"/>
              <w:suppressLineNumbers w:val="0"/>
              <w:spacing w:before="109" w:beforeAutospacing="0" w:after="0" w:afterAutospacing="0" w:line="357" w:lineRule="auto"/>
              <w:ind w:left="114" w:right="78"/>
              <w:jc w:val="both"/>
              <w:rPr>
                <w:rFonts w:hint="eastAsia" w:ascii="宋体" w:hAnsi="宋体" w:eastAsia="宋体" w:cs="宋体"/>
                <w:color w:val="auto"/>
                <w:kern w:val="2"/>
                <w:sz w:val="22"/>
                <w:szCs w:val="22"/>
                <w:highlight w:val="none"/>
                <w:lang w:val="en-US" w:eastAsia="zh-CN" w:bidi="ar-SA"/>
              </w:rPr>
            </w:pPr>
            <w:r>
              <w:rPr>
                <w:rFonts w:hint="default"/>
                <w:b/>
                <w:color w:val="auto"/>
                <w:w w:val="100"/>
                <w:sz w:val="22"/>
                <w:szCs w:val="22"/>
                <w:highlight w:val="none"/>
              </w:rPr>
              <w:t>1</w:t>
            </w:r>
            <w:r>
              <w:rPr>
                <w:rFonts w:hint="eastAsia" w:ascii="宋体" w:hAnsi="宋体" w:eastAsia="宋体" w:cs="宋体"/>
                <w:color w:val="auto"/>
                <w:kern w:val="2"/>
                <w:sz w:val="22"/>
                <w:szCs w:val="22"/>
                <w:highlight w:val="none"/>
                <w:lang w:val="en-US" w:eastAsia="zh-CN" w:bidi="ar-SA"/>
              </w:rPr>
              <w:t>、本项目以“投标信用承诺书（保证金）”代替投标保证金，投标人在提交投标文件的同时，向招标人提供“投标信用承诺书”网页截图及加盖企业原色印章的投标信用承诺书，信用承诺书的效力和作用等同投标保证金，其有效期与投标有效期一致。</w:t>
            </w:r>
          </w:p>
          <w:p w14:paraId="3EEC58B5">
            <w:pPr>
              <w:pStyle w:val="91"/>
              <w:keepNext w:val="0"/>
              <w:keepLines w:val="0"/>
              <w:suppressLineNumbers w:val="0"/>
              <w:spacing w:before="0" w:beforeAutospacing="0" w:after="0" w:afterAutospacing="0" w:line="357" w:lineRule="auto"/>
              <w:ind w:left="114" w:right="81"/>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2、投标信用承诺：应在“信用中国(陕西榆林)”网站进行注册、登录、自主上报信用承诺书(网址:</w:t>
            </w:r>
            <w:r>
              <w:rPr>
                <w:rFonts w:hint="eastAsia" w:ascii="宋体" w:hAnsi="宋体" w:eastAsia="宋体" w:cs="宋体"/>
                <w:color w:val="auto"/>
                <w:kern w:val="2"/>
                <w:sz w:val="22"/>
                <w:szCs w:val="22"/>
                <w:highlight w:val="none"/>
                <w:lang w:val="en-US" w:eastAsia="zh-CN" w:bidi="ar-SA"/>
              </w:rPr>
              <w:fldChar w:fldCharType="begin"/>
            </w:r>
            <w:r>
              <w:rPr>
                <w:rFonts w:hint="eastAsia" w:ascii="宋体" w:hAnsi="宋体" w:eastAsia="宋体" w:cs="宋体"/>
                <w:color w:val="auto"/>
                <w:kern w:val="2"/>
                <w:sz w:val="22"/>
                <w:szCs w:val="22"/>
                <w:highlight w:val="none"/>
                <w:lang w:val="en-US" w:eastAsia="zh-CN" w:bidi="ar-SA"/>
              </w:rPr>
              <w:instrText xml:space="preserve"> HYPERLINK "https://credit.yl.gov.cn/)%E9%8A%86%E5%82%9A%E6%82%87%E9%90%A9%E7%A8%BF%E5%8F%A7%E6%B5%9C%E3%82%86%E6%A7%97%E6%B6%93%E8%AE%B3%E7%B6%8B%E5%A8%89%E3%84%A5%E5%94%BD%E9%8A%86%E4%BD%BA%E6%AB%A5%E9%97%84%E5%97%97%E6%82%97%E9%8F%8D%E8%A7%84%E5%B5%81%E9%8E%B5%E8%83%AF%EE%87%AF%E6%B5%9C%E5%AC%AE%E3%80%8D%E9%96%AB%E5%A4%8B%E5%AB%A8%E9%90%A9%E7%A8%BF%E7%B0%B2%E9%90%A8%E5%8B%AC%C4%81%E9%8F%89%E5%9E%AE%EF%BD%9E%E9%8D%90%E6%AC%8D%E2%82%AC%E5%A9%81%E4%BF%8A%E9%90%A2%E3%84%A6%E5%A3%99%E7%92%87%E8%BD%B0%E5%8A%9F%E9%8A%86%E5%AC%B6%E7%B4%9D%E9%AA%9E%E6%83%B0%E6%B5%87%E9%8F%84%E5%BA%A2%E5%A3%99%E7%92%87%E8%BD%B0%E7%B0%A8%E9%90%A2%E6%86%8B%E7%B4%9D%E9%96%B2%E5%9B%AA%E5%96%98%E9%8E%B7%E6%B6%99%E5%A7%87%E9%8F%8D%E5%9B%A8%E6%A4%BF%E9%8D%94%E3%84%A4%E8%85%91%E9%8E%B7%E6%B6%99%E7%88%A3%E6%B5%9C%E6%81%92%E2%82%AC%E4%BD%B9%E5%AB%91%E9%8F%8D%E5%9B%A6%E6%B1%89%E6%BF%AE%E6%97%80%E6%B7%B3%E6%B5%A0%EF%BD%88%E3%80%83%E9%8A%86%E4%BD%B9%E5%A7%87%E9%8F%8D%E5%9B%A6%E6%B1%89%E9%8A%86%E4%BD%B9%E5%A7%87%E9%8F%8D%E5%9B%A6%E6%B1%89%E6%BF%AE%E6%97%80%E5%A2%AD%E6%B5%A0%EF%BD%87%E6%82%8A%E6%B5%9C%E5%93%84%E6%86%B3%E9%8A%86%E4%BD%BD%E7%98%8E%E7%80%B9%E6%AC%8E%E7%AC%93%E7%80%B9%E5%89%81%E6%AE%91%E9%8E%B5%E8%83%AF%EE%87%AF%E6%B5%9C%E5%AC%AC%E6%95%B1%E6%B6%93%E8%A1%A1%E2%82%AC%E6%BB%88%E3%80%8D%E9%90%A9%EE%86%BC%E6%82%95%E7%BB%89%E6%9D%BF%E5%BC%B7%E9%8F%8D%E5%9B%A8%EE%86%8C%E9%88%A5%E6%BF%93%E7%B4%9D%E7%90%9B%E5%B1%BE%E6%96%82%E9%90%A9%E6%88%A0%E6%BD%B1%E9%96%AE%E3%84%A9%E6%A3%AC%E9%8E%B5%D1%84%E7%A1%B6%E6%B5%9C%E5%93%84%E6%86%B3%E9%8A%86%E4%BD%B9%E5%AB%91%E9%8F%8D%E5%9B%A6%E5%94%AC%E9%90%9E%E5%97%98%E6%BA%80%E9%8F%8B%E5%8B%AB%E5%BC%B7%E9%8D%8F%E8%B7%BA%E4%BC%90%E6%B5%A3%E6%BB%80%E6%B1%89%E9%8D%9B%E6%A8%BC%E6%AE%91%E9%8E%B5%E8%83%AF%EE%87%AF%E6%B5%9C%E5%AC%AC%E6%95%B1%E6%B6%93%E8%A1%A1%E2%82%AC%E6%BB%83%E5%8F%95%E9%8D%8F%E8%BE%AB%E7%A5%AB%E5%A9%A7%E6%84%AA%E6%B0%A6%E9%8F%84%E6%92%B3%E9%92%A9%E9%8D%99%E6%89%AE%E6%AE%91%E9%8E%B5%E2%82%AC%E9%8F%88%E5%A4%8B%E6%A4%BF%E9%8D%94%E3%84%A2%E2%82%AC%E6%BF%93%E7%B4%9D%E9%8F%80%E5%9E%AE%E7%B0%BB%E9%96%B2%E5%9B%AA%E5%96%98%E5%A8%B2%E8%AF%B2%E5%A7%A9%E6%B6%93%EE%85%A8%E7%B4%9D%E9%8D%9A%E5%8B%AC%E6%9F%9F%E6%B5%9C%E3%82%86%E6%A7%97%E6%B6%93%E8%AE%B3%E7%B6%8B%E9%90%A8%E5%8B%AC%E5%A3%99%E7%92%87%E8%BD%B0%E7%B0%A8%E9%90%A2%E5%8F%98%E8%B4%9F%E9%88%A5%E6%BB%83%E5%8F%95%E9%8D%8F%E8%BE%AB%E7%A5%AB%E5%A9%A7%E6%84%AA%E6%B0%A6%E9%8F%84%E6%92%B3%E9%92%A9%E9%8D%99%E6%89%AE%E6%AE%91%E9%8E%B5%E2%82%AC%E9%8F%88%E5%A4%8B%E6%A4%BF%E9%8D%94%E3%84%A2%E2%82%AC%E6%BF%84%E2%82%AC%E5%82%A6%E7%B4%99%E9%8E%BF%E5%B6%84%E7%B6%94%E9%8E%B8%E5%9B%A7%E5%B4%A1%E7%91%99%E4%BE%80%E6%AA%AE%E6%B5%A0%E8%AE%B9%E7%B4%9A" \h </w:instrText>
            </w:r>
            <w:r>
              <w:rPr>
                <w:rFonts w:hint="eastAsia" w:ascii="宋体" w:hAnsi="宋体" w:eastAsia="宋体" w:cs="宋体"/>
                <w:color w:val="auto"/>
                <w:kern w:val="2"/>
                <w:sz w:val="22"/>
                <w:szCs w:val="22"/>
                <w:highlight w:val="none"/>
                <w:lang w:val="en-US" w:eastAsia="zh-CN" w:bidi="ar-SA"/>
              </w:rPr>
              <w:fldChar w:fldCharType="separate"/>
            </w:r>
            <w:r>
              <w:rPr>
                <w:rFonts w:hint="eastAsia" w:ascii="宋体" w:hAnsi="宋体" w:eastAsia="宋体" w:cs="宋体"/>
                <w:color w:val="auto"/>
                <w:kern w:val="2"/>
                <w:sz w:val="22"/>
                <w:szCs w:val="22"/>
                <w:highlight w:val="none"/>
                <w:lang w:val="en-US" w:eastAsia="zh-CN" w:bidi="ar-SA"/>
              </w:rPr>
              <w:t xml:space="preserve"> https://credit.yl.gov.cn/)。各投标人注册、登陆后根据 </w:t>
            </w:r>
            <w:r>
              <w:rPr>
                <w:rFonts w:hint="eastAsia" w:ascii="宋体" w:hAnsi="宋体" w:eastAsia="宋体" w:cs="宋体"/>
                <w:color w:val="auto"/>
                <w:kern w:val="2"/>
                <w:sz w:val="22"/>
                <w:szCs w:val="22"/>
                <w:highlight w:val="none"/>
                <w:lang w:val="en-US" w:eastAsia="zh-CN" w:bidi="ar-SA"/>
              </w:rPr>
              <w:fldChar w:fldCharType="end"/>
            </w:r>
            <w:r>
              <w:rPr>
                <w:rFonts w:hint="eastAsia" w:ascii="宋体" w:hAnsi="宋体" w:eastAsia="宋体" w:cs="宋体"/>
                <w:color w:val="auto"/>
                <w:kern w:val="2"/>
                <w:sz w:val="22"/>
                <w:szCs w:val="22"/>
                <w:highlight w:val="none"/>
                <w:lang w:val="en-US" w:eastAsia="zh-CN" w:bidi="ar-SA"/>
              </w:rPr>
              <w:t>承诺事项选择相应的模板填写《信用承诺书》，并载明承诺事由，承诺事由为“</w:t>
            </w:r>
            <w:r>
              <w:rPr>
                <w:rFonts w:hint="eastAsia" w:cs="宋体"/>
                <w:color w:val="auto"/>
                <w:kern w:val="2"/>
                <w:sz w:val="22"/>
                <w:szCs w:val="22"/>
                <w:highlight w:val="none"/>
                <w:lang w:val="en-US" w:eastAsia="zh-CN" w:bidi="ar-SA"/>
              </w:rPr>
              <w:t>项目</w:t>
            </w:r>
            <w:r>
              <w:rPr>
                <w:rFonts w:hint="eastAsia" w:ascii="宋体" w:hAnsi="宋体" w:eastAsia="宋体" w:cs="宋体"/>
                <w:color w:val="auto"/>
                <w:kern w:val="2"/>
                <w:sz w:val="22"/>
                <w:szCs w:val="22"/>
                <w:highlight w:val="none"/>
                <w:lang w:val="en-US" w:eastAsia="zh-CN" w:bidi="ar-SA"/>
              </w:rPr>
              <w:t>名称”。</w:t>
            </w:r>
          </w:p>
          <w:p w14:paraId="0A2A41AA">
            <w:pPr>
              <w:keepNext w:val="0"/>
              <w:keepLines w:val="0"/>
              <w:suppressLineNumbers w:val="0"/>
              <w:shd w:val="clear" w:color="auto" w:fill="auto"/>
              <w:adjustRightInd w:val="0"/>
              <w:snapToGrid w:val="0"/>
              <w:spacing w:before="0" w:beforeAutospacing="0" w:after="0" w:afterAutospacing="0" w:line="276"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3、对于未能按要求提交“投标信用承诺书（保证金）”的投标人，招标人将视为不响应招标文件而予以拒绝”。</w:t>
            </w:r>
          </w:p>
        </w:tc>
      </w:tr>
      <w:tr w14:paraId="3A064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9" w:type="pct"/>
            <w:noWrap w:val="0"/>
            <w:vAlign w:val="center"/>
          </w:tcPr>
          <w:p w14:paraId="4EC12F95">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13</w:t>
            </w:r>
          </w:p>
        </w:tc>
        <w:tc>
          <w:tcPr>
            <w:tcW w:w="735" w:type="pct"/>
            <w:noWrap w:val="0"/>
            <w:vAlign w:val="center"/>
          </w:tcPr>
          <w:p w14:paraId="7E209394">
            <w:pPr>
              <w:keepNext w:val="0"/>
              <w:keepLines w:val="0"/>
              <w:suppressLineNumbers w:val="0"/>
              <w:shd w:val="clear" w:color="auto" w:fill="auto"/>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投标替代</w:t>
            </w:r>
          </w:p>
          <w:p w14:paraId="67299C40">
            <w:pPr>
              <w:keepNext w:val="0"/>
              <w:keepLines w:val="0"/>
              <w:suppressLineNumbers w:val="0"/>
              <w:shd w:val="clear" w:color="auto" w:fill="auto"/>
              <w:adjustRightInd w:val="0"/>
              <w:snapToGrid w:val="0"/>
              <w:spacing w:before="0" w:beforeAutospacing="0" w:after="0" w:afterAutospacing="0" w:line="240" w:lineRule="auto"/>
              <w:ind w:left="0" w:right="0"/>
              <w:jc w:val="center"/>
              <w:rPr>
                <w:rFonts w:hint="default"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rPr>
              <w:t>方案</w:t>
            </w:r>
          </w:p>
        </w:tc>
        <w:tc>
          <w:tcPr>
            <w:tcW w:w="3884" w:type="pct"/>
            <w:noWrap w:val="0"/>
            <w:vAlign w:val="center"/>
          </w:tcPr>
          <w:p w14:paraId="67B16223">
            <w:pPr>
              <w:pStyle w:val="9"/>
              <w:keepNext w:val="0"/>
              <w:keepLines w:val="0"/>
              <w:widowControl/>
              <w:suppressLineNumbers w:val="0"/>
              <w:shd w:val="clear" w:color="auto" w:fill="auto"/>
              <w:adjustRightInd w:val="0"/>
              <w:snapToGrid w:val="0"/>
              <w:spacing w:before="0" w:beforeAutospacing="0" w:after="0" w:afterAutospacing="0" w:line="240" w:lineRule="auto"/>
              <w:ind w:left="0" w:right="0"/>
              <w:jc w:val="both"/>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不接受备选投标方案。</w:t>
            </w:r>
          </w:p>
        </w:tc>
      </w:tr>
      <w:tr w14:paraId="69377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379" w:type="pct"/>
            <w:noWrap w:val="0"/>
            <w:vAlign w:val="center"/>
          </w:tcPr>
          <w:p w14:paraId="3E5A65C4">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14</w:t>
            </w:r>
          </w:p>
        </w:tc>
        <w:tc>
          <w:tcPr>
            <w:tcW w:w="735" w:type="pct"/>
            <w:noWrap w:val="0"/>
            <w:vAlign w:val="center"/>
          </w:tcPr>
          <w:p w14:paraId="3C91C127">
            <w:pPr>
              <w:keepNext w:val="0"/>
              <w:keepLines w:val="0"/>
              <w:suppressLineNumbers w:val="0"/>
              <w:shd w:val="clear" w:color="auto" w:fill="auto"/>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投标文件</w:t>
            </w:r>
          </w:p>
          <w:p w14:paraId="104807AD">
            <w:pPr>
              <w:keepNext w:val="0"/>
              <w:keepLines w:val="0"/>
              <w:suppressLineNumbers w:val="0"/>
              <w:shd w:val="clear" w:color="auto" w:fill="auto"/>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份数</w:t>
            </w:r>
          </w:p>
        </w:tc>
        <w:tc>
          <w:tcPr>
            <w:tcW w:w="3884" w:type="pct"/>
            <w:noWrap w:val="0"/>
            <w:vAlign w:val="center"/>
          </w:tcPr>
          <w:p w14:paraId="47A2D3FC">
            <w:pPr>
              <w:keepNext w:val="0"/>
              <w:keepLines w:val="0"/>
              <w:suppressLineNumbers w:val="0"/>
              <w:shd w:val="clear" w:color="auto" w:fill="auto"/>
              <w:adjustRightInd w:val="0"/>
              <w:snapToGrid w:val="0"/>
              <w:spacing w:before="0" w:beforeAutospacing="0" w:after="0" w:afterAutospacing="0" w:line="240" w:lineRule="auto"/>
              <w:ind w:left="0" w:right="0"/>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上传电子</w:t>
            </w:r>
            <w:r>
              <w:rPr>
                <w:rFonts w:hint="eastAsia" w:ascii="宋体" w:hAnsi="宋体" w:eastAsia="宋体" w:cs="宋体"/>
                <w:b/>
                <w:bCs/>
                <w:snapToGrid w:val="0"/>
                <w:color w:val="auto"/>
                <w:kern w:val="0"/>
                <w:sz w:val="22"/>
                <w:szCs w:val="22"/>
                <w:highlight w:val="none"/>
                <w:lang w:val="en-US" w:eastAsia="zh-CN"/>
              </w:rPr>
              <w:t>投标</w:t>
            </w:r>
            <w:r>
              <w:rPr>
                <w:rFonts w:hint="eastAsia" w:ascii="宋体" w:hAnsi="宋体" w:eastAsia="宋体" w:cs="宋体"/>
                <w:b/>
                <w:bCs/>
                <w:snapToGrid w:val="0"/>
                <w:color w:val="auto"/>
                <w:kern w:val="0"/>
                <w:sz w:val="22"/>
                <w:szCs w:val="22"/>
                <w:highlight w:val="none"/>
              </w:rPr>
              <w:t>文件 壹 份（*.SXSTF）；</w:t>
            </w:r>
          </w:p>
          <w:p w14:paraId="599DFC54">
            <w:pPr>
              <w:keepNext w:val="0"/>
              <w:keepLines w:val="0"/>
              <w:suppressLineNumbers w:val="0"/>
              <w:spacing w:before="0" w:beforeAutospacing="0" w:after="0" w:afterAutospacing="0" w:line="240" w:lineRule="auto"/>
              <w:ind w:left="0" w:right="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注：投标供应商无需提交纸质</w:t>
            </w:r>
            <w:r>
              <w:rPr>
                <w:rFonts w:hint="eastAsia" w:ascii="宋体" w:hAnsi="宋体" w:eastAsia="宋体" w:cs="宋体"/>
                <w:snapToGrid w:val="0"/>
                <w:color w:val="auto"/>
                <w:kern w:val="0"/>
                <w:sz w:val="22"/>
                <w:szCs w:val="22"/>
                <w:highlight w:val="none"/>
                <w:lang w:val="en-US" w:eastAsia="zh-CN"/>
              </w:rPr>
              <w:t>投标</w:t>
            </w:r>
            <w:r>
              <w:rPr>
                <w:rFonts w:hint="eastAsia" w:ascii="宋体" w:hAnsi="宋体" w:eastAsia="宋体" w:cs="宋体"/>
                <w:snapToGrid w:val="0"/>
                <w:color w:val="auto"/>
                <w:kern w:val="0"/>
                <w:sz w:val="22"/>
                <w:szCs w:val="22"/>
                <w:highlight w:val="none"/>
              </w:rPr>
              <w:t>文件，待采购结果公告后，由</w:t>
            </w:r>
            <w:r>
              <w:rPr>
                <w:rFonts w:hint="eastAsia" w:ascii="宋体" w:hAnsi="宋体" w:eastAsia="宋体" w:cs="宋体"/>
                <w:snapToGrid w:val="0"/>
                <w:color w:val="auto"/>
                <w:kern w:val="0"/>
                <w:sz w:val="22"/>
                <w:szCs w:val="22"/>
                <w:highlight w:val="none"/>
                <w:lang w:val="en-US" w:eastAsia="zh-CN"/>
              </w:rPr>
              <w:t>中标</w:t>
            </w:r>
            <w:r>
              <w:rPr>
                <w:rFonts w:hint="eastAsia" w:ascii="宋体" w:hAnsi="宋体" w:eastAsia="宋体" w:cs="宋体"/>
                <w:snapToGrid w:val="0"/>
                <w:color w:val="auto"/>
                <w:kern w:val="0"/>
                <w:sz w:val="22"/>
                <w:szCs w:val="22"/>
                <w:highlight w:val="none"/>
              </w:rPr>
              <w:t>供应商补交一正两副纸质</w:t>
            </w:r>
            <w:r>
              <w:rPr>
                <w:rFonts w:hint="eastAsia" w:ascii="宋体" w:hAnsi="宋体" w:eastAsia="宋体" w:cs="宋体"/>
                <w:snapToGrid w:val="0"/>
                <w:color w:val="auto"/>
                <w:kern w:val="0"/>
                <w:sz w:val="22"/>
                <w:szCs w:val="22"/>
                <w:highlight w:val="none"/>
                <w:lang w:val="en-US" w:eastAsia="zh-CN"/>
              </w:rPr>
              <w:t>投标</w:t>
            </w:r>
            <w:r>
              <w:rPr>
                <w:rFonts w:hint="eastAsia" w:ascii="宋体" w:hAnsi="宋体" w:eastAsia="宋体" w:cs="宋体"/>
                <w:snapToGrid w:val="0"/>
                <w:color w:val="auto"/>
                <w:kern w:val="0"/>
                <w:sz w:val="22"/>
                <w:szCs w:val="22"/>
                <w:highlight w:val="none"/>
              </w:rPr>
              <w:t>文件（备案用）电子</w:t>
            </w:r>
            <w:r>
              <w:rPr>
                <w:rFonts w:hint="eastAsia" w:ascii="宋体" w:hAnsi="宋体" w:eastAsia="宋体" w:cs="宋体"/>
                <w:snapToGrid w:val="0"/>
                <w:color w:val="auto"/>
                <w:kern w:val="0"/>
                <w:sz w:val="22"/>
                <w:szCs w:val="22"/>
                <w:highlight w:val="none"/>
                <w:lang w:val="en-US" w:eastAsia="zh-CN"/>
              </w:rPr>
              <w:t>版一份</w:t>
            </w:r>
            <w:r>
              <w:rPr>
                <w:rFonts w:hint="eastAsia" w:ascii="宋体" w:hAnsi="宋体" w:eastAsia="宋体" w:cs="宋体"/>
                <w:snapToGrid w:val="0"/>
                <w:color w:val="auto"/>
                <w:kern w:val="0"/>
                <w:sz w:val="22"/>
                <w:szCs w:val="22"/>
                <w:highlight w:val="none"/>
                <w:lang w:eastAsia="zh-CN"/>
              </w:rPr>
              <w:t>（U盘，内容包括可编辑word版及不加密版投标文件签字盖章PDF版）</w:t>
            </w:r>
            <w:r>
              <w:rPr>
                <w:rFonts w:hint="eastAsia" w:ascii="宋体" w:hAnsi="宋体" w:eastAsia="宋体" w:cs="宋体"/>
                <w:color w:val="auto"/>
                <w:sz w:val="22"/>
                <w:szCs w:val="22"/>
                <w:highlight w:val="none"/>
              </w:rPr>
              <w:t>。</w:t>
            </w:r>
          </w:p>
        </w:tc>
      </w:tr>
      <w:tr w14:paraId="463B5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379" w:type="pct"/>
            <w:noWrap w:val="0"/>
            <w:vAlign w:val="center"/>
          </w:tcPr>
          <w:p w14:paraId="2E10C360">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15</w:t>
            </w:r>
          </w:p>
        </w:tc>
        <w:tc>
          <w:tcPr>
            <w:tcW w:w="735" w:type="pct"/>
            <w:noWrap w:val="0"/>
            <w:vAlign w:val="center"/>
          </w:tcPr>
          <w:p w14:paraId="709DD3C2">
            <w:pPr>
              <w:keepNext w:val="0"/>
              <w:keepLines w:val="0"/>
              <w:suppressLineNumbers w:val="0"/>
              <w:shd w:val="clear" w:color="auto" w:fill="auto"/>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投标文件递交地点及截止时间</w:t>
            </w:r>
          </w:p>
        </w:tc>
        <w:tc>
          <w:tcPr>
            <w:tcW w:w="3884" w:type="pct"/>
            <w:shd w:val="clear" w:color="auto" w:fill="auto"/>
            <w:noWrap w:val="0"/>
            <w:vAlign w:val="center"/>
          </w:tcPr>
          <w:p w14:paraId="48957F62">
            <w:pPr>
              <w:keepNext w:val="0"/>
              <w:keepLines w:val="0"/>
              <w:suppressLineNumbers w:val="0"/>
              <w:shd w:val="clear" w:color="auto" w:fill="auto"/>
              <w:adjustRightInd w:val="0"/>
              <w:snapToGrid w:val="0"/>
              <w:spacing w:before="0" w:beforeAutospacing="0" w:after="0" w:afterAutospacing="0" w:line="240" w:lineRule="auto"/>
              <w:ind w:left="0" w:right="0"/>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rPr>
              <w:t>地点</w:t>
            </w:r>
            <w:r>
              <w:rPr>
                <w:rFonts w:hint="eastAsia" w:ascii="宋体" w:hAnsi="宋体" w:eastAsia="宋体" w:cs="宋体"/>
                <w:snapToGrid w:val="0"/>
                <w:color w:val="auto"/>
                <w:kern w:val="0"/>
                <w:sz w:val="22"/>
                <w:szCs w:val="22"/>
                <w:highlight w:val="none"/>
                <w:lang w:eastAsia="zh-CN"/>
              </w:rPr>
              <w:t>：</w:t>
            </w:r>
            <w:r>
              <w:rPr>
                <w:rFonts w:hint="eastAsia" w:asciiTheme="minorEastAsia" w:hAnsiTheme="minorEastAsia" w:eastAsiaTheme="minorEastAsia" w:cstheme="minorEastAsia"/>
                <w:i w:val="0"/>
                <w:iCs w:val="0"/>
                <w:caps w:val="0"/>
                <w:color w:val="auto"/>
                <w:spacing w:val="0"/>
                <w:sz w:val="22"/>
                <w:szCs w:val="22"/>
                <w:highlight w:val="none"/>
                <w:shd w:val="clear" w:fill="FFFFFF"/>
              </w:rPr>
              <w:t>登录全国公共资源交易平台(陕西省榆林市)网站〖首页)电子交易平台)陕西政府采购交易系统)企业端】，在线提交</w:t>
            </w:r>
          </w:p>
          <w:p w14:paraId="641433A6">
            <w:pPr>
              <w:keepNext w:val="0"/>
              <w:keepLines w:val="0"/>
              <w:suppressLineNumbers w:val="0"/>
              <w:shd w:val="clear" w:color="auto" w:fill="auto"/>
              <w:adjustRightInd w:val="0"/>
              <w:snapToGrid w:val="0"/>
              <w:spacing w:before="0" w:beforeAutospacing="0" w:after="0" w:afterAutospacing="0" w:line="240" w:lineRule="auto"/>
              <w:ind w:left="0" w:right="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投标文件递交截止时间：</w:t>
            </w:r>
            <w:r>
              <w:rPr>
                <w:rFonts w:hint="eastAsia" w:ascii="宋体" w:hAnsi="宋体" w:eastAsia="宋体" w:cs="宋体"/>
                <w:sz w:val="24"/>
                <w:szCs w:val="24"/>
                <w:highlight w:val="none"/>
              </w:rPr>
              <w:t xml:space="preserve"> 2026年01月15日 09时30分00秒</w:t>
            </w:r>
          </w:p>
        </w:tc>
      </w:tr>
      <w:tr w14:paraId="632FF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9" w:type="pct"/>
            <w:noWrap w:val="0"/>
            <w:vAlign w:val="center"/>
          </w:tcPr>
          <w:p w14:paraId="11C546D5">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16</w:t>
            </w:r>
          </w:p>
        </w:tc>
        <w:tc>
          <w:tcPr>
            <w:tcW w:w="735" w:type="pct"/>
            <w:noWrap w:val="0"/>
            <w:vAlign w:val="center"/>
          </w:tcPr>
          <w:p w14:paraId="530C20C8">
            <w:pPr>
              <w:keepNext w:val="0"/>
              <w:keepLines w:val="0"/>
              <w:suppressLineNumbers w:val="0"/>
              <w:shd w:val="clear" w:color="auto" w:fill="auto"/>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开   标</w:t>
            </w:r>
          </w:p>
        </w:tc>
        <w:tc>
          <w:tcPr>
            <w:tcW w:w="3884" w:type="pct"/>
            <w:shd w:val="clear" w:color="auto" w:fill="auto"/>
            <w:noWrap w:val="0"/>
            <w:vAlign w:val="center"/>
          </w:tcPr>
          <w:p w14:paraId="5A7436F5">
            <w:pPr>
              <w:keepNext w:val="0"/>
              <w:keepLines w:val="0"/>
              <w:suppressLineNumbers w:val="0"/>
              <w:shd w:val="clear" w:color="auto"/>
              <w:adjustRightInd w:val="0"/>
              <w:snapToGrid w:val="0"/>
              <w:spacing w:before="0" w:beforeAutospacing="0" w:after="0" w:afterAutospacing="0" w:line="240" w:lineRule="auto"/>
              <w:ind w:left="0" w:right="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开标时间：</w:t>
            </w:r>
            <w:r>
              <w:rPr>
                <w:rFonts w:hint="eastAsia" w:ascii="宋体" w:hAnsi="宋体" w:eastAsia="宋体" w:cs="宋体"/>
                <w:sz w:val="24"/>
                <w:szCs w:val="24"/>
                <w:highlight w:val="none"/>
              </w:rPr>
              <w:t xml:space="preserve"> 2026年01月15日 09时30分00秒</w:t>
            </w:r>
          </w:p>
          <w:p w14:paraId="4A26A001">
            <w:pPr>
              <w:keepNext w:val="0"/>
              <w:keepLines w:val="0"/>
              <w:suppressLineNumbers w:val="0"/>
              <w:shd w:val="clear" w:color="auto"/>
              <w:adjustRightInd w:val="0"/>
              <w:snapToGrid w:val="0"/>
              <w:spacing w:before="0" w:beforeAutospacing="0" w:after="0" w:afterAutospacing="0" w:line="240" w:lineRule="auto"/>
              <w:ind w:left="0" w:right="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地点：</w:t>
            </w:r>
            <w:r>
              <w:rPr>
                <w:rFonts w:hint="eastAsia" w:ascii="宋体" w:hAnsi="宋体" w:eastAsia="宋体" w:cs="宋体"/>
                <w:snapToGrid w:val="0"/>
                <w:color w:val="auto"/>
                <w:kern w:val="0"/>
                <w:sz w:val="22"/>
                <w:szCs w:val="22"/>
                <w:highlight w:val="none"/>
                <w:lang w:eastAsia="zh-CN"/>
              </w:rPr>
              <w:t>登录全国公共资源交易平台(陕西省榆林市)网站〖首页)不见面开标〗系统，在线参加开标过程</w:t>
            </w:r>
            <w:r>
              <w:rPr>
                <w:rFonts w:hint="eastAsia" w:ascii="宋体" w:hAnsi="宋体" w:eastAsia="宋体" w:cs="宋体"/>
                <w:snapToGrid w:val="0"/>
                <w:color w:val="auto"/>
                <w:kern w:val="0"/>
                <w:sz w:val="22"/>
                <w:szCs w:val="22"/>
                <w:highlight w:val="none"/>
              </w:rPr>
              <w:t xml:space="preserve"> </w:t>
            </w:r>
          </w:p>
        </w:tc>
      </w:tr>
      <w:tr w14:paraId="2F92E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379" w:type="pct"/>
            <w:noWrap w:val="0"/>
            <w:vAlign w:val="center"/>
          </w:tcPr>
          <w:p w14:paraId="2E651A02">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17</w:t>
            </w:r>
          </w:p>
        </w:tc>
        <w:tc>
          <w:tcPr>
            <w:tcW w:w="735" w:type="pct"/>
            <w:noWrap w:val="0"/>
            <w:vAlign w:val="center"/>
          </w:tcPr>
          <w:p w14:paraId="492BF50A">
            <w:pPr>
              <w:keepNext w:val="0"/>
              <w:keepLines w:val="0"/>
              <w:suppressLineNumbers w:val="0"/>
              <w:shd w:val="clear" w:color="auto" w:fill="auto"/>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lang w:val="en-US" w:eastAsia="zh-CN"/>
              </w:rPr>
              <w:t>投标文件</w:t>
            </w:r>
            <w:r>
              <w:rPr>
                <w:rFonts w:hint="eastAsia" w:ascii="宋体" w:hAnsi="宋体" w:eastAsia="宋体" w:cs="宋体"/>
                <w:snapToGrid w:val="0"/>
                <w:color w:val="auto"/>
                <w:kern w:val="0"/>
                <w:sz w:val="22"/>
                <w:szCs w:val="22"/>
                <w:highlight w:val="none"/>
              </w:rPr>
              <w:t>签字和盖章</w:t>
            </w:r>
          </w:p>
        </w:tc>
        <w:tc>
          <w:tcPr>
            <w:tcW w:w="3884" w:type="pct"/>
            <w:noWrap w:val="0"/>
            <w:vAlign w:val="center"/>
          </w:tcPr>
          <w:p w14:paraId="4372017A">
            <w:pPr>
              <w:keepNext w:val="0"/>
              <w:keepLines w:val="0"/>
              <w:suppressLineNumbers w:val="0"/>
              <w:shd w:val="clear" w:color="auto" w:fill="auto"/>
              <w:adjustRightInd w:val="0"/>
              <w:snapToGrid w:val="0"/>
              <w:spacing w:before="0" w:beforeAutospacing="0" w:after="0" w:afterAutospacing="0" w:line="240" w:lineRule="auto"/>
              <w:ind w:left="0" w:right="0"/>
              <w:jc w:val="both"/>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lang w:val="en-US" w:eastAsia="zh-CN"/>
              </w:rPr>
              <w:t>详见第三章投标人须知“三、投标文件的编制”</w:t>
            </w:r>
          </w:p>
        </w:tc>
      </w:tr>
      <w:tr w14:paraId="4DB08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79" w:type="pct"/>
            <w:noWrap w:val="0"/>
            <w:vAlign w:val="center"/>
          </w:tcPr>
          <w:p w14:paraId="2235D305">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18</w:t>
            </w:r>
          </w:p>
        </w:tc>
        <w:tc>
          <w:tcPr>
            <w:tcW w:w="735" w:type="pct"/>
            <w:noWrap w:val="0"/>
            <w:vAlign w:val="center"/>
          </w:tcPr>
          <w:p w14:paraId="678977F0">
            <w:pPr>
              <w:keepNext w:val="0"/>
              <w:keepLines w:val="0"/>
              <w:suppressLineNumbers w:val="0"/>
              <w:shd w:val="clear" w:color="auto" w:fill="auto"/>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是否退还投标文件</w:t>
            </w:r>
          </w:p>
        </w:tc>
        <w:tc>
          <w:tcPr>
            <w:tcW w:w="3884" w:type="pct"/>
            <w:noWrap w:val="0"/>
            <w:vAlign w:val="center"/>
          </w:tcPr>
          <w:p w14:paraId="7DFF8513">
            <w:pPr>
              <w:keepNext w:val="0"/>
              <w:keepLines w:val="0"/>
              <w:suppressLineNumbers w:val="0"/>
              <w:shd w:val="clear" w:color="auto" w:fill="auto"/>
              <w:adjustRightInd w:val="0"/>
              <w:snapToGrid w:val="0"/>
              <w:spacing w:before="0" w:beforeAutospacing="0" w:after="0" w:afterAutospacing="0" w:line="240" w:lineRule="auto"/>
              <w:ind w:left="0" w:right="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否</w:t>
            </w:r>
          </w:p>
        </w:tc>
      </w:tr>
      <w:tr w14:paraId="24B44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379" w:type="pct"/>
            <w:noWrap w:val="0"/>
            <w:vAlign w:val="center"/>
          </w:tcPr>
          <w:p w14:paraId="17274C81">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19</w:t>
            </w:r>
          </w:p>
        </w:tc>
        <w:tc>
          <w:tcPr>
            <w:tcW w:w="735" w:type="pct"/>
            <w:shd w:val="clear" w:color="auto" w:fill="auto"/>
            <w:noWrap w:val="0"/>
            <w:vAlign w:val="center"/>
          </w:tcPr>
          <w:p w14:paraId="0300810F">
            <w:pPr>
              <w:keepNext w:val="0"/>
              <w:keepLines w:val="0"/>
              <w:suppressLineNumbers w:val="0"/>
              <w:shd w:val="clear" w:color="auto" w:fill="auto"/>
              <w:tabs>
                <w:tab w:val="center" w:pos="4153"/>
                <w:tab w:val="right" w:pos="8306"/>
              </w:tabs>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付款方式</w:t>
            </w:r>
          </w:p>
        </w:tc>
        <w:tc>
          <w:tcPr>
            <w:tcW w:w="3884" w:type="pct"/>
            <w:shd w:val="clear" w:color="auto" w:fill="auto"/>
            <w:noWrap w:val="0"/>
            <w:vAlign w:val="center"/>
          </w:tcPr>
          <w:p w14:paraId="531D0265">
            <w:pPr>
              <w:pStyle w:val="9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按采购要求</w:t>
            </w:r>
            <w:r>
              <w:rPr>
                <w:rFonts w:hint="eastAsia" w:ascii="宋体" w:hAnsi="宋体" w:eastAsia="宋体" w:cs="宋体"/>
                <w:color w:val="auto"/>
                <w:sz w:val="22"/>
                <w:szCs w:val="22"/>
                <w:highlight w:val="none"/>
                <w:lang w:val="en-US" w:eastAsia="zh-CN"/>
              </w:rPr>
              <w:t>进行实施，实施半年后支付合同金额50%，服务期</w:t>
            </w:r>
            <w:r>
              <w:rPr>
                <w:rFonts w:hint="eastAsia" w:ascii="宋体" w:hAnsi="宋体" w:eastAsia="宋体" w:cs="宋体"/>
                <w:color w:val="auto"/>
                <w:sz w:val="22"/>
                <w:szCs w:val="22"/>
                <w:highlight w:val="none"/>
              </w:rPr>
              <w:t>完毕后，甲方对工作量进行核实并验收，</w:t>
            </w:r>
            <w:r>
              <w:rPr>
                <w:rFonts w:hint="eastAsia" w:ascii="宋体" w:hAnsi="宋体" w:eastAsia="宋体" w:cs="宋体"/>
                <w:color w:val="auto"/>
                <w:sz w:val="22"/>
                <w:szCs w:val="22"/>
                <w:highlight w:val="none"/>
                <w:lang w:val="en-US" w:eastAsia="zh-CN"/>
              </w:rPr>
              <w:t>待结算审计</w:t>
            </w:r>
            <w:r>
              <w:rPr>
                <w:rFonts w:hint="eastAsia" w:ascii="宋体" w:hAnsi="宋体" w:eastAsia="宋体" w:cs="宋体"/>
                <w:color w:val="auto"/>
                <w:sz w:val="22"/>
                <w:szCs w:val="22"/>
                <w:highlight w:val="none"/>
              </w:rPr>
              <w:t>后结算剩余</w:t>
            </w:r>
            <w:r>
              <w:rPr>
                <w:rFonts w:hint="eastAsia" w:ascii="宋体" w:hAnsi="宋体" w:eastAsia="宋体" w:cs="宋体"/>
                <w:color w:val="auto"/>
                <w:sz w:val="22"/>
                <w:szCs w:val="22"/>
                <w:highlight w:val="none"/>
                <w:lang w:val="en-US" w:eastAsia="zh-CN"/>
              </w:rPr>
              <w:t>50%</w:t>
            </w:r>
            <w:r>
              <w:rPr>
                <w:rFonts w:hint="eastAsia" w:ascii="宋体" w:hAnsi="宋体" w:eastAsia="宋体" w:cs="宋体"/>
                <w:color w:val="auto"/>
                <w:sz w:val="22"/>
                <w:szCs w:val="22"/>
                <w:highlight w:val="none"/>
              </w:rPr>
              <w:t>款项。</w:t>
            </w:r>
          </w:p>
        </w:tc>
      </w:tr>
      <w:tr w14:paraId="31AB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9" w:type="pct"/>
            <w:noWrap w:val="0"/>
            <w:vAlign w:val="center"/>
          </w:tcPr>
          <w:p w14:paraId="1348F84A">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20</w:t>
            </w:r>
          </w:p>
        </w:tc>
        <w:tc>
          <w:tcPr>
            <w:tcW w:w="735" w:type="pct"/>
            <w:noWrap w:val="0"/>
            <w:vAlign w:val="center"/>
          </w:tcPr>
          <w:p w14:paraId="00C6838D">
            <w:pPr>
              <w:keepNext w:val="0"/>
              <w:keepLines w:val="0"/>
              <w:suppressLineNumbers w:val="0"/>
              <w:shd w:val="clear" w:color="auto" w:fill="auto"/>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履约保证金</w:t>
            </w:r>
          </w:p>
        </w:tc>
        <w:tc>
          <w:tcPr>
            <w:tcW w:w="3884" w:type="pct"/>
            <w:noWrap w:val="0"/>
            <w:vAlign w:val="center"/>
          </w:tcPr>
          <w:p w14:paraId="220AD36C">
            <w:pPr>
              <w:keepNext w:val="0"/>
              <w:keepLines w:val="0"/>
              <w:suppressLineNumbers w:val="0"/>
              <w:shd w:val="clear" w:color="auto" w:fill="auto"/>
              <w:tabs>
                <w:tab w:val="center" w:pos="4153"/>
                <w:tab w:val="right" w:pos="8306"/>
              </w:tabs>
              <w:adjustRightInd w:val="0"/>
              <w:snapToGrid w:val="0"/>
              <w:spacing w:before="0" w:beforeAutospacing="0" w:after="0" w:afterAutospacing="0" w:line="240" w:lineRule="auto"/>
              <w:ind w:left="0" w:right="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无</w:t>
            </w:r>
          </w:p>
        </w:tc>
      </w:tr>
      <w:tr w14:paraId="326AB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379" w:type="pct"/>
            <w:noWrap w:val="0"/>
            <w:vAlign w:val="center"/>
          </w:tcPr>
          <w:p w14:paraId="7031C4F5">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21</w:t>
            </w:r>
          </w:p>
        </w:tc>
        <w:tc>
          <w:tcPr>
            <w:tcW w:w="735" w:type="pct"/>
            <w:noWrap w:val="0"/>
            <w:vAlign w:val="center"/>
          </w:tcPr>
          <w:p w14:paraId="0ED4C1F7">
            <w:pPr>
              <w:keepNext w:val="0"/>
              <w:keepLines w:val="0"/>
              <w:suppressLineNumbers w:val="0"/>
              <w:shd w:val="clear" w:color="auto" w:fill="auto"/>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特殊情况</w:t>
            </w:r>
          </w:p>
          <w:p w14:paraId="4B9BCD83">
            <w:pPr>
              <w:keepNext w:val="0"/>
              <w:keepLines w:val="0"/>
              <w:suppressLineNumbers w:val="0"/>
              <w:shd w:val="clear" w:color="auto" w:fill="auto"/>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处理</w:t>
            </w:r>
          </w:p>
        </w:tc>
        <w:tc>
          <w:tcPr>
            <w:tcW w:w="3884" w:type="pct"/>
            <w:noWrap w:val="0"/>
            <w:vAlign w:val="center"/>
          </w:tcPr>
          <w:p w14:paraId="42559C8A">
            <w:pPr>
              <w:keepNext w:val="0"/>
              <w:keepLines w:val="0"/>
              <w:suppressLineNumbers w:val="0"/>
              <w:shd w:val="clear" w:color="auto" w:fill="auto"/>
              <w:adjustRightInd w:val="0"/>
              <w:snapToGrid w:val="0"/>
              <w:spacing w:before="0" w:beforeAutospacing="0" w:after="0" w:afterAutospacing="0" w:line="240" w:lineRule="auto"/>
              <w:ind w:left="0" w:right="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在招标文件及程序符合法律规定的前提下，递交投标文件或对招标文件做出实质响应的投标人如果少于3家，应终止开标，重新组织采购。</w:t>
            </w:r>
          </w:p>
        </w:tc>
      </w:tr>
      <w:tr w14:paraId="0308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379" w:type="pct"/>
            <w:noWrap w:val="0"/>
            <w:vAlign w:val="center"/>
          </w:tcPr>
          <w:p w14:paraId="31E6CFC3">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22</w:t>
            </w:r>
          </w:p>
        </w:tc>
        <w:tc>
          <w:tcPr>
            <w:tcW w:w="735" w:type="pct"/>
            <w:noWrap w:val="0"/>
            <w:vAlign w:val="center"/>
          </w:tcPr>
          <w:p w14:paraId="67D149B7">
            <w:pPr>
              <w:keepNext w:val="0"/>
              <w:keepLines w:val="0"/>
              <w:suppressLineNumbers w:val="0"/>
              <w:shd w:val="clear" w:color="auto" w:fill="auto"/>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投标报价</w:t>
            </w:r>
          </w:p>
          <w:p w14:paraId="743D9B26">
            <w:pPr>
              <w:keepNext w:val="0"/>
              <w:keepLines w:val="0"/>
              <w:suppressLineNumbers w:val="0"/>
              <w:shd w:val="clear" w:color="auto" w:fill="auto"/>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次数</w:t>
            </w:r>
          </w:p>
        </w:tc>
        <w:tc>
          <w:tcPr>
            <w:tcW w:w="3884" w:type="pct"/>
            <w:noWrap w:val="0"/>
            <w:vAlign w:val="center"/>
          </w:tcPr>
          <w:p w14:paraId="77D6B248">
            <w:pPr>
              <w:keepNext w:val="0"/>
              <w:keepLines w:val="0"/>
              <w:suppressLineNumbers w:val="0"/>
              <w:shd w:val="clear" w:color="auto" w:fill="auto"/>
              <w:adjustRightInd w:val="0"/>
              <w:snapToGrid w:val="0"/>
              <w:spacing w:before="0" w:beforeAutospacing="0" w:after="0" w:afterAutospacing="0" w:line="240" w:lineRule="auto"/>
              <w:ind w:left="0" w:right="0"/>
              <w:rPr>
                <w:rFonts w:hint="eastAsia" w:ascii="宋体" w:hAnsi="宋体" w:eastAsia="宋体" w:cs="宋体"/>
                <w:snapToGrid w:val="0"/>
                <w:color w:val="auto"/>
                <w:kern w:val="0"/>
                <w:sz w:val="22"/>
                <w:szCs w:val="22"/>
                <w:highlight w:val="none"/>
                <w:lang w:eastAsia="zh-CN"/>
              </w:rPr>
            </w:pPr>
            <w:r>
              <w:rPr>
                <w:rFonts w:hint="eastAsia" w:ascii="宋体" w:hAnsi="宋体" w:eastAsia="宋体" w:cs="宋体"/>
                <w:snapToGrid w:val="0"/>
                <w:color w:val="auto"/>
                <w:kern w:val="0"/>
                <w:sz w:val="22"/>
                <w:szCs w:val="22"/>
                <w:highlight w:val="none"/>
              </w:rPr>
              <w:t>本次投标采用一次报价</w:t>
            </w:r>
            <w:r>
              <w:rPr>
                <w:rFonts w:hint="eastAsia" w:ascii="宋体" w:hAnsi="宋体" w:eastAsia="宋体" w:cs="宋体"/>
                <w:snapToGrid w:val="0"/>
                <w:color w:val="auto"/>
                <w:kern w:val="0"/>
                <w:sz w:val="22"/>
                <w:szCs w:val="22"/>
                <w:highlight w:val="none"/>
                <w:lang w:eastAsia="zh-CN"/>
              </w:rPr>
              <w:t>（</w:t>
            </w:r>
            <w:r>
              <w:rPr>
                <w:rFonts w:hint="eastAsia" w:ascii="宋体" w:hAnsi="宋体" w:eastAsia="宋体" w:cs="宋体"/>
                <w:snapToGrid w:val="0"/>
                <w:color w:val="auto"/>
                <w:kern w:val="0"/>
                <w:sz w:val="22"/>
                <w:szCs w:val="22"/>
                <w:highlight w:val="none"/>
                <w:lang w:val="en-US" w:eastAsia="zh-CN"/>
              </w:rPr>
              <w:t>报价唯一</w:t>
            </w:r>
            <w:r>
              <w:rPr>
                <w:rFonts w:hint="eastAsia" w:ascii="宋体" w:hAnsi="宋体" w:eastAsia="宋体" w:cs="宋体"/>
                <w:snapToGrid w:val="0"/>
                <w:color w:val="auto"/>
                <w:kern w:val="0"/>
                <w:sz w:val="22"/>
                <w:szCs w:val="22"/>
                <w:highlight w:val="none"/>
                <w:lang w:eastAsia="zh-CN"/>
              </w:rPr>
              <w:t>）</w:t>
            </w:r>
          </w:p>
        </w:tc>
      </w:tr>
      <w:tr w14:paraId="5F690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1" w:hRule="atLeast"/>
        </w:trPr>
        <w:tc>
          <w:tcPr>
            <w:tcW w:w="379" w:type="pct"/>
            <w:noWrap w:val="0"/>
            <w:vAlign w:val="center"/>
          </w:tcPr>
          <w:p w14:paraId="00357FD1">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23</w:t>
            </w:r>
          </w:p>
        </w:tc>
        <w:tc>
          <w:tcPr>
            <w:tcW w:w="735" w:type="pct"/>
            <w:noWrap w:val="0"/>
            <w:vAlign w:val="center"/>
          </w:tcPr>
          <w:p w14:paraId="752A06B7">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招标文件的澄清、修改及质疑答复</w:t>
            </w:r>
          </w:p>
        </w:tc>
        <w:tc>
          <w:tcPr>
            <w:tcW w:w="3884" w:type="pct"/>
            <w:noWrap w:val="0"/>
            <w:vAlign w:val="center"/>
          </w:tcPr>
          <w:p w14:paraId="10D3EB88">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1、招标人对已发出的招标文件进行必要的澄清或者修改，将在招标文件要求递交投标文件截止时间15日前，招标人可主动地或在解答投标人要求澄清的问题时对招标文件进行修改，并以书面形式通知所有</w:t>
            </w:r>
            <w:r>
              <w:rPr>
                <w:rFonts w:hint="eastAsia" w:ascii="宋体" w:hAnsi="宋体" w:eastAsia="宋体" w:cs="宋体"/>
                <w:snapToGrid w:val="0"/>
                <w:color w:val="auto"/>
                <w:kern w:val="0"/>
                <w:sz w:val="22"/>
                <w:szCs w:val="22"/>
                <w:highlight w:val="none"/>
                <w:lang w:val="en-US" w:eastAsia="zh-CN"/>
              </w:rPr>
              <w:t>下载</w:t>
            </w:r>
            <w:r>
              <w:rPr>
                <w:rFonts w:hint="eastAsia" w:ascii="宋体" w:hAnsi="宋体" w:eastAsia="宋体" w:cs="宋体"/>
                <w:snapToGrid w:val="0"/>
                <w:color w:val="auto"/>
                <w:kern w:val="0"/>
                <w:sz w:val="22"/>
                <w:szCs w:val="22"/>
                <w:highlight w:val="none"/>
              </w:rPr>
              <w:t>招标文件的投标人，不足15日的，将顺延递交首次投标文件截止时间。</w:t>
            </w:r>
          </w:p>
          <w:p w14:paraId="2545088B">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投标人对招标活动事项有疑问，或对采购招标文件有质疑，应在投标截止时间3日前书面提出，在此之后提出的质疑为无效质疑。招标代理机构将按质疑程序及时作出答复，若对招标文件做出实质性变动，则按照相关规定延长开标截止时间。</w:t>
            </w:r>
          </w:p>
          <w:p w14:paraId="79C0C14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3、招标文件、澄清（答疑）纪要、修改补充通知内容均以书面明确的内容为准。当招标文件、修改补充通知、澄清（答疑）纪要内容相互矛盾时，以最后发出的通知（或纪要）或修改文件为准。</w:t>
            </w:r>
          </w:p>
        </w:tc>
      </w:tr>
      <w:tr w14:paraId="0A103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9" w:type="pct"/>
            <w:noWrap w:val="0"/>
            <w:vAlign w:val="center"/>
          </w:tcPr>
          <w:p w14:paraId="6DF6BA80">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24</w:t>
            </w:r>
          </w:p>
        </w:tc>
        <w:tc>
          <w:tcPr>
            <w:tcW w:w="735" w:type="pct"/>
            <w:noWrap w:val="0"/>
            <w:vAlign w:val="center"/>
          </w:tcPr>
          <w:p w14:paraId="5A485247">
            <w:pPr>
              <w:keepNext w:val="0"/>
              <w:keepLines w:val="0"/>
              <w:suppressLineNumbers w:val="0"/>
              <w:shd w:val="clear" w:color="auto" w:fill="auto"/>
              <w:adjustRightInd w:val="0"/>
              <w:snapToGrid w:val="0"/>
              <w:spacing w:before="0" w:beforeAutospacing="0" w:after="0" w:afterAutospacing="0" w:line="240" w:lineRule="auto"/>
              <w:ind w:left="0" w:right="0"/>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代理服务费</w:t>
            </w:r>
          </w:p>
        </w:tc>
        <w:tc>
          <w:tcPr>
            <w:tcW w:w="3884" w:type="pct"/>
            <w:noWrap w:val="0"/>
            <w:vAlign w:val="center"/>
          </w:tcPr>
          <w:p w14:paraId="1AA227FE">
            <w:pPr>
              <w:keepNext w:val="0"/>
              <w:keepLines w:val="0"/>
              <w:pageBreakBefore w:val="0"/>
              <w:widowControl/>
              <w:suppressLineNumbers w:val="0"/>
              <w:tabs>
                <w:tab w:val="left" w:pos="180"/>
              </w:tabs>
              <w:kinsoku/>
              <w:wordWrap/>
              <w:overflowPunct/>
              <w:topLinePunct w:val="0"/>
              <w:autoSpaceDE/>
              <w:autoSpaceDN/>
              <w:bidi w:val="0"/>
              <w:snapToGrid/>
              <w:spacing w:before="0" w:beforeAutospacing="0" w:after="0" w:afterAutospacing="0" w:line="240" w:lineRule="auto"/>
              <w:ind w:left="0" w:right="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 xml:space="preserve">招标代理服务费： </w:t>
            </w:r>
          </w:p>
          <w:p w14:paraId="263E05E4">
            <w:pPr>
              <w:keepNext w:val="0"/>
              <w:keepLines w:val="0"/>
              <w:pageBreakBefore w:val="0"/>
              <w:widowControl/>
              <w:suppressLineNumbers w:val="0"/>
              <w:tabs>
                <w:tab w:val="left" w:pos="180"/>
              </w:tabs>
              <w:kinsoku/>
              <w:wordWrap/>
              <w:overflowPunct/>
              <w:topLinePunct w:val="0"/>
              <w:autoSpaceDE/>
              <w:autoSpaceDN/>
              <w:bidi w:val="0"/>
              <w:snapToGrid/>
              <w:spacing w:before="0" w:beforeAutospacing="0" w:after="0" w:afterAutospacing="0" w:line="240" w:lineRule="auto"/>
              <w:ind w:left="0" w:right="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1、中标单位在项目完成后须向采购代理机构一次性支付代理服务费。</w:t>
            </w:r>
          </w:p>
          <w:p w14:paraId="0199A325">
            <w:pPr>
              <w:keepNext w:val="0"/>
              <w:keepLines w:val="0"/>
              <w:pageBreakBefore w:val="0"/>
              <w:widowControl/>
              <w:suppressLineNumbers w:val="0"/>
              <w:tabs>
                <w:tab w:val="left" w:pos="180"/>
              </w:tabs>
              <w:kinsoku/>
              <w:wordWrap/>
              <w:overflowPunct/>
              <w:topLinePunct w:val="0"/>
              <w:autoSpaceDE/>
              <w:autoSpaceDN/>
              <w:bidi w:val="0"/>
              <w:snapToGrid/>
              <w:spacing w:before="0" w:beforeAutospacing="0" w:after="0" w:afterAutospacing="0" w:line="240" w:lineRule="auto"/>
              <w:ind w:left="0" w:right="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2、代理服务费:按照代理协议的约定收取。</w:t>
            </w:r>
          </w:p>
          <w:p w14:paraId="2B492626">
            <w:pPr>
              <w:keepNext w:val="0"/>
              <w:keepLines w:val="0"/>
              <w:pageBreakBefore w:val="0"/>
              <w:suppressLineNumbers w:val="0"/>
              <w:kinsoku/>
              <w:wordWrap/>
              <w:overflowPunct/>
              <w:topLinePunct w:val="0"/>
              <w:autoSpaceDE/>
              <w:autoSpaceDN/>
              <w:bidi w:val="0"/>
              <w:snapToGrid/>
              <w:spacing w:before="0" w:beforeAutospacing="0" w:after="0" w:afterAutospacing="0" w:line="240" w:lineRule="auto"/>
              <w:ind w:left="0" w:right="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3、招标代理服务收费标准(费率)</w:t>
            </w:r>
          </w:p>
          <w:tbl>
            <w:tblPr>
              <w:tblStyle w:val="25"/>
              <w:tblW w:w="7417" w:type="dxa"/>
              <w:jc w:val="center"/>
              <w:tblCellSpacing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40"/>
              <w:gridCol w:w="1565"/>
              <w:gridCol w:w="1846"/>
              <w:gridCol w:w="1966"/>
            </w:tblGrid>
            <w:tr w14:paraId="4CF3E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blCellSpacing w:w="0" w:type="dxa"/>
                <w:jc w:val="center"/>
              </w:trPr>
              <w:tc>
                <w:tcPr>
                  <w:tcW w:w="2040" w:type="dxa"/>
                  <w:tcBorders>
                    <w:tl2br w:val="nil"/>
                    <w:tr2bl w:val="nil"/>
                  </w:tcBorders>
                  <w:noWrap w:val="0"/>
                  <w:vAlign w:val="center"/>
                </w:tcPr>
                <w:p w14:paraId="653B1719">
                  <w:pPr>
                    <w:keepNext w:val="0"/>
                    <w:keepLines w:val="0"/>
                    <w:suppressLineNumbers w:val="0"/>
                    <w:spacing w:before="0" w:beforeAutospacing="0" w:after="0" w:afterAutospacing="0"/>
                    <w:ind w:left="0" w:right="0"/>
                    <w:jc w:val="righ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中标金额（万元）</w:t>
                  </w:r>
                </w:p>
              </w:tc>
              <w:tc>
                <w:tcPr>
                  <w:tcW w:w="1565" w:type="dxa"/>
                  <w:tcBorders>
                    <w:tl2br w:val="nil"/>
                    <w:tr2bl w:val="nil"/>
                  </w:tcBorders>
                  <w:noWrap w:val="0"/>
                  <w:vAlign w:val="center"/>
                </w:tcPr>
                <w:p w14:paraId="3F80C0DC">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货物招标</w:t>
                  </w:r>
                </w:p>
              </w:tc>
              <w:tc>
                <w:tcPr>
                  <w:tcW w:w="1846" w:type="dxa"/>
                  <w:tcBorders>
                    <w:tl2br w:val="nil"/>
                    <w:tr2bl w:val="nil"/>
                  </w:tcBorders>
                  <w:noWrap w:val="0"/>
                  <w:vAlign w:val="center"/>
                </w:tcPr>
                <w:p w14:paraId="18E22A51">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lang w:val="en-US" w:eastAsia="zh-CN" w:bidi="ar-SA"/>
                    </w:rPr>
                  </w:pPr>
                  <w:r>
                    <w:rPr>
                      <w:rFonts w:hint="eastAsia" w:ascii="宋体" w:hAnsi="宋体" w:eastAsia="宋体" w:cs="宋体"/>
                      <w:b/>
                      <w:bCs/>
                      <w:color w:val="auto"/>
                      <w:kern w:val="0"/>
                      <w:sz w:val="22"/>
                      <w:szCs w:val="22"/>
                      <w:highlight w:val="none"/>
                      <w:lang w:val="en-US" w:eastAsia="zh-CN" w:bidi="ar-SA"/>
                    </w:rPr>
                    <w:t>服务招标</w:t>
                  </w:r>
                </w:p>
              </w:tc>
              <w:tc>
                <w:tcPr>
                  <w:tcW w:w="1966" w:type="dxa"/>
                  <w:tcBorders>
                    <w:tl2br w:val="nil"/>
                    <w:tr2bl w:val="nil"/>
                  </w:tcBorders>
                  <w:noWrap w:val="0"/>
                  <w:vAlign w:val="center"/>
                </w:tcPr>
                <w:p w14:paraId="7C3DFE7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工程招标</w:t>
                  </w:r>
                </w:p>
              </w:tc>
            </w:tr>
            <w:tr w14:paraId="11CD6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blCellSpacing w:w="0" w:type="dxa"/>
                <w:jc w:val="center"/>
              </w:trPr>
              <w:tc>
                <w:tcPr>
                  <w:tcW w:w="2040" w:type="dxa"/>
                  <w:tcBorders>
                    <w:tl2br w:val="nil"/>
                    <w:tr2bl w:val="nil"/>
                  </w:tcBorders>
                  <w:noWrap w:val="0"/>
                  <w:vAlign w:val="center"/>
                </w:tcPr>
                <w:p w14:paraId="596F4FF3">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100以下</w:t>
                  </w:r>
                </w:p>
              </w:tc>
              <w:tc>
                <w:tcPr>
                  <w:tcW w:w="1565" w:type="dxa"/>
                  <w:tcBorders>
                    <w:tl2br w:val="nil"/>
                    <w:tr2bl w:val="nil"/>
                  </w:tcBorders>
                  <w:noWrap w:val="0"/>
                  <w:vAlign w:val="center"/>
                </w:tcPr>
                <w:p w14:paraId="06A0A07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1.5％</w:t>
                  </w:r>
                </w:p>
              </w:tc>
              <w:tc>
                <w:tcPr>
                  <w:tcW w:w="1846" w:type="dxa"/>
                  <w:tcBorders>
                    <w:tl2br w:val="nil"/>
                    <w:tr2bl w:val="nil"/>
                  </w:tcBorders>
                  <w:noWrap w:val="0"/>
                  <w:vAlign w:val="center"/>
                </w:tcPr>
                <w:p w14:paraId="786E6912">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lang w:val="en-US" w:eastAsia="zh-CN" w:bidi="ar-SA"/>
                    </w:rPr>
                  </w:pPr>
                  <w:r>
                    <w:rPr>
                      <w:rFonts w:hint="eastAsia" w:ascii="宋体" w:hAnsi="宋体" w:eastAsia="宋体" w:cs="宋体"/>
                      <w:b/>
                      <w:bCs/>
                      <w:color w:val="auto"/>
                      <w:kern w:val="0"/>
                      <w:sz w:val="22"/>
                      <w:szCs w:val="22"/>
                      <w:highlight w:val="none"/>
                      <w:lang w:val="en-US" w:eastAsia="zh-CN" w:bidi="ar-SA"/>
                    </w:rPr>
                    <w:t>1.5％</w:t>
                  </w:r>
                </w:p>
              </w:tc>
              <w:tc>
                <w:tcPr>
                  <w:tcW w:w="1966" w:type="dxa"/>
                  <w:tcBorders>
                    <w:tl2br w:val="nil"/>
                    <w:tr2bl w:val="nil"/>
                  </w:tcBorders>
                  <w:noWrap w:val="0"/>
                  <w:vAlign w:val="center"/>
                </w:tcPr>
                <w:p w14:paraId="4ADF25B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1.0%</w:t>
                  </w:r>
                </w:p>
              </w:tc>
            </w:tr>
            <w:tr w14:paraId="53161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blCellSpacing w:w="0" w:type="dxa"/>
                <w:jc w:val="center"/>
              </w:trPr>
              <w:tc>
                <w:tcPr>
                  <w:tcW w:w="2040" w:type="dxa"/>
                  <w:tcBorders>
                    <w:tl2br w:val="nil"/>
                    <w:tr2bl w:val="nil"/>
                  </w:tcBorders>
                  <w:noWrap w:val="0"/>
                  <w:vAlign w:val="center"/>
                </w:tcPr>
                <w:p w14:paraId="0E1FBA2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100—500</w:t>
                  </w:r>
                </w:p>
              </w:tc>
              <w:tc>
                <w:tcPr>
                  <w:tcW w:w="1565" w:type="dxa"/>
                  <w:tcBorders>
                    <w:tl2br w:val="nil"/>
                    <w:tr2bl w:val="nil"/>
                  </w:tcBorders>
                  <w:noWrap w:val="0"/>
                  <w:vAlign w:val="center"/>
                </w:tcPr>
                <w:p w14:paraId="1A9C30B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1.1％</w:t>
                  </w:r>
                </w:p>
              </w:tc>
              <w:tc>
                <w:tcPr>
                  <w:tcW w:w="1846" w:type="dxa"/>
                  <w:tcBorders>
                    <w:tl2br w:val="nil"/>
                    <w:tr2bl w:val="nil"/>
                  </w:tcBorders>
                  <w:noWrap w:val="0"/>
                  <w:vAlign w:val="center"/>
                </w:tcPr>
                <w:p w14:paraId="13E1D3F2">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lang w:val="en-US" w:eastAsia="zh-CN" w:bidi="ar-SA"/>
                    </w:rPr>
                  </w:pPr>
                  <w:r>
                    <w:rPr>
                      <w:rFonts w:hint="eastAsia" w:ascii="宋体" w:hAnsi="宋体" w:eastAsia="宋体" w:cs="宋体"/>
                      <w:b/>
                      <w:bCs/>
                      <w:color w:val="auto"/>
                      <w:kern w:val="0"/>
                      <w:sz w:val="22"/>
                      <w:szCs w:val="22"/>
                      <w:highlight w:val="none"/>
                      <w:lang w:val="en-US" w:eastAsia="zh-CN" w:bidi="ar-SA"/>
                    </w:rPr>
                    <w:t>0.8％</w:t>
                  </w:r>
                </w:p>
              </w:tc>
              <w:tc>
                <w:tcPr>
                  <w:tcW w:w="1966" w:type="dxa"/>
                  <w:tcBorders>
                    <w:tl2br w:val="nil"/>
                    <w:tr2bl w:val="nil"/>
                  </w:tcBorders>
                  <w:noWrap w:val="0"/>
                  <w:vAlign w:val="center"/>
                </w:tcPr>
                <w:p w14:paraId="327D3F5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0.7%</w:t>
                  </w:r>
                </w:p>
              </w:tc>
            </w:tr>
            <w:tr w14:paraId="266C5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blCellSpacing w:w="0" w:type="dxa"/>
                <w:jc w:val="center"/>
              </w:trPr>
              <w:tc>
                <w:tcPr>
                  <w:tcW w:w="2040" w:type="dxa"/>
                  <w:tcBorders>
                    <w:tl2br w:val="nil"/>
                    <w:tr2bl w:val="nil"/>
                  </w:tcBorders>
                  <w:noWrap w:val="0"/>
                  <w:vAlign w:val="center"/>
                </w:tcPr>
                <w:p w14:paraId="62D9223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500—1000</w:t>
                  </w:r>
                </w:p>
              </w:tc>
              <w:tc>
                <w:tcPr>
                  <w:tcW w:w="1565" w:type="dxa"/>
                  <w:tcBorders>
                    <w:tl2br w:val="nil"/>
                    <w:tr2bl w:val="nil"/>
                  </w:tcBorders>
                  <w:noWrap w:val="0"/>
                  <w:vAlign w:val="center"/>
                </w:tcPr>
                <w:p w14:paraId="5C9D691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0.8％</w:t>
                  </w:r>
                </w:p>
              </w:tc>
              <w:tc>
                <w:tcPr>
                  <w:tcW w:w="1846" w:type="dxa"/>
                  <w:tcBorders>
                    <w:tl2br w:val="nil"/>
                    <w:tr2bl w:val="nil"/>
                  </w:tcBorders>
                  <w:noWrap w:val="0"/>
                  <w:vAlign w:val="center"/>
                </w:tcPr>
                <w:p w14:paraId="5F00A4BE">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lang w:val="en-US" w:eastAsia="zh-CN" w:bidi="ar-SA"/>
                    </w:rPr>
                  </w:pPr>
                  <w:r>
                    <w:rPr>
                      <w:rFonts w:hint="eastAsia" w:ascii="宋体" w:hAnsi="宋体" w:eastAsia="宋体" w:cs="宋体"/>
                      <w:b/>
                      <w:bCs/>
                      <w:color w:val="auto"/>
                      <w:kern w:val="0"/>
                      <w:sz w:val="22"/>
                      <w:szCs w:val="22"/>
                      <w:highlight w:val="none"/>
                      <w:lang w:val="en-US" w:eastAsia="zh-CN" w:bidi="ar-SA"/>
                    </w:rPr>
                    <w:t>0.45％</w:t>
                  </w:r>
                </w:p>
              </w:tc>
              <w:tc>
                <w:tcPr>
                  <w:tcW w:w="1966" w:type="dxa"/>
                  <w:tcBorders>
                    <w:tl2br w:val="nil"/>
                    <w:tr2bl w:val="nil"/>
                  </w:tcBorders>
                  <w:noWrap w:val="0"/>
                  <w:vAlign w:val="center"/>
                </w:tcPr>
                <w:p w14:paraId="6A895A1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0.55%</w:t>
                  </w:r>
                </w:p>
              </w:tc>
            </w:tr>
            <w:tr w14:paraId="387D1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blCellSpacing w:w="0" w:type="dxa"/>
                <w:jc w:val="center"/>
              </w:trPr>
              <w:tc>
                <w:tcPr>
                  <w:tcW w:w="2040" w:type="dxa"/>
                  <w:tcBorders>
                    <w:tl2br w:val="nil"/>
                    <w:tr2bl w:val="nil"/>
                  </w:tcBorders>
                  <w:noWrap w:val="0"/>
                  <w:vAlign w:val="center"/>
                </w:tcPr>
                <w:p w14:paraId="645753FE">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1000—5000</w:t>
                  </w:r>
                </w:p>
              </w:tc>
              <w:tc>
                <w:tcPr>
                  <w:tcW w:w="1565" w:type="dxa"/>
                  <w:tcBorders>
                    <w:tl2br w:val="nil"/>
                    <w:tr2bl w:val="nil"/>
                  </w:tcBorders>
                  <w:noWrap w:val="0"/>
                  <w:vAlign w:val="center"/>
                </w:tcPr>
                <w:p w14:paraId="0ABD306E">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0.5％</w:t>
                  </w:r>
                </w:p>
              </w:tc>
              <w:tc>
                <w:tcPr>
                  <w:tcW w:w="1846" w:type="dxa"/>
                  <w:tcBorders>
                    <w:tl2br w:val="nil"/>
                    <w:tr2bl w:val="nil"/>
                  </w:tcBorders>
                  <w:noWrap w:val="0"/>
                  <w:vAlign w:val="center"/>
                </w:tcPr>
                <w:p w14:paraId="25E481A8">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lang w:val="en-US" w:eastAsia="zh-CN" w:bidi="ar-SA"/>
                    </w:rPr>
                  </w:pPr>
                  <w:r>
                    <w:rPr>
                      <w:rFonts w:hint="eastAsia" w:ascii="宋体" w:hAnsi="宋体" w:eastAsia="宋体" w:cs="宋体"/>
                      <w:b/>
                      <w:bCs/>
                      <w:color w:val="auto"/>
                      <w:kern w:val="0"/>
                      <w:sz w:val="22"/>
                      <w:szCs w:val="22"/>
                      <w:highlight w:val="none"/>
                      <w:lang w:val="en-US" w:eastAsia="zh-CN" w:bidi="ar-SA"/>
                    </w:rPr>
                    <w:t>0.25％</w:t>
                  </w:r>
                </w:p>
              </w:tc>
              <w:tc>
                <w:tcPr>
                  <w:tcW w:w="1966" w:type="dxa"/>
                  <w:tcBorders>
                    <w:tl2br w:val="nil"/>
                    <w:tr2bl w:val="nil"/>
                  </w:tcBorders>
                  <w:noWrap w:val="0"/>
                  <w:vAlign w:val="center"/>
                </w:tcPr>
                <w:p w14:paraId="777555A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0.35%</w:t>
                  </w:r>
                </w:p>
              </w:tc>
            </w:tr>
          </w:tbl>
          <w:p w14:paraId="64DB713C">
            <w:pPr>
              <w:pStyle w:val="23"/>
              <w:keepNext w:val="0"/>
              <w:keepLines w:val="0"/>
              <w:pageBreakBefore w:val="0"/>
              <w:suppressLineNumbers w:val="0"/>
              <w:kinsoku/>
              <w:wordWrap/>
              <w:overflowPunct/>
              <w:topLinePunct w:val="0"/>
              <w:autoSpaceDE/>
              <w:autoSpaceDN/>
              <w:bidi w:val="0"/>
              <w:snapToGrid/>
              <w:spacing w:before="0" w:beforeAutospacing="0" w:after="0" w:afterAutospacing="0" w:line="240" w:lineRule="auto"/>
              <w:ind w:left="0" w:leftChars="0" w:right="0" w:firstLine="0" w:firstLineChars="0"/>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4、招标代理服务收费按照差额定率累进法计算。</w:t>
            </w:r>
          </w:p>
          <w:p w14:paraId="090085C6">
            <w:pPr>
              <w:pStyle w:val="24"/>
              <w:keepNext w:val="0"/>
              <w:keepLines w:val="0"/>
              <w:suppressLineNumbers w:val="0"/>
              <w:spacing w:before="0" w:beforeAutospacing="0" w:afterAutospacing="0" w:line="240" w:lineRule="auto"/>
              <w:ind w:left="0" w:leftChars="0" w:right="0" w:firstLine="0" w:firstLineChars="0"/>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b/>
                <w:bCs/>
                <w:color w:val="auto"/>
                <w:kern w:val="0"/>
                <w:sz w:val="22"/>
                <w:szCs w:val="22"/>
                <w:highlight w:val="none"/>
                <w:lang w:val="en-US" w:eastAsia="zh-CN" w:bidi="ar-SA"/>
              </w:rPr>
              <w:t>5、本项目项目属性：服务招标。</w:t>
            </w:r>
          </w:p>
        </w:tc>
      </w:tr>
      <w:tr w14:paraId="275A8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79" w:type="pct"/>
            <w:noWrap w:val="0"/>
            <w:vAlign w:val="center"/>
          </w:tcPr>
          <w:p w14:paraId="0A5F0B65">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25</w:t>
            </w:r>
          </w:p>
        </w:tc>
        <w:tc>
          <w:tcPr>
            <w:tcW w:w="735" w:type="pct"/>
            <w:shd w:val="clear" w:color="auto" w:fill="auto"/>
            <w:noWrap w:val="0"/>
            <w:vAlign w:val="center"/>
          </w:tcPr>
          <w:p w14:paraId="5D00904C">
            <w:pPr>
              <w:keepNext w:val="0"/>
              <w:keepLines w:val="0"/>
              <w:suppressLineNumbers w:val="0"/>
              <w:shd w:val="clear" w:color="auto" w:fill="auto"/>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合同包1</w:t>
            </w:r>
          </w:p>
          <w:p w14:paraId="0E716386">
            <w:pPr>
              <w:keepNext w:val="0"/>
              <w:keepLines w:val="0"/>
              <w:suppressLineNumbers w:val="0"/>
              <w:shd w:val="clear" w:color="auto" w:fill="auto"/>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最高限价</w:t>
            </w:r>
          </w:p>
        </w:tc>
        <w:tc>
          <w:tcPr>
            <w:tcW w:w="3884" w:type="pct"/>
            <w:shd w:val="clear" w:color="auto" w:fill="auto"/>
            <w:noWrap w:val="0"/>
            <w:vAlign w:val="center"/>
          </w:tcPr>
          <w:p w14:paraId="42ACE0B9">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8" w:lineRule="auto"/>
              <w:ind w:left="0" w:right="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人民币：</w:t>
            </w:r>
            <w:r>
              <w:rPr>
                <w:rFonts w:hint="eastAsia" w:ascii="宋体" w:hAnsi="宋体" w:cs="宋体"/>
                <w:snapToGrid w:val="0"/>
                <w:color w:val="auto"/>
                <w:kern w:val="0"/>
                <w:sz w:val="22"/>
                <w:szCs w:val="22"/>
                <w:highlight w:val="none"/>
                <w:lang w:val="en-US" w:eastAsia="zh-CN"/>
              </w:rPr>
              <w:t>叁佰零柒万元整</w:t>
            </w:r>
            <w:r>
              <w:rPr>
                <w:rFonts w:hint="eastAsia" w:ascii="宋体" w:hAnsi="宋体" w:eastAsia="宋体" w:cs="宋体"/>
                <w:snapToGrid w:val="0"/>
                <w:color w:val="auto"/>
                <w:kern w:val="0"/>
                <w:sz w:val="22"/>
                <w:szCs w:val="22"/>
                <w:highlight w:val="none"/>
              </w:rPr>
              <w:t>（¥</w:t>
            </w:r>
            <w:r>
              <w:rPr>
                <w:rFonts w:hint="eastAsia" w:ascii="宋体" w:hAnsi="宋体" w:cs="宋体"/>
                <w:snapToGrid w:val="0"/>
                <w:color w:val="auto"/>
                <w:kern w:val="0"/>
                <w:sz w:val="22"/>
                <w:szCs w:val="22"/>
                <w:highlight w:val="none"/>
                <w:lang w:val="en-US" w:eastAsia="zh-CN"/>
              </w:rPr>
              <w:t>3070000</w:t>
            </w:r>
            <w:r>
              <w:rPr>
                <w:rFonts w:hint="eastAsia" w:ascii="宋体" w:hAnsi="宋体" w:eastAsia="宋体" w:cs="宋体"/>
                <w:snapToGrid w:val="0"/>
                <w:color w:val="auto"/>
                <w:kern w:val="0"/>
                <w:sz w:val="22"/>
                <w:szCs w:val="22"/>
                <w:highlight w:val="none"/>
                <w:lang w:val="en-US" w:eastAsia="zh-CN"/>
              </w:rPr>
              <w:t>.00</w:t>
            </w:r>
            <w:r>
              <w:rPr>
                <w:rFonts w:hint="eastAsia" w:ascii="宋体" w:hAnsi="宋体" w:eastAsia="宋体" w:cs="宋体"/>
                <w:snapToGrid w:val="0"/>
                <w:color w:val="auto"/>
                <w:kern w:val="0"/>
                <w:sz w:val="22"/>
                <w:szCs w:val="22"/>
                <w:highlight w:val="none"/>
              </w:rPr>
              <w:t>元）</w:t>
            </w:r>
          </w:p>
          <w:p w14:paraId="641D7FAA">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8" w:lineRule="auto"/>
              <w:ind w:left="0" w:right="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b w:val="0"/>
                <w:bCs w:val="0"/>
                <w:snapToGrid w:val="0"/>
                <w:color w:val="auto"/>
                <w:kern w:val="0"/>
                <w:sz w:val="22"/>
                <w:szCs w:val="22"/>
                <w:highlight w:val="none"/>
                <w:lang w:val="en-US" w:eastAsia="zh-CN"/>
              </w:rPr>
              <w:t>投标</w:t>
            </w:r>
            <w:r>
              <w:rPr>
                <w:rFonts w:hint="eastAsia" w:ascii="宋体" w:hAnsi="宋体" w:eastAsia="宋体" w:cs="宋体"/>
                <w:b w:val="0"/>
                <w:bCs w:val="0"/>
                <w:snapToGrid w:val="0"/>
                <w:color w:val="auto"/>
                <w:kern w:val="0"/>
                <w:sz w:val="22"/>
                <w:szCs w:val="22"/>
                <w:highlight w:val="none"/>
              </w:rPr>
              <w:t>报价超过最高限价按无效标处理。</w:t>
            </w:r>
          </w:p>
        </w:tc>
      </w:tr>
      <w:tr w14:paraId="34926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379" w:type="pct"/>
            <w:noWrap w:val="0"/>
            <w:vAlign w:val="center"/>
          </w:tcPr>
          <w:p w14:paraId="11804356">
            <w:pPr>
              <w:keepNext w:val="0"/>
              <w:keepLines w:val="0"/>
              <w:suppressLineNumbers w:val="0"/>
              <w:shd w:val="clear" w:color="auto" w:fill="auto"/>
              <w:adjustRightInd w:val="0"/>
              <w:snapToGrid w:val="0"/>
              <w:spacing w:before="0" w:beforeAutospacing="0" w:after="0" w:afterAutospacing="0" w:line="440" w:lineRule="exact"/>
              <w:ind w:left="0" w:right="0" w:firstLine="220" w:firstLineChars="100"/>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26</w:t>
            </w:r>
          </w:p>
        </w:tc>
        <w:tc>
          <w:tcPr>
            <w:tcW w:w="735" w:type="pct"/>
            <w:noWrap w:val="0"/>
            <w:vAlign w:val="center"/>
          </w:tcPr>
          <w:p w14:paraId="75FF4555">
            <w:pPr>
              <w:keepNext w:val="0"/>
              <w:keepLines w:val="0"/>
              <w:suppressLineNumbers w:val="0"/>
              <w:shd w:val="clear" w:color="auto" w:fill="auto"/>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供应商代表</w:t>
            </w:r>
          </w:p>
          <w:p w14:paraId="1EA5585E">
            <w:pPr>
              <w:keepNext w:val="0"/>
              <w:keepLines w:val="0"/>
              <w:suppressLineNumbers w:val="0"/>
              <w:shd w:val="clear" w:color="auto" w:fill="auto"/>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系统签到</w:t>
            </w:r>
          </w:p>
        </w:tc>
        <w:tc>
          <w:tcPr>
            <w:tcW w:w="3884" w:type="pct"/>
            <w:noWrap w:val="0"/>
            <w:vAlign w:val="center"/>
          </w:tcPr>
          <w:p w14:paraId="230A168C">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8" w:lineRule="auto"/>
              <w:ind w:left="0" w:right="0" w:firstLine="220" w:firstLineChars="100"/>
              <w:textAlignment w:val="auto"/>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1、供应商应按要求及时签到（签到时间为投标截止时间前 1 小时内，如果未签到将视为放弃投标资格），评审过程中，评标委员会可能会就某些问题要求供应商进行在线澄清，请供应商保持在线直到评审结束；</w:t>
            </w:r>
          </w:p>
        </w:tc>
      </w:tr>
      <w:tr w14:paraId="17C80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9" w:type="pct"/>
            <w:noWrap w:val="0"/>
            <w:vAlign w:val="center"/>
          </w:tcPr>
          <w:p w14:paraId="022B35AB">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default"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27</w:t>
            </w:r>
          </w:p>
        </w:tc>
        <w:tc>
          <w:tcPr>
            <w:tcW w:w="735" w:type="pct"/>
            <w:noWrap w:val="0"/>
            <w:vAlign w:val="center"/>
          </w:tcPr>
          <w:p w14:paraId="31ECD18B">
            <w:pPr>
              <w:keepNext w:val="0"/>
              <w:keepLines w:val="0"/>
              <w:pageBreakBefore w:val="0"/>
              <w:suppressLineNumbers w:val="0"/>
              <w:shd w:val="clear" w:color="auto" w:fill="auto"/>
              <w:kinsoku/>
              <w:wordWrap/>
              <w:overflowPunct/>
              <w:autoSpaceDE/>
              <w:autoSpaceDN/>
              <w:bidi w:val="0"/>
              <w:adjustRightInd w:val="0"/>
              <w:snapToGrid w:val="0"/>
              <w:spacing w:before="120" w:beforeAutospacing="0" w:after="0" w:afterAutospacing="0" w:line="288" w:lineRule="auto"/>
              <w:ind w:left="0" w:right="0"/>
              <w:jc w:val="center"/>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b/>
                <w:bCs/>
                <w:color w:val="auto"/>
                <w:sz w:val="22"/>
                <w:szCs w:val="22"/>
                <w:highlight w:val="none"/>
              </w:rPr>
              <w:t>特别提示</w:t>
            </w:r>
          </w:p>
        </w:tc>
        <w:tc>
          <w:tcPr>
            <w:tcW w:w="3884" w:type="pct"/>
            <w:noWrap w:val="0"/>
            <w:vAlign w:val="center"/>
          </w:tcPr>
          <w:p w14:paraId="7FB73493">
            <w:pPr>
              <w:pStyle w:val="9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该项目将采取“不见面”开标的形式，供应商无须到达开标现场， 即可在网上直接参与开标活动。相关注意事项如下：</w:t>
            </w:r>
          </w:p>
          <w:p w14:paraId="65425395">
            <w:pPr>
              <w:pStyle w:val="9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（1）开标当日，请各供应商在开标截止时间前至少提前半小时登录“不见面”开标系统登录方式有以下几种：</w:t>
            </w:r>
          </w:p>
          <w:p w14:paraId="298D1E01">
            <w:pPr>
              <w:pStyle w:val="9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IE浏览器输入网址：</w:t>
            </w:r>
          </w:p>
          <w:p w14:paraId="7FAB07CA">
            <w:pPr>
              <w:pStyle w:val="9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http://</w:t>
            </w:r>
            <w:r>
              <w:rPr>
                <w:rFonts w:hint="eastAsia" w:ascii="宋体" w:hAnsi="宋体" w:eastAsia="宋体" w:cs="宋体"/>
                <w:color w:val="auto"/>
                <w:sz w:val="22"/>
                <w:szCs w:val="22"/>
                <w:highlight w:val="none"/>
                <w:lang w:val="en-US" w:eastAsia="zh-CN"/>
              </w:rPr>
              <w:t>111</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20</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184.126</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8084</w:t>
            </w:r>
            <w:r>
              <w:rPr>
                <w:rFonts w:hint="eastAsia" w:ascii="宋体" w:hAnsi="宋体" w:eastAsia="宋体" w:cs="宋体"/>
                <w:color w:val="auto"/>
                <w:sz w:val="22"/>
                <w:szCs w:val="22"/>
                <w:highlight w:val="none"/>
              </w:rPr>
              <w:t>/BidOpeninghall/bidhall/</w:t>
            </w:r>
            <w:r>
              <w:rPr>
                <w:rFonts w:hint="eastAsia" w:ascii="宋体" w:hAnsi="宋体" w:eastAsia="宋体" w:cs="宋体"/>
                <w:color w:val="auto"/>
                <w:sz w:val="22"/>
                <w:szCs w:val="22"/>
                <w:highlight w:val="none"/>
                <w:lang w:val="en-US" w:eastAsia="zh-CN"/>
              </w:rPr>
              <w:t>dqxianyang</w:t>
            </w:r>
            <w:r>
              <w:rPr>
                <w:rFonts w:hint="eastAsia" w:ascii="宋体" w:hAnsi="宋体" w:eastAsia="宋体" w:cs="宋体"/>
                <w:color w:val="auto"/>
                <w:sz w:val="22"/>
                <w:szCs w:val="22"/>
                <w:highlight w:val="none"/>
              </w:rPr>
              <w:t>/login；</w:t>
            </w:r>
          </w:p>
          <w:p w14:paraId="32135BE0">
            <w:pPr>
              <w:pStyle w:val="9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在【全国公共资源交易平台（陕西省）】网站电子交易平台点击不见面开标模块进入；</w:t>
            </w:r>
          </w:p>
          <w:p w14:paraId="706C457A">
            <w:pPr>
              <w:pStyle w:val="9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注：登录不见面开标系统请选择IE11浏览器</w:t>
            </w:r>
          </w:p>
          <w:p w14:paraId="5130674E">
            <w:pPr>
              <w:pStyle w:val="9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（2）供应商应按要求及时签到（签到时间为投标截止时间前1小时内，如果未签到将视为放弃投标资格），评审过程中，评标委员会可能会就某些问题要求供应商进行在线澄清，请供应商保持在线直到评审结束；</w:t>
            </w:r>
          </w:p>
          <w:p w14:paraId="5D9ABB54">
            <w:pPr>
              <w:pStyle w:val="9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（3）投标供应商无需提交纸质响应文件，待采购结果公告后，由成交供应商补交一正二副纸质响应文件及电子版</w:t>
            </w:r>
            <w:r>
              <w:rPr>
                <w:rFonts w:hint="eastAsia" w:ascii="宋体" w:hAnsi="宋体" w:eastAsia="宋体" w:cs="宋体"/>
                <w:color w:val="auto"/>
                <w:sz w:val="22"/>
                <w:szCs w:val="22"/>
                <w:highlight w:val="none"/>
                <w:lang w:val="en-US" w:eastAsia="zh-CN"/>
              </w:rPr>
              <w:t>一份</w:t>
            </w:r>
            <w:r>
              <w:rPr>
                <w:rFonts w:hint="eastAsia" w:ascii="宋体" w:hAnsi="宋体" w:eastAsia="宋体" w:cs="宋体"/>
                <w:color w:val="auto"/>
                <w:sz w:val="22"/>
                <w:szCs w:val="22"/>
                <w:highlight w:val="none"/>
              </w:rPr>
              <w:t>（U盘，内容包括可编辑word版及不加密版投标文件</w:t>
            </w:r>
            <w:r>
              <w:rPr>
                <w:rFonts w:hint="eastAsia" w:ascii="宋体" w:hAnsi="宋体" w:eastAsia="宋体" w:cs="宋体"/>
                <w:color w:val="auto"/>
                <w:sz w:val="22"/>
                <w:szCs w:val="22"/>
                <w:highlight w:val="none"/>
                <w:lang w:val="en-US" w:eastAsia="zh-CN"/>
              </w:rPr>
              <w:t>签字盖章</w:t>
            </w:r>
            <w:r>
              <w:rPr>
                <w:rFonts w:hint="eastAsia" w:ascii="宋体" w:hAnsi="宋体" w:eastAsia="宋体" w:cs="宋体"/>
                <w:color w:val="auto"/>
                <w:sz w:val="22"/>
                <w:szCs w:val="22"/>
                <w:highlight w:val="none"/>
              </w:rPr>
              <w:t>PDF</w:t>
            </w:r>
            <w:r>
              <w:rPr>
                <w:rFonts w:hint="eastAsia" w:ascii="宋体" w:hAnsi="宋体" w:eastAsia="宋体" w:cs="宋体"/>
                <w:color w:val="auto"/>
                <w:sz w:val="22"/>
                <w:szCs w:val="22"/>
                <w:highlight w:val="none"/>
                <w:lang w:val="en-US" w:eastAsia="zh-CN"/>
              </w:rPr>
              <w:t>版</w:t>
            </w:r>
            <w:r>
              <w:rPr>
                <w:rFonts w:hint="eastAsia" w:ascii="宋体" w:hAnsi="宋体" w:eastAsia="宋体" w:cs="宋体"/>
                <w:color w:val="auto"/>
                <w:sz w:val="22"/>
                <w:szCs w:val="22"/>
                <w:highlight w:val="none"/>
              </w:rPr>
              <w:t>）响应文件一份（备案用）</w:t>
            </w:r>
          </w:p>
          <w:p w14:paraId="2846464D">
            <w:pPr>
              <w:pStyle w:val="9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（4）开标过程中，供应商在收到工作人员“开始解密”指令后，请及时使用CA对电子投标文件进行解密。解密时所用CA应与加密投标文件时所用CA相同；</w:t>
            </w:r>
            <w:r>
              <w:rPr>
                <w:rFonts w:hint="eastAsia" w:ascii="宋体" w:hAnsi="宋体" w:eastAsia="宋体" w:cs="宋体"/>
                <w:b/>
                <w:bCs/>
                <w:color w:val="auto"/>
                <w:sz w:val="22"/>
                <w:szCs w:val="22"/>
                <w:highlight w:val="none"/>
              </w:rPr>
              <w:t>注：解密时间为60分钟，在解密时间内供应商全部解密完成后，可提前进入开标下一阶段。</w:t>
            </w:r>
          </w:p>
          <w:p w14:paraId="0B39B127">
            <w:pPr>
              <w:pStyle w:val="9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（5）相关技术问题，请咨询软件开发商：</w:t>
            </w:r>
          </w:p>
          <w:p w14:paraId="77DEA88D">
            <w:pPr>
              <w:pStyle w:val="9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技术支持热线：400-998-0000/400-928-0095</w:t>
            </w:r>
          </w:p>
          <w:p w14:paraId="7CD18473">
            <w:pPr>
              <w:pStyle w:val="9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12" w:lineRule="auto"/>
              <w:ind w:left="0" w:leftChars="0" w:right="0" w:rightChars="0"/>
              <w:jc w:val="both"/>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color w:val="auto"/>
                <w:sz w:val="22"/>
                <w:szCs w:val="22"/>
                <w:highlight w:val="none"/>
              </w:rPr>
              <w:t>（6）不见面开标系统操作手册下载方式：登录【全国公共资源交易平台（陕西省）】 网站首页选择【服务指南】-【下载专区】-点击【关于陕西省公共资源交易平台多CA互认系统正式上线运行的通知】进行下载。</w:t>
            </w:r>
          </w:p>
        </w:tc>
      </w:tr>
      <w:tr w14:paraId="3446D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trPr>
        <w:tc>
          <w:tcPr>
            <w:tcW w:w="379" w:type="pct"/>
            <w:noWrap w:val="0"/>
            <w:vAlign w:val="center"/>
          </w:tcPr>
          <w:p w14:paraId="55CDC4EB">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default" w:ascii="宋体" w:hAnsi="宋体" w:eastAsia="宋体" w:cs="宋体"/>
                <w:color w:val="auto"/>
                <w:kern w:val="2"/>
                <w:sz w:val="22"/>
                <w:szCs w:val="22"/>
                <w:highlight w:val="none"/>
                <w:lang w:val="en-US" w:eastAsia="zh-CN" w:bidi="zh-CN"/>
              </w:rPr>
            </w:pPr>
            <w:r>
              <w:rPr>
                <w:rFonts w:hint="eastAsia" w:ascii="宋体" w:hAnsi="宋体" w:eastAsia="宋体" w:cs="宋体"/>
                <w:color w:val="auto"/>
                <w:kern w:val="2"/>
                <w:sz w:val="22"/>
                <w:szCs w:val="22"/>
                <w:highlight w:val="none"/>
                <w:lang w:val="en-US" w:eastAsia="zh-CN" w:bidi="zh-CN"/>
              </w:rPr>
              <w:t>28</w:t>
            </w:r>
          </w:p>
        </w:tc>
        <w:tc>
          <w:tcPr>
            <w:tcW w:w="735" w:type="pct"/>
            <w:noWrap w:val="0"/>
            <w:vAlign w:val="center"/>
          </w:tcPr>
          <w:p w14:paraId="01CBF100">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2"/>
                <w:szCs w:val="22"/>
                <w:highlight w:val="none"/>
                <w:lang w:val="en-US" w:eastAsia="zh-CN" w:bidi="zh-CN"/>
              </w:rPr>
            </w:pPr>
            <w:r>
              <w:rPr>
                <w:rFonts w:hint="eastAsia" w:ascii="宋体" w:hAnsi="宋体" w:eastAsia="宋体" w:cs="宋体"/>
                <w:color w:val="auto"/>
                <w:kern w:val="2"/>
                <w:sz w:val="22"/>
                <w:szCs w:val="22"/>
                <w:highlight w:val="none"/>
                <w:lang w:val="en-US" w:eastAsia="zh-CN" w:bidi="zh-CN"/>
              </w:rPr>
              <w:t>其他</w:t>
            </w:r>
          </w:p>
        </w:tc>
        <w:tc>
          <w:tcPr>
            <w:tcW w:w="3884" w:type="pct"/>
            <w:noWrap w:val="0"/>
            <w:vAlign w:val="center"/>
          </w:tcPr>
          <w:p w14:paraId="409BE826">
            <w:pPr>
              <w:pStyle w:val="2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rPr>
                <w:rFonts w:hint="eastAsia" w:ascii="宋体" w:hAnsi="宋体" w:eastAsia="宋体" w:cs="宋体"/>
                <w:color w:val="auto"/>
                <w:kern w:val="2"/>
                <w:sz w:val="22"/>
                <w:szCs w:val="22"/>
                <w:highlight w:val="none"/>
                <w:lang w:val="zh-CN" w:eastAsia="zh-CN" w:bidi="zh-CN"/>
              </w:rPr>
            </w:pPr>
            <w:r>
              <w:rPr>
                <w:rFonts w:hint="eastAsia" w:ascii="宋体" w:hAnsi="宋体" w:eastAsia="宋体" w:cs="宋体"/>
                <w:color w:val="auto"/>
                <w:kern w:val="2"/>
                <w:sz w:val="22"/>
                <w:szCs w:val="22"/>
                <w:highlight w:val="none"/>
                <w:lang w:val="zh-CN" w:eastAsia="zh-CN" w:bidi="zh-CN"/>
              </w:rPr>
              <w:t>☑专门面向中小企业招标项目</w:t>
            </w:r>
          </w:p>
          <w:p w14:paraId="11FCF620">
            <w:pPr>
              <w:pStyle w:val="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rPr>
                <w:rFonts w:hint="eastAsia" w:ascii="宋体" w:hAnsi="宋体" w:eastAsia="宋体" w:cs="宋体"/>
                <w:color w:val="auto"/>
                <w:spacing w:val="0"/>
                <w:kern w:val="2"/>
                <w:sz w:val="22"/>
                <w:szCs w:val="22"/>
                <w:highlight w:val="none"/>
                <w:lang w:val="zh-CN" w:eastAsia="zh-CN" w:bidi="zh-CN"/>
              </w:rPr>
            </w:pPr>
            <w:r>
              <w:rPr>
                <w:rFonts w:hint="eastAsia" w:ascii="宋体" w:hAnsi="宋体" w:eastAsia="宋体" w:cs="宋体"/>
                <w:color w:val="auto"/>
                <w:spacing w:val="0"/>
                <w:kern w:val="2"/>
                <w:sz w:val="22"/>
                <w:szCs w:val="22"/>
                <w:highlight w:val="none"/>
                <w:lang w:val="zh-CN" w:eastAsia="zh-CN" w:bidi="zh-CN"/>
              </w:rPr>
              <w:t>本项目专门面向中小企业，故不参与价格扣除。</w:t>
            </w:r>
          </w:p>
          <w:p w14:paraId="0E903DD6">
            <w:pPr>
              <w:pStyle w:val="2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rPr>
                <w:rFonts w:hint="eastAsia" w:ascii="宋体" w:hAnsi="宋体" w:eastAsia="宋体" w:cs="宋体"/>
                <w:color w:val="auto"/>
                <w:kern w:val="2"/>
                <w:sz w:val="22"/>
                <w:szCs w:val="22"/>
                <w:highlight w:val="none"/>
                <w:lang w:val="zh-CN" w:eastAsia="zh-CN" w:bidi="zh-CN"/>
              </w:rPr>
            </w:pPr>
            <w:r>
              <w:rPr>
                <w:rFonts w:hint="eastAsia" w:ascii="宋体" w:hAnsi="宋体" w:eastAsia="宋体" w:cs="宋体"/>
                <w:color w:val="auto"/>
                <w:kern w:val="2"/>
                <w:sz w:val="22"/>
                <w:szCs w:val="22"/>
                <w:highlight w:val="none"/>
                <w:lang w:val="zh-CN" w:eastAsia="zh-CN" w:bidi="zh-CN"/>
              </w:rPr>
              <w:t>□非专门面向中小企业招标项目（价格扣除）：</w:t>
            </w:r>
          </w:p>
          <w:p w14:paraId="02813780">
            <w:pPr>
              <w:pStyle w:val="2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rPr>
                <w:rFonts w:hint="eastAsia" w:ascii="宋体" w:hAnsi="宋体" w:eastAsia="宋体" w:cs="宋体"/>
                <w:color w:val="auto"/>
                <w:kern w:val="2"/>
                <w:sz w:val="22"/>
                <w:szCs w:val="22"/>
                <w:highlight w:val="none"/>
                <w:lang w:val="zh-CN" w:eastAsia="zh-CN" w:bidi="zh-CN"/>
              </w:rPr>
            </w:pPr>
            <w:r>
              <w:rPr>
                <w:rFonts w:hint="eastAsia" w:ascii="宋体" w:hAnsi="宋体" w:eastAsia="宋体" w:cs="宋体"/>
                <w:color w:val="auto"/>
                <w:kern w:val="2"/>
                <w:sz w:val="22"/>
                <w:szCs w:val="22"/>
                <w:highlight w:val="none"/>
                <w:lang w:val="zh-CN" w:eastAsia="zh-CN" w:bidi="zh-CN"/>
              </w:rPr>
              <w:t></w:t>
            </w:r>
            <w:r>
              <w:rPr>
                <w:rFonts w:hint="default" w:ascii="宋体" w:hAnsi="宋体" w:eastAsia="宋体" w:cs="宋体"/>
                <w:color w:val="auto"/>
                <w:kern w:val="2"/>
                <w:sz w:val="22"/>
                <w:szCs w:val="22"/>
                <w:highlight w:val="none"/>
                <w:lang w:val="zh-CN" w:eastAsia="zh-CN" w:bidi="zh-CN"/>
              </w:rPr>
              <w:t>①</w:t>
            </w:r>
            <w:r>
              <w:rPr>
                <w:rFonts w:hint="eastAsia" w:ascii="宋体" w:hAnsi="宋体" w:eastAsia="宋体" w:cs="宋体"/>
                <w:color w:val="auto"/>
                <w:kern w:val="2"/>
                <w:sz w:val="22"/>
                <w:szCs w:val="22"/>
                <w:highlight w:val="none"/>
                <w:lang w:val="zh-CN" w:eastAsia="zh-CN" w:bidi="zh-CN"/>
              </w:rPr>
              <w:t>对小型和微型企业产品的价格给与 20%的扣除，用扣除后的价格参与评审。</w:t>
            </w:r>
          </w:p>
          <w:p w14:paraId="756FF1EF">
            <w:pPr>
              <w:pStyle w:val="2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rPr>
                <w:rFonts w:hint="eastAsia"/>
                <w:color w:val="auto"/>
                <w:sz w:val="22"/>
                <w:szCs w:val="22"/>
                <w:highlight w:val="none"/>
                <w:lang w:val="zh-CN" w:eastAsia="zh-CN"/>
              </w:rPr>
            </w:pPr>
            <w:r>
              <w:rPr>
                <w:rFonts w:hint="eastAsia" w:ascii="宋体" w:hAnsi="宋体" w:eastAsia="宋体" w:cs="宋体"/>
                <w:color w:val="auto"/>
                <w:kern w:val="2"/>
                <w:sz w:val="22"/>
                <w:szCs w:val="22"/>
                <w:highlight w:val="none"/>
                <w:lang w:val="zh-CN" w:eastAsia="zh-CN" w:bidi="zh-CN"/>
              </w:rPr>
              <w:t></w:t>
            </w:r>
            <w:r>
              <w:rPr>
                <w:rFonts w:hint="default" w:ascii="宋体" w:hAnsi="宋体" w:eastAsia="宋体" w:cs="宋体"/>
                <w:color w:val="auto"/>
                <w:kern w:val="2"/>
                <w:sz w:val="22"/>
                <w:szCs w:val="22"/>
                <w:highlight w:val="none"/>
                <w:lang w:val="zh-CN" w:eastAsia="zh-CN" w:bidi="zh-CN"/>
              </w:rPr>
              <w:t>②</w:t>
            </w:r>
            <w:r>
              <w:rPr>
                <w:rFonts w:hint="eastAsia" w:ascii="宋体" w:hAnsi="宋体" w:eastAsia="宋体" w:cs="宋体"/>
                <w:color w:val="auto"/>
                <w:kern w:val="2"/>
                <w:sz w:val="22"/>
                <w:szCs w:val="22"/>
                <w:highlight w:val="none"/>
                <w:lang w:val="zh-CN" w:eastAsia="zh-CN" w:bidi="zh-CN"/>
              </w:rPr>
              <w:t>本项目接</w:t>
            </w:r>
            <w:r>
              <w:rPr>
                <w:rFonts w:hint="eastAsia" w:ascii="宋体" w:hAnsi="宋体" w:eastAsia="宋体" w:cs="宋体"/>
                <w:color w:val="auto"/>
                <w:kern w:val="2"/>
                <w:sz w:val="22"/>
                <w:szCs w:val="22"/>
                <w:highlight w:val="none"/>
                <w:lang w:val="en-US" w:eastAsia="zh-CN" w:bidi="zh-CN"/>
              </w:rPr>
              <w:t>受</w:t>
            </w:r>
            <w:r>
              <w:rPr>
                <w:rFonts w:hint="eastAsia" w:ascii="宋体" w:hAnsi="宋体" w:eastAsia="宋体" w:cs="宋体"/>
                <w:color w:val="auto"/>
                <w:kern w:val="2"/>
                <w:sz w:val="22"/>
                <w:szCs w:val="22"/>
                <w:highlight w:val="none"/>
                <w:lang w:val="zh-CN" w:eastAsia="zh-CN" w:bidi="zh-CN"/>
              </w:rPr>
              <w:t>联合体投标的，若小型和微型企业的协议合同金额占到联合体协议合同金额 30%以上的，可给予联合体 6%的扣除，用扣除后的价格参与评审。</w:t>
            </w:r>
          </w:p>
        </w:tc>
      </w:tr>
      <w:tr w14:paraId="59105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9" w:hRule="atLeast"/>
        </w:trPr>
        <w:tc>
          <w:tcPr>
            <w:tcW w:w="379" w:type="pct"/>
            <w:noWrap w:val="0"/>
            <w:vAlign w:val="center"/>
          </w:tcPr>
          <w:p w14:paraId="1E19761B">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default" w:ascii="宋体" w:hAnsi="宋体" w:eastAsia="宋体" w:cs="宋体"/>
                <w:color w:val="auto"/>
                <w:kern w:val="2"/>
                <w:sz w:val="22"/>
                <w:szCs w:val="22"/>
                <w:highlight w:val="none"/>
                <w:lang w:val="en-US" w:eastAsia="zh-CN" w:bidi="zh-CN"/>
              </w:rPr>
            </w:pPr>
            <w:r>
              <w:rPr>
                <w:rFonts w:hint="eastAsia" w:ascii="宋体" w:hAnsi="宋体" w:eastAsia="宋体" w:cs="宋体"/>
                <w:color w:val="auto"/>
                <w:kern w:val="2"/>
                <w:sz w:val="22"/>
                <w:szCs w:val="22"/>
                <w:highlight w:val="none"/>
                <w:lang w:val="en-US" w:eastAsia="zh-CN" w:bidi="zh-CN"/>
              </w:rPr>
              <w:t>29</w:t>
            </w:r>
          </w:p>
        </w:tc>
        <w:tc>
          <w:tcPr>
            <w:tcW w:w="735" w:type="pct"/>
            <w:noWrap w:val="0"/>
            <w:vAlign w:val="center"/>
          </w:tcPr>
          <w:p w14:paraId="7CABE300">
            <w:pPr>
              <w:keepNext w:val="0"/>
              <w:keepLines w:val="0"/>
              <w:suppressLineNumbers w:val="0"/>
              <w:shd w:val="clear" w:color="auto" w:fill="auto"/>
              <w:spacing w:before="0" w:beforeAutospacing="0" w:after="0" w:afterAutospacing="0" w:line="320" w:lineRule="exact"/>
              <w:ind w:left="0" w:leftChars="0" w:right="0" w:rightChars="0"/>
              <w:jc w:val="center"/>
              <w:rPr>
                <w:rFonts w:hint="eastAsia" w:ascii="宋体" w:hAnsi="宋体" w:eastAsia="宋体" w:cs="宋体"/>
                <w:color w:val="auto"/>
                <w:kern w:val="2"/>
                <w:sz w:val="22"/>
                <w:szCs w:val="22"/>
                <w:highlight w:val="none"/>
                <w:lang w:val="en-US" w:eastAsia="zh-CN" w:bidi="zh-CN"/>
              </w:rPr>
            </w:pPr>
            <w:r>
              <w:rPr>
                <w:rFonts w:hint="eastAsia" w:ascii="宋体" w:hAnsi="宋体" w:cs="宋体"/>
                <w:b w:val="0"/>
                <w:bCs w:val="0"/>
                <w:color w:val="auto"/>
                <w:sz w:val="22"/>
                <w:szCs w:val="22"/>
                <w:highlight w:val="none"/>
                <w:lang w:val="en-US" w:eastAsia="zh-CN"/>
              </w:rPr>
              <w:t>信用承诺</w:t>
            </w:r>
          </w:p>
        </w:tc>
        <w:tc>
          <w:tcPr>
            <w:tcW w:w="3884" w:type="pct"/>
            <w:noWrap w:val="0"/>
            <w:vAlign w:val="center"/>
          </w:tcPr>
          <w:p w14:paraId="07B7BD3A">
            <w:pPr>
              <w:pStyle w:val="9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textAlignment w:val="auto"/>
              <w:rPr>
                <w:rFonts w:hint="eastAsia" w:ascii="宋体" w:hAnsi="宋体" w:eastAsia="宋体" w:cs="宋体"/>
                <w:b/>
                <w:bCs/>
                <w:color w:val="auto"/>
                <w:spacing w:val="2"/>
                <w:sz w:val="22"/>
                <w:szCs w:val="22"/>
                <w:highlight w:val="none"/>
                <w:lang w:eastAsia="zh-CN"/>
              </w:rPr>
            </w:pPr>
            <w:r>
              <w:rPr>
                <w:rFonts w:hint="eastAsia" w:ascii="宋体" w:hAnsi="宋体" w:eastAsia="宋体" w:cs="宋体"/>
                <w:b/>
                <w:bCs/>
                <w:color w:val="auto"/>
                <w:spacing w:val="2"/>
                <w:sz w:val="22"/>
                <w:szCs w:val="22"/>
                <w:highlight w:val="none"/>
                <w:lang w:eastAsia="zh-CN"/>
              </w:rPr>
              <w:t>公共资源信用承诺：</w:t>
            </w:r>
          </w:p>
          <w:p w14:paraId="00545FFA">
            <w:pPr>
              <w:pStyle w:val="9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firstLine="448" w:firstLineChars="200"/>
              <w:textAlignment w:val="auto"/>
              <w:rPr>
                <w:rFonts w:hint="eastAsia" w:ascii="宋体" w:hAnsi="宋体" w:eastAsia="宋体" w:cs="宋体"/>
                <w:color w:val="auto"/>
                <w:spacing w:val="2"/>
                <w:sz w:val="22"/>
                <w:szCs w:val="22"/>
                <w:highlight w:val="none"/>
                <w:lang w:eastAsia="zh-CN"/>
              </w:rPr>
            </w:pPr>
            <w:r>
              <w:rPr>
                <w:rFonts w:hint="eastAsia" w:ascii="宋体" w:hAnsi="宋体" w:eastAsia="宋体" w:cs="宋体"/>
                <w:color w:val="auto"/>
                <w:spacing w:val="2"/>
                <w:sz w:val="22"/>
                <w:szCs w:val="22"/>
                <w:highlight w:val="none"/>
                <w:lang w:eastAsia="zh-CN"/>
              </w:rPr>
              <w:t>为深入贯彻信用体系建设的有关精神，根据市发改委《关于在工程招投标活动中推行信用监管试点示范工作的通知》（榆政发改发〔2020〕329号）和市财政局《关于在政府采购活动中使用信用记录和信用报告以及开展承诺工作的通知》（榆政财采函〔2020〕9号）在工程建设和政府采购领域全面推行信用公开承诺制，进入公共资源交易平台的各方交易主体，均应在“信用中国（陕西榆林）”网站进行注册、登陆，自主上报信用承诺书（网址：https://credit.yl.gov.cn/），各相关交易主体注册、登陆后根据承诺事项选择相应的模板填写《信用承诺书》。</w:t>
            </w:r>
          </w:p>
          <w:p w14:paraId="49763D3B">
            <w:pPr>
              <w:pStyle w:val="9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textAlignment w:val="auto"/>
              <w:rPr>
                <w:rFonts w:hint="eastAsia" w:ascii="宋体" w:hAnsi="宋体" w:eastAsia="宋体" w:cs="宋体"/>
                <w:color w:val="auto"/>
                <w:spacing w:val="2"/>
                <w:sz w:val="22"/>
                <w:szCs w:val="22"/>
                <w:highlight w:val="none"/>
                <w:lang w:eastAsia="zh-CN"/>
              </w:rPr>
            </w:pPr>
            <w:r>
              <w:rPr>
                <w:rFonts w:hint="eastAsia" w:ascii="宋体" w:hAnsi="宋体" w:eastAsia="宋体" w:cs="宋体"/>
                <w:color w:val="auto"/>
                <w:spacing w:val="2"/>
                <w:sz w:val="22"/>
                <w:szCs w:val="22"/>
                <w:highlight w:val="none"/>
                <w:lang w:eastAsia="zh-CN"/>
              </w:rPr>
              <w:t>信用承诺操作相关事宜如下：后附操作手册</w:t>
            </w:r>
          </w:p>
          <w:p w14:paraId="1FAA7261">
            <w:pPr>
              <w:pStyle w:val="9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firstLine="448" w:firstLineChars="200"/>
              <w:textAlignment w:val="auto"/>
              <w:rPr>
                <w:rFonts w:hint="eastAsia" w:ascii="宋体" w:hAnsi="宋体" w:eastAsia="宋体" w:cs="宋体"/>
                <w:color w:val="auto"/>
                <w:spacing w:val="2"/>
                <w:sz w:val="22"/>
                <w:szCs w:val="22"/>
                <w:highlight w:val="none"/>
                <w:lang w:eastAsia="zh-CN"/>
              </w:rPr>
            </w:pPr>
            <w:r>
              <w:rPr>
                <w:rFonts w:hint="eastAsia" w:ascii="宋体" w:hAnsi="宋体" w:eastAsia="宋体" w:cs="宋体"/>
                <w:color w:val="auto"/>
                <w:spacing w:val="2"/>
                <w:sz w:val="22"/>
                <w:szCs w:val="22"/>
                <w:highlight w:val="none"/>
                <w:lang w:eastAsia="zh-CN"/>
              </w:rPr>
              <w:t>（1）进入信用中国“陕西榆林”页面，点击信用承诺，右上角显示主动上报，在承诺事项选择相应的承诺事项，承诺事项的名称为原纸质版的标题名称。</w:t>
            </w:r>
          </w:p>
          <w:p w14:paraId="1329B8E6">
            <w:pPr>
              <w:pStyle w:val="9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firstLine="448" w:firstLineChars="200"/>
              <w:textAlignment w:val="auto"/>
              <w:rPr>
                <w:rFonts w:hint="eastAsia" w:ascii="宋体" w:hAnsi="宋体" w:eastAsia="宋体" w:cs="宋体"/>
                <w:color w:val="auto"/>
                <w:spacing w:val="2"/>
                <w:sz w:val="22"/>
                <w:szCs w:val="22"/>
                <w:highlight w:val="none"/>
                <w:lang w:eastAsia="zh-CN"/>
              </w:rPr>
            </w:pPr>
            <w:r>
              <w:rPr>
                <w:rFonts w:hint="eastAsia" w:ascii="宋体" w:hAnsi="宋体" w:eastAsia="宋体" w:cs="宋体"/>
                <w:color w:val="auto"/>
                <w:spacing w:val="2"/>
                <w:sz w:val="22"/>
                <w:szCs w:val="22"/>
                <w:highlight w:val="none"/>
                <w:lang w:eastAsia="zh-CN"/>
              </w:rPr>
              <w:t>（2）承诺时间为当日，承诺事由为“</w:t>
            </w:r>
            <w:r>
              <w:rPr>
                <w:rFonts w:hint="eastAsia" w:cs="宋体"/>
                <w:color w:val="auto"/>
                <w:spacing w:val="2"/>
                <w:sz w:val="22"/>
                <w:szCs w:val="22"/>
                <w:highlight w:val="none"/>
                <w:lang w:val="en-US" w:eastAsia="zh-CN"/>
              </w:rPr>
              <w:t>项目名称</w:t>
            </w:r>
            <w:r>
              <w:rPr>
                <w:rFonts w:hint="eastAsia" w:ascii="宋体" w:hAnsi="宋体" w:eastAsia="宋体" w:cs="宋体"/>
                <w:color w:val="auto"/>
                <w:spacing w:val="2"/>
                <w:sz w:val="22"/>
                <w:szCs w:val="22"/>
                <w:highlight w:val="none"/>
                <w:lang w:eastAsia="zh-CN"/>
              </w:rPr>
              <w:t>”，受理部门为榆林市公共资源交易中心。</w:t>
            </w:r>
          </w:p>
          <w:p w14:paraId="580D7C61">
            <w:pPr>
              <w:pStyle w:val="9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firstLine="448" w:firstLineChars="200"/>
              <w:textAlignment w:val="auto"/>
              <w:rPr>
                <w:rFonts w:hint="eastAsia" w:ascii="宋体" w:hAnsi="宋体" w:eastAsia="宋体" w:cs="宋体"/>
                <w:color w:val="auto"/>
                <w:spacing w:val="2"/>
                <w:sz w:val="22"/>
                <w:szCs w:val="22"/>
                <w:highlight w:val="none"/>
                <w:lang w:eastAsia="zh-CN"/>
              </w:rPr>
            </w:pPr>
            <w:r>
              <w:rPr>
                <w:rFonts w:hint="eastAsia" w:ascii="宋体" w:hAnsi="宋体" w:eastAsia="宋体" w:cs="宋体"/>
                <w:color w:val="auto"/>
                <w:spacing w:val="2"/>
                <w:sz w:val="22"/>
                <w:szCs w:val="22"/>
                <w:highlight w:val="none"/>
                <w:lang w:eastAsia="zh-CN"/>
              </w:rPr>
              <w:t>（3）</w:t>
            </w:r>
            <w:r>
              <w:rPr>
                <w:rFonts w:hint="eastAsia" w:cs="宋体"/>
                <w:color w:val="auto"/>
                <w:spacing w:val="2"/>
                <w:sz w:val="22"/>
                <w:szCs w:val="22"/>
                <w:highlight w:val="none"/>
                <w:lang w:val="en-US" w:eastAsia="zh-CN"/>
              </w:rPr>
              <w:t>投标人</w:t>
            </w:r>
            <w:r>
              <w:rPr>
                <w:rFonts w:hint="eastAsia" w:ascii="宋体" w:hAnsi="宋体" w:eastAsia="宋体" w:cs="宋体"/>
                <w:color w:val="auto"/>
                <w:spacing w:val="2"/>
                <w:sz w:val="22"/>
                <w:szCs w:val="22"/>
                <w:highlight w:val="none"/>
                <w:lang w:eastAsia="zh-CN"/>
              </w:rPr>
              <w:t>除上传保证金承诺外，还需上传三项信用承诺：①投标人信用承诺；②委托代理人信用承诺。③《榆林市政府采购</w:t>
            </w:r>
            <w:r>
              <w:rPr>
                <w:rFonts w:hint="eastAsia" w:cs="宋体"/>
                <w:color w:val="auto"/>
                <w:spacing w:val="2"/>
                <w:sz w:val="22"/>
                <w:szCs w:val="22"/>
                <w:highlight w:val="none"/>
                <w:lang w:val="en-US" w:eastAsia="zh-CN"/>
              </w:rPr>
              <w:t>服务</w:t>
            </w:r>
            <w:r>
              <w:rPr>
                <w:rFonts w:hint="eastAsia" w:ascii="宋体" w:hAnsi="宋体" w:eastAsia="宋体" w:cs="宋体"/>
                <w:color w:val="auto"/>
                <w:spacing w:val="2"/>
                <w:sz w:val="22"/>
                <w:szCs w:val="22"/>
                <w:highlight w:val="none"/>
                <w:lang w:eastAsia="zh-CN"/>
              </w:rPr>
              <w:t>类项目供应商信用承诺书》（信用承诺书的格式详见投标文件格式）</w:t>
            </w:r>
          </w:p>
          <w:p w14:paraId="178F946C">
            <w:pPr>
              <w:pStyle w:val="9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firstLine="448" w:firstLineChars="200"/>
              <w:textAlignment w:val="auto"/>
              <w:rPr>
                <w:rFonts w:hint="eastAsia" w:ascii="宋体" w:hAnsi="宋体" w:eastAsia="宋体" w:cs="宋体"/>
                <w:color w:val="auto"/>
                <w:spacing w:val="2"/>
                <w:sz w:val="22"/>
                <w:szCs w:val="22"/>
                <w:highlight w:val="none"/>
                <w:lang w:eastAsia="zh-CN"/>
              </w:rPr>
            </w:pPr>
            <w:r>
              <w:rPr>
                <w:rFonts w:hint="eastAsia" w:ascii="宋体" w:hAnsi="宋体" w:eastAsia="宋体" w:cs="宋体"/>
                <w:color w:val="auto"/>
                <w:spacing w:val="2"/>
                <w:sz w:val="22"/>
                <w:szCs w:val="22"/>
                <w:highlight w:val="none"/>
                <w:lang w:eastAsia="zh-CN"/>
              </w:rPr>
              <w:t>（4）所有账号问题在政务网中咨询或拨打029-87382893、029-87382894。</w:t>
            </w:r>
          </w:p>
          <w:p w14:paraId="0977AE0D">
            <w:pPr>
              <w:pStyle w:val="9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textAlignment w:val="auto"/>
              <w:rPr>
                <w:rFonts w:hint="eastAsia"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2"/>
                <w:szCs w:val="22"/>
                <w:highlight w:val="none"/>
                <w:lang w:eastAsia="zh-CN"/>
              </w:rPr>
              <w:t>注：如未按照上述要求办理，信用承诺公示迟报、漏报的列入不良行为记录。其投标将被否决，后果自负。投标人请将申报截图附在</w:t>
            </w:r>
            <w:r>
              <w:rPr>
                <w:rFonts w:hint="eastAsia" w:ascii="宋体" w:hAnsi="宋体" w:cs="宋体"/>
                <w:color w:val="auto"/>
                <w:sz w:val="22"/>
                <w:szCs w:val="22"/>
                <w:highlight w:val="none"/>
                <w:lang w:val="en-US" w:eastAsia="zh-CN"/>
              </w:rPr>
              <w:t>投标</w:t>
            </w:r>
            <w:r>
              <w:rPr>
                <w:rFonts w:hint="eastAsia" w:ascii="宋体" w:hAnsi="宋体" w:eastAsia="宋体" w:cs="宋体"/>
                <w:color w:val="auto"/>
                <w:spacing w:val="2"/>
                <w:sz w:val="22"/>
                <w:szCs w:val="22"/>
                <w:highlight w:val="none"/>
                <w:lang w:eastAsia="zh-CN"/>
              </w:rPr>
              <w:t>文件附件中，如不执行由此带来的不利后果投标人自行承担。</w:t>
            </w:r>
            <w:r>
              <w:rPr>
                <w:rFonts w:hint="eastAsia" w:ascii="宋体" w:hAnsi="宋体" w:eastAsia="宋体" w:cs="宋体"/>
                <w:color w:val="auto"/>
                <w:spacing w:val="2"/>
                <w:sz w:val="22"/>
                <w:szCs w:val="22"/>
                <w:highlight w:val="none"/>
                <w:lang w:val="en-US" w:eastAsia="zh-CN"/>
              </w:rPr>
              <w:t>注：①法人直接参与投标无须上报《投标人委托代理人员信用承诺书》和提供授权委托人信用承诺</w:t>
            </w:r>
          </w:p>
          <w:p w14:paraId="1B2AECC0">
            <w:pPr>
              <w:pStyle w:val="9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textAlignment w:val="auto"/>
              <w:rPr>
                <w:rFonts w:hint="default"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2"/>
                <w:szCs w:val="22"/>
                <w:highlight w:val="none"/>
                <w:lang w:val="en-US" w:eastAsia="zh-CN"/>
              </w:rPr>
              <w:t>②不见面开标开始后采购代理机构将通过平台进行核实查验，未按上述要求在“信用中国（陕西榆林）”网站进行上报将否决投标。</w:t>
            </w:r>
          </w:p>
          <w:p w14:paraId="5B706D10">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12" w:lineRule="auto"/>
              <w:ind w:left="0" w:leftChars="0" w:right="0" w:rightChars="0" w:firstLine="442" w:firstLineChars="200"/>
              <w:textAlignment w:val="auto"/>
              <w:rPr>
                <w:rFonts w:hint="eastAsia" w:ascii="宋体" w:hAnsi="宋体" w:eastAsia="宋体" w:cs="宋体"/>
                <w:color w:val="auto"/>
                <w:kern w:val="2"/>
                <w:sz w:val="22"/>
                <w:szCs w:val="22"/>
                <w:highlight w:val="none"/>
                <w:lang w:val="en-US" w:eastAsia="zh-CN" w:bidi="zh-CN"/>
              </w:rPr>
            </w:pPr>
            <w:r>
              <w:rPr>
                <w:rStyle w:val="92"/>
                <w:rFonts w:hint="eastAsia" w:ascii="宋体" w:hAnsi="宋体" w:eastAsia="宋体" w:cs="宋体"/>
                <w:b/>
                <w:bCs/>
                <w:color w:val="auto"/>
                <w:sz w:val="22"/>
                <w:szCs w:val="22"/>
                <w:highlight w:val="none"/>
              </w:rPr>
              <w:t>注：如未按照上述要求办理，</w:t>
            </w:r>
            <w:r>
              <w:rPr>
                <w:rFonts w:hint="eastAsia" w:ascii="宋体" w:hAnsi="宋体" w:eastAsia="宋体" w:cs="宋体"/>
                <w:b/>
                <w:bCs/>
                <w:color w:val="auto"/>
                <w:sz w:val="22"/>
                <w:szCs w:val="22"/>
                <w:highlight w:val="none"/>
              </w:rPr>
              <w:t>信用承诺公示迟报、漏报的列入不良行为记录。</w:t>
            </w:r>
            <w:r>
              <w:rPr>
                <w:rStyle w:val="92"/>
                <w:rFonts w:hint="eastAsia" w:ascii="宋体" w:hAnsi="宋体" w:eastAsia="宋体" w:cs="宋体"/>
                <w:b/>
                <w:bCs/>
                <w:color w:val="auto"/>
                <w:sz w:val="22"/>
                <w:szCs w:val="22"/>
                <w:highlight w:val="none"/>
              </w:rPr>
              <w:t>其投标将被否决，后果自负。</w:t>
            </w:r>
            <w:r>
              <w:rPr>
                <w:rFonts w:hint="eastAsia" w:ascii="宋体" w:hAnsi="宋体" w:eastAsia="宋体" w:cs="宋体"/>
                <w:b/>
                <w:bCs/>
                <w:color w:val="auto"/>
                <w:sz w:val="22"/>
                <w:szCs w:val="22"/>
                <w:highlight w:val="none"/>
              </w:rPr>
              <w:t>投标人请将申报截图附在投标文件附件中，如不执行由此带来的不利后果投标人自行承担。</w:t>
            </w:r>
          </w:p>
        </w:tc>
      </w:tr>
      <w:tr w14:paraId="7B0E5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379" w:type="pct"/>
            <w:noWrap w:val="0"/>
            <w:vAlign w:val="center"/>
          </w:tcPr>
          <w:p w14:paraId="6C29F129">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default" w:ascii="宋体" w:hAnsi="宋体" w:eastAsia="宋体" w:cs="宋体"/>
                <w:color w:val="auto"/>
                <w:kern w:val="2"/>
                <w:sz w:val="22"/>
                <w:szCs w:val="22"/>
                <w:highlight w:val="none"/>
                <w:lang w:val="en-US" w:eastAsia="zh-CN" w:bidi="zh-CN"/>
              </w:rPr>
            </w:pPr>
            <w:r>
              <w:rPr>
                <w:rFonts w:hint="eastAsia" w:ascii="宋体" w:hAnsi="宋体" w:eastAsia="宋体" w:cs="宋体"/>
                <w:color w:val="auto"/>
                <w:kern w:val="2"/>
                <w:sz w:val="22"/>
                <w:szCs w:val="22"/>
                <w:highlight w:val="none"/>
                <w:lang w:val="en-US" w:eastAsia="zh-CN" w:bidi="zh-CN"/>
              </w:rPr>
              <w:t>30</w:t>
            </w:r>
          </w:p>
        </w:tc>
        <w:tc>
          <w:tcPr>
            <w:tcW w:w="735" w:type="pct"/>
            <w:noWrap w:val="0"/>
            <w:vAlign w:val="center"/>
          </w:tcPr>
          <w:p w14:paraId="67C53E1D">
            <w:pPr>
              <w:keepNext w:val="0"/>
              <w:keepLines w:val="0"/>
              <w:suppressLineNumbers w:val="0"/>
              <w:shd w:val="clear" w:color="auto" w:fill="auto"/>
              <w:spacing w:before="0" w:beforeAutospacing="0" w:after="0" w:afterAutospacing="0" w:line="320" w:lineRule="exact"/>
              <w:ind w:left="0" w:leftChars="0" w:right="0" w:rightChars="0"/>
              <w:jc w:val="center"/>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政采贷业务</w:t>
            </w:r>
          </w:p>
        </w:tc>
        <w:tc>
          <w:tcPr>
            <w:tcW w:w="3884" w:type="pct"/>
            <w:noWrap w:val="0"/>
            <w:vAlign w:val="center"/>
          </w:tcPr>
          <w:p w14:paraId="32EBE59F">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12" w:lineRule="auto"/>
              <w:ind w:left="0" w:leftChars="0" w:right="0" w:rightChars="0" w:firstLine="440" w:firstLineChars="200"/>
              <w:textAlignment w:val="auto"/>
              <w:rPr>
                <w:rFonts w:hint="eastAsia"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为了进一步推动金融支持政策更好适应市场主体的需要，扎实落实国务院关于支持中小企业发展的政策措施，积极发挥政府采购政策功能，有效缓解中小企业融资难、融资贵问题，根据中办 国办《关于促进中小企业健康发展的指导意见》、财政部 工信部《政府采购促进中小企业发展管理办法》（财库〔2020〕46号）、《陕西省中小企业政府采购信用融资办法》（陕财办采〔2018〕23号）、《陕西省财政厅关于加快推进我省中小企业政府采购信用融资工作的通知》（陕财办采〔2020〕15号）、《陕西省财政厅 中国人民银行西安分行关于深入推进政府采购信用融资业务的通知》（陕财办采〔2023〕5号）等有关规定，按照政府引导、市场运作、银企自愿、风险自担的原则，中标（成交）供应商可根据自身资金需求，登录陕西省政府采购信用融资平台（http://www.ccgp-shaanxi.gov.cn/zcdservice/zcd/shanxi/）或中征平台（https://www.crcrfsp.com）在线申请，依法参加政府采购信用融资活动。</w:t>
            </w:r>
          </w:p>
          <w:tbl>
            <w:tblPr>
              <w:tblStyle w:val="25"/>
              <w:tblpPr w:leftFromText="180" w:rightFromText="180" w:vertAnchor="page" w:horzAnchor="page" w:tblpX="148" w:tblpY="3856"/>
              <w:tblOverlap w:val="never"/>
              <w:tblW w:w="70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5"/>
              <w:gridCol w:w="891"/>
              <w:gridCol w:w="880"/>
              <w:gridCol w:w="782"/>
              <w:gridCol w:w="791"/>
              <w:gridCol w:w="987"/>
              <w:gridCol w:w="782"/>
              <w:gridCol w:w="1481"/>
            </w:tblGrid>
            <w:tr w14:paraId="3E30B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495" w:type="dxa"/>
                  <w:tcBorders>
                    <w:top w:val="nil"/>
                    <w:left w:val="nil"/>
                    <w:bottom w:val="nil"/>
                    <w:right w:val="nil"/>
                  </w:tcBorders>
                  <w:noWrap/>
                  <w:vAlign w:val="center"/>
                </w:tcPr>
                <w:p w14:paraId="0250EE22">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auto"/>
                      <w:kern w:val="0"/>
                      <w:sz w:val="22"/>
                      <w:szCs w:val="22"/>
                      <w:highlight w:val="none"/>
                      <w:u w:val="none"/>
                      <w:lang w:val="en-US" w:eastAsia="zh-CN" w:bidi="ar"/>
                    </w:rPr>
                  </w:pPr>
                </w:p>
              </w:tc>
              <w:tc>
                <w:tcPr>
                  <w:tcW w:w="6594" w:type="dxa"/>
                  <w:gridSpan w:val="7"/>
                  <w:tcBorders>
                    <w:top w:val="nil"/>
                    <w:left w:val="nil"/>
                    <w:bottom w:val="nil"/>
                    <w:right w:val="nil"/>
                  </w:tcBorders>
                  <w:noWrap/>
                  <w:vAlign w:val="center"/>
                </w:tcPr>
                <w:p w14:paraId="14FAAAB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40"/>
                      <w:szCs w:val="40"/>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榆林市“政采贷”业务办理银行联系表</w:t>
                  </w:r>
                </w:p>
              </w:tc>
            </w:tr>
            <w:tr w14:paraId="21EF7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495" w:type="dxa"/>
                  <w:tcBorders>
                    <w:top w:val="single" w:color="000000" w:sz="4" w:space="0"/>
                    <w:left w:val="single" w:color="000000" w:sz="4" w:space="0"/>
                    <w:bottom w:val="single" w:color="000000" w:sz="4" w:space="0"/>
                    <w:right w:val="single" w:color="000000" w:sz="4" w:space="0"/>
                  </w:tcBorders>
                  <w:noWrap/>
                  <w:vAlign w:val="center"/>
                </w:tcPr>
                <w:p w14:paraId="2F504DD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kern w:val="0"/>
                      <w:sz w:val="16"/>
                      <w:szCs w:val="16"/>
                      <w:highlight w:val="none"/>
                      <w:u w:val="none"/>
                      <w:lang w:val="en-US" w:eastAsia="zh-CN" w:bidi="ar"/>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序号</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604E07F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银行名称</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4A064A2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产品名称</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6358A4B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贷款额度</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0EAADC1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贷款期限</w:t>
                  </w:r>
                </w:p>
              </w:tc>
              <w:tc>
                <w:tcPr>
                  <w:tcW w:w="987" w:type="dxa"/>
                  <w:tcBorders>
                    <w:top w:val="single" w:color="000000" w:sz="4" w:space="0"/>
                    <w:left w:val="single" w:color="000000" w:sz="4" w:space="0"/>
                    <w:bottom w:val="single" w:color="000000" w:sz="4" w:space="0"/>
                    <w:right w:val="single" w:color="000000" w:sz="4" w:space="0"/>
                  </w:tcBorders>
                  <w:noWrap/>
                  <w:vAlign w:val="center"/>
                </w:tcPr>
                <w:p w14:paraId="07049E4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贷款利率</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5CC0B43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办理时效</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192AD65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联系人</w:t>
                  </w:r>
                </w:p>
              </w:tc>
            </w:tr>
            <w:tr w14:paraId="44201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495" w:type="dxa"/>
                  <w:tcBorders>
                    <w:top w:val="single" w:color="000000" w:sz="4" w:space="0"/>
                    <w:left w:val="single" w:color="000000" w:sz="4" w:space="0"/>
                    <w:bottom w:val="single" w:color="000000" w:sz="4" w:space="0"/>
                    <w:right w:val="single" w:color="000000" w:sz="4" w:space="0"/>
                  </w:tcBorders>
                  <w:noWrap/>
                  <w:vAlign w:val="center"/>
                </w:tcPr>
                <w:p w14:paraId="0C396BA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kern w:val="0"/>
                      <w:sz w:val="16"/>
                      <w:szCs w:val="16"/>
                      <w:highlight w:val="none"/>
                      <w:u w:val="none"/>
                      <w:lang w:val="en-US" w:eastAsia="zh-CN" w:bidi="ar"/>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68CD573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长安银行</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1E253D6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政采贷</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665D59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1000万元</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73E3CE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1-3年</w:t>
                  </w:r>
                </w:p>
              </w:tc>
              <w:tc>
                <w:tcPr>
                  <w:tcW w:w="987" w:type="dxa"/>
                  <w:tcBorders>
                    <w:top w:val="single" w:color="000000" w:sz="4" w:space="0"/>
                    <w:left w:val="single" w:color="000000" w:sz="4" w:space="0"/>
                    <w:bottom w:val="single" w:color="000000" w:sz="4" w:space="0"/>
                    <w:right w:val="single" w:color="000000" w:sz="4" w:space="0"/>
                  </w:tcBorders>
                  <w:noWrap/>
                  <w:vAlign w:val="center"/>
                </w:tcPr>
                <w:p w14:paraId="1E97B1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3.45%</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034D00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72小时</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E8585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魏  众15109123951</w:t>
                  </w:r>
                </w:p>
              </w:tc>
            </w:tr>
            <w:tr w14:paraId="7D504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495" w:type="dxa"/>
                  <w:tcBorders>
                    <w:top w:val="single" w:color="000000" w:sz="4" w:space="0"/>
                    <w:left w:val="single" w:color="000000" w:sz="4" w:space="0"/>
                    <w:bottom w:val="single" w:color="000000" w:sz="4" w:space="0"/>
                    <w:right w:val="single" w:color="000000" w:sz="4" w:space="0"/>
                  </w:tcBorders>
                  <w:noWrap/>
                  <w:vAlign w:val="center"/>
                </w:tcPr>
                <w:p w14:paraId="5A1EE0E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kern w:val="0"/>
                      <w:sz w:val="16"/>
                      <w:szCs w:val="16"/>
                      <w:highlight w:val="none"/>
                      <w:u w:val="none"/>
                      <w:lang w:val="en-US" w:eastAsia="zh-CN" w:bidi="ar"/>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2</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4247006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kern w:val="0"/>
                      <w:sz w:val="16"/>
                      <w:szCs w:val="16"/>
                      <w:highlight w:val="none"/>
                      <w:u w:val="none"/>
                      <w:lang w:val="en-US" w:eastAsia="zh-CN" w:bidi="ar"/>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中信银行</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095A3A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kern w:val="0"/>
                      <w:sz w:val="16"/>
                      <w:szCs w:val="16"/>
                      <w:highlight w:val="none"/>
                      <w:u w:val="none"/>
                      <w:lang w:val="en-US" w:eastAsia="zh-CN" w:bidi="ar"/>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政采E贷</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66D989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kern w:val="0"/>
                      <w:sz w:val="16"/>
                      <w:szCs w:val="16"/>
                      <w:highlight w:val="none"/>
                      <w:u w:val="none"/>
                      <w:lang w:val="en-US" w:eastAsia="zh-CN" w:bidi="ar"/>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1000万元</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798572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kern w:val="0"/>
                      <w:sz w:val="16"/>
                      <w:szCs w:val="16"/>
                      <w:highlight w:val="none"/>
                      <w:u w:val="none"/>
                      <w:lang w:val="en-US" w:eastAsia="zh-CN" w:bidi="ar"/>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1-3年</w:t>
                  </w:r>
                </w:p>
              </w:tc>
              <w:tc>
                <w:tcPr>
                  <w:tcW w:w="987" w:type="dxa"/>
                  <w:tcBorders>
                    <w:top w:val="single" w:color="000000" w:sz="4" w:space="0"/>
                    <w:left w:val="single" w:color="000000" w:sz="4" w:space="0"/>
                    <w:bottom w:val="single" w:color="000000" w:sz="4" w:space="0"/>
                    <w:right w:val="single" w:color="000000" w:sz="4" w:space="0"/>
                  </w:tcBorders>
                  <w:noWrap/>
                  <w:vAlign w:val="center"/>
                </w:tcPr>
                <w:p w14:paraId="2812AC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kern w:val="0"/>
                      <w:sz w:val="16"/>
                      <w:szCs w:val="16"/>
                      <w:highlight w:val="none"/>
                      <w:u w:val="none"/>
                      <w:lang w:val="en-US" w:eastAsia="zh-CN" w:bidi="ar"/>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3.45%起</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1152DC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kern w:val="0"/>
                      <w:sz w:val="16"/>
                      <w:szCs w:val="16"/>
                      <w:highlight w:val="none"/>
                      <w:u w:val="none"/>
                      <w:lang w:val="en-US" w:eastAsia="zh-CN" w:bidi="ar"/>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24小时</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50E312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kern w:val="0"/>
                      <w:sz w:val="16"/>
                      <w:szCs w:val="16"/>
                      <w:highlight w:val="none"/>
                      <w:u w:val="none"/>
                      <w:lang w:val="en-US" w:eastAsia="zh-CN" w:bidi="ar"/>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高  明18992218795</w:t>
                  </w:r>
                </w:p>
              </w:tc>
            </w:tr>
            <w:tr w14:paraId="22915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495" w:type="dxa"/>
                  <w:tcBorders>
                    <w:top w:val="single" w:color="000000" w:sz="4" w:space="0"/>
                    <w:left w:val="single" w:color="000000" w:sz="4" w:space="0"/>
                    <w:bottom w:val="single" w:color="000000" w:sz="4" w:space="0"/>
                    <w:right w:val="single" w:color="000000" w:sz="4" w:space="0"/>
                  </w:tcBorders>
                  <w:noWrap/>
                  <w:vAlign w:val="center"/>
                </w:tcPr>
                <w:p w14:paraId="4966FD2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kern w:val="0"/>
                      <w:sz w:val="16"/>
                      <w:szCs w:val="16"/>
                      <w:highlight w:val="none"/>
                      <w:u w:val="none"/>
                      <w:lang w:val="en-US" w:eastAsia="zh-CN" w:bidi="ar"/>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3</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2C812ED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光大银行</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71E9B40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政采贷</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5CF480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1000万元</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72231E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1-3年</w:t>
                  </w:r>
                </w:p>
              </w:tc>
              <w:tc>
                <w:tcPr>
                  <w:tcW w:w="987" w:type="dxa"/>
                  <w:tcBorders>
                    <w:top w:val="single" w:color="000000" w:sz="4" w:space="0"/>
                    <w:left w:val="single" w:color="000000" w:sz="4" w:space="0"/>
                    <w:bottom w:val="single" w:color="000000" w:sz="4" w:space="0"/>
                    <w:right w:val="single" w:color="000000" w:sz="4" w:space="0"/>
                  </w:tcBorders>
                  <w:noWrap/>
                  <w:vAlign w:val="center"/>
                </w:tcPr>
                <w:p w14:paraId="6730B0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3.45%</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702813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72小时</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333EE4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艾思宇13509127997</w:t>
                  </w:r>
                </w:p>
              </w:tc>
            </w:tr>
            <w:tr w14:paraId="1EB1A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495" w:type="dxa"/>
                  <w:tcBorders>
                    <w:top w:val="single" w:color="000000" w:sz="4" w:space="0"/>
                    <w:left w:val="single" w:color="000000" w:sz="4" w:space="0"/>
                    <w:bottom w:val="single" w:color="000000" w:sz="4" w:space="0"/>
                    <w:right w:val="single" w:color="000000" w:sz="4" w:space="0"/>
                  </w:tcBorders>
                  <w:noWrap/>
                  <w:vAlign w:val="center"/>
                </w:tcPr>
                <w:p w14:paraId="1303875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kern w:val="0"/>
                      <w:sz w:val="16"/>
                      <w:szCs w:val="16"/>
                      <w:highlight w:val="none"/>
                      <w:u w:val="none"/>
                      <w:lang w:val="en-US" w:eastAsia="zh-CN" w:bidi="ar"/>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4</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212E0DC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交通银行</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0B0268D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秦政贷</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124CF9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1000万元</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61C754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1年</w:t>
                  </w:r>
                </w:p>
              </w:tc>
              <w:tc>
                <w:tcPr>
                  <w:tcW w:w="987" w:type="dxa"/>
                  <w:tcBorders>
                    <w:top w:val="single" w:color="000000" w:sz="4" w:space="0"/>
                    <w:left w:val="single" w:color="000000" w:sz="4" w:space="0"/>
                    <w:bottom w:val="single" w:color="000000" w:sz="4" w:space="0"/>
                    <w:right w:val="single" w:color="000000" w:sz="4" w:space="0"/>
                  </w:tcBorders>
                  <w:noWrap/>
                  <w:vAlign w:val="center"/>
                </w:tcPr>
                <w:p w14:paraId="4F3B6B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3.45%</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70D8CD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24小时</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1BA6B0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张  飞15291296886</w:t>
                  </w:r>
                </w:p>
              </w:tc>
            </w:tr>
            <w:tr w14:paraId="453E9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495" w:type="dxa"/>
                  <w:tcBorders>
                    <w:top w:val="single" w:color="000000" w:sz="4" w:space="0"/>
                    <w:left w:val="single" w:color="000000" w:sz="4" w:space="0"/>
                    <w:bottom w:val="single" w:color="000000" w:sz="4" w:space="0"/>
                    <w:right w:val="single" w:color="000000" w:sz="4" w:space="0"/>
                  </w:tcBorders>
                  <w:noWrap/>
                  <w:vAlign w:val="center"/>
                </w:tcPr>
                <w:p w14:paraId="26217F0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kern w:val="0"/>
                      <w:sz w:val="16"/>
                      <w:szCs w:val="16"/>
                      <w:highlight w:val="none"/>
                      <w:u w:val="none"/>
                      <w:lang w:val="en-US" w:eastAsia="zh-CN" w:bidi="ar"/>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5</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59B936B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中国银行</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25A5C4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政采贷</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540193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1000万元</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208DCB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1-3年</w:t>
                  </w:r>
                </w:p>
              </w:tc>
              <w:tc>
                <w:tcPr>
                  <w:tcW w:w="987" w:type="dxa"/>
                  <w:tcBorders>
                    <w:top w:val="single" w:color="000000" w:sz="4" w:space="0"/>
                    <w:left w:val="single" w:color="000000" w:sz="4" w:space="0"/>
                    <w:bottom w:val="single" w:color="000000" w:sz="4" w:space="0"/>
                    <w:right w:val="single" w:color="000000" w:sz="4" w:space="0"/>
                  </w:tcBorders>
                  <w:noWrap/>
                  <w:vAlign w:val="center"/>
                </w:tcPr>
                <w:p w14:paraId="1932DC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3.45%</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0CA993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72小时</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1D826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李  浩18691230007</w:t>
                  </w:r>
                </w:p>
              </w:tc>
            </w:tr>
            <w:tr w14:paraId="79372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495" w:type="dxa"/>
                  <w:tcBorders>
                    <w:top w:val="single" w:color="000000" w:sz="4" w:space="0"/>
                    <w:left w:val="single" w:color="000000" w:sz="4" w:space="0"/>
                    <w:bottom w:val="single" w:color="000000" w:sz="4" w:space="0"/>
                    <w:right w:val="single" w:color="000000" w:sz="4" w:space="0"/>
                  </w:tcBorders>
                  <w:noWrap/>
                  <w:vAlign w:val="center"/>
                </w:tcPr>
                <w:p w14:paraId="437763D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kern w:val="0"/>
                      <w:sz w:val="16"/>
                      <w:szCs w:val="16"/>
                      <w:highlight w:val="none"/>
                      <w:u w:val="none"/>
                      <w:lang w:val="en-US" w:eastAsia="zh-CN" w:bidi="ar"/>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6</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28816B1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招商银行</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6AA13C4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政采贷</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05EFE5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3000万元</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0E6941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1-3年</w:t>
                  </w:r>
                </w:p>
              </w:tc>
              <w:tc>
                <w:tcPr>
                  <w:tcW w:w="987" w:type="dxa"/>
                  <w:tcBorders>
                    <w:top w:val="single" w:color="000000" w:sz="4" w:space="0"/>
                    <w:left w:val="single" w:color="000000" w:sz="4" w:space="0"/>
                    <w:bottom w:val="single" w:color="000000" w:sz="4" w:space="0"/>
                    <w:right w:val="single" w:color="000000" w:sz="4" w:space="0"/>
                  </w:tcBorders>
                  <w:noWrap/>
                  <w:vAlign w:val="center"/>
                </w:tcPr>
                <w:p w14:paraId="2BE877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3.45%起</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66A04C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24小时</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21DED4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马  烨15596100007</w:t>
                  </w:r>
                </w:p>
              </w:tc>
            </w:tr>
            <w:tr w14:paraId="0255C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495" w:type="dxa"/>
                  <w:tcBorders>
                    <w:top w:val="single" w:color="000000" w:sz="4" w:space="0"/>
                    <w:left w:val="single" w:color="000000" w:sz="4" w:space="0"/>
                    <w:bottom w:val="single" w:color="000000" w:sz="4" w:space="0"/>
                    <w:right w:val="single" w:color="000000" w:sz="4" w:space="0"/>
                  </w:tcBorders>
                  <w:noWrap/>
                  <w:vAlign w:val="center"/>
                </w:tcPr>
                <w:p w14:paraId="1C15583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kern w:val="0"/>
                      <w:sz w:val="16"/>
                      <w:szCs w:val="16"/>
                      <w:highlight w:val="none"/>
                      <w:u w:val="none"/>
                      <w:lang w:val="en-US" w:eastAsia="zh-CN" w:bidi="ar"/>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7</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46CC478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浦发银行</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198BF36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政采E贷</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16C4BC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1000万元</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50B400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1年</w:t>
                  </w:r>
                </w:p>
              </w:tc>
              <w:tc>
                <w:tcPr>
                  <w:tcW w:w="987" w:type="dxa"/>
                  <w:tcBorders>
                    <w:top w:val="single" w:color="000000" w:sz="4" w:space="0"/>
                    <w:left w:val="single" w:color="000000" w:sz="4" w:space="0"/>
                    <w:bottom w:val="single" w:color="000000" w:sz="4" w:space="0"/>
                    <w:right w:val="single" w:color="000000" w:sz="4" w:space="0"/>
                  </w:tcBorders>
                  <w:noWrap/>
                  <w:vAlign w:val="center"/>
                </w:tcPr>
                <w:p w14:paraId="4298BF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lang w:val="en-US"/>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3.45%起</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368ED6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72小时</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782C7D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朱  君15629169158</w:t>
                  </w:r>
                </w:p>
              </w:tc>
            </w:tr>
            <w:tr w14:paraId="0FD67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495" w:type="dxa"/>
                  <w:tcBorders>
                    <w:top w:val="single" w:color="000000" w:sz="4" w:space="0"/>
                    <w:left w:val="single" w:color="000000" w:sz="4" w:space="0"/>
                    <w:bottom w:val="single" w:color="000000" w:sz="4" w:space="0"/>
                    <w:right w:val="single" w:color="000000" w:sz="4" w:space="0"/>
                  </w:tcBorders>
                  <w:noWrap/>
                  <w:vAlign w:val="center"/>
                </w:tcPr>
                <w:p w14:paraId="37A752C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kern w:val="0"/>
                      <w:sz w:val="16"/>
                      <w:szCs w:val="16"/>
                      <w:highlight w:val="none"/>
                      <w:u w:val="none"/>
                      <w:lang w:val="en-US" w:eastAsia="zh-CN" w:bidi="ar"/>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8</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533B7A7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农商银行</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3D75B6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政采贷</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6A2873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1000万元</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0E8848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1-2年</w:t>
                  </w:r>
                </w:p>
              </w:tc>
              <w:tc>
                <w:tcPr>
                  <w:tcW w:w="987" w:type="dxa"/>
                  <w:tcBorders>
                    <w:top w:val="single" w:color="000000" w:sz="4" w:space="0"/>
                    <w:left w:val="single" w:color="000000" w:sz="4" w:space="0"/>
                    <w:bottom w:val="single" w:color="000000" w:sz="4" w:space="0"/>
                    <w:right w:val="single" w:color="000000" w:sz="4" w:space="0"/>
                  </w:tcBorders>
                  <w:noWrap/>
                  <w:vAlign w:val="center"/>
                </w:tcPr>
                <w:p w14:paraId="4548F3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3.45%-5.8%</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671F59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24小时</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7D4457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王  璐15529875056</w:t>
                  </w:r>
                </w:p>
              </w:tc>
            </w:tr>
            <w:tr w14:paraId="349E5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495" w:type="dxa"/>
                  <w:tcBorders>
                    <w:top w:val="single" w:color="000000" w:sz="4" w:space="0"/>
                    <w:left w:val="single" w:color="000000" w:sz="4" w:space="0"/>
                    <w:bottom w:val="single" w:color="000000" w:sz="4" w:space="0"/>
                    <w:right w:val="single" w:color="000000" w:sz="4" w:space="0"/>
                  </w:tcBorders>
                  <w:noWrap/>
                  <w:vAlign w:val="center"/>
                </w:tcPr>
                <w:p w14:paraId="38638A4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kern w:val="0"/>
                      <w:sz w:val="16"/>
                      <w:szCs w:val="16"/>
                      <w:highlight w:val="none"/>
                      <w:u w:val="none"/>
                      <w:lang w:val="en-US" w:eastAsia="zh-CN" w:bidi="ar"/>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9</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699223E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农业银行</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24CC5E5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政采贷</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39433A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1000万元</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11D718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1年</w:t>
                  </w:r>
                </w:p>
              </w:tc>
              <w:tc>
                <w:tcPr>
                  <w:tcW w:w="987" w:type="dxa"/>
                  <w:tcBorders>
                    <w:top w:val="single" w:color="000000" w:sz="4" w:space="0"/>
                    <w:left w:val="single" w:color="000000" w:sz="4" w:space="0"/>
                    <w:bottom w:val="single" w:color="000000" w:sz="4" w:space="0"/>
                    <w:right w:val="single" w:color="000000" w:sz="4" w:space="0"/>
                  </w:tcBorders>
                  <w:noWrap/>
                  <w:vAlign w:val="center"/>
                </w:tcPr>
                <w:p w14:paraId="4615DA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3.45%以上</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33F967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24小时</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2BC7C4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米璐洁18966997666</w:t>
                  </w:r>
                </w:p>
              </w:tc>
            </w:tr>
            <w:tr w14:paraId="2B01E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495" w:type="dxa"/>
                  <w:tcBorders>
                    <w:top w:val="single" w:color="000000" w:sz="4" w:space="0"/>
                    <w:left w:val="single" w:color="000000" w:sz="4" w:space="0"/>
                    <w:bottom w:val="single" w:color="000000" w:sz="4" w:space="0"/>
                    <w:right w:val="single" w:color="000000" w:sz="4" w:space="0"/>
                  </w:tcBorders>
                  <w:noWrap/>
                  <w:vAlign w:val="center"/>
                </w:tcPr>
                <w:p w14:paraId="0375B3C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kern w:val="0"/>
                      <w:sz w:val="16"/>
                      <w:szCs w:val="16"/>
                      <w:highlight w:val="none"/>
                      <w:u w:val="none"/>
                      <w:lang w:val="en-US" w:eastAsia="zh-CN" w:bidi="ar"/>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10</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2A2E0CA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民生银行</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C340AC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政采E贷</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097542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3000万元</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7788C0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1年</w:t>
                  </w:r>
                </w:p>
              </w:tc>
              <w:tc>
                <w:tcPr>
                  <w:tcW w:w="987" w:type="dxa"/>
                  <w:tcBorders>
                    <w:top w:val="single" w:color="000000" w:sz="4" w:space="0"/>
                    <w:left w:val="single" w:color="000000" w:sz="4" w:space="0"/>
                    <w:bottom w:val="single" w:color="000000" w:sz="4" w:space="0"/>
                    <w:right w:val="single" w:color="000000" w:sz="4" w:space="0"/>
                  </w:tcBorders>
                  <w:noWrap/>
                  <w:vAlign w:val="center"/>
                </w:tcPr>
                <w:p w14:paraId="11A922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3.45%起</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09F21D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24小时</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49CA36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sz w:val="16"/>
                      <w:szCs w:val="16"/>
                      <w:highlight w:val="none"/>
                      <w:u w:val="none"/>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郝双双15991225850</w:t>
                  </w:r>
                </w:p>
              </w:tc>
            </w:tr>
            <w:tr w14:paraId="0782E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495" w:type="dxa"/>
                  <w:tcBorders>
                    <w:top w:val="single" w:color="000000" w:sz="4" w:space="0"/>
                    <w:left w:val="single" w:color="000000" w:sz="4" w:space="0"/>
                    <w:bottom w:val="single" w:color="000000" w:sz="4" w:space="0"/>
                    <w:right w:val="single" w:color="000000" w:sz="4" w:space="0"/>
                  </w:tcBorders>
                  <w:noWrap/>
                  <w:vAlign w:val="center"/>
                </w:tcPr>
                <w:p w14:paraId="19B44C0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kern w:val="0"/>
                      <w:sz w:val="16"/>
                      <w:szCs w:val="16"/>
                      <w:highlight w:val="none"/>
                      <w:u w:val="none"/>
                      <w:lang w:val="en-US" w:eastAsia="zh-CN" w:bidi="ar"/>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11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6FF85A7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kern w:val="0"/>
                      <w:sz w:val="16"/>
                      <w:szCs w:val="16"/>
                      <w:highlight w:val="none"/>
                      <w:u w:val="none"/>
                      <w:lang w:val="en-US" w:eastAsia="zh-CN" w:bidi="ar"/>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兴业银行</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13428A6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kern w:val="0"/>
                      <w:sz w:val="16"/>
                      <w:szCs w:val="16"/>
                      <w:highlight w:val="none"/>
                      <w:u w:val="none"/>
                      <w:lang w:val="en-US" w:eastAsia="zh-CN" w:bidi="ar"/>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政采贷</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164FD6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kern w:val="0"/>
                      <w:sz w:val="16"/>
                      <w:szCs w:val="16"/>
                      <w:highlight w:val="none"/>
                      <w:u w:val="none"/>
                      <w:lang w:val="en-US" w:eastAsia="zh-CN" w:bidi="ar"/>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1000万元</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443B02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kern w:val="0"/>
                      <w:sz w:val="16"/>
                      <w:szCs w:val="16"/>
                      <w:highlight w:val="none"/>
                      <w:u w:val="none"/>
                      <w:lang w:val="en-US" w:eastAsia="zh-CN" w:bidi="ar"/>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1年期</w:t>
                  </w:r>
                </w:p>
              </w:tc>
              <w:tc>
                <w:tcPr>
                  <w:tcW w:w="987" w:type="dxa"/>
                  <w:tcBorders>
                    <w:top w:val="single" w:color="000000" w:sz="4" w:space="0"/>
                    <w:left w:val="single" w:color="000000" w:sz="4" w:space="0"/>
                    <w:bottom w:val="single" w:color="000000" w:sz="4" w:space="0"/>
                    <w:right w:val="single" w:color="000000" w:sz="4" w:space="0"/>
                  </w:tcBorders>
                  <w:noWrap/>
                  <w:vAlign w:val="center"/>
                </w:tcPr>
                <w:p w14:paraId="42FB15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kern w:val="0"/>
                      <w:sz w:val="16"/>
                      <w:szCs w:val="16"/>
                      <w:highlight w:val="none"/>
                      <w:u w:val="none"/>
                      <w:lang w:val="en-US" w:eastAsia="zh-CN" w:bidi="ar"/>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3.4%</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31336A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kern w:val="0"/>
                      <w:sz w:val="16"/>
                      <w:szCs w:val="16"/>
                      <w:highlight w:val="none"/>
                      <w:u w:val="none"/>
                      <w:lang w:val="en-US" w:eastAsia="zh-CN" w:bidi="ar"/>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72小时</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7454F2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kern w:val="0"/>
                      <w:sz w:val="16"/>
                      <w:szCs w:val="16"/>
                      <w:highlight w:val="none"/>
                      <w:u w:val="none"/>
                      <w:lang w:val="en-US" w:eastAsia="zh-CN" w:bidi="ar"/>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薛万隆18709258523</w:t>
                  </w:r>
                </w:p>
              </w:tc>
            </w:tr>
            <w:tr w14:paraId="02132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495" w:type="dxa"/>
                  <w:tcBorders>
                    <w:top w:val="single" w:color="000000" w:sz="4" w:space="0"/>
                    <w:left w:val="single" w:color="000000" w:sz="4" w:space="0"/>
                    <w:bottom w:val="single" w:color="auto" w:sz="4" w:space="0"/>
                    <w:right w:val="single" w:color="000000" w:sz="4" w:space="0"/>
                  </w:tcBorders>
                  <w:noWrap/>
                  <w:vAlign w:val="center"/>
                </w:tcPr>
                <w:p w14:paraId="6575335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kern w:val="0"/>
                      <w:sz w:val="16"/>
                      <w:szCs w:val="16"/>
                      <w:highlight w:val="none"/>
                      <w:u w:val="none"/>
                      <w:lang w:val="en-US" w:eastAsia="zh-CN" w:bidi="ar"/>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12</w:t>
                  </w:r>
                </w:p>
              </w:tc>
              <w:tc>
                <w:tcPr>
                  <w:tcW w:w="891" w:type="dxa"/>
                  <w:tcBorders>
                    <w:top w:val="single" w:color="000000" w:sz="4" w:space="0"/>
                    <w:left w:val="single" w:color="000000" w:sz="4" w:space="0"/>
                    <w:bottom w:val="single" w:color="auto" w:sz="4" w:space="0"/>
                    <w:right w:val="single" w:color="000000" w:sz="4" w:space="0"/>
                  </w:tcBorders>
                  <w:noWrap/>
                  <w:vAlign w:val="center"/>
                </w:tcPr>
                <w:p w14:paraId="6FCDD87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kern w:val="0"/>
                      <w:sz w:val="16"/>
                      <w:szCs w:val="16"/>
                      <w:highlight w:val="none"/>
                      <w:u w:val="none"/>
                      <w:lang w:val="en-US" w:eastAsia="zh-CN" w:bidi="ar"/>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广发银行</w:t>
                  </w:r>
                </w:p>
              </w:tc>
              <w:tc>
                <w:tcPr>
                  <w:tcW w:w="880" w:type="dxa"/>
                  <w:tcBorders>
                    <w:top w:val="single" w:color="000000" w:sz="4" w:space="0"/>
                    <w:left w:val="single" w:color="000000" w:sz="4" w:space="0"/>
                    <w:bottom w:val="single" w:color="auto" w:sz="4" w:space="0"/>
                    <w:right w:val="single" w:color="000000" w:sz="4" w:space="0"/>
                  </w:tcBorders>
                  <w:noWrap/>
                  <w:vAlign w:val="center"/>
                </w:tcPr>
                <w:p w14:paraId="150C399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kern w:val="0"/>
                      <w:sz w:val="16"/>
                      <w:szCs w:val="16"/>
                      <w:highlight w:val="none"/>
                      <w:u w:val="none"/>
                      <w:lang w:val="en-US" w:eastAsia="zh-CN" w:bidi="ar"/>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政采通</w:t>
                  </w:r>
                </w:p>
              </w:tc>
              <w:tc>
                <w:tcPr>
                  <w:tcW w:w="782" w:type="dxa"/>
                  <w:tcBorders>
                    <w:top w:val="single" w:color="000000" w:sz="4" w:space="0"/>
                    <w:left w:val="single" w:color="000000" w:sz="4" w:space="0"/>
                    <w:bottom w:val="single" w:color="auto" w:sz="4" w:space="0"/>
                    <w:right w:val="single" w:color="000000" w:sz="4" w:space="0"/>
                  </w:tcBorders>
                  <w:noWrap/>
                  <w:vAlign w:val="center"/>
                </w:tcPr>
                <w:p w14:paraId="7B2739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kern w:val="0"/>
                      <w:sz w:val="16"/>
                      <w:szCs w:val="16"/>
                      <w:highlight w:val="none"/>
                      <w:u w:val="none"/>
                      <w:lang w:val="en-US" w:eastAsia="zh-CN" w:bidi="ar"/>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1000万元</w:t>
                  </w:r>
                </w:p>
              </w:tc>
              <w:tc>
                <w:tcPr>
                  <w:tcW w:w="791" w:type="dxa"/>
                  <w:tcBorders>
                    <w:top w:val="single" w:color="000000" w:sz="4" w:space="0"/>
                    <w:left w:val="single" w:color="000000" w:sz="4" w:space="0"/>
                    <w:bottom w:val="single" w:color="auto" w:sz="4" w:space="0"/>
                    <w:right w:val="single" w:color="000000" w:sz="4" w:space="0"/>
                  </w:tcBorders>
                  <w:noWrap/>
                  <w:vAlign w:val="center"/>
                </w:tcPr>
                <w:p w14:paraId="4E4FD0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kern w:val="0"/>
                      <w:sz w:val="16"/>
                      <w:szCs w:val="16"/>
                      <w:highlight w:val="none"/>
                      <w:u w:val="none"/>
                      <w:lang w:val="en-US" w:eastAsia="zh-CN" w:bidi="ar"/>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1年</w:t>
                  </w:r>
                </w:p>
              </w:tc>
              <w:tc>
                <w:tcPr>
                  <w:tcW w:w="987" w:type="dxa"/>
                  <w:tcBorders>
                    <w:top w:val="single" w:color="000000" w:sz="4" w:space="0"/>
                    <w:left w:val="single" w:color="000000" w:sz="4" w:space="0"/>
                    <w:bottom w:val="single" w:color="auto" w:sz="4" w:space="0"/>
                    <w:right w:val="single" w:color="000000" w:sz="4" w:space="0"/>
                  </w:tcBorders>
                  <w:noWrap/>
                  <w:vAlign w:val="center"/>
                </w:tcPr>
                <w:p w14:paraId="30D8A5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kern w:val="0"/>
                      <w:sz w:val="16"/>
                      <w:szCs w:val="16"/>
                      <w:highlight w:val="none"/>
                      <w:u w:val="none"/>
                      <w:lang w:val="en-US" w:eastAsia="zh-CN" w:bidi="ar"/>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3.45%起</w:t>
                  </w:r>
                </w:p>
              </w:tc>
              <w:tc>
                <w:tcPr>
                  <w:tcW w:w="782" w:type="dxa"/>
                  <w:tcBorders>
                    <w:top w:val="single" w:color="000000" w:sz="4" w:space="0"/>
                    <w:left w:val="single" w:color="000000" w:sz="4" w:space="0"/>
                    <w:bottom w:val="single" w:color="auto" w:sz="4" w:space="0"/>
                    <w:right w:val="single" w:color="000000" w:sz="4" w:space="0"/>
                  </w:tcBorders>
                  <w:noWrap/>
                  <w:vAlign w:val="center"/>
                </w:tcPr>
                <w:p w14:paraId="0D9025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kern w:val="0"/>
                      <w:sz w:val="16"/>
                      <w:szCs w:val="16"/>
                      <w:highlight w:val="none"/>
                      <w:u w:val="none"/>
                      <w:lang w:val="en-US" w:eastAsia="zh-CN" w:bidi="ar"/>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24小时</w:t>
                  </w:r>
                </w:p>
              </w:tc>
              <w:tc>
                <w:tcPr>
                  <w:tcW w:w="1481" w:type="dxa"/>
                  <w:tcBorders>
                    <w:top w:val="single" w:color="000000" w:sz="4" w:space="0"/>
                    <w:left w:val="single" w:color="000000" w:sz="4" w:space="0"/>
                    <w:bottom w:val="single" w:color="auto" w:sz="4" w:space="0"/>
                    <w:right w:val="single" w:color="000000" w:sz="4" w:space="0"/>
                  </w:tcBorders>
                  <w:noWrap/>
                  <w:vAlign w:val="center"/>
                </w:tcPr>
                <w:p w14:paraId="341B65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kern w:val="0"/>
                      <w:sz w:val="16"/>
                      <w:szCs w:val="16"/>
                      <w:highlight w:val="none"/>
                      <w:u w:val="none"/>
                      <w:lang w:val="en-US" w:eastAsia="zh-CN" w:bidi="ar"/>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李思嘉15191820101</w:t>
                  </w:r>
                </w:p>
              </w:tc>
            </w:tr>
            <w:tr w14:paraId="763C2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495" w:type="dxa"/>
                  <w:tcBorders>
                    <w:top w:val="single" w:color="auto" w:sz="4" w:space="0"/>
                    <w:left w:val="single" w:color="auto" w:sz="4" w:space="0"/>
                    <w:bottom w:val="single" w:color="auto" w:sz="4" w:space="0"/>
                    <w:right w:val="single" w:color="auto" w:sz="4" w:space="0"/>
                  </w:tcBorders>
                  <w:noWrap/>
                  <w:vAlign w:val="center"/>
                </w:tcPr>
                <w:p w14:paraId="59CE27E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kern w:val="0"/>
                      <w:sz w:val="16"/>
                      <w:szCs w:val="16"/>
                      <w:highlight w:val="none"/>
                      <w:u w:val="none"/>
                      <w:lang w:val="en-US" w:eastAsia="zh-CN" w:bidi="ar"/>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13</w:t>
                  </w:r>
                </w:p>
              </w:tc>
              <w:tc>
                <w:tcPr>
                  <w:tcW w:w="891" w:type="dxa"/>
                  <w:tcBorders>
                    <w:top w:val="single" w:color="auto" w:sz="4" w:space="0"/>
                    <w:left w:val="single" w:color="auto" w:sz="4" w:space="0"/>
                    <w:bottom w:val="single" w:color="auto" w:sz="4" w:space="0"/>
                    <w:right w:val="single" w:color="auto" w:sz="4" w:space="0"/>
                  </w:tcBorders>
                  <w:noWrap/>
                  <w:vAlign w:val="center"/>
                </w:tcPr>
                <w:p w14:paraId="081DA0C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kern w:val="0"/>
                      <w:sz w:val="16"/>
                      <w:szCs w:val="16"/>
                      <w:highlight w:val="none"/>
                      <w:u w:val="none"/>
                      <w:lang w:val="en-US" w:eastAsia="zh-CN" w:bidi="ar"/>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建设银行</w:t>
                  </w:r>
                </w:p>
              </w:tc>
              <w:tc>
                <w:tcPr>
                  <w:tcW w:w="880" w:type="dxa"/>
                  <w:tcBorders>
                    <w:top w:val="single" w:color="auto" w:sz="4" w:space="0"/>
                    <w:left w:val="single" w:color="auto" w:sz="4" w:space="0"/>
                    <w:bottom w:val="single" w:color="auto" w:sz="4" w:space="0"/>
                    <w:right w:val="single" w:color="auto" w:sz="4" w:space="0"/>
                  </w:tcBorders>
                  <w:noWrap/>
                  <w:vAlign w:val="center"/>
                </w:tcPr>
                <w:p w14:paraId="0E38A74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kern w:val="0"/>
                      <w:sz w:val="16"/>
                      <w:szCs w:val="16"/>
                      <w:highlight w:val="none"/>
                      <w:u w:val="none"/>
                      <w:lang w:val="en-US" w:eastAsia="zh-CN" w:bidi="ar"/>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E政通</w:t>
                  </w:r>
                </w:p>
              </w:tc>
              <w:tc>
                <w:tcPr>
                  <w:tcW w:w="782" w:type="dxa"/>
                  <w:tcBorders>
                    <w:top w:val="single" w:color="auto" w:sz="4" w:space="0"/>
                    <w:left w:val="single" w:color="auto" w:sz="4" w:space="0"/>
                    <w:bottom w:val="single" w:color="auto" w:sz="4" w:space="0"/>
                    <w:right w:val="single" w:color="auto" w:sz="4" w:space="0"/>
                  </w:tcBorders>
                  <w:noWrap/>
                  <w:vAlign w:val="center"/>
                </w:tcPr>
                <w:p w14:paraId="778399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kern w:val="0"/>
                      <w:sz w:val="16"/>
                      <w:szCs w:val="16"/>
                      <w:highlight w:val="none"/>
                      <w:u w:val="none"/>
                      <w:lang w:val="en-US" w:eastAsia="zh-CN" w:bidi="ar"/>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1000万元</w:t>
                  </w:r>
                </w:p>
              </w:tc>
              <w:tc>
                <w:tcPr>
                  <w:tcW w:w="791" w:type="dxa"/>
                  <w:tcBorders>
                    <w:top w:val="single" w:color="auto" w:sz="4" w:space="0"/>
                    <w:left w:val="single" w:color="auto" w:sz="4" w:space="0"/>
                    <w:bottom w:val="single" w:color="auto" w:sz="4" w:space="0"/>
                    <w:right w:val="single" w:color="auto" w:sz="4" w:space="0"/>
                  </w:tcBorders>
                  <w:noWrap/>
                  <w:vAlign w:val="center"/>
                </w:tcPr>
                <w:p w14:paraId="64052C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kern w:val="0"/>
                      <w:sz w:val="16"/>
                      <w:szCs w:val="16"/>
                      <w:highlight w:val="none"/>
                      <w:u w:val="none"/>
                      <w:lang w:val="en-US" w:eastAsia="zh-CN" w:bidi="ar"/>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1年</w:t>
                  </w:r>
                </w:p>
              </w:tc>
              <w:tc>
                <w:tcPr>
                  <w:tcW w:w="987" w:type="dxa"/>
                  <w:tcBorders>
                    <w:top w:val="single" w:color="auto" w:sz="4" w:space="0"/>
                    <w:left w:val="single" w:color="auto" w:sz="4" w:space="0"/>
                    <w:bottom w:val="single" w:color="auto" w:sz="4" w:space="0"/>
                    <w:right w:val="single" w:color="auto" w:sz="4" w:space="0"/>
                  </w:tcBorders>
                  <w:noWrap/>
                  <w:vAlign w:val="center"/>
                </w:tcPr>
                <w:p w14:paraId="2B2992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kern w:val="0"/>
                      <w:sz w:val="16"/>
                      <w:szCs w:val="16"/>
                      <w:highlight w:val="none"/>
                      <w:u w:val="none"/>
                      <w:lang w:val="en-US" w:eastAsia="zh-CN" w:bidi="ar"/>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3.2%</w:t>
                  </w:r>
                </w:p>
              </w:tc>
              <w:tc>
                <w:tcPr>
                  <w:tcW w:w="782" w:type="dxa"/>
                  <w:tcBorders>
                    <w:top w:val="single" w:color="auto" w:sz="4" w:space="0"/>
                    <w:left w:val="single" w:color="auto" w:sz="4" w:space="0"/>
                    <w:bottom w:val="single" w:color="auto" w:sz="4" w:space="0"/>
                    <w:right w:val="single" w:color="auto" w:sz="4" w:space="0"/>
                  </w:tcBorders>
                  <w:noWrap/>
                  <w:vAlign w:val="center"/>
                </w:tcPr>
                <w:p w14:paraId="3DDB3D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kern w:val="0"/>
                      <w:sz w:val="16"/>
                      <w:szCs w:val="16"/>
                      <w:highlight w:val="none"/>
                      <w:u w:val="none"/>
                      <w:lang w:val="en-US" w:eastAsia="zh-CN" w:bidi="ar"/>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72小时</w:t>
                  </w:r>
                </w:p>
              </w:tc>
              <w:tc>
                <w:tcPr>
                  <w:tcW w:w="1481" w:type="dxa"/>
                  <w:tcBorders>
                    <w:top w:val="single" w:color="auto" w:sz="4" w:space="0"/>
                    <w:left w:val="single" w:color="auto" w:sz="4" w:space="0"/>
                    <w:bottom w:val="single" w:color="auto" w:sz="4" w:space="0"/>
                    <w:right w:val="single" w:color="auto" w:sz="4" w:space="0"/>
                  </w:tcBorders>
                  <w:noWrap/>
                  <w:vAlign w:val="center"/>
                </w:tcPr>
                <w:p w14:paraId="2260E2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iCs w:val="0"/>
                      <w:color w:val="auto"/>
                      <w:kern w:val="0"/>
                      <w:sz w:val="16"/>
                      <w:szCs w:val="16"/>
                      <w:highlight w:val="none"/>
                      <w:u w:val="none"/>
                      <w:lang w:val="en-US" w:eastAsia="zh-CN" w:bidi="ar"/>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张 宇 15929397838</w:t>
                  </w:r>
                </w:p>
              </w:tc>
            </w:tr>
            <w:tr w14:paraId="0FFF3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jc w:val="center"/>
              </w:trPr>
              <w:tc>
                <w:tcPr>
                  <w:tcW w:w="7089" w:type="dxa"/>
                  <w:gridSpan w:val="8"/>
                  <w:tcBorders>
                    <w:top w:val="single" w:color="auto" w:sz="4" w:space="0"/>
                    <w:left w:val="nil"/>
                    <w:bottom w:val="nil"/>
                    <w:right w:val="nil"/>
                  </w:tcBorders>
                  <w:noWrap/>
                  <w:vAlign w:val="center"/>
                </w:tcPr>
                <w:p w14:paraId="7C9FC5B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kern w:val="0"/>
                      <w:sz w:val="16"/>
                      <w:szCs w:val="16"/>
                      <w:highlight w:val="none"/>
                      <w:u w:val="none"/>
                      <w:lang w:val="en-US" w:eastAsia="zh-CN" w:bidi="ar"/>
                    </w:rPr>
                  </w:pPr>
                  <w:r>
                    <w:rPr>
                      <w:rFonts w:hint="eastAsia" w:asciiTheme="minorEastAsia" w:hAnsiTheme="minorEastAsia" w:eastAsiaTheme="minorEastAsia" w:cstheme="minorEastAsia"/>
                      <w:i w:val="0"/>
                      <w:iCs w:val="0"/>
                      <w:color w:val="auto"/>
                      <w:kern w:val="0"/>
                      <w:sz w:val="16"/>
                      <w:szCs w:val="16"/>
                      <w:highlight w:val="none"/>
                      <w:u w:val="none"/>
                      <w:lang w:val="en-US" w:eastAsia="zh-CN" w:bidi="ar"/>
                    </w:rPr>
                    <w:t>备注：银行排名不分先后。如产品额度、期限、利率等内容发生改变，以银行解释为准。</w:t>
                  </w:r>
                </w:p>
              </w:tc>
            </w:tr>
          </w:tbl>
          <w:p w14:paraId="689A7360">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12" w:lineRule="auto"/>
              <w:ind w:left="0" w:right="0" w:rightChars="0"/>
              <w:textAlignment w:val="auto"/>
              <w:rPr>
                <w:rFonts w:hint="eastAsia" w:ascii="宋体" w:hAnsi="宋体" w:eastAsia="宋体" w:cs="宋体"/>
                <w:b w:val="0"/>
                <w:bCs w:val="0"/>
                <w:color w:val="auto"/>
                <w:kern w:val="0"/>
                <w:sz w:val="22"/>
                <w:szCs w:val="22"/>
                <w:highlight w:val="none"/>
                <w:lang w:val="en-US" w:eastAsia="zh-CN"/>
              </w:rPr>
            </w:pPr>
          </w:p>
        </w:tc>
      </w:tr>
      <w:tr w14:paraId="139E5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379" w:type="pct"/>
            <w:noWrap w:val="0"/>
            <w:vAlign w:val="center"/>
          </w:tcPr>
          <w:p w14:paraId="2190E40C">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default" w:ascii="宋体" w:hAnsi="宋体" w:eastAsia="宋体" w:cs="宋体"/>
                <w:color w:val="auto"/>
                <w:kern w:val="2"/>
                <w:sz w:val="22"/>
                <w:szCs w:val="22"/>
                <w:highlight w:val="none"/>
                <w:lang w:val="en-US" w:eastAsia="zh-CN" w:bidi="zh-CN"/>
              </w:rPr>
            </w:pPr>
            <w:r>
              <w:rPr>
                <w:rFonts w:hint="eastAsia" w:ascii="宋体" w:hAnsi="宋体" w:eastAsia="宋体" w:cs="宋体"/>
                <w:color w:val="auto"/>
                <w:kern w:val="2"/>
                <w:sz w:val="22"/>
                <w:szCs w:val="22"/>
                <w:highlight w:val="none"/>
                <w:lang w:val="en-US" w:eastAsia="zh-CN" w:bidi="zh-CN"/>
              </w:rPr>
              <w:t>31</w:t>
            </w:r>
          </w:p>
        </w:tc>
        <w:tc>
          <w:tcPr>
            <w:tcW w:w="735" w:type="pct"/>
            <w:noWrap w:val="0"/>
            <w:vAlign w:val="center"/>
          </w:tcPr>
          <w:p w14:paraId="7354AA8E">
            <w:pPr>
              <w:keepNext w:val="0"/>
              <w:keepLines w:val="0"/>
              <w:suppressLineNumbers w:val="0"/>
              <w:shd w:val="clear" w:color="auto" w:fill="auto"/>
              <w:spacing w:before="0" w:beforeAutospacing="0" w:after="0" w:afterAutospacing="0" w:line="320" w:lineRule="exact"/>
              <w:ind w:left="0" w:leftChars="0" w:right="0" w:rightChars="0"/>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关于知识产权与保密</w:t>
            </w:r>
          </w:p>
          <w:p w14:paraId="187083CA">
            <w:pPr>
              <w:keepNext w:val="0"/>
              <w:keepLines w:val="0"/>
              <w:suppressLineNumbers w:val="0"/>
              <w:shd w:val="clear" w:color="auto" w:fill="auto"/>
              <w:spacing w:before="0" w:beforeAutospacing="0" w:after="0" w:afterAutospacing="0" w:line="320" w:lineRule="exact"/>
              <w:ind w:left="0" w:leftChars="0" w:right="0" w:rightChars="0"/>
              <w:jc w:val="center"/>
              <w:rPr>
                <w:rFonts w:hint="eastAsia" w:ascii="宋体" w:hAnsi="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事项</w:t>
            </w:r>
          </w:p>
        </w:tc>
        <w:tc>
          <w:tcPr>
            <w:tcW w:w="3884" w:type="pct"/>
            <w:noWrap w:val="0"/>
            <w:vAlign w:val="center"/>
          </w:tcPr>
          <w:p w14:paraId="4F0BCFB1">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leftChars="0" w:right="0" w:rightChars="0" w:firstLine="440" w:firstLineChars="200"/>
              <w:textAlignment w:val="auto"/>
              <w:rPr>
                <w:rFonts w:hint="eastAsia"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1、所有涉及知识产权的产品及设计，投标人必须确保采购人拥有其合法的、不受限制的无偿使用权，并免受任何侵权诉讼或索偿，否则，由此产生的一切经济损失和 法律责任由投标人承担。</w:t>
            </w:r>
          </w:p>
          <w:p w14:paraId="52DBBB43">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leftChars="0" w:right="0" w:rightChars="0" w:firstLine="440" w:firstLineChars="200"/>
              <w:textAlignment w:val="auto"/>
              <w:rPr>
                <w:rFonts w:hint="eastAsia"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2、由采购人向投标人提供的所有资料，投标人不得向第三方透露或将其用于本次投标以外的任何用途。开标后，若采购人有要求，投标人须归还采购人认为需保密的文件和资料，并销毁所有相应的备份文件及资料。</w:t>
            </w:r>
          </w:p>
        </w:tc>
      </w:tr>
      <w:tr w14:paraId="670CF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9" w:type="pct"/>
            <w:noWrap w:val="0"/>
            <w:vAlign w:val="center"/>
          </w:tcPr>
          <w:p w14:paraId="033032F0">
            <w:pPr>
              <w:keepNext w:val="0"/>
              <w:keepLines w:val="0"/>
              <w:suppressLineNumbers w:val="0"/>
              <w:shd w:val="clear" w:color="auto" w:fill="auto"/>
              <w:spacing w:before="0" w:beforeAutospacing="0" w:after="0" w:afterAutospacing="0" w:line="320" w:lineRule="exact"/>
              <w:ind w:left="0" w:leftChars="0" w:right="0" w:rightChars="0"/>
              <w:jc w:val="center"/>
              <w:rPr>
                <w:rFonts w:hint="default"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32</w:t>
            </w:r>
          </w:p>
        </w:tc>
        <w:tc>
          <w:tcPr>
            <w:tcW w:w="735" w:type="pct"/>
            <w:noWrap w:val="0"/>
            <w:vAlign w:val="center"/>
          </w:tcPr>
          <w:p w14:paraId="0F7E8AA2">
            <w:pPr>
              <w:keepNext w:val="0"/>
              <w:keepLines w:val="0"/>
              <w:suppressLineNumbers w:val="0"/>
              <w:shd w:val="clear" w:color="auto" w:fill="auto"/>
              <w:spacing w:before="0" w:beforeAutospacing="0" w:after="0" w:afterAutospacing="0" w:line="320" w:lineRule="exact"/>
              <w:ind w:left="0" w:leftChars="0" w:right="0" w:rightChars="0"/>
              <w:jc w:val="center"/>
              <w:rPr>
                <w:rFonts w:hint="default"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采购标的所属行业及划分标准</w:t>
            </w:r>
          </w:p>
        </w:tc>
        <w:tc>
          <w:tcPr>
            <w:tcW w:w="3884" w:type="pct"/>
            <w:noWrap w:val="0"/>
            <w:vAlign w:val="center"/>
          </w:tcPr>
          <w:p w14:paraId="5456E240">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12" w:lineRule="auto"/>
              <w:ind w:left="0" w:leftChars="0" w:right="0" w:rightChars="0"/>
              <w:jc w:val="both"/>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各行业划分标准具体为：</w:t>
            </w:r>
          </w:p>
          <w:p w14:paraId="47E906A9">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12" w:lineRule="auto"/>
              <w:ind w:left="0" w:leftChars="0" w:right="0" w:rightChars="0" w:firstLine="440" w:firstLineChars="200"/>
              <w:jc w:val="both"/>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16、其他未列明行业.从业人员300人以下的为中小微型企业。其中，从业人员100人及以上的为中型企业;从业人员10人及以上的为小型企业；从业人员10人以下的为微型企业。</w:t>
            </w:r>
          </w:p>
          <w:p w14:paraId="761142BF">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12" w:lineRule="auto"/>
              <w:ind w:left="0" w:leftChars="0" w:right="0" w:rightChars="0"/>
              <w:jc w:val="both"/>
              <w:textAlignment w:val="auto"/>
              <w:rPr>
                <w:rFonts w:hint="default" w:ascii="宋体" w:hAnsi="宋体" w:eastAsia="宋体" w:cs="宋体"/>
                <w:b w:val="0"/>
                <w:bCs w:val="0"/>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本项目属于：其他未列明行业</w:t>
            </w:r>
          </w:p>
        </w:tc>
      </w:tr>
      <w:tr w14:paraId="5223B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379" w:type="pct"/>
            <w:noWrap w:val="0"/>
            <w:vAlign w:val="center"/>
          </w:tcPr>
          <w:p w14:paraId="00A17D78">
            <w:pPr>
              <w:keepNext w:val="0"/>
              <w:keepLines w:val="0"/>
              <w:suppressLineNumbers w:val="0"/>
              <w:shd w:val="clear" w:color="auto" w:fill="auto"/>
              <w:spacing w:before="0" w:beforeAutospacing="0" w:after="0" w:afterAutospacing="0" w:line="320" w:lineRule="exact"/>
              <w:ind w:left="0" w:leftChars="0" w:right="0" w:rightChars="0"/>
              <w:jc w:val="center"/>
              <w:rPr>
                <w:rFonts w:hint="default"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33</w:t>
            </w:r>
          </w:p>
        </w:tc>
        <w:tc>
          <w:tcPr>
            <w:tcW w:w="735" w:type="pct"/>
            <w:noWrap w:val="0"/>
            <w:vAlign w:val="center"/>
          </w:tcPr>
          <w:p w14:paraId="5AB9684E">
            <w:pPr>
              <w:keepNext w:val="0"/>
              <w:keepLines w:val="0"/>
              <w:suppressLineNumbers w:val="0"/>
              <w:shd w:val="clear" w:color="auto" w:fill="auto"/>
              <w:spacing w:before="0" w:beforeAutospacing="0" w:after="0" w:afterAutospacing="0" w:line="320" w:lineRule="exact"/>
              <w:ind w:left="0" w:leftChars="0" w:right="0" w:rightChars="0"/>
              <w:jc w:val="center"/>
              <w:rPr>
                <w:rFonts w:hint="default"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评标委员会组成</w:t>
            </w:r>
          </w:p>
        </w:tc>
        <w:tc>
          <w:tcPr>
            <w:tcW w:w="3884" w:type="pct"/>
            <w:noWrap w:val="0"/>
            <w:vAlign w:val="center"/>
          </w:tcPr>
          <w:p w14:paraId="273AEF57">
            <w:pPr>
              <w:keepNext w:val="0"/>
              <w:keepLines w:val="0"/>
              <w:suppressLineNumbers w:val="0"/>
              <w:shd w:val="clear" w:color="auto" w:fill="auto"/>
              <w:spacing w:before="0" w:beforeAutospacing="0" w:after="0" w:afterAutospacing="0" w:line="320" w:lineRule="exact"/>
              <w:ind w:left="0" w:leftChars="0" w:right="0" w:rightChars="0"/>
              <w:jc w:val="both"/>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评标委员会构成：</w:t>
            </w:r>
            <w:r>
              <w:rPr>
                <w:rFonts w:hint="eastAsia" w:ascii="宋体" w:hAnsi="宋体" w:cs="宋体"/>
                <w:b w:val="0"/>
                <w:bCs w:val="0"/>
                <w:color w:val="auto"/>
                <w:sz w:val="22"/>
                <w:szCs w:val="22"/>
                <w:highlight w:val="none"/>
                <w:lang w:val="en-US" w:eastAsia="zh-CN"/>
              </w:rPr>
              <w:t>5</w:t>
            </w:r>
            <w:r>
              <w:rPr>
                <w:rFonts w:hint="eastAsia" w:ascii="宋体" w:hAnsi="宋体" w:eastAsia="宋体" w:cs="宋体"/>
                <w:b w:val="0"/>
                <w:bCs w:val="0"/>
                <w:color w:val="auto"/>
                <w:sz w:val="22"/>
                <w:szCs w:val="22"/>
                <w:highlight w:val="none"/>
                <w:lang w:val="en-US" w:eastAsia="zh-CN"/>
              </w:rPr>
              <w:t>人，其中招标人代表</w:t>
            </w:r>
            <w:r>
              <w:rPr>
                <w:rFonts w:hint="eastAsia" w:ascii="宋体" w:hAnsi="宋体" w:cs="宋体"/>
                <w:b w:val="0"/>
                <w:bCs w:val="0"/>
                <w:color w:val="auto"/>
                <w:sz w:val="22"/>
                <w:szCs w:val="22"/>
                <w:highlight w:val="none"/>
                <w:lang w:val="en-US" w:eastAsia="zh-CN"/>
              </w:rPr>
              <w:t>1</w:t>
            </w:r>
            <w:r>
              <w:rPr>
                <w:rFonts w:hint="eastAsia" w:ascii="宋体" w:hAnsi="宋体" w:eastAsia="宋体" w:cs="宋体"/>
                <w:b w:val="0"/>
                <w:bCs w:val="0"/>
                <w:color w:val="auto"/>
                <w:sz w:val="22"/>
                <w:szCs w:val="22"/>
                <w:highlight w:val="none"/>
                <w:lang w:val="en-US" w:eastAsia="zh-CN"/>
              </w:rPr>
              <w:t>人，专家</w:t>
            </w:r>
            <w:r>
              <w:rPr>
                <w:rFonts w:hint="eastAsia" w:ascii="宋体" w:hAnsi="宋体" w:cs="宋体"/>
                <w:b w:val="0"/>
                <w:bCs w:val="0"/>
                <w:color w:val="auto"/>
                <w:sz w:val="22"/>
                <w:szCs w:val="22"/>
                <w:highlight w:val="none"/>
                <w:lang w:val="en-US" w:eastAsia="zh-CN"/>
              </w:rPr>
              <w:t>4</w:t>
            </w:r>
            <w:r>
              <w:rPr>
                <w:rFonts w:hint="eastAsia" w:ascii="宋体" w:hAnsi="宋体" w:eastAsia="宋体" w:cs="宋体"/>
                <w:b w:val="0"/>
                <w:bCs w:val="0"/>
                <w:color w:val="auto"/>
                <w:sz w:val="22"/>
                <w:szCs w:val="22"/>
                <w:highlight w:val="none"/>
                <w:lang w:val="en-US" w:eastAsia="zh-CN"/>
              </w:rPr>
              <w:t>人；评标专家确定方式：在政府采购专家库随机抽取。</w:t>
            </w:r>
          </w:p>
        </w:tc>
      </w:tr>
    </w:tbl>
    <w:p w14:paraId="5F782B9F">
      <w:pPr>
        <w:jc w:val="center"/>
        <w:outlineLvl w:val="9"/>
        <w:rPr>
          <w:rFonts w:hint="eastAsia" w:ascii="宋体" w:hAnsi="宋体" w:eastAsia="宋体" w:cs="宋体"/>
          <w:b/>
          <w:color w:val="auto"/>
          <w:sz w:val="32"/>
          <w:szCs w:val="32"/>
          <w:highlight w:val="none"/>
        </w:rPr>
      </w:pPr>
    </w:p>
    <w:p w14:paraId="53420EF5">
      <w:pPr>
        <w:jc w:val="center"/>
        <w:outlineLvl w:val="9"/>
        <w:rPr>
          <w:rFonts w:hint="eastAsia" w:ascii="宋体" w:hAnsi="宋体" w:eastAsia="宋体" w:cs="宋体"/>
          <w:b/>
          <w:color w:val="auto"/>
          <w:sz w:val="32"/>
          <w:szCs w:val="32"/>
          <w:highlight w:val="none"/>
        </w:rPr>
      </w:pPr>
    </w:p>
    <w:p w14:paraId="7FB6DF97">
      <w:pPr>
        <w:jc w:val="center"/>
        <w:outlineLvl w:val="9"/>
        <w:rPr>
          <w:rFonts w:hint="eastAsia" w:ascii="宋体" w:hAnsi="宋体" w:eastAsia="宋体" w:cs="宋体"/>
          <w:b/>
          <w:color w:val="auto"/>
          <w:sz w:val="32"/>
          <w:szCs w:val="32"/>
          <w:highlight w:val="none"/>
        </w:rPr>
      </w:pPr>
    </w:p>
    <w:p w14:paraId="0544025D">
      <w:pPr>
        <w:jc w:val="center"/>
        <w:outlineLvl w:val="9"/>
        <w:rPr>
          <w:rFonts w:hint="eastAsia" w:ascii="宋体" w:hAnsi="宋体" w:eastAsia="宋体" w:cs="宋体"/>
          <w:b/>
          <w:color w:val="auto"/>
          <w:sz w:val="32"/>
          <w:szCs w:val="32"/>
          <w:highlight w:val="none"/>
        </w:rPr>
      </w:pPr>
    </w:p>
    <w:p w14:paraId="5B09C84D">
      <w:pPr>
        <w:jc w:val="center"/>
        <w:outlineLvl w:val="9"/>
        <w:rPr>
          <w:rFonts w:hint="eastAsia" w:ascii="宋体" w:hAnsi="宋体" w:eastAsia="宋体" w:cs="宋体"/>
          <w:b/>
          <w:color w:val="auto"/>
          <w:sz w:val="32"/>
          <w:szCs w:val="32"/>
          <w:highlight w:val="none"/>
        </w:rPr>
      </w:pPr>
    </w:p>
    <w:p w14:paraId="77E2B4A6">
      <w:pPr>
        <w:jc w:val="center"/>
        <w:outlineLvl w:val="9"/>
        <w:rPr>
          <w:rFonts w:hint="eastAsia" w:ascii="宋体" w:hAnsi="宋体" w:eastAsia="宋体" w:cs="宋体"/>
          <w:b/>
          <w:color w:val="auto"/>
          <w:sz w:val="32"/>
          <w:szCs w:val="32"/>
          <w:highlight w:val="none"/>
        </w:rPr>
      </w:pPr>
    </w:p>
    <w:p w14:paraId="376EC033">
      <w:pPr>
        <w:jc w:val="center"/>
        <w:outlineLvl w:val="9"/>
        <w:rPr>
          <w:rFonts w:hint="eastAsia" w:ascii="宋体" w:hAnsi="宋体" w:eastAsia="宋体" w:cs="宋体"/>
          <w:b/>
          <w:color w:val="auto"/>
          <w:sz w:val="32"/>
          <w:szCs w:val="32"/>
          <w:highlight w:val="none"/>
        </w:rPr>
      </w:pPr>
    </w:p>
    <w:p w14:paraId="1DBB5CA8">
      <w:pPr>
        <w:jc w:val="center"/>
        <w:outlineLvl w:val="9"/>
        <w:rPr>
          <w:rFonts w:hint="eastAsia" w:ascii="宋体" w:hAnsi="宋体" w:eastAsia="宋体" w:cs="宋体"/>
          <w:b/>
          <w:color w:val="auto"/>
          <w:sz w:val="32"/>
          <w:szCs w:val="32"/>
          <w:highlight w:val="none"/>
        </w:rPr>
      </w:pPr>
    </w:p>
    <w:p w14:paraId="3FD9C2E4">
      <w:pPr>
        <w:jc w:val="center"/>
        <w:outlineLvl w:val="9"/>
        <w:rPr>
          <w:rFonts w:hint="eastAsia" w:ascii="宋体" w:hAnsi="宋体" w:eastAsia="宋体" w:cs="宋体"/>
          <w:b/>
          <w:color w:val="auto"/>
          <w:sz w:val="32"/>
          <w:szCs w:val="32"/>
          <w:highlight w:val="none"/>
        </w:rPr>
      </w:pPr>
    </w:p>
    <w:p w14:paraId="3A4E7747">
      <w:pPr>
        <w:jc w:val="center"/>
        <w:outlineLvl w:val="9"/>
        <w:rPr>
          <w:rFonts w:hint="eastAsia" w:ascii="宋体" w:hAnsi="宋体" w:eastAsia="宋体" w:cs="宋体"/>
          <w:b/>
          <w:color w:val="auto"/>
          <w:sz w:val="32"/>
          <w:szCs w:val="32"/>
          <w:highlight w:val="none"/>
        </w:rPr>
      </w:pPr>
    </w:p>
    <w:p w14:paraId="708F51B0">
      <w:pPr>
        <w:jc w:val="center"/>
        <w:outlineLvl w:val="9"/>
        <w:rPr>
          <w:rFonts w:hint="eastAsia" w:ascii="宋体" w:hAnsi="宋体" w:eastAsia="宋体" w:cs="宋体"/>
          <w:b/>
          <w:color w:val="auto"/>
          <w:sz w:val="32"/>
          <w:szCs w:val="32"/>
          <w:highlight w:val="none"/>
        </w:rPr>
      </w:pPr>
    </w:p>
    <w:p w14:paraId="186C2B1F">
      <w:pPr>
        <w:jc w:val="center"/>
        <w:outlineLvl w:val="9"/>
        <w:rPr>
          <w:rFonts w:hint="eastAsia" w:ascii="宋体" w:hAnsi="宋体" w:eastAsia="宋体" w:cs="宋体"/>
          <w:b/>
          <w:color w:val="auto"/>
          <w:sz w:val="32"/>
          <w:szCs w:val="32"/>
          <w:highlight w:val="none"/>
        </w:rPr>
      </w:pPr>
    </w:p>
    <w:p w14:paraId="1B973D7E">
      <w:pPr>
        <w:jc w:val="center"/>
        <w:outlineLvl w:val="9"/>
        <w:rPr>
          <w:rFonts w:hint="eastAsia" w:ascii="宋体" w:hAnsi="宋体" w:eastAsia="宋体" w:cs="宋体"/>
          <w:b/>
          <w:color w:val="auto"/>
          <w:sz w:val="32"/>
          <w:szCs w:val="32"/>
          <w:highlight w:val="none"/>
        </w:rPr>
      </w:pPr>
    </w:p>
    <w:p w14:paraId="286B6CDB">
      <w:pPr>
        <w:jc w:val="center"/>
        <w:outlineLvl w:val="0"/>
        <w:rPr>
          <w:rFonts w:hint="eastAsia" w:ascii="宋体" w:hAnsi="宋体" w:eastAsia="宋体" w:cs="宋体"/>
          <w:b/>
          <w:color w:val="auto"/>
          <w:sz w:val="18"/>
          <w:szCs w:val="18"/>
          <w:highlight w:val="none"/>
        </w:rPr>
      </w:pPr>
      <w:bookmarkStart w:id="26" w:name="_Toc19185"/>
      <w:r>
        <w:rPr>
          <w:rFonts w:hint="eastAsia" w:ascii="宋体" w:hAnsi="宋体" w:eastAsia="宋体" w:cs="宋体"/>
          <w:b/>
          <w:color w:val="auto"/>
          <w:sz w:val="32"/>
          <w:szCs w:val="32"/>
          <w:highlight w:val="none"/>
        </w:rPr>
        <w:t>第三章  投标须知</w:t>
      </w:r>
      <w:bookmarkEnd w:id="26"/>
    </w:p>
    <w:p w14:paraId="001CC9B3">
      <w:pPr>
        <w:spacing w:line="360" w:lineRule="auto"/>
        <w:jc w:val="center"/>
        <w:outlineLvl w:val="0"/>
        <w:rPr>
          <w:rFonts w:hint="eastAsia" w:ascii="宋体" w:hAnsi="宋体" w:eastAsia="宋体" w:cs="宋体"/>
          <w:b/>
          <w:color w:val="auto"/>
          <w:sz w:val="30"/>
          <w:szCs w:val="30"/>
          <w:highlight w:val="none"/>
        </w:rPr>
      </w:pPr>
      <w:bookmarkStart w:id="27" w:name="_Toc11617"/>
      <w:r>
        <w:rPr>
          <w:rFonts w:hint="eastAsia" w:ascii="宋体" w:hAnsi="宋体" w:eastAsia="宋体" w:cs="宋体"/>
          <w:b/>
          <w:color w:val="auto"/>
          <w:sz w:val="30"/>
          <w:szCs w:val="30"/>
          <w:highlight w:val="none"/>
        </w:rPr>
        <w:t>一、总  则</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7"/>
    </w:p>
    <w:p w14:paraId="21334C1B">
      <w:pPr>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本次招标依据《中华人民共和国政府采购法》、《政府采购货物和服务招标投标管理办法》、及国家现行有关法律法规执行。</w:t>
      </w:r>
    </w:p>
    <w:p w14:paraId="2468C5F4">
      <w:pPr>
        <w:spacing w:line="360" w:lineRule="auto"/>
        <w:ind w:firstLine="433" w:firstLineChars="196"/>
        <w:outlineLvl w:val="1"/>
        <w:rPr>
          <w:rFonts w:hint="eastAsia" w:ascii="宋体" w:hAnsi="宋体" w:eastAsia="宋体" w:cs="宋体"/>
          <w:b/>
          <w:bCs/>
          <w:color w:val="auto"/>
          <w:sz w:val="22"/>
          <w:szCs w:val="22"/>
          <w:highlight w:val="none"/>
        </w:rPr>
      </w:pPr>
      <w:bookmarkStart w:id="28" w:name="_Toc32070"/>
      <w:r>
        <w:rPr>
          <w:rFonts w:hint="eastAsia" w:ascii="宋体" w:hAnsi="宋体" w:eastAsia="宋体" w:cs="宋体"/>
          <w:b/>
          <w:bCs/>
          <w:color w:val="auto"/>
          <w:sz w:val="22"/>
          <w:szCs w:val="22"/>
          <w:highlight w:val="none"/>
        </w:rPr>
        <w:t>1．采购人、采购代理机构、监督管理机构</w:t>
      </w:r>
      <w:bookmarkEnd w:id="28"/>
    </w:p>
    <w:p w14:paraId="6CDC5165">
      <w:pPr>
        <w:spacing w:line="360" w:lineRule="auto"/>
        <w:ind w:firstLine="431" w:firstLineChars="196"/>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1“招标人”系指</w:t>
      </w:r>
      <w:r>
        <w:rPr>
          <w:rFonts w:hint="eastAsia" w:ascii="宋体" w:hAnsi="宋体" w:cs="宋体"/>
          <w:color w:val="auto"/>
          <w:sz w:val="22"/>
          <w:szCs w:val="22"/>
          <w:highlight w:val="none"/>
          <w:lang w:eastAsia="zh-CN"/>
        </w:rPr>
        <w:t>榆佳经济技术开发区管理委员会</w:t>
      </w:r>
      <w:r>
        <w:rPr>
          <w:rFonts w:hint="eastAsia" w:ascii="宋体" w:hAnsi="宋体" w:eastAsia="宋体" w:cs="宋体"/>
          <w:color w:val="auto"/>
          <w:sz w:val="22"/>
          <w:szCs w:val="22"/>
          <w:highlight w:val="none"/>
        </w:rPr>
        <w:t>。</w:t>
      </w:r>
    </w:p>
    <w:p w14:paraId="4C37EB75">
      <w:pPr>
        <w:spacing w:line="360" w:lineRule="auto"/>
        <w:ind w:firstLine="431" w:firstLineChars="196"/>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2“招标代理机构”系指组织本次开标活动的</w:t>
      </w:r>
      <w:r>
        <w:rPr>
          <w:rFonts w:hint="eastAsia" w:ascii="宋体" w:hAnsi="宋体" w:cs="宋体"/>
          <w:color w:val="auto"/>
          <w:sz w:val="22"/>
          <w:szCs w:val="22"/>
          <w:highlight w:val="none"/>
          <w:lang w:eastAsia="zh-CN"/>
        </w:rPr>
        <w:t>陕西秦丰源项目管理有限公司</w:t>
      </w:r>
      <w:r>
        <w:rPr>
          <w:rFonts w:hint="eastAsia" w:ascii="宋体" w:hAnsi="宋体" w:eastAsia="宋体" w:cs="宋体"/>
          <w:color w:val="auto"/>
          <w:sz w:val="22"/>
          <w:szCs w:val="22"/>
          <w:highlight w:val="none"/>
        </w:rPr>
        <w:t>。</w:t>
      </w:r>
    </w:p>
    <w:p w14:paraId="5BECBB99">
      <w:pPr>
        <w:spacing w:line="360" w:lineRule="auto"/>
        <w:ind w:firstLine="431" w:firstLineChars="196"/>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3“监督管理机构”系指</w:t>
      </w:r>
      <w:r>
        <w:rPr>
          <w:rFonts w:hint="eastAsia" w:ascii="宋体" w:hAnsi="宋体" w:cs="宋体"/>
          <w:color w:val="auto"/>
          <w:sz w:val="22"/>
          <w:szCs w:val="22"/>
          <w:highlight w:val="none"/>
          <w:lang w:val="en-US" w:eastAsia="zh-CN"/>
        </w:rPr>
        <w:t>佳县</w:t>
      </w:r>
      <w:r>
        <w:rPr>
          <w:rFonts w:hint="eastAsia" w:ascii="宋体" w:hAnsi="宋体" w:eastAsia="宋体" w:cs="宋体"/>
          <w:color w:val="auto"/>
          <w:sz w:val="22"/>
          <w:szCs w:val="22"/>
          <w:highlight w:val="none"/>
        </w:rPr>
        <w:t>财政局采购科。</w:t>
      </w:r>
    </w:p>
    <w:p w14:paraId="2F87098A">
      <w:pPr>
        <w:spacing w:line="360" w:lineRule="auto"/>
        <w:ind w:firstLine="431" w:firstLineChars="196"/>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.4“投标人”系指无条件接受招标文件的各项要求，具备相应履约能力、并向评标委员会递交投标文件的投标人。</w:t>
      </w:r>
    </w:p>
    <w:p w14:paraId="3E9496E6">
      <w:pPr>
        <w:spacing w:line="360" w:lineRule="auto"/>
        <w:ind w:firstLine="433" w:firstLineChars="196"/>
        <w:outlineLvl w:val="1"/>
        <w:rPr>
          <w:rFonts w:hint="eastAsia" w:ascii="宋体" w:hAnsi="宋体" w:eastAsia="宋体" w:cs="宋体"/>
          <w:color w:val="auto"/>
          <w:sz w:val="22"/>
          <w:szCs w:val="22"/>
          <w:highlight w:val="none"/>
        </w:rPr>
      </w:pPr>
      <w:bookmarkStart w:id="29" w:name="_Toc20013"/>
      <w:r>
        <w:rPr>
          <w:rFonts w:hint="eastAsia" w:ascii="宋体" w:hAnsi="宋体" w:eastAsia="宋体" w:cs="宋体"/>
          <w:b/>
          <w:bCs/>
          <w:color w:val="auto"/>
          <w:sz w:val="22"/>
          <w:szCs w:val="22"/>
          <w:highlight w:val="none"/>
        </w:rPr>
        <w:t>2．合格的投标人、合格的服务</w:t>
      </w:r>
      <w:bookmarkEnd w:id="29"/>
    </w:p>
    <w:p w14:paraId="5A7C1E21">
      <w:pPr>
        <w:spacing w:line="360" w:lineRule="auto"/>
        <w:ind w:firstLine="442" w:firstLineChars="200"/>
        <w:outlineLvl w:val="2"/>
        <w:rPr>
          <w:rFonts w:hint="eastAsia" w:ascii="宋体" w:hAnsi="宋体" w:eastAsia="宋体" w:cs="宋体"/>
          <w:b/>
          <w:color w:val="auto"/>
          <w:sz w:val="22"/>
          <w:szCs w:val="22"/>
          <w:highlight w:val="none"/>
        </w:rPr>
      </w:pPr>
      <w:bookmarkStart w:id="30" w:name="_Toc26410"/>
      <w:r>
        <w:rPr>
          <w:rFonts w:hint="eastAsia" w:ascii="宋体" w:hAnsi="宋体" w:eastAsia="宋体" w:cs="宋体"/>
          <w:b/>
          <w:color w:val="auto"/>
          <w:sz w:val="22"/>
          <w:szCs w:val="22"/>
          <w:highlight w:val="none"/>
        </w:rPr>
        <w:t>2.1 合格的投标人</w:t>
      </w:r>
      <w:bookmarkEnd w:id="30"/>
    </w:p>
    <w:p w14:paraId="5EAA3605">
      <w:pPr>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2.1.1 资质要求：</w:t>
      </w:r>
    </w:p>
    <w:p w14:paraId="547764D1">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1、符合《中华人民共和国政府采购法》第二十二条的规定；</w:t>
      </w:r>
    </w:p>
    <w:p w14:paraId="5BD4E10B">
      <w:pPr>
        <w:pStyle w:val="22"/>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2、落实政府采购政策需满足的资格要求：</w:t>
      </w:r>
    </w:p>
    <w:p w14:paraId="6FD15FC6">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384" w:right="0" w:firstLine="0"/>
        <w:jc w:val="both"/>
        <w:rPr>
          <w:rFonts w:hint="eastAsia" w:ascii="宋体" w:hAnsi="宋体" w:eastAsia="宋体" w:cs="宋体"/>
          <w:bCs/>
          <w:color w:val="auto"/>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shd w:val="clear" w:fill="FFFFFF"/>
        </w:rPr>
        <w:t>（1）《节能产品政府采购实施意见》（财库〔2004〕185号）；（2）《环境标志产品政府采购实施的意见》（财库〔2006〕90号）；（3）《国务院办公厅关于建立政府强制采购节能产品制度的通知》（国办发〔2007〕51号）；（4）《榆林市财政局关于进一步加大政府采购支持中小企业力度的通知》陕财办采函〔2022〕10号；（5）《政府采购促进中小企业发展管理办法》（财库〔2020〕46号）；（6）根据《陕西省财政厅关于进一步加大政府采购支持中小企业力度的通知》（陕财办采〔2022〕5号）；（7）陕西省财政厅关于印发《陕西省中小企业政府采购信用融资办法》（陕财办采〔2018〕23号）相关政策、业务流程、办理平台（http://www.ccgp-shaanxi.gov.cn/zcdservice/zcd/shanxi/）；（8）财政部司法部关于政府采购支持监狱企业发展有关问题的通知（财库〔2014〕68号）；（9）《财政部民政部中国残疾人联合会关于促进残疾人就业政府采购政策的通知》（财库〔2017〕141号）；（10）《关于在政府采购活动中查询及使用信用记录有关问题的通知》（财库〔2016〕125号）；（11）其他需要落实的政府采购政策。</w:t>
      </w:r>
    </w:p>
    <w:p w14:paraId="33067EF9">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b/>
          <w:bCs/>
          <w:i w:val="0"/>
          <w:caps w:val="0"/>
          <w:color w:val="auto"/>
          <w:spacing w:val="0"/>
          <w:sz w:val="22"/>
          <w:szCs w:val="22"/>
          <w:highlight w:val="none"/>
          <w:shd w:val="clear" w:fill="FFFFFF"/>
        </w:rPr>
      </w:pPr>
      <w:r>
        <w:rPr>
          <w:rFonts w:hint="eastAsia" w:ascii="宋体" w:hAnsi="宋体" w:eastAsia="宋体" w:cs="宋体"/>
          <w:bCs/>
          <w:color w:val="auto"/>
          <w:sz w:val="22"/>
          <w:szCs w:val="22"/>
          <w:highlight w:val="none"/>
        </w:rPr>
        <w:t>3、</w:t>
      </w:r>
      <w:r>
        <w:rPr>
          <w:rFonts w:hint="eastAsia" w:asciiTheme="minorEastAsia" w:hAnsiTheme="minorEastAsia" w:eastAsiaTheme="minorEastAsia" w:cstheme="minorEastAsia"/>
          <w:b/>
          <w:bCs/>
          <w:i w:val="0"/>
          <w:caps w:val="0"/>
          <w:color w:val="auto"/>
          <w:spacing w:val="0"/>
          <w:sz w:val="22"/>
          <w:szCs w:val="22"/>
          <w:highlight w:val="none"/>
          <w:shd w:val="clear"/>
        </w:rPr>
        <w:t>合同包1</w:t>
      </w:r>
      <w:r>
        <w:rPr>
          <w:rFonts w:hint="eastAsia" w:asciiTheme="minorEastAsia" w:hAnsiTheme="minorEastAsia" w:eastAsiaTheme="minorEastAsia" w:cstheme="minorEastAsia"/>
          <w:b/>
          <w:bCs/>
          <w:i w:val="0"/>
          <w:caps w:val="0"/>
          <w:color w:val="auto"/>
          <w:spacing w:val="0"/>
          <w:sz w:val="22"/>
          <w:szCs w:val="22"/>
          <w:highlight w:val="none"/>
          <w:shd w:val="clear" w:fill="FFFFFF"/>
        </w:rPr>
        <w:t>的特定资格要求：</w:t>
      </w:r>
    </w:p>
    <w:p w14:paraId="372D0606">
      <w:pPr>
        <w:spacing w:line="360" w:lineRule="auto"/>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（1）投标人为具有独立承担民事责任能力的法人。企业法人应提供合法有效的标识有统一社会信用代码的营业执照；</w:t>
      </w:r>
      <w:r>
        <w:rPr>
          <w:rFonts w:hint="eastAsia" w:ascii="宋体" w:hAnsi="宋体" w:eastAsia="宋体" w:cs="宋体"/>
          <w:sz w:val="22"/>
          <w:szCs w:val="22"/>
          <w:highlight w:val="none"/>
        </w:rPr>
        <w:br w:type="textWrapping"/>
      </w:r>
      <w:r>
        <w:rPr>
          <w:rFonts w:hint="eastAsia" w:ascii="宋体" w:hAnsi="宋体" w:cs="宋体"/>
          <w:sz w:val="22"/>
          <w:szCs w:val="22"/>
          <w:highlight w:val="none"/>
          <w:lang w:val="en-US" w:eastAsia="zh-CN"/>
        </w:rPr>
        <w:t xml:space="preserve">    </w:t>
      </w:r>
      <w:r>
        <w:rPr>
          <w:rFonts w:hint="eastAsia" w:ascii="宋体" w:hAnsi="宋体" w:eastAsia="宋体" w:cs="宋体"/>
          <w:sz w:val="22"/>
          <w:szCs w:val="22"/>
          <w:highlight w:val="none"/>
        </w:rPr>
        <w:t>（2）财务状况报告：提供完整的2024年度赋码财务审计报告，成立时间至提交投标文件截止时间不足一年的提供其基本账户开户银行出具的资信证明及基本账户开户许可证；（注：2022年后已在注册会计师行业统一监管平台（http://acc.mof.gov.cn/）报备的财务审计报告须可查询，并提供网页查询截图。）</w:t>
      </w:r>
      <w:r>
        <w:rPr>
          <w:rFonts w:hint="eastAsia" w:ascii="宋体" w:hAnsi="宋体" w:eastAsia="宋体" w:cs="宋体"/>
          <w:sz w:val="22"/>
          <w:szCs w:val="22"/>
          <w:highlight w:val="none"/>
        </w:rPr>
        <w:br w:type="textWrapping"/>
      </w:r>
      <w:r>
        <w:rPr>
          <w:rFonts w:hint="eastAsia" w:ascii="宋体" w:hAnsi="宋体" w:cs="宋体"/>
          <w:sz w:val="22"/>
          <w:szCs w:val="22"/>
          <w:highlight w:val="none"/>
          <w:lang w:val="en-US" w:eastAsia="zh-CN"/>
        </w:rPr>
        <w:t xml:space="preserve">    </w:t>
      </w:r>
      <w:r>
        <w:rPr>
          <w:rFonts w:hint="eastAsia" w:ascii="宋体" w:hAnsi="宋体" w:eastAsia="宋体" w:cs="宋体"/>
          <w:sz w:val="22"/>
          <w:szCs w:val="22"/>
          <w:highlight w:val="none"/>
        </w:rPr>
        <w:t>（3）社会保障资金缴纳证明：提供2025年1月至投标截止时间止至少</w:t>
      </w:r>
      <w:r>
        <w:rPr>
          <w:rFonts w:hint="eastAsia" w:ascii="宋体" w:hAnsi="宋体" w:cs="宋体"/>
          <w:sz w:val="22"/>
          <w:szCs w:val="22"/>
          <w:highlight w:val="none"/>
          <w:lang w:val="en-US" w:eastAsia="zh-CN"/>
        </w:rPr>
        <w:t>1</w:t>
      </w:r>
      <w:r>
        <w:rPr>
          <w:rFonts w:hint="eastAsia" w:ascii="宋体" w:hAnsi="宋体" w:eastAsia="宋体" w:cs="宋体"/>
          <w:sz w:val="22"/>
          <w:szCs w:val="22"/>
          <w:highlight w:val="none"/>
        </w:rPr>
        <w:t>个月的社会保障资金银行缴费单据或社保机构开具的社会保险参保缴费情况证明</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五险一金任意一项即可）</w:t>
      </w:r>
      <w:r>
        <w:rPr>
          <w:rFonts w:hint="eastAsia" w:ascii="宋体" w:hAnsi="宋体" w:eastAsia="宋体" w:cs="宋体"/>
          <w:sz w:val="22"/>
          <w:szCs w:val="22"/>
          <w:highlight w:val="none"/>
        </w:rPr>
        <w:t>，依法不需要缴纳社会保障资金的单位应提供相关证明材料（加盖公章的复印件）；</w:t>
      </w:r>
      <w:r>
        <w:rPr>
          <w:rFonts w:hint="eastAsia" w:ascii="宋体" w:hAnsi="宋体" w:eastAsia="宋体" w:cs="宋体"/>
          <w:sz w:val="22"/>
          <w:szCs w:val="22"/>
          <w:highlight w:val="none"/>
        </w:rPr>
        <w:br w:type="textWrapping"/>
      </w:r>
      <w:r>
        <w:rPr>
          <w:rFonts w:hint="eastAsia" w:ascii="宋体" w:hAnsi="宋体" w:cs="宋体"/>
          <w:sz w:val="22"/>
          <w:szCs w:val="22"/>
          <w:highlight w:val="none"/>
          <w:lang w:val="en-US" w:eastAsia="zh-CN"/>
        </w:rPr>
        <w:t xml:space="preserve">    </w:t>
      </w:r>
      <w:r>
        <w:rPr>
          <w:rFonts w:hint="eastAsia" w:ascii="宋体" w:hAnsi="宋体" w:eastAsia="宋体" w:cs="宋体"/>
          <w:sz w:val="22"/>
          <w:szCs w:val="22"/>
          <w:highlight w:val="none"/>
        </w:rPr>
        <w:t>（4）税收缴纳证明：提供2025年1月至投标截止时间止至少</w:t>
      </w:r>
      <w:r>
        <w:rPr>
          <w:rFonts w:hint="eastAsia" w:ascii="宋体" w:hAnsi="宋体" w:cs="宋体"/>
          <w:sz w:val="22"/>
          <w:szCs w:val="22"/>
          <w:highlight w:val="none"/>
          <w:lang w:val="en-US" w:eastAsia="zh-CN"/>
        </w:rPr>
        <w:t>1</w:t>
      </w:r>
      <w:r>
        <w:rPr>
          <w:rFonts w:hint="eastAsia" w:ascii="宋体" w:hAnsi="宋体" w:eastAsia="宋体" w:cs="宋体"/>
          <w:sz w:val="22"/>
          <w:szCs w:val="22"/>
          <w:highlight w:val="none"/>
        </w:rPr>
        <w:t>个月的纳税证明（银行缴费凭证）或完税证明（时间以税款所属日期为准、税种须包含增值税或企业所得税或营业税），依法免税的单位应提供相关证明材料；</w:t>
      </w:r>
      <w:r>
        <w:rPr>
          <w:rFonts w:hint="eastAsia" w:ascii="宋体" w:hAnsi="宋体" w:eastAsia="宋体" w:cs="宋体"/>
          <w:sz w:val="22"/>
          <w:szCs w:val="22"/>
          <w:highlight w:val="none"/>
        </w:rPr>
        <w:br w:type="textWrapping"/>
      </w:r>
      <w:r>
        <w:rPr>
          <w:rFonts w:hint="eastAsia" w:ascii="宋体" w:hAnsi="宋体" w:cs="宋体"/>
          <w:sz w:val="22"/>
          <w:szCs w:val="22"/>
          <w:highlight w:val="none"/>
          <w:lang w:val="en-US" w:eastAsia="zh-CN"/>
        </w:rPr>
        <w:t xml:space="preserve">    </w:t>
      </w:r>
      <w:r>
        <w:rPr>
          <w:rFonts w:hint="eastAsia" w:ascii="宋体" w:hAnsi="宋体" w:eastAsia="宋体" w:cs="宋体"/>
          <w:sz w:val="22"/>
          <w:szCs w:val="22"/>
          <w:highlight w:val="none"/>
        </w:rPr>
        <w:t>（5）参加政府采购活动前三年内，在经营活动中没有重大违法记录的书面声明；</w:t>
      </w:r>
      <w:r>
        <w:rPr>
          <w:rFonts w:hint="eastAsia" w:ascii="宋体" w:hAnsi="宋体" w:eastAsia="宋体" w:cs="宋体"/>
          <w:sz w:val="22"/>
          <w:szCs w:val="22"/>
          <w:highlight w:val="none"/>
        </w:rPr>
        <w:br w:type="textWrapping"/>
      </w:r>
      <w:r>
        <w:rPr>
          <w:rFonts w:hint="eastAsia" w:ascii="宋体" w:hAnsi="宋体" w:cs="宋体"/>
          <w:sz w:val="22"/>
          <w:szCs w:val="22"/>
          <w:highlight w:val="none"/>
          <w:lang w:val="en-US" w:eastAsia="zh-CN"/>
        </w:rPr>
        <w:t xml:space="preserve">    </w:t>
      </w:r>
      <w:r>
        <w:rPr>
          <w:rFonts w:hint="eastAsia" w:ascii="宋体" w:hAnsi="宋体" w:eastAsia="宋体" w:cs="宋体"/>
          <w:sz w:val="22"/>
          <w:szCs w:val="22"/>
          <w:highlight w:val="none"/>
        </w:rPr>
        <w:t>（6）提供具有履行合同所必需的设备和专业技术能力的证明资料或承诺书；</w:t>
      </w:r>
      <w:r>
        <w:rPr>
          <w:rFonts w:hint="eastAsia" w:ascii="宋体" w:hAnsi="宋体" w:eastAsia="宋体" w:cs="宋体"/>
          <w:sz w:val="22"/>
          <w:szCs w:val="22"/>
          <w:highlight w:val="none"/>
        </w:rPr>
        <w:br w:type="textWrapping"/>
      </w:r>
      <w:r>
        <w:rPr>
          <w:rFonts w:hint="eastAsia" w:ascii="宋体" w:hAnsi="宋体" w:cs="宋体"/>
          <w:sz w:val="22"/>
          <w:szCs w:val="22"/>
          <w:highlight w:val="none"/>
          <w:lang w:val="en-US" w:eastAsia="zh-CN"/>
        </w:rPr>
        <w:t xml:space="preserve">    </w:t>
      </w:r>
      <w:r>
        <w:rPr>
          <w:rFonts w:hint="eastAsia" w:ascii="宋体" w:hAnsi="宋体" w:eastAsia="宋体" w:cs="宋体"/>
          <w:sz w:val="22"/>
          <w:szCs w:val="22"/>
          <w:highlight w:val="none"/>
        </w:rPr>
        <w:t>（7）对列入“信用中国”网站(www.creditchina.gov.cn)“记录失信被执行人、重大税收违法案件当事人名单、企业经营异常名录”记录名单；中国政府采购网(www.ccgp.gov.cn)“政府采购严重违法失信行为信息记录”的单位，应当拒绝参与政府采购活动（处罚期限届满的除外，如相关失信记录已失效，投标人需提供相关证明资料，附投标截止日前的查询结果但以投标截止日当天查询结果为准）。提供“信用中国”网站(www.creditchina.gov.cn)、中国政府采购网(www.ccgp.gov.cn)等网页截图加盖投标人公章（鲜章）为准；</w:t>
      </w:r>
      <w:r>
        <w:rPr>
          <w:rFonts w:hint="eastAsia" w:ascii="宋体" w:hAnsi="宋体" w:eastAsia="宋体" w:cs="宋体"/>
          <w:sz w:val="22"/>
          <w:szCs w:val="22"/>
          <w:highlight w:val="none"/>
        </w:rPr>
        <w:br w:type="textWrapping"/>
      </w:r>
      <w:r>
        <w:rPr>
          <w:rFonts w:hint="eastAsia" w:ascii="宋体" w:hAnsi="宋体" w:cs="宋体"/>
          <w:sz w:val="22"/>
          <w:szCs w:val="22"/>
          <w:highlight w:val="none"/>
          <w:lang w:val="en-US" w:eastAsia="zh-CN"/>
        </w:rPr>
        <w:t xml:space="preserve">   </w:t>
      </w:r>
      <w:r>
        <w:rPr>
          <w:rFonts w:hint="eastAsia" w:ascii="宋体" w:hAnsi="宋体" w:eastAsia="宋体" w:cs="宋体"/>
          <w:sz w:val="22"/>
          <w:szCs w:val="22"/>
          <w:highlight w:val="none"/>
        </w:rPr>
        <w:t>（8）本项目采用信用承诺书代替投标保证金，提供信用中国陕西榆林承诺网页截图（截图须体现合同包名称）；</w:t>
      </w:r>
      <w:r>
        <w:rPr>
          <w:rFonts w:hint="eastAsia" w:ascii="宋体" w:hAnsi="宋体" w:eastAsia="宋体" w:cs="宋体"/>
          <w:sz w:val="22"/>
          <w:szCs w:val="22"/>
          <w:highlight w:val="none"/>
        </w:rPr>
        <w:br w:type="textWrapping"/>
      </w:r>
      <w:r>
        <w:rPr>
          <w:rFonts w:hint="eastAsia" w:ascii="宋体" w:hAnsi="宋体" w:cs="宋体"/>
          <w:sz w:val="22"/>
          <w:szCs w:val="22"/>
          <w:highlight w:val="none"/>
          <w:lang w:val="en-US" w:eastAsia="zh-CN"/>
        </w:rPr>
        <w:t xml:space="preserve">   </w:t>
      </w:r>
      <w:r>
        <w:rPr>
          <w:rFonts w:hint="eastAsia" w:ascii="宋体" w:hAnsi="宋体" w:eastAsia="宋体" w:cs="宋体"/>
          <w:sz w:val="22"/>
          <w:szCs w:val="22"/>
          <w:highlight w:val="none"/>
        </w:rPr>
        <w:t>（9）提供《榆林市政府采购服务类项目供应商信用承诺书》；</w:t>
      </w:r>
      <w:r>
        <w:rPr>
          <w:rFonts w:hint="eastAsia" w:ascii="宋体" w:hAnsi="宋体" w:eastAsia="宋体" w:cs="宋体"/>
          <w:sz w:val="22"/>
          <w:szCs w:val="22"/>
          <w:highlight w:val="none"/>
        </w:rPr>
        <w:br w:type="textWrapping"/>
      </w:r>
      <w:r>
        <w:rPr>
          <w:rFonts w:hint="eastAsia" w:ascii="宋体" w:hAnsi="宋体" w:cs="宋体"/>
          <w:sz w:val="22"/>
          <w:szCs w:val="22"/>
          <w:highlight w:val="none"/>
          <w:lang w:val="en-US" w:eastAsia="zh-CN"/>
        </w:rPr>
        <w:t xml:space="preserve">   </w:t>
      </w:r>
      <w:r>
        <w:rPr>
          <w:rFonts w:hint="eastAsia" w:ascii="宋体" w:hAnsi="宋体" w:eastAsia="宋体" w:cs="宋体"/>
          <w:sz w:val="22"/>
          <w:szCs w:val="22"/>
          <w:highlight w:val="none"/>
        </w:rPr>
        <w:t>（10）本项目专门面向中小企业采购，投标人须填写《中小企业声明函》；</w:t>
      </w:r>
      <w:r>
        <w:rPr>
          <w:rFonts w:hint="eastAsia" w:ascii="宋体" w:hAnsi="宋体" w:eastAsia="宋体" w:cs="宋体"/>
          <w:sz w:val="22"/>
          <w:szCs w:val="22"/>
          <w:highlight w:val="none"/>
        </w:rPr>
        <w:br w:type="textWrapping"/>
      </w:r>
      <w:r>
        <w:rPr>
          <w:rFonts w:hint="eastAsia" w:ascii="宋体" w:hAnsi="宋体" w:cs="宋体"/>
          <w:sz w:val="22"/>
          <w:szCs w:val="22"/>
          <w:highlight w:val="none"/>
          <w:lang w:val="en-US" w:eastAsia="zh-CN"/>
        </w:rPr>
        <w:t xml:space="preserve">   </w:t>
      </w:r>
      <w:r>
        <w:rPr>
          <w:rFonts w:hint="eastAsia" w:ascii="宋体" w:hAnsi="宋体" w:eastAsia="宋体" w:cs="宋体"/>
          <w:sz w:val="22"/>
          <w:szCs w:val="22"/>
          <w:highlight w:val="none"/>
        </w:rPr>
        <w:t>（11）本项目不接受联合体投标，单位负责人为同一人或者存在直接控股、管理关系的不同投标人，不得参加同一合同项下的政府采购活动。</w:t>
      </w:r>
      <w:r>
        <w:rPr>
          <w:rFonts w:hint="eastAsia" w:ascii="宋体" w:hAnsi="宋体" w:eastAsia="宋体" w:cs="宋体"/>
          <w:sz w:val="22"/>
          <w:szCs w:val="22"/>
          <w:highlight w:val="none"/>
          <w:lang w:eastAsia="zh-CN"/>
        </w:rPr>
        <w:t>（提供书面声明材料）</w:t>
      </w:r>
    </w:p>
    <w:p w14:paraId="1F29AA67">
      <w:pPr>
        <w:spacing w:line="360" w:lineRule="auto"/>
        <w:rPr>
          <w:rFonts w:hint="eastAsia"/>
          <w:color w:val="auto"/>
          <w:sz w:val="22"/>
          <w:szCs w:val="22"/>
          <w:highlight w:val="none"/>
        </w:rPr>
      </w:pPr>
      <w:r>
        <w:rPr>
          <w:rFonts w:hint="eastAsia" w:ascii="宋体" w:hAnsi="宋体" w:cs="宋体"/>
          <w:sz w:val="22"/>
          <w:szCs w:val="22"/>
          <w:highlight w:val="none"/>
          <w:lang w:val="en-US" w:eastAsia="zh-CN"/>
        </w:rPr>
        <w:t xml:space="preserve"> </w:t>
      </w:r>
      <w:r>
        <w:rPr>
          <w:rFonts w:hint="eastAsia" w:ascii="宋体" w:hAnsi="宋体" w:eastAsia="宋体" w:cs="宋体"/>
          <w:sz w:val="22"/>
          <w:szCs w:val="22"/>
          <w:highlight w:val="none"/>
        </w:rPr>
        <w:t>注：上述资格证明材料为必备材料或条件，缺少一项或某项达不到招标文件要求的按无效投标文件处理，各投标人在投标文件中应附完整的资格证明材料。</w:t>
      </w:r>
    </w:p>
    <w:p w14:paraId="3ACB73D3">
      <w:pPr>
        <w:pStyle w:val="10"/>
        <w:spacing w:after="0" w:line="36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 xml:space="preserve"> 2.1.1.2 根据《陕西省财政厅关于政府采购供应商注册登记有关事项的通知》的要求，参加本项目投标且符合《政府采购法》第二十二条规定的合格供应商须通过陕西省政府采购网（http://www.ccgp-shaanxi.gov.cn/）注册登记加入陕西省政府采购供应商库，以便中标后能顺利录入中标单位信息，若未办理入库手续，造成不能发布中标公告，责任自负；</w:t>
      </w:r>
    </w:p>
    <w:p w14:paraId="29B6D2A8">
      <w:pPr>
        <w:pStyle w:val="10"/>
        <w:spacing w:after="0"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2.1.2 投标人必须在全国公共资源交易中心平台（陕西省.</w:t>
      </w:r>
      <w:r>
        <w:rPr>
          <w:rFonts w:hint="eastAsia" w:ascii="宋体" w:hAnsi="宋体" w:cs="宋体"/>
          <w:color w:val="auto"/>
          <w:sz w:val="22"/>
          <w:szCs w:val="22"/>
          <w:highlight w:val="none"/>
          <w:lang w:eastAsia="zh-CN"/>
        </w:rPr>
        <w:t>榆林</w:t>
      </w:r>
      <w:r>
        <w:rPr>
          <w:rFonts w:hint="eastAsia" w:ascii="宋体" w:hAnsi="宋体" w:eastAsia="宋体" w:cs="宋体"/>
          <w:color w:val="auto"/>
          <w:sz w:val="22"/>
          <w:szCs w:val="22"/>
          <w:highlight w:val="none"/>
        </w:rPr>
        <w:t>市）投标</w:t>
      </w:r>
      <w:r>
        <w:rPr>
          <w:rFonts w:hint="eastAsia" w:ascii="宋体" w:hAnsi="宋体" w:cs="宋体"/>
          <w:color w:val="auto"/>
          <w:sz w:val="22"/>
          <w:szCs w:val="22"/>
          <w:highlight w:val="none"/>
          <w:lang w:val="en-US" w:eastAsia="zh-CN"/>
        </w:rPr>
        <w:t>报名并</w:t>
      </w:r>
      <w:r>
        <w:rPr>
          <w:rFonts w:hint="eastAsia" w:ascii="宋体" w:hAnsi="宋体" w:eastAsia="宋体" w:cs="宋体"/>
          <w:color w:val="auto"/>
          <w:sz w:val="22"/>
          <w:szCs w:val="22"/>
          <w:highlight w:val="none"/>
        </w:rPr>
        <w:t>下载招标文件，未从正规渠道购买招标文件的潜在投标人均无资格参加投标。</w:t>
      </w:r>
    </w:p>
    <w:p w14:paraId="35F1B7DA">
      <w:pPr>
        <w:spacing w:line="360" w:lineRule="auto"/>
        <w:ind w:firstLine="442" w:firstLineChars="200"/>
        <w:outlineLvl w:val="2"/>
        <w:rPr>
          <w:rFonts w:hint="eastAsia" w:ascii="宋体" w:hAnsi="宋体" w:cs="宋体"/>
          <w:b/>
          <w:bCs/>
          <w:color w:val="auto"/>
          <w:sz w:val="22"/>
          <w:szCs w:val="22"/>
          <w:highlight w:val="none"/>
        </w:rPr>
      </w:pPr>
      <w:bookmarkStart w:id="31" w:name="_Toc20684"/>
      <w:bookmarkStart w:id="32" w:name="_Toc154482466"/>
      <w:bookmarkStart w:id="33" w:name="_Toc167591030"/>
      <w:bookmarkStart w:id="34" w:name="_Toc245657540"/>
      <w:bookmarkStart w:id="35" w:name="_Toc167591479"/>
      <w:bookmarkStart w:id="36" w:name="_Toc208337151"/>
      <w:bookmarkStart w:id="37" w:name="_Toc245176652"/>
      <w:bookmarkStart w:id="38" w:name="_Toc169846860"/>
      <w:bookmarkStart w:id="39" w:name="_Toc175032424"/>
      <w:bookmarkStart w:id="40" w:name="_Toc167591131"/>
      <w:bookmarkStart w:id="41" w:name="_Toc169846763"/>
      <w:bookmarkStart w:id="42" w:name="_Toc173549965"/>
      <w:bookmarkStart w:id="43" w:name="_Toc169838519"/>
      <w:bookmarkStart w:id="44" w:name="_Toc245658521"/>
      <w:bookmarkStart w:id="45" w:name="_Toc244623578"/>
      <w:bookmarkStart w:id="46" w:name="_Toc207897903"/>
      <w:bookmarkStart w:id="47" w:name="_Toc167590762"/>
      <w:bookmarkStart w:id="48" w:name="_Toc167849347"/>
      <w:bookmarkStart w:id="49" w:name="_Toc167591317"/>
      <w:bookmarkStart w:id="50" w:name="_Toc170980441"/>
      <w:bookmarkStart w:id="51" w:name="_Toc170980539"/>
      <w:bookmarkStart w:id="52" w:name="_Toc175033579"/>
      <w:r>
        <w:rPr>
          <w:rFonts w:hint="eastAsia" w:ascii="宋体" w:hAnsi="宋体" w:cs="宋体"/>
          <w:b/>
          <w:bCs/>
          <w:color w:val="auto"/>
          <w:sz w:val="22"/>
          <w:szCs w:val="22"/>
          <w:highlight w:val="none"/>
        </w:rPr>
        <w:t>2.2 合格的服务</w:t>
      </w:r>
      <w:bookmarkEnd w:id="31"/>
    </w:p>
    <w:p w14:paraId="6A3308D0">
      <w:pPr>
        <w:spacing w:line="360" w:lineRule="auto"/>
        <w:ind w:firstLine="431" w:firstLineChars="196"/>
        <w:rPr>
          <w:rFonts w:hint="eastAsia" w:ascii="宋体" w:hAnsi="宋体" w:cs="宋体"/>
          <w:color w:val="auto"/>
          <w:sz w:val="22"/>
          <w:szCs w:val="22"/>
          <w:highlight w:val="none"/>
        </w:rPr>
      </w:pPr>
      <w:r>
        <w:rPr>
          <w:rFonts w:hint="eastAsia" w:ascii="宋体" w:hAnsi="宋体" w:cs="宋体"/>
          <w:color w:val="auto"/>
          <w:sz w:val="22"/>
          <w:szCs w:val="22"/>
          <w:highlight w:val="none"/>
        </w:rPr>
        <w:t>2.2.1 本次投标有关服务，均应来自上述2.1条款所规定的合格投标人。</w:t>
      </w:r>
    </w:p>
    <w:p w14:paraId="60087CEF">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2.2.2 服务系指招标文件规定的，必须是合法生产、合法来源，符合国家有关标准要求，并满足招标文件规定的规格、参数、质量、价格、有效期、售后服务及供应商须承担的运输、安装、技术支持、培训和招标文件规定的其它伴随服务等要求。采购人有权拒绝接受任何不合格的货物和服务，由此产生的费用及相关后果均由供应商自行承担。</w:t>
      </w:r>
    </w:p>
    <w:p w14:paraId="2CE71ACB">
      <w:pPr>
        <w:spacing w:line="360" w:lineRule="auto"/>
        <w:ind w:firstLine="442" w:firstLineChars="200"/>
        <w:outlineLvl w:val="1"/>
        <w:rPr>
          <w:rFonts w:hint="eastAsia" w:ascii="宋体" w:hAnsi="宋体" w:eastAsia="宋体" w:cs="宋体"/>
          <w:color w:val="auto"/>
          <w:sz w:val="22"/>
          <w:szCs w:val="22"/>
          <w:highlight w:val="none"/>
        </w:rPr>
      </w:pPr>
      <w:bookmarkStart w:id="53" w:name="_Toc12040"/>
      <w:r>
        <w:rPr>
          <w:rFonts w:hint="eastAsia" w:ascii="宋体" w:hAnsi="宋体" w:eastAsia="宋体" w:cs="宋体"/>
          <w:b/>
          <w:color w:val="auto"/>
          <w:sz w:val="22"/>
          <w:szCs w:val="22"/>
          <w:highlight w:val="none"/>
        </w:rPr>
        <w:t>3．投标费用</w:t>
      </w:r>
      <w:bookmarkEnd w:id="53"/>
    </w:p>
    <w:p w14:paraId="3AC182E8">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投标人应承担所有与准备和参加投标有关的费用。</w:t>
      </w:r>
    </w:p>
    <w:p w14:paraId="1CBE44DB">
      <w:pPr>
        <w:jc w:val="center"/>
        <w:outlineLvl w:val="9"/>
        <w:rPr>
          <w:rFonts w:hint="eastAsia" w:ascii="宋体" w:hAnsi="宋体" w:eastAsia="宋体" w:cs="宋体"/>
          <w:b/>
          <w:color w:val="auto"/>
          <w:sz w:val="22"/>
          <w:szCs w:val="22"/>
          <w:highlight w:val="none"/>
        </w:rPr>
      </w:pPr>
    </w:p>
    <w:p w14:paraId="1A3E8AD4">
      <w:pPr>
        <w:jc w:val="center"/>
        <w:outlineLvl w:val="0"/>
        <w:rPr>
          <w:rFonts w:hint="eastAsia" w:ascii="宋体" w:hAnsi="宋体" w:eastAsia="宋体" w:cs="宋体"/>
          <w:b/>
          <w:color w:val="auto"/>
          <w:sz w:val="30"/>
          <w:szCs w:val="30"/>
          <w:highlight w:val="none"/>
        </w:rPr>
      </w:pPr>
      <w:bookmarkStart w:id="54" w:name="_Toc22553"/>
      <w:r>
        <w:rPr>
          <w:rFonts w:hint="eastAsia" w:ascii="宋体" w:hAnsi="宋体" w:eastAsia="宋体" w:cs="宋体"/>
          <w:b/>
          <w:color w:val="auto"/>
          <w:sz w:val="30"/>
          <w:szCs w:val="30"/>
          <w:highlight w:val="none"/>
        </w:rPr>
        <w:t>二、招标文件</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4"/>
    </w:p>
    <w:p w14:paraId="0BD2381C">
      <w:pPr>
        <w:spacing w:line="440" w:lineRule="exact"/>
        <w:ind w:firstLine="482" w:firstLineChars="0"/>
        <w:outlineLvl w:val="1"/>
        <w:rPr>
          <w:rFonts w:hint="eastAsia" w:ascii="宋体" w:hAnsi="宋体" w:eastAsia="宋体" w:cs="宋体"/>
          <w:b/>
          <w:color w:val="auto"/>
          <w:kern w:val="1"/>
          <w:sz w:val="22"/>
          <w:szCs w:val="22"/>
          <w:highlight w:val="none"/>
        </w:rPr>
      </w:pPr>
      <w:bookmarkStart w:id="55" w:name="_Toc4614"/>
      <w:bookmarkStart w:id="56" w:name="_Toc167591318"/>
      <w:bookmarkStart w:id="57" w:name="_Toc208337152"/>
      <w:bookmarkStart w:id="58" w:name="_Toc245658522"/>
      <w:bookmarkStart w:id="59" w:name="_Toc173549966"/>
      <w:bookmarkStart w:id="60" w:name="_Toc175033580"/>
      <w:bookmarkStart w:id="61" w:name="_Toc167591480"/>
      <w:bookmarkStart w:id="62" w:name="_Toc169846861"/>
      <w:bookmarkStart w:id="63" w:name="_Toc167591031"/>
      <w:bookmarkStart w:id="64" w:name="_Toc167591132"/>
      <w:bookmarkStart w:id="65" w:name="_Toc169846764"/>
      <w:bookmarkStart w:id="66" w:name="_Toc245657541"/>
      <w:bookmarkStart w:id="67" w:name="_Toc170980442"/>
      <w:bookmarkStart w:id="68" w:name="_Toc169838520"/>
      <w:bookmarkStart w:id="69" w:name="_Toc167590763"/>
      <w:bookmarkStart w:id="70" w:name="_Toc244623579"/>
      <w:bookmarkStart w:id="71" w:name="_Toc245176653"/>
      <w:bookmarkStart w:id="72" w:name="_Toc154482467"/>
      <w:bookmarkStart w:id="73" w:name="_Toc175032425"/>
      <w:bookmarkStart w:id="74" w:name="_Toc207897904"/>
      <w:bookmarkStart w:id="75" w:name="_Toc167849348"/>
      <w:bookmarkStart w:id="76" w:name="_Toc170980540"/>
      <w:r>
        <w:rPr>
          <w:rFonts w:hint="eastAsia" w:ascii="宋体" w:hAnsi="宋体" w:eastAsia="宋体" w:cs="宋体"/>
          <w:b/>
          <w:color w:val="auto"/>
          <w:kern w:val="1"/>
          <w:sz w:val="22"/>
          <w:szCs w:val="22"/>
          <w:highlight w:val="none"/>
        </w:rPr>
        <w:t>4．招标文件构成</w:t>
      </w:r>
      <w:bookmarkEnd w:id="55"/>
    </w:p>
    <w:p w14:paraId="051E2502">
      <w:pPr>
        <w:spacing w:line="440" w:lineRule="exact"/>
        <w:ind w:firstLine="470"/>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招标文件包括下列内容：</w:t>
      </w:r>
    </w:p>
    <w:p w14:paraId="5426402B">
      <w:pPr>
        <w:numPr>
          <w:ilvl w:val="0"/>
          <w:numId w:val="0"/>
        </w:numPr>
        <w:spacing w:line="440" w:lineRule="exact"/>
        <w:ind w:firstLine="440" w:firstLineChars="200"/>
        <w:rPr>
          <w:rFonts w:hint="eastAsia" w:ascii="宋体" w:hAnsi="宋体" w:eastAsia="宋体" w:cs="宋体"/>
          <w:color w:val="auto"/>
          <w:kern w:val="1"/>
          <w:sz w:val="22"/>
          <w:szCs w:val="22"/>
          <w:highlight w:val="none"/>
        </w:rPr>
      </w:pPr>
      <w:r>
        <w:rPr>
          <w:rFonts w:hint="eastAsia" w:ascii="宋体" w:hAnsi="宋体" w:cs="宋体"/>
          <w:color w:val="auto"/>
          <w:kern w:val="1"/>
          <w:sz w:val="22"/>
          <w:szCs w:val="22"/>
          <w:highlight w:val="none"/>
          <w:lang w:val="en-US" w:eastAsia="zh-CN"/>
        </w:rPr>
        <w:t xml:space="preserve">第一章  </w:t>
      </w:r>
      <w:r>
        <w:rPr>
          <w:rFonts w:hint="eastAsia" w:ascii="宋体" w:hAnsi="宋体" w:eastAsia="宋体" w:cs="宋体"/>
          <w:color w:val="auto"/>
          <w:kern w:val="1"/>
          <w:sz w:val="22"/>
          <w:szCs w:val="22"/>
          <w:highlight w:val="none"/>
        </w:rPr>
        <w:t>招标公告</w:t>
      </w:r>
    </w:p>
    <w:p w14:paraId="33F4A5DF">
      <w:pPr>
        <w:numPr>
          <w:ilvl w:val="0"/>
          <w:numId w:val="0"/>
        </w:numPr>
        <w:spacing w:line="440" w:lineRule="exact"/>
        <w:ind w:firstLine="440" w:firstLineChars="200"/>
        <w:rPr>
          <w:rFonts w:hint="eastAsia" w:ascii="宋体" w:hAnsi="宋体" w:eastAsia="宋体" w:cs="宋体"/>
          <w:color w:val="auto"/>
          <w:kern w:val="1"/>
          <w:sz w:val="22"/>
          <w:szCs w:val="22"/>
          <w:highlight w:val="none"/>
        </w:rPr>
      </w:pPr>
      <w:r>
        <w:rPr>
          <w:rFonts w:hint="eastAsia" w:ascii="宋体" w:hAnsi="宋体" w:cs="宋体"/>
          <w:color w:val="auto"/>
          <w:kern w:val="1"/>
          <w:sz w:val="22"/>
          <w:szCs w:val="22"/>
          <w:highlight w:val="none"/>
          <w:lang w:val="en-US" w:eastAsia="zh-CN"/>
        </w:rPr>
        <w:t xml:space="preserve">第二章  </w:t>
      </w:r>
      <w:r>
        <w:rPr>
          <w:rFonts w:hint="eastAsia" w:ascii="宋体" w:hAnsi="宋体" w:eastAsia="宋体" w:cs="宋体"/>
          <w:color w:val="auto"/>
          <w:kern w:val="1"/>
          <w:sz w:val="22"/>
          <w:szCs w:val="22"/>
          <w:highlight w:val="none"/>
        </w:rPr>
        <w:t>投标须知前附表</w:t>
      </w:r>
    </w:p>
    <w:p w14:paraId="4D033D5E">
      <w:pPr>
        <w:numPr>
          <w:ilvl w:val="0"/>
          <w:numId w:val="0"/>
        </w:numPr>
        <w:spacing w:line="440" w:lineRule="exact"/>
        <w:ind w:firstLine="440" w:firstLineChars="200"/>
        <w:rPr>
          <w:rFonts w:hint="eastAsia" w:ascii="宋体" w:hAnsi="宋体" w:eastAsia="宋体" w:cs="宋体"/>
          <w:color w:val="auto"/>
          <w:kern w:val="1"/>
          <w:sz w:val="22"/>
          <w:szCs w:val="22"/>
          <w:highlight w:val="none"/>
        </w:rPr>
      </w:pPr>
      <w:r>
        <w:rPr>
          <w:rFonts w:hint="eastAsia" w:ascii="宋体" w:hAnsi="宋体" w:cs="宋体"/>
          <w:color w:val="auto"/>
          <w:kern w:val="1"/>
          <w:sz w:val="22"/>
          <w:szCs w:val="22"/>
          <w:highlight w:val="none"/>
          <w:lang w:val="en-US" w:eastAsia="zh-CN"/>
        </w:rPr>
        <w:t xml:space="preserve">第三章  </w:t>
      </w:r>
      <w:r>
        <w:rPr>
          <w:rFonts w:hint="eastAsia" w:ascii="宋体" w:hAnsi="宋体" w:eastAsia="宋体" w:cs="宋体"/>
          <w:color w:val="auto"/>
          <w:kern w:val="1"/>
          <w:sz w:val="22"/>
          <w:szCs w:val="22"/>
          <w:highlight w:val="none"/>
        </w:rPr>
        <w:t>投标须知</w:t>
      </w:r>
    </w:p>
    <w:p w14:paraId="33517E74">
      <w:pPr>
        <w:numPr>
          <w:ilvl w:val="0"/>
          <w:numId w:val="0"/>
        </w:numPr>
        <w:spacing w:line="440" w:lineRule="exact"/>
        <w:ind w:firstLine="440" w:firstLineChars="200"/>
        <w:rPr>
          <w:rFonts w:hint="default" w:ascii="宋体" w:hAnsi="宋体" w:eastAsia="宋体" w:cs="宋体"/>
          <w:color w:val="auto"/>
          <w:kern w:val="1"/>
          <w:sz w:val="22"/>
          <w:szCs w:val="22"/>
          <w:highlight w:val="none"/>
          <w:lang w:val="en-US"/>
        </w:rPr>
      </w:pPr>
      <w:r>
        <w:rPr>
          <w:rFonts w:hint="eastAsia" w:ascii="宋体" w:hAnsi="宋体" w:cs="宋体"/>
          <w:color w:val="auto"/>
          <w:kern w:val="1"/>
          <w:sz w:val="22"/>
          <w:szCs w:val="22"/>
          <w:highlight w:val="none"/>
          <w:lang w:val="en-US" w:eastAsia="zh-CN"/>
        </w:rPr>
        <w:t xml:space="preserve">第四章  </w:t>
      </w:r>
      <w:r>
        <w:rPr>
          <w:rFonts w:hint="eastAsia" w:ascii="宋体" w:hAnsi="宋体" w:eastAsia="宋体" w:cs="宋体"/>
          <w:color w:val="auto"/>
          <w:kern w:val="1"/>
          <w:sz w:val="22"/>
          <w:szCs w:val="22"/>
          <w:highlight w:val="none"/>
          <w:lang w:val="en-US" w:eastAsia="zh-CN"/>
        </w:rPr>
        <w:t>采购内容及技术要</w:t>
      </w:r>
      <w:r>
        <w:rPr>
          <w:rFonts w:hint="eastAsia" w:ascii="宋体" w:hAnsi="宋体" w:cs="宋体"/>
          <w:color w:val="auto"/>
          <w:kern w:val="1"/>
          <w:sz w:val="22"/>
          <w:szCs w:val="22"/>
          <w:highlight w:val="none"/>
          <w:lang w:val="en-US" w:eastAsia="zh-CN"/>
        </w:rPr>
        <w:t>求</w:t>
      </w:r>
    </w:p>
    <w:p w14:paraId="49EEAAD2">
      <w:pPr>
        <w:numPr>
          <w:ilvl w:val="0"/>
          <w:numId w:val="0"/>
        </w:numPr>
        <w:spacing w:line="440" w:lineRule="exact"/>
        <w:ind w:firstLine="440" w:firstLineChars="200"/>
        <w:rPr>
          <w:rFonts w:hint="eastAsia" w:ascii="宋体" w:hAnsi="宋体" w:eastAsia="宋体" w:cs="宋体"/>
          <w:color w:val="auto"/>
          <w:kern w:val="1"/>
          <w:sz w:val="22"/>
          <w:szCs w:val="22"/>
          <w:highlight w:val="none"/>
        </w:rPr>
      </w:pPr>
      <w:r>
        <w:rPr>
          <w:rFonts w:hint="eastAsia" w:ascii="宋体" w:hAnsi="宋体" w:cs="宋体"/>
          <w:color w:val="auto"/>
          <w:kern w:val="1"/>
          <w:sz w:val="22"/>
          <w:szCs w:val="22"/>
          <w:highlight w:val="none"/>
          <w:lang w:val="en-US" w:eastAsia="zh-CN"/>
        </w:rPr>
        <w:t xml:space="preserve">第五章  </w:t>
      </w:r>
      <w:r>
        <w:rPr>
          <w:rFonts w:hint="eastAsia" w:ascii="宋体" w:hAnsi="宋体" w:eastAsia="宋体" w:cs="宋体"/>
          <w:color w:val="auto"/>
          <w:kern w:val="1"/>
          <w:sz w:val="22"/>
          <w:szCs w:val="22"/>
          <w:highlight w:val="none"/>
          <w:lang w:val="en-US" w:eastAsia="zh-CN"/>
        </w:rPr>
        <w:t>商务条款</w:t>
      </w:r>
    </w:p>
    <w:p w14:paraId="7A1E2F6A">
      <w:pPr>
        <w:numPr>
          <w:ilvl w:val="0"/>
          <w:numId w:val="0"/>
        </w:numPr>
        <w:spacing w:line="440" w:lineRule="exact"/>
        <w:ind w:firstLine="440" w:firstLineChars="200"/>
        <w:rPr>
          <w:rFonts w:hint="eastAsia" w:ascii="宋体" w:hAnsi="宋体" w:eastAsia="宋体" w:cs="宋体"/>
          <w:color w:val="auto"/>
          <w:kern w:val="1"/>
          <w:sz w:val="22"/>
          <w:szCs w:val="22"/>
          <w:highlight w:val="none"/>
        </w:rPr>
      </w:pPr>
      <w:r>
        <w:rPr>
          <w:rFonts w:hint="eastAsia" w:ascii="宋体" w:hAnsi="宋体" w:cs="宋体"/>
          <w:color w:val="auto"/>
          <w:kern w:val="1"/>
          <w:sz w:val="22"/>
          <w:szCs w:val="22"/>
          <w:highlight w:val="none"/>
          <w:lang w:val="en-US" w:eastAsia="zh-CN"/>
        </w:rPr>
        <w:t xml:space="preserve">第六章  </w:t>
      </w:r>
      <w:r>
        <w:rPr>
          <w:rFonts w:hint="eastAsia" w:ascii="宋体" w:hAnsi="宋体" w:eastAsia="宋体" w:cs="宋体"/>
          <w:color w:val="auto"/>
          <w:kern w:val="1"/>
          <w:sz w:val="22"/>
          <w:szCs w:val="22"/>
          <w:highlight w:val="none"/>
          <w:lang w:val="en-US" w:eastAsia="zh-CN"/>
        </w:rPr>
        <w:t>政府采购合同（参考格式）</w:t>
      </w:r>
      <w:r>
        <w:rPr>
          <w:rFonts w:hint="eastAsia" w:ascii="宋体" w:hAnsi="宋体" w:eastAsia="宋体" w:cs="宋体"/>
          <w:color w:val="auto"/>
          <w:kern w:val="1"/>
          <w:sz w:val="22"/>
          <w:szCs w:val="22"/>
          <w:highlight w:val="none"/>
        </w:rPr>
        <w:t xml:space="preserve"> </w:t>
      </w:r>
    </w:p>
    <w:p w14:paraId="30D1EC66">
      <w:pPr>
        <w:numPr>
          <w:ilvl w:val="0"/>
          <w:numId w:val="0"/>
        </w:numPr>
        <w:spacing w:line="440" w:lineRule="exact"/>
        <w:ind w:firstLine="440" w:firstLineChars="200"/>
        <w:rPr>
          <w:rFonts w:hint="eastAsia" w:ascii="宋体" w:hAnsi="宋体" w:eastAsia="宋体" w:cs="宋体"/>
          <w:color w:val="auto"/>
          <w:kern w:val="1"/>
          <w:sz w:val="22"/>
          <w:szCs w:val="22"/>
          <w:highlight w:val="none"/>
        </w:rPr>
      </w:pPr>
      <w:r>
        <w:rPr>
          <w:rFonts w:hint="eastAsia" w:ascii="宋体" w:hAnsi="宋体" w:cs="宋体"/>
          <w:color w:val="auto"/>
          <w:kern w:val="1"/>
          <w:sz w:val="22"/>
          <w:szCs w:val="22"/>
          <w:highlight w:val="none"/>
          <w:lang w:val="en-US" w:eastAsia="zh-CN"/>
        </w:rPr>
        <w:t xml:space="preserve">第七章  </w:t>
      </w:r>
      <w:r>
        <w:rPr>
          <w:rFonts w:hint="eastAsia" w:ascii="宋体" w:hAnsi="宋体" w:eastAsia="宋体" w:cs="宋体"/>
          <w:color w:val="auto"/>
          <w:kern w:val="1"/>
          <w:sz w:val="22"/>
          <w:szCs w:val="22"/>
          <w:highlight w:val="none"/>
        </w:rPr>
        <w:t>投标文件基本格式</w:t>
      </w:r>
    </w:p>
    <w:p w14:paraId="22BADC12">
      <w:pPr>
        <w:numPr>
          <w:ilvl w:val="0"/>
          <w:numId w:val="0"/>
        </w:numPr>
        <w:spacing w:line="440" w:lineRule="exact"/>
        <w:ind w:firstLine="440" w:firstLineChars="200"/>
        <w:rPr>
          <w:rFonts w:hint="eastAsia" w:ascii="宋体" w:hAnsi="宋体" w:eastAsia="宋体" w:cs="宋体"/>
          <w:color w:val="auto"/>
          <w:kern w:val="1"/>
          <w:sz w:val="22"/>
          <w:szCs w:val="22"/>
          <w:highlight w:val="none"/>
        </w:rPr>
      </w:pPr>
      <w:r>
        <w:rPr>
          <w:rFonts w:hint="eastAsia" w:ascii="宋体" w:hAnsi="宋体" w:cs="宋体"/>
          <w:color w:val="auto"/>
          <w:kern w:val="1"/>
          <w:sz w:val="22"/>
          <w:szCs w:val="22"/>
          <w:highlight w:val="none"/>
          <w:lang w:val="en-US" w:eastAsia="zh-CN"/>
        </w:rPr>
        <w:t xml:space="preserve">第八章  </w:t>
      </w:r>
      <w:r>
        <w:rPr>
          <w:rFonts w:hint="eastAsia" w:ascii="宋体" w:hAnsi="宋体" w:eastAsia="宋体" w:cs="宋体"/>
          <w:color w:val="auto"/>
          <w:kern w:val="1"/>
          <w:sz w:val="22"/>
          <w:szCs w:val="22"/>
          <w:highlight w:val="none"/>
          <w:lang w:val="en-US" w:eastAsia="zh-CN"/>
        </w:rPr>
        <w:t>榆林市公共资源交易平台全流程电子化政府采购项目内容</w:t>
      </w:r>
    </w:p>
    <w:p w14:paraId="61AF5B6E">
      <w:pPr>
        <w:spacing w:line="440" w:lineRule="exact"/>
        <w:ind w:firstLine="482" w:firstLineChars="0"/>
        <w:outlineLvl w:val="1"/>
        <w:rPr>
          <w:rFonts w:hint="eastAsia" w:ascii="宋体" w:hAnsi="宋体" w:eastAsia="宋体" w:cs="宋体"/>
          <w:b/>
          <w:color w:val="auto"/>
          <w:kern w:val="1"/>
          <w:sz w:val="22"/>
          <w:szCs w:val="22"/>
          <w:highlight w:val="none"/>
        </w:rPr>
      </w:pPr>
      <w:bookmarkStart w:id="77" w:name="_Toc912"/>
      <w:r>
        <w:rPr>
          <w:rFonts w:hint="eastAsia" w:ascii="宋体" w:hAnsi="宋体" w:eastAsia="宋体" w:cs="宋体"/>
          <w:b/>
          <w:color w:val="auto"/>
          <w:kern w:val="1"/>
          <w:sz w:val="22"/>
          <w:szCs w:val="22"/>
          <w:highlight w:val="none"/>
        </w:rPr>
        <w:t>5．招标文件的澄清和修改</w:t>
      </w:r>
      <w:bookmarkEnd w:id="77"/>
    </w:p>
    <w:p w14:paraId="79340FDD">
      <w:pPr>
        <w:spacing w:line="440" w:lineRule="exact"/>
        <w:ind w:firstLine="480"/>
        <w:rPr>
          <w:rFonts w:hint="eastAsia" w:ascii="宋体" w:hAnsi="宋体" w:eastAsia="宋体" w:cs="宋体"/>
          <w:color w:val="auto"/>
          <w:sz w:val="22"/>
          <w:szCs w:val="22"/>
          <w:highlight w:val="none"/>
        </w:rPr>
      </w:pPr>
      <w:r>
        <w:rPr>
          <w:rFonts w:hint="eastAsia" w:ascii="宋体" w:hAnsi="宋体" w:eastAsia="宋体" w:cs="宋体"/>
          <w:color w:val="auto"/>
          <w:kern w:val="1"/>
          <w:sz w:val="22"/>
          <w:szCs w:val="22"/>
          <w:highlight w:val="none"/>
        </w:rPr>
        <w:t xml:space="preserve">5.1 </w:t>
      </w:r>
      <w:r>
        <w:rPr>
          <w:rFonts w:hint="eastAsia" w:ascii="宋体" w:hAnsi="宋体" w:eastAsia="宋体" w:cs="宋体"/>
          <w:color w:val="auto"/>
          <w:sz w:val="22"/>
          <w:szCs w:val="22"/>
          <w:highlight w:val="none"/>
          <w:lang w:eastAsia="zh-CN"/>
        </w:rPr>
        <w:t>采购代理机构</w:t>
      </w:r>
      <w:r>
        <w:rPr>
          <w:rFonts w:hint="eastAsia" w:ascii="宋体" w:hAnsi="宋体" w:eastAsia="宋体" w:cs="宋体"/>
          <w:color w:val="auto"/>
          <w:sz w:val="22"/>
          <w:szCs w:val="22"/>
          <w:highlight w:val="none"/>
        </w:rPr>
        <w:t>可以对已发出的</w:t>
      </w:r>
      <w:r>
        <w:rPr>
          <w:rFonts w:hint="eastAsia" w:ascii="宋体" w:hAnsi="宋体" w:eastAsia="宋体" w:cs="宋体"/>
          <w:color w:val="auto"/>
          <w:sz w:val="22"/>
          <w:szCs w:val="22"/>
          <w:highlight w:val="none"/>
          <w:lang w:eastAsia="zh-CN"/>
        </w:rPr>
        <w:t>招标文件</w:t>
      </w:r>
      <w:r>
        <w:rPr>
          <w:rFonts w:hint="eastAsia" w:ascii="宋体" w:hAnsi="宋体" w:eastAsia="宋体" w:cs="宋体"/>
          <w:color w:val="auto"/>
          <w:sz w:val="22"/>
          <w:szCs w:val="22"/>
          <w:highlight w:val="none"/>
        </w:rPr>
        <w:t>进行必要的澄清或者修改，</w:t>
      </w:r>
      <w:r>
        <w:rPr>
          <w:rFonts w:hint="eastAsia" w:ascii="宋体" w:hAnsi="宋体" w:eastAsia="宋体" w:cs="宋体"/>
          <w:b/>
          <w:color w:val="auto"/>
          <w:sz w:val="22"/>
          <w:szCs w:val="22"/>
          <w:highlight w:val="none"/>
        </w:rPr>
        <w:t>但不得改变采购标的和资格条件。</w:t>
      </w:r>
      <w:r>
        <w:rPr>
          <w:rFonts w:hint="eastAsia" w:ascii="宋体" w:hAnsi="宋体" w:eastAsia="宋体" w:cs="宋体"/>
          <w:color w:val="auto"/>
          <w:sz w:val="22"/>
          <w:szCs w:val="22"/>
          <w:highlight w:val="none"/>
        </w:rPr>
        <w:t>澄清或者修改应将在原公告发布媒体上发布澄清公告，其内容为</w:t>
      </w:r>
      <w:r>
        <w:rPr>
          <w:rFonts w:hint="eastAsia" w:ascii="宋体" w:hAnsi="宋体" w:eastAsia="宋体" w:cs="宋体"/>
          <w:color w:val="auto"/>
          <w:sz w:val="22"/>
          <w:szCs w:val="22"/>
          <w:highlight w:val="none"/>
          <w:lang w:eastAsia="zh-CN"/>
        </w:rPr>
        <w:t>招标文件</w:t>
      </w:r>
      <w:r>
        <w:rPr>
          <w:rFonts w:hint="eastAsia" w:ascii="宋体" w:hAnsi="宋体" w:eastAsia="宋体" w:cs="宋体"/>
          <w:color w:val="auto"/>
          <w:sz w:val="22"/>
          <w:szCs w:val="22"/>
          <w:highlight w:val="none"/>
        </w:rPr>
        <w:t>的组成部分。</w:t>
      </w:r>
    </w:p>
    <w:p w14:paraId="3B389C61">
      <w:pPr>
        <w:spacing w:line="440" w:lineRule="exact"/>
        <w:ind w:firstLine="480"/>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5.2 澄清或者修改的内容可能影响</w:t>
      </w:r>
      <w:r>
        <w:rPr>
          <w:rFonts w:hint="eastAsia" w:ascii="宋体" w:hAnsi="宋体" w:eastAsia="宋体" w:cs="宋体"/>
          <w:color w:val="auto"/>
          <w:kern w:val="1"/>
          <w:sz w:val="22"/>
          <w:szCs w:val="22"/>
          <w:highlight w:val="none"/>
          <w:lang w:eastAsia="zh-CN"/>
        </w:rPr>
        <w:t>投标文件</w:t>
      </w:r>
      <w:r>
        <w:rPr>
          <w:rFonts w:hint="eastAsia" w:ascii="宋体" w:hAnsi="宋体" w:eastAsia="宋体" w:cs="宋体"/>
          <w:color w:val="auto"/>
          <w:kern w:val="1"/>
          <w:sz w:val="22"/>
          <w:szCs w:val="22"/>
          <w:highlight w:val="none"/>
        </w:rPr>
        <w:t>编制的，</w:t>
      </w:r>
      <w:r>
        <w:rPr>
          <w:rFonts w:hint="eastAsia" w:ascii="宋体" w:hAnsi="宋体" w:eastAsia="宋体" w:cs="宋体"/>
          <w:color w:val="auto"/>
          <w:kern w:val="1"/>
          <w:sz w:val="22"/>
          <w:szCs w:val="22"/>
          <w:highlight w:val="none"/>
          <w:lang w:eastAsia="zh-CN"/>
        </w:rPr>
        <w:t>采购代理机构</w:t>
      </w:r>
      <w:r>
        <w:rPr>
          <w:rFonts w:hint="eastAsia" w:ascii="宋体" w:hAnsi="宋体" w:eastAsia="宋体" w:cs="宋体"/>
          <w:color w:val="auto"/>
          <w:kern w:val="1"/>
          <w:sz w:val="22"/>
          <w:szCs w:val="22"/>
          <w:highlight w:val="none"/>
        </w:rPr>
        <w:t>将在投标截止时间至少</w:t>
      </w:r>
      <w:r>
        <w:rPr>
          <w:rFonts w:hint="eastAsia" w:ascii="宋体" w:hAnsi="宋体" w:eastAsia="宋体" w:cs="宋体"/>
          <w:color w:val="auto"/>
          <w:kern w:val="1"/>
          <w:sz w:val="22"/>
          <w:szCs w:val="22"/>
          <w:highlight w:val="none"/>
          <w:lang w:val="en-US" w:eastAsia="zh-CN"/>
        </w:rPr>
        <w:t>15</w:t>
      </w:r>
      <w:r>
        <w:rPr>
          <w:rFonts w:hint="eastAsia" w:ascii="宋体" w:hAnsi="宋体" w:eastAsia="宋体" w:cs="宋体"/>
          <w:color w:val="auto"/>
          <w:kern w:val="1"/>
          <w:sz w:val="22"/>
          <w:szCs w:val="22"/>
          <w:highlight w:val="none"/>
        </w:rPr>
        <w:t>个工作日前，在原公告发布媒体上发布更正公告；不足</w:t>
      </w:r>
      <w:r>
        <w:rPr>
          <w:rFonts w:hint="eastAsia" w:ascii="宋体" w:hAnsi="宋体" w:eastAsia="宋体" w:cs="宋体"/>
          <w:color w:val="auto"/>
          <w:kern w:val="1"/>
          <w:sz w:val="22"/>
          <w:szCs w:val="22"/>
          <w:highlight w:val="none"/>
          <w:lang w:val="en-US" w:eastAsia="zh-CN"/>
        </w:rPr>
        <w:t>15</w:t>
      </w:r>
      <w:r>
        <w:rPr>
          <w:rFonts w:hint="eastAsia" w:ascii="宋体" w:hAnsi="宋体" w:eastAsia="宋体" w:cs="宋体"/>
          <w:color w:val="auto"/>
          <w:kern w:val="1"/>
          <w:sz w:val="22"/>
          <w:szCs w:val="22"/>
          <w:highlight w:val="none"/>
        </w:rPr>
        <w:t>个工作日，</w:t>
      </w:r>
      <w:r>
        <w:rPr>
          <w:rFonts w:hint="eastAsia" w:ascii="宋体" w:hAnsi="宋体" w:eastAsia="宋体" w:cs="宋体"/>
          <w:color w:val="auto"/>
          <w:kern w:val="1"/>
          <w:sz w:val="22"/>
          <w:szCs w:val="22"/>
          <w:highlight w:val="none"/>
          <w:lang w:eastAsia="zh-CN"/>
        </w:rPr>
        <w:t>采购代理机构</w:t>
      </w:r>
      <w:r>
        <w:rPr>
          <w:rFonts w:hint="eastAsia" w:ascii="宋体" w:hAnsi="宋体" w:eastAsia="宋体" w:cs="宋体"/>
          <w:color w:val="auto"/>
          <w:kern w:val="1"/>
          <w:sz w:val="22"/>
          <w:szCs w:val="22"/>
          <w:highlight w:val="none"/>
        </w:rPr>
        <w:t>将顺延提交</w:t>
      </w:r>
      <w:r>
        <w:rPr>
          <w:rFonts w:hint="eastAsia" w:ascii="宋体" w:hAnsi="宋体" w:eastAsia="宋体" w:cs="宋体"/>
          <w:color w:val="auto"/>
          <w:kern w:val="1"/>
          <w:sz w:val="22"/>
          <w:szCs w:val="22"/>
          <w:highlight w:val="none"/>
          <w:lang w:eastAsia="zh-CN"/>
        </w:rPr>
        <w:t>投标文件</w:t>
      </w:r>
      <w:r>
        <w:rPr>
          <w:rFonts w:hint="eastAsia" w:ascii="宋体" w:hAnsi="宋体" w:eastAsia="宋体" w:cs="宋体"/>
          <w:color w:val="auto"/>
          <w:kern w:val="1"/>
          <w:sz w:val="22"/>
          <w:szCs w:val="22"/>
          <w:highlight w:val="none"/>
        </w:rPr>
        <w:t>的截止时间。</w:t>
      </w:r>
    </w:p>
    <w:p w14:paraId="61B4011C">
      <w:pPr>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kern w:val="1"/>
          <w:sz w:val="22"/>
          <w:szCs w:val="22"/>
          <w:highlight w:val="none"/>
        </w:rPr>
        <w:t xml:space="preserve">5.3 </w:t>
      </w:r>
      <w:r>
        <w:rPr>
          <w:rFonts w:hint="eastAsia" w:ascii="宋体" w:hAnsi="宋体" w:eastAsia="宋体" w:cs="宋体"/>
          <w:color w:val="auto"/>
          <w:sz w:val="22"/>
          <w:szCs w:val="22"/>
          <w:highlight w:val="none"/>
        </w:rPr>
        <w:t>各</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在提交</w:t>
      </w:r>
      <w:r>
        <w:rPr>
          <w:rFonts w:hint="eastAsia" w:ascii="宋体" w:hAnsi="宋体" w:eastAsia="宋体" w:cs="宋体"/>
          <w:color w:val="auto"/>
          <w:sz w:val="22"/>
          <w:szCs w:val="22"/>
          <w:highlight w:val="none"/>
          <w:lang w:eastAsia="zh-CN"/>
        </w:rPr>
        <w:t>投标文件</w:t>
      </w:r>
      <w:r>
        <w:rPr>
          <w:rFonts w:hint="eastAsia" w:ascii="宋体" w:hAnsi="宋体" w:eastAsia="宋体" w:cs="宋体"/>
          <w:color w:val="auto"/>
          <w:sz w:val="22"/>
          <w:szCs w:val="22"/>
          <w:highlight w:val="none"/>
        </w:rPr>
        <w:t>截止时间之前，应随时关注下列地址发布的变更公告，也可登录全国公共资源交易平台（陕西省）政府采购交易系统查看左上角的信息提醒，</w:t>
      </w:r>
      <w:r>
        <w:rPr>
          <w:rFonts w:hint="eastAsia" w:ascii="宋体" w:hAnsi="宋体" w:eastAsia="宋体" w:cs="宋体"/>
          <w:color w:val="auto"/>
          <w:sz w:val="22"/>
          <w:szCs w:val="22"/>
          <w:highlight w:val="none"/>
          <w:lang w:eastAsia="zh-CN"/>
        </w:rPr>
        <w:t>采购代理机构</w:t>
      </w:r>
      <w:r>
        <w:rPr>
          <w:rFonts w:hint="eastAsia" w:ascii="宋体" w:hAnsi="宋体" w:eastAsia="宋体" w:cs="宋体"/>
          <w:b/>
          <w:color w:val="auto"/>
          <w:sz w:val="22"/>
          <w:szCs w:val="22"/>
          <w:highlight w:val="none"/>
        </w:rPr>
        <w:t>不再单独通知，因</w:t>
      </w:r>
      <w:r>
        <w:rPr>
          <w:rFonts w:hint="eastAsia" w:ascii="宋体" w:hAnsi="宋体" w:eastAsia="宋体" w:cs="宋体"/>
          <w:b/>
          <w:color w:val="auto"/>
          <w:sz w:val="22"/>
          <w:szCs w:val="22"/>
          <w:highlight w:val="none"/>
          <w:lang w:eastAsia="zh-CN"/>
        </w:rPr>
        <w:t>投标人</w:t>
      </w:r>
      <w:r>
        <w:rPr>
          <w:rFonts w:hint="eastAsia" w:ascii="宋体" w:hAnsi="宋体" w:eastAsia="宋体" w:cs="宋体"/>
          <w:b/>
          <w:color w:val="auto"/>
          <w:sz w:val="22"/>
          <w:szCs w:val="22"/>
          <w:highlight w:val="none"/>
        </w:rPr>
        <w:t>未及时关注所造成的一切后果由</w:t>
      </w:r>
      <w:r>
        <w:rPr>
          <w:rFonts w:hint="eastAsia" w:ascii="宋体" w:hAnsi="宋体" w:eastAsia="宋体" w:cs="宋体"/>
          <w:b/>
          <w:color w:val="auto"/>
          <w:sz w:val="22"/>
          <w:szCs w:val="22"/>
          <w:highlight w:val="none"/>
          <w:lang w:eastAsia="zh-CN"/>
        </w:rPr>
        <w:t>投标人</w:t>
      </w:r>
      <w:r>
        <w:rPr>
          <w:rFonts w:hint="eastAsia" w:ascii="宋体" w:hAnsi="宋体" w:eastAsia="宋体" w:cs="宋体"/>
          <w:b/>
          <w:color w:val="auto"/>
          <w:sz w:val="22"/>
          <w:szCs w:val="22"/>
          <w:highlight w:val="none"/>
        </w:rPr>
        <w:t>自行承担：</w:t>
      </w:r>
    </w:p>
    <w:p w14:paraId="724DB912">
      <w:pPr>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"http://www.ccgp-shaanxi.gov.cn" </w:instrText>
      </w:r>
      <w:r>
        <w:rPr>
          <w:rFonts w:hint="eastAsia" w:ascii="宋体" w:hAnsi="宋体" w:eastAsia="宋体" w:cs="宋体"/>
          <w:color w:val="auto"/>
          <w:sz w:val="22"/>
          <w:szCs w:val="22"/>
          <w:highlight w:val="none"/>
        </w:rPr>
        <w:fldChar w:fldCharType="separate"/>
      </w:r>
      <w:r>
        <w:rPr>
          <w:rStyle w:val="34"/>
          <w:rFonts w:hint="eastAsia" w:ascii="宋体" w:hAnsi="宋体" w:eastAsia="宋体" w:cs="宋体"/>
          <w:color w:val="auto"/>
          <w:sz w:val="22"/>
          <w:szCs w:val="22"/>
          <w:highlight w:val="none"/>
        </w:rPr>
        <w:t>陕西省政府采购网</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（www.ccgp-shaanxi.gov.cn）】中的〖首页·〉省级公告·〉更正公告〗；</w:t>
      </w:r>
    </w:p>
    <w:p w14:paraId="402B01EF">
      <w:pPr>
        <w:spacing w:line="440" w:lineRule="exact"/>
        <w:ind w:firstLine="480"/>
        <w:rPr>
          <w:rFonts w:hint="eastAsia" w:ascii="宋体" w:hAnsi="宋体" w:eastAsia="宋体" w:cs="宋体"/>
          <w:color w:val="auto"/>
          <w:kern w:val="1"/>
          <w:sz w:val="22"/>
          <w:szCs w:val="22"/>
          <w:highlight w:val="none"/>
        </w:rPr>
      </w:pPr>
      <w:r>
        <w:rPr>
          <w:rFonts w:hint="eastAsia" w:ascii="宋体" w:hAnsi="宋体" w:eastAsia="宋体" w:cs="宋体"/>
          <w:color w:val="auto"/>
          <w:sz w:val="22"/>
          <w:szCs w:val="22"/>
          <w:highlight w:val="none"/>
        </w:rPr>
        <w:t>（2）【全国公共资源交易平台（陕西省）（http://www.sxggzyjy.cn/）】中的〖首页·〉交易大厅·〉政府采购〗。</w:t>
      </w:r>
    </w:p>
    <w:p w14:paraId="1EA40097">
      <w:pPr>
        <w:spacing w:line="440" w:lineRule="exact"/>
        <w:ind w:firstLine="442" w:firstLineChars="200"/>
        <w:outlineLvl w:val="1"/>
        <w:rPr>
          <w:rFonts w:hint="eastAsia" w:ascii="宋体" w:hAnsi="宋体" w:eastAsia="宋体" w:cs="宋体"/>
          <w:b/>
          <w:bCs/>
          <w:color w:val="auto"/>
          <w:sz w:val="24"/>
          <w:szCs w:val="24"/>
          <w:highlight w:val="none"/>
        </w:rPr>
      </w:pPr>
      <w:bookmarkStart w:id="78" w:name="_Toc21745"/>
      <w:r>
        <w:rPr>
          <w:rFonts w:hint="eastAsia" w:ascii="宋体" w:hAnsi="宋体" w:eastAsia="宋体" w:cs="宋体"/>
          <w:b/>
          <w:bCs/>
          <w:color w:val="auto"/>
          <w:kern w:val="1"/>
          <w:sz w:val="22"/>
          <w:szCs w:val="22"/>
          <w:highlight w:val="none"/>
        </w:rPr>
        <w:t>6</w:t>
      </w:r>
      <w:r>
        <w:rPr>
          <w:rFonts w:hint="eastAsia" w:ascii="宋体" w:hAnsi="宋体" w:cs="宋体"/>
          <w:b/>
          <w:bCs/>
          <w:color w:val="auto"/>
          <w:kern w:val="1"/>
          <w:sz w:val="22"/>
          <w:szCs w:val="22"/>
          <w:highlight w:val="none"/>
          <w:lang w:val="en-US" w:eastAsia="zh-CN"/>
        </w:rPr>
        <w:t>.</w:t>
      </w:r>
      <w:r>
        <w:rPr>
          <w:rFonts w:hint="eastAsia" w:ascii="宋体" w:hAnsi="宋体" w:eastAsia="宋体" w:cs="宋体"/>
          <w:b/>
          <w:bCs/>
          <w:color w:val="auto"/>
          <w:kern w:val="1"/>
          <w:sz w:val="22"/>
          <w:szCs w:val="22"/>
          <w:highlight w:val="none"/>
        </w:rPr>
        <w:t>招标文件的解释权归采购代理机构。</w:t>
      </w:r>
      <w:bookmarkEnd w:id="78"/>
    </w:p>
    <w:p w14:paraId="2C8ED8F5">
      <w:pPr>
        <w:spacing w:before="156" w:beforeLines="50" w:after="156" w:afterLines="50" w:line="480" w:lineRule="exact"/>
        <w:jc w:val="center"/>
        <w:outlineLvl w:val="0"/>
        <w:rPr>
          <w:rFonts w:hint="eastAsia" w:ascii="宋体" w:hAnsi="宋体" w:eastAsia="宋体" w:cs="宋体"/>
          <w:b/>
          <w:color w:val="auto"/>
          <w:sz w:val="30"/>
          <w:szCs w:val="30"/>
          <w:highlight w:val="none"/>
        </w:rPr>
      </w:pPr>
      <w:bookmarkStart w:id="79" w:name="_Toc8959"/>
      <w:r>
        <w:rPr>
          <w:rFonts w:hint="eastAsia" w:ascii="宋体" w:hAnsi="宋体" w:eastAsia="宋体" w:cs="宋体"/>
          <w:b/>
          <w:color w:val="auto"/>
          <w:sz w:val="30"/>
          <w:szCs w:val="30"/>
          <w:highlight w:val="none"/>
        </w:rPr>
        <w:t>三、投标文件的编制</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9"/>
    </w:p>
    <w:p w14:paraId="5AB4CFAF">
      <w:pPr>
        <w:spacing w:line="440" w:lineRule="exact"/>
        <w:ind w:firstLine="442" w:firstLineChars="200"/>
        <w:outlineLvl w:val="1"/>
        <w:rPr>
          <w:rFonts w:hint="eastAsia" w:ascii="宋体" w:hAnsi="宋体" w:eastAsia="宋体" w:cs="宋体"/>
          <w:b/>
          <w:color w:val="auto"/>
          <w:sz w:val="22"/>
          <w:szCs w:val="22"/>
          <w:highlight w:val="none"/>
        </w:rPr>
      </w:pPr>
      <w:bookmarkStart w:id="80" w:name="_Toc5551"/>
      <w:r>
        <w:rPr>
          <w:rFonts w:hint="eastAsia" w:ascii="宋体" w:hAnsi="宋体" w:eastAsia="宋体" w:cs="宋体"/>
          <w:b/>
          <w:color w:val="auto"/>
          <w:sz w:val="22"/>
          <w:szCs w:val="22"/>
          <w:highlight w:val="none"/>
        </w:rPr>
        <w:t>7．编制要求</w:t>
      </w:r>
      <w:bookmarkEnd w:id="80"/>
    </w:p>
    <w:p w14:paraId="3FC7F36B">
      <w:pPr>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7.1 投标人应认真阅读招标文件的所有内容，严格按照招标文件的要求编制和提供投标文件，并保证所提供的全部资料的真实性，使投标文件对招标文件作出实质性响应。如果投标人在投标文件中没有按照招标文件要求提交全部资料或者投标文件没有对招标文件在各方面都做出实质性响应，其投标将被拒绝。</w:t>
      </w:r>
    </w:p>
    <w:p w14:paraId="231F4B2E">
      <w:pPr>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7.2 投标人提交的投标文件（包括项目的技术资料）以及投标人与采购代理机构就有关投标的所有来往函电均应以中文书写。</w:t>
      </w:r>
    </w:p>
    <w:p w14:paraId="29B2EEE2">
      <w:pPr>
        <w:spacing w:line="440" w:lineRule="exact"/>
        <w:ind w:firstLine="442" w:firstLineChars="200"/>
        <w:outlineLvl w:val="1"/>
        <w:rPr>
          <w:rFonts w:hint="eastAsia" w:ascii="宋体" w:hAnsi="宋体" w:eastAsia="宋体" w:cs="宋体"/>
          <w:b/>
          <w:color w:val="auto"/>
          <w:sz w:val="22"/>
          <w:szCs w:val="22"/>
          <w:highlight w:val="none"/>
        </w:rPr>
      </w:pPr>
      <w:bookmarkStart w:id="81" w:name="_Toc31940"/>
      <w:r>
        <w:rPr>
          <w:rFonts w:hint="eastAsia" w:ascii="宋体" w:hAnsi="宋体" w:eastAsia="宋体" w:cs="宋体"/>
          <w:b/>
          <w:color w:val="auto"/>
          <w:sz w:val="22"/>
          <w:szCs w:val="22"/>
          <w:highlight w:val="none"/>
        </w:rPr>
        <w:t>8．投标文件构成和格式</w:t>
      </w:r>
      <w:bookmarkEnd w:id="81"/>
    </w:p>
    <w:p w14:paraId="6391B2BB">
      <w:pPr>
        <w:spacing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8.1 投标人编写的投标文件应按招标文件提供的相应格式</w:t>
      </w:r>
      <w:r>
        <w:rPr>
          <w:rFonts w:hint="eastAsia" w:ascii="宋体" w:hAnsi="宋体" w:eastAsia="宋体" w:cs="宋体"/>
          <w:color w:val="auto"/>
          <w:sz w:val="22"/>
          <w:szCs w:val="22"/>
          <w:highlight w:val="none"/>
          <w:lang w:val="en-US" w:eastAsia="zh-CN"/>
        </w:rPr>
        <w:t>按</w:t>
      </w:r>
      <w:r>
        <w:rPr>
          <w:rFonts w:hint="eastAsia" w:ascii="宋体" w:hAnsi="宋体" w:eastAsia="宋体" w:cs="宋体"/>
          <w:color w:val="auto"/>
          <w:sz w:val="22"/>
          <w:szCs w:val="22"/>
          <w:highlight w:val="none"/>
        </w:rPr>
        <w:t>顺序编写</w:t>
      </w:r>
      <w:r>
        <w:rPr>
          <w:rFonts w:hint="eastAsia" w:ascii="宋体" w:hAnsi="宋体" w:eastAsia="宋体" w:cs="宋体"/>
          <w:color w:val="auto"/>
          <w:sz w:val="22"/>
          <w:szCs w:val="22"/>
          <w:highlight w:val="none"/>
          <w:lang w:eastAsia="zh-CN"/>
        </w:rPr>
        <w:t>。</w:t>
      </w:r>
    </w:p>
    <w:p w14:paraId="2B908E28">
      <w:pPr>
        <w:spacing w:line="440" w:lineRule="exact"/>
        <w:ind w:firstLine="440" w:firstLineChars="200"/>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8.2 投标人应按照本须知第8.1条的内容及第</w:t>
      </w:r>
      <w:r>
        <w:rPr>
          <w:rFonts w:hint="eastAsia" w:ascii="宋体" w:hAnsi="宋体" w:eastAsia="宋体" w:cs="宋体"/>
          <w:color w:val="auto"/>
          <w:kern w:val="1"/>
          <w:sz w:val="22"/>
          <w:szCs w:val="22"/>
          <w:highlight w:val="none"/>
          <w:lang w:val="en-US" w:eastAsia="zh-CN"/>
        </w:rPr>
        <w:t>六</w:t>
      </w:r>
      <w:r>
        <w:rPr>
          <w:rFonts w:hint="eastAsia" w:ascii="宋体" w:hAnsi="宋体" w:eastAsia="宋体" w:cs="宋体"/>
          <w:color w:val="auto"/>
          <w:kern w:val="1"/>
          <w:sz w:val="22"/>
          <w:szCs w:val="22"/>
          <w:highlight w:val="none"/>
        </w:rPr>
        <w:t>章提供的格式编写投标文件，不得缺少招标文件要求填写的表格或提交的资料。</w:t>
      </w:r>
    </w:p>
    <w:p w14:paraId="3D1A9C35">
      <w:pPr>
        <w:spacing w:line="440" w:lineRule="exact"/>
        <w:ind w:firstLine="442" w:firstLineChars="200"/>
        <w:outlineLvl w:val="1"/>
        <w:rPr>
          <w:rFonts w:hint="eastAsia" w:ascii="宋体" w:hAnsi="宋体" w:eastAsia="宋体" w:cs="宋体"/>
          <w:b/>
          <w:color w:val="auto"/>
          <w:sz w:val="22"/>
          <w:szCs w:val="22"/>
          <w:highlight w:val="none"/>
        </w:rPr>
      </w:pPr>
      <w:bookmarkStart w:id="82" w:name="_Toc18698"/>
      <w:r>
        <w:rPr>
          <w:rFonts w:hint="eastAsia" w:ascii="宋体" w:hAnsi="宋体" w:eastAsia="宋体" w:cs="宋体"/>
          <w:b/>
          <w:color w:val="auto"/>
          <w:sz w:val="22"/>
          <w:szCs w:val="22"/>
          <w:highlight w:val="none"/>
        </w:rPr>
        <w:t>9．投标报价</w:t>
      </w:r>
      <w:bookmarkEnd w:id="82"/>
    </w:p>
    <w:p w14:paraId="6869CD5C">
      <w:pPr>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9.1 投标报价为完成本项目所要求服务的全部内容国家按现行税收政策征收的一切税费。</w:t>
      </w:r>
    </w:p>
    <w:p w14:paraId="0DABEE53">
      <w:pPr>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9.2 </w:t>
      </w:r>
      <w:r>
        <w:rPr>
          <w:rFonts w:hint="eastAsia" w:ascii="宋体" w:hAnsi="宋体" w:eastAsia="宋体" w:cs="宋体"/>
          <w:snapToGrid w:val="0"/>
          <w:color w:val="auto"/>
          <w:sz w:val="22"/>
          <w:szCs w:val="22"/>
          <w:highlight w:val="none"/>
        </w:rPr>
        <w:t>投标人须对</w:t>
      </w:r>
      <w:r>
        <w:rPr>
          <w:rFonts w:hint="eastAsia" w:ascii="宋体" w:hAnsi="宋体" w:eastAsia="宋体" w:cs="宋体"/>
          <w:color w:val="auto"/>
          <w:sz w:val="22"/>
          <w:szCs w:val="22"/>
          <w:highlight w:val="none"/>
        </w:rPr>
        <w:t>服务要求进行完整报价。采购人拒绝只对部分服务进行报价的投标。投标人应在投标文件中的投标分项报价表上标明对本次招标拟提供服务的单价和总价，任何有选择的报价将不予接受。</w:t>
      </w:r>
    </w:p>
    <w:p w14:paraId="53E2F44A">
      <w:pPr>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9.3. 所有根据合同或其它原因应由投标人支付的税款和其它应交纳的费用都要包括在投标人提交的投标报价中。</w:t>
      </w:r>
    </w:p>
    <w:p w14:paraId="4E440D00">
      <w:pPr>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9.4 投标人所报的投标价在合同执行过程中是固定不变的，不得以任何理由予以变更。任何包含价格调整要求的投标，将被认为是非响应性投标而予以拒绝。</w:t>
      </w:r>
    </w:p>
    <w:p w14:paraId="4D914A0A">
      <w:pPr>
        <w:spacing w:line="440" w:lineRule="exact"/>
        <w:ind w:right="-199" w:rightChars="-95" w:firstLine="440" w:firstLineChars="200"/>
        <w:jc w:val="left"/>
        <w:rPr>
          <w:rFonts w:hint="eastAsia" w:ascii="宋体" w:hAnsi="宋体" w:eastAsia="宋体" w:cs="宋体"/>
          <w:bCs/>
          <w:color w:val="auto"/>
          <w:sz w:val="24"/>
          <w:highlight w:val="none"/>
        </w:rPr>
      </w:pPr>
      <w:r>
        <w:rPr>
          <w:rFonts w:hint="eastAsia" w:ascii="宋体" w:hAnsi="宋体" w:eastAsia="宋体" w:cs="宋体"/>
          <w:b w:val="0"/>
          <w:bCs w:val="0"/>
          <w:color w:val="auto"/>
          <w:sz w:val="22"/>
          <w:szCs w:val="22"/>
          <w:highlight w:val="none"/>
        </w:rPr>
        <w:t>9.5 投标人不得以低于成本的报价参加投标，投标人的投标报价明显低于其他投标人的报价，经评标委员会质询后不能在规定时间内说明理由，或说明理由经评标委员会认为不成立，则按无效标处理。</w:t>
      </w:r>
      <w:r>
        <w:rPr>
          <w:rFonts w:hint="eastAsia" w:ascii="宋体" w:hAnsi="宋体" w:eastAsia="宋体" w:cs="宋体"/>
          <w:b w:val="0"/>
          <w:bCs w:val="0"/>
          <w:color w:val="auto"/>
          <w:sz w:val="22"/>
          <w:szCs w:val="22"/>
          <w:highlight w:val="none"/>
          <w:lang w:val="en-US" w:eastAsia="zh-CN"/>
        </w:rPr>
        <w:t xml:space="preserve"> </w:t>
      </w:r>
    </w:p>
    <w:p w14:paraId="59BC836D">
      <w:pPr>
        <w:spacing w:line="440" w:lineRule="exact"/>
        <w:ind w:firstLine="442" w:firstLineChars="200"/>
        <w:outlineLvl w:val="1"/>
        <w:rPr>
          <w:rFonts w:hint="eastAsia" w:ascii="宋体" w:hAnsi="宋体" w:eastAsia="宋体" w:cs="宋体"/>
          <w:b/>
          <w:color w:val="auto"/>
          <w:sz w:val="22"/>
          <w:szCs w:val="22"/>
          <w:highlight w:val="none"/>
        </w:rPr>
      </w:pPr>
      <w:bookmarkStart w:id="83" w:name="_Toc25300"/>
      <w:r>
        <w:rPr>
          <w:rFonts w:hint="eastAsia" w:ascii="宋体" w:hAnsi="宋体" w:eastAsia="宋体" w:cs="宋体"/>
          <w:b/>
          <w:color w:val="auto"/>
          <w:sz w:val="22"/>
          <w:szCs w:val="22"/>
          <w:highlight w:val="none"/>
        </w:rPr>
        <w:t>10．投标货币</w:t>
      </w:r>
      <w:bookmarkEnd w:id="83"/>
    </w:p>
    <w:p w14:paraId="7E250D30">
      <w:pPr>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10.1 投标人提供的服务一律以人民币报价。</w:t>
      </w:r>
    </w:p>
    <w:p w14:paraId="77A32205">
      <w:pPr>
        <w:spacing w:line="440" w:lineRule="exact"/>
        <w:ind w:firstLine="442" w:firstLineChars="200"/>
        <w:outlineLvl w:val="1"/>
        <w:rPr>
          <w:rFonts w:hint="eastAsia" w:ascii="宋体" w:hAnsi="宋体" w:eastAsia="宋体" w:cs="宋体"/>
          <w:b/>
          <w:color w:val="auto"/>
          <w:sz w:val="22"/>
          <w:szCs w:val="22"/>
          <w:highlight w:val="none"/>
        </w:rPr>
      </w:pPr>
      <w:bookmarkStart w:id="84" w:name="_Toc20503"/>
      <w:r>
        <w:rPr>
          <w:rFonts w:hint="eastAsia" w:ascii="宋体" w:hAnsi="宋体" w:eastAsia="宋体" w:cs="宋体"/>
          <w:b/>
          <w:color w:val="auto"/>
          <w:sz w:val="22"/>
          <w:szCs w:val="22"/>
          <w:highlight w:val="none"/>
        </w:rPr>
        <w:t>11．投标保证金</w:t>
      </w:r>
      <w:bookmarkEnd w:id="84"/>
    </w:p>
    <w:p w14:paraId="56D29886">
      <w:pPr>
        <w:autoSpaceDE w:val="0"/>
        <w:autoSpaceDN w:val="0"/>
        <w:spacing w:line="440" w:lineRule="exact"/>
        <w:ind w:firstLine="440" w:firstLineChars="200"/>
        <w:rPr>
          <w:rFonts w:hint="eastAsia" w:ascii="宋体" w:hAnsi="宋体" w:cs="宋体"/>
          <w:b w:val="0"/>
          <w:bCs/>
          <w:color w:val="auto"/>
          <w:sz w:val="22"/>
          <w:szCs w:val="22"/>
          <w:highlight w:val="none"/>
          <w:lang w:val="en-US" w:eastAsia="zh-CN"/>
        </w:rPr>
      </w:pPr>
      <w:r>
        <w:rPr>
          <w:rFonts w:hint="eastAsia" w:ascii="宋体" w:hAnsi="宋体" w:cs="宋体"/>
          <w:b w:val="0"/>
          <w:bCs/>
          <w:color w:val="auto"/>
          <w:sz w:val="22"/>
          <w:szCs w:val="22"/>
          <w:highlight w:val="none"/>
          <w:lang w:val="en-US" w:eastAsia="zh-CN"/>
        </w:rPr>
        <w:t>11.1 本项目以“投标信用承诺书（保证金）”代替投标保证金，投标人在提交投标文件的同时，向招标人提供“投标信用承诺书”网页截图及加盖企业原色印章的投标信用承诺书，信用承诺书的效力和作用等同投标保证金，其有效期与投标有效期一致。</w:t>
      </w:r>
    </w:p>
    <w:p w14:paraId="29700D88">
      <w:pPr>
        <w:autoSpaceDE w:val="0"/>
        <w:autoSpaceDN w:val="0"/>
        <w:spacing w:line="440" w:lineRule="exact"/>
        <w:ind w:firstLine="440" w:firstLineChars="200"/>
        <w:rPr>
          <w:rFonts w:hint="eastAsia" w:ascii="宋体" w:hAnsi="宋体" w:cs="宋体"/>
          <w:b w:val="0"/>
          <w:bCs/>
          <w:color w:val="auto"/>
          <w:sz w:val="22"/>
          <w:szCs w:val="22"/>
          <w:highlight w:val="none"/>
          <w:lang w:val="en-US" w:eastAsia="zh-CN"/>
        </w:rPr>
      </w:pPr>
      <w:r>
        <w:rPr>
          <w:rFonts w:hint="eastAsia" w:ascii="宋体" w:hAnsi="宋体" w:cs="宋体"/>
          <w:b w:val="0"/>
          <w:bCs/>
          <w:color w:val="auto"/>
          <w:sz w:val="22"/>
          <w:szCs w:val="22"/>
          <w:highlight w:val="none"/>
          <w:lang w:val="en-US" w:eastAsia="zh-CN"/>
        </w:rPr>
        <w:t>11.2 投标信用承诺：应在“信用中国(陕西榆林)”网站进行注册、登录、自主上报信用承诺书(网址: https://credit.yl.gov.cn/)。各投标人注册、登陆后根据 承诺事项选择相应的模板填写《信用承诺书》，并载明承诺事由，承诺事由为“合同包名称”。</w:t>
      </w:r>
    </w:p>
    <w:p w14:paraId="6D199ED0">
      <w:pPr>
        <w:autoSpaceDE w:val="0"/>
        <w:autoSpaceDN w:val="0"/>
        <w:spacing w:line="440" w:lineRule="exact"/>
        <w:ind w:firstLine="440" w:firstLineChars="200"/>
        <w:rPr>
          <w:rFonts w:hint="eastAsia" w:ascii="宋体" w:hAnsi="宋体" w:eastAsia="宋体" w:cs="宋体"/>
          <w:b w:val="0"/>
          <w:bCs/>
          <w:color w:val="auto"/>
          <w:sz w:val="22"/>
          <w:szCs w:val="22"/>
          <w:highlight w:val="none"/>
        </w:rPr>
      </w:pPr>
      <w:r>
        <w:rPr>
          <w:rFonts w:hint="eastAsia" w:ascii="宋体" w:hAnsi="宋体" w:cs="宋体"/>
          <w:b w:val="0"/>
          <w:bCs/>
          <w:color w:val="auto"/>
          <w:sz w:val="22"/>
          <w:szCs w:val="22"/>
          <w:highlight w:val="none"/>
          <w:lang w:val="en-US" w:eastAsia="zh-CN"/>
        </w:rPr>
        <w:t>11.3 对于未能按要求提交“投标信用承诺书（保证金）”的投标人，招标人将视为不响应招标文件而予以拒绝”。</w:t>
      </w:r>
      <w:r>
        <w:rPr>
          <w:rFonts w:hint="eastAsia" w:ascii="宋体" w:hAnsi="宋体" w:eastAsia="宋体" w:cs="宋体"/>
          <w:b w:val="0"/>
          <w:bCs/>
          <w:color w:val="auto"/>
          <w:sz w:val="22"/>
          <w:szCs w:val="22"/>
          <w:highlight w:val="none"/>
        </w:rPr>
        <w:t xml:space="preserve"> </w:t>
      </w:r>
    </w:p>
    <w:p w14:paraId="5AC4CEB1">
      <w:pPr>
        <w:autoSpaceDE w:val="0"/>
        <w:autoSpaceDN w:val="0"/>
        <w:spacing w:line="440" w:lineRule="exact"/>
        <w:ind w:firstLine="482" w:firstLineChars="200"/>
        <w:outlineLvl w:val="1"/>
        <w:rPr>
          <w:rFonts w:hint="eastAsia" w:ascii="宋体" w:hAnsi="宋体" w:eastAsia="宋体" w:cs="宋体"/>
          <w:b/>
          <w:color w:val="auto"/>
          <w:sz w:val="24"/>
          <w:highlight w:val="none"/>
        </w:rPr>
      </w:pPr>
      <w:bookmarkStart w:id="85" w:name="_Toc29983"/>
      <w:r>
        <w:rPr>
          <w:rFonts w:hint="eastAsia" w:ascii="宋体" w:hAnsi="宋体" w:eastAsia="宋体" w:cs="宋体"/>
          <w:b/>
          <w:color w:val="auto"/>
          <w:sz w:val="24"/>
          <w:highlight w:val="none"/>
        </w:rPr>
        <w:t>12．投标有效期</w:t>
      </w:r>
      <w:bookmarkEnd w:id="85"/>
    </w:p>
    <w:p w14:paraId="7298D963">
      <w:pPr>
        <w:autoSpaceDE w:val="0"/>
        <w:autoSpaceDN w:val="0"/>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12.1 投标文件从投标截止日起，投标有效期为90日历天（中标人的投标文件有效期与合同有效期一致）。投标人的投标有效期比招标文件规定短的将被视为非响应性投标而予以拒绝。</w:t>
      </w:r>
    </w:p>
    <w:p w14:paraId="3586985C">
      <w:pPr>
        <w:autoSpaceDE w:val="0"/>
        <w:autoSpaceDN w:val="0"/>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12.2 在特殊情况下，在原投标有效期期满之前，采购人可征得投标人同意延长投标有效期。这种要求与答复均应为书面形式提交。</w:t>
      </w:r>
    </w:p>
    <w:p w14:paraId="7406D421">
      <w:pPr>
        <w:spacing w:line="440" w:lineRule="exact"/>
        <w:ind w:firstLine="482" w:firstLineChars="0"/>
        <w:outlineLvl w:val="1"/>
        <w:rPr>
          <w:rFonts w:hint="eastAsia" w:ascii="宋体" w:hAnsi="宋体" w:eastAsia="宋体" w:cs="宋体"/>
          <w:b/>
          <w:color w:val="auto"/>
          <w:kern w:val="1"/>
          <w:sz w:val="22"/>
          <w:szCs w:val="22"/>
          <w:highlight w:val="none"/>
        </w:rPr>
      </w:pPr>
      <w:bookmarkStart w:id="86" w:name="_Toc10625"/>
      <w:bookmarkStart w:id="87" w:name="_Toc245658523"/>
      <w:bookmarkStart w:id="88" w:name="_Toc154482468"/>
      <w:bookmarkStart w:id="89" w:name="_Toc169846862"/>
      <w:bookmarkStart w:id="90" w:name="_Toc167590764"/>
      <w:bookmarkStart w:id="91" w:name="_Toc169846765"/>
      <w:bookmarkStart w:id="92" w:name="_Toc207897905"/>
      <w:bookmarkStart w:id="93" w:name="_Toc170980541"/>
      <w:bookmarkStart w:id="94" w:name="_Toc170980443"/>
      <w:bookmarkStart w:id="95" w:name="_Toc175033581"/>
      <w:bookmarkStart w:id="96" w:name="_Toc167591032"/>
      <w:bookmarkStart w:id="97" w:name="_Toc167591133"/>
      <w:bookmarkStart w:id="98" w:name="_Toc169838521"/>
      <w:bookmarkStart w:id="99" w:name="_Toc245657542"/>
      <w:bookmarkStart w:id="100" w:name="_Toc244623580"/>
      <w:bookmarkStart w:id="101" w:name="_Toc167591319"/>
      <w:bookmarkStart w:id="102" w:name="_Toc167591481"/>
      <w:bookmarkStart w:id="103" w:name="_Toc245176654"/>
      <w:bookmarkStart w:id="104" w:name="_Toc173549967"/>
      <w:bookmarkStart w:id="105" w:name="_Toc167849349"/>
      <w:bookmarkStart w:id="106" w:name="_Toc208337153"/>
      <w:bookmarkStart w:id="107" w:name="_Toc175032426"/>
      <w:r>
        <w:rPr>
          <w:rFonts w:hint="eastAsia" w:ascii="宋体" w:hAnsi="宋体" w:eastAsia="宋体" w:cs="宋体"/>
          <w:b/>
          <w:color w:val="auto"/>
          <w:kern w:val="1"/>
          <w:sz w:val="22"/>
          <w:szCs w:val="22"/>
          <w:highlight w:val="none"/>
        </w:rPr>
        <w:t>13．投标文件的制作和签署</w:t>
      </w:r>
      <w:bookmarkEnd w:id="86"/>
    </w:p>
    <w:p w14:paraId="6D85174A">
      <w:pPr>
        <w:spacing w:line="440" w:lineRule="exact"/>
        <w:ind w:firstLine="480"/>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13.1为确保采购项目顺利开展，本项目采用电子投标文件与纸质投标文件并行的方式。供应商在投标时须同时提供电子投标文件和纸质投标文件。投标供应商应确保电子投标文件与纸质投标文件一致（包括但不限于文字、图片、签章等），若纸质与电子投标文件不一致，评标委员会将按最不利于投标供应商的原则对投标文件做出评判，因此导致废标或未中标，投标供应商自行承担责任。</w:t>
      </w:r>
    </w:p>
    <w:p w14:paraId="6F62F33F">
      <w:pPr>
        <w:spacing w:line="440" w:lineRule="exact"/>
        <w:ind w:firstLine="480"/>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13.2 编制电子投标文件时，应使用最新发布的电子招标文件及专用制作工具进行编制。并使用数字认证证书（CA）对电子投标文件进行签署、加密、递交及开标时解密等相关操作。</w:t>
      </w:r>
    </w:p>
    <w:p w14:paraId="60477AD1">
      <w:pPr>
        <w:spacing w:line="440" w:lineRule="exact"/>
        <w:ind w:firstLine="480"/>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（1）电子招标文件下载</w:t>
      </w:r>
    </w:p>
    <w:p w14:paraId="0A833429">
      <w:pPr>
        <w:spacing w:line="440" w:lineRule="exact"/>
        <w:ind w:firstLine="480"/>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供应商登录全国公共资源交易平台（陕西省）网站[电子交易平台-企业端]后，在[我的项目]中点击“项目流程-交易文件下载”下载电子招标文件（*.SXSZF）;</w:t>
      </w:r>
    </w:p>
    <w:p w14:paraId="0162784E">
      <w:pPr>
        <w:spacing w:line="440" w:lineRule="exact"/>
        <w:ind w:firstLine="480"/>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注意：该项目如有变更文件，则应点击“项目流程&gt;答疑文件下载”下载更新后的电子招标文件（*.SXSCF），使用旧版电子招标文件制作的电子投标文件，系统将拒绝接收。</w:t>
      </w:r>
    </w:p>
    <w:p w14:paraId="02C6BCCB">
      <w:pPr>
        <w:spacing w:line="440" w:lineRule="exact"/>
        <w:ind w:firstLine="480"/>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（2）电子招标文件需要使用专用软件打开、浏览</w:t>
      </w:r>
    </w:p>
    <w:p w14:paraId="1143597B">
      <w:pPr>
        <w:spacing w:line="440" w:lineRule="exact"/>
        <w:ind w:firstLine="480"/>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供应商登录全国公共资源交易平台（陕西省）网站[服务指南-下载专区]免费下载《陕西省公共资源交易平台政府采购电子标书制作工具》，并升级至最新版本，使用该客户端可以打开电子招标文件。软件操作手册详见全国公共资源交易平台（陕西省）网站[服务指南-下载专区]中的《陕西省公共资源交易（政府采购类）投标文件制作软件操作手册》；</w:t>
      </w:r>
    </w:p>
    <w:p w14:paraId="71B9CF4A">
      <w:pPr>
        <w:spacing w:line="440" w:lineRule="exact"/>
        <w:ind w:firstLine="480"/>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（3）制作电子投标文件</w:t>
      </w:r>
    </w:p>
    <w:p w14:paraId="686302EA">
      <w:pPr>
        <w:spacing w:line="440" w:lineRule="exact"/>
        <w:ind w:firstLine="480"/>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电子投标文件同样需要使用上述软件进行编制。在编制过程中，如有技术性问题，请先翻阅操作手册或致电软件开发商，技术支持热线：4009280095、4009980000；</w:t>
      </w:r>
    </w:p>
    <w:p w14:paraId="36E39DDC">
      <w:pPr>
        <w:spacing w:line="440" w:lineRule="exact"/>
        <w:ind w:firstLine="48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13.3纸质版文件的编制：</w:t>
      </w:r>
    </w:p>
    <w:p w14:paraId="119C2D60">
      <w:pPr>
        <w:spacing w:line="440" w:lineRule="exact"/>
        <w:ind w:firstLine="480"/>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13.3.1投标供应商无需提交纸质</w:t>
      </w:r>
      <w:r>
        <w:rPr>
          <w:rFonts w:hint="eastAsia" w:ascii="宋体" w:hAnsi="宋体" w:cs="宋体"/>
          <w:color w:val="auto"/>
          <w:kern w:val="1"/>
          <w:sz w:val="22"/>
          <w:szCs w:val="22"/>
          <w:highlight w:val="none"/>
          <w:lang w:val="en-US" w:eastAsia="zh-CN"/>
        </w:rPr>
        <w:t>投标</w:t>
      </w:r>
      <w:r>
        <w:rPr>
          <w:rFonts w:hint="eastAsia" w:ascii="宋体" w:hAnsi="宋体" w:eastAsia="宋体" w:cs="宋体"/>
          <w:color w:val="auto"/>
          <w:kern w:val="1"/>
          <w:sz w:val="22"/>
          <w:szCs w:val="22"/>
          <w:highlight w:val="none"/>
        </w:rPr>
        <w:t>文件，待采购结果公告后，由</w:t>
      </w:r>
      <w:r>
        <w:rPr>
          <w:rFonts w:hint="eastAsia" w:ascii="宋体" w:hAnsi="宋体" w:eastAsia="宋体" w:cs="宋体"/>
          <w:color w:val="auto"/>
          <w:kern w:val="1"/>
          <w:sz w:val="22"/>
          <w:szCs w:val="22"/>
          <w:highlight w:val="none"/>
          <w:lang w:eastAsia="zh-CN"/>
        </w:rPr>
        <w:t>成交</w:t>
      </w:r>
      <w:r>
        <w:rPr>
          <w:rFonts w:hint="eastAsia" w:ascii="宋体" w:hAnsi="宋体" w:eastAsia="宋体" w:cs="宋体"/>
          <w:color w:val="auto"/>
          <w:kern w:val="1"/>
          <w:sz w:val="22"/>
          <w:szCs w:val="22"/>
          <w:highlight w:val="none"/>
        </w:rPr>
        <w:t>供应商补交</w:t>
      </w:r>
      <w:r>
        <w:rPr>
          <w:rFonts w:hint="eastAsia" w:ascii="宋体" w:hAnsi="宋体" w:eastAsia="宋体" w:cs="宋体"/>
          <w:color w:val="auto"/>
          <w:kern w:val="1"/>
          <w:sz w:val="22"/>
          <w:szCs w:val="22"/>
          <w:highlight w:val="none"/>
          <w:lang w:eastAsia="zh-CN"/>
        </w:rPr>
        <w:t>一正二副</w:t>
      </w:r>
      <w:r>
        <w:rPr>
          <w:rFonts w:hint="eastAsia" w:ascii="宋体" w:hAnsi="宋体" w:eastAsia="宋体" w:cs="宋体"/>
          <w:color w:val="auto"/>
          <w:kern w:val="1"/>
          <w:sz w:val="22"/>
          <w:szCs w:val="22"/>
          <w:highlight w:val="none"/>
        </w:rPr>
        <w:t>纸质</w:t>
      </w:r>
      <w:r>
        <w:rPr>
          <w:rFonts w:hint="eastAsia" w:ascii="宋体" w:hAnsi="宋体" w:cs="宋体"/>
          <w:color w:val="auto"/>
          <w:kern w:val="1"/>
          <w:sz w:val="22"/>
          <w:szCs w:val="22"/>
          <w:highlight w:val="none"/>
          <w:lang w:val="en-US" w:eastAsia="zh-CN"/>
        </w:rPr>
        <w:t>投标</w:t>
      </w:r>
      <w:r>
        <w:rPr>
          <w:rFonts w:hint="eastAsia" w:ascii="宋体" w:hAnsi="宋体" w:eastAsia="宋体" w:cs="宋体"/>
          <w:color w:val="auto"/>
          <w:kern w:val="1"/>
          <w:sz w:val="22"/>
          <w:szCs w:val="22"/>
          <w:highlight w:val="none"/>
        </w:rPr>
        <w:t>文件</w:t>
      </w:r>
      <w:r>
        <w:rPr>
          <w:rFonts w:hint="eastAsia" w:ascii="宋体" w:hAnsi="宋体" w:eastAsia="宋体" w:cs="宋体"/>
          <w:color w:val="auto"/>
          <w:kern w:val="1"/>
          <w:sz w:val="22"/>
          <w:szCs w:val="22"/>
          <w:highlight w:val="none"/>
          <w:lang w:eastAsia="zh-CN"/>
        </w:rPr>
        <w:t>及电子版</w:t>
      </w:r>
      <w:r>
        <w:rPr>
          <w:rFonts w:hint="eastAsia" w:ascii="宋体" w:hAnsi="宋体" w:eastAsia="宋体" w:cs="宋体"/>
          <w:color w:val="auto"/>
          <w:kern w:val="1"/>
          <w:sz w:val="22"/>
          <w:szCs w:val="22"/>
          <w:highlight w:val="none"/>
        </w:rPr>
        <w:t>（光盘或 U 盘</w:t>
      </w:r>
      <w:r>
        <w:rPr>
          <w:rFonts w:hint="eastAsia" w:ascii="宋体" w:hAnsi="宋体" w:eastAsia="宋体" w:cs="宋体"/>
          <w:color w:val="auto"/>
          <w:kern w:val="1"/>
          <w:sz w:val="22"/>
          <w:szCs w:val="22"/>
          <w:highlight w:val="none"/>
          <w:lang w:eastAsia="zh-CN"/>
        </w:rPr>
        <w:t>，包含可编辑 word 版，签字盖章后的扫描件 1 份</w:t>
      </w:r>
      <w:r>
        <w:rPr>
          <w:rFonts w:hint="eastAsia" w:ascii="宋体" w:hAnsi="宋体" w:eastAsia="宋体" w:cs="宋体"/>
          <w:color w:val="auto"/>
          <w:kern w:val="1"/>
          <w:sz w:val="22"/>
          <w:szCs w:val="22"/>
          <w:highlight w:val="none"/>
        </w:rPr>
        <w:t>）</w:t>
      </w:r>
      <w:r>
        <w:rPr>
          <w:rFonts w:hint="eastAsia" w:ascii="宋体" w:hAnsi="宋体" w:cs="宋体"/>
          <w:color w:val="auto"/>
          <w:kern w:val="1"/>
          <w:sz w:val="22"/>
          <w:szCs w:val="22"/>
          <w:highlight w:val="none"/>
          <w:lang w:val="en-US" w:eastAsia="zh-CN"/>
        </w:rPr>
        <w:t>投标</w:t>
      </w:r>
      <w:r>
        <w:rPr>
          <w:rFonts w:hint="eastAsia" w:ascii="宋体" w:hAnsi="宋体" w:eastAsia="宋体" w:cs="宋体"/>
          <w:color w:val="auto"/>
          <w:kern w:val="1"/>
          <w:sz w:val="22"/>
          <w:szCs w:val="22"/>
          <w:highlight w:val="none"/>
          <w:lang w:eastAsia="zh-CN"/>
        </w:rPr>
        <w:t>文件一份</w:t>
      </w:r>
      <w:r>
        <w:rPr>
          <w:rFonts w:hint="eastAsia" w:ascii="宋体" w:hAnsi="宋体" w:eastAsia="宋体" w:cs="宋体"/>
          <w:color w:val="auto"/>
          <w:kern w:val="1"/>
          <w:sz w:val="22"/>
          <w:szCs w:val="22"/>
          <w:highlight w:val="none"/>
        </w:rPr>
        <w:t>（备案用）</w:t>
      </w:r>
    </w:p>
    <w:p w14:paraId="2C0175B1">
      <w:pPr>
        <w:spacing w:line="440" w:lineRule="exact"/>
        <w:ind w:firstLine="480"/>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13.3.2投标文件封面及内容、投标函及其它有要求处均应加盖投标人印章并经法定代表人或其委托代理人签字，由委托代理人签字的在投标文件中须同时提交投标文件签署授权委托书，</w:t>
      </w:r>
      <w:r>
        <w:rPr>
          <w:rFonts w:hint="eastAsia" w:ascii="宋体" w:hAnsi="宋体" w:eastAsia="宋体" w:cs="宋体"/>
          <w:b/>
          <w:bCs/>
          <w:color w:val="auto"/>
          <w:kern w:val="1"/>
          <w:sz w:val="22"/>
          <w:szCs w:val="22"/>
          <w:highlight w:val="none"/>
        </w:rPr>
        <w:t>纸质版文件与电子版文件签字盖章必须一致。</w:t>
      </w:r>
    </w:p>
    <w:p w14:paraId="576C477F">
      <w:pPr>
        <w:spacing w:line="440" w:lineRule="exact"/>
        <w:ind w:firstLine="480"/>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13.3.3投标文件的正本和副本应分别单独采用A4纸胶粘装订成册，装订应牢固、不易拆散、夹页、换页，不得采用活页装订，应编制目录，字迹应清晰易于辨认，文件编制应符合8.1至8.3项要求。</w:t>
      </w:r>
    </w:p>
    <w:p w14:paraId="06937F98">
      <w:pPr>
        <w:spacing w:line="440" w:lineRule="exact"/>
        <w:ind w:firstLine="480"/>
        <w:rPr>
          <w:rFonts w:hint="eastAsia" w:ascii="宋体" w:hAnsi="宋体" w:eastAsia="宋体" w:cs="宋体"/>
          <w:color w:val="auto"/>
          <w:sz w:val="20"/>
          <w:szCs w:val="22"/>
          <w:highlight w:val="none"/>
        </w:rPr>
      </w:pPr>
      <w:r>
        <w:rPr>
          <w:rFonts w:hint="eastAsia" w:ascii="宋体" w:hAnsi="宋体" w:eastAsia="宋体" w:cs="宋体"/>
          <w:color w:val="auto"/>
          <w:kern w:val="1"/>
          <w:sz w:val="22"/>
          <w:szCs w:val="22"/>
          <w:highlight w:val="none"/>
        </w:rPr>
        <w:t>13.4 除投标人对投标文件错处做必要修改外，投标文件不得行间插字、涂改和增删，如有修改错漏处，必须由投标人的法人或其授权代表在修改处签字或加盖公章后才有效。</w:t>
      </w:r>
    </w:p>
    <w:p w14:paraId="79C80AC9">
      <w:pPr>
        <w:snapToGrid w:val="0"/>
        <w:spacing w:before="156" w:beforeLines="50" w:after="156" w:afterLines="50"/>
        <w:jc w:val="center"/>
        <w:outlineLvl w:val="0"/>
        <w:rPr>
          <w:rFonts w:hint="eastAsia" w:ascii="宋体" w:hAnsi="宋体" w:eastAsia="宋体" w:cs="宋体"/>
          <w:b/>
          <w:color w:val="auto"/>
          <w:sz w:val="30"/>
          <w:szCs w:val="30"/>
          <w:highlight w:val="none"/>
        </w:rPr>
      </w:pPr>
      <w:bookmarkStart w:id="108" w:name="_Toc9242"/>
      <w:r>
        <w:rPr>
          <w:rFonts w:hint="eastAsia" w:ascii="宋体" w:hAnsi="宋体" w:eastAsia="宋体" w:cs="宋体"/>
          <w:b/>
          <w:color w:val="auto"/>
          <w:sz w:val="30"/>
          <w:szCs w:val="30"/>
          <w:highlight w:val="none"/>
        </w:rPr>
        <w:t>四、投标文件的递交</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572FE8A6">
      <w:pPr>
        <w:spacing w:line="440" w:lineRule="exact"/>
        <w:ind w:firstLine="442" w:firstLineChars="200"/>
        <w:rPr>
          <w:rFonts w:hint="eastAsia" w:ascii="宋体" w:hAnsi="宋体" w:eastAsia="宋体" w:cs="宋体"/>
          <w:b/>
          <w:color w:val="auto"/>
          <w:sz w:val="22"/>
          <w:szCs w:val="22"/>
          <w:highlight w:val="none"/>
        </w:rPr>
      </w:pPr>
      <w:bookmarkStart w:id="109" w:name="_Toc244623581"/>
      <w:bookmarkStart w:id="110" w:name="_Toc167849350"/>
      <w:bookmarkStart w:id="111" w:name="_Toc169846863"/>
      <w:bookmarkStart w:id="112" w:name="_Toc167591134"/>
      <w:bookmarkStart w:id="113" w:name="_Toc245176655"/>
      <w:bookmarkStart w:id="114" w:name="_Toc207897906"/>
      <w:bookmarkStart w:id="115" w:name="_Toc167591482"/>
      <w:bookmarkStart w:id="116" w:name="_Toc154482469"/>
      <w:bookmarkStart w:id="117" w:name="_Toc170980542"/>
      <w:bookmarkStart w:id="118" w:name="_Toc169838522"/>
      <w:bookmarkStart w:id="119" w:name="_Toc173549968"/>
      <w:bookmarkStart w:id="120" w:name="_Toc169846766"/>
      <w:bookmarkStart w:id="121" w:name="_Toc167590765"/>
      <w:bookmarkStart w:id="122" w:name="_Toc167591320"/>
      <w:bookmarkStart w:id="123" w:name="_Toc245657543"/>
      <w:bookmarkStart w:id="124" w:name="_Toc170980444"/>
      <w:bookmarkStart w:id="125" w:name="_Toc208337154"/>
      <w:bookmarkStart w:id="126" w:name="_Toc245658524"/>
      <w:bookmarkStart w:id="127" w:name="_Toc167591033"/>
      <w:bookmarkStart w:id="128" w:name="_Toc175033582"/>
      <w:bookmarkStart w:id="129" w:name="_Toc175032427"/>
      <w:r>
        <w:rPr>
          <w:rFonts w:hint="eastAsia" w:ascii="宋体" w:hAnsi="宋体" w:eastAsia="宋体" w:cs="宋体"/>
          <w:b/>
          <w:color w:val="auto"/>
          <w:sz w:val="22"/>
          <w:szCs w:val="22"/>
          <w:highlight w:val="none"/>
        </w:rPr>
        <w:t>14．投标文件的提交</w:t>
      </w:r>
    </w:p>
    <w:p w14:paraId="326A86A5">
      <w:pPr>
        <w:spacing w:line="440" w:lineRule="exact"/>
        <w:ind w:firstLine="440" w:firstLineChars="2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14:paraId="0F2B7C94">
      <w:pPr>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15.投标人应在不迟于招标文件中规定的投标截止时间</w:t>
      </w:r>
      <w:r>
        <w:rPr>
          <w:rFonts w:hint="eastAsia" w:ascii="宋体" w:hAnsi="宋体" w:cs="宋体"/>
          <w:color w:val="auto"/>
          <w:sz w:val="22"/>
          <w:szCs w:val="22"/>
          <w:highlight w:val="none"/>
          <w:lang w:val="en-US" w:eastAsia="zh-CN"/>
        </w:rPr>
        <w:t>上传</w:t>
      </w:r>
      <w:r>
        <w:rPr>
          <w:rFonts w:hint="eastAsia" w:ascii="宋体" w:hAnsi="宋体" w:eastAsia="宋体" w:cs="宋体"/>
          <w:color w:val="auto"/>
          <w:sz w:val="22"/>
          <w:szCs w:val="22"/>
          <w:highlight w:val="none"/>
        </w:rPr>
        <w:t>投标文件。</w:t>
      </w:r>
    </w:p>
    <w:p w14:paraId="7DF7A053">
      <w:pPr>
        <w:spacing w:line="440" w:lineRule="exact"/>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16．迟交的投标文件</w:t>
      </w:r>
    </w:p>
    <w:p w14:paraId="3460139E">
      <w:pPr>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16.1采购代理机构将拒绝接收投标截止期后送达的任何投标文件。</w:t>
      </w:r>
    </w:p>
    <w:p w14:paraId="306178D5">
      <w:pPr>
        <w:spacing w:line="440" w:lineRule="exact"/>
        <w:ind w:firstLine="442" w:firstLineChars="20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17．投标文件的修改和撤回</w:t>
      </w:r>
    </w:p>
    <w:p w14:paraId="5DAC7FD9">
      <w:pPr>
        <w:spacing w:line="440" w:lineRule="exact"/>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17.1 投标人在递交投标文件后，投标截止时间前，可以修改或撤回其投标文件。</w:t>
      </w:r>
      <w:r>
        <w:rPr>
          <w:rFonts w:hint="eastAsia" w:ascii="宋体" w:hAnsi="宋体" w:eastAsia="宋体" w:cs="宋体"/>
          <w:color w:val="auto"/>
          <w:sz w:val="24"/>
          <w:highlight w:val="none"/>
        </w:rPr>
        <w:t>但投标</w:t>
      </w:r>
      <w:r>
        <w:rPr>
          <w:rFonts w:hint="eastAsia" w:ascii="宋体" w:hAnsi="宋体" w:eastAsia="宋体" w:cs="宋体"/>
          <w:color w:val="auto"/>
          <w:sz w:val="22"/>
          <w:szCs w:val="22"/>
          <w:highlight w:val="none"/>
        </w:rPr>
        <w:t>人必须在规定的投标截止期之前将修改或撤回的书面通知递交到采购代理机构。</w:t>
      </w:r>
    </w:p>
    <w:p w14:paraId="341E4C29">
      <w:pPr>
        <w:spacing w:line="440" w:lineRule="exact"/>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17.2 投标人的修改或撤回通知书应按本须知第14条规定密封、标记和递交，并在内层封套上加注“修改”或“撤回”字样。</w:t>
      </w:r>
    </w:p>
    <w:p w14:paraId="5F9D847E">
      <w:pPr>
        <w:spacing w:line="440" w:lineRule="exact"/>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17.3 在投标截止日期之后，投标人不得对其投标文件做任何修改。</w:t>
      </w:r>
    </w:p>
    <w:p w14:paraId="63811D90">
      <w:pPr>
        <w:snapToGrid w:val="0"/>
        <w:spacing w:line="440" w:lineRule="exact"/>
        <w:ind w:firstLine="48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17.4 从投标截止期始至招标文件确定的投标有效期期满这段时间内，投标人不得撤回其投标，否则其投标保证金将被没收。</w:t>
      </w:r>
    </w:p>
    <w:p w14:paraId="14E1294C">
      <w:pPr>
        <w:snapToGrid w:val="0"/>
        <w:spacing w:line="440" w:lineRule="exact"/>
        <w:jc w:val="center"/>
        <w:outlineLvl w:val="9"/>
        <w:rPr>
          <w:rFonts w:hint="eastAsia" w:ascii="宋体" w:hAnsi="宋体" w:eastAsia="宋体" w:cs="宋体"/>
          <w:b/>
          <w:color w:val="auto"/>
          <w:sz w:val="30"/>
          <w:szCs w:val="30"/>
          <w:highlight w:val="none"/>
        </w:rPr>
      </w:pPr>
    </w:p>
    <w:p w14:paraId="078D2FB7">
      <w:pPr>
        <w:snapToGrid w:val="0"/>
        <w:spacing w:line="440" w:lineRule="exact"/>
        <w:jc w:val="center"/>
        <w:outlineLvl w:val="0"/>
        <w:rPr>
          <w:rFonts w:hint="eastAsia" w:ascii="宋体" w:hAnsi="宋体" w:eastAsia="宋体" w:cs="宋体"/>
          <w:b/>
          <w:color w:val="auto"/>
          <w:sz w:val="30"/>
          <w:szCs w:val="30"/>
          <w:highlight w:val="none"/>
        </w:rPr>
      </w:pPr>
      <w:bookmarkStart w:id="130" w:name="_Toc9857"/>
      <w:r>
        <w:rPr>
          <w:rFonts w:hint="eastAsia" w:ascii="宋体" w:hAnsi="宋体" w:eastAsia="宋体" w:cs="宋体"/>
          <w:b/>
          <w:color w:val="auto"/>
          <w:sz w:val="30"/>
          <w:szCs w:val="30"/>
          <w:highlight w:val="none"/>
        </w:rPr>
        <w:t>五、开标与评标</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7D6F6F88">
      <w:pPr>
        <w:snapToGrid w:val="0"/>
        <w:spacing w:line="440" w:lineRule="exact"/>
        <w:ind w:firstLine="442" w:firstLineChars="200"/>
        <w:outlineLvl w:val="1"/>
        <w:rPr>
          <w:rFonts w:hint="eastAsia" w:ascii="宋体" w:hAnsi="宋体" w:eastAsia="宋体" w:cs="宋体"/>
          <w:b/>
          <w:color w:val="auto"/>
          <w:sz w:val="22"/>
          <w:szCs w:val="22"/>
          <w:highlight w:val="none"/>
        </w:rPr>
      </w:pPr>
      <w:bookmarkStart w:id="131" w:name="_Toc23656"/>
      <w:r>
        <w:rPr>
          <w:rFonts w:hint="eastAsia" w:ascii="宋体" w:hAnsi="宋体" w:eastAsia="宋体" w:cs="宋体"/>
          <w:b/>
          <w:color w:val="auto"/>
          <w:sz w:val="22"/>
          <w:szCs w:val="22"/>
          <w:highlight w:val="none"/>
        </w:rPr>
        <w:t>18．开标</w:t>
      </w:r>
      <w:bookmarkEnd w:id="131"/>
    </w:p>
    <w:p w14:paraId="4B695BE2">
      <w:pPr>
        <w:spacing w:line="400" w:lineRule="exact"/>
        <w:ind w:firstLine="440" w:firstLineChars="200"/>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18.1 采购代理机构将在招标公告规定的时间和地点组织公开开标。开标会议邀请所有供应商派代表参加，开标当日，请各供应商在开标截止时间前至少提前半小时登录“不见面”开标系统</w:t>
      </w:r>
      <w:r>
        <w:rPr>
          <w:rFonts w:hint="eastAsia" w:ascii="宋体" w:hAnsi="宋体" w:eastAsia="宋体" w:cs="宋体"/>
          <w:color w:val="auto"/>
          <w:sz w:val="22"/>
          <w:szCs w:val="22"/>
          <w:highlight w:val="none"/>
          <w:lang w:val="en-US" w:eastAsia="zh-CN"/>
        </w:rPr>
        <w:t>进行签到。</w:t>
      </w:r>
    </w:p>
    <w:p w14:paraId="658235CC">
      <w:pPr>
        <w:spacing w:line="400" w:lineRule="exact"/>
        <w:ind w:firstLine="440" w:firstLineChars="200"/>
        <w:rPr>
          <w:rFonts w:hint="eastAsia" w:ascii="宋体" w:hAnsi="宋体" w:cs="宋体"/>
          <w:bCs/>
          <w:color w:val="auto"/>
          <w:sz w:val="22"/>
          <w:szCs w:val="22"/>
          <w:highlight w:val="none"/>
        </w:rPr>
      </w:pPr>
      <w:r>
        <w:rPr>
          <w:rFonts w:hint="eastAsia" w:ascii="宋体" w:hAnsi="宋体" w:eastAsia="宋体" w:cs="宋体"/>
          <w:color w:val="auto"/>
          <w:sz w:val="22"/>
          <w:szCs w:val="22"/>
          <w:highlight w:val="none"/>
        </w:rPr>
        <w:t>18.</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 xml:space="preserve"> </w:t>
      </w:r>
      <w:r>
        <w:rPr>
          <w:rFonts w:hint="eastAsia" w:ascii="宋体" w:hAnsi="宋体" w:cs="宋体"/>
          <w:bCs/>
          <w:color w:val="auto"/>
          <w:sz w:val="22"/>
          <w:szCs w:val="22"/>
          <w:highlight w:val="none"/>
        </w:rPr>
        <w:t>开标过程中，供应商在收到工作人员“开始解密”指令后，请及时使用CA对电子投标文件进行解密。解密时所用CA应与加密投标文件时所用CA相同；</w:t>
      </w:r>
    </w:p>
    <w:p w14:paraId="296D6C93">
      <w:pPr>
        <w:spacing w:line="400" w:lineRule="exact"/>
        <w:ind w:firstLine="440" w:firstLineChars="200"/>
        <w:rPr>
          <w:rFonts w:hint="eastAsia" w:ascii="宋体" w:hAnsi="宋体" w:eastAsia="宋体" w:cs="宋体"/>
          <w:color w:val="auto"/>
          <w:sz w:val="22"/>
          <w:szCs w:val="22"/>
          <w:highlight w:val="none"/>
        </w:rPr>
      </w:pPr>
      <w:r>
        <w:rPr>
          <w:rFonts w:hint="eastAsia" w:ascii="宋体" w:hAnsi="宋体" w:cs="宋体"/>
          <w:bCs/>
          <w:color w:val="auto"/>
          <w:sz w:val="22"/>
          <w:szCs w:val="22"/>
          <w:highlight w:val="none"/>
        </w:rPr>
        <w:t>注：竞谈、磋商招标方式解密时间为30分钟，公开招标解密时间为60分钟，在解密时间内供应商全部解密完成后，可提前进入开标下一阶段</w:t>
      </w:r>
      <w:r>
        <w:rPr>
          <w:rFonts w:hint="eastAsia" w:ascii="宋体" w:hAnsi="宋体" w:eastAsia="宋体" w:cs="宋体"/>
          <w:color w:val="auto"/>
          <w:sz w:val="22"/>
          <w:szCs w:val="22"/>
          <w:highlight w:val="none"/>
        </w:rPr>
        <w:t>，由电子交易系统进行自动唱标。</w:t>
      </w:r>
    </w:p>
    <w:p w14:paraId="499E258F">
      <w:pPr>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 xml:space="preserve"> 采购代理机构将在开标会议现场做开标记录。</w:t>
      </w:r>
    </w:p>
    <w:p w14:paraId="75B222DC">
      <w:pPr>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 xml:space="preserve"> 在开标环节出现下列情况之一的，其电子及纸质投标文件视为无效文件：</w:t>
      </w:r>
    </w:p>
    <w:p w14:paraId="2D836509">
      <w:pPr>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（1）供应商拒绝对电子投标文件进行解密的；</w:t>
      </w:r>
    </w:p>
    <w:p w14:paraId="15FBFE98">
      <w:pPr>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（2）因供应商自身原因（如CA锁与制作电子投标文件使用的CA锁不一致、或沿用旧版招标文件编制投标文件等情形），导致在规定时间内无法解密投标文件的；</w:t>
      </w:r>
    </w:p>
    <w:p w14:paraId="0CC13329">
      <w:pPr>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（3）上传的电子投标文件无法打开的；</w:t>
      </w:r>
    </w:p>
    <w:p w14:paraId="1BE4EC84">
      <w:pPr>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（4）政府采购法律法规规定的其他无效情形。</w:t>
      </w:r>
    </w:p>
    <w:p w14:paraId="68616AA9">
      <w:pPr>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 xml:space="preserve"> 特殊情形下的应急处置</w:t>
      </w:r>
    </w:p>
    <w:p w14:paraId="2615F550">
      <w:pPr>
        <w:spacing w:line="400" w:lineRule="exact"/>
        <w:ind w:firstLine="440" w:firstLineChars="200"/>
        <w:rPr>
          <w:rFonts w:hint="eastAsia" w:ascii="宋体" w:hAnsi="宋体" w:eastAsia="宋体" w:cs="宋体"/>
          <w:color w:val="auto"/>
          <w:sz w:val="22"/>
          <w:szCs w:val="22"/>
          <w:highlight w:val="none"/>
        </w:rPr>
      </w:pPr>
      <w:r>
        <w:rPr>
          <w:rFonts w:hint="eastAsia" w:ascii="Times New Roman" w:hAnsi="宋体" w:eastAsia="宋体" w:cs="Times New Roman"/>
          <w:color w:val="auto"/>
          <w:sz w:val="22"/>
          <w:szCs w:val="22"/>
          <w:highlight w:val="none"/>
        </w:rPr>
        <w:t>在开标、评审过程中，如因停电、断网、电子化系统故障等特殊原因导致电子化开、评标无法正常进行时，视具体情况确定是否停止开评标活动。</w:t>
      </w:r>
    </w:p>
    <w:p w14:paraId="69D8FE74">
      <w:pPr>
        <w:spacing w:line="400" w:lineRule="exact"/>
        <w:ind w:firstLine="482" w:firstLineChars="200"/>
        <w:outlineLvl w:val="1"/>
        <w:rPr>
          <w:rFonts w:hint="eastAsia" w:ascii="宋体" w:hAnsi="宋体" w:eastAsia="宋体" w:cs="宋体"/>
          <w:b/>
          <w:color w:val="auto"/>
          <w:sz w:val="24"/>
          <w:highlight w:val="none"/>
        </w:rPr>
      </w:pPr>
      <w:bookmarkStart w:id="132" w:name="_Toc2126"/>
      <w:r>
        <w:rPr>
          <w:rFonts w:hint="eastAsia" w:ascii="宋体" w:hAnsi="宋体" w:eastAsia="宋体" w:cs="宋体"/>
          <w:b/>
          <w:color w:val="auto"/>
          <w:sz w:val="24"/>
          <w:highlight w:val="none"/>
        </w:rPr>
        <w:t>19．评标委员会</w:t>
      </w:r>
      <w:bookmarkEnd w:id="132"/>
    </w:p>
    <w:p w14:paraId="461DB986">
      <w:pPr>
        <w:spacing w:line="400" w:lineRule="exact"/>
        <w:ind w:firstLine="440" w:firstLineChars="200"/>
        <w:rPr>
          <w:rFonts w:hint="eastAsia" w:ascii="宋体" w:hAnsi="宋体" w:eastAsia="宋体" w:cs="宋体"/>
          <w:snapToGrid w:val="0"/>
          <w:color w:val="auto"/>
          <w:sz w:val="22"/>
          <w:szCs w:val="22"/>
          <w:highlight w:val="none"/>
        </w:rPr>
      </w:pPr>
      <w:r>
        <w:rPr>
          <w:rFonts w:hint="eastAsia" w:ascii="宋体" w:hAnsi="宋体" w:eastAsia="宋体" w:cs="宋体"/>
          <w:color w:val="auto"/>
          <w:sz w:val="22"/>
          <w:szCs w:val="22"/>
          <w:highlight w:val="none"/>
        </w:rPr>
        <w:t>19.1 采购人</w:t>
      </w:r>
      <w:r>
        <w:rPr>
          <w:rFonts w:hint="eastAsia" w:ascii="宋体" w:hAnsi="宋体" w:eastAsia="宋体" w:cs="宋体"/>
          <w:snapToGrid w:val="0"/>
          <w:color w:val="auto"/>
          <w:sz w:val="22"/>
          <w:szCs w:val="22"/>
          <w:highlight w:val="none"/>
        </w:rPr>
        <w:t>将按照《政府采购法》、《政府采购货物和服务招标投标管理办法》及有关规定组建评标委员会。</w:t>
      </w:r>
    </w:p>
    <w:p w14:paraId="25D55EDA">
      <w:pPr>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19.2 评标委员会由采购人代表及评审专家组成，专家从陕西省政府采购专家库中随机抽取产生</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具体人数详见投标人须知前附表</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w:t>
      </w:r>
    </w:p>
    <w:p w14:paraId="4D627DB0">
      <w:pPr>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19.3 评标委员会负责评标工作，对投标文件进行审查和评估，并向采购人提交书面评审意见。</w:t>
      </w:r>
    </w:p>
    <w:p w14:paraId="751677DC">
      <w:pPr>
        <w:spacing w:line="400" w:lineRule="exact"/>
        <w:ind w:firstLine="442" w:firstLineChars="200"/>
        <w:outlineLvl w:val="1"/>
        <w:rPr>
          <w:rFonts w:hint="eastAsia" w:ascii="宋体" w:hAnsi="宋体" w:eastAsia="宋体" w:cs="宋体"/>
          <w:b/>
          <w:color w:val="auto"/>
          <w:sz w:val="22"/>
          <w:szCs w:val="22"/>
          <w:highlight w:val="none"/>
        </w:rPr>
      </w:pPr>
      <w:bookmarkStart w:id="133" w:name="_Toc19707"/>
      <w:r>
        <w:rPr>
          <w:rFonts w:hint="eastAsia" w:ascii="宋体" w:hAnsi="宋体" w:eastAsia="宋体" w:cs="宋体"/>
          <w:b/>
          <w:color w:val="auto"/>
          <w:sz w:val="22"/>
          <w:szCs w:val="22"/>
          <w:highlight w:val="none"/>
        </w:rPr>
        <w:t>20．评标过程的保密性</w:t>
      </w:r>
      <w:bookmarkEnd w:id="133"/>
    </w:p>
    <w:p w14:paraId="357919F2">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20.1 公开开标后，直至发布中标公告时止，凡与审查、澄清、评价和比较投标的有关资料以及授标意见等，均属保密范围，评标委员会及招标工作人员不得向投标人及与评标无关的其他人透露。</w:t>
      </w:r>
    </w:p>
    <w:p w14:paraId="32955556">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20.2 在评标过程中，如果投标人试图在投标文件审查、澄清、比较及授予合同方面向评标委员会或采购人施加任何影响，其投标将被拒绝。</w:t>
      </w:r>
    </w:p>
    <w:p w14:paraId="62250783">
      <w:pPr>
        <w:spacing w:line="360" w:lineRule="auto"/>
        <w:ind w:firstLine="442" w:firstLineChars="200"/>
        <w:outlineLvl w:val="1"/>
        <w:rPr>
          <w:rFonts w:hint="eastAsia" w:ascii="宋体" w:hAnsi="宋体" w:eastAsia="宋体" w:cs="宋体"/>
          <w:b/>
          <w:color w:val="auto"/>
          <w:sz w:val="22"/>
          <w:szCs w:val="22"/>
          <w:highlight w:val="none"/>
        </w:rPr>
      </w:pPr>
      <w:bookmarkStart w:id="134" w:name="_Toc21060"/>
      <w:r>
        <w:rPr>
          <w:rFonts w:hint="eastAsia" w:ascii="宋体" w:hAnsi="宋体" w:eastAsia="宋体" w:cs="宋体"/>
          <w:b/>
          <w:color w:val="auto"/>
          <w:sz w:val="22"/>
          <w:szCs w:val="22"/>
          <w:highlight w:val="none"/>
        </w:rPr>
        <w:t>21、投标文件的澄清</w:t>
      </w:r>
      <w:bookmarkEnd w:id="134"/>
    </w:p>
    <w:p w14:paraId="5110D9E0">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21.1 在评标期间，为有助于对投标文件的审查、评价和比较，评标委员会可分别要求投标人对其投标文件进行澄清或说明，有关澄清或说明的要求和答复应以书面形式提交。澄清和说明的内容不得超出投标文件的范围或改变投标文件实质性内容。</w:t>
      </w:r>
    </w:p>
    <w:p w14:paraId="1DC895C1">
      <w:pPr>
        <w:spacing w:line="360" w:lineRule="auto"/>
        <w:ind w:firstLine="442" w:firstLineChars="200"/>
        <w:outlineLvl w:val="1"/>
        <w:rPr>
          <w:rFonts w:hint="eastAsia" w:ascii="宋体" w:hAnsi="宋体" w:eastAsia="宋体" w:cs="宋体"/>
          <w:b/>
          <w:color w:val="auto"/>
          <w:sz w:val="22"/>
          <w:szCs w:val="22"/>
          <w:highlight w:val="none"/>
        </w:rPr>
      </w:pPr>
      <w:bookmarkStart w:id="135" w:name="_Toc813"/>
      <w:r>
        <w:rPr>
          <w:rFonts w:hint="eastAsia" w:ascii="宋体" w:hAnsi="宋体" w:eastAsia="宋体" w:cs="宋体"/>
          <w:b/>
          <w:color w:val="auto"/>
          <w:sz w:val="22"/>
          <w:szCs w:val="22"/>
          <w:highlight w:val="none"/>
        </w:rPr>
        <w:t>22．投标文件的初审</w:t>
      </w:r>
      <w:bookmarkEnd w:id="135"/>
    </w:p>
    <w:p w14:paraId="1FACA62F">
      <w:pPr>
        <w:pStyle w:val="22"/>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22.1 开标后，由采购代理机构协助采购人共同依法对投标人的资格证明文件进行审查。</w:t>
      </w:r>
    </w:p>
    <w:tbl>
      <w:tblPr>
        <w:tblStyle w:val="25"/>
        <w:tblW w:w="9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57" w:type="dxa"/>
          <w:left w:w="57" w:type="dxa"/>
          <w:bottom w:w="57" w:type="dxa"/>
          <w:right w:w="57" w:type="dxa"/>
        </w:tblCellMar>
      </w:tblPr>
      <w:tblGrid>
        <w:gridCol w:w="682"/>
        <w:gridCol w:w="1886"/>
        <w:gridCol w:w="6604"/>
      </w:tblGrid>
      <w:tr w14:paraId="7D0A3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409" w:hRule="atLeast"/>
          <w:jc w:val="center"/>
        </w:trPr>
        <w:tc>
          <w:tcPr>
            <w:tcW w:w="6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AC25CC">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18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BB449E">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审查因素</w:t>
            </w:r>
          </w:p>
        </w:tc>
        <w:tc>
          <w:tcPr>
            <w:tcW w:w="66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72194C">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审查标准</w:t>
            </w:r>
          </w:p>
        </w:tc>
      </w:tr>
      <w:tr w14:paraId="30B97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666" w:hRule="atLeast"/>
          <w:jc w:val="center"/>
        </w:trPr>
        <w:tc>
          <w:tcPr>
            <w:tcW w:w="682" w:type="dxa"/>
            <w:tcBorders>
              <w:left w:val="single" w:color="auto" w:sz="4" w:space="0"/>
              <w:right w:val="single" w:color="auto" w:sz="4" w:space="0"/>
            </w:tcBorders>
            <w:shd w:val="clear" w:color="auto" w:fill="auto"/>
            <w:noWrap w:val="0"/>
            <w:vAlign w:val="center"/>
          </w:tcPr>
          <w:p w14:paraId="13884CFB">
            <w:pPr>
              <w:keepNext w:val="0"/>
              <w:keepLines w:val="0"/>
              <w:suppressLineNumbers w:val="0"/>
              <w:spacing w:before="0" w:beforeAutospacing="0" w:after="0" w:afterAutospacing="0" w:line="300" w:lineRule="exact"/>
              <w:ind w:left="0" w:right="0" w:firstLine="220" w:firstLineChars="1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w:t>
            </w:r>
          </w:p>
        </w:tc>
        <w:tc>
          <w:tcPr>
            <w:tcW w:w="18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A107CD">
            <w:pPr>
              <w:keepNext w:val="0"/>
              <w:keepLines w:val="0"/>
              <w:suppressLineNumbers w:val="0"/>
              <w:spacing w:before="0" w:beforeAutospacing="0" w:after="0" w:afterAutospacing="0" w:line="30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有效的主体资格</w:t>
            </w:r>
          </w:p>
          <w:p w14:paraId="4BF4D663">
            <w:pPr>
              <w:keepNext w:val="0"/>
              <w:keepLines w:val="0"/>
              <w:suppressLineNumbers w:val="0"/>
              <w:spacing w:before="0" w:beforeAutospacing="0" w:after="0" w:afterAutospacing="0" w:line="30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证明</w:t>
            </w:r>
          </w:p>
        </w:tc>
        <w:tc>
          <w:tcPr>
            <w:tcW w:w="66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C1EFBA">
            <w:pPr>
              <w:keepNext w:val="0"/>
              <w:keepLines w:val="0"/>
              <w:suppressLineNumbers w:val="0"/>
              <w:spacing w:before="0" w:beforeAutospacing="0" w:after="0" w:afterAutospacing="0" w:line="300" w:lineRule="exact"/>
              <w:ind w:left="0" w:right="0"/>
              <w:rPr>
                <w:rFonts w:hint="eastAsia" w:ascii="宋体" w:hAnsi="宋体" w:eastAsia="宋体" w:cs="宋体"/>
                <w:color w:val="auto"/>
                <w:sz w:val="22"/>
                <w:szCs w:val="22"/>
                <w:highlight w:val="none"/>
              </w:rPr>
            </w:pPr>
            <w:r>
              <w:rPr>
                <w:rFonts w:hint="eastAsia" w:ascii="宋体" w:hAnsi="宋体" w:eastAsia="宋体" w:cs="宋体"/>
                <w:sz w:val="22"/>
                <w:szCs w:val="22"/>
                <w:highlight w:val="none"/>
              </w:rPr>
              <w:t>投标人为具有独立承担民事责任能力的法人</w:t>
            </w:r>
            <w:r>
              <w:rPr>
                <w:rFonts w:hint="eastAsia" w:ascii="宋体" w:hAnsi="宋体" w:cs="宋体"/>
                <w:sz w:val="22"/>
                <w:szCs w:val="22"/>
                <w:highlight w:val="none"/>
                <w:lang w:eastAsia="zh-CN"/>
              </w:rPr>
              <w:t>；</w:t>
            </w:r>
            <w:r>
              <w:rPr>
                <w:rFonts w:hint="eastAsia" w:ascii="宋体" w:hAnsi="宋体" w:eastAsia="宋体" w:cs="宋体"/>
                <w:sz w:val="22"/>
                <w:szCs w:val="22"/>
                <w:highlight w:val="none"/>
              </w:rPr>
              <w:t>企业法人应提供合法有效的标识有统一社会信用代码的营业执照；</w:t>
            </w:r>
          </w:p>
        </w:tc>
      </w:tr>
      <w:tr w14:paraId="6B11A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376" w:hRule="atLeast"/>
          <w:jc w:val="center"/>
        </w:trPr>
        <w:tc>
          <w:tcPr>
            <w:tcW w:w="682" w:type="dxa"/>
            <w:tcBorders>
              <w:left w:val="single" w:color="auto" w:sz="4" w:space="0"/>
              <w:right w:val="single" w:color="auto" w:sz="4" w:space="0"/>
            </w:tcBorders>
            <w:shd w:val="clear" w:color="auto" w:fill="auto"/>
            <w:noWrap w:val="0"/>
            <w:vAlign w:val="center"/>
          </w:tcPr>
          <w:p w14:paraId="09FEE14C">
            <w:pPr>
              <w:keepNext w:val="0"/>
              <w:keepLines w:val="0"/>
              <w:suppressLineNumbers w:val="0"/>
              <w:spacing w:before="0" w:beforeAutospacing="0" w:after="0" w:afterAutospacing="0" w:line="300" w:lineRule="exact"/>
              <w:ind w:left="0" w:right="0" w:firstLine="220" w:firstLineChars="100"/>
              <w:rPr>
                <w:rFonts w:hint="default"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2</w:t>
            </w:r>
          </w:p>
        </w:tc>
        <w:tc>
          <w:tcPr>
            <w:tcW w:w="18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AC7E18">
            <w:pPr>
              <w:keepNext w:val="0"/>
              <w:keepLines w:val="0"/>
              <w:suppressLineNumbers w:val="0"/>
              <w:spacing w:before="0" w:beforeAutospacing="0" w:after="0" w:afterAutospacing="0" w:line="300" w:lineRule="exact"/>
              <w:ind w:left="0" w:right="0"/>
              <w:jc w:val="center"/>
              <w:rPr>
                <w:rFonts w:hint="eastAsia" w:ascii="宋体" w:hAnsi="宋体" w:eastAsia="宋体" w:cs="宋体"/>
                <w:b w:val="0"/>
                <w:i w:val="0"/>
                <w:caps w:val="0"/>
                <w:color w:val="auto"/>
                <w:spacing w:val="0"/>
                <w:sz w:val="22"/>
                <w:szCs w:val="22"/>
                <w:highlight w:val="none"/>
                <w:shd w:val="clear" w:color="auto" w:fill="FFFFFF"/>
                <w:lang w:eastAsia="zh-CN"/>
              </w:rPr>
            </w:pPr>
            <w:r>
              <w:rPr>
                <w:rFonts w:hint="eastAsia" w:ascii="宋体" w:hAnsi="宋体" w:eastAsia="宋体" w:cs="宋体"/>
                <w:sz w:val="24"/>
                <w:szCs w:val="24"/>
                <w:highlight w:val="none"/>
              </w:rPr>
              <w:t>财务状况报告</w:t>
            </w:r>
            <w:r>
              <w:rPr>
                <w:rFonts w:hint="eastAsia" w:ascii="宋体" w:hAnsi="宋体" w:eastAsia="宋体" w:cs="宋体"/>
                <w:sz w:val="24"/>
                <w:szCs w:val="24"/>
                <w:highlight w:val="none"/>
              </w:rPr>
              <w:br w:type="textWrapping"/>
            </w:r>
          </w:p>
        </w:tc>
        <w:tc>
          <w:tcPr>
            <w:tcW w:w="66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EDCBDB">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both"/>
              <w:rPr>
                <w:rFonts w:hint="eastAsia" w:asciiTheme="minorEastAsia" w:hAnsiTheme="minorEastAsia" w:eastAsiaTheme="minorEastAsia" w:cstheme="minorEastAsia"/>
                <w:b w:val="0"/>
                <w:bCs w:val="0"/>
                <w:i w:val="0"/>
                <w:caps w:val="0"/>
                <w:color w:val="auto"/>
                <w:spacing w:val="0"/>
                <w:sz w:val="22"/>
                <w:szCs w:val="22"/>
                <w:highlight w:val="none"/>
                <w:shd w:val="clear" w:fill="FFFFFF"/>
              </w:rPr>
            </w:pPr>
            <w:r>
              <w:rPr>
                <w:rFonts w:hint="eastAsia" w:ascii="宋体" w:hAnsi="宋体" w:eastAsia="宋体" w:cs="宋体"/>
                <w:sz w:val="22"/>
                <w:szCs w:val="22"/>
                <w:highlight w:val="none"/>
              </w:rPr>
              <w:t>提供完整的2024年度赋码财务审计报告，成立时间至提交投标文件截止时间不足一年的提供其基本账户开户银行出具的资信证明及基本账户开户许可证；（注：2022年后已在注册会计师行业统一监管平台（http://acc.mof.gov.cn/）报备的财务审计报告须可查询，并提供网页查询截图。）</w:t>
            </w:r>
          </w:p>
        </w:tc>
      </w:tr>
      <w:tr w14:paraId="6BB2F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376" w:hRule="atLeast"/>
          <w:jc w:val="center"/>
        </w:trPr>
        <w:tc>
          <w:tcPr>
            <w:tcW w:w="682" w:type="dxa"/>
            <w:tcBorders>
              <w:left w:val="single" w:color="auto" w:sz="4" w:space="0"/>
              <w:right w:val="single" w:color="auto" w:sz="4" w:space="0"/>
            </w:tcBorders>
            <w:shd w:val="clear" w:color="auto" w:fill="auto"/>
            <w:noWrap w:val="0"/>
            <w:vAlign w:val="center"/>
          </w:tcPr>
          <w:p w14:paraId="4FF9255C">
            <w:pPr>
              <w:keepNext w:val="0"/>
              <w:keepLines w:val="0"/>
              <w:suppressLineNumbers w:val="0"/>
              <w:spacing w:before="0" w:beforeAutospacing="0" w:after="0" w:afterAutospacing="0" w:line="300" w:lineRule="exact"/>
              <w:ind w:left="0" w:right="0" w:firstLine="220" w:firstLineChars="100"/>
              <w:rPr>
                <w:rFonts w:hint="default"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3</w:t>
            </w:r>
          </w:p>
        </w:tc>
        <w:tc>
          <w:tcPr>
            <w:tcW w:w="18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A9D051">
            <w:pPr>
              <w:keepNext w:val="0"/>
              <w:keepLines w:val="0"/>
              <w:suppressLineNumbers w:val="0"/>
              <w:spacing w:before="0" w:beforeAutospacing="0" w:after="0" w:afterAutospacing="0" w:line="300" w:lineRule="exact"/>
              <w:ind w:left="0" w:leftChars="0" w:right="0" w:rightChars="0"/>
              <w:jc w:val="center"/>
              <w:rPr>
                <w:rFonts w:hint="eastAsia" w:ascii="宋体" w:hAnsi="宋体" w:eastAsia="宋体" w:cs="宋体"/>
                <w:sz w:val="24"/>
                <w:szCs w:val="24"/>
                <w:highlight w:val="none"/>
              </w:rPr>
            </w:pPr>
            <w:r>
              <w:rPr>
                <w:rFonts w:hint="eastAsia" w:ascii="宋体" w:hAnsi="宋体" w:eastAsia="宋体" w:cs="宋体"/>
                <w:b w:val="0"/>
                <w:bCs w:val="0"/>
                <w:color w:val="auto"/>
                <w:sz w:val="22"/>
                <w:szCs w:val="22"/>
                <w:highlight w:val="none"/>
                <w:u w:val="none"/>
              </w:rPr>
              <w:t>社会保障资金缴纳证明</w:t>
            </w:r>
          </w:p>
        </w:tc>
        <w:tc>
          <w:tcPr>
            <w:tcW w:w="66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084644">
            <w:pPr>
              <w:keepNext w:val="0"/>
              <w:keepLines w:val="0"/>
              <w:suppressLineNumbers w:val="0"/>
              <w:spacing w:before="0" w:beforeAutospacing="0" w:after="0" w:afterAutospacing="0" w:line="300" w:lineRule="exact"/>
              <w:ind w:left="0" w:leftChars="0" w:right="0" w:rightChars="0"/>
              <w:rPr>
                <w:rFonts w:hint="eastAsia" w:ascii="宋体" w:hAnsi="宋体" w:eastAsia="宋体" w:cs="宋体"/>
                <w:sz w:val="22"/>
                <w:szCs w:val="22"/>
                <w:highlight w:val="none"/>
              </w:rPr>
            </w:pPr>
            <w:r>
              <w:rPr>
                <w:rFonts w:hint="eastAsia" w:ascii="宋体" w:hAnsi="宋体" w:eastAsia="宋体" w:cs="宋体"/>
                <w:b w:val="0"/>
                <w:bCs w:val="0"/>
                <w:color w:val="auto"/>
                <w:sz w:val="22"/>
                <w:szCs w:val="22"/>
                <w:highlight w:val="none"/>
                <w:u w:val="none"/>
              </w:rPr>
              <w:t>提供202</w:t>
            </w:r>
            <w:r>
              <w:rPr>
                <w:rFonts w:hint="eastAsia" w:ascii="宋体" w:hAnsi="宋体" w:cs="宋体"/>
                <w:b w:val="0"/>
                <w:bCs w:val="0"/>
                <w:color w:val="auto"/>
                <w:sz w:val="22"/>
                <w:szCs w:val="22"/>
                <w:highlight w:val="none"/>
                <w:u w:val="none"/>
                <w:lang w:val="en-US" w:eastAsia="zh-CN"/>
              </w:rPr>
              <w:t>5</w:t>
            </w:r>
            <w:r>
              <w:rPr>
                <w:rFonts w:hint="eastAsia" w:ascii="宋体" w:hAnsi="宋体" w:eastAsia="宋体" w:cs="宋体"/>
                <w:b w:val="0"/>
                <w:bCs w:val="0"/>
                <w:color w:val="auto"/>
                <w:sz w:val="22"/>
                <w:szCs w:val="22"/>
                <w:highlight w:val="none"/>
                <w:u w:val="none"/>
              </w:rPr>
              <w:t>年</w:t>
            </w:r>
            <w:r>
              <w:rPr>
                <w:rFonts w:hint="eastAsia" w:ascii="宋体" w:hAnsi="宋体" w:cs="宋体"/>
                <w:b w:val="0"/>
                <w:bCs w:val="0"/>
                <w:color w:val="auto"/>
                <w:sz w:val="22"/>
                <w:szCs w:val="22"/>
                <w:highlight w:val="none"/>
                <w:u w:val="none"/>
                <w:lang w:val="en-US" w:eastAsia="zh-CN"/>
              </w:rPr>
              <w:t>1</w:t>
            </w:r>
            <w:r>
              <w:rPr>
                <w:rFonts w:hint="eastAsia" w:ascii="宋体" w:hAnsi="宋体" w:eastAsia="宋体" w:cs="宋体"/>
                <w:b w:val="0"/>
                <w:bCs w:val="0"/>
                <w:color w:val="auto"/>
                <w:sz w:val="22"/>
                <w:szCs w:val="22"/>
                <w:highlight w:val="none"/>
                <w:u w:val="none"/>
              </w:rPr>
              <w:t>月至</w:t>
            </w:r>
            <w:r>
              <w:rPr>
                <w:rFonts w:hint="eastAsia" w:ascii="宋体" w:hAnsi="宋体" w:cs="宋体"/>
                <w:color w:val="auto"/>
                <w:sz w:val="22"/>
                <w:szCs w:val="22"/>
                <w:highlight w:val="none"/>
                <w:lang w:val="en-US" w:eastAsia="zh-CN"/>
              </w:rPr>
              <w:t>投标</w:t>
            </w:r>
            <w:r>
              <w:rPr>
                <w:rFonts w:hint="eastAsia" w:ascii="宋体" w:hAnsi="宋体" w:eastAsia="宋体" w:cs="宋体"/>
                <w:b w:val="0"/>
                <w:bCs w:val="0"/>
                <w:color w:val="auto"/>
                <w:sz w:val="22"/>
                <w:szCs w:val="22"/>
                <w:highlight w:val="none"/>
                <w:u w:val="none"/>
              </w:rPr>
              <w:t>截止时间止至少</w:t>
            </w:r>
            <w:r>
              <w:rPr>
                <w:rFonts w:hint="eastAsia" w:ascii="宋体" w:hAnsi="宋体" w:cs="宋体"/>
                <w:b w:val="0"/>
                <w:bCs w:val="0"/>
                <w:color w:val="auto"/>
                <w:sz w:val="22"/>
                <w:szCs w:val="22"/>
                <w:highlight w:val="none"/>
                <w:u w:val="none"/>
                <w:lang w:val="en-US" w:eastAsia="zh-CN"/>
              </w:rPr>
              <w:t>1</w:t>
            </w:r>
            <w:r>
              <w:rPr>
                <w:rFonts w:hint="eastAsia" w:ascii="宋体" w:hAnsi="宋体" w:eastAsia="宋体" w:cs="宋体"/>
                <w:b w:val="0"/>
                <w:bCs w:val="0"/>
                <w:color w:val="auto"/>
                <w:sz w:val="22"/>
                <w:szCs w:val="22"/>
                <w:highlight w:val="none"/>
                <w:u w:val="none"/>
              </w:rPr>
              <w:t>个月的社会保障资金银行缴费单据或社保机构开具的社会保险参保缴费情况证明</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五险一金任意一项即可）</w:t>
            </w:r>
            <w:r>
              <w:rPr>
                <w:rFonts w:hint="eastAsia" w:ascii="宋体" w:hAnsi="宋体" w:eastAsia="宋体" w:cs="宋体"/>
                <w:b w:val="0"/>
                <w:bCs w:val="0"/>
                <w:color w:val="auto"/>
                <w:sz w:val="22"/>
                <w:szCs w:val="22"/>
                <w:highlight w:val="none"/>
                <w:u w:val="none"/>
              </w:rPr>
              <w:t>，依法不需要缴纳社会保障资金的单位应提供相关证明材料（加盖公章的复印件）；</w:t>
            </w:r>
          </w:p>
        </w:tc>
      </w:tr>
      <w:tr w14:paraId="2C70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376" w:hRule="atLeast"/>
          <w:jc w:val="center"/>
        </w:trPr>
        <w:tc>
          <w:tcPr>
            <w:tcW w:w="682" w:type="dxa"/>
            <w:tcBorders>
              <w:left w:val="single" w:color="auto" w:sz="4" w:space="0"/>
              <w:right w:val="single" w:color="auto" w:sz="4" w:space="0"/>
            </w:tcBorders>
            <w:shd w:val="clear" w:color="auto" w:fill="auto"/>
            <w:noWrap w:val="0"/>
            <w:vAlign w:val="center"/>
          </w:tcPr>
          <w:p w14:paraId="523E9AE8">
            <w:pPr>
              <w:keepNext w:val="0"/>
              <w:keepLines w:val="0"/>
              <w:suppressLineNumbers w:val="0"/>
              <w:spacing w:before="0" w:beforeAutospacing="0" w:after="0" w:afterAutospacing="0" w:line="300" w:lineRule="exact"/>
              <w:ind w:left="0" w:right="0" w:firstLine="220" w:firstLineChars="100"/>
              <w:rPr>
                <w:rFonts w:hint="eastAsia"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4</w:t>
            </w:r>
          </w:p>
        </w:tc>
        <w:tc>
          <w:tcPr>
            <w:tcW w:w="18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A84B4D">
            <w:pPr>
              <w:keepNext w:val="0"/>
              <w:keepLines w:val="0"/>
              <w:suppressLineNumbers w:val="0"/>
              <w:spacing w:before="0" w:beforeAutospacing="0" w:after="0" w:afterAutospacing="0" w:line="300" w:lineRule="exact"/>
              <w:ind w:left="0" w:right="0"/>
              <w:jc w:val="center"/>
              <w:rPr>
                <w:rFonts w:hint="eastAsia" w:ascii="宋体" w:hAnsi="宋体" w:eastAsia="宋体" w:cs="宋体"/>
                <w:color w:val="auto"/>
                <w:sz w:val="22"/>
                <w:szCs w:val="22"/>
                <w:highlight w:val="none"/>
                <w:lang w:eastAsia="zh-CN"/>
              </w:rPr>
            </w:pPr>
            <w:r>
              <w:rPr>
                <w:rFonts w:hint="eastAsia" w:ascii="宋体" w:hAnsi="宋体" w:eastAsia="宋体" w:cs="宋体"/>
                <w:b w:val="0"/>
                <w:i w:val="0"/>
                <w:caps w:val="0"/>
                <w:color w:val="auto"/>
                <w:spacing w:val="0"/>
                <w:sz w:val="22"/>
                <w:szCs w:val="22"/>
                <w:highlight w:val="none"/>
                <w:shd w:val="clear" w:color="auto" w:fill="FFFFFF"/>
                <w:lang w:eastAsia="zh-CN"/>
              </w:rPr>
              <w:t>税收缴纳证明</w:t>
            </w:r>
          </w:p>
        </w:tc>
        <w:tc>
          <w:tcPr>
            <w:tcW w:w="66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54D667">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both"/>
              <w:rPr>
                <w:rFonts w:hint="eastAsia" w:ascii="宋体" w:hAnsi="宋体" w:eastAsia="宋体" w:cs="宋体"/>
                <w:color w:val="auto"/>
                <w:sz w:val="22"/>
                <w:szCs w:val="22"/>
                <w:highlight w:val="none"/>
              </w:rPr>
            </w:pPr>
            <w:r>
              <w:rPr>
                <w:rFonts w:hint="eastAsia" w:asciiTheme="minorEastAsia" w:hAnsiTheme="minorEastAsia" w:eastAsiaTheme="minorEastAsia" w:cstheme="minorEastAsia"/>
                <w:b w:val="0"/>
                <w:bCs w:val="0"/>
                <w:i w:val="0"/>
                <w:caps w:val="0"/>
                <w:color w:val="auto"/>
                <w:spacing w:val="0"/>
                <w:sz w:val="22"/>
                <w:szCs w:val="22"/>
                <w:highlight w:val="none"/>
                <w:shd w:val="clear" w:fill="FFFFFF"/>
              </w:rPr>
              <w:t>提供20</w:t>
            </w:r>
            <w:r>
              <w:rPr>
                <w:rFonts w:hint="eastAsia" w:asciiTheme="minorEastAsia" w:hAnsiTheme="minorEastAsia" w:eastAsiaTheme="minorEastAsia" w:cstheme="minorEastAsia"/>
                <w:b w:val="0"/>
                <w:bCs w:val="0"/>
                <w:i w:val="0"/>
                <w:caps w:val="0"/>
                <w:color w:val="auto"/>
                <w:spacing w:val="0"/>
                <w:sz w:val="22"/>
                <w:szCs w:val="22"/>
                <w:highlight w:val="none"/>
                <w:shd w:val="clear" w:fill="FFFFFF"/>
                <w:lang w:val="en-US" w:eastAsia="zh-CN"/>
              </w:rPr>
              <w:t>25</w:t>
            </w:r>
            <w:r>
              <w:rPr>
                <w:rFonts w:hint="eastAsia" w:asciiTheme="minorEastAsia" w:hAnsiTheme="minorEastAsia" w:eastAsiaTheme="minorEastAsia" w:cstheme="minorEastAsia"/>
                <w:b w:val="0"/>
                <w:bCs w:val="0"/>
                <w:i w:val="0"/>
                <w:caps w:val="0"/>
                <w:color w:val="auto"/>
                <w:spacing w:val="0"/>
                <w:sz w:val="22"/>
                <w:szCs w:val="22"/>
                <w:highlight w:val="none"/>
                <w:shd w:val="clear" w:fill="FFFFFF"/>
              </w:rPr>
              <w:t>年</w:t>
            </w:r>
            <w:r>
              <w:rPr>
                <w:rFonts w:hint="eastAsia" w:asciiTheme="minorEastAsia" w:hAnsiTheme="minorEastAsia" w:eastAsiaTheme="minorEastAsia" w:cstheme="minorEastAsia"/>
                <w:b w:val="0"/>
                <w:bCs w:val="0"/>
                <w:i w:val="0"/>
                <w:caps w:val="0"/>
                <w:color w:val="auto"/>
                <w:spacing w:val="0"/>
                <w:sz w:val="22"/>
                <w:szCs w:val="22"/>
                <w:highlight w:val="none"/>
                <w:shd w:val="clear" w:fill="FFFFFF"/>
                <w:lang w:val="en-US" w:eastAsia="zh-CN"/>
              </w:rPr>
              <w:t>1</w:t>
            </w:r>
            <w:r>
              <w:rPr>
                <w:rFonts w:hint="eastAsia" w:asciiTheme="minorEastAsia" w:hAnsiTheme="minorEastAsia" w:eastAsiaTheme="minorEastAsia" w:cstheme="minorEastAsia"/>
                <w:b w:val="0"/>
                <w:bCs w:val="0"/>
                <w:i w:val="0"/>
                <w:caps w:val="0"/>
                <w:color w:val="auto"/>
                <w:spacing w:val="0"/>
                <w:sz w:val="22"/>
                <w:szCs w:val="22"/>
                <w:highlight w:val="none"/>
                <w:shd w:val="clear" w:fill="FFFFFF"/>
              </w:rPr>
              <w:t>月至</w:t>
            </w:r>
            <w:r>
              <w:rPr>
                <w:rFonts w:hint="eastAsia" w:ascii="宋体" w:hAnsi="宋体" w:cs="宋体"/>
                <w:color w:val="auto"/>
                <w:sz w:val="22"/>
                <w:szCs w:val="22"/>
                <w:highlight w:val="none"/>
                <w:lang w:val="en-US" w:eastAsia="zh-CN"/>
              </w:rPr>
              <w:t>投标</w:t>
            </w:r>
            <w:r>
              <w:rPr>
                <w:rFonts w:hint="eastAsia" w:asciiTheme="minorEastAsia" w:hAnsiTheme="minorEastAsia" w:eastAsiaTheme="minorEastAsia" w:cstheme="minorEastAsia"/>
                <w:b w:val="0"/>
                <w:bCs w:val="0"/>
                <w:i w:val="0"/>
                <w:caps w:val="0"/>
                <w:color w:val="auto"/>
                <w:spacing w:val="0"/>
                <w:sz w:val="22"/>
                <w:szCs w:val="22"/>
                <w:highlight w:val="none"/>
                <w:shd w:val="clear" w:fill="FFFFFF"/>
              </w:rPr>
              <w:t>截止时间止至少</w:t>
            </w:r>
            <w:r>
              <w:rPr>
                <w:rFonts w:hint="eastAsia" w:asciiTheme="minorEastAsia" w:hAnsiTheme="minorEastAsia" w:eastAsiaTheme="minorEastAsia" w:cstheme="minorEastAsia"/>
                <w:b w:val="0"/>
                <w:bCs w:val="0"/>
                <w:i w:val="0"/>
                <w:caps w:val="0"/>
                <w:color w:val="auto"/>
                <w:spacing w:val="0"/>
                <w:sz w:val="22"/>
                <w:szCs w:val="22"/>
                <w:highlight w:val="none"/>
                <w:shd w:val="clear" w:fill="FFFFFF"/>
                <w:lang w:val="en-US" w:eastAsia="zh-CN"/>
              </w:rPr>
              <w:t>1</w:t>
            </w:r>
            <w:r>
              <w:rPr>
                <w:rFonts w:hint="eastAsia" w:asciiTheme="minorEastAsia" w:hAnsiTheme="minorEastAsia" w:eastAsiaTheme="minorEastAsia" w:cstheme="minorEastAsia"/>
                <w:b w:val="0"/>
                <w:bCs w:val="0"/>
                <w:i w:val="0"/>
                <w:caps w:val="0"/>
                <w:color w:val="auto"/>
                <w:spacing w:val="0"/>
                <w:sz w:val="22"/>
                <w:szCs w:val="22"/>
                <w:highlight w:val="none"/>
                <w:shd w:val="clear" w:fill="FFFFFF"/>
              </w:rPr>
              <w:t>个月的纳税证明（银行缴费凭证）或完税证明（时间以税款所属日期为准、税种须包含增值税或企业所得税或营业税），依法免税的单位应提供相关证明材料；</w:t>
            </w:r>
          </w:p>
        </w:tc>
      </w:tr>
      <w:tr w14:paraId="24FB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90" w:hRule="atLeast"/>
          <w:jc w:val="center"/>
        </w:trPr>
        <w:tc>
          <w:tcPr>
            <w:tcW w:w="682" w:type="dxa"/>
            <w:tcBorders>
              <w:left w:val="single" w:color="auto" w:sz="4" w:space="0"/>
              <w:right w:val="single" w:color="auto" w:sz="4" w:space="0"/>
            </w:tcBorders>
            <w:shd w:val="clear" w:color="auto" w:fill="auto"/>
            <w:noWrap w:val="0"/>
            <w:vAlign w:val="center"/>
          </w:tcPr>
          <w:p w14:paraId="79D36D82">
            <w:pPr>
              <w:keepNext w:val="0"/>
              <w:keepLines w:val="0"/>
              <w:suppressLineNumbers w:val="0"/>
              <w:spacing w:before="0" w:beforeAutospacing="0" w:after="0" w:afterAutospacing="0" w:line="300" w:lineRule="exact"/>
              <w:ind w:left="0" w:right="0"/>
              <w:jc w:val="center"/>
              <w:rPr>
                <w:rFonts w:hint="eastAsia" w:ascii="宋体" w:hAnsi="宋体" w:eastAsia="宋体" w:cs="宋体"/>
                <w:b w:val="0"/>
                <w:bCs w:val="0"/>
                <w:color w:val="auto"/>
                <w:sz w:val="22"/>
                <w:szCs w:val="22"/>
                <w:highlight w:val="none"/>
                <w:lang w:eastAsia="zh-CN"/>
              </w:rPr>
            </w:pPr>
            <w:r>
              <w:rPr>
                <w:rFonts w:hint="eastAsia" w:ascii="宋体" w:hAnsi="宋体" w:cs="宋体"/>
                <w:b w:val="0"/>
                <w:bCs w:val="0"/>
                <w:color w:val="auto"/>
                <w:sz w:val="22"/>
                <w:szCs w:val="22"/>
                <w:highlight w:val="none"/>
                <w:lang w:val="en-US" w:eastAsia="zh-CN"/>
              </w:rPr>
              <w:t>5</w:t>
            </w:r>
          </w:p>
        </w:tc>
        <w:tc>
          <w:tcPr>
            <w:tcW w:w="18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E44569">
            <w:pPr>
              <w:keepNext w:val="0"/>
              <w:keepLines w:val="0"/>
              <w:suppressLineNumbers w:val="0"/>
              <w:spacing w:before="0" w:beforeAutospacing="0" w:after="0" w:afterAutospacing="0" w:line="300" w:lineRule="exact"/>
              <w:ind w:left="0" w:leftChars="0" w:right="0" w:rightChars="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无违纪</w:t>
            </w:r>
            <w:r>
              <w:rPr>
                <w:rFonts w:hint="eastAsia" w:ascii="宋体" w:hAnsi="宋体" w:eastAsia="宋体" w:cs="宋体"/>
                <w:color w:val="auto"/>
                <w:sz w:val="22"/>
                <w:szCs w:val="22"/>
                <w:highlight w:val="none"/>
              </w:rPr>
              <w:t>声明</w:t>
            </w:r>
          </w:p>
        </w:tc>
        <w:tc>
          <w:tcPr>
            <w:tcW w:w="66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3A9855">
            <w:pPr>
              <w:keepNext w:val="0"/>
              <w:keepLines w:val="0"/>
              <w:suppressLineNumbers w:val="0"/>
              <w:spacing w:before="0" w:beforeAutospacing="0" w:after="0" w:afterAutospacing="0" w:line="300" w:lineRule="exact"/>
              <w:ind w:left="0" w:leftChars="0" w:right="0" w:rightChars="0"/>
              <w:rPr>
                <w:rFonts w:hint="eastAsia" w:ascii="宋体" w:hAnsi="宋体" w:eastAsia="宋体" w:cs="宋体"/>
                <w:color w:val="auto"/>
                <w:sz w:val="22"/>
                <w:szCs w:val="22"/>
                <w:highlight w:val="none"/>
              </w:rPr>
            </w:pPr>
            <w:r>
              <w:rPr>
                <w:rFonts w:hint="eastAsia" w:ascii="宋体" w:hAnsi="宋体" w:eastAsia="宋体" w:cs="宋体"/>
                <w:b w:val="0"/>
                <w:bCs w:val="0"/>
                <w:color w:val="auto"/>
                <w:sz w:val="22"/>
                <w:szCs w:val="22"/>
                <w:highlight w:val="none"/>
                <w:u w:val="none"/>
              </w:rPr>
              <w:t>参加政府采购活动前三年内，在经营活动中没有重大违法记录的书面声明</w:t>
            </w:r>
          </w:p>
        </w:tc>
      </w:tr>
      <w:tr w14:paraId="7380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90" w:hRule="atLeast"/>
          <w:jc w:val="center"/>
        </w:trPr>
        <w:tc>
          <w:tcPr>
            <w:tcW w:w="682" w:type="dxa"/>
            <w:tcBorders>
              <w:left w:val="single" w:color="auto" w:sz="4" w:space="0"/>
              <w:right w:val="single" w:color="auto" w:sz="4" w:space="0"/>
            </w:tcBorders>
            <w:shd w:val="clear" w:color="auto" w:fill="auto"/>
            <w:noWrap w:val="0"/>
            <w:vAlign w:val="center"/>
          </w:tcPr>
          <w:p w14:paraId="367006A5">
            <w:pPr>
              <w:keepNext w:val="0"/>
              <w:keepLines w:val="0"/>
              <w:suppressLineNumbers w:val="0"/>
              <w:spacing w:before="0" w:beforeAutospacing="0" w:after="0" w:afterAutospacing="0" w:line="300" w:lineRule="exact"/>
              <w:ind w:left="0" w:right="0"/>
              <w:jc w:val="center"/>
              <w:rPr>
                <w:rFonts w:hint="eastAsia" w:ascii="宋体" w:hAnsi="宋体" w:eastAsia="宋体" w:cs="宋体"/>
                <w:b w:val="0"/>
                <w:bCs w:val="0"/>
                <w:color w:val="auto"/>
                <w:sz w:val="22"/>
                <w:szCs w:val="22"/>
                <w:highlight w:val="none"/>
                <w:lang w:eastAsia="zh-CN"/>
              </w:rPr>
            </w:pPr>
            <w:r>
              <w:rPr>
                <w:rFonts w:hint="eastAsia" w:ascii="宋体" w:hAnsi="宋体" w:cs="宋体"/>
                <w:b w:val="0"/>
                <w:bCs w:val="0"/>
                <w:color w:val="auto"/>
                <w:sz w:val="22"/>
                <w:szCs w:val="22"/>
                <w:highlight w:val="none"/>
                <w:lang w:val="en-US" w:eastAsia="zh-CN"/>
              </w:rPr>
              <w:t>6</w:t>
            </w:r>
          </w:p>
        </w:tc>
        <w:tc>
          <w:tcPr>
            <w:tcW w:w="18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4A9512">
            <w:pPr>
              <w:keepNext w:val="0"/>
              <w:keepLines w:val="0"/>
              <w:suppressLineNumbers w:val="0"/>
              <w:spacing w:before="0" w:beforeAutospacing="0" w:after="0" w:afterAutospacing="0" w:line="300" w:lineRule="exact"/>
              <w:ind w:left="0" w:leftChars="0" w:right="0" w:right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履行合同能力的证明资料或承诺书</w:t>
            </w:r>
          </w:p>
        </w:tc>
        <w:tc>
          <w:tcPr>
            <w:tcW w:w="66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D0A331">
            <w:pPr>
              <w:keepNext w:val="0"/>
              <w:keepLines w:val="0"/>
              <w:suppressLineNumbers w:val="0"/>
              <w:spacing w:before="0" w:beforeAutospacing="0" w:after="0" w:afterAutospacing="0" w:line="300" w:lineRule="exact"/>
              <w:ind w:left="0" w:leftChars="0" w:right="0" w:rightChars="0"/>
              <w:rPr>
                <w:rFonts w:hint="eastAsia" w:ascii="宋体" w:hAnsi="宋体" w:eastAsia="宋体" w:cs="宋体"/>
                <w:color w:val="auto"/>
                <w:sz w:val="22"/>
                <w:szCs w:val="22"/>
                <w:highlight w:val="none"/>
                <w:lang w:val="en-US" w:eastAsia="zh-CN"/>
              </w:rPr>
            </w:pPr>
            <w:r>
              <w:rPr>
                <w:rFonts w:hint="eastAsia" w:ascii="宋体" w:hAnsi="宋体" w:eastAsia="宋体" w:cs="宋体"/>
                <w:b w:val="0"/>
                <w:bCs w:val="0"/>
                <w:color w:val="auto"/>
                <w:sz w:val="22"/>
                <w:szCs w:val="22"/>
                <w:highlight w:val="none"/>
                <w:u w:val="none"/>
              </w:rPr>
              <w:t>提供具有履行合同所必需的设备和专业技术能力的证明资料或承诺书；</w:t>
            </w:r>
          </w:p>
        </w:tc>
      </w:tr>
      <w:tr w14:paraId="2BF93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2578" w:hRule="atLeast"/>
          <w:jc w:val="center"/>
        </w:trPr>
        <w:tc>
          <w:tcPr>
            <w:tcW w:w="682" w:type="dxa"/>
            <w:tcBorders>
              <w:left w:val="single" w:color="auto" w:sz="4" w:space="0"/>
              <w:right w:val="single" w:color="auto" w:sz="4" w:space="0"/>
            </w:tcBorders>
            <w:shd w:val="clear" w:color="auto" w:fill="auto"/>
            <w:noWrap w:val="0"/>
            <w:vAlign w:val="center"/>
          </w:tcPr>
          <w:p w14:paraId="4BD9C54F">
            <w:pPr>
              <w:keepNext w:val="0"/>
              <w:keepLines w:val="0"/>
              <w:suppressLineNumbers w:val="0"/>
              <w:spacing w:before="0" w:beforeAutospacing="0" w:after="0" w:afterAutospacing="0" w:line="300" w:lineRule="exact"/>
              <w:ind w:left="0" w:right="0"/>
              <w:jc w:val="center"/>
              <w:rPr>
                <w:rFonts w:hint="eastAsia"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7</w:t>
            </w:r>
          </w:p>
        </w:tc>
        <w:tc>
          <w:tcPr>
            <w:tcW w:w="18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13F6CC">
            <w:pPr>
              <w:keepNext w:val="0"/>
              <w:keepLines w:val="0"/>
              <w:suppressLineNumbers w:val="0"/>
              <w:spacing w:before="0" w:beforeAutospacing="0" w:after="0" w:afterAutospacing="0" w:line="300" w:lineRule="exact"/>
              <w:ind w:left="0" w:right="0"/>
              <w:jc w:val="center"/>
              <w:rPr>
                <w:rFonts w:hint="eastAsia" w:ascii="宋体" w:hAnsi="宋体" w:eastAsia="宋体" w:cs="宋体"/>
                <w:b w:val="0"/>
                <w:bCs w:val="0"/>
                <w:color w:val="auto"/>
                <w:sz w:val="22"/>
                <w:szCs w:val="22"/>
                <w:highlight w:val="none"/>
                <w:u w:val="none"/>
              </w:rPr>
            </w:pPr>
            <w:r>
              <w:rPr>
                <w:rFonts w:hint="eastAsia" w:ascii="宋体" w:hAnsi="宋体" w:eastAsia="宋体" w:cs="宋体"/>
                <w:color w:val="auto"/>
                <w:sz w:val="22"/>
                <w:szCs w:val="22"/>
                <w:highlight w:val="none"/>
              </w:rPr>
              <w:t>主体信用查询记录</w:t>
            </w:r>
          </w:p>
        </w:tc>
        <w:tc>
          <w:tcPr>
            <w:tcW w:w="66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D8250F">
            <w:pPr>
              <w:keepNext w:val="0"/>
              <w:keepLines w:val="0"/>
              <w:suppressLineNumbers w:val="0"/>
              <w:spacing w:before="0" w:beforeAutospacing="0" w:after="0" w:afterAutospacing="0" w:line="300" w:lineRule="exact"/>
              <w:ind w:left="0" w:right="0"/>
              <w:rPr>
                <w:rFonts w:hint="eastAsia" w:ascii="宋体" w:hAnsi="宋体" w:eastAsia="宋体" w:cs="宋体"/>
                <w:b w:val="0"/>
                <w:bCs w:val="0"/>
                <w:color w:val="auto"/>
                <w:sz w:val="22"/>
                <w:szCs w:val="22"/>
                <w:highlight w:val="none"/>
                <w:u w:val="none"/>
              </w:rPr>
            </w:pPr>
            <w:r>
              <w:rPr>
                <w:rFonts w:hint="eastAsia" w:ascii="宋体" w:hAnsi="宋体" w:eastAsia="宋体" w:cs="宋体"/>
                <w:color w:val="auto"/>
                <w:sz w:val="22"/>
                <w:szCs w:val="22"/>
                <w:highlight w:val="none"/>
                <w:lang w:eastAsia="zh-CN"/>
              </w:rPr>
              <w:t>对列入“信用中国”网站(www.creditchina.gov.cn)“记录失信被执行人、重大税收违法案件当事人名单、企业经营异常名录”记录名单；中国政府采购网(www.ccgp.gov.cn)“政府采购严重违法失信行为信息记录”的单位，应当拒绝参与政府采购活动（处罚期限届满的除外，如相关失信记录已失效，投标人需提供相关证明资料，附投标截止日前的查询结果但以投标截止日当天查询结果为准）。提供“信用中国”网站(www.creditchina.gov.cn)、中国政府采购网(www.ccgp.gov.cn)等网页截图加盖投标人公章（鲜章）为准；</w:t>
            </w:r>
          </w:p>
        </w:tc>
      </w:tr>
      <w:tr w14:paraId="1C38E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90" w:hRule="atLeast"/>
          <w:jc w:val="center"/>
        </w:trPr>
        <w:tc>
          <w:tcPr>
            <w:tcW w:w="682" w:type="dxa"/>
            <w:tcBorders>
              <w:left w:val="single" w:color="auto" w:sz="4" w:space="0"/>
              <w:right w:val="single" w:color="auto" w:sz="4" w:space="0"/>
            </w:tcBorders>
            <w:shd w:val="clear" w:color="auto" w:fill="auto"/>
            <w:noWrap w:val="0"/>
            <w:vAlign w:val="center"/>
          </w:tcPr>
          <w:p w14:paraId="21F51D0D">
            <w:pPr>
              <w:keepNext w:val="0"/>
              <w:keepLines w:val="0"/>
              <w:suppressLineNumbers w:val="0"/>
              <w:spacing w:before="0" w:beforeAutospacing="0" w:after="0" w:afterAutospacing="0" w:line="300" w:lineRule="exact"/>
              <w:ind w:left="0" w:leftChars="0" w:right="0" w:rightChars="0"/>
              <w:jc w:val="center"/>
              <w:rPr>
                <w:rFonts w:hint="default"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8</w:t>
            </w:r>
          </w:p>
        </w:tc>
        <w:tc>
          <w:tcPr>
            <w:tcW w:w="18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32F03C">
            <w:pPr>
              <w:keepNext w:val="0"/>
              <w:keepLines w:val="0"/>
              <w:suppressLineNumbers w:val="0"/>
              <w:spacing w:before="0" w:beforeAutospacing="0" w:after="0" w:afterAutospacing="0" w:line="300" w:lineRule="exact"/>
              <w:ind w:left="0" w:leftChars="0" w:right="0" w:right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保证金</w:t>
            </w:r>
          </w:p>
        </w:tc>
        <w:tc>
          <w:tcPr>
            <w:tcW w:w="66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F26F57">
            <w:pPr>
              <w:keepNext w:val="0"/>
              <w:keepLines w:val="0"/>
              <w:suppressLineNumbers w:val="0"/>
              <w:spacing w:before="0" w:beforeAutospacing="0" w:after="0" w:afterAutospacing="0" w:line="300" w:lineRule="exact"/>
              <w:ind w:left="0" w:leftChars="0" w:right="0" w:rightChars="0"/>
              <w:rPr>
                <w:rFonts w:hint="eastAsia" w:ascii="宋体" w:hAnsi="宋体" w:eastAsia="宋体" w:cs="宋体"/>
                <w:color w:val="auto"/>
                <w:sz w:val="22"/>
                <w:szCs w:val="22"/>
                <w:highlight w:val="none"/>
                <w:lang w:eastAsia="zh-CN"/>
              </w:rPr>
            </w:pPr>
            <w:r>
              <w:rPr>
                <w:rFonts w:hint="eastAsia" w:asciiTheme="minorEastAsia" w:hAnsiTheme="minorEastAsia" w:eastAsiaTheme="minorEastAsia" w:cstheme="minorEastAsia"/>
                <w:b w:val="0"/>
                <w:bCs w:val="0"/>
                <w:i w:val="0"/>
                <w:caps w:val="0"/>
                <w:color w:val="auto"/>
                <w:spacing w:val="0"/>
                <w:sz w:val="22"/>
                <w:szCs w:val="22"/>
                <w:highlight w:val="none"/>
                <w:shd w:val="clear" w:fill="FFFFFF"/>
              </w:rPr>
              <w:t>本项目采用信用承诺书代替投标保证金，提供信用中国陕西榆林承诺网页截图（截图须体现</w:t>
            </w:r>
            <w:r>
              <w:rPr>
                <w:rFonts w:hint="eastAsia" w:asciiTheme="minorEastAsia" w:hAnsiTheme="minorEastAsia" w:eastAsiaTheme="minorEastAsia" w:cstheme="minorEastAsia"/>
                <w:b w:val="0"/>
                <w:bCs w:val="0"/>
                <w:i w:val="0"/>
                <w:caps w:val="0"/>
                <w:color w:val="auto"/>
                <w:spacing w:val="0"/>
                <w:sz w:val="22"/>
                <w:szCs w:val="22"/>
                <w:highlight w:val="none"/>
                <w:shd w:val="clear" w:fill="FFFFFF"/>
                <w:lang w:val="en-US" w:eastAsia="zh-CN"/>
              </w:rPr>
              <w:t>合同包名称</w:t>
            </w:r>
            <w:r>
              <w:rPr>
                <w:rFonts w:hint="eastAsia" w:asciiTheme="minorEastAsia" w:hAnsiTheme="minorEastAsia" w:eastAsiaTheme="minorEastAsia" w:cstheme="minorEastAsia"/>
                <w:b w:val="0"/>
                <w:bCs w:val="0"/>
                <w:i w:val="0"/>
                <w:caps w:val="0"/>
                <w:color w:val="auto"/>
                <w:spacing w:val="0"/>
                <w:sz w:val="22"/>
                <w:szCs w:val="22"/>
                <w:highlight w:val="none"/>
                <w:shd w:val="clear" w:fill="FFFFFF"/>
              </w:rPr>
              <w:t>）；</w:t>
            </w:r>
          </w:p>
        </w:tc>
      </w:tr>
      <w:tr w14:paraId="6566F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90" w:hRule="atLeast"/>
          <w:jc w:val="center"/>
        </w:trPr>
        <w:tc>
          <w:tcPr>
            <w:tcW w:w="682" w:type="dxa"/>
            <w:tcBorders>
              <w:left w:val="single" w:color="auto" w:sz="4" w:space="0"/>
              <w:right w:val="single" w:color="auto" w:sz="4" w:space="0"/>
            </w:tcBorders>
            <w:shd w:val="clear" w:color="auto" w:fill="auto"/>
            <w:noWrap w:val="0"/>
            <w:vAlign w:val="center"/>
          </w:tcPr>
          <w:p w14:paraId="3D3E95CC">
            <w:pPr>
              <w:keepNext w:val="0"/>
              <w:keepLines w:val="0"/>
              <w:suppressLineNumbers w:val="0"/>
              <w:spacing w:before="0" w:beforeAutospacing="0" w:after="0" w:afterAutospacing="0" w:line="300" w:lineRule="exact"/>
              <w:ind w:left="0" w:leftChars="0" w:right="0" w:rightChars="0"/>
              <w:jc w:val="center"/>
              <w:rPr>
                <w:rFonts w:hint="default"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9</w:t>
            </w:r>
          </w:p>
        </w:tc>
        <w:tc>
          <w:tcPr>
            <w:tcW w:w="18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E6D922">
            <w:pPr>
              <w:keepNext w:val="0"/>
              <w:keepLines w:val="0"/>
              <w:suppressLineNumbers w:val="0"/>
              <w:spacing w:before="0" w:beforeAutospacing="0" w:after="0" w:afterAutospacing="0" w:line="300" w:lineRule="exact"/>
              <w:ind w:left="0" w:leftChars="0" w:right="0" w:right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供应商信用承诺书</w:t>
            </w:r>
          </w:p>
        </w:tc>
        <w:tc>
          <w:tcPr>
            <w:tcW w:w="66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D1BFFA">
            <w:pPr>
              <w:keepNext w:val="0"/>
              <w:keepLines w:val="0"/>
              <w:suppressLineNumbers w:val="0"/>
              <w:spacing w:before="0" w:beforeAutospacing="0" w:after="0" w:afterAutospacing="0" w:line="300" w:lineRule="exact"/>
              <w:ind w:left="0" w:leftChars="0" w:right="0" w:rightChars="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提供《榆林市政府采购服务类项目供应商信用承诺书》；</w:t>
            </w:r>
          </w:p>
        </w:tc>
      </w:tr>
      <w:tr w14:paraId="471B8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90" w:hRule="atLeast"/>
          <w:jc w:val="center"/>
        </w:trPr>
        <w:tc>
          <w:tcPr>
            <w:tcW w:w="682" w:type="dxa"/>
            <w:tcBorders>
              <w:left w:val="single" w:color="auto" w:sz="4" w:space="0"/>
              <w:right w:val="single" w:color="auto" w:sz="4" w:space="0"/>
            </w:tcBorders>
            <w:shd w:val="clear" w:color="auto" w:fill="auto"/>
            <w:noWrap w:val="0"/>
            <w:vAlign w:val="center"/>
          </w:tcPr>
          <w:p w14:paraId="76C95ECB">
            <w:pPr>
              <w:keepNext w:val="0"/>
              <w:keepLines w:val="0"/>
              <w:suppressLineNumbers w:val="0"/>
              <w:spacing w:before="0" w:beforeAutospacing="0" w:after="0" w:afterAutospacing="0" w:line="300" w:lineRule="exact"/>
              <w:ind w:left="0" w:right="0"/>
              <w:jc w:val="center"/>
              <w:rPr>
                <w:rFonts w:hint="default"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w:t>
            </w:r>
            <w:r>
              <w:rPr>
                <w:rFonts w:hint="eastAsia" w:ascii="宋体" w:hAnsi="宋体" w:cs="宋体"/>
                <w:b w:val="0"/>
                <w:bCs w:val="0"/>
                <w:color w:val="auto"/>
                <w:sz w:val="22"/>
                <w:szCs w:val="22"/>
                <w:highlight w:val="none"/>
                <w:lang w:val="en-US" w:eastAsia="zh-CN"/>
              </w:rPr>
              <w:t>0</w:t>
            </w:r>
          </w:p>
        </w:tc>
        <w:tc>
          <w:tcPr>
            <w:tcW w:w="18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5166EA">
            <w:pPr>
              <w:keepNext w:val="0"/>
              <w:keepLines w:val="0"/>
              <w:suppressLineNumbers w:val="0"/>
              <w:spacing w:before="0" w:beforeAutospacing="0" w:after="0" w:afterAutospacing="0" w:line="300" w:lineRule="exact"/>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中小企业声明函</w:t>
            </w:r>
          </w:p>
        </w:tc>
        <w:tc>
          <w:tcPr>
            <w:tcW w:w="66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0E5584">
            <w:pPr>
              <w:keepNext w:val="0"/>
              <w:keepLines w:val="0"/>
              <w:suppressLineNumbers w:val="0"/>
              <w:spacing w:before="0" w:beforeAutospacing="0" w:after="0" w:afterAutospacing="0" w:line="300" w:lineRule="exact"/>
              <w:ind w:left="0" w:right="0"/>
              <w:rPr>
                <w:rFonts w:hint="eastAsia" w:ascii="宋体" w:hAnsi="宋体" w:eastAsia="宋体" w:cs="宋体"/>
                <w:b w:val="0"/>
                <w:bCs w:val="0"/>
                <w:color w:val="auto"/>
                <w:sz w:val="22"/>
                <w:szCs w:val="22"/>
                <w:highlight w:val="none"/>
                <w:u w:val="none"/>
              </w:rPr>
            </w:pPr>
            <w:r>
              <w:rPr>
                <w:rFonts w:hint="eastAsia" w:ascii="宋体" w:hAnsi="宋体" w:eastAsia="宋体" w:cs="宋体"/>
                <w:b w:val="0"/>
                <w:bCs w:val="0"/>
                <w:color w:val="auto"/>
                <w:sz w:val="22"/>
                <w:szCs w:val="22"/>
                <w:highlight w:val="none"/>
                <w:u w:val="none"/>
              </w:rPr>
              <w:t>本项目专门面向中小企业采购，投标人须填写《中小企业声明函》；</w:t>
            </w:r>
          </w:p>
        </w:tc>
      </w:tr>
      <w:tr w14:paraId="35C82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90" w:hRule="atLeast"/>
          <w:jc w:val="center"/>
        </w:trPr>
        <w:tc>
          <w:tcPr>
            <w:tcW w:w="682" w:type="dxa"/>
            <w:tcBorders>
              <w:left w:val="single" w:color="auto" w:sz="4" w:space="0"/>
              <w:right w:val="single" w:color="auto" w:sz="4" w:space="0"/>
            </w:tcBorders>
            <w:shd w:val="clear" w:color="auto" w:fill="auto"/>
            <w:noWrap w:val="0"/>
            <w:vAlign w:val="center"/>
          </w:tcPr>
          <w:p w14:paraId="01439359">
            <w:pPr>
              <w:keepNext w:val="0"/>
              <w:keepLines w:val="0"/>
              <w:suppressLineNumbers w:val="0"/>
              <w:spacing w:before="0" w:beforeAutospacing="0" w:after="0" w:afterAutospacing="0" w:line="300" w:lineRule="exact"/>
              <w:ind w:left="0" w:right="0"/>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w:t>
            </w:r>
            <w:r>
              <w:rPr>
                <w:rFonts w:hint="eastAsia" w:ascii="宋体" w:hAnsi="宋体" w:cs="宋体"/>
                <w:b w:val="0"/>
                <w:bCs w:val="0"/>
                <w:color w:val="auto"/>
                <w:sz w:val="22"/>
                <w:szCs w:val="22"/>
                <w:highlight w:val="none"/>
                <w:lang w:val="en-US" w:eastAsia="zh-CN"/>
              </w:rPr>
              <w:t>1</w:t>
            </w:r>
          </w:p>
        </w:tc>
        <w:tc>
          <w:tcPr>
            <w:tcW w:w="18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F7DE0C">
            <w:pPr>
              <w:keepNext w:val="0"/>
              <w:keepLines w:val="0"/>
              <w:suppressLineNumbers w:val="0"/>
              <w:spacing w:before="0" w:beforeAutospacing="0" w:after="0" w:afterAutospacing="0" w:line="300" w:lineRule="exact"/>
              <w:ind w:left="0" w:leftChars="0" w:right="0" w:right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非联合体投标</w:t>
            </w:r>
          </w:p>
          <w:p w14:paraId="44411DC5">
            <w:pPr>
              <w:keepNext w:val="0"/>
              <w:keepLines w:val="0"/>
              <w:suppressLineNumbers w:val="0"/>
              <w:spacing w:before="0" w:beforeAutospacing="0" w:after="0" w:afterAutospacing="0" w:line="300" w:lineRule="exact"/>
              <w:ind w:left="0" w:leftChars="0" w:right="0" w:rightChars="0"/>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书面声明</w:t>
            </w:r>
          </w:p>
        </w:tc>
        <w:tc>
          <w:tcPr>
            <w:tcW w:w="66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93B15E">
            <w:pPr>
              <w:keepNext w:val="0"/>
              <w:keepLines w:val="0"/>
              <w:suppressLineNumbers w:val="0"/>
              <w:spacing w:before="0" w:beforeAutospacing="0" w:after="0" w:afterAutospacing="0" w:line="300" w:lineRule="exact"/>
              <w:ind w:left="0" w:right="0" w:rightChars="0"/>
              <w:rPr>
                <w:rFonts w:hint="eastAsia" w:ascii="宋体" w:hAnsi="宋体" w:eastAsia="宋体" w:cs="宋体"/>
                <w:b w:val="0"/>
                <w:bCs w:val="0"/>
                <w:color w:val="auto"/>
                <w:sz w:val="22"/>
                <w:szCs w:val="22"/>
                <w:highlight w:val="none"/>
                <w:u w:val="none"/>
              </w:rPr>
            </w:pPr>
            <w:r>
              <w:rPr>
                <w:rFonts w:hint="eastAsia" w:asciiTheme="minorEastAsia" w:hAnsiTheme="minorEastAsia" w:eastAsiaTheme="minorEastAsia" w:cstheme="minorEastAsia"/>
                <w:b w:val="0"/>
                <w:bCs w:val="0"/>
                <w:i w:val="0"/>
                <w:caps w:val="0"/>
                <w:color w:val="auto"/>
                <w:spacing w:val="0"/>
                <w:sz w:val="22"/>
                <w:szCs w:val="22"/>
                <w:highlight w:val="none"/>
                <w:shd w:val="clear" w:fill="FFFFFF"/>
              </w:rPr>
              <w:t>本项目不接受联合体投标，单位负责人为同一人或者存在直接控股、管理关系的不同投标人，不得参加同一合同项下的政府采购活动。（提供书面声明材料）</w:t>
            </w:r>
            <w:r>
              <w:rPr>
                <w:rFonts w:hint="eastAsia" w:asciiTheme="minorEastAsia" w:hAnsiTheme="minorEastAsia" w:eastAsiaTheme="minorEastAsia" w:cstheme="minorEastAsia"/>
                <w:b w:val="0"/>
                <w:bCs w:val="0"/>
                <w:i w:val="0"/>
                <w:caps w:val="0"/>
                <w:color w:val="auto"/>
                <w:spacing w:val="0"/>
                <w:sz w:val="22"/>
                <w:szCs w:val="22"/>
                <w:highlight w:val="none"/>
                <w:shd w:val="clear" w:fill="FFFFFF"/>
                <w:lang w:eastAsia="zh-CN"/>
              </w:rPr>
              <w:t>。</w:t>
            </w:r>
          </w:p>
        </w:tc>
      </w:tr>
    </w:tbl>
    <w:p w14:paraId="284A06D0">
      <w:pPr>
        <w:spacing w:before="156" w:beforeLines="50"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22.2 评标委员会将审查每份投标文件是否实质上响应了招标文件的要求。实质上响应的投标应该是与招标文件要求的全部条款、条件和规格相符，没有重大偏离或保留的投标。对关键条文的偏离、保留或反对将被认为是实质上的偏离。重大偏离或保留是指实质上影响服务内容；或者实质上与招标文件不一致，而且限制了采购人的权利或投标人的义务。纠正这些偏离或保留将会对其他实质上响应要求的投标人的竞争地位产生不公正的影响。对于投标文件中不构成实质性偏差的不正规、不一致或不规则，采购人可以接受，但这种接受将影响投标人的综合得分。评标委员会只根据投标文件本身的内容确定投标文件的响应性，而不寻求外部的证据。</w:t>
      </w:r>
    </w:p>
    <w:p w14:paraId="7DE5E92B">
      <w:pPr>
        <w:spacing w:line="440" w:lineRule="exact"/>
        <w:ind w:firstLine="440" w:firstLineChars="200"/>
        <w:rPr>
          <w:rFonts w:hint="eastAsia" w:ascii="宋体" w:hAnsi="宋体" w:cs="宋体"/>
          <w:color w:val="auto"/>
          <w:sz w:val="22"/>
          <w:szCs w:val="22"/>
          <w:highlight w:val="none"/>
        </w:rPr>
      </w:pPr>
      <w:r>
        <w:rPr>
          <w:rFonts w:hint="eastAsia" w:ascii="宋体" w:hAnsi="宋体" w:eastAsia="宋体" w:cs="宋体"/>
          <w:color w:val="auto"/>
          <w:sz w:val="22"/>
          <w:szCs w:val="22"/>
          <w:highlight w:val="none"/>
        </w:rPr>
        <w:t>22.3 符合性评审：</w:t>
      </w:r>
      <w:r>
        <w:rPr>
          <w:rFonts w:hint="eastAsia" w:ascii="宋体" w:hAnsi="宋体" w:cs="宋体"/>
          <w:color w:val="auto"/>
          <w:sz w:val="22"/>
          <w:szCs w:val="22"/>
          <w:highlight w:val="none"/>
        </w:rPr>
        <w:t>主要对各</w:t>
      </w:r>
      <w:r>
        <w:rPr>
          <w:rFonts w:hint="eastAsia" w:ascii="宋体" w:hAnsi="宋体" w:cs="宋体"/>
          <w:color w:val="auto"/>
          <w:sz w:val="22"/>
          <w:szCs w:val="22"/>
          <w:highlight w:val="none"/>
          <w:lang w:eastAsia="zh-CN"/>
        </w:rPr>
        <w:t>供应商投标</w:t>
      </w:r>
      <w:r>
        <w:rPr>
          <w:rFonts w:hint="eastAsia" w:ascii="宋体" w:hAnsi="宋体" w:cs="宋体"/>
          <w:color w:val="auto"/>
          <w:sz w:val="22"/>
          <w:szCs w:val="22"/>
          <w:highlight w:val="none"/>
        </w:rPr>
        <w:t>文件进行商务性的审定。</w:t>
      </w:r>
      <w:r>
        <w:rPr>
          <w:rFonts w:hint="eastAsia" w:ascii="宋体" w:hAnsi="宋体" w:cs="宋体"/>
          <w:color w:val="auto"/>
          <w:sz w:val="22"/>
          <w:szCs w:val="22"/>
          <w:highlight w:val="none"/>
          <w:lang w:eastAsia="zh-CN"/>
        </w:rPr>
        <w:t>不符合</w:t>
      </w:r>
      <w:r>
        <w:rPr>
          <w:rFonts w:hint="eastAsia" w:ascii="宋体" w:hAnsi="宋体" w:cs="宋体"/>
          <w:color w:val="auto"/>
          <w:sz w:val="22"/>
          <w:szCs w:val="22"/>
          <w:highlight w:val="none"/>
        </w:rPr>
        <w:t>下列情况之一的，其投标将按无效处理：</w:t>
      </w:r>
    </w:p>
    <w:p w14:paraId="36E996B1">
      <w:pPr>
        <w:spacing w:line="440" w:lineRule="exact"/>
        <w:ind w:firstLine="440" w:firstLineChars="200"/>
        <w:rPr>
          <w:rFonts w:hint="eastAsia" w:ascii="宋体" w:hAnsi="宋体" w:cs="宋体"/>
          <w:color w:val="auto"/>
          <w:sz w:val="22"/>
          <w:szCs w:val="22"/>
          <w:highlight w:val="none"/>
        </w:rPr>
      </w:pPr>
    </w:p>
    <w:tbl>
      <w:tblPr>
        <w:tblStyle w:val="25"/>
        <w:tblW w:w="8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61"/>
        <w:gridCol w:w="2686"/>
        <w:gridCol w:w="5043"/>
        <w:gridCol w:w="682"/>
      </w:tblGrid>
      <w:tr w14:paraId="440FE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99" w:hRule="atLeast"/>
          <w:jc w:val="center"/>
        </w:trPr>
        <w:tc>
          <w:tcPr>
            <w:tcW w:w="4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E73F1C">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772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8145560">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审查因素</w:t>
            </w:r>
          </w:p>
        </w:tc>
        <w:tc>
          <w:tcPr>
            <w:tcW w:w="6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5F53E3">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备注</w:t>
            </w:r>
          </w:p>
        </w:tc>
      </w:tr>
      <w:tr w14:paraId="1DD46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75" w:hRule="atLeast"/>
          <w:jc w:val="center"/>
        </w:trPr>
        <w:tc>
          <w:tcPr>
            <w:tcW w:w="461" w:type="dxa"/>
            <w:tcBorders>
              <w:top w:val="single" w:color="auto" w:sz="4" w:space="0"/>
              <w:left w:val="single" w:color="auto" w:sz="4" w:space="0"/>
              <w:right w:val="single" w:color="auto" w:sz="4" w:space="0"/>
            </w:tcBorders>
            <w:noWrap w:val="0"/>
            <w:vAlign w:val="center"/>
          </w:tcPr>
          <w:p w14:paraId="0BEDE9E4">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w:t>
            </w:r>
          </w:p>
        </w:tc>
        <w:tc>
          <w:tcPr>
            <w:tcW w:w="2686" w:type="dxa"/>
            <w:tcBorders>
              <w:top w:val="single" w:color="auto" w:sz="4" w:space="0"/>
              <w:left w:val="single" w:color="auto" w:sz="4" w:space="0"/>
              <w:bottom w:val="single" w:color="auto" w:sz="4" w:space="0"/>
              <w:right w:val="single" w:color="auto" w:sz="4" w:space="0"/>
            </w:tcBorders>
            <w:noWrap w:val="0"/>
            <w:vAlign w:val="center"/>
          </w:tcPr>
          <w:p w14:paraId="7DE7AAEC">
            <w:pPr>
              <w:keepNext w:val="0"/>
              <w:keepLines w:val="0"/>
              <w:suppressLineNumbers w:val="0"/>
              <w:spacing w:before="0" w:beforeAutospacing="0" w:after="0" w:afterAutospacing="0" w:line="440" w:lineRule="exact"/>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投标文件语言</w:t>
            </w:r>
          </w:p>
        </w:tc>
        <w:tc>
          <w:tcPr>
            <w:tcW w:w="5043" w:type="dxa"/>
            <w:tcBorders>
              <w:top w:val="single" w:color="auto" w:sz="4" w:space="0"/>
              <w:left w:val="single" w:color="auto" w:sz="4" w:space="0"/>
              <w:bottom w:val="single" w:color="auto" w:sz="4" w:space="0"/>
              <w:right w:val="single" w:color="auto" w:sz="4" w:space="0"/>
            </w:tcBorders>
            <w:noWrap w:val="0"/>
            <w:vAlign w:val="center"/>
          </w:tcPr>
          <w:p w14:paraId="2C622783">
            <w:pPr>
              <w:keepNext w:val="0"/>
              <w:keepLines w:val="0"/>
              <w:suppressLineNumbers w:val="0"/>
              <w:spacing w:before="0" w:beforeAutospacing="0" w:after="0" w:afterAutospacing="0" w:line="440" w:lineRule="exact"/>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投标文件语言符合招标文件要求。</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018B7140">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p>
        </w:tc>
      </w:tr>
      <w:tr w14:paraId="08C12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31" w:hRule="atLeast"/>
          <w:jc w:val="center"/>
        </w:trPr>
        <w:tc>
          <w:tcPr>
            <w:tcW w:w="461" w:type="dxa"/>
            <w:tcBorders>
              <w:left w:val="single" w:color="auto" w:sz="4" w:space="0"/>
              <w:right w:val="single" w:color="auto" w:sz="4" w:space="0"/>
            </w:tcBorders>
            <w:noWrap w:val="0"/>
            <w:vAlign w:val="center"/>
          </w:tcPr>
          <w:p w14:paraId="0F4DD7D3">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2</w:t>
            </w:r>
          </w:p>
        </w:tc>
        <w:tc>
          <w:tcPr>
            <w:tcW w:w="2686" w:type="dxa"/>
            <w:tcBorders>
              <w:top w:val="single" w:color="auto" w:sz="4" w:space="0"/>
              <w:left w:val="single" w:color="auto" w:sz="4" w:space="0"/>
              <w:bottom w:val="single" w:color="auto" w:sz="4" w:space="0"/>
              <w:right w:val="single" w:color="auto" w:sz="4" w:space="0"/>
            </w:tcBorders>
            <w:noWrap w:val="0"/>
            <w:vAlign w:val="center"/>
          </w:tcPr>
          <w:p w14:paraId="0336A93D">
            <w:pPr>
              <w:keepNext w:val="0"/>
              <w:keepLines w:val="0"/>
              <w:suppressLineNumbers w:val="0"/>
              <w:spacing w:before="0" w:beforeAutospacing="0" w:after="0" w:afterAutospacing="0" w:line="44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投标文件封面、投标函、法定代表人授权委托书三处的项目名称、项目编号</w:t>
            </w:r>
          </w:p>
        </w:tc>
        <w:tc>
          <w:tcPr>
            <w:tcW w:w="5043" w:type="dxa"/>
            <w:tcBorders>
              <w:top w:val="single" w:color="auto" w:sz="4" w:space="0"/>
              <w:left w:val="single" w:color="auto" w:sz="4" w:space="0"/>
              <w:bottom w:val="single" w:color="auto" w:sz="4" w:space="0"/>
              <w:right w:val="single" w:color="auto" w:sz="4" w:space="0"/>
            </w:tcBorders>
            <w:noWrap w:val="0"/>
            <w:vAlign w:val="center"/>
          </w:tcPr>
          <w:p w14:paraId="4DB4574E">
            <w:pPr>
              <w:keepNext w:val="0"/>
              <w:keepLines w:val="0"/>
              <w:suppressLineNumbers w:val="0"/>
              <w:spacing w:before="0" w:beforeAutospacing="0" w:after="0" w:afterAutospacing="0" w:line="44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三处均无遗漏，且与所投项目名称、项目编号、完全一致</w:t>
            </w:r>
          </w:p>
          <w:p w14:paraId="58515673">
            <w:pPr>
              <w:keepNext w:val="0"/>
              <w:keepLines w:val="0"/>
              <w:suppressLineNumbers w:val="0"/>
              <w:spacing w:before="0" w:beforeAutospacing="0" w:after="0" w:afterAutospacing="0" w:line="440" w:lineRule="exact"/>
              <w:ind w:left="0" w:right="0"/>
              <w:rPr>
                <w:rFonts w:hint="eastAsia" w:ascii="宋体" w:hAnsi="宋体" w:eastAsia="宋体" w:cs="宋体"/>
                <w:color w:val="auto"/>
                <w:sz w:val="22"/>
                <w:szCs w:val="22"/>
                <w:highlight w:val="none"/>
                <w:lang w:eastAsia="zh-CN"/>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6443BF97">
            <w:pPr>
              <w:keepNext w:val="0"/>
              <w:keepLines w:val="0"/>
              <w:suppressLineNumbers w:val="0"/>
              <w:spacing w:before="0" w:beforeAutospacing="0" w:after="0" w:afterAutospacing="0"/>
              <w:ind w:left="0" w:right="0"/>
              <w:jc w:val="center"/>
              <w:rPr>
                <w:rFonts w:hint="eastAsia" w:ascii="宋体" w:hAnsi="宋体" w:eastAsia="宋体" w:cs="宋体"/>
                <w:b/>
                <w:bCs/>
                <w:color w:val="auto"/>
                <w:sz w:val="22"/>
                <w:szCs w:val="22"/>
                <w:highlight w:val="none"/>
              </w:rPr>
            </w:pPr>
          </w:p>
        </w:tc>
      </w:tr>
      <w:tr w14:paraId="393B9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48" w:hRule="atLeast"/>
          <w:jc w:val="center"/>
        </w:trPr>
        <w:tc>
          <w:tcPr>
            <w:tcW w:w="461" w:type="dxa"/>
            <w:tcBorders>
              <w:left w:val="single" w:color="auto" w:sz="4" w:space="0"/>
              <w:right w:val="single" w:color="auto" w:sz="4" w:space="0"/>
            </w:tcBorders>
            <w:noWrap w:val="0"/>
            <w:vAlign w:val="center"/>
          </w:tcPr>
          <w:p w14:paraId="27D44EEE">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3</w:t>
            </w:r>
          </w:p>
        </w:tc>
        <w:tc>
          <w:tcPr>
            <w:tcW w:w="2686" w:type="dxa"/>
            <w:tcBorders>
              <w:top w:val="single" w:color="auto" w:sz="4" w:space="0"/>
              <w:left w:val="single" w:color="auto" w:sz="4" w:space="0"/>
              <w:bottom w:val="single" w:color="auto" w:sz="4" w:space="0"/>
              <w:right w:val="single" w:color="auto" w:sz="4" w:space="0"/>
            </w:tcBorders>
            <w:noWrap w:val="0"/>
            <w:vAlign w:val="center"/>
          </w:tcPr>
          <w:p w14:paraId="79B45F48">
            <w:pPr>
              <w:keepNext w:val="0"/>
              <w:keepLines w:val="0"/>
              <w:suppressLineNumbers w:val="0"/>
              <w:spacing w:before="0" w:beforeAutospacing="0" w:after="0" w:afterAutospacing="0" w:line="44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投标文件签署、盖章</w:t>
            </w:r>
          </w:p>
        </w:tc>
        <w:tc>
          <w:tcPr>
            <w:tcW w:w="5043" w:type="dxa"/>
            <w:tcBorders>
              <w:top w:val="single" w:color="auto" w:sz="4" w:space="0"/>
              <w:left w:val="single" w:color="auto" w:sz="4" w:space="0"/>
              <w:bottom w:val="single" w:color="auto" w:sz="4" w:space="0"/>
              <w:right w:val="single" w:color="auto" w:sz="4" w:space="0"/>
            </w:tcBorders>
            <w:noWrap w:val="0"/>
            <w:vAlign w:val="center"/>
          </w:tcPr>
          <w:p w14:paraId="3D185B33">
            <w:pPr>
              <w:keepNext w:val="0"/>
              <w:keepLines w:val="0"/>
              <w:suppressLineNumbers w:val="0"/>
              <w:spacing w:before="0" w:beforeAutospacing="0" w:after="0" w:afterAutospacing="0" w:line="44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均按招标文件要求签字、盖章（评分标准中要求提供的证明材料除外）。</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1B22B2B5">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p>
        </w:tc>
      </w:tr>
      <w:tr w14:paraId="73A06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48" w:hRule="atLeast"/>
          <w:jc w:val="center"/>
        </w:trPr>
        <w:tc>
          <w:tcPr>
            <w:tcW w:w="461" w:type="dxa"/>
            <w:tcBorders>
              <w:left w:val="single" w:color="auto" w:sz="4" w:space="0"/>
              <w:right w:val="single" w:color="auto" w:sz="4" w:space="0"/>
            </w:tcBorders>
            <w:noWrap w:val="0"/>
            <w:vAlign w:val="center"/>
          </w:tcPr>
          <w:p w14:paraId="4880C35D">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2"/>
                <w:szCs w:val="22"/>
                <w:highlight w:val="none"/>
                <w:lang w:val="en-US" w:eastAsia="zh-CN"/>
              </w:rPr>
            </w:pPr>
            <w:r>
              <w:rPr>
                <w:rFonts w:hint="eastAsia" w:ascii="宋体" w:hAnsi="宋体" w:cs="宋体"/>
                <w:b w:val="0"/>
                <w:bCs/>
                <w:color w:val="auto"/>
                <w:sz w:val="22"/>
                <w:szCs w:val="22"/>
                <w:highlight w:val="none"/>
                <w:lang w:val="en-US" w:eastAsia="zh-CN"/>
              </w:rPr>
              <w:t>4</w:t>
            </w:r>
          </w:p>
        </w:tc>
        <w:tc>
          <w:tcPr>
            <w:tcW w:w="2686" w:type="dxa"/>
            <w:tcBorders>
              <w:top w:val="single" w:color="auto" w:sz="4" w:space="0"/>
              <w:left w:val="single" w:color="auto" w:sz="4" w:space="0"/>
              <w:bottom w:val="single" w:color="auto" w:sz="4" w:space="0"/>
              <w:right w:val="single" w:color="auto" w:sz="4" w:space="0"/>
            </w:tcBorders>
            <w:noWrap w:val="0"/>
            <w:vAlign w:val="center"/>
          </w:tcPr>
          <w:p w14:paraId="23F433C1">
            <w:pPr>
              <w:keepNext w:val="0"/>
              <w:keepLines w:val="0"/>
              <w:suppressLineNumbers w:val="0"/>
              <w:spacing w:before="0" w:beforeAutospacing="0" w:after="0" w:afterAutospacing="0" w:line="44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投标文件组成</w:t>
            </w:r>
          </w:p>
          <w:p w14:paraId="37E6052F">
            <w:pPr>
              <w:keepNext w:val="0"/>
              <w:keepLines w:val="0"/>
              <w:suppressLineNumbers w:val="0"/>
              <w:spacing w:before="0" w:beforeAutospacing="0" w:after="0" w:afterAutospacing="0" w:line="440" w:lineRule="exact"/>
              <w:ind w:left="0" w:right="0"/>
              <w:rPr>
                <w:rFonts w:hint="eastAsia" w:ascii="宋体" w:hAnsi="宋体" w:eastAsia="宋体" w:cs="宋体"/>
                <w:color w:val="auto"/>
                <w:sz w:val="22"/>
                <w:szCs w:val="22"/>
                <w:highlight w:val="none"/>
              </w:rPr>
            </w:pPr>
          </w:p>
        </w:tc>
        <w:tc>
          <w:tcPr>
            <w:tcW w:w="5043" w:type="dxa"/>
            <w:tcBorders>
              <w:top w:val="single" w:color="auto" w:sz="4" w:space="0"/>
              <w:left w:val="single" w:color="auto" w:sz="4" w:space="0"/>
              <w:bottom w:val="single" w:color="auto" w:sz="4" w:space="0"/>
              <w:right w:val="single" w:color="auto" w:sz="4" w:space="0"/>
            </w:tcBorders>
            <w:noWrap w:val="0"/>
            <w:vAlign w:val="center"/>
          </w:tcPr>
          <w:p w14:paraId="5479F33E">
            <w:pPr>
              <w:keepNext w:val="0"/>
              <w:keepLines w:val="0"/>
              <w:suppressLineNumbers w:val="0"/>
              <w:spacing w:before="0" w:beforeAutospacing="0" w:after="0" w:afterAutospacing="0" w:line="44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投标文件应包含以下内容：</w:t>
            </w:r>
          </w:p>
          <w:p w14:paraId="2B842B6F">
            <w:pPr>
              <w:keepNext w:val="0"/>
              <w:keepLines w:val="0"/>
              <w:suppressLineNumbers w:val="0"/>
              <w:spacing w:before="0" w:beforeAutospacing="0" w:after="0" w:afterAutospacing="0" w:line="44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 xml:space="preserve">（1）资格证明文件； </w:t>
            </w:r>
          </w:p>
          <w:p w14:paraId="74887CE3">
            <w:pPr>
              <w:keepNext w:val="0"/>
              <w:keepLines w:val="0"/>
              <w:suppressLineNumbers w:val="0"/>
              <w:spacing w:before="0" w:beforeAutospacing="0" w:after="0" w:afterAutospacing="0" w:line="44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 xml:space="preserve">（2）符合性证明文件； </w:t>
            </w:r>
          </w:p>
          <w:p w14:paraId="184B1A60">
            <w:pPr>
              <w:keepNext w:val="0"/>
              <w:keepLines w:val="0"/>
              <w:suppressLineNumbers w:val="0"/>
              <w:spacing w:before="0" w:beforeAutospacing="0" w:after="0" w:afterAutospacing="0" w:line="44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（3）投标方案。</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0314BC18">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p>
        </w:tc>
      </w:tr>
      <w:tr w14:paraId="12111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56" w:hRule="atLeast"/>
          <w:jc w:val="center"/>
        </w:trPr>
        <w:tc>
          <w:tcPr>
            <w:tcW w:w="461" w:type="dxa"/>
            <w:tcBorders>
              <w:left w:val="single" w:color="auto" w:sz="4" w:space="0"/>
              <w:right w:val="single" w:color="auto" w:sz="4" w:space="0"/>
            </w:tcBorders>
            <w:noWrap w:val="0"/>
            <w:vAlign w:val="center"/>
          </w:tcPr>
          <w:p w14:paraId="4231E6FA">
            <w:pPr>
              <w:keepNext w:val="0"/>
              <w:keepLines w:val="0"/>
              <w:suppressLineNumbers w:val="0"/>
              <w:spacing w:before="0" w:beforeAutospacing="0" w:after="0" w:afterAutospacing="0"/>
              <w:ind w:left="0" w:right="0"/>
              <w:jc w:val="center"/>
              <w:rPr>
                <w:rFonts w:hint="default" w:ascii="宋体" w:hAnsi="宋体" w:cs="宋体"/>
                <w:b w:val="0"/>
                <w:bCs/>
                <w:color w:val="auto"/>
                <w:sz w:val="22"/>
                <w:szCs w:val="22"/>
                <w:highlight w:val="none"/>
                <w:lang w:val="en-US" w:eastAsia="zh-CN"/>
              </w:rPr>
            </w:pPr>
            <w:r>
              <w:rPr>
                <w:rFonts w:hint="eastAsia" w:ascii="宋体" w:hAnsi="宋体" w:cs="宋体"/>
                <w:b w:val="0"/>
                <w:bCs/>
                <w:color w:val="auto"/>
                <w:sz w:val="22"/>
                <w:szCs w:val="22"/>
                <w:highlight w:val="none"/>
                <w:lang w:val="en-US" w:eastAsia="zh-CN"/>
              </w:rPr>
              <w:t>5</w:t>
            </w:r>
          </w:p>
        </w:tc>
        <w:tc>
          <w:tcPr>
            <w:tcW w:w="2686" w:type="dxa"/>
            <w:tcBorders>
              <w:top w:val="single" w:color="auto" w:sz="4" w:space="0"/>
              <w:left w:val="single" w:color="auto" w:sz="4" w:space="0"/>
              <w:bottom w:val="single" w:color="auto" w:sz="4" w:space="0"/>
              <w:right w:val="single" w:color="auto" w:sz="4" w:space="0"/>
            </w:tcBorders>
            <w:noWrap w:val="0"/>
            <w:vAlign w:val="center"/>
          </w:tcPr>
          <w:p w14:paraId="0719551D">
            <w:pPr>
              <w:keepNext w:val="0"/>
              <w:keepLines w:val="0"/>
              <w:suppressLineNumbers w:val="0"/>
              <w:spacing w:before="0" w:beforeAutospacing="0" w:after="0" w:afterAutospacing="0" w:line="440" w:lineRule="exact"/>
              <w:ind w:left="0" w:right="0"/>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投标保证金的有效性</w:t>
            </w:r>
          </w:p>
        </w:tc>
        <w:tc>
          <w:tcPr>
            <w:tcW w:w="5043" w:type="dxa"/>
            <w:tcBorders>
              <w:top w:val="single" w:color="auto" w:sz="4" w:space="0"/>
              <w:left w:val="single" w:color="auto" w:sz="4" w:space="0"/>
              <w:bottom w:val="single" w:color="auto" w:sz="4" w:space="0"/>
              <w:right w:val="single" w:color="auto" w:sz="4" w:space="0"/>
            </w:tcBorders>
            <w:noWrap w:val="0"/>
            <w:vAlign w:val="center"/>
          </w:tcPr>
          <w:p w14:paraId="667E86DB">
            <w:pPr>
              <w:keepNext w:val="0"/>
              <w:keepLines w:val="0"/>
              <w:suppressLineNumbers w:val="0"/>
              <w:spacing w:before="0" w:beforeAutospacing="0" w:after="0" w:afterAutospacing="0" w:line="440" w:lineRule="exact"/>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投标信用（保证金）承诺书代替投标保证金。</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04BA175B">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p>
        </w:tc>
      </w:tr>
      <w:tr w14:paraId="3257D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461" w:type="dxa"/>
            <w:tcBorders>
              <w:left w:val="single" w:color="auto" w:sz="4" w:space="0"/>
              <w:right w:val="single" w:color="auto" w:sz="4" w:space="0"/>
            </w:tcBorders>
            <w:noWrap w:val="0"/>
            <w:vAlign w:val="center"/>
          </w:tcPr>
          <w:p w14:paraId="5CD8A7A5">
            <w:pPr>
              <w:keepNext w:val="0"/>
              <w:keepLines w:val="0"/>
              <w:suppressLineNumbers w:val="0"/>
              <w:spacing w:before="0" w:beforeAutospacing="0" w:after="0" w:afterAutospacing="0"/>
              <w:ind w:left="0" w:right="0"/>
              <w:jc w:val="center"/>
              <w:rPr>
                <w:rFonts w:hint="default" w:ascii="宋体" w:hAnsi="宋体" w:cs="宋体"/>
                <w:b w:val="0"/>
                <w:bCs/>
                <w:color w:val="auto"/>
                <w:sz w:val="22"/>
                <w:szCs w:val="22"/>
                <w:highlight w:val="none"/>
                <w:lang w:val="en-US" w:eastAsia="zh-CN"/>
              </w:rPr>
            </w:pPr>
            <w:r>
              <w:rPr>
                <w:rFonts w:hint="eastAsia" w:ascii="宋体" w:hAnsi="宋体" w:cs="宋体"/>
                <w:b w:val="0"/>
                <w:bCs/>
                <w:color w:val="auto"/>
                <w:sz w:val="22"/>
                <w:szCs w:val="22"/>
                <w:highlight w:val="none"/>
                <w:lang w:val="en-US" w:eastAsia="zh-CN"/>
              </w:rPr>
              <w:t>6</w:t>
            </w:r>
          </w:p>
        </w:tc>
        <w:tc>
          <w:tcPr>
            <w:tcW w:w="2686" w:type="dxa"/>
            <w:tcBorders>
              <w:top w:val="single" w:color="auto" w:sz="4" w:space="0"/>
              <w:left w:val="single" w:color="auto" w:sz="4" w:space="0"/>
              <w:bottom w:val="single" w:color="auto" w:sz="4" w:space="0"/>
              <w:right w:val="single" w:color="auto" w:sz="4" w:space="0"/>
            </w:tcBorders>
            <w:noWrap w:val="0"/>
            <w:vAlign w:val="center"/>
          </w:tcPr>
          <w:p w14:paraId="0C5B0219">
            <w:pPr>
              <w:keepNext w:val="0"/>
              <w:keepLines w:val="0"/>
              <w:suppressLineNumbers w:val="0"/>
              <w:spacing w:before="0" w:beforeAutospacing="0" w:after="0" w:afterAutospacing="0" w:line="440" w:lineRule="exact"/>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投标有效期</w:t>
            </w:r>
          </w:p>
        </w:tc>
        <w:tc>
          <w:tcPr>
            <w:tcW w:w="5043" w:type="dxa"/>
            <w:tcBorders>
              <w:top w:val="single" w:color="auto" w:sz="4" w:space="0"/>
              <w:left w:val="single" w:color="auto" w:sz="4" w:space="0"/>
              <w:bottom w:val="single" w:color="auto" w:sz="4" w:space="0"/>
              <w:right w:val="single" w:color="auto" w:sz="4" w:space="0"/>
            </w:tcBorders>
            <w:noWrap w:val="0"/>
            <w:vAlign w:val="center"/>
          </w:tcPr>
          <w:p w14:paraId="6B2D4E67">
            <w:pPr>
              <w:keepNext w:val="0"/>
              <w:keepLines w:val="0"/>
              <w:suppressLineNumbers w:val="0"/>
              <w:spacing w:before="0" w:beforeAutospacing="0" w:after="0" w:afterAutospacing="0" w:line="440" w:lineRule="exact"/>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投标有效期符合招标文件的要求。</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7C4D1FEF">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p>
        </w:tc>
      </w:tr>
      <w:tr w14:paraId="6070B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6" w:hRule="atLeast"/>
          <w:jc w:val="center"/>
        </w:trPr>
        <w:tc>
          <w:tcPr>
            <w:tcW w:w="461" w:type="dxa"/>
            <w:tcBorders>
              <w:left w:val="single" w:color="auto" w:sz="4" w:space="0"/>
              <w:right w:val="single" w:color="auto" w:sz="4" w:space="0"/>
            </w:tcBorders>
            <w:noWrap w:val="0"/>
            <w:vAlign w:val="center"/>
          </w:tcPr>
          <w:p w14:paraId="5402CC71">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2"/>
                <w:szCs w:val="22"/>
                <w:highlight w:val="none"/>
                <w:lang w:val="en-US" w:eastAsia="zh-CN"/>
              </w:rPr>
            </w:pPr>
            <w:r>
              <w:rPr>
                <w:rFonts w:hint="eastAsia" w:ascii="宋体" w:hAnsi="宋体" w:cs="宋体"/>
                <w:b w:val="0"/>
                <w:bCs/>
                <w:color w:val="auto"/>
                <w:sz w:val="22"/>
                <w:szCs w:val="22"/>
                <w:highlight w:val="none"/>
                <w:lang w:val="en-US" w:eastAsia="zh-CN"/>
              </w:rPr>
              <w:t>7</w:t>
            </w:r>
          </w:p>
        </w:tc>
        <w:tc>
          <w:tcPr>
            <w:tcW w:w="2686" w:type="dxa"/>
            <w:tcBorders>
              <w:top w:val="single" w:color="auto" w:sz="4" w:space="0"/>
              <w:left w:val="single" w:color="auto" w:sz="4" w:space="0"/>
              <w:bottom w:val="single" w:color="auto" w:sz="4" w:space="0"/>
              <w:right w:val="single" w:color="auto" w:sz="4" w:space="0"/>
            </w:tcBorders>
            <w:noWrap w:val="0"/>
            <w:vAlign w:val="center"/>
          </w:tcPr>
          <w:p w14:paraId="1CE8A83F">
            <w:pPr>
              <w:keepNext w:val="0"/>
              <w:keepLines w:val="0"/>
              <w:suppressLineNumbers w:val="0"/>
              <w:spacing w:before="0" w:beforeAutospacing="0" w:after="0" w:afterAutospacing="0" w:line="44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技术、服务、商务实质性要求</w:t>
            </w:r>
          </w:p>
          <w:p w14:paraId="3015B718">
            <w:pPr>
              <w:keepNext w:val="0"/>
              <w:keepLines w:val="0"/>
              <w:suppressLineNumbers w:val="0"/>
              <w:spacing w:before="0" w:beforeAutospacing="0" w:after="0" w:afterAutospacing="0" w:line="440" w:lineRule="exact"/>
              <w:ind w:left="0" w:right="0"/>
              <w:rPr>
                <w:rFonts w:hint="eastAsia" w:ascii="宋体" w:hAnsi="宋体" w:eastAsia="宋体" w:cs="宋体"/>
                <w:color w:val="auto"/>
                <w:sz w:val="22"/>
                <w:szCs w:val="22"/>
                <w:highlight w:val="none"/>
                <w:lang w:val="en-US" w:eastAsia="zh-CN"/>
              </w:rPr>
            </w:pPr>
          </w:p>
        </w:tc>
        <w:tc>
          <w:tcPr>
            <w:tcW w:w="5043" w:type="dxa"/>
            <w:tcBorders>
              <w:top w:val="single" w:color="auto" w:sz="4" w:space="0"/>
              <w:left w:val="single" w:color="auto" w:sz="4" w:space="0"/>
              <w:bottom w:val="single" w:color="auto" w:sz="4" w:space="0"/>
              <w:right w:val="single" w:color="auto" w:sz="4" w:space="0"/>
            </w:tcBorders>
            <w:noWrap w:val="0"/>
            <w:vAlign w:val="center"/>
          </w:tcPr>
          <w:p w14:paraId="67A5E287">
            <w:pPr>
              <w:keepNext w:val="0"/>
              <w:keepLines w:val="0"/>
              <w:suppressLineNumbers w:val="0"/>
              <w:spacing w:before="0" w:beforeAutospacing="0" w:after="0" w:afterAutospacing="0" w:line="44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完全响应招标文件要求的各项技术</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服务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商务实质性条款。如发现不满足下列情况之一的，其投标将构成非实质性响应，按无效投标处理：</w:t>
            </w:r>
          </w:p>
          <w:p w14:paraId="4B9779BF">
            <w:pPr>
              <w:keepNext w:val="0"/>
              <w:keepLines w:val="0"/>
              <w:suppressLineNumbers w:val="0"/>
              <w:spacing w:before="0" w:beforeAutospacing="0" w:after="0" w:afterAutospacing="0" w:line="44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1）投标文件按照招标文件要求的格式编写；</w:t>
            </w:r>
          </w:p>
          <w:p w14:paraId="27411287">
            <w:pPr>
              <w:keepNext w:val="0"/>
              <w:keepLines w:val="0"/>
              <w:suppressLineNumbers w:val="0"/>
              <w:spacing w:before="0" w:beforeAutospacing="0" w:after="0" w:afterAutospacing="0" w:line="44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2）投标人在同一份投标文件中，只有一个有效报价的；</w:t>
            </w:r>
          </w:p>
          <w:p w14:paraId="6778C31E">
            <w:pPr>
              <w:keepNext w:val="0"/>
              <w:keepLines w:val="0"/>
              <w:suppressLineNumbers w:val="0"/>
              <w:spacing w:before="0" w:beforeAutospacing="0" w:after="0" w:afterAutospacing="0" w:line="44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3）报价未超过招标文件中规定的预算金额或者未与市场价格偏离较大、低于成本、形成不正当竞争的；</w:t>
            </w:r>
          </w:p>
          <w:p w14:paraId="4ADBBD23">
            <w:pPr>
              <w:keepNext w:val="0"/>
              <w:keepLines w:val="0"/>
              <w:suppressLineNumbers w:val="0"/>
              <w:spacing w:before="0" w:beforeAutospacing="0" w:after="0" w:afterAutospacing="0" w:line="44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4）服务期及付款方式符合招标文件的要求；</w:t>
            </w:r>
          </w:p>
          <w:p w14:paraId="72E9F8CE">
            <w:pPr>
              <w:keepNext w:val="0"/>
              <w:keepLines w:val="0"/>
              <w:suppressLineNumbers w:val="0"/>
              <w:spacing w:before="0" w:beforeAutospacing="0" w:after="0" w:afterAutospacing="0" w:line="44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5）商务要求逐条响应并满足招标文件要求；</w:t>
            </w:r>
          </w:p>
          <w:p w14:paraId="16CA40F0">
            <w:pPr>
              <w:keepNext w:val="0"/>
              <w:keepLines w:val="0"/>
              <w:suppressLineNumbers w:val="0"/>
              <w:spacing w:before="0" w:beforeAutospacing="0" w:after="0" w:afterAutospacing="0" w:line="440" w:lineRule="exact"/>
              <w:ind w:left="0" w:right="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）供应商有完整的项目服务组织实施方案，服务方案详细完整，切合本项目实际情况，能满足采购人需求；</w:t>
            </w:r>
          </w:p>
          <w:p w14:paraId="3E5EB183">
            <w:pPr>
              <w:keepNext w:val="0"/>
              <w:keepLines w:val="0"/>
              <w:suppressLineNumbers w:val="0"/>
              <w:spacing w:before="0" w:beforeAutospacing="0" w:after="0" w:afterAutospacing="0" w:line="440" w:lineRule="exact"/>
              <w:ind w:left="0" w:right="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rPr>
              <w:t>）供应商应具备完成本次服务的保障能力；</w:t>
            </w:r>
          </w:p>
          <w:p w14:paraId="2DCBCE7D">
            <w:pPr>
              <w:keepNext w:val="0"/>
              <w:keepLines w:val="0"/>
              <w:suppressLineNumbers w:val="0"/>
              <w:spacing w:before="0" w:beforeAutospacing="0" w:after="0" w:afterAutospacing="0" w:line="440" w:lineRule="exact"/>
              <w:ind w:left="0" w:right="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rPr>
              <w:t>）本项目服务期及服务质量保证计划及措施；</w:t>
            </w:r>
          </w:p>
          <w:p w14:paraId="11F2136E">
            <w:pPr>
              <w:keepNext w:val="0"/>
              <w:keepLines w:val="0"/>
              <w:suppressLineNumbers w:val="0"/>
              <w:spacing w:before="0" w:beforeAutospacing="0" w:after="0" w:afterAutospacing="0" w:line="440" w:lineRule="exact"/>
              <w:ind w:left="0" w:right="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9</w:t>
            </w:r>
            <w:r>
              <w:rPr>
                <w:rFonts w:hint="eastAsia" w:ascii="宋体" w:hAnsi="宋体" w:eastAsia="宋体" w:cs="宋体"/>
                <w:color w:val="auto"/>
                <w:sz w:val="22"/>
                <w:szCs w:val="22"/>
                <w:highlight w:val="none"/>
              </w:rPr>
              <w:t>）投标文件未有采购人不能接受的附加条件；</w:t>
            </w:r>
          </w:p>
          <w:p w14:paraId="08900001">
            <w:pPr>
              <w:keepNext w:val="0"/>
              <w:keepLines w:val="0"/>
              <w:suppressLineNumbers w:val="0"/>
              <w:spacing w:before="0" w:beforeAutospacing="0" w:after="0" w:afterAutospacing="0" w:line="44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val="en-US" w:eastAsia="zh-CN"/>
              </w:rPr>
              <w:t>0</w:t>
            </w:r>
            <w:r>
              <w:rPr>
                <w:rFonts w:hint="eastAsia" w:ascii="宋体" w:hAnsi="宋体" w:eastAsia="宋体" w:cs="宋体"/>
                <w:color w:val="auto"/>
                <w:sz w:val="22"/>
                <w:szCs w:val="22"/>
                <w:highlight w:val="none"/>
              </w:rPr>
              <w:t>）满足招标文件规定的其他要求。</w:t>
            </w:r>
          </w:p>
          <w:p w14:paraId="7812BAF1">
            <w:pPr>
              <w:keepNext w:val="0"/>
              <w:keepLines w:val="0"/>
              <w:suppressLineNumbers w:val="0"/>
              <w:spacing w:before="0" w:beforeAutospacing="0" w:after="0" w:afterAutospacing="0" w:line="44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）招标文件的采购内容及要求为最低要求，投标供应商应当完全满足，不允许出现负偏离。</w:t>
            </w:r>
          </w:p>
          <w:p w14:paraId="29973315">
            <w:pPr>
              <w:keepNext w:val="0"/>
              <w:keepLines w:val="0"/>
              <w:suppressLineNumbers w:val="0"/>
              <w:spacing w:before="0" w:beforeAutospacing="0" w:after="0" w:afterAutospacing="0" w:line="44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评审小组认为投标人的报价明显低于其他通过符合性审查投标人的报价，有可能影响服务质量或者不能诚信履约的，应当要求其在评标现场合理的时间内提供书面说明，必要时提交相关证明材料；投标人不能证明其报价合理性的，评审小组应当将其作为无效投标处理。</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11DE7341">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p>
        </w:tc>
      </w:tr>
      <w:tr w14:paraId="2579E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2" w:hRule="atLeast"/>
          <w:jc w:val="center"/>
        </w:trPr>
        <w:tc>
          <w:tcPr>
            <w:tcW w:w="461" w:type="dxa"/>
            <w:tcBorders>
              <w:left w:val="single" w:color="auto" w:sz="4" w:space="0"/>
              <w:bottom w:val="single" w:color="auto" w:sz="4" w:space="0"/>
              <w:right w:val="single" w:color="auto" w:sz="4" w:space="0"/>
            </w:tcBorders>
            <w:noWrap w:val="0"/>
            <w:vAlign w:val="center"/>
          </w:tcPr>
          <w:p w14:paraId="452A4AB8">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8</w:t>
            </w:r>
          </w:p>
        </w:tc>
        <w:tc>
          <w:tcPr>
            <w:tcW w:w="2686" w:type="dxa"/>
            <w:tcBorders>
              <w:top w:val="single" w:color="auto" w:sz="4" w:space="0"/>
              <w:left w:val="single" w:color="auto" w:sz="4" w:space="0"/>
              <w:bottom w:val="single" w:color="auto" w:sz="4" w:space="0"/>
              <w:right w:val="single" w:color="auto" w:sz="4" w:space="0"/>
            </w:tcBorders>
            <w:noWrap w:val="0"/>
            <w:vAlign w:val="center"/>
          </w:tcPr>
          <w:p w14:paraId="4A999343">
            <w:pPr>
              <w:keepNext w:val="0"/>
              <w:keepLines w:val="0"/>
              <w:suppressLineNumbers w:val="0"/>
              <w:spacing w:before="0" w:beforeAutospacing="0" w:after="0" w:afterAutospacing="0" w:line="440" w:lineRule="exact"/>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开标一览表</w:t>
            </w:r>
          </w:p>
        </w:tc>
        <w:tc>
          <w:tcPr>
            <w:tcW w:w="5043" w:type="dxa"/>
            <w:tcBorders>
              <w:top w:val="single" w:color="auto" w:sz="4" w:space="0"/>
              <w:left w:val="single" w:color="auto" w:sz="4" w:space="0"/>
              <w:bottom w:val="single" w:color="auto" w:sz="4" w:space="0"/>
              <w:right w:val="single" w:color="auto" w:sz="4" w:space="0"/>
            </w:tcBorders>
            <w:noWrap w:val="0"/>
            <w:vAlign w:val="center"/>
          </w:tcPr>
          <w:p w14:paraId="747C239C">
            <w:pPr>
              <w:keepNext w:val="0"/>
              <w:keepLines w:val="0"/>
              <w:suppressLineNumbers w:val="0"/>
              <w:spacing w:before="0" w:beforeAutospacing="0" w:after="0" w:afterAutospacing="0" w:line="44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 xml:space="preserve">（1）投标报价符合唯一性要求； </w:t>
            </w:r>
          </w:p>
          <w:p w14:paraId="67945CD6">
            <w:pPr>
              <w:keepNext w:val="0"/>
              <w:keepLines w:val="0"/>
              <w:suppressLineNumbers w:val="0"/>
              <w:spacing w:before="0" w:beforeAutospacing="0" w:after="0" w:afterAutospacing="0" w:line="44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 xml:space="preserve">（2）开标一览表填写符合要求； </w:t>
            </w:r>
          </w:p>
          <w:p w14:paraId="00586315">
            <w:pPr>
              <w:keepNext w:val="0"/>
              <w:keepLines w:val="0"/>
              <w:suppressLineNumbers w:val="0"/>
              <w:spacing w:before="0" w:beforeAutospacing="0" w:after="0" w:afterAutospacing="0" w:line="44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 xml:space="preserve">（3）计量单位、报价货币均符合招标文件要求； </w:t>
            </w:r>
          </w:p>
          <w:p w14:paraId="706A33D6">
            <w:pPr>
              <w:keepNext w:val="0"/>
              <w:keepLines w:val="0"/>
              <w:suppressLineNumbers w:val="0"/>
              <w:spacing w:before="0" w:beforeAutospacing="0" w:after="0" w:afterAutospacing="0" w:line="44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 xml:space="preserve">（4）未超出采购预算或招标文件规定的最高限价。 </w:t>
            </w:r>
          </w:p>
          <w:p w14:paraId="61998CAE">
            <w:pPr>
              <w:keepNext w:val="0"/>
              <w:keepLines w:val="0"/>
              <w:suppressLineNumbers w:val="0"/>
              <w:spacing w:before="0" w:beforeAutospacing="0" w:after="0" w:afterAutospacing="0" w:line="44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（5）投标报价未与市场价格偏离较大、低于成本、形成不正当竞争的</w:t>
            </w:r>
            <w:r>
              <w:rPr>
                <w:rFonts w:hint="eastAsia" w:ascii="宋体" w:hAnsi="宋体" w:eastAsia="宋体" w:cs="宋体"/>
                <w:color w:val="auto"/>
                <w:sz w:val="22"/>
                <w:szCs w:val="22"/>
                <w:highlight w:val="none"/>
                <w:lang w:eastAsia="zh-CN"/>
              </w:rPr>
              <w:t>；</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5D6748E6">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p>
        </w:tc>
      </w:tr>
      <w:tr w14:paraId="59AC0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21" w:hRule="atLeast"/>
          <w:jc w:val="center"/>
        </w:trPr>
        <w:tc>
          <w:tcPr>
            <w:tcW w:w="461" w:type="dxa"/>
            <w:tcBorders>
              <w:left w:val="single" w:color="auto" w:sz="4" w:space="0"/>
              <w:bottom w:val="single" w:color="auto" w:sz="4" w:space="0"/>
              <w:right w:val="single" w:color="auto" w:sz="4" w:space="0"/>
            </w:tcBorders>
            <w:noWrap w:val="0"/>
            <w:vAlign w:val="center"/>
          </w:tcPr>
          <w:p w14:paraId="343B5520">
            <w:pPr>
              <w:keepNext w:val="0"/>
              <w:keepLines w:val="0"/>
              <w:suppressLineNumbers w:val="0"/>
              <w:spacing w:before="0" w:beforeAutospacing="0" w:after="0" w:afterAutospacing="0"/>
              <w:ind w:left="0" w:right="0"/>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9</w:t>
            </w:r>
          </w:p>
        </w:tc>
        <w:tc>
          <w:tcPr>
            <w:tcW w:w="2686" w:type="dxa"/>
            <w:tcBorders>
              <w:top w:val="single" w:color="auto" w:sz="4" w:space="0"/>
              <w:left w:val="single" w:color="auto" w:sz="4" w:space="0"/>
              <w:bottom w:val="single" w:color="auto" w:sz="4" w:space="0"/>
              <w:right w:val="single" w:color="auto" w:sz="4" w:space="0"/>
            </w:tcBorders>
            <w:noWrap w:val="0"/>
            <w:vAlign w:val="center"/>
          </w:tcPr>
          <w:p w14:paraId="6CAC8416">
            <w:pPr>
              <w:keepNext w:val="0"/>
              <w:keepLines w:val="0"/>
              <w:suppressLineNumbers w:val="0"/>
              <w:spacing w:before="0" w:beforeAutospacing="0" w:after="0" w:afterAutospacing="0" w:line="440" w:lineRule="exact"/>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合同条款</w:t>
            </w:r>
          </w:p>
        </w:tc>
        <w:tc>
          <w:tcPr>
            <w:tcW w:w="5043" w:type="dxa"/>
            <w:tcBorders>
              <w:top w:val="single" w:color="auto" w:sz="4" w:space="0"/>
              <w:left w:val="single" w:color="auto" w:sz="4" w:space="0"/>
              <w:bottom w:val="single" w:color="auto" w:sz="4" w:space="0"/>
              <w:right w:val="single" w:color="auto" w:sz="4" w:space="0"/>
            </w:tcBorders>
            <w:noWrap w:val="0"/>
            <w:vAlign w:val="center"/>
          </w:tcPr>
          <w:p w14:paraId="2CC518DA">
            <w:pPr>
              <w:keepNext w:val="0"/>
              <w:keepLines w:val="0"/>
              <w:suppressLineNumbers w:val="0"/>
              <w:spacing w:before="0" w:beforeAutospacing="0" w:after="0" w:afterAutospacing="0" w:line="440" w:lineRule="exact"/>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完全理解并响应招标文件合同基本条款的要求</w:t>
            </w:r>
            <w:r>
              <w:rPr>
                <w:rFonts w:hint="eastAsia" w:ascii="宋体" w:hAnsi="宋体" w:cs="宋体"/>
                <w:color w:val="auto"/>
                <w:sz w:val="22"/>
                <w:szCs w:val="22"/>
                <w:highlight w:val="none"/>
                <w:lang w:eastAsia="zh-CN"/>
              </w:rPr>
              <w:t>。</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26CDA58F">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p>
        </w:tc>
      </w:tr>
      <w:tr w14:paraId="167DF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10" w:hRule="atLeast"/>
          <w:jc w:val="center"/>
        </w:trPr>
        <w:tc>
          <w:tcPr>
            <w:tcW w:w="461" w:type="dxa"/>
            <w:tcBorders>
              <w:left w:val="single" w:color="auto" w:sz="4" w:space="0"/>
              <w:right w:val="single" w:color="auto" w:sz="4" w:space="0"/>
            </w:tcBorders>
            <w:noWrap w:val="0"/>
            <w:vAlign w:val="center"/>
          </w:tcPr>
          <w:p w14:paraId="55D6E19C">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w:t>
            </w:r>
          </w:p>
        </w:tc>
        <w:tc>
          <w:tcPr>
            <w:tcW w:w="2686" w:type="dxa"/>
            <w:tcBorders>
              <w:top w:val="single" w:color="auto" w:sz="4" w:space="0"/>
              <w:left w:val="single" w:color="auto" w:sz="4" w:space="0"/>
              <w:bottom w:val="single" w:color="auto" w:sz="4" w:space="0"/>
              <w:right w:val="single" w:color="auto" w:sz="4" w:space="0"/>
            </w:tcBorders>
            <w:noWrap w:val="0"/>
            <w:vAlign w:val="center"/>
          </w:tcPr>
          <w:p w14:paraId="0C688F03">
            <w:pPr>
              <w:keepNext w:val="0"/>
              <w:keepLines w:val="0"/>
              <w:suppressLineNumbers w:val="0"/>
              <w:spacing w:before="0" w:beforeAutospacing="0" w:after="0" w:afterAutospacing="0" w:line="440" w:lineRule="exact"/>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无其他招标文件或法规明确规定响应无效的事项</w:t>
            </w:r>
          </w:p>
        </w:tc>
        <w:tc>
          <w:tcPr>
            <w:tcW w:w="5043" w:type="dxa"/>
            <w:tcBorders>
              <w:top w:val="single" w:color="auto" w:sz="4" w:space="0"/>
              <w:left w:val="single" w:color="auto" w:sz="4" w:space="0"/>
              <w:bottom w:val="single" w:color="auto" w:sz="4" w:space="0"/>
              <w:right w:val="single" w:color="auto" w:sz="4" w:space="0"/>
            </w:tcBorders>
            <w:noWrap w:val="0"/>
            <w:vAlign w:val="center"/>
          </w:tcPr>
          <w:p w14:paraId="1A983BA4">
            <w:pPr>
              <w:keepNext w:val="0"/>
              <w:keepLines w:val="0"/>
              <w:suppressLineNumbers w:val="0"/>
              <w:spacing w:before="0" w:beforeAutospacing="0" w:after="0" w:afterAutospacing="0" w:line="44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没有串通投标或弄虚作假或有其他违法行为；招标文件或法律法规规有关废标或否决投标规定的其他情形。</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7F067E09">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p>
        </w:tc>
      </w:tr>
      <w:tr w14:paraId="2D601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8" w:hRule="atLeast"/>
          <w:jc w:val="center"/>
        </w:trPr>
        <w:tc>
          <w:tcPr>
            <w:tcW w:w="3147" w:type="dxa"/>
            <w:gridSpan w:val="2"/>
            <w:tcBorders>
              <w:left w:val="single" w:color="auto" w:sz="4" w:space="0"/>
              <w:bottom w:val="single" w:color="auto" w:sz="4" w:space="0"/>
              <w:right w:val="single" w:color="auto" w:sz="4" w:space="0"/>
            </w:tcBorders>
            <w:noWrap w:val="0"/>
            <w:vAlign w:val="center"/>
          </w:tcPr>
          <w:p w14:paraId="7DF55B8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c>
          <w:tcPr>
            <w:tcW w:w="5043" w:type="dxa"/>
            <w:tcBorders>
              <w:top w:val="single" w:color="auto" w:sz="4" w:space="0"/>
              <w:left w:val="single" w:color="auto" w:sz="4" w:space="0"/>
              <w:bottom w:val="single" w:color="auto" w:sz="4" w:space="0"/>
              <w:right w:val="single" w:color="auto" w:sz="4" w:space="0"/>
            </w:tcBorders>
            <w:noWrap w:val="0"/>
            <w:vAlign w:val="center"/>
          </w:tcPr>
          <w:p w14:paraId="5ED10014">
            <w:pPr>
              <w:keepNext w:val="0"/>
              <w:keepLines w:val="0"/>
              <w:suppressLineNumbers w:val="0"/>
              <w:spacing w:before="0" w:beforeAutospacing="0" w:after="0" w:afterAutospacing="0" w:line="44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符合性审查不合格的投标单位不得进入下一评审环节。</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5349B32B">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p>
        </w:tc>
      </w:tr>
    </w:tbl>
    <w:p w14:paraId="29CDBF99">
      <w:pPr>
        <w:pStyle w:val="10"/>
        <w:keepNext w:val="0"/>
        <w:keepLines w:val="0"/>
        <w:pageBreakBefore w:val="0"/>
        <w:widowControl w:val="0"/>
        <w:kinsoku/>
        <w:wordWrap/>
        <w:overflowPunct/>
        <w:topLinePunct w:val="0"/>
        <w:autoSpaceDE/>
        <w:autoSpaceDN/>
        <w:bidi w:val="0"/>
        <w:adjustRightInd/>
        <w:snapToGrid/>
        <w:spacing w:after="0" w:line="360" w:lineRule="auto"/>
        <w:ind w:firstLine="440" w:firstLineChars="20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22.3.1有下列情形之一的，视为投标人相互恶意串通投标响应，其投标文件按无效处理：</w:t>
      </w:r>
    </w:p>
    <w:p w14:paraId="7DD36EEB">
      <w:pPr>
        <w:pStyle w:val="10"/>
        <w:keepNext w:val="0"/>
        <w:keepLines w:val="0"/>
        <w:pageBreakBefore w:val="0"/>
        <w:widowControl w:val="0"/>
        <w:kinsoku/>
        <w:wordWrap/>
        <w:overflowPunct/>
        <w:topLinePunct w:val="0"/>
        <w:autoSpaceDE/>
        <w:autoSpaceDN/>
        <w:bidi w:val="0"/>
        <w:adjustRightInd/>
        <w:snapToGrid/>
        <w:spacing w:after="0" w:line="360" w:lineRule="auto"/>
        <w:ind w:firstLine="440" w:firstLineChars="20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1）不同投标人的投标文件由同一单位或者个人编制；</w:t>
      </w:r>
    </w:p>
    <w:p w14:paraId="1A36DAE3">
      <w:pPr>
        <w:pStyle w:val="10"/>
        <w:keepNext w:val="0"/>
        <w:keepLines w:val="0"/>
        <w:pageBreakBefore w:val="0"/>
        <w:widowControl w:val="0"/>
        <w:kinsoku/>
        <w:wordWrap/>
        <w:overflowPunct/>
        <w:topLinePunct w:val="0"/>
        <w:autoSpaceDE/>
        <w:autoSpaceDN/>
        <w:bidi w:val="0"/>
        <w:adjustRightInd/>
        <w:snapToGrid/>
        <w:spacing w:after="0" w:line="360" w:lineRule="auto"/>
        <w:ind w:firstLine="440" w:firstLineChars="20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2）不同投标人委托同一单位或者个人办理投标事宜；</w:t>
      </w:r>
    </w:p>
    <w:p w14:paraId="0FECF00F">
      <w:pPr>
        <w:pStyle w:val="10"/>
        <w:keepNext w:val="0"/>
        <w:keepLines w:val="0"/>
        <w:pageBreakBefore w:val="0"/>
        <w:widowControl w:val="0"/>
        <w:kinsoku/>
        <w:wordWrap/>
        <w:overflowPunct/>
        <w:topLinePunct w:val="0"/>
        <w:autoSpaceDE/>
        <w:autoSpaceDN/>
        <w:bidi w:val="0"/>
        <w:adjustRightInd/>
        <w:snapToGrid/>
        <w:spacing w:after="0" w:line="360" w:lineRule="auto"/>
        <w:ind w:firstLine="440" w:firstLineChars="20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3）不同投标人的响应文件载明的项目管理成员为同一人；</w:t>
      </w:r>
    </w:p>
    <w:p w14:paraId="4C8BD8BA">
      <w:pPr>
        <w:pStyle w:val="10"/>
        <w:keepNext w:val="0"/>
        <w:keepLines w:val="0"/>
        <w:pageBreakBefore w:val="0"/>
        <w:widowControl w:val="0"/>
        <w:kinsoku/>
        <w:wordWrap/>
        <w:overflowPunct/>
        <w:topLinePunct w:val="0"/>
        <w:autoSpaceDE/>
        <w:autoSpaceDN/>
        <w:bidi w:val="0"/>
        <w:adjustRightInd/>
        <w:snapToGrid/>
        <w:spacing w:after="0" w:line="360" w:lineRule="auto"/>
        <w:ind w:firstLine="440" w:firstLineChars="20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4）不同投标人的响应文件异常一致或者投标报价呈规律性差异；</w:t>
      </w:r>
    </w:p>
    <w:p w14:paraId="337A1C91">
      <w:pPr>
        <w:pStyle w:val="10"/>
        <w:keepNext w:val="0"/>
        <w:keepLines w:val="0"/>
        <w:pageBreakBefore w:val="0"/>
        <w:widowControl w:val="0"/>
        <w:kinsoku/>
        <w:wordWrap/>
        <w:overflowPunct/>
        <w:topLinePunct w:val="0"/>
        <w:autoSpaceDE/>
        <w:autoSpaceDN/>
        <w:bidi w:val="0"/>
        <w:adjustRightInd/>
        <w:snapToGrid/>
        <w:spacing w:after="0" w:line="360" w:lineRule="auto"/>
        <w:ind w:firstLine="440" w:firstLineChars="20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5）不同投标人的响应文件相互混装；</w:t>
      </w:r>
    </w:p>
    <w:p w14:paraId="4A70CC8D">
      <w:pPr>
        <w:pStyle w:val="10"/>
        <w:keepNext w:val="0"/>
        <w:keepLines w:val="0"/>
        <w:pageBreakBefore w:val="0"/>
        <w:widowControl w:val="0"/>
        <w:kinsoku/>
        <w:wordWrap/>
        <w:overflowPunct/>
        <w:topLinePunct w:val="0"/>
        <w:autoSpaceDE/>
        <w:autoSpaceDN/>
        <w:bidi w:val="0"/>
        <w:adjustRightInd/>
        <w:snapToGrid/>
        <w:spacing w:after="0" w:line="360" w:lineRule="auto"/>
        <w:ind w:firstLine="440" w:firstLineChars="20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6）不同投标人的投标保证金从同一单位或者个人的账户转出；</w:t>
      </w:r>
    </w:p>
    <w:p w14:paraId="0D9197E6">
      <w:pPr>
        <w:pStyle w:val="10"/>
        <w:keepNext w:val="0"/>
        <w:keepLines w:val="0"/>
        <w:pageBreakBefore w:val="0"/>
        <w:widowControl w:val="0"/>
        <w:kinsoku/>
        <w:wordWrap/>
        <w:overflowPunct/>
        <w:topLinePunct w:val="0"/>
        <w:autoSpaceDE/>
        <w:autoSpaceDN/>
        <w:bidi w:val="0"/>
        <w:adjustRightInd/>
        <w:snapToGrid/>
        <w:spacing w:after="0" w:line="360" w:lineRule="auto"/>
        <w:ind w:firstLine="440" w:firstLineChars="20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7）不同投标人的响应文件由同一单位送达。</w:t>
      </w:r>
    </w:p>
    <w:p w14:paraId="67BB9E72">
      <w:pPr>
        <w:pStyle w:val="10"/>
        <w:keepNext w:val="0"/>
        <w:keepLines w:val="0"/>
        <w:pageBreakBefore w:val="0"/>
        <w:widowControl w:val="0"/>
        <w:kinsoku/>
        <w:wordWrap/>
        <w:overflowPunct/>
        <w:topLinePunct w:val="0"/>
        <w:autoSpaceDE/>
        <w:autoSpaceDN/>
        <w:bidi w:val="0"/>
        <w:adjustRightInd/>
        <w:snapToGrid/>
        <w:spacing w:after="0" w:line="360" w:lineRule="auto"/>
        <w:ind w:firstLine="440" w:firstLineChars="20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25.</w:t>
      </w:r>
      <w:r>
        <w:rPr>
          <w:rFonts w:hint="eastAsia" w:ascii="宋体" w:hAnsi="宋体" w:cs="宋体"/>
          <w:color w:val="auto"/>
          <w:kern w:val="2"/>
          <w:sz w:val="22"/>
          <w:szCs w:val="22"/>
          <w:highlight w:val="none"/>
          <w:lang w:val="en-US" w:eastAsia="zh-CN"/>
        </w:rPr>
        <w:t>3</w:t>
      </w:r>
      <w:r>
        <w:rPr>
          <w:rFonts w:hint="eastAsia" w:ascii="宋体" w:hAnsi="宋体" w:eastAsia="宋体" w:cs="宋体"/>
          <w:color w:val="auto"/>
          <w:kern w:val="2"/>
          <w:sz w:val="22"/>
          <w:szCs w:val="22"/>
          <w:highlight w:val="none"/>
        </w:rPr>
        <w:t>.1评标委员会负责具体评标事务，并独立履行下列职责：</w:t>
      </w:r>
    </w:p>
    <w:p w14:paraId="77C003BA">
      <w:pPr>
        <w:pStyle w:val="10"/>
        <w:keepNext w:val="0"/>
        <w:keepLines w:val="0"/>
        <w:pageBreakBefore w:val="0"/>
        <w:widowControl w:val="0"/>
        <w:kinsoku/>
        <w:wordWrap/>
        <w:overflowPunct/>
        <w:topLinePunct w:val="0"/>
        <w:autoSpaceDE/>
        <w:autoSpaceDN/>
        <w:bidi w:val="0"/>
        <w:adjustRightInd/>
        <w:snapToGrid/>
        <w:spacing w:after="0" w:line="360" w:lineRule="auto"/>
        <w:ind w:firstLine="440" w:firstLineChars="20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遵纪守法，客观、公正、认真负责地履行职责，审查、评价投标文件是否符合招标文件的商务、技术等实质性要求；对投标单位及投标文件有效性和符合性审查，出现下列情况之一者（但不限于），按无效标处理：</w:t>
      </w:r>
    </w:p>
    <w:p w14:paraId="56F11475">
      <w:pPr>
        <w:pStyle w:val="10"/>
        <w:keepNext w:val="0"/>
        <w:keepLines w:val="0"/>
        <w:pageBreakBefore w:val="0"/>
        <w:widowControl w:val="0"/>
        <w:numPr>
          <w:ilvl w:val="0"/>
          <w:numId w:val="4"/>
        </w:numPr>
        <w:kinsoku/>
        <w:wordWrap/>
        <w:overflowPunct/>
        <w:topLinePunct w:val="0"/>
        <w:autoSpaceDE/>
        <w:autoSpaceDN/>
        <w:bidi w:val="0"/>
        <w:adjustRightInd/>
        <w:snapToGrid/>
        <w:spacing w:after="0" w:line="360" w:lineRule="auto"/>
        <w:ind w:left="425" w:leftChars="0" w:hanging="425" w:firstLineChars="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投标单位未交纳、未足额交纳或未按规定时间交纳保证金的；</w:t>
      </w:r>
    </w:p>
    <w:p w14:paraId="675624C1">
      <w:pPr>
        <w:pStyle w:val="10"/>
        <w:keepNext w:val="0"/>
        <w:keepLines w:val="0"/>
        <w:pageBreakBefore w:val="0"/>
        <w:widowControl w:val="0"/>
        <w:numPr>
          <w:ilvl w:val="0"/>
          <w:numId w:val="4"/>
        </w:numPr>
        <w:kinsoku/>
        <w:wordWrap/>
        <w:overflowPunct/>
        <w:topLinePunct w:val="0"/>
        <w:autoSpaceDE/>
        <w:autoSpaceDN/>
        <w:bidi w:val="0"/>
        <w:adjustRightInd/>
        <w:snapToGrid/>
        <w:spacing w:after="0" w:line="360" w:lineRule="auto"/>
        <w:ind w:left="425" w:leftChars="0" w:hanging="425" w:firstLineChars="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投标单位未经过正常渠道获取招标文件，或投标单位名称与获取招标文件时登记的投标单位名称不符的；</w:t>
      </w:r>
    </w:p>
    <w:p w14:paraId="0B31FA48">
      <w:pPr>
        <w:pStyle w:val="10"/>
        <w:keepNext w:val="0"/>
        <w:keepLines w:val="0"/>
        <w:pageBreakBefore w:val="0"/>
        <w:widowControl w:val="0"/>
        <w:numPr>
          <w:ilvl w:val="0"/>
          <w:numId w:val="4"/>
        </w:numPr>
        <w:kinsoku/>
        <w:wordWrap/>
        <w:overflowPunct/>
        <w:topLinePunct w:val="0"/>
        <w:autoSpaceDE/>
        <w:autoSpaceDN/>
        <w:bidi w:val="0"/>
        <w:adjustRightInd/>
        <w:snapToGrid/>
        <w:spacing w:after="0" w:line="360" w:lineRule="auto"/>
        <w:ind w:left="425" w:leftChars="0" w:hanging="425" w:firstLineChars="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必备资质的有效性和符合性不符合要求的；</w:t>
      </w:r>
    </w:p>
    <w:p w14:paraId="2C51AF38">
      <w:pPr>
        <w:pStyle w:val="10"/>
        <w:keepNext w:val="0"/>
        <w:keepLines w:val="0"/>
        <w:pageBreakBefore w:val="0"/>
        <w:widowControl w:val="0"/>
        <w:numPr>
          <w:ilvl w:val="0"/>
          <w:numId w:val="4"/>
        </w:numPr>
        <w:kinsoku/>
        <w:wordWrap/>
        <w:overflowPunct/>
        <w:topLinePunct w:val="0"/>
        <w:autoSpaceDE/>
        <w:autoSpaceDN/>
        <w:bidi w:val="0"/>
        <w:adjustRightInd/>
        <w:snapToGrid/>
        <w:spacing w:after="0" w:line="360" w:lineRule="auto"/>
        <w:ind w:left="425" w:leftChars="0" w:hanging="425" w:firstLineChars="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投标文件未按招标文件要求签字或加盖公章，无投标有效期或有效期达不到招标文件要求的；</w:t>
      </w:r>
    </w:p>
    <w:p w14:paraId="053455B1">
      <w:pPr>
        <w:pStyle w:val="10"/>
        <w:keepNext w:val="0"/>
        <w:keepLines w:val="0"/>
        <w:pageBreakBefore w:val="0"/>
        <w:widowControl w:val="0"/>
        <w:numPr>
          <w:ilvl w:val="0"/>
          <w:numId w:val="4"/>
        </w:numPr>
        <w:kinsoku/>
        <w:wordWrap/>
        <w:overflowPunct/>
        <w:topLinePunct w:val="0"/>
        <w:autoSpaceDE/>
        <w:autoSpaceDN/>
        <w:bidi w:val="0"/>
        <w:adjustRightInd/>
        <w:snapToGrid/>
        <w:spacing w:after="0" w:line="360" w:lineRule="auto"/>
        <w:ind w:left="425" w:leftChars="0" w:hanging="425" w:firstLineChars="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投标单位针对同一项目递交两份或多份内容不同的投标文件，未书面声明哪一份是有效的或出现选择性报价的；</w:t>
      </w:r>
    </w:p>
    <w:p w14:paraId="5F3B0251">
      <w:pPr>
        <w:pStyle w:val="10"/>
        <w:keepNext w:val="0"/>
        <w:keepLines w:val="0"/>
        <w:pageBreakBefore w:val="0"/>
        <w:widowControl w:val="0"/>
        <w:numPr>
          <w:ilvl w:val="0"/>
          <w:numId w:val="4"/>
        </w:numPr>
        <w:kinsoku/>
        <w:wordWrap/>
        <w:overflowPunct/>
        <w:topLinePunct w:val="0"/>
        <w:autoSpaceDE/>
        <w:autoSpaceDN/>
        <w:bidi w:val="0"/>
        <w:adjustRightInd/>
        <w:snapToGrid/>
        <w:spacing w:after="0" w:line="360" w:lineRule="auto"/>
        <w:ind w:left="425" w:leftChars="0" w:hanging="425" w:firstLineChars="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提供虚假资质、虚假证明（包括第三方提供的虚假证明）、出现虚假应答的，除按无效投标文件处理外，还将按照政府采购的有关规定进行处罚；</w:t>
      </w:r>
    </w:p>
    <w:p w14:paraId="0079D224">
      <w:pPr>
        <w:pStyle w:val="10"/>
        <w:keepNext w:val="0"/>
        <w:keepLines w:val="0"/>
        <w:pageBreakBefore w:val="0"/>
        <w:widowControl w:val="0"/>
        <w:numPr>
          <w:ilvl w:val="0"/>
          <w:numId w:val="4"/>
        </w:numPr>
        <w:kinsoku/>
        <w:wordWrap/>
        <w:overflowPunct/>
        <w:topLinePunct w:val="0"/>
        <w:autoSpaceDE/>
        <w:autoSpaceDN/>
        <w:bidi w:val="0"/>
        <w:adjustRightInd/>
        <w:snapToGrid/>
        <w:spacing w:after="0" w:line="360" w:lineRule="auto"/>
        <w:ind w:left="425" w:leftChars="0" w:hanging="425" w:firstLineChars="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投标文件在商务响应方面附加了采购单位难以接受的条件或条款的；</w:t>
      </w:r>
    </w:p>
    <w:p w14:paraId="7CEB9EB1">
      <w:pPr>
        <w:pStyle w:val="10"/>
        <w:keepNext w:val="0"/>
        <w:keepLines w:val="0"/>
        <w:pageBreakBefore w:val="0"/>
        <w:widowControl w:val="0"/>
        <w:numPr>
          <w:ilvl w:val="0"/>
          <w:numId w:val="4"/>
        </w:numPr>
        <w:kinsoku/>
        <w:wordWrap/>
        <w:overflowPunct/>
        <w:topLinePunct w:val="0"/>
        <w:autoSpaceDE/>
        <w:autoSpaceDN/>
        <w:bidi w:val="0"/>
        <w:adjustRightInd/>
        <w:snapToGrid/>
        <w:spacing w:after="0" w:line="360" w:lineRule="auto"/>
        <w:ind w:left="425" w:leftChars="0" w:hanging="425" w:firstLineChars="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投标单位前期参与了本次招标项目方案设计的；</w:t>
      </w:r>
    </w:p>
    <w:p w14:paraId="1D7F7793">
      <w:pPr>
        <w:pStyle w:val="10"/>
        <w:keepNext w:val="0"/>
        <w:keepLines w:val="0"/>
        <w:pageBreakBefore w:val="0"/>
        <w:widowControl w:val="0"/>
        <w:numPr>
          <w:ilvl w:val="0"/>
          <w:numId w:val="4"/>
        </w:numPr>
        <w:kinsoku/>
        <w:wordWrap/>
        <w:overflowPunct/>
        <w:topLinePunct w:val="0"/>
        <w:autoSpaceDE/>
        <w:autoSpaceDN/>
        <w:bidi w:val="0"/>
        <w:adjustRightInd/>
        <w:snapToGrid/>
        <w:spacing w:after="0" w:line="360" w:lineRule="auto"/>
        <w:ind w:left="425" w:leftChars="0" w:hanging="425" w:firstLineChars="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在政府采购或其它重大项目履约过程中有不良记录，未能按期履约的；</w:t>
      </w:r>
    </w:p>
    <w:p w14:paraId="40A8DA98">
      <w:pPr>
        <w:pStyle w:val="10"/>
        <w:keepNext w:val="0"/>
        <w:keepLines w:val="0"/>
        <w:pageBreakBefore w:val="0"/>
        <w:widowControl w:val="0"/>
        <w:numPr>
          <w:ilvl w:val="0"/>
          <w:numId w:val="4"/>
        </w:numPr>
        <w:kinsoku/>
        <w:wordWrap/>
        <w:overflowPunct/>
        <w:topLinePunct w:val="0"/>
        <w:autoSpaceDE/>
        <w:autoSpaceDN/>
        <w:bidi w:val="0"/>
        <w:adjustRightInd/>
        <w:snapToGrid/>
        <w:spacing w:after="0" w:line="360" w:lineRule="auto"/>
        <w:ind w:left="425" w:leftChars="0" w:hanging="425" w:firstLineChars="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投标报价与市场价格偏离较大、低于成本、形成不正当竞争的；</w:t>
      </w:r>
    </w:p>
    <w:p w14:paraId="3A085357">
      <w:pPr>
        <w:pStyle w:val="10"/>
        <w:keepNext w:val="0"/>
        <w:keepLines w:val="0"/>
        <w:pageBreakBefore w:val="0"/>
        <w:widowControl w:val="0"/>
        <w:numPr>
          <w:ilvl w:val="0"/>
          <w:numId w:val="4"/>
        </w:numPr>
        <w:kinsoku/>
        <w:wordWrap/>
        <w:overflowPunct/>
        <w:topLinePunct w:val="0"/>
        <w:autoSpaceDE/>
        <w:autoSpaceDN/>
        <w:bidi w:val="0"/>
        <w:adjustRightInd/>
        <w:snapToGrid/>
        <w:spacing w:after="0" w:line="360" w:lineRule="auto"/>
        <w:ind w:left="425" w:leftChars="0" w:hanging="425" w:firstLineChars="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投标报价子目出现漏项或报价数量与要求不符的；</w:t>
      </w:r>
    </w:p>
    <w:p w14:paraId="09AD803A">
      <w:pPr>
        <w:pStyle w:val="10"/>
        <w:keepNext w:val="0"/>
        <w:keepLines w:val="0"/>
        <w:pageBreakBefore w:val="0"/>
        <w:widowControl w:val="0"/>
        <w:numPr>
          <w:ilvl w:val="0"/>
          <w:numId w:val="4"/>
        </w:numPr>
        <w:kinsoku/>
        <w:wordWrap/>
        <w:overflowPunct/>
        <w:topLinePunct w:val="0"/>
        <w:autoSpaceDE/>
        <w:autoSpaceDN/>
        <w:bidi w:val="0"/>
        <w:adjustRightInd/>
        <w:snapToGrid/>
        <w:spacing w:after="0" w:line="360" w:lineRule="auto"/>
        <w:ind w:left="425" w:leftChars="0" w:hanging="425" w:firstLineChars="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投标产品的技术参数、性能指标与招标文件要求出现重大负偏差的；</w:t>
      </w:r>
    </w:p>
    <w:p w14:paraId="106D8797">
      <w:pPr>
        <w:pStyle w:val="10"/>
        <w:keepNext w:val="0"/>
        <w:keepLines w:val="0"/>
        <w:pageBreakBefore w:val="0"/>
        <w:widowControl w:val="0"/>
        <w:numPr>
          <w:ilvl w:val="0"/>
          <w:numId w:val="4"/>
        </w:numPr>
        <w:kinsoku/>
        <w:wordWrap/>
        <w:overflowPunct/>
        <w:topLinePunct w:val="0"/>
        <w:autoSpaceDE/>
        <w:autoSpaceDN/>
        <w:bidi w:val="0"/>
        <w:adjustRightInd/>
        <w:snapToGrid/>
        <w:spacing w:after="0" w:line="360" w:lineRule="auto"/>
        <w:ind w:left="425" w:leftChars="0" w:hanging="425" w:firstLineChars="0"/>
        <w:textAlignment w:val="auto"/>
        <w:rPr>
          <w:rFonts w:hint="eastAsia" w:ascii="仿宋" w:hAnsi="仿宋" w:eastAsia="仿宋" w:cs="仿宋"/>
          <w:sz w:val="24"/>
          <w:szCs w:val="24"/>
          <w:highlight w:val="none"/>
        </w:rPr>
      </w:pPr>
      <w:r>
        <w:rPr>
          <w:rFonts w:hint="eastAsia" w:ascii="宋体" w:hAnsi="宋体" w:eastAsia="宋体" w:cs="宋体"/>
          <w:color w:val="auto"/>
          <w:kern w:val="2"/>
          <w:sz w:val="22"/>
          <w:szCs w:val="22"/>
          <w:highlight w:val="none"/>
        </w:rPr>
        <w:t>提供虚假技术性能指标。</w:t>
      </w:r>
    </w:p>
    <w:p w14:paraId="7981510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22.4 如果投标文件实质上没有响应招标文件的要求，评标委员会将予以拒绝，投标人不得通过修正或撤销不合要求的偏离从而使其投标成为实质上响应的投标。</w:t>
      </w:r>
    </w:p>
    <w:p w14:paraId="57F763D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22.5 评标委员会将只对确定为实质上响应的投标进行审核，看其是否有计算上和累加上的算术错误，修正错误的原则如下：</w:t>
      </w:r>
    </w:p>
    <w:p w14:paraId="4DFCCE5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1）投标报价表中内容与投标文件投标分项报价表内容不一致的，应以投标报价表为准；</w:t>
      </w:r>
    </w:p>
    <w:p w14:paraId="52C0D6E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2）投标文件的大写金额和小写金额不一致的，以大写金额为准；总价金额与按单价汇总金额不一致的，以单价金额计算结果为准；单价金额小数点有明显错位的，应以总价为准，并修改单价；</w:t>
      </w:r>
    </w:p>
    <w:p w14:paraId="08C30D47">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22.6 评标委员会将按上述修正错误的原则调整投标文件中的投标报价，调整后的价格应对投标人具有约束力。如果投标人不接受修正后的价格，则其投标将被拒绝。</w:t>
      </w:r>
    </w:p>
    <w:p w14:paraId="16A3FE39">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outlineLvl w:val="1"/>
        <w:rPr>
          <w:rFonts w:hint="eastAsia" w:ascii="宋体" w:hAnsi="宋体" w:eastAsia="宋体" w:cs="宋体"/>
          <w:b/>
          <w:color w:val="auto"/>
          <w:sz w:val="22"/>
          <w:szCs w:val="22"/>
          <w:highlight w:val="none"/>
        </w:rPr>
      </w:pPr>
      <w:bookmarkStart w:id="136" w:name="_Toc15894"/>
      <w:r>
        <w:rPr>
          <w:rFonts w:hint="eastAsia" w:ascii="宋体" w:hAnsi="宋体" w:eastAsia="宋体" w:cs="宋体"/>
          <w:b/>
          <w:color w:val="auto"/>
          <w:sz w:val="22"/>
          <w:szCs w:val="22"/>
          <w:highlight w:val="none"/>
        </w:rPr>
        <w:t>23．投标文件的详细评审</w:t>
      </w:r>
      <w:bookmarkEnd w:id="136"/>
    </w:p>
    <w:p w14:paraId="00E76A74">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23.1 评标委员会将按照第22条规定只对确定为实质上响应招标文件要求的投标进行详细的评价和比较。</w:t>
      </w:r>
    </w:p>
    <w:p w14:paraId="597737B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23.2 评标方法：综合评分法</w:t>
      </w:r>
    </w:p>
    <w:p w14:paraId="5DFFF2BE">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评审总分值为100分，具体分值如下：</w:t>
      </w:r>
    </w:p>
    <w:p w14:paraId="3C1B6E61">
      <w:pPr>
        <w:keepNext w:val="0"/>
        <w:keepLines w:val="0"/>
        <w:pageBreakBefore w:val="0"/>
        <w:widowControl w:val="0"/>
        <w:kinsoku/>
        <w:wordWrap/>
        <w:overflowPunct/>
        <w:topLinePunct w:val="0"/>
        <w:autoSpaceDE/>
        <w:autoSpaceDN/>
        <w:bidi w:val="0"/>
        <w:adjustRightInd/>
        <w:snapToGrid/>
        <w:spacing w:line="360" w:lineRule="auto"/>
        <w:ind w:firstLine="442" w:firstLineChars="20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评标因素及权重分值表</w:t>
      </w:r>
    </w:p>
    <w:tbl>
      <w:tblPr>
        <w:tblStyle w:val="25"/>
        <w:tblpPr w:leftFromText="180" w:rightFromText="180" w:vertAnchor="text" w:horzAnchor="page" w:tblpX="1627" w:tblpY="292"/>
        <w:tblOverlap w:val="never"/>
        <w:tblW w:w="8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6813"/>
        <w:gridCol w:w="744"/>
      </w:tblGrid>
      <w:tr w14:paraId="3C73E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1" w:type="dxa"/>
            <w:shd w:val="clear" w:color="auto" w:fill="auto"/>
            <w:noWrap w:val="0"/>
            <w:vAlign w:val="center"/>
          </w:tcPr>
          <w:p w14:paraId="7B0931CC">
            <w:pPr>
              <w:keepNext w:val="0"/>
              <w:keepLines w:val="0"/>
              <w:suppressLineNumbers w:val="0"/>
              <w:spacing w:before="0" w:beforeAutospacing="0" w:after="0" w:afterAutospacing="0" w:line="240" w:lineRule="exact"/>
              <w:ind w:left="0" w:right="0"/>
              <w:jc w:val="center"/>
              <w:rPr>
                <w:rFonts w:hint="default" w:ascii="宋体" w:hAnsi="宋体" w:cs="宋体"/>
                <w:color w:val="auto"/>
                <w:sz w:val="22"/>
                <w:szCs w:val="22"/>
                <w:highlight w:val="none"/>
              </w:rPr>
            </w:pPr>
            <w:bookmarkStart w:id="137" w:name="OLE_LINK4"/>
            <w:bookmarkStart w:id="138" w:name="OLE_LINK3"/>
            <w:r>
              <w:rPr>
                <w:rFonts w:hint="eastAsia" w:ascii="宋体" w:hAnsi="宋体" w:cs="宋体"/>
                <w:b/>
                <w:color w:val="auto"/>
                <w:sz w:val="22"/>
                <w:szCs w:val="22"/>
                <w:highlight w:val="none"/>
              </w:rPr>
              <w:t>评分因素</w:t>
            </w:r>
          </w:p>
        </w:tc>
        <w:tc>
          <w:tcPr>
            <w:tcW w:w="6813" w:type="dxa"/>
            <w:shd w:val="clear" w:color="auto" w:fill="auto"/>
            <w:noWrap w:val="0"/>
            <w:vAlign w:val="center"/>
          </w:tcPr>
          <w:p w14:paraId="5041A35A">
            <w:pPr>
              <w:keepNext w:val="0"/>
              <w:keepLines w:val="0"/>
              <w:suppressLineNumbers w:val="0"/>
              <w:spacing w:before="0" w:beforeAutospacing="0" w:after="0" w:afterAutospacing="0" w:line="240" w:lineRule="exact"/>
              <w:ind w:left="0" w:right="0"/>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评审内容</w:t>
            </w:r>
          </w:p>
        </w:tc>
        <w:tc>
          <w:tcPr>
            <w:tcW w:w="744" w:type="dxa"/>
            <w:shd w:val="clear" w:color="auto" w:fill="auto"/>
            <w:noWrap w:val="0"/>
            <w:vAlign w:val="center"/>
          </w:tcPr>
          <w:p w14:paraId="20678876">
            <w:pPr>
              <w:keepNext w:val="0"/>
              <w:keepLines w:val="0"/>
              <w:suppressLineNumbers w:val="0"/>
              <w:spacing w:before="0" w:beforeAutospacing="0" w:after="0" w:afterAutospacing="0" w:line="240" w:lineRule="exact"/>
              <w:ind w:left="0" w:right="0"/>
              <w:jc w:val="center"/>
              <w:rPr>
                <w:rFonts w:hint="eastAsia" w:ascii="宋体" w:hAnsi="宋体" w:cs="宋体"/>
                <w:color w:val="auto"/>
                <w:sz w:val="22"/>
                <w:szCs w:val="22"/>
                <w:highlight w:val="none"/>
              </w:rPr>
            </w:pPr>
            <w:r>
              <w:rPr>
                <w:rFonts w:hint="eastAsia" w:ascii="宋体" w:hAnsi="宋体" w:cs="宋体"/>
                <w:b/>
                <w:color w:val="auto"/>
                <w:sz w:val="22"/>
                <w:szCs w:val="22"/>
                <w:highlight w:val="none"/>
              </w:rPr>
              <w:t>分值</w:t>
            </w:r>
          </w:p>
        </w:tc>
      </w:tr>
      <w:tr w14:paraId="0D878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1271" w:type="dxa"/>
            <w:noWrap w:val="0"/>
            <w:vAlign w:val="center"/>
          </w:tcPr>
          <w:p w14:paraId="1085D8DB">
            <w:pPr>
              <w:keepNext w:val="0"/>
              <w:keepLines w:val="0"/>
              <w:suppressLineNumbers w:val="0"/>
              <w:spacing w:before="0" w:beforeAutospacing="0" w:after="0" w:afterAutospacing="0" w:line="240" w:lineRule="exact"/>
              <w:ind w:left="0" w:right="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价格部分</w:t>
            </w:r>
          </w:p>
        </w:tc>
        <w:tc>
          <w:tcPr>
            <w:tcW w:w="6813" w:type="dxa"/>
            <w:noWrap w:val="0"/>
            <w:vAlign w:val="center"/>
          </w:tcPr>
          <w:p w14:paraId="1B138F0D">
            <w:pPr>
              <w:keepNext w:val="0"/>
              <w:keepLines w:val="0"/>
              <w:suppressLineNumbers w:val="0"/>
              <w:spacing w:before="0" w:beforeAutospacing="0" w:after="0" w:afterAutospacing="0" w:line="320" w:lineRule="exact"/>
              <w:ind w:left="0" w:right="120"/>
              <w:rPr>
                <w:rFonts w:hint="eastAsia" w:ascii="宋体" w:hAnsi="宋体" w:cs="宋体"/>
                <w:color w:val="auto"/>
                <w:sz w:val="22"/>
                <w:szCs w:val="22"/>
                <w:highlight w:val="none"/>
              </w:rPr>
            </w:pPr>
            <w:r>
              <w:rPr>
                <w:rFonts w:hint="eastAsia" w:ascii="宋体" w:hAnsi="宋体" w:eastAsia="宋体" w:cs="宋体"/>
                <w:color w:val="auto"/>
                <w:sz w:val="22"/>
                <w:szCs w:val="22"/>
                <w:highlight w:val="none"/>
              </w:rPr>
              <w:t>满足招标文件要求且投标价格最低的投标报价为评标基准价，其价格分为满分。其他投标人的价格分统一按照下列公式计算：投标报价得分=（评标基准价/投标报价）×</w:t>
            </w: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rPr>
              <w:t>。</w:t>
            </w:r>
          </w:p>
        </w:tc>
        <w:tc>
          <w:tcPr>
            <w:tcW w:w="744" w:type="dxa"/>
            <w:noWrap w:val="0"/>
            <w:vAlign w:val="center"/>
          </w:tcPr>
          <w:p w14:paraId="127985D4">
            <w:pPr>
              <w:keepNext w:val="0"/>
              <w:keepLines w:val="0"/>
              <w:suppressLineNumbers w:val="0"/>
              <w:spacing w:before="0" w:beforeAutospacing="0" w:after="0" w:afterAutospacing="0" w:line="240" w:lineRule="exact"/>
              <w:ind w:left="0" w:right="0"/>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10</w:t>
            </w:r>
            <w:r>
              <w:rPr>
                <w:rFonts w:hint="eastAsia" w:ascii="宋体" w:hAnsi="宋体" w:cs="宋体"/>
                <w:color w:val="auto"/>
                <w:sz w:val="22"/>
                <w:szCs w:val="22"/>
                <w:highlight w:val="none"/>
              </w:rPr>
              <w:t>分</w:t>
            </w:r>
          </w:p>
        </w:tc>
      </w:tr>
      <w:tr w14:paraId="4BBF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9" w:hRule="atLeast"/>
        </w:trPr>
        <w:tc>
          <w:tcPr>
            <w:tcW w:w="1271" w:type="dxa"/>
            <w:noWrap w:val="0"/>
            <w:vAlign w:val="center"/>
          </w:tcPr>
          <w:p w14:paraId="2F498F1A">
            <w:pPr>
              <w:pStyle w:val="91"/>
              <w:keepNext w:val="0"/>
              <w:keepLines w:val="0"/>
              <w:suppressLineNumbers w:val="0"/>
              <w:spacing w:before="89" w:beforeAutospacing="0" w:after="0" w:afterAutospacing="0" w:line="340" w:lineRule="exact"/>
              <w:ind w:left="0" w:right="0"/>
              <w:jc w:val="center"/>
              <w:rPr>
                <w:rFonts w:hint="eastAsia" w:ascii="宋体" w:hAnsi="宋体" w:cs="宋体"/>
                <w:color w:val="auto"/>
                <w:sz w:val="22"/>
                <w:szCs w:val="22"/>
                <w:highlight w:val="none"/>
              </w:rPr>
            </w:pPr>
            <w:r>
              <w:rPr>
                <w:rFonts w:hint="eastAsia" w:cs="宋体"/>
                <w:bCs/>
                <w:color w:val="auto"/>
                <w:sz w:val="22"/>
                <w:szCs w:val="22"/>
                <w:highlight w:val="none"/>
              </w:rPr>
              <w:t>技术方案</w:t>
            </w:r>
          </w:p>
        </w:tc>
        <w:tc>
          <w:tcPr>
            <w:tcW w:w="6813" w:type="dxa"/>
            <w:noWrap w:val="0"/>
            <w:vAlign w:val="center"/>
          </w:tcPr>
          <w:p w14:paraId="667282E2">
            <w:pPr>
              <w:pStyle w:val="91"/>
              <w:keepNext w:val="0"/>
              <w:keepLines w:val="0"/>
              <w:suppressLineNumbers w:val="0"/>
              <w:spacing w:before="0" w:beforeAutospacing="0" w:after="0" w:afterAutospacing="0" w:line="340" w:lineRule="exact"/>
              <w:ind w:left="0" w:righ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技术方案符合招标文件要求，考虑全面，不漏项，专业性、系统性强，操作可行，有关论述条理清晰，由评委根据所提供服务方案的优劣程度赋分：</w:t>
            </w:r>
          </w:p>
          <w:p w14:paraId="5A4D4CF8">
            <w:pPr>
              <w:pStyle w:val="91"/>
              <w:keepNext w:val="0"/>
              <w:keepLines w:val="0"/>
              <w:suppressLineNumbers w:val="0"/>
              <w:spacing w:before="0" w:beforeAutospacing="0" w:after="0" w:afterAutospacing="0" w:line="340" w:lineRule="exact"/>
              <w:ind w:left="0" w:right="0"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一、总体方案</w:t>
            </w:r>
          </w:p>
          <w:p w14:paraId="176E2A03">
            <w:pPr>
              <w:pStyle w:val="91"/>
              <w:keepNext w:val="0"/>
              <w:keepLines w:val="0"/>
              <w:suppressLineNumbers w:val="0"/>
              <w:spacing w:before="0" w:beforeAutospacing="0" w:after="0" w:afterAutospacing="0" w:line="340" w:lineRule="exact"/>
              <w:ind w:left="0" w:righ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w:t>
            </w:r>
            <w:r>
              <w:rPr>
                <w:rFonts w:hint="eastAsia" w:cs="宋体"/>
                <w:color w:val="auto"/>
                <w:sz w:val="22"/>
                <w:szCs w:val="22"/>
                <w:highlight w:val="none"/>
                <w:lang w:val="en-US" w:eastAsia="zh-CN"/>
              </w:rPr>
              <w:t>运营管理</w:t>
            </w:r>
            <w:r>
              <w:rPr>
                <w:rFonts w:hint="eastAsia" w:ascii="宋体" w:hAnsi="宋体" w:eastAsia="宋体" w:cs="宋体"/>
                <w:color w:val="auto"/>
                <w:sz w:val="22"/>
                <w:szCs w:val="22"/>
                <w:highlight w:val="none"/>
                <w:lang w:val="en-US" w:eastAsia="zh-CN"/>
              </w:rPr>
              <w:t>及服务</w:t>
            </w:r>
            <w:r>
              <w:rPr>
                <w:rFonts w:hint="eastAsia" w:ascii="宋体" w:hAnsi="宋体" w:eastAsia="宋体" w:cs="宋体"/>
                <w:color w:val="auto"/>
                <w:sz w:val="22"/>
                <w:szCs w:val="22"/>
                <w:highlight w:val="none"/>
              </w:rPr>
              <w:t>工作的总体方案思路清晰、结构和内容完整，方案完善，合理可行（</w:t>
            </w:r>
            <w:r>
              <w:rPr>
                <w:rFonts w:hint="eastAsia" w:cs="宋体"/>
                <w:color w:val="auto"/>
                <w:sz w:val="22"/>
                <w:szCs w:val="22"/>
                <w:highlight w:val="none"/>
                <w:lang w:val="en-US" w:eastAsia="zh-CN"/>
              </w:rPr>
              <w:t>11-</w:t>
            </w:r>
            <w:r>
              <w:rPr>
                <w:rFonts w:hint="eastAsia" w:ascii="宋体" w:hAnsi="宋体" w:eastAsia="宋体" w:cs="宋体"/>
                <w:color w:val="auto"/>
                <w:sz w:val="22"/>
                <w:szCs w:val="22"/>
                <w:highlight w:val="none"/>
                <w:lang w:val="en-US" w:eastAsia="zh-CN"/>
              </w:rPr>
              <w:t>15分</w:t>
            </w:r>
            <w:r>
              <w:rPr>
                <w:rFonts w:hint="eastAsia" w:ascii="宋体" w:hAnsi="宋体" w:eastAsia="宋体" w:cs="宋体"/>
                <w:color w:val="auto"/>
                <w:sz w:val="22"/>
                <w:szCs w:val="22"/>
                <w:highlight w:val="none"/>
              </w:rPr>
              <w:t>）；</w:t>
            </w:r>
          </w:p>
          <w:p w14:paraId="5ACD60AD">
            <w:pPr>
              <w:pStyle w:val="91"/>
              <w:keepNext w:val="0"/>
              <w:keepLines w:val="0"/>
              <w:suppressLineNumbers w:val="0"/>
              <w:spacing w:before="0" w:beforeAutospacing="0" w:after="0" w:afterAutospacing="0" w:line="340" w:lineRule="exact"/>
              <w:ind w:left="0" w:righ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总体方案思路基本清晰，结构和内容基本完整，较为完善，有一定的合理可行性（</w:t>
            </w:r>
            <w:r>
              <w:rPr>
                <w:rFonts w:hint="eastAsia" w:cs="宋体"/>
                <w:color w:val="auto"/>
                <w:sz w:val="22"/>
                <w:szCs w:val="22"/>
                <w:highlight w:val="none"/>
                <w:lang w:val="en-US" w:eastAsia="zh-CN"/>
              </w:rPr>
              <w:t>6-</w:t>
            </w:r>
            <w:r>
              <w:rPr>
                <w:rFonts w:hint="eastAsia" w:ascii="宋体" w:hAnsi="宋体" w:eastAsia="宋体" w:cs="宋体"/>
                <w:color w:val="auto"/>
                <w:sz w:val="22"/>
                <w:szCs w:val="22"/>
                <w:highlight w:val="none"/>
              </w:rPr>
              <w:t>10分）；</w:t>
            </w:r>
          </w:p>
          <w:p w14:paraId="287C3F99">
            <w:pPr>
              <w:pStyle w:val="91"/>
              <w:keepNext w:val="0"/>
              <w:keepLines w:val="0"/>
              <w:suppressLineNumbers w:val="0"/>
              <w:spacing w:before="0" w:beforeAutospacing="0" w:after="0" w:afterAutospacing="0" w:line="340" w:lineRule="exact"/>
              <w:ind w:left="0" w:righ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总体方案内容空泛，不利于项目实施（</w:t>
            </w:r>
            <w:r>
              <w:rPr>
                <w:rFonts w:hint="eastAsia" w:cs="宋体"/>
                <w:color w:val="auto"/>
                <w:sz w:val="22"/>
                <w:szCs w:val="22"/>
                <w:highlight w:val="none"/>
                <w:lang w:val="en-US" w:eastAsia="zh-CN"/>
              </w:rPr>
              <w:t>0-</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分）。</w:t>
            </w:r>
          </w:p>
          <w:p w14:paraId="25389FC7">
            <w:pPr>
              <w:pStyle w:val="91"/>
              <w:keepNext w:val="0"/>
              <w:keepLines w:val="0"/>
              <w:suppressLineNumbers w:val="0"/>
              <w:spacing w:before="0" w:beforeAutospacing="0" w:after="0" w:afterAutospacing="0" w:line="340" w:lineRule="exact"/>
              <w:ind w:left="0" w:right="0"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二、方案思路</w:t>
            </w:r>
          </w:p>
          <w:p w14:paraId="7459504D">
            <w:pPr>
              <w:pStyle w:val="91"/>
              <w:keepNext w:val="0"/>
              <w:keepLines w:val="0"/>
              <w:suppressLineNumbers w:val="0"/>
              <w:spacing w:before="0" w:beforeAutospacing="0" w:after="0" w:afterAutospacing="0" w:line="340" w:lineRule="exact"/>
              <w:ind w:left="0" w:righ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1、工作</w:t>
            </w:r>
            <w:r>
              <w:rPr>
                <w:rFonts w:hint="eastAsia" w:ascii="宋体" w:hAnsi="宋体" w:eastAsia="宋体" w:cs="宋体"/>
                <w:color w:val="auto"/>
                <w:sz w:val="22"/>
                <w:szCs w:val="22"/>
                <w:highlight w:val="none"/>
              </w:rPr>
              <w:t>方法、</w:t>
            </w:r>
            <w:r>
              <w:rPr>
                <w:rFonts w:hint="eastAsia" w:ascii="宋体" w:hAnsi="宋体" w:eastAsia="宋体" w:cs="宋体"/>
                <w:color w:val="auto"/>
                <w:sz w:val="22"/>
                <w:szCs w:val="22"/>
                <w:highlight w:val="none"/>
                <w:lang w:val="en-US" w:eastAsia="zh-CN"/>
              </w:rPr>
              <w:t>服务理念</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处置方式</w:t>
            </w:r>
            <w:r>
              <w:rPr>
                <w:rFonts w:hint="eastAsia" w:ascii="宋体" w:hAnsi="宋体" w:eastAsia="宋体" w:cs="宋体"/>
                <w:color w:val="auto"/>
                <w:sz w:val="22"/>
                <w:szCs w:val="22"/>
                <w:highlight w:val="none"/>
              </w:rPr>
              <w:t>、</w:t>
            </w:r>
            <w:r>
              <w:rPr>
                <w:rFonts w:hint="eastAsia" w:cs="宋体"/>
                <w:color w:val="auto"/>
                <w:sz w:val="22"/>
                <w:szCs w:val="22"/>
                <w:highlight w:val="none"/>
                <w:lang w:val="en-US" w:eastAsia="zh-CN"/>
              </w:rPr>
              <w:t>管理</w:t>
            </w:r>
            <w:r>
              <w:rPr>
                <w:rFonts w:hint="eastAsia" w:ascii="宋体" w:hAnsi="宋体" w:eastAsia="宋体" w:cs="宋体"/>
                <w:color w:val="auto"/>
                <w:sz w:val="22"/>
                <w:szCs w:val="22"/>
                <w:highlight w:val="none"/>
              </w:rPr>
              <w:t>任务等方案思路准确合理、切实可行、细致严谨（</w:t>
            </w:r>
            <w:r>
              <w:rPr>
                <w:rFonts w:hint="eastAsia" w:cs="宋体"/>
                <w:color w:val="auto"/>
                <w:sz w:val="22"/>
                <w:szCs w:val="22"/>
                <w:highlight w:val="none"/>
                <w:lang w:val="en-US" w:eastAsia="zh-CN"/>
              </w:rPr>
              <w:t>11-</w:t>
            </w:r>
            <w:r>
              <w:rPr>
                <w:rFonts w:hint="eastAsia" w:ascii="宋体" w:hAnsi="宋体" w:eastAsia="宋体" w:cs="宋体"/>
                <w:color w:val="auto"/>
                <w:sz w:val="22"/>
                <w:szCs w:val="22"/>
                <w:highlight w:val="none"/>
              </w:rPr>
              <w:t>15分）；</w:t>
            </w:r>
          </w:p>
          <w:p w14:paraId="3981E770">
            <w:pPr>
              <w:pStyle w:val="91"/>
              <w:keepNext w:val="0"/>
              <w:keepLines w:val="0"/>
              <w:suppressLineNumbers w:val="0"/>
              <w:spacing w:before="0" w:beforeAutospacing="0" w:after="0" w:afterAutospacing="0" w:line="340" w:lineRule="exact"/>
              <w:ind w:left="0" w:righ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2、工作</w:t>
            </w:r>
            <w:r>
              <w:rPr>
                <w:rFonts w:hint="eastAsia" w:ascii="宋体" w:hAnsi="宋体" w:eastAsia="宋体" w:cs="宋体"/>
                <w:color w:val="auto"/>
                <w:sz w:val="22"/>
                <w:szCs w:val="22"/>
                <w:highlight w:val="none"/>
              </w:rPr>
              <w:t>方法、</w:t>
            </w:r>
            <w:r>
              <w:rPr>
                <w:rFonts w:hint="eastAsia" w:ascii="宋体" w:hAnsi="宋体" w:eastAsia="宋体" w:cs="宋体"/>
                <w:color w:val="auto"/>
                <w:sz w:val="22"/>
                <w:szCs w:val="22"/>
                <w:highlight w:val="none"/>
                <w:lang w:val="en-US" w:eastAsia="zh-CN"/>
              </w:rPr>
              <w:t>服务理念</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处置方式</w:t>
            </w:r>
            <w:r>
              <w:rPr>
                <w:rFonts w:hint="eastAsia" w:ascii="宋体" w:hAnsi="宋体" w:eastAsia="宋体" w:cs="宋体"/>
                <w:color w:val="auto"/>
                <w:sz w:val="22"/>
                <w:szCs w:val="22"/>
                <w:highlight w:val="none"/>
              </w:rPr>
              <w:t>、</w:t>
            </w:r>
            <w:r>
              <w:rPr>
                <w:rFonts w:hint="eastAsia" w:cs="宋体"/>
                <w:color w:val="auto"/>
                <w:sz w:val="22"/>
                <w:szCs w:val="22"/>
                <w:highlight w:val="none"/>
                <w:lang w:val="en-US" w:eastAsia="zh-CN"/>
              </w:rPr>
              <w:t>管理</w:t>
            </w:r>
            <w:r>
              <w:rPr>
                <w:rFonts w:hint="eastAsia" w:ascii="宋体" w:hAnsi="宋体" w:eastAsia="宋体" w:cs="宋体"/>
                <w:color w:val="auto"/>
                <w:sz w:val="22"/>
                <w:szCs w:val="22"/>
                <w:highlight w:val="none"/>
              </w:rPr>
              <w:t>任务等方案思路基本合理，较为严谨，具有一定的可行性（</w:t>
            </w:r>
            <w:r>
              <w:rPr>
                <w:rFonts w:hint="eastAsia" w:cs="宋体"/>
                <w:color w:val="auto"/>
                <w:sz w:val="22"/>
                <w:szCs w:val="22"/>
                <w:highlight w:val="none"/>
                <w:lang w:val="en-US" w:eastAsia="zh-CN"/>
              </w:rPr>
              <w:t>6-</w:t>
            </w:r>
            <w:r>
              <w:rPr>
                <w:rFonts w:hint="eastAsia" w:ascii="宋体" w:hAnsi="宋体" w:eastAsia="宋体" w:cs="宋体"/>
                <w:color w:val="auto"/>
                <w:sz w:val="22"/>
                <w:szCs w:val="22"/>
                <w:highlight w:val="none"/>
              </w:rPr>
              <w:t>10分）；</w:t>
            </w:r>
          </w:p>
          <w:p w14:paraId="3DCE5768">
            <w:pPr>
              <w:pStyle w:val="91"/>
              <w:keepNext w:val="0"/>
              <w:keepLines w:val="0"/>
              <w:suppressLineNumbers w:val="0"/>
              <w:spacing w:before="0" w:beforeAutospacing="0" w:after="0" w:afterAutospacing="0" w:line="340" w:lineRule="exact"/>
              <w:ind w:left="0" w:righ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3、工作</w:t>
            </w:r>
            <w:r>
              <w:rPr>
                <w:rFonts w:hint="eastAsia" w:ascii="宋体" w:hAnsi="宋体" w:eastAsia="宋体" w:cs="宋体"/>
                <w:color w:val="auto"/>
                <w:sz w:val="22"/>
                <w:szCs w:val="22"/>
                <w:highlight w:val="none"/>
              </w:rPr>
              <w:t>方法、</w:t>
            </w:r>
            <w:r>
              <w:rPr>
                <w:rFonts w:hint="eastAsia" w:ascii="宋体" w:hAnsi="宋体" w:eastAsia="宋体" w:cs="宋体"/>
                <w:color w:val="auto"/>
                <w:sz w:val="22"/>
                <w:szCs w:val="22"/>
                <w:highlight w:val="none"/>
                <w:lang w:val="en-US" w:eastAsia="zh-CN"/>
              </w:rPr>
              <w:t>服务理念</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处置方式</w:t>
            </w:r>
            <w:r>
              <w:rPr>
                <w:rFonts w:hint="eastAsia" w:ascii="宋体" w:hAnsi="宋体" w:eastAsia="宋体" w:cs="宋体"/>
                <w:color w:val="auto"/>
                <w:sz w:val="22"/>
                <w:szCs w:val="22"/>
                <w:highlight w:val="none"/>
              </w:rPr>
              <w:t>、</w:t>
            </w:r>
            <w:r>
              <w:rPr>
                <w:rFonts w:hint="eastAsia" w:cs="宋体"/>
                <w:color w:val="auto"/>
                <w:sz w:val="22"/>
                <w:szCs w:val="22"/>
                <w:highlight w:val="none"/>
                <w:lang w:val="en-US" w:eastAsia="zh-CN"/>
              </w:rPr>
              <w:t>管理</w:t>
            </w:r>
            <w:r>
              <w:rPr>
                <w:rFonts w:hint="eastAsia" w:ascii="宋体" w:hAnsi="宋体" w:eastAsia="宋体" w:cs="宋体"/>
                <w:color w:val="auto"/>
                <w:sz w:val="22"/>
                <w:szCs w:val="22"/>
                <w:highlight w:val="none"/>
              </w:rPr>
              <w:t>任务等方案思路内容空泛，不利于项目</w:t>
            </w:r>
            <w:r>
              <w:rPr>
                <w:rFonts w:hint="eastAsia" w:ascii="宋体" w:hAnsi="宋体" w:eastAsia="宋体" w:cs="宋体"/>
                <w:color w:val="auto"/>
                <w:sz w:val="22"/>
                <w:szCs w:val="22"/>
                <w:highlight w:val="none"/>
                <w:lang w:val="en-US" w:eastAsia="zh-CN"/>
              </w:rPr>
              <w:t>组织</w:t>
            </w:r>
            <w:r>
              <w:rPr>
                <w:rFonts w:hint="eastAsia" w:ascii="宋体" w:hAnsi="宋体" w:eastAsia="宋体" w:cs="宋体"/>
                <w:color w:val="auto"/>
                <w:sz w:val="22"/>
                <w:szCs w:val="22"/>
                <w:highlight w:val="none"/>
              </w:rPr>
              <w:t>实施（</w:t>
            </w:r>
            <w:r>
              <w:rPr>
                <w:rFonts w:hint="eastAsia" w:cs="宋体"/>
                <w:color w:val="auto"/>
                <w:sz w:val="22"/>
                <w:szCs w:val="22"/>
                <w:highlight w:val="none"/>
                <w:lang w:val="en-US" w:eastAsia="zh-CN"/>
              </w:rPr>
              <w:t>0-</w:t>
            </w:r>
            <w:r>
              <w:rPr>
                <w:rFonts w:hint="eastAsia" w:ascii="宋体" w:hAnsi="宋体" w:eastAsia="宋体" w:cs="宋体"/>
                <w:color w:val="auto"/>
                <w:sz w:val="22"/>
                <w:szCs w:val="22"/>
                <w:highlight w:val="none"/>
              </w:rPr>
              <w:t>5分）。</w:t>
            </w:r>
          </w:p>
          <w:p w14:paraId="39129EBF">
            <w:pPr>
              <w:pStyle w:val="91"/>
              <w:keepNext w:val="0"/>
              <w:keepLines w:val="0"/>
              <w:suppressLineNumbers w:val="0"/>
              <w:spacing w:before="0" w:beforeAutospacing="0" w:after="0" w:afterAutospacing="0" w:line="340" w:lineRule="exact"/>
              <w:ind w:left="0" w:right="0"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三、重难点分析及应对措施</w:t>
            </w:r>
          </w:p>
          <w:p w14:paraId="537DC58E">
            <w:pPr>
              <w:pStyle w:val="91"/>
              <w:keepNext w:val="0"/>
              <w:keepLines w:val="0"/>
              <w:suppressLineNumbers w:val="0"/>
              <w:spacing w:before="0" w:beforeAutospacing="0" w:after="0" w:afterAutospacing="0" w:line="340" w:lineRule="exact"/>
              <w:ind w:left="0" w:righ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针对本项目存在的难点、重点进行分析以及有对应的措施。</w:t>
            </w:r>
          </w:p>
          <w:p w14:paraId="7B6CD697">
            <w:pPr>
              <w:pStyle w:val="91"/>
              <w:keepNext w:val="0"/>
              <w:keepLines w:val="0"/>
              <w:suppressLineNumbers w:val="0"/>
              <w:spacing w:before="0" w:beforeAutospacing="0" w:after="0" w:afterAutospacing="0" w:line="340" w:lineRule="exact"/>
              <w:ind w:left="0" w:righ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重难点分析透彻，应对措施完善可行（</w:t>
            </w:r>
            <w:r>
              <w:rPr>
                <w:rFonts w:hint="eastAsia" w:cs="宋体"/>
                <w:color w:val="auto"/>
                <w:sz w:val="22"/>
                <w:szCs w:val="22"/>
                <w:highlight w:val="none"/>
                <w:lang w:val="en-US" w:eastAsia="zh-CN"/>
              </w:rPr>
              <w:t>11-</w:t>
            </w:r>
            <w:r>
              <w:rPr>
                <w:rFonts w:hint="eastAsia" w:ascii="宋体" w:hAnsi="宋体" w:eastAsia="宋体" w:cs="宋体"/>
                <w:color w:val="auto"/>
                <w:sz w:val="22"/>
                <w:szCs w:val="22"/>
                <w:highlight w:val="none"/>
              </w:rPr>
              <w:t>1</w:t>
            </w:r>
            <w:r>
              <w:rPr>
                <w:rFonts w:hint="eastAsia" w:cs="宋体"/>
                <w:color w:val="auto"/>
                <w:sz w:val="22"/>
                <w:szCs w:val="22"/>
                <w:highlight w:val="none"/>
                <w:lang w:val="en-US" w:eastAsia="zh-CN"/>
              </w:rPr>
              <w:t>5</w:t>
            </w:r>
            <w:r>
              <w:rPr>
                <w:rFonts w:hint="eastAsia" w:ascii="宋体" w:hAnsi="宋体" w:eastAsia="宋体" w:cs="宋体"/>
                <w:color w:val="auto"/>
                <w:sz w:val="22"/>
                <w:szCs w:val="22"/>
                <w:highlight w:val="none"/>
              </w:rPr>
              <w:t>分）；</w:t>
            </w:r>
          </w:p>
          <w:p w14:paraId="5CF0A6A8">
            <w:pPr>
              <w:pStyle w:val="91"/>
              <w:keepNext w:val="0"/>
              <w:keepLines w:val="0"/>
              <w:suppressLineNumbers w:val="0"/>
              <w:spacing w:before="0" w:beforeAutospacing="0" w:after="0" w:afterAutospacing="0" w:line="340" w:lineRule="exact"/>
              <w:ind w:left="0" w:righ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重难点分析比较透彻，应对措施有一定的可行性（</w:t>
            </w:r>
            <w:r>
              <w:rPr>
                <w:rFonts w:hint="eastAsia" w:cs="宋体"/>
                <w:color w:val="auto"/>
                <w:sz w:val="22"/>
                <w:szCs w:val="22"/>
                <w:highlight w:val="none"/>
                <w:lang w:val="en-US" w:eastAsia="zh-CN"/>
              </w:rPr>
              <w:t>6-10</w:t>
            </w:r>
            <w:r>
              <w:rPr>
                <w:rFonts w:hint="eastAsia" w:ascii="宋体" w:hAnsi="宋体" w:eastAsia="宋体" w:cs="宋体"/>
                <w:color w:val="auto"/>
                <w:sz w:val="22"/>
                <w:szCs w:val="22"/>
                <w:highlight w:val="none"/>
              </w:rPr>
              <w:t>分）；</w:t>
            </w:r>
          </w:p>
          <w:p w14:paraId="3A565AEB">
            <w:pPr>
              <w:keepNext w:val="0"/>
              <w:keepLines w:val="0"/>
              <w:suppressLineNumbers w:val="0"/>
              <w:spacing w:before="0" w:beforeAutospacing="0" w:after="0" w:afterAutospacing="0" w:line="320" w:lineRule="exact"/>
              <w:ind w:left="0" w:right="12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应对措施简单，分析角度欠缺（</w:t>
            </w:r>
            <w:r>
              <w:rPr>
                <w:rFonts w:hint="eastAsia" w:ascii="宋体" w:hAnsi="宋体" w:cs="宋体"/>
                <w:color w:val="auto"/>
                <w:sz w:val="22"/>
                <w:szCs w:val="22"/>
                <w:highlight w:val="none"/>
                <w:lang w:val="en-US" w:eastAsia="zh-CN"/>
              </w:rPr>
              <w:t>0-5</w:t>
            </w:r>
            <w:r>
              <w:rPr>
                <w:rFonts w:hint="eastAsia" w:ascii="宋体" w:hAnsi="宋体" w:eastAsia="宋体" w:cs="宋体"/>
                <w:color w:val="auto"/>
                <w:sz w:val="22"/>
                <w:szCs w:val="22"/>
                <w:highlight w:val="none"/>
              </w:rPr>
              <w:t>分）。</w:t>
            </w:r>
          </w:p>
        </w:tc>
        <w:tc>
          <w:tcPr>
            <w:tcW w:w="744" w:type="dxa"/>
            <w:noWrap w:val="0"/>
            <w:vAlign w:val="center"/>
          </w:tcPr>
          <w:p w14:paraId="090E0A8E">
            <w:pPr>
              <w:keepNext w:val="0"/>
              <w:keepLines w:val="0"/>
              <w:suppressLineNumbers w:val="0"/>
              <w:spacing w:before="0" w:beforeAutospacing="0" w:after="0" w:afterAutospacing="0" w:line="240" w:lineRule="exact"/>
              <w:ind w:left="0" w:right="0"/>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45</w:t>
            </w:r>
            <w:r>
              <w:rPr>
                <w:rFonts w:hint="eastAsia" w:ascii="宋体" w:hAnsi="宋体" w:cs="宋体"/>
                <w:color w:val="auto"/>
                <w:sz w:val="22"/>
                <w:szCs w:val="22"/>
                <w:highlight w:val="none"/>
              </w:rPr>
              <w:t>分</w:t>
            </w:r>
          </w:p>
          <w:p w14:paraId="66113ECC">
            <w:pPr>
              <w:pStyle w:val="15"/>
              <w:keepNext w:val="0"/>
              <w:keepLines w:val="0"/>
              <w:suppressLineNumbers w:val="0"/>
              <w:spacing w:before="0" w:beforeAutospacing="0" w:afterAutospacing="0"/>
              <w:ind w:right="0"/>
              <w:rPr>
                <w:rFonts w:hint="eastAsia"/>
                <w:color w:val="auto"/>
                <w:highlight w:val="none"/>
              </w:rPr>
            </w:pPr>
          </w:p>
        </w:tc>
      </w:tr>
      <w:tr w14:paraId="7F68C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1271" w:type="dxa"/>
            <w:noWrap w:val="0"/>
            <w:vAlign w:val="center"/>
          </w:tcPr>
          <w:p w14:paraId="60361B71">
            <w:pPr>
              <w:keepNext w:val="0"/>
              <w:keepLines w:val="0"/>
              <w:widowControl/>
              <w:suppressLineNumbers w:val="0"/>
              <w:shd w:val="clear" w:color="auto" w:fill="auto"/>
              <w:spacing w:before="0" w:beforeAutospacing="0" w:after="0" w:afterAutospacing="0"/>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人员保障</w:t>
            </w:r>
          </w:p>
        </w:tc>
        <w:tc>
          <w:tcPr>
            <w:tcW w:w="6813" w:type="dxa"/>
            <w:noWrap w:val="0"/>
            <w:vAlign w:val="center"/>
          </w:tcPr>
          <w:p w14:paraId="25AA16D1">
            <w:pPr>
              <w:pStyle w:val="91"/>
              <w:keepNext w:val="0"/>
              <w:keepLines w:val="0"/>
              <w:suppressLineNumbers w:val="0"/>
              <w:spacing w:before="0" w:beforeAutospacing="0" w:after="0" w:afterAutospacing="0" w:line="340" w:lineRule="exact"/>
              <w:ind w:left="0" w:right="0" w:firstLine="440" w:firstLineChars="200"/>
              <w:rPr>
                <w:rFonts w:hint="default"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eastAsia="zh-CN"/>
              </w:rPr>
              <w:t>1、针对本项目提供相应的人员配备：人员配置至少包含管理人员、化验员、维修人员、工艺技术员、电气技术员、机械技术员、和运营操作人员等，对各主要岗位人员配置专业齐全、数量合理满足项目运营需要，每提供一个人员</w:t>
            </w:r>
            <w:r>
              <w:rPr>
                <w:rFonts w:hint="eastAsia" w:cs="宋体"/>
                <w:color w:val="auto"/>
                <w:sz w:val="22"/>
                <w:szCs w:val="22"/>
                <w:highlight w:val="none"/>
                <w:lang w:val="en-US" w:eastAsia="zh-CN"/>
              </w:rPr>
              <w:t>岗位</w:t>
            </w:r>
            <w:r>
              <w:rPr>
                <w:rFonts w:hint="eastAsia" w:ascii="宋体" w:hAnsi="宋体" w:eastAsia="宋体" w:cs="宋体"/>
                <w:color w:val="auto"/>
                <w:sz w:val="22"/>
                <w:szCs w:val="22"/>
                <w:highlight w:val="none"/>
                <w:lang w:val="en-US" w:eastAsia="zh-CN"/>
              </w:rPr>
              <w:t>证书得1分，最高得8分，项目负责人除外。</w:t>
            </w:r>
          </w:p>
          <w:p w14:paraId="6BC3F55F">
            <w:pPr>
              <w:pStyle w:val="91"/>
              <w:keepNext w:val="0"/>
              <w:keepLines w:val="0"/>
              <w:suppressLineNumbers w:val="0"/>
              <w:spacing w:before="0" w:beforeAutospacing="0" w:after="0" w:afterAutospacing="0" w:line="340" w:lineRule="exact"/>
              <w:ind w:left="0" w:righ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2、本项目负责人具有相关专业中级及以上职称证书得2分；（以提供证书复印件为准）</w:t>
            </w:r>
          </w:p>
        </w:tc>
        <w:tc>
          <w:tcPr>
            <w:tcW w:w="744" w:type="dxa"/>
            <w:noWrap w:val="0"/>
            <w:vAlign w:val="center"/>
          </w:tcPr>
          <w:p w14:paraId="3116AD95">
            <w:pPr>
              <w:keepNext w:val="0"/>
              <w:keepLines w:val="0"/>
              <w:suppressLineNumbers w:val="0"/>
              <w:spacing w:before="0" w:beforeAutospacing="0" w:after="0" w:afterAutospacing="0" w:line="240" w:lineRule="exact"/>
              <w:ind w:left="0" w:right="0"/>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10分</w:t>
            </w:r>
          </w:p>
        </w:tc>
      </w:tr>
      <w:tr w14:paraId="7B6C5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271" w:type="dxa"/>
            <w:noWrap w:val="0"/>
            <w:vAlign w:val="center"/>
          </w:tcPr>
          <w:p w14:paraId="58FBE2A0">
            <w:pPr>
              <w:keepNext w:val="0"/>
              <w:keepLines w:val="0"/>
              <w:widowControl/>
              <w:suppressLineNumbers w:val="0"/>
              <w:shd w:val="clear" w:color="auto" w:fill="auto"/>
              <w:spacing w:before="0" w:beforeAutospacing="0" w:after="0" w:afterAutospacing="0"/>
              <w:ind w:left="0" w:right="0"/>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维保工具、仪器仪表、检测设备配备情况</w:t>
            </w:r>
          </w:p>
        </w:tc>
        <w:tc>
          <w:tcPr>
            <w:tcW w:w="6813" w:type="dxa"/>
            <w:noWrap w:val="0"/>
            <w:vAlign w:val="center"/>
          </w:tcPr>
          <w:p w14:paraId="43D683E6">
            <w:pPr>
              <w:pStyle w:val="91"/>
              <w:keepNext w:val="0"/>
              <w:keepLines w:val="0"/>
              <w:suppressLineNumbers w:val="0"/>
              <w:spacing w:before="0" w:beforeAutospacing="0" w:after="0" w:afterAutospacing="0" w:line="340" w:lineRule="exact"/>
              <w:ind w:left="0" w:righ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根据所配备的维保工具、仪器仪表、检测设备，设备齐全满足本项目需要的计5-10 分；设备不全不能满足本项目维保需要的计 0-5 分。</w:t>
            </w:r>
          </w:p>
        </w:tc>
        <w:tc>
          <w:tcPr>
            <w:tcW w:w="744" w:type="dxa"/>
            <w:noWrap w:val="0"/>
            <w:vAlign w:val="center"/>
          </w:tcPr>
          <w:p w14:paraId="2EE5E4B7">
            <w:pPr>
              <w:keepNext w:val="0"/>
              <w:keepLines w:val="0"/>
              <w:suppressLineNumbers w:val="0"/>
              <w:spacing w:before="0" w:beforeAutospacing="0" w:after="0" w:afterAutospacing="0" w:line="240" w:lineRule="exact"/>
              <w:ind w:left="0" w:right="0"/>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10分</w:t>
            </w:r>
          </w:p>
        </w:tc>
      </w:tr>
      <w:tr w14:paraId="0526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271" w:type="dxa"/>
            <w:noWrap w:val="0"/>
            <w:vAlign w:val="center"/>
          </w:tcPr>
          <w:p w14:paraId="331513B2">
            <w:pPr>
              <w:keepNext w:val="0"/>
              <w:keepLines w:val="0"/>
              <w:widowControl/>
              <w:suppressLineNumbers w:val="0"/>
              <w:shd w:val="clear" w:color="auto" w:fill="auto"/>
              <w:spacing w:before="0" w:beforeAutospacing="0" w:after="0" w:afterAutospacing="0"/>
              <w:ind w:left="0" w:right="0"/>
              <w:jc w:val="center"/>
              <w:rPr>
                <w:rFonts w:hint="eastAsia" w:cs="宋体"/>
                <w:bCs/>
                <w:color w:val="auto"/>
                <w:sz w:val="22"/>
                <w:szCs w:val="22"/>
                <w:highlight w:val="none"/>
                <w:lang w:val="en-US" w:eastAsia="zh-CN"/>
              </w:rPr>
            </w:pPr>
            <w:r>
              <w:rPr>
                <w:rFonts w:hint="eastAsia" w:ascii="宋体" w:hAnsi="宋体" w:eastAsia="宋体" w:cs="宋体"/>
                <w:color w:val="auto"/>
                <w:kern w:val="0"/>
                <w:sz w:val="22"/>
                <w:szCs w:val="22"/>
                <w:highlight w:val="none"/>
              </w:rPr>
              <w:t>质量保证措施</w:t>
            </w:r>
          </w:p>
        </w:tc>
        <w:tc>
          <w:tcPr>
            <w:tcW w:w="6813" w:type="dxa"/>
            <w:noWrap w:val="0"/>
            <w:vAlign w:val="center"/>
          </w:tcPr>
          <w:p w14:paraId="051235E4">
            <w:pPr>
              <w:keepNext w:val="0"/>
              <w:keepLines w:val="0"/>
              <w:widowControl/>
              <w:suppressLineNumbers w:val="0"/>
              <w:shd w:val="clear" w:color="auto" w:fill="auto"/>
              <w:spacing w:before="0" w:beforeAutospacing="0" w:after="0" w:afterAutospacing="0"/>
              <w:ind w:left="0" w:right="0"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根据投标人提供的质量保证措施内容进行赋分：</w:t>
            </w:r>
          </w:p>
          <w:p w14:paraId="05F6F41B">
            <w:pPr>
              <w:keepNext w:val="0"/>
              <w:keepLines w:val="0"/>
              <w:widowControl/>
              <w:suppressLineNumbers w:val="0"/>
              <w:shd w:val="clear" w:color="auto" w:fill="auto"/>
              <w:spacing w:before="0" w:beforeAutospacing="0" w:after="0" w:afterAutospacing="0"/>
              <w:ind w:left="0" w:right="0" w:firstLine="440" w:firstLineChars="200"/>
              <w:jc w:val="left"/>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rPr>
              <w:t>提供保障措施，措施内容不详细，缺乏保障力度，得</w:t>
            </w:r>
            <w:r>
              <w:rPr>
                <w:rFonts w:hint="eastAsia" w:ascii="宋体" w:hAnsi="宋体" w:cs="宋体"/>
                <w:color w:val="auto"/>
                <w:kern w:val="0"/>
                <w:sz w:val="22"/>
                <w:szCs w:val="22"/>
                <w:highlight w:val="none"/>
                <w:lang w:val="en-US" w:eastAsia="zh-CN"/>
              </w:rPr>
              <w:t>0-1</w:t>
            </w:r>
            <w:r>
              <w:rPr>
                <w:rFonts w:hint="eastAsia" w:ascii="宋体" w:hAnsi="宋体" w:eastAsia="宋体" w:cs="宋体"/>
                <w:color w:val="auto"/>
                <w:kern w:val="0"/>
                <w:sz w:val="22"/>
                <w:szCs w:val="22"/>
                <w:highlight w:val="none"/>
              </w:rPr>
              <w:t>分；</w:t>
            </w:r>
          </w:p>
          <w:p w14:paraId="74E2FB68">
            <w:pPr>
              <w:keepNext w:val="0"/>
              <w:keepLines w:val="0"/>
              <w:widowControl/>
              <w:suppressLineNumbers w:val="0"/>
              <w:shd w:val="clear" w:color="auto" w:fill="auto"/>
              <w:spacing w:before="0" w:beforeAutospacing="0" w:after="0" w:afterAutospacing="0"/>
              <w:ind w:left="0" w:right="0" w:firstLine="440" w:firstLineChars="200"/>
              <w:jc w:val="left"/>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保障措施较全面，具有一定的保障力度，得</w:t>
            </w:r>
            <w:r>
              <w:rPr>
                <w:rFonts w:hint="eastAsia" w:ascii="宋体" w:hAnsi="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3分；</w:t>
            </w:r>
          </w:p>
          <w:p w14:paraId="34DCA130">
            <w:pPr>
              <w:keepNext w:val="0"/>
              <w:keepLines w:val="0"/>
              <w:widowControl/>
              <w:suppressLineNumbers w:val="0"/>
              <w:shd w:val="clear" w:color="auto" w:fill="auto"/>
              <w:spacing w:before="0" w:beforeAutospacing="0" w:after="0" w:afterAutospacing="0"/>
              <w:ind w:left="0" w:right="0" w:firstLine="440" w:firstLineChars="200"/>
              <w:jc w:val="left"/>
              <w:rPr>
                <w:rFonts w:hint="eastAsia" w:cs="宋体"/>
                <w:color w:val="auto"/>
                <w:sz w:val="22"/>
                <w:szCs w:val="22"/>
                <w:highlight w:val="none"/>
              </w:rPr>
            </w:pPr>
            <w:r>
              <w:rPr>
                <w:rFonts w:hint="eastAsia" w:ascii="宋体" w:hAnsi="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rPr>
              <w:t>保障措施全面具体，科学合理，专业化程度高，能够充分保障</w:t>
            </w:r>
            <w:r>
              <w:rPr>
                <w:rFonts w:hint="eastAsia" w:ascii="宋体" w:hAnsi="宋体" w:cs="宋体"/>
                <w:color w:val="auto"/>
                <w:kern w:val="0"/>
                <w:sz w:val="22"/>
                <w:szCs w:val="22"/>
                <w:highlight w:val="none"/>
                <w:lang w:val="en-US" w:eastAsia="zh-CN"/>
              </w:rPr>
              <w:t>项目</w:t>
            </w:r>
            <w:r>
              <w:rPr>
                <w:rFonts w:hint="eastAsia" w:ascii="宋体" w:hAnsi="宋体" w:eastAsia="宋体" w:cs="宋体"/>
                <w:color w:val="auto"/>
                <w:kern w:val="0"/>
                <w:sz w:val="22"/>
                <w:szCs w:val="22"/>
                <w:highlight w:val="none"/>
              </w:rPr>
              <w:t>服务质量，得</w:t>
            </w:r>
            <w:r>
              <w:rPr>
                <w:rFonts w:hint="eastAsia" w:ascii="宋体" w:hAnsi="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rPr>
              <w:t>5分。</w:t>
            </w:r>
          </w:p>
        </w:tc>
        <w:tc>
          <w:tcPr>
            <w:tcW w:w="744" w:type="dxa"/>
            <w:noWrap w:val="0"/>
            <w:vAlign w:val="center"/>
          </w:tcPr>
          <w:p w14:paraId="340D8073">
            <w:pPr>
              <w:keepNext w:val="0"/>
              <w:keepLines w:val="0"/>
              <w:suppressLineNumbers w:val="0"/>
              <w:spacing w:before="0" w:beforeAutospacing="0" w:after="0" w:afterAutospacing="0" w:line="240" w:lineRule="exact"/>
              <w:ind w:left="0" w:right="0"/>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5分</w:t>
            </w:r>
          </w:p>
        </w:tc>
      </w:tr>
      <w:tr w14:paraId="29B6E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271" w:type="dxa"/>
            <w:noWrap w:val="0"/>
            <w:vAlign w:val="center"/>
          </w:tcPr>
          <w:p w14:paraId="63B5127E">
            <w:pPr>
              <w:keepNext w:val="0"/>
              <w:keepLines w:val="0"/>
              <w:widowControl/>
              <w:suppressLineNumbers w:val="0"/>
              <w:shd w:val="clear" w:color="auto" w:fill="auto"/>
              <w:spacing w:before="0" w:beforeAutospacing="0" w:after="0" w:afterAutospacing="0"/>
              <w:ind w:left="0" w:right="0"/>
              <w:jc w:val="center"/>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val="en-US" w:eastAsia="zh-CN"/>
              </w:rPr>
              <w:t>工作制度</w:t>
            </w:r>
          </w:p>
        </w:tc>
        <w:tc>
          <w:tcPr>
            <w:tcW w:w="6813" w:type="dxa"/>
            <w:noWrap w:val="0"/>
            <w:vAlign w:val="center"/>
          </w:tcPr>
          <w:p w14:paraId="443B003F">
            <w:pPr>
              <w:keepNext w:val="0"/>
              <w:keepLines w:val="0"/>
              <w:widowControl/>
              <w:suppressLineNumbers w:val="0"/>
              <w:shd w:val="clear" w:color="auto" w:fill="auto"/>
              <w:spacing w:before="0" w:beforeAutospacing="0" w:after="0" w:afterAutospacing="0"/>
              <w:ind w:left="0" w:right="0" w:firstLine="440" w:firstLineChars="200"/>
              <w:jc w:val="left"/>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根据投标人提供的针对本项目的工作制度进行赋分：</w:t>
            </w:r>
          </w:p>
          <w:p w14:paraId="258EF693">
            <w:pPr>
              <w:keepNext w:val="0"/>
              <w:keepLines w:val="0"/>
              <w:widowControl/>
              <w:suppressLineNumbers w:val="0"/>
              <w:shd w:val="clear" w:color="auto" w:fill="auto"/>
              <w:spacing w:before="0" w:beforeAutospacing="0" w:after="0" w:afterAutospacing="0"/>
              <w:ind w:left="0" w:right="0" w:firstLine="440" w:firstLineChars="200"/>
              <w:jc w:val="left"/>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1、提供简单的制度和流程，不够全面完整，得0-1分；</w:t>
            </w:r>
          </w:p>
          <w:p w14:paraId="1C55654D">
            <w:pPr>
              <w:keepNext w:val="0"/>
              <w:keepLines w:val="0"/>
              <w:widowControl/>
              <w:suppressLineNumbers w:val="0"/>
              <w:shd w:val="clear" w:color="auto" w:fill="auto"/>
              <w:spacing w:before="0" w:beforeAutospacing="0" w:after="0" w:afterAutospacing="0"/>
              <w:ind w:left="0" w:right="0" w:firstLine="440" w:firstLineChars="200"/>
              <w:jc w:val="left"/>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2、有较完善的制度和流程，基本满足日常工作的管理，具有一定的可实施性，得1.1-2分；</w:t>
            </w:r>
          </w:p>
          <w:p w14:paraId="16C6CBA5">
            <w:pPr>
              <w:keepNext w:val="0"/>
              <w:keepLines w:val="0"/>
              <w:widowControl/>
              <w:suppressLineNumbers w:val="0"/>
              <w:shd w:val="clear" w:color="auto" w:fill="auto"/>
              <w:spacing w:before="0" w:beforeAutospacing="0" w:after="0" w:afterAutospacing="0"/>
              <w:ind w:left="0" w:right="0" w:firstLine="440" w:firstLineChars="200"/>
              <w:jc w:val="left"/>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3、有充分完整的制度和流程，能有效支撑项目日常管理，措施内容多样，科学合理，可实施性强，得3-4分。</w:t>
            </w:r>
          </w:p>
        </w:tc>
        <w:tc>
          <w:tcPr>
            <w:tcW w:w="744" w:type="dxa"/>
            <w:noWrap w:val="0"/>
            <w:vAlign w:val="center"/>
          </w:tcPr>
          <w:p w14:paraId="122C8908">
            <w:pPr>
              <w:keepNext w:val="0"/>
              <w:keepLines w:val="0"/>
              <w:suppressLineNumbers w:val="0"/>
              <w:spacing w:before="0" w:beforeAutospacing="0" w:after="0" w:afterAutospacing="0" w:line="240" w:lineRule="exact"/>
              <w:ind w:left="0" w:right="0"/>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4分</w:t>
            </w:r>
          </w:p>
        </w:tc>
      </w:tr>
      <w:tr w14:paraId="7140C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271" w:type="dxa"/>
            <w:noWrap w:val="0"/>
            <w:vAlign w:val="center"/>
          </w:tcPr>
          <w:p w14:paraId="44265700">
            <w:pPr>
              <w:keepNext w:val="0"/>
              <w:keepLines w:val="0"/>
              <w:widowControl/>
              <w:suppressLineNumbers w:val="0"/>
              <w:shd w:val="clear" w:color="auto" w:fill="auto"/>
              <w:spacing w:before="0" w:beforeAutospacing="0" w:after="0" w:afterAutospacing="0"/>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应急保障</w:t>
            </w:r>
          </w:p>
          <w:p w14:paraId="5899209E">
            <w:pPr>
              <w:keepNext w:val="0"/>
              <w:keepLines w:val="0"/>
              <w:widowControl/>
              <w:suppressLineNumbers w:val="0"/>
              <w:shd w:val="clear" w:color="auto" w:fill="auto"/>
              <w:spacing w:before="0" w:beforeAutospacing="0" w:after="0" w:afterAutospacing="0"/>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预案</w:t>
            </w:r>
          </w:p>
        </w:tc>
        <w:tc>
          <w:tcPr>
            <w:tcW w:w="6813" w:type="dxa"/>
            <w:noWrap w:val="0"/>
            <w:vAlign w:val="center"/>
          </w:tcPr>
          <w:p w14:paraId="09A530A7">
            <w:pPr>
              <w:keepNext w:val="0"/>
              <w:keepLines w:val="0"/>
              <w:widowControl/>
              <w:suppressLineNumbers w:val="0"/>
              <w:spacing w:before="0" w:beforeAutospacing="0" w:after="0" w:afterAutospacing="0"/>
              <w:ind w:left="0" w:right="0"/>
              <w:jc w:val="left"/>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针对本项目提供相应的应急预案：对于进水量、水质超标及其他可能的突发事件的应急、突发事故处理方案及具体措施。根据投标人提供的应急保障预案内容进行赋分：</w:t>
            </w:r>
          </w:p>
          <w:p w14:paraId="75509341">
            <w:pPr>
              <w:keepNext w:val="0"/>
              <w:keepLines w:val="0"/>
              <w:widowControl/>
              <w:suppressLineNumbers w:val="0"/>
              <w:shd w:val="clear" w:color="auto" w:fill="auto"/>
              <w:spacing w:before="0" w:beforeAutospacing="0" w:after="0" w:afterAutospacing="0"/>
              <w:ind w:left="0" w:right="0" w:firstLine="440" w:firstLineChars="200"/>
              <w:jc w:val="left"/>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1、提供应急保障预案，应急措施简单，可实施性差，得0-1分；</w:t>
            </w:r>
          </w:p>
          <w:p w14:paraId="1F5A8141">
            <w:pPr>
              <w:keepNext w:val="0"/>
              <w:keepLines w:val="0"/>
              <w:widowControl/>
              <w:suppressLineNumbers w:val="0"/>
              <w:shd w:val="clear" w:color="auto" w:fill="auto"/>
              <w:spacing w:before="0" w:beforeAutospacing="0" w:after="0" w:afterAutospacing="0"/>
              <w:ind w:left="0" w:right="0" w:firstLine="440" w:firstLineChars="200"/>
              <w:jc w:val="left"/>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2、应急保障预案内容全面，应急措施详细，具有一定的可实施性，得2-3分；</w:t>
            </w:r>
          </w:p>
          <w:p w14:paraId="2230D9FA">
            <w:pPr>
              <w:keepNext w:val="0"/>
              <w:keepLines w:val="0"/>
              <w:widowControl/>
              <w:suppressLineNumbers w:val="0"/>
              <w:shd w:val="clear" w:color="auto" w:fill="auto"/>
              <w:spacing w:before="0" w:beforeAutospacing="0" w:after="0" w:afterAutospacing="0"/>
              <w:ind w:left="0" w:right="0" w:firstLine="440" w:firstLineChars="200"/>
              <w:jc w:val="left"/>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3、应急保障预案内容全面详细，能有针对性地提出详细具体的应急措施，措施内容多样，科学合理，专业化程度高，可实施性强，得4-5分。</w:t>
            </w:r>
          </w:p>
        </w:tc>
        <w:tc>
          <w:tcPr>
            <w:tcW w:w="744" w:type="dxa"/>
            <w:noWrap w:val="0"/>
            <w:vAlign w:val="center"/>
          </w:tcPr>
          <w:p w14:paraId="6CE781A9">
            <w:pPr>
              <w:keepNext w:val="0"/>
              <w:keepLines w:val="0"/>
              <w:suppressLineNumbers w:val="0"/>
              <w:spacing w:before="0" w:beforeAutospacing="0" w:after="0" w:afterAutospacing="0" w:line="240" w:lineRule="exact"/>
              <w:ind w:left="0" w:right="0"/>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5分</w:t>
            </w:r>
          </w:p>
        </w:tc>
      </w:tr>
      <w:tr w14:paraId="11BCE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1" w:type="dxa"/>
            <w:noWrap w:val="0"/>
            <w:vAlign w:val="center"/>
          </w:tcPr>
          <w:p w14:paraId="5F7F713C">
            <w:pPr>
              <w:keepNext w:val="0"/>
              <w:keepLines w:val="0"/>
              <w:suppressLineNumbers w:val="0"/>
              <w:spacing w:before="0" w:beforeAutospacing="0" w:after="0" w:afterAutospacing="0" w:line="240" w:lineRule="exact"/>
              <w:ind w:left="0" w:right="0"/>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服务承诺</w:t>
            </w:r>
          </w:p>
          <w:p w14:paraId="1889FED7">
            <w:pPr>
              <w:keepNext w:val="0"/>
              <w:keepLines w:val="0"/>
              <w:suppressLineNumbers w:val="0"/>
              <w:spacing w:before="0" w:beforeAutospacing="0" w:after="0" w:afterAutospacing="0" w:line="240" w:lineRule="exact"/>
              <w:ind w:left="0" w:right="0"/>
              <w:jc w:val="center"/>
              <w:rPr>
                <w:rFonts w:hint="eastAsia" w:ascii="宋体" w:hAnsi="宋体" w:eastAsia="宋体" w:cs="宋体"/>
                <w:bCs/>
                <w:color w:val="auto"/>
                <w:sz w:val="21"/>
                <w:szCs w:val="21"/>
                <w:highlight w:val="none"/>
                <w:lang w:val="en-US" w:eastAsia="zh-CN"/>
              </w:rPr>
            </w:pPr>
          </w:p>
        </w:tc>
        <w:tc>
          <w:tcPr>
            <w:tcW w:w="6813" w:type="dxa"/>
            <w:noWrap w:val="0"/>
            <w:vAlign w:val="center"/>
          </w:tcPr>
          <w:p w14:paraId="641C81D8">
            <w:pPr>
              <w:pStyle w:val="91"/>
              <w:keepNext w:val="0"/>
              <w:keepLines w:val="0"/>
              <w:suppressLineNumbers w:val="0"/>
              <w:spacing w:before="0" w:beforeAutospacing="0" w:after="0" w:afterAutospacing="0" w:line="320" w:lineRule="exact"/>
              <w:ind w:left="0" w:righ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根据投标人提供的服务周期中相关</w:t>
            </w:r>
            <w:r>
              <w:rPr>
                <w:rFonts w:hint="eastAsia" w:ascii="宋体" w:hAnsi="宋体" w:eastAsia="宋体" w:cs="宋体"/>
                <w:color w:val="auto"/>
                <w:sz w:val="22"/>
                <w:szCs w:val="22"/>
                <w:highlight w:val="none"/>
                <w:lang w:val="en-US" w:eastAsia="zh-CN"/>
              </w:rPr>
              <w:t>保修</w:t>
            </w:r>
            <w:r>
              <w:rPr>
                <w:rFonts w:hint="eastAsia" w:ascii="宋体" w:hAnsi="宋体" w:eastAsia="宋体" w:cs="宋体"/>
                <w:color w:val="auto"/>
                <w:sz w:val="22"/>
                <w:szCs w:val="22"/>
                <w:highlight w:val="none"/>
              </w:rPr>
              <w:t>服务、后期服务配合等做出承诺情况进行综合评定。</w:t>
            </w:r>
          </w:p>
          <w:p w14:paraId="31E5C967">
            <w:pPr>
              <w:pStyle w:val="91"/>
              <w:keepNext w:val="0"/>
              <w:keepLines w:val="0"/>
              <w:suppressLineNumbers w:val="0"/>
              <w:spacing w:before="0" w:beforeAutospacing="0" w:after="0" w:afterAutospacing="0" w:line="320" w:lineRule="exact"/>
              <w:ind w:left="0" w:righ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提供的相关</w:t>
            </w:r>
            <w:r>
              <w:rPr>
                <w:rFonts w:hint="eastAsia" w:ascii="宋体" w:hAnsi="宋体" w:eastAsia="宋体" w:cs="宋体"/>
                <w:color w:val="auto"/>
                <w:sz w:val="22"/>
                <w:szCs w:val="22"/>
                <w:highlight w:val="none"/>
                <w:lang w:val="en-US" w:eastAsia="zh-CN"/>
              </w:rPr>
              <w:t>保修</w:t>
            </w:r>
            <w:r>
              <w:rPr>
                <w:rFonts w:hint="eastAsia" w:ascii="宋体" w:hAnsi="宋体" w:eastAsia="宋体" w:cs="宋体"/>
                <w:color w:val="auto"/>
                <w:sz w:val="22"/>
                <w:szCs w:val="22"/>
                <w:highlight w:val="none"/>
              </w:rPr>
              <w:t>服务、后期服务配合满足</w:t>
            </w:r>
            <w:r>
              <w:rPr>
                <w:rFonts w:hint="eastAsia" w:ascii="宋体" w:hAnsi="宋体" w:eastAsia="宋体" w:cs="宋体"/>
                <w:color w:val="auto"/>
                <w:sz w:val="22"/>
                <w:szCs w:val="22"/>
                <w:highlight w:val="none"/>
                <w:lang w:val="en-US" w:eastAsia="zh-CN"/>
              </w:rPr>
              <w:t>采购人要求和</w:t>
            </w:r>
            <w:r>
              <w:rPr>
                <w:rFonts w:hint="eastAsia" w:cs="宋体"/>
                <w:snapToGrid w:val="0"/>
                <w:color w:val="auto"/>
                <w:kern w:val="0"/>
                <w:sz w:val="22"/>
                <w:szCs w:val="22"/>
                <w:highlight w:val="none"/>
                <w:lang w:eastAsia="zh-CN"/>
              </w:rPr>
              <w:t>达到国家及行业质量验收合格标准</w:t>
            </w:r>
            <w:r>
              <w:rPr>
                <w:rFonts w:hint="eastAsia" w:ascii="宋体" w:hAnsi="宋体" w:eastAsia="宋体" w:cs="宋体"/>
                <w:color w:val="auto"/>
                <w:sz w:val="22"/>
                <w:szCs w:val="22"/>
                <w:highlight w:val="none"/>
              </w:rPr>
              <w:t>(</w:t>
            </w:r>
            <w:r>
              <w:rPr>
                <w:rFonts w:hint="eastAsia" w:cs="宋体"/>
                <w:color w:val="auto"/>
                <w:sz w:val="22"/>
                <w:szCs w:val="22"/>
                <w:highlight w:val="none"/>
                <w:lang w:val="en-US" w:eastAsia="zh-CN"/>
              </w:rPr>
              <w:t>4-</w:t>
            </w:r>
            <w:r>
              <w:rPr>
                <w:rFonts w:hint="eastAsia" w:ascii="宋体" w:hAnsi="宋体" w:eastAsia="宋体" w:cs="宋体"/>
                <w:color w:val="auto"/>
                <w:sz w:val="22"/>
                <w:szCs w:val="22"/>
                <w:highlight w:val="none"/>
              </w:rPr>
              <w:t>5分)；</w:t>
            </w:r>
          </w:p>
          <w:p w14:paraId="56E1C094">
            <w:pPr>
              <w:pStyle w:val="91"/>
              <w:keepNext w:val="0"/>
              <w:keepLines w:val="0"/>
              <w:suppressLineNumbers w:val="0"/>
              <w:spacing w:before="0" w:beforeAutospacing="0" w:after="0" w:afterAutospacing="0" w:line="320" w:lineRule="exact"/>
              <w:ind w:left="0" w:righ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提供的相关</w:t>
            </w:r>
            <w:r>
              <w:rPr>
                <w:rFonts w:hint="eastAsia" w:ascii="宋体" w:hAnsi="宋体" w:eastAsia="宋体" w:cs="宋体"/>
                <w:color w:val="auto"/>
                <w:sz w:val="22"/>
                <w:szCs w:val="22"/>
                <w:highlight w:val="none"/>
                <w:lang w:val="en-US" w:eastAsia="zh-CN"/>
              </w:rPr>
              <w:t>保修</w:t>
            </w:r>
            <w:r>
              <w:rPr>
                <w:rFonts w:hint="eastAsia" w:ascii="宋体" w:hAnsi="宋体" w:eastAsia="宋体" w:cs="宋体"/>
                <w:color w:val="auto"/>
                <w:sz w:val="22"/>
                <w:szCs w:val="22"/>
                <w:highlight w:val="none"/>
              </w:rPr>
              <w:t>服务、后期服务配合基本满足采购人要求和</w:t>
            </w:r>
            <w:r>
              <w:rPr>
                <w:rFonts w:hint="eastAsia" w:cs="宋体"/>
                <w:color w:val="auto"/>
                <w:sz w:val="22"/>
                <w:szCs w:val="22"/>
                <w:highlight w:val="none"/>
                <w:lang w:eastAsia="zh-CN"/>
              </w:rPr>
              <w:t>达到国家及行业质量验收合格标准</w:t>
            </w:r>
            <w:r>
              <w:rPr>
                <w:rFonts w:hint="eastAsia" w:ascii="宋体" w:hAnsi="宋体" w:eastAsia="宋体" w:cs="宋体"/>
                <w:color w:val="auto"/>
                <w:sz w:val="22"/>
                <w:szCs w:val="22"/>
                <w:highlight w:val="none"/>
              </w:rPr>
              <w:t>(</w:t>
            </w:r>
            <w:r>
              <w:rPr>
                <w:rFonts w:hint="eastAsia" w:cs="宋体"/>
                <w:color w:val="auto"/>
                <w:sz w:val="22"/>
                <w:szCs w:val="22"/>
                <w:highlight w:val="none"/>
                <w:lang w:val="en-US" w:eastAsia="zh-CN"/>
              </w:rPr>
              <w:t>2-</w:t>
            </w:r>
            <w:r>
              <w:rPr>
                <w:rFonts w:hint="eastAsia" w:ascii="宋体" w:hAnsi="宋体" w:eastAsia="宋体" w:cs="宋体"/>
                <w:color w:val="auto"/>
                <w:sz w:val="22"/>
                <w:szCs w:val="22"/>
                <w:highlight w:val="none"/>
              </w:rPr>
              <w:t>3分)；</w:t>
            </w:r>
          </w:p>
          <w:p w14:paraId="36F0614B">
            <w:pPr>
              <w:keepNext w:val="0"/>
              <w:keepLines w:val="0"/>
              <w:suppressLineNumbers w:val="0"/>
              <w:spacing w:before="0" w:beforeAutospacing="0" w:after="0" w:afterAutospacing="0" w:line="320" w:lineRule="exact"/>
              <w:ind w:left="0" w:right="12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提供的相关</w:t>
            </w:r>
            <w:r>
              <w:rPr>
                <w:rFonts w:hint="eastAsia" w:ascii="宋体" w:hAnsi="宋体" w:eastAsia="宋体" w:cs="宋体"/>
                <w:color w:val="auto"/>
                <w:sz w:val="22"/>
                <w:szCs w:val="22"/>
                <w:highlight w:val="none"/>
                <w:lang w:val="en-US" w:eastAsia="zh-CN"/>
              </w:rPr>
              <w:t>保修</w:t>
            </w:r>
            <w:r>
              <w:rPr>
                <w:rFonts w:hint="eastAsia" w:ascii="宋体" w:hAnsi="宋体" w:eastAsia="宋体" w:cs="宋体"/>
                <w:color w:val="auto"/>
                <w:sz w:val="22"/>
                <w:szCs w:val="22"/>
                <w:highlight w:val="none"/>
              </w:rPr>
              <w:t>服务、后期服务配合难以满足采购人要求和</w:t>
            </w:r>
            <w:r>
              <w:rPr>
                <w:rFonts w:hint="eastAsia" w:ascii="宋体" w:hAnsi="宋体" w:cs="宋体"/>
                <w:color w:val="auto"/>
                <w:sz w:val="22"/>
                <w:szCs w:val="22"/>
                <w:highlight w:val="none"/>
                <w:lang w:eastAsia="zh-CN"/>
              </w:rPr>
              <w:t>达到国家及行业质量验收合格标准</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0-</w:t>
            </w:r>
            <w:r>
              <w:rPr>
                <w:rFonts w:hint="eastAsia" w:ascii="宋体" w:hAnsi="宋体" w:eastAsia="宋体" w:cs="宋体"/>
                <w:color w:val="auto"/>
                <w:sz w:val="22"/>
                <w:szCs w:val="22"/>
                <w:highlight w:val="none"/>
              </w:rPr>
              <w:t>1分)。</w:t>
            </w:r>
          </w:p>
        </w:tc>
        <w:tc>
          <w:tcPr>
            <w:tcW w:w="744" w:type="dxa"/>
            <w:noWrap w:val="0"/>
            <w:vAlign w:val="center"/>
          </w:tcPr>
          <w:p w14:paraId="62843259">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5分</w:t>
            </w:r>
          </w:p>
        </w:tc>
      </w:tr>
      <w:tr w14:paraId="463F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71" w:type="dxa"/>
            <w:noWrap w:val="0"/>
            <w:vAlign w:val="center"/>
          </w:tcPr>
          <w:p w14:paraId="45A252FA">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业绩</w:t>
            </w:r>
          </w:p>
        </w:tc>
        <w:tc>
          <w:tcPr>
            <w:tcW w:w="6813" w:type="dxa"/>
            <w:noWrap w:val="0"/>
            <w:vAlign w:val="center"/>
          </w:tcPr>
          <w:p w14:paraId="0E10A831">
            <w:pPr>
              <w:keepNext w:val="0"/>
              <w:keepLines w:val="0"/>
              <w:suppressLineNumbers w:val="0"/>
              <w:spacing w:before="0" w:beforeAutospacing="0" w:after="0" w:afterAutospacing="0" w:line="320" w:lineRule="exact"/>
              <w:ind w:left="0" w:right="120" w:rightChars="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提供</w:t>
            </w:r>
            <w:r>
              <w:rPr>
                <w:rFonts w:hint="eastAsia" w:ascii="宋体" w:hAnsi="宋体" w:cs="宋体"/>
                <w:color w:val="auto"/>
                <w:sz w:val="22"/>
                <w:szCs w:val="22"/>
                <w:highlight w:val="none"/>
                <w:lang w:val="en-US" w:eastAsia="zh-CN"/>
              </w:rPr>
              <w:t>企业</w:t>
            </w:r>
            <w:r>
              <w:rPr>
                <w:rFonts w:hint="eastAsia" w:ascii="宋体" w:hAnsi="宋体" w:eastAsia="宋体" w:cs="宋体"/>
                <w:color w:val="auto"/>
                <w:sz w:val="22"/>
                <w:szCs w:val="22"/>
                <w:highlight w:val="none"/>
                <w:lang w:val="en-US" w:eastAsia="zh-CN"/>
              </w:rPr>
              <w:t>20</w:t>
            </w:r>
            <w:r>
              <w:rPr>
                <w:rFonts w:hint="eastAsia" w:ascii="宋体" w:hAnsi="宋体" w:cs="宋体"/>
                <w:color w:val="auto"/>
                <w:sz w:val="22"/>
                <w:szCs w:val="22"/>
                <w:highlight w:val="none"/>
                <w:lang w:val="en-US" w:eastAsia="zh-CN"/>
              </w:rPr>
              <w:t>22</w:t>
            </w:r>
            <w:r>
              <w:rPr>
                <w:rFonts w:hint="eastAsia" w:ascii="宋体" w:hAnsi="宋体" w:eastAsia="宋体" w:cs="宋体"/>
                <w:color w:val="auto"/>
                <w:sz w:val="22"/>
                <w:szCs w:val="22"/>
                <w:highlight w:val="none"/>
                <w:lang w:val="en-US" w:eastAsia="zh-CN"/>
              </w:rPr>
              <w:t>年至今</w:t>
            </w:r>
            <w:r>
              <w:rPr>
                <w:rFonts w:hint="eastAsia" w:ascii="宋体" w:hAnsi="宋体" w:eastAsia="宋体" w:cs="宋体"/>
                <w:color w:val="auto"/>
                <w:sz w:val="22"/>
                <w:szCs w:val="22"/>
                <w:highlight w:val="none"/>
              </w:rPr>
              <w:t>已完</w:t>
            </w:r>
            <w:r>
              <w:rPr>
                <w:rFonts w:hint="eastAsia" w:ascii="宋体" w:hAnsi="宋体" w:cs="宋体"/>
                <w:color w:val="auto"/>
                <w:sz w:val="22"/>
                <w:szCs w:val="22"/>
                <w:highlight w:val="none"/>
                <w:lang w:val="en-US" w:eastAsia="zh-CN"/>
              </w:rPr>
              <w:t>成</w:t>
            </w:r>
            <w:r>
              <w:rPr>
                <w:rFonts w:hint="eastAsia" w:ascii="宋体" w:hAnsi="宋体" w:eastAsia="宋体" w:cs="宋体"/>
                <w:color w:val="auto"/>
                <w:sz w:val="22"/>
                <w:szCs w:val="22"/>
                <w:highlight w:val="none"/>
              </w:rPr>
              <w:t>的类似项目业绩，每提供</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份计</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分，最高不超过</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，以合同签订时间为准（提供合同复印件并加盖</w:t>
            </w:r>
            <w:r>
              <w:rPr>
                <w:rFonts w:hint="eastAsia" w:ascii="宋体" w:hAnsi="宋体" w:eastAsia="宋体" w:cs="宋体"/>
                <w:color w:val="auto"/>
                <w:sz w:val="22"/>
                <w:szCs w:val="22"/>
                <w:highlight w:val="none"/>
                <w:lang w:val="en-US" w:eastAsia="zh-CN"/>
              </w:rPr>
              <w:t>投标人</w:t>
            </w:r>
            <w:r>
              <w:rPr>
                <w:rFonts w:hint="eastAsia" w:ascii="宋体" w:hAnsi="宋体" w:eastAsia="宋体" w:cs="宋体"/>
                <w:color w:val="auto"/>
                <w:sz w:val="22"/>
                <w:szCs w:val="22"/>
                <w:highlight w:val="none"/>
                <w:lang w:eastAsia="zh-CN"/>
              </w:rPr>
              <w:t>公章）</w:t>
            </w:r>
            <w:r>
              <w:rPr>
                <w:rFonts w:hint="eastAsia" w:ascii="宋体" w:hAnsi="宋体" w:eastAsia="宋体" w:cs="宋体"/>
                <w:color w:val="auto"/>
                <w:sz w:val="22"/>
                <w:szCs w:val="22"/>
                <w:highlight w:val="none"/>
              </w:rPr>
              <w:t>。</w:t>
            </w:r>
          </w:p>
        </w:tc>
        <w:tc>
          <w:tcPr>
            <w:tcW w:w="744" w:type="dxa"/>
            <w:noWrap w:val="0"/>
            <w:vAlign w:val="center"/>
          </w:tcPr>
          <w:p w14:paraId="230E308F">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分</w:t>
            </w:r>
          </w:p>
        </w:tc>
      </w:tr>
      <w:bookmarkEnd w:id="137"/>
      <w:bookmarkEnd w:id="138"/>
    </w:tbl>
    <w:p w14:paraId="3BBA7BEB">
      <w:pPr>
        <w:spacing w:line="440" w:lineRule="exact"/>
        <w:ind w:firstLine="480"/>
        <w:rPr>
          <w:rFonts w:hint="eastAsia" w:ascii="宋体" w:hAnsi="宋体" w:eastAsia="宋体" w:cs="宋体"/>
          <w:b/>
          <w:color w:val="auto"/>
          <w:kern w:val="1"/>
          <w:sz w:val="22"/>
          <w:szCs w:val="22"/>
          <w:highlight w:val="none"/>
        </w:rPr>
      </w:pPr>
      <w:r>
        <w:rPr>
          <w:rFonts w:hint="eastAsia" w:ascii="宋体" w:hAnsi="宋体" w:eastAsia="宋体" w:cs="宋体"/>
          <w:color w:val="auto"/>
          <w:kern w:val="1"/>
          <w:sz w:val="22"/>
          <w:szCs w:val="22"/>
          <w:highlight w:val="none"/>
        </w:rPr>
        <w:t>23.</w:t>
      </w:r>
      <w:r>
        <w:rPr>
          <w:rFonts w:hint="eastAsia" w:ascii="宋体" w:hAnsi="宋体" w:cs="宋体"/>
          <w:color w:val="auto"/>
          <w:kern w:val="1"/>
          <w:sz w:val="22"/>
          <w:szCs w:val="22"/>
          <w:highlight w:val="none"/>
          <w:lang w:val="en-US" w:eastAsia="zh-CN"/>
        </w:rPr>
        <w:t>3</w:t>
      </w:r>
      <w:r>
        <w:rPr>
          <w:rFonts w:hint="eastAsia" w:ascii="宋体" w:hAnsi="宋体" w:eastAsia="宋体" w:cs="宋体"/>
          <w:color w:val="auto"/>
          <w:kern w:val="1"/>
          <w:sz w:val="22"/>
          <w:szCs w:val="22"/>
          <w:highlight w:val="none"/>
        </w:rPr>
        <w:t xml:space="preserve"> 评标委员会对进入详细评审的投标人进行综合评分，根据得分由高到低，推荐出一个以上三个以下中标候选单位。如果综合评分出现两个投标人得分相同的情况，按下列顺序排列：</w:t>
      </w:r>
    </w:p>
    <w:p w14:paraId="3E02225F">
      <w:pPr>
        <w:spacing w:line="440" w:lineRule="exact"/>
        <w:ind w:firstLine="480"/>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(1) 投标价格低的；</w:t>
      </w:r>
    </w:p>
    <w:p w14:paraId="12507B2E">
      <w:pPr>
        <w:spacing w:line="440" w:lineRule="exact"/>
        <w:ind w:firstLine="480"/>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(2) 技术评估得分高的；</w:t>
      </w:r>
    </w:p>
    <w:p w14:paraId="1470D9E5">
      <w:pPr>
        <w:spacing w:line="440" w:lineRule="exact"/>
        <w:ind w:firstLine="480"/>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(3) 服务承诺优的。</w:t>
      </w:r>
    </w:p>
    <w:p w14:paraId="6C4B4122">
      <w:pPr>
        <w:spacing w:line="440" w:lineRule="exact"/>
        <w:ind w:firstLine="440" w:firstLineChars="200"/>
        <w:outlineLvl w:val="1"/>
        <w:rPr>
          <w:rFonts w:hint="eastAsia" w:ascii="宋体" w:hAnsi="宋体" w:eastAsia="宋体" w:cs="宋体"/>
          <w:color w:val="auto"/>
          <w:sz w:val="22"/>
          <w:szCs w:val="22"/>
          <w:highlight w:val="none"/>
        </w:rPr>
      </w:pPr>
      <w:bookmarkStart w:id="139" w:name="_Toc25680"/>
      <w:r>
        <w:rPr>
          <w:rFonts w:hint="eastAsia" w:ascii="宋体" w:hAnsi="宋体" w:eastAsia="宋体" w:cs="宋体"/>
          <w:color w:val="auto"/>
          <w:kern w:val="1"/>
          <w:sz w:val="22"/>
          <w:szCs w:val="22"/>
          <w:highlight w:val="none"/>
        </w:rPr>
        <w:t>24、评标委员会根据</w:t>
      </w:r>
      <w:r>
        <w:rPr>
          <w:rFonts w:hint="eastAsia" w:ascii="宋体" w:hAnsi="宋体" w:eastAsia="宋体" w:cs="宋体"/>
          <w:color w:val="auto"/>
          <w:sz w:val="22"/>
          <w:szCs w:val="22"/>
          <w:highlight w:val="none"/>
        </w:rPr>
        <w:t>原始评标记录和评标结果编写</w:t>
      </w:r>
      <w:r>
        <w:rPr>
          <w:rFonts w:hint="eastAsia" w:ascii="宋体" w:hAnsi="宋体" w:eastAsia="宋体" w:cs="宋体"/>
          <w:color w:val="auto"/>
          <w:kern w:val="1"/>
          <w:sz w:val="22"/>
          <w:szCs w:val="22"/>
          <w:highlight w:val="none"/>
        </w:rPr>
        <w:t>评标报告，报采购人。</w:t>
      </w:r>
      <w:bookmarkEnd w:id="139"/>
    </w:p>
    <w:p w14:paraId="5A0A95D6">
      <w:pPr>
        <w:snapToGrid w:val="0"/>
        <w:spacing w:before="156" w:beforeLines="50" w:after="156" w:afterLines="50" w:line="240" w:lineRule="auto"/>
        <w:jc w:val="center"/>
        <w:outlineLvl w:val="9"/>
        <w:rPr>
          <w:rFonts w:hint="eastAsia" w:ascii="宋体" w:hAnsi="宋体" w:eastAsia="宋体" w:cs="宋体"/>
          <w:b/>
          <w:color w:val="auto"/>
          <w:sz w:val="10"/>
          <w:szCs w:val="10"/>
          <w:highlight w:val="none"/>
        </w:rPr>
      </w:pPr>
      <w:bookmarkStart w:id="140" w:name="_Toc245658525"/>
      <w:bookmarkStart w:id="141" w:name="_Toc170980445"/>
      <w:bookmarkStart w:id="142" w:name="_Toc170980543"/>
      <w:bookmarkStart w:id="143" w:name="_Toc169846864"/>
      <w:bookmarkStart w:id="144" w:name="_Toc169846767"/>
      <w:bookmarkStart w:id="145" w:name="_Toc167591034"/>
      <w:bookmarkStart w:id="146" w:name="_Toc208337155"/>
      <w:bookmarkStart w:id="147" w:name="_Toc167591135"/>
      <w:bookmarkStart w:id="148" w:name="_Toc154482470"/>
      <w:bookmarkStart w:id="149" w:name="_Toc175032428"/>
      <w:bookmarkStart w:id="150" w:name="_Toc167590766"/>
      <w:bookmarkStart w:id="151" w:name="_Toc167849351"/>
      <w:bookmarkStart w:id="152" w:name="_Toc175033583"/>
      <w:bookmarkStart w:id="153" w:name="_Toc167591321"/>
      <w:bookmarkStart w:id="154" w:name="_Toc167591483"/>
      <w:bookmarkStart w:id="155" w:name="_Toc245657544"/>
      <w:bookmarkStart w:id="156" w:name="_Toc207897907"/>
      <w:bookmarkStart w:id="157" w:name="_Toc173549969"/>
      <w:bookmarkStart w:id="158" w:name="_Toc169838523"/>
      <w:bookmarkStart w:id="159" w:name="_Toc244623582"/>
      <w:bookmarkStart w:id="160" w:name="_Toc245176656"/>
    </w:p>
    <w:p w14:paraId="156BA661">
      <w:pPr>
        <w:snapToGrid w:val="0"/>
        <w:spacing w:before="156" w:beforeLines="50" w:after="156" w:afterLines="50" w:line="240" w:lineRule="auto"/>
        <w:jc w:val="center"/>
        <w:outlineLvl w:val="0"/>
        <w:rPr>
          <w:rFonts w:hint="eastAsia" w:ascii="宋体" w:hAnsi="宋体" w:eastAsia="宋体" w:cs="宋体"/>
          <w:b/>
          <w:color w:val="auto"/>
          <w:sz w:val="30"/>
          <w:szCs w:val="30"/>
          <w:highlight w:val="none"/>
        </w:rPr>
      </w:pPr>
      <w:bookmarkStart w:id="161" w:name="_Toc17567"/>
      <w:r>
        <w:rPr>
          <w:rFonts w:hint="eastAsia" w:ascii="宋体" w:hAnsi="宋体" w:eastAsia="宋体" w:cs="宋体"/>
          <w:b/>
          <w:color w:val="auto"/>
          <w:sz w:val="30"/>
          <w:szCs w:val="30"/>
          <w:highlight w:val="none"/>
        </w:rPr>
        <w:t>六、授予合同</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166E3718">
      <w:pPr>
        <w:spacing w:line="440" w:lineRule="exact"/>
        <w:ind w:firstLine="442" w:firstLineChars="200"/>
        <w:outlineLvl w:val="1"/>
        <w:rPr>
          <w:rFonts w:hint="eastAsia" w:ascii="宋体" w:hAnsi="宋体" w:eastAsia="宋体" w:cs="宋体"/>
          <w:b/>
          <w:color w:val="auto"/>
          <w:sz w:val="22"/>
          <w:szCs w:val="22"/>
          <w:highlight w:val="none"/>
        </w:rPr>
      </w:pPr>
      <w:bookmarkStart w:id="162" w:name="_Toc20705"/>
      <w:r>
        <w:rPr>
          <w:rFonts w:hint="eastAsia" w:ascii="宋体" w:hAnsi="宋体" w:eastAsia="宋体" w:cs="宋体"/>
          <w:b/>
          <w:color w:val="auto"/>
          <w:sz w:val="22"/>
          <w:szCs w:val="22"/>
          <w:highlight w:val="none"/>
        </w:rPr>
        <w:t>25．中标通知书</w:t>
      </w:r>
      <w:bookmarkEnd w:id="162"/>
    </w:p>
    <w:p w14:paraId="367D1A7F">
      <w:pPr>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25.1采购代理机构在收到采购人的中标复函后，将在陕西省政府采购网和陕西省公共资源交易网上发布中标公告，并在规定时间向中标人发出中标通知书。</w:t>
      </w:r>
    </w:p>
    <w:p w14:paraId="35FB1BA8">
      <w:pPr>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25.2 中标通知书是合同的组成部分。</w:t>
      </w:r>
    </w:p>
    <w:p w14:paraId="2703C7E5">
      <w:pPr>
        <w:spacing w:line="440" w:lineRule="exact"/>
        <w:ind w:firstLine="440" w:firstLineChars="200"/>
        <w:outlineLvl w:val="1"/>
        <w:rPr>
          <w:rFonts w:hint="eastAsia" w:ascii="宋体" w:hAnsi="宋体" w:eastAsia="宋体" w:cs="宋体"/>
          <w:color w:val="auto"/>
          <w:sz w:val="22"/>
          <w:szCs w:val="22"/>
          <w:highlight w:val="none"/>
        </w:rPr>
      </w:pPr>
      <w:bookmarkStart w:id="163" w:name="_Toc15679"/>
      <w:r>
        <w:rPr>
          <w:rFonts w:hint="eastAsia" w:ascii="宋体" w:hAnsi="宋体" w:eastAsia="宋体" w:cs="宋体"/>
          <w:color w:val="auto"/>
          <w:sz w:val="22"/>
          <w:szCs w:val="22"/>
          <w:highlight w:val="none"/>
        </w:rPr>
        <w:t>26．招标代理</w:t>
      </w:r>
      <w:r>
        <w:rPr>
          <w:rFonts w:hint="eastAsia" w:ascii="宋体" w:hAnsi="宋体" w:cs="宋体"/>
          <w:color w:val="auto"/>
          <w:sz w:val="22"/>
          <w:szCs w:val="22"/>
          <w:highlight w:val="none"/>
          <w:lang w:val="en-US" w:eastAsia="zh-CN"/>
        </w:rPr>
        <w:t>服</w:t>
      </w:r>
      <w:r>
        <w:rPr>
          <w:rFonts w:hint="eastAsia" w:ascii="宋体" w:hAnsi="宋体" w:eastAsia="宋体" w:cs="宋体"/>
          <w:color w:val="auto"/>
          <w:sz w:val="22"/>
          <w:szCs w:val="22"/>
          <w:highlight w:val="none"/>
        </w:rPr>
        <w:t>务费</w:t>
      </w:r>
      <w:bookmarkEnd w:id="163"/>
    </w:p>
    <w:p w14:paraId="7121BC0E">
      <w:pPr>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26.1招标代理服务费：按计价格[2002]1980号文及发改价格[2011]534号文收取。</w:t>
      </w:r>
    </w:p>
    <w:p w14:paraId="110449CC">
      <w:pPr>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26.2招标代理服务费由</w:t>
      </w:r>
      <w:r>
        <w:rPr>
          <w:rFonts w:hint="eastAsia" w:ascii="宋体" w:hAnsi="宋体" w:cs="宋体"/>
          <w:color w:val="auto"/>
          <w:sz w:val="22"/>
          <w:szCs w:val="22"/>
          <w:highlight w:val="none"/>
          <w:lang w:val="en-US" w:eastAsia="zh-CN"/>
        </w:rPr>
        <w:t>中标</w:t>
      </w:r>
      <w:r>
        <w:rPr>
          <w:rFonts w:hint="eastAsia" w:ascii="宋体" w:hAnsi="宋体" w:eastAsia="宋体" w:cs="宋体"/>
          <w:color w:val="auto"/>
          <w:sz w:val="22"/>
          <w:szCs w:val="22"/>
          <w:highlight w:val="none"/>
        </w:rPr>
        <w:t>单位支付一次性支付给</w:t>
      </w:r>
      <w:r>
        <w:rPr>
          <w:rFonts w:hint="eastAsia" w:ascii="宋体" w:hAnsi="宋体" w:cs="宋体"/>
          <w:color w:val="auto"/>
          <w:sz w:val="22"/>
          <w:szCs w:val="22"/>
          <w:highlight w:val="none"/>
          <w:u w:val="single"/>
          <w:lang w:eastAsia="zh-CN"/>
        </w:rPr>
        <w:t>陕西秦丰源项目管理有限公司</w:t>
      </w:r>
      <w:r>
        <w:rPr>
          <w:rFonts w:hint="eastAsia" w:ascii="宋体" w:hAnsi="宋体" w:eastAsia="宋体" w:cs="宋体"/>
          <w:color w:val="auto"/>
          <w:sz w:val="22"/>
          <w:szCs w:val="22"/>
          <w:highlight w:val="none"/>
        </w:rPr>
        <w:t>。</w:t>
      </w:r>
    </w:p>
    <w:p w14:paraId="2A073AC8">
      <w:pPr>
        <w:spacing w:line="440" w:lineRule="exact"/>
        <w:ind w:firstLine="442" w:firstLineChars="200"/>
        <w:outlineLvl w:val="1"/>
        <w:rPr>
          <w:rFonts w:hint="eastAsia" w:ascii="宋体" w:hAnsi="宋体" w:eastAsia="宋体" w:cs="宋体"/>
          <w:b/>
          <w:color w:val="auto"/>
          <w:sz w:val="22"/>
          <w:szCs w:val="22"/>
          <w:highlight w:val="none"/>
        </w:rPr>
      </w:pPr>
      <w:bookmarkStart w:id="164" w:name="_Toc15014"/>
      <w:r>
        <w:rPr>
          <w:rFonts w:hint="eastAsia" w:ascii="宋体" w:hAnsi="宋体" w:eastAsia="宋体" w:cs="宋体"/>
          <w:b/>
          <w:color w:val="auto"/>
          <w:sz w:val="22"/>
          <w:szCs w:val="22"/>
          <w:highlight w:val="none"/>
        </w:rPr>
        <w:t>27．签订合同</w:t>
      </w:r>
      <w:bookmarkEnd w:id="164"/>
    </w:p>
    <w:p w14:paraId="0EC4983E">
      <w:pPr>
        <w:spacing w:line="440" w:lineRule="exact"/>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27.1中标人在收到中标通知书后</w:t>
      </w:r>
      <w:r>
        <w:rPr>
          <w:rFonts w:hint="eastAsia" w:ascii="宋体" w:hAnsi="宋体" w:cs="宋体"/>
          <w:b/>
          <w:bCs/>
          <w:color w:val="auto"/>
          <w:sz w:val="22"/>
          <w:szCs w:val="22"/>
          <w:highlight w:val="none"/>
          <w:lang w:val="en-US" w:eastAsia="zh-CN"/>
        </w:rPr>
        <w:t>10</w:t>
      </w:r>
      <w:r>
        <w:rPr>
          <w:rFonts w:hint="eastAsia" w:ascii="宋体" w:hAnsi="宋体" w:eastAsia="宋体" w:cs="宋体"/>
          <w:b/>
          <w:bCs/>
          <w:color w:val="auto"/>
          <w:sz w:val="22"/>
          <w:szCs w:val="22"/>
          <w:highlight w:val="none"/>
        </w:rPr>
        <w:t>日内，与采购人签订合同。</w:t>
      </w:r>
    </w:p>
    <w:p w14:paraId="63CE184A">
      <w:pPr>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27.2 如果中标人没有按照上述第26.1条或第27.1条规定执行，采购人将有充分理由取消该中标决定，并没收其投标保证金。在此情况下，采购人可将合同授予综合得分排序名列下一个的投标人，或重新招标。</w:t>
      </w:r>
    </w:p>
    <w:p w14:paraId="14F86C6D">
      <w:pPr>
        <w:spacing w:line="440" w:lineRule="exact"/>
        <w:ind w:firstLine="442" w:firstLineChars="200"/>
        <w:outlineLvl w:val="1"/>
        <w:rPr>
          <w:rFonts w:hint="eastAsia" w:ascii="宋体" w:hAnsi="宋体" w:eastAsia="宋体" w:cs="宋体"/>
          <w:b/>
          <w:bCs/>
          <w:color w:val="auto"/>
          <w:sz w:val="22"/>
          <w:szCs w:val="22"/>
          <w:highlight w:val="none"/>
        </w:rPr>
      </w:pPr>
      <w:bookmarkStart w:id="165" w:name="_Toc22811"/>
      <w:r>
        <w:rPr>
          <w:rFonts w:hint="eastAsia" w:ascii="宋体" w:hAnsi="宋体" w:eastAsia="宋体" w:cs="宋体"/>
          <w:b/>
          <w:bCs/>
          <w:color w:val="auto"/>
          <w:sz w:val="22"/>
          <w:szCs w:val="22"/>
          <w:highlight w:val="none"/>
        </w:rPr>
        <w:t>28．其他</w:t>
      </w:r>
      <w:bookmarkEnd w:id="165"/>
    </w:p>
    <w:p w14:paraId="1DDDFEF4">
      <w:pPr>
        <w:spacing w:line="440" w:lineRule="exact"/>
        <w:ind w:firstLine="440" w:firstLineChars="200"/>
        <w:outlineLvl w:val="2"/>
        <w:rPr>
          <w:rFonts w:hint="eastAsia" w:ascii="宋体" w:hAnsi="宋体" w:eastAsia="宋体" w:cs="宋体"/>
          <w:color w:val="auto"/>
          <w:sz w:val="22"/>
          <w:szCs w:val="22"/>
          <w:highlight w:val="none"/>
        </w:rPr>
      </w:pPr>
      <w:bookmarkStart w:id="166" w:name="_Toc24363"/>
      <w:r>
        <w:rPr>
          <w:rFonts w:hint="eastAsia" w:ascii="宋体" w:hAnsi="宋体" w:eastAsia="宋体" w:cs="宋体"/>
          <w:color w:val="auto"/>
          <w:sz w:val="22"/>
          <w:szCs w:val="22"/>
          <w:highlight w:val="none"/>
        </w:rPr>
        <w:t>28.1 拒绝商业贿赂</w:t>
      </w:r>
      <w:bookmarkEnd w:id="166"/>
    </w:p>
    <w:p w14:paraId="1A406702">
      <w:pPr>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28.1.1投标人须填写一份《拒绝政府采购领域商业贿赂承诺书》（格式见</w:t>
      </w:r>
      <w:r>
        <w:rPr>
          <w:rFonts w:hint="eastAsia" w:ascii="宋体" w:hAnsi="宋体" w:cs="宋体"/>
          <w:color w:val="auto"/>
          <w:sz w:val="22"/>
          <w:szCs w:val="22"/>
          <w:highlight w:val="none"/>
          <w:lang w:val="en-US" w:eastAsia="zh-CN"/>
        </w:rPr>
        <w:t>投标文件格式</w:t>
      </w:r>
      <w:r>
        <w:rPr>
          <w:rFonts w:hint="eastAsia" w:ascii="宋体" w:hAnsi="宋体" w:eastAsia="宋体" w:cs="宋体"/>
          <w:color w:val="auto"/>
          <w:sz w:val="22"/>
          <w:szCs w:val="22"/>
          <w:highlight w:val="none"/>
        </w:rPr>
        <w:t>）编制在投标文件中，同时保证投标文件正、副本中都有且一致。</w:t>
      </w:r>
    </w:p>
    <w:p w14:paraId="4EA62992">
      <w:pPr>
        <w:spacing w:line="440" w:lineRule="exact"/>
        <w:ind w:firstLine="482" w:firstLineChars="0"/>
        <w:outlineLvl w:val="1"/>
        <w:rPr>
          <w:rFonts w:hint="eastAsia" w:ascii="宋体" w:hAnsi="宋体" w:eastAsia="宋体" w:cs="宋体"/>
          <w:b/>
          <w:color w:val="auto"/>
          <w:kern w:val="1"/>
          <w:sz w:val="22"/>
          <w:szCs w:val="22"/>
          <w:highlight w:val="none"/>
        </w:rPr>
      </w:pPr>
      <w:bookmarkStart w:id="167" w:name="_Toc30811"/>
      <w:r>
        <w:rPr>
          <w:rFonts w:hint="eastAsia" w:ascii="宋体" w:hAnsi="宋体" w:eastAsia="宋体" w:cs="宋体"/>
          <w:b/>
          <w:color w:val="auto"/>
          <w:kern w:val="1"/>
          <w:sz w:val="22"/>
          <w:szCs w:val="22"/>
          <w:highlight w:val="none"/>
        </w:rPr>
        <w:t>29、公开招标拟转为竞争性谈判程序</w:t>
      </w:r>
      <w:bookmarkEnd w:id="167"/>
    </w:p>
    <w:p w14:paraId="0B03EC5C">
      <w:pPr>
        <w:spacing w:line="440" w:lineRule="exact"/>
        <w:ind w:firstLine="480"/>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招标过程中提交投标文件或者经评审实质性响应招标文件要求的投标人只有两家时，采购人、采购代理机构依据《政府采购非招标采购方式管理办法》（财政部令第74号）第二十七条第二款规定并</w:t>
      </w:r>
      <w:r>
        <w:rPr>
          <w:rFonts w:hint="eastAsia" w:ascii="宋体" w:hAnsi="宋体" w:eastAsia="宋体" w:cs="宋体"/>
          <w:color w:val="auto"/>
          <w:sz w:val="22"/>
          <w:szCs w:val="22"/>
          <w:highlight w:val="none"/>
        </w:rPr>
        <w:t>经本级财政部门批准后可以与该两家投标人进行竞争性谈判采购，具体程序如下：</w:t>
      </w:r>
    </w:p>
    <w:p w14:paraId="41D21806">
      <w:pPr>
        <w:spacing w:line="440" w:lineRule="exact"/>
        <w:ind w:firstLine="482" w:firstLineChars="0"/>
        <w:outlineLvl w:val="2"/>
        <w:rPr>
          <w:rFonts w:hint="eastAsia" w:ascii="宋体" w:hAnsi="宋体" w:eastAsia="宋体" w:cs="宋体"/>
          <w:b/>
          <w:color w:val="auto"/>
          <w:sz w:val="22"/>
          <w:szCs w:val="22"/>
          <w:highlight w:val="none"/>
        </w:rPr>
      </w:pPr>
      <w:bookmarkStart w:id="168" w:name="_Toc31646"/>
      <w:r>
        <w:rPr>
          <w:rFonts w:hint="eastAsia" w:ascii="宋体" w:hAnsi="宋体" w:eastAsia="宋体" w:cs="宋体"/>
          <w:b/>
          <w:color w:val="auto"/>
          <w:kern w:val="1"/>
          <w:sz w:val="22"/>
          <w:szCs w:val="22"/>
          <w:highlight w:val="none"/>
        </w:rPr>
        <w:t>29.1 谈判小组</w:t>
      </w:r>
      <w:bookmarkEnd w:id="168"/>
    </w:p>
    <w:p w14:paraId="3559FCD3">
      <w:pPr>
        <w:spacing w:line="440" w:lineRule="exact"/>
        <w:ind w:firstLine="480"/>
        <w:rPr>
          <w:rFonts w:hint="eastAsia" w:ascii="宋体" w:hAnsi="宋体" w:eastAsia="宋体" w:cs="宋体"/>
          <w:color w:val="auto"/>
          <w:sz w:val="22"/>
          <w:szCs w:val="22"/>
          <w:highlight w:val="none"/>
        </w:rPr>
      </w:pPr>
      <w:r>
        <w:rPr>
          <w:rFonts w:hint="eastAsia" w:ascii="宋体" w:hAnsi="宋体" w:eastAsia="宋体" w:cs="宋体"/>
          <w:color w:val="auto"/>
          <w:kern w:val="1"/>
          <w:sz w:val="22"/>
          <w:szCs w:val="22"/>
          <w:highlight w:val="none"/>
        </w:rPr>
        <w:t>（1）原公开招标组建的评标委员会现转为谈判小组</w:t>
      </w:r>
      <w:r>
        <w:rPr>
          <w:rFonts w:hint="eastAsia" w:ascii="宋体" w:hAnsi="宋体" w:eastAsia="宋体" w:cs="宋体"/>
          <w:color w:val="auto"/>
          <w:sz w:val="22"/>
          <w:szCs w:val="22"/>
          <w:highlight w:val="none"/>
        </w:rPr>
        <w:t>。</w:t>
      </w:r>
    </w:p>
    <w:p w14:paraId="138C6BAC">
      <w:pPr>
        <w:spacing w:line="440" w:lineRule="exact"/>
        <w:ind w:firstLine="480"/>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（2）谈判小组负责谈判工作，对谈判响应文件进行审查和评估，并向采购人提交书面提交评审报告，推荐成交候选人。</w:t>
      </w:r>
    </w:p>
    <w:p w14:paraId="550776F2">
      <w:pPr>
        <w:spacing w:line="440" w:lineRule="exact"/>
        <w:ind w:firstLine="482" w:firstLineChars="0"/>
        <w:outlineLvl w:val="2"/>
        <w:rPr>
          <w:rFonts w:hint="eastAsia" w:ascii="宋体" w:hAnsi="宋体" w:eastAsia="宋体" w:cs="宋体"/>
          <w:color w:val="auto"/>
          <w:kern w:val="1"/>
          <w:sz w:val="22"/>
          <w:szCs w:val="22"/>
          <w:highlight w:val="none"/>
        </w:rPr>
      </w:pPr>
      <w:bookmarkStart w:id="169" w:name="_Toc21137"/>
      <w:r>
        <w:rPr>
          <w:rFonts w:hint="eastAsia" w:ascii="宋体" w:hAnsi="宋体" w:eastAsia="宋体" w:cs="宋体"/>
          <w:b/>
          <w:color w:val="auto"/>
          <w:kern w:val="1"/>
          <w:sz w:val="22"/>
          <w:szCs w:val="22"/>
          <w:highlight w:val="none"/>
        </w:rPr>
        <w:t>29.</w:t>
      </w:r>
      <w:r>
        <w:rPr>
          <w:rFonts w:hint="eastAsia" w:ascii="宋体" w:hAnsi="宋体" w:eastAsia="宋体" w:cs="宋体"/>
          <w:b/>
          <w:bCs/>
          <w:color w:val="auto"/>
          <w:kern w:val="1"/>
          <w:sz w:val="22"/>
          <w:szCs w:val="22"/>
          <w:highlight w:val="none"/>
        </w:rPr>
        <w:t xml:space="preserve">2 </w:t>
      </w:r>
      <w:r>
        <w:rPr>
          <w:rFonts w:hint="eastAsia" w:ascii="宋体" w:hAnsi="宋体" w:eastAsia="宋体" w:cs="宋体"/>
          <w:b/>
          <w:color w:val="auto"/>
          <w:kern w:val="1"/>
          <w:sz w:val="22"/>
          <w:szCs w:val="22"/>
          <w:highlight w:val="none"/>
        </w:rPr>
        <w:t>谈判</w:t>
      </w:r>
      <w:r>
        <w:rPr>
          <w:rFonts w:hint="eastAsia" w:ascii="宋体" w:hAnsi="宋体" w:eastAsia="宋体" w:cs="宋体"/>
          <w:b/>
          <w:bCs/>
          <w:color w:val="auto"/>
          <w:kern w:val="1"/>
          <w:sz w:val="22"/>
          <w:szCs w:val="22"/>
          <w:highlight w:val="none"/>
        </w:rPr>
        <w:t>程序</w:t>
      </w:r>
      <w:r>
        <w:rPr>
          <w:rFonts w:hint="eastAsia" w:ascii="宋体" w:hAnsi="宋体" w:eastAsia="宋体" w:cs="宋体"/>
          <w:bCs/>
          <w:color w:val="auto"/>
          <w:kern w:val="1"/>
          <w:sz w:val="22"/>
          <w:szCs w:val="22"/>
          <w:highlight w:val="none"/>
        </w:rPr>
        <w:t>：</w:t>
      </w:r>
      <w:bookmarkEnd w:id="169"/>
      <w:r>
        <w:rPr>
          <w:rFonts w:hint="eastAsia" w:ascii="宋体" w:hAnsi="宋体" w:eastAsia="宋体" w:cs="宋体"/>
          <w:color w:val="auto"/>
          <w:kern w:val="1"/>
          <w:sz w:val="22"/>
          <w:szCs w:val="22"/>
          <w:highlight w:val="none"/>
        </w:rPr>
        <w:t xml:space="preserve"> </w:t>
      </w:r>
    </w:p>
    <w:p w14:paraId="07E616EA">
      <w:pPr>
        <w:spacing w:line="440" w:lineRule="exact"/>
        <w:ind w:firstLine="480"/>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谈判的全过程分为第一次谈判报价（原参加公开招标的投标投标人的投标报价作为第一次谈判报价）、资质审查、谈判过程、第二次谈判报价、最终评审等阶段，最终报价采取集中报价形式。</w:t>
      </w:r>
    </w:p>
    <w:p w14:paraId="4B146AA0">
      <w:pPr>
        <w:spacing w:line="440" w:lineRule="exact"/>
        <w:ind w:firstLine="480"/>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通过资质审查合格的各投标人，只有在谈判响应文件（原参加公开招标的投标投标人的投标文件作为谈判响应文件）及谈判承诺符合谈判文件要求和满足技术、商务需要的才有最终报价和评审的机会。谈判小组按其最终承诺和报价内容，推荐成交候选单位排序。</w:t>
      </w:r>
    </w:p>
    <w:p w14:paraId="015CE72A">
      <w:pPr>
        <w:spacing w:line="440" w:lineRule="exact"/>
        <w:ind w:firstLine="480"/>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（1）第一次报价：原参加公开招标的投标投标人的投标报价作为第一次谈判报价。</w:t>
      </w:r>
    </w:p>
    <w:p w14:paraId="23869B2E">
      <w:pPr>
        <w:spacing w:line="440" w:lineRule="exact"/>
        <w:ind w:firstLine="480"/>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（2）符合性评审：主要对各投标人资格以及谈判响应文件进行商务和技术符合性的审定。</w:t>
      </w:r>
    </w:p>
    <w:p w14:paraId="22AE0626">
      <w:pPr>
        <w:spacing w:line="440" w:lineRule="exact"/>
        <w:ind w:firstLine="480"/>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（3）</w:t>
      </w:r>
      <w:r>
        <w:rPr>
          <w:rFonts w:hint="eastAsia" w:ascii="宋体" w:hAnsi="宋体" w:eastAsia="宋体" w:cs="宋体"/>
          <w:bCs/>
          <w:color w:val="auto"/>
          <w:kern w:val="1"/>
          <w:sz w:val="22"/>
          <w:szCs w:val="22"/>
          <w:highlight w:val="none"/>
        </w:rPr>
        <w:t>谈判过程</w:t>
      </w:r>
      <w:r>
        <w:rPr>
          <w:rFonts w:hint="eastAsia" w:ascii="宋体" w:hAnsi="宋体" w:eastAsia="宋体" w:cs="宋体"/>
          <w:color w:val="auto"/>
          <w:kern w:val="1"/>
          <w:sz w:val="22"/>
          <w:szCs w:val="22"/>
          <w:highlight w:val="none"/>
        </w:rPr>
        <w:t>：谈判小组应在符合性评审的基础上对各投标人的谈判响应文件认真阅读，并对采购内容等有关要求进行谈判。</w:t>
      </w:r>
    </w:p>
    <w:p w14:paraId="23722986">
      <w:pPr>
        <w:spacing w:line="440" w:lineRule="exact"/>
        <w:ind w:firstLine="480"/>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① 谈判方案（原投标方案）</w:t>
      </w:r>
    </w:p>
    <w:p w14:paraId="760778C8">
      <w:pPr>
        <w:spacing w:line="440" w:lineRule="exact"/>
        <w:ind w:firstLine="480"/>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② 售后服务措施</w:t>
      </w:r>
    </w:p>
    <w:p w14:paraId="18098D7F">
      <w:pPr>
        <w:spacing w:line="440" w:lineRule="exact"/>
        <w:ind w:firstLine="480"/>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③ 综合评定，推荐候选成交单位。</w:t>
      </w:r>
    </w:p>
    <w:p w14:paraId="29277B33">
      <w:pPr>
        <w:spacing w:line="440" w:lineRule="exact"/>
        <w:ind w:firstLine="480"/>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④ 谈判澄清：采购代理机构有权就谈判响应文件中有疑义之处或前后表述不一致的问题，向投标人提出询问或澄清。投标人必须在谈判文件规定的时间内派技术和商务人员进行澄清，有关澄清的内容应以书面形式（包括电传、传真）提交，并由投标人法定代表人或被授权人签名确认。</w:t>
      </w:r>
    </w:p>
    <w:p w14:paraId="55E62AF0">
      <w:pPr>
        <w:spacing w:line="440" w:lineRule="exact"/>
        <w:ind w:firstLine="480"/>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（4）第二次谈判报价</w:t>
      </w:r>
    </w:p>
    <w:p w14:paraId="342D91E2">
      <w:pPr>
        <w:spacing w:line="440" w:lineRule="exact"/>
        <w:ind w:firstLine="480"/>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通过资质审查合格，投标人的谈判响应文件及谈判承诺符合谈判文件要求和满足技术、商务需要的，在规定的时间内报出第二次谈判报价。</w:t>
      </w:r>
    </w:p>
    <w:p w14:paraId="2CCA1F43">
      <w:pPr>
        <w:spacing w:line="440" w:lineRule="exact"/>
        <w:ind w:firstLine="480"/>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（5）最终评审</w:t>
      </w:r>
    </w:p>
    <w:p w14:paraId="3A84FFEB">
      <w:pPr>
        <w:spacing w:line="440" w:lineRule="exact"/>
        <w:ind w:firstLine="480"/>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谈判小组根据符合采购需求、质量和服务，以综合评审有效报价（第二次谈判报价）最低者推荐为成交第一候选人，其次低价者第二候选人，以此类推。若成交候选人的报价相同时，谈判小组将分别依次序以：技术方案、商务响应的优劣的原则，确定成交候选人排序。</w:t>
      </w:r>
    </w:p>
    <w:p w14:paraId="3A1E250D">
      <w:pPr>
        <w:spacing w:line="440" w:lineRule="exact"/>
        <w:ind w:firstLine="440" w:firstLineChars="200"/>
        <w:outlineLvl w:val="2"/>
        <w:rPr>
          <w:rFonts w:hint="eastAsia" w:ascii="宋体" w:hAnsi="宋体" w:eastAsia="宋体" w:cs="宋体"/>
          <w:color w:val="auto"/>
          <w:kern w:val="1"/>
          <w:sz w:val="24"/>
          <w:highlight w:val="none"/>
        </w:rPr>
      </w:pPr>
      <w:bookmarkStart w:id="170" w:name="_Toc1014"/>
      <w:r>
        <w:rPr>
          <w:rFonts w:hint="eastAsia" w:ascii="宋体" w:hAnsi="宋体" w:eastAsia="宋体" w:cs="宋体"/>
          <w:color w:val="auto"/>
          <w:kern w:val="1"/>
          <w:sz w:val="22"/>
          <w:szCs w:val="22"/>
          <w:highlight w:val="none"/>
        </w:rPr>
        <w:t>29.3 谈判小组根据</w:t>
      </w:r>
      <w:r>
        <w:rPr>
          <w:rFonts w:hint="eastAsia" w:ascii="宋体" w:hAnsi="宋体" w:eastAsia="宋体" w:cs="宋体"/>
          <w:color w:val="auto"/>
          <w:sz w:val="22"/>
          <w:szCs w:val="22"/>
          <w:highlight w:val="none"/>
        </w:rPr>
        <w:t>原始谈判记录和谈判结果编写</w:t>
      </w:r>
      <w:r>
        <w:rPr>
          <w:rFonts w:hint="eastAsia" w:ascii="宋体" w:hAnsi="宋体" w:eastAsia="宋体" w:cs="宋体"/>
          <w:color w:val="auto"/>
          <w:kern w:val="1"/>
          <w:sz w:val="22"/>
          <w:szCs w:val="22"/>
          <w:highlight w:val="none"/>
        </w:rPr>
        <w:t>谈判</w:t>
      </w:r>
      <w:r>
        <w:rPr>
          <w:rFonts w:hint="eastAsia" w:ascii="宋体" w:hAnsi="宋体" w:eastAsia="宋体" w:cs="宋体"/>
          <w:color w:val="auto"/>
          <w:sz w:val="22"/>
          <w:szCs w:val="22"/>
          <w:highlight w:val="none"/>
        </w:rPr>
        <w:t>结果</w:t>
      </w:r>
      <w:r>
        <w:rPr>
          <w:rFonts w:hint="eastAsia" w:ascii="宋体" w:hAnsi="宋体" w:eastAsia="宋体" w:cs="宋体"/>
          <w:color w:val="auto"/>
          <w:kern w:val="1"/>
          <w:sz w:val="22"/>
          <w:szCs w:val="22"/>
          <w:highlight w:val="none"/>
        </w:rPr>
        <w:t>报告，报采购人。</w:t>
      </w:r>
      <w:bookmarkEnd w:id="170"/>
    </w:p>
    <w:p w14:paraId="4A41E2DD">
      <w:pPr>
        <w:spacing w:before="156" w:beforeLines="50" w:after="156" w:afterLines="50" w:line="440" w:lineRule="exact"/>
        <w:jc w:val="center"/>
        <w:outlineLvl w:val="0"/>
        <w:rPr>
          <w:rFonts w:hint="eastAsia" w:ascii="宋体" w:hAnsi="宋体" w:eastAsia="宋体" w:cs="宋体"/>
          <w:color w:val="auto"/>
          <w:sz w:val="24"/>
          <w:highlight w:val="none"/>
        </w:rPr>
      </w:pPr>
      <w:bookmarkStart w:id="171" w:name="_Toc955"/>
      <w:r>
        <w:rPr>
          <w:rFonts w:hint="eastAsia" w:ascii="宋体" w:hAnsi="宋体" w:eastAsia="宋体" w:cs="宋体"/>
          <w:b/>
          <w:color w:val="auto"/>
          <w:sz w:val="30"/>
          <w:szCs w:val="30"/>
          <w:highlight w:val="none"/>
        </w:rPr>
        <w:t>七、质疑与投诉</w:t>
      </w:r>
      <w:bookmarkEnd w:id="171"/>
    </w:p>
    <w:p w14:paraId="5FFFFAA3">
      <w:pPr>
        <w:spacing w:line="440" w:lineRule="exact"/>
        <w:ind w:firstLine="433" w:firstLineChars="196"/>
        <w:outlineLvl w:val="1"/>
        <w:rPr>
          <w:rFonts w:hint="eastAsia" w:ascii="宋体" w:hAnsi="宋体" w:eastAsia="宋体" w:cs="宋体"/>
          <w:b/>
          <w:color w:val="auto"/>
          <w:sz w:val="22"/>
          <w:szCs w:val="22"/>
          <w:highlight w:val="none"/>
        </w:rPr>
      </w:pPr>
      <w:bookmarkStart w:id="172" w:name="_Toc25721"/>
      <w:r>
        <w:rPr>
          <w:rFonts w:hint="eastAsia" w:ascii="宋体" w:hAnsi="宋体" w:eastAsia="宋体" w:cs="宋体"/>
          <w:b/>
          <w:color w:val="auto"/>
          <w:sz w:val="22"/>
          <w:szCs w:val="22"/>
          <w:highlight w:val="none"/>
        </w:rPr>
        <w:t>30、质疑及投诉</w:t>
      </w:r>
      <w:bookmarkEnd w:id="172"/>
    </w:p>
    <w:p w14:paraId="28916764">
      <w:pPr>
        <w:spacing w:line="440" w:lineRule="exact"/>
        <w:ind w:firstLine="433" w:firstLineChars="196"/>
        <w:outlineLvl w:val="2"/>
        <w:rPr>
          <w:rFonts w:hint="eastAsia" w:ascii="宋体" w:hAnsi="宋体" w:eastAsia="宋体" w:cs="宋体"/>
          <w:b/>
          <w:color w:val="auto"/>
          <w:sz w:val="22"/>
          <w:szCs w:val="22"/>
          <w:highlight w:val="none"/>
        </w:rPr>
      </w:pPr>
      <w:bookmarkStart w:id="173" w:name="_Toc3656"/>
      <w:r>
        <w:rPr>
          <w:rFonts w:hint="eastAsia" w:ascii="宋体" w:hAnsi="宋体" w:eastAsia="宋体" w:cs="宋体"/>
          <w:b/>
          <w:color w:val="auto"/>
          <w:sz w:val="22"/>
          <w:szCs w:val="22"/>
          <w:highlight w:val="none"/>
        </w:rPr>
        <w:t>30.1 质疑</w:t>
      </w:r>
      <w:bookmarkEnd w:id="173"/>
    </w:p>
    <w:p w14:paraId="65F6C42C">
      <w:pPr>
        <w:spacing w:line="440" w:lineRule="exact"/>
        <w:ind w:firstLine="431" w:firstLineChars="196"/>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1）投标人认为采购文件、采购过程、中标或者成交结果使自己的权益受到损害的，可以在知道或者应知其权益受到损害之日起7个工作日内，以书面形式向采购人、采购代理机构提出质疑。针对同一采购程序环节的质疑应在法定质疑期内一次性提出。属于采购程序问题的，向采购代理机构提出质疑；属于采购需求的（包括资质要求、技术指标、参数、评分办法等），应向采购人提出质疑；</w:t>
      </w:r>
    </w:p>
    <w:p w14:paraId="5B763D9A">
      <w:pPr>
        <w:spacing w:line="440" w:lineRule="exact"/>
        <w:ind w:firstLine="431" w:firstLineChars="196"/>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（2）提出质疑的投标人应当是参与本项目采购活动的投标人。</w:t>
      </w:r>
    </w:p>
    <w:p w14:paraId="5954241F">
      <w:pPr>
        <w:spacing w:line="440" w:lineRule="exact"/>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（3）潜在投标人已依法获取其可质疑的采购文件的，可以对该文件提出质疑。对采购文件提出质疑的，应当在获取采购文件（以投标人填写报名登记表的时间为准）起7个工作日内一次性提出。</w:t>
      </w:r>
    </w:p>
    <w:p w14:paraId="563F20D8">
      <w:pPr>
        <w:spacing w:line="440" w:lineRule="exact"/>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（4）投标人提出质疑应当提交质疑函和必要的证明材料，质疑函应包括下列内容：</w:t>
      </w:r>
    </w:p>
    <w:p w14:paraId="0A91B6C1">
      <w:pPr>
        <w:spacing w:line="440" w:lineRule="exact"/>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 投标人的姓名或者名称、地址、邮编、联系人及联系电话；</w:t>
      </w:r>
    </w:p>
    <w:p w14:paraId="4E10E4A1">
      <w:pPr>
        <w:spacing w:line="440" w:lineRule="exact"/>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 质疑项目的名称、编号；</w:t>
      </w:r>
    </w:p>
    <w:p w14:paraId="6BFEB07A">
      <w:pPr>
        <w:spacing w:line="440" w:lineRule="exact"/>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 具体、明确的质疑事项和与质疑事项相关的请求；</w:t>
      </w:r>
    </w:p>
    <w:p w14:paraId="160FC38C">
      <w:pPr>
        <w:spacing w:line="440" w:lineRule="exact"/>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④ 事实依据；</w:t>
      </w:r>
    </w:p>
    <w:p w14:paraId="777026D0">
      <w:pPr>
        <w:spacing w:line="440" w:lineRule="exact"/>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⑤ 必要的法律依据；</w:t>
      </w:r>
    </w:p>
    <w:p w14:paraId="28D8BE93">
      <w:pPr>
        <w:spacing w:line="440" w:lineRule="exact"/>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⑥ 提出质疑的日期。</w:t>
      </w:r>
    </w:p>
    <w:p w14:paraId="32CC81C8">
      <w:pPr>
        <w:spacing w:line="440" w:lineRule="exact"/>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（5）投标人为自然人的，应当由本人签字；投标人为法人或者其他组织的，应当由法定代表人、主要负责人，或者其授权代表签字或者盖章并加盖公章。</w:t>
      </w:r>
    </w:p>
    <w:p w14:paraId="744485A9">
      <w:pPr>
        <w:spacing w:line="440" w:lineRule="exact"/>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32FB9B3">
      <w:pPr>
        <w:spacing w:line="440" w:lineRule="exact"/>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（7）采购人负责投标人质疑答复。采购人委托采购代理机构采购的，采购代理机构在委托授权范围内作出答复。</w:t>
      </w:r>
    </w:p>
    <w:p w14:paraId="1F5D2982">
      <w:pPr>
        <w:spacing w:line="440" w:lineRule="exact"/>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（8）接收质疑函的方式和联系方式：</w:t>
      </w:r>
    </w:p>
    <w:p w14:paraId="40A9E9FF">
      <w:pPr>
        <w:spacing w:line="440" w:lineRule="exact"/>
        <w:ind w:firstLine="721" w:firstLineChars="32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 接收质疑函的方式：书面递交质疑函纸质版（当面递交）或PDF格式扫描件（发至电子邮箱）</w:t>
      </w:r>
    </w:p>
    <w:p w14:paraId="1DC40A38">
      <w:pPr>
        <w:spacing w:line="360" w:lineRule="auto"/>
        <w:ind w:firstLine="721" w:firstLineChars="32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 联系方式</w:t>
      </w:r>
    </w:p>
    <w:p w14:paraId="185BBB29">
      <w:pPr>
        <w:spacing w:line="36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采购人名称：</w:t>
      </w:r>
      <w:r>
        <w:rPr>
          <w:rFonts w:hint="eastAsia" w:ascii="宋体" w:hAnsi="宋体" w:cs="宋体"/>
          <w:color w:val="auto"/>
          <w:sz w:val="22"/>
          <w:szCs w:val="22"/>
          <w:highlight w:val="none"/>
          <w:lang w:eastAsia="zh-CN"/>
        </w:rPr>
        <w:t>榆佳经济技术开发区管理委员会</w:t>
      </w:r>
      <w:r>
        <w:rPr>
          <w:rFonts w:hint="eastAsia" w:ascii="宋体" w:hAnsi="宋体" w:eastAsia="宋体" w:cs="宋体"/>
          <w:color w:val="auto"/>
          <w:sz w:val="22"/>
          <w:szCs w:val="22"/>
          <w:highlight w:val="none"/>
        </w:rPr>
        <w:t xml:space="preserve"> </w:t>
      </w:r>
    </w:p>
    <w:p w14:paraId="295A9932">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2"/>
          <w:szCs w:val="22"/>
          <w:highlight w:val="none"/>
          <w:lang w:eastAsia="zh-CN"/>
        </w:rPr>
      </w:pPr>
      <w:r>
        <w:rPr>
          <w:rFonts w:hint="eastAsia" w:ascii="宋体" w:hAnsi="宋体" w:eastAsia="宋体" w:cs="宋体"/>
          <w:i w:val="0"/>
          <w:caps w:val="0"/>
          <w:color w:val="auto"/>
          <w:spacing w:val="0"/>
          <w:sz w:val="22"/>
          <w:szCs w:val="22"/>
          <w:highlight w:val="none"/>
          <w:shd w:val="clear" w:fill="FFFFFF"/>
        </w:rPr>
        <w:t>地址：</w:t>
      </w:r>
      <w:r>
        <w:rPr>
          <w:rFonts w:hint="eastAsia" w:cs="宋体"/>
          <w:i w:val="0"/>
          <w:caps w:val="0"/>
          <w:color w:val="auto"/>
          <w:spacing w:val="0"/>
          <w:sz w:val="22"/>
          <w:szCs w:val="22"/>
          <w:highlight w:val="none"/>
          <w:shd w:val="clear" w:fill="FFFFFF"/>
          <w:lang w:eastAsia="zh-CN"/>
        </w:rPr>
        <w:t>佳县榆佳工业园区</w:t>
      </w:r>
    </w:p>
    <w:p w14:paraId="6997CF36">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2"/>
          <w:szCs w:val="22"/>
          <w:highlight w:val="none"/>
          <w:lang w:eastAsia="zh-CN"/>
        </w:rPr>
      </w:pPr>
      <w:r>
        <w:rPr>
          <w:rFonts w:hint="eastAsia" w:ascii="宋体" w:hAnsi="宋体" w:eastAsia="宋体" w:cs="宋体"/>
          <w:i w:val="0"/>
          <w:caps w:val="0"/>
          <w:color w:val="auto"/>
          <w:spacing w:val="0"/>
          <w:sz w:val="22"/>
          <w:szCs w:val="22"/>
          <w:highlight w:val="none"/>
          <w:shd w:val="clear" w:fill="FFFFFF"/>
        </w:rPr>
        <w:t>联系方式：</w:t>
      </w:r>
      <w:r>
        <w:rPr>
          <w:rFonts w:hint="eastAsia" w:cs="宋体"/>
          <w:i w:val="0"/>
          <w:caps w:val="0"/>
          <w:color w:val="auto"/>
          <w:spacing w:val="0"/>
          <w:sz w:val="22"/>
          <w:szCs w:val="22"/>
          <w:highlight w:val="none"/>
          <w:shd w:val="clear" w:fill="FFFFFF"/>
          <w:lang w:eastAsia="zh-CN"/>
        </w:rPr>
        <w:t>0912-2362716</w:t>
      </w:r>
    </w:p>
    <w:p w14:paraId="05665546">
      <w:pPr>
        <w:spacing w:line="440" w:lineRule="exact"/>
        <w:ind w:firstLine="480"/>
        <w:rPr>
          <w:rFonts w:hint="eastAsia" w:ascii="宋体" w:hAnsi="宋体" w:cs="宋体"/>
          <w:color w:val="auto"/>
          <w:sz w:val="22"/>
          <w:szCs w:val="22"/>
          <w:highlight w:val="none"/>
          <w:lang w:eastAsia="zh-CN"/>
        </w:rPr>
      </w:pPr>
      <w:r>
        <w:rPr>
          <w:rFonts w:hint="eastAsia" w:ascii="宋体" w:hAnsi="宋体" w:eastAsia="宋体" w:cs="宋体"/>
          <w:color w:val="auto"/>
          <w:sz w:val="22"/>
          <w:szCs w:val="22"/>
          <w:highlight w:val="none"/>
        </w:rPr>
        <w:t>采购代理机构：</w:t>
      </w:r>
      <w:r>
        <w:rPr>
          <w:rFonts w:hint="eastAsia" w:ascii="宋体" w:hAnsi="宋体" w:cs="宋体"/>
          <w:color w:val="auto"/>
          <w:sz w:val="22"/>
          <w:szCs w:val="22"/>
          <w:highlight w:val="none"/>
          <w:lang w:eastAsia="zh-CN"/>
        </w:rPr>
        <w:t>陕西秦丰源项目管理有限公司</w:t>
      </w:r>
    </w:p>
    <w:p w14:paraId="0CF913C6">
      <w:pPr>
        <w:spacing w:line="440" w:lineRule="exact"/>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    址：</w:t>
      </w:r>
      <w:r>
        <w:rPr>
          <w:rFonts w:hint="eastAsia" w:ascii="宋体" w:hAnsi="宋体" w:cs="宋体"/>
          <w:color w:val="auto"/>
          <w:sz w:val="22"/>
          <w:szCs w:val="22"/>
          <w:highlight w:val="none"/>
          <w:lang w:eastAsia="zh-CN"/>
        </w:rPr>
        <w:t>西安市高新区丈八一路1号汇鑫IBC(C座)第13层1308室</w:t>
      </w:r>
      <w:r>
        <w:rPr>
          <w:rFonts w:hint="eastAsia" w:ascii="宋体" w:hAnsi="宋体" w:eastAsia="宋体" w:cs="宋体"/>
          <w:color w:val="auto"/>
          <w:sz w:val="22"/>
          <w:szCs w:val="22"/>
          <w:highlight w:val="none"/>
        </w:rPr>
        <w:t>；</w:t>
      </w:r>
    </w:p>
    <w:p w14:paraId="7E8A732C">
      <w:pPr>
        <w:spacing w:line="440" w:lineRule="exact"/>
        <w:ind w:firstLine="48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联 系 人：</w:t>
      </w:r>
      <w:r>
        <w:rPr>
          <w:rFonts w:hint="eastAsia" w:ascii="宋体" w:hAnsi="宋体" w:cs="宋体"/>
          <w:color w:val="auto"/>
          <w:sz w:val="22"/>
          <w:szCs w:val="22"/>
          <w:highlight w:val="none"/>
          <w:lang w:val="en-US" w:eastAsia="zh-CN"/>
        </w:rPr>
        <w:t>刘银</w:t>
      </w:r>
    </w:p>
    <w:p w14:paraId="31FEAD3B">
      <w:pPr>
        <w:spacing w:line="440" w:lineRule="exact"/>
        <w:ind w:firstLine="48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联系方式：</w:t>
      </w:r>
      <w:r>
        <w:rPr>
          <w:rFonts w:hint="eastAsia" w:ascii="宋体" w:hAnsi="宋体" w:cs="宋体"/>
          <w:color w:val="auto"/>
          <w:sz w:val="22"/>
          <w:szCs w:val="22"/>
          <w:highlight w:val="none"/>
          <w:lang w:val="en-US" w:eastAsia="zh-CN"/>
        </w:rPr>
        <w:t>17795967122</w:t>
      </w:r>
    </w:p>
    <w:p w14:paraId="3CBB5D0A">
      <w:pPr>
        <w:shd w:val="clear"/>
        <w:spacing w:line="440" w:lineRule="exact"/>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邮    箱：</w:t>
      </w:r>
      <w:r>
        <w:rPr>
          <w:rFonts w:hint="eastAsia" w:ascii="宋体" w:hAnsi="宋体" w:cs="宋体"/>
          <w:color w:val="auto"/>
          <w:sz w:val="22"/>
          <w:szCs w:val="22"/>
          <w:highlight w:val="none"/>
          <w:lang w:val="en-US" w:eastAsia="zh-CN"/>
        </w:rPr>
        <w:t>qfyyulin@163.com</w:t>
      </w:r>
    </w:p>
    <w:p w14:paraId="3400C347">
      <w:pPr>
        <w:spacing w:line="440" w:lineRule="exact"/>
        <w:ind w:firstLine="480" w:firstLineChars="0"/>
        <w:outlineLvl w:val="2"/>
        <w:rPr>
          <w:rFonts w:hint="eastAsia" w:ascii="宋体" w:hAnsi="宋体" w:eastAsia="宋体" w:cs="宋体"/>
          <w:color w:val="auto"/>
          <w:sz w:val="22"/>
          <w:szCs w:val="22"/>
          <w:highlight w:val="none"/>
        </w:rPr>
      </w:pPr>
      <w:bookmarkStart w:id="174" w:name="_Toc10292"/>
      <w:r>
        <w:rPr>
          <w:rFonts w:hint="eastAsia" w:ascii="宋体" w:hAnsi="宋体" w:eastAsia="宋体" w:cs="宋体"/>
          <w:color w:val="auto"/>
          <w:sz w:val="22"/>
          <w:szCs w:val="22"/>
          <w:highlight w:val="none"/>
        </w:rPr>
        <w:t>30.2 投诉</w:t>
      </w:r>
      <w:bookmarkEnd w:id="174"/>
    </w:p>
    <w:p w14:paraId="62CD1FB8">
      <w:pPr>
        <w:spacing w:line="440" w:lineRule="exact"/>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（1）质疑投标人对采购人、采购代理机构的答复不满意，或者采购人、采购代理机构未在规定时间内作出答复的，可以在答复期满后15个工作日内向同级财政部门提起投诉。</w:t>
      </w:r>
    </w:p>
    <w:p w14:paraId="3843BE1C">
      <w:pPr>
        <w:spacing w:line="440" w:lineRule="exact"/>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（2）投诉人投诉时,应当提交投诉书和必要的证明材料，并按照被投诉采购人、采购代理机构（以下简称被投诉人）和与投诉事项有关的投标人数量提供投诉书的副本。投诉书应当包括下列内容：</w:t>
      </w:r>
    </w:p>
    <w:p w14:paraId="0FBE96CF">
      <w:pPr>
        <w:spacing w:line="440" w:lineRule="exact"/>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 投诉人和被投诉人的姓名或者名称、通讯地址、邮编、联系人及联系电话；</w:t>
      </w:r>
    </w:p>
    <w:p w14:paraId="13C7B348">
      <w:pPr>
        <w:spacing w:line="440" w:lineRule="exact"/>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 质疑和质疑答复情况说明及相关证明材料；</w:t>
      </w:r>
    </w:p>
    <w:p w14:paraId="0C71B8B2">
      <w:pPr>
        <w:spacing w:line="440" w:lineRule="exact"/>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 具体、明确的投诉事项和与投诉事项相关的投诉请求；</w:t>
      </w:r>
    </w:p>
    <w:p w14:paraId="210BA28E">
      <w:pPr>
        <w:spacing w:line="440" w:lineRule="exact"/>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④ 事实依据；</w:t>
      </w:r>
    </w:p>
    <w:p w14:paraId="288A2C06">
      <w:pPr>
        <w:spacing w:line="440" w:lineRule="exact"/>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⑤ 法律依据；</w:t>
      </w:r>
    </w:p>
    <w:p w14:paraId="1010CBDD">
      <w:pPr>
        <w:spacing w:line="440" w:lineRule="exact"/>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⑥ 提起投诉的日期。</w:t>
      </w:r>
    </w:p>
    <w:p w14:paraId="090CE2DC">
      <w:pPr>
        <w:spacing w:line="440" w:lineRule="exact"/>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（3）投诉人为自然人的，应当由本人签字；投诉人为法人或者其他组织的，应当由法定代表人、主要负责人，或者其授权代表签字或者盖章，并加盖公章。</w:t>
      </w:r>
    </w:p>
    <w:p w14:paraId="6C7555C3">
      <w:pPr>
        <w:spacing w:line="440" w:lineRule="exact"/>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（4）投诉人提起投诉应当符合下列条件：</w:t>
      </w:r>
    </w:p>
    <w:p w14:paraId="2336A8E9">
      <w:pPr>
        <w:spacing w:line="440" w:lineRule="exact"/>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 提起投诉前已依法进行质疑；</w:t>
      </w:r>
    </w:p>
    <w:p w14:paraId="6B345E1E">
      <w:pPr>
        <w:spacing w:line="440" w:lineRule="exact"/>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 投诉书内容符合《政府采购质疑和投诉办法》（财政部令第94号令）的规定；</w:t>
      </w:r>
    </w:p>
    <w:p w14:paraId="7D59C4DA">
      <w:pPr>
        <w:spacing w:line="440" w:lineRule="exact"/>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 在投诉有效期限内提起投诉；</w:t>
      </w:r>
    </w:p>
    <w:p w14:paraId="3C5D57E6">
      <w:pPr>
        <w:spacing w:line="440" w:lineRule="exact"/>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④ 同一投诉事项未经财政部门投诉处理；</w:t>
      </w:r>
    </w:p>
    <w:p w14:paraId="1E32B664">
      <w:pPr>
        <w:spacing w:line="440" w:lineRule="exact"/>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⑤ 财政部规定的其他条件。</w:t>
      </w:r>
    </w:p>
    <w:p w14:paraId="050D191D">
      <w:pPr>
        <w:spacing w:line="440" w:lineRule="exact"/>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（5）投标人投诉的事项不得超出已质疑事项的范围，但基于质疑答复内容提出的投诉事项除外。</w:t>
      </w:r>
    </w:p>
    <w:p w14:paraId="7EDE5FB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33" w:firstLineChars="196"/>
        <w:textAlignment w:val="auto"/>
        <w:outlineLvl w:val="1"/>
        <w:rPr>
          <w:rFonts w:hint="eastAsia" w:eastAsia="宋体"/>
          <w:color w:val="auto"/>
          <w:sz w:val="22"/>
          <w:szCs w:val="22"/>
          <w:highlight w:val="none"/>
          <w:lang w:eastAsia="zh-CN"/>
        </w:rPr>
      </w:pPr>
      <w:bookmarkStart w:id="175" w:name="_Toc25114"/>
      <w:r>
        <w:rPr>
          <w:rFonts w:hint="eastAsia" w:ascii="宋体" w:hAnsi="宋体" w:eastAsia="宋体" w:cs="宋体"/>
          <w:b/>
          <w:color w:val="auto"/>
          <w:sz w:val="22"/>
          <w:szCs w:val="22"/>
          <w:highlight w:val="none"/>
        </w:rPr>
        <w:t>3</w:t>
      </w:r>
      <w:r>
        <w:rPr>
          <w:rFonts w:hint="eastAsia" w:ascii="宋体" w:hAnsi="宋体" w:eastAsia="宋体" w:cs="宋体"/>
          <w:b/>
          <w:color w:val="auto"/>
          <w:sz w:val="22"/>
          <w:szCs w:val="22"/>
          <w:highlight w:val="none"/>
          <w:lang w:val="en-US" w:eastAsia="zh-CN"/>
        </w:rPr>
        <w:t>1</w:t>
      </w:r>
      <w:r>
        <w:rPr>
          <w:rFonts w:hint="eastAsia" w:ascii="宋体" w:hAnsi="宋体" w:eastAsia="宋体" w:cs="宋体"/>
          <w:b/>
          <w:color w:val="auto"/>
          <w:sz w:val="22"/>
          <w:szCs w:val="22"/>
          <w:highlight w:val="none"/>
        </w:rPr>
        <w:t>、</w:t>
      </w:r>
      <w:r>
        <w:rPr>
          <w:rFonts w:hint="eastAsia" w:ascii="宋体" w:hAnsi="宋体" w:eastAsia="宋体" w:cs="宋体"/>
          <w:b/>
          <w:color w:val="auto"/>
          <w:sz w:val="22"/>
          <w:szCs w:val="22"/>
          <w:highlight w:val="none"/>
          <w:lang w:val="en-US" w:eastAsia="zh-CN"/>
        </w:rPr>
        <w:t>其他</w:t>
      </w:r>
      <w:bookmarkEnd w:id="175"/>
    </w:p>
    <w:p w14:paraId="3A418CD0">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firstLine="442" w:firstLineChars="200"/>
        <w:textAlignment w:val="auto"/>
        <w:outlineLvl w:val="2"/>
        <w:rPr>
          <w:rFonts w:hint="eastAsia" w:ascii="宋体" w:hAnsi="宋体" w:eastAsia="宋体" w:cs="宋体"/>
          <w:b/>
          <w:bCs/>
          <w:color w:val="auto"/>
          <w:sz w:val="22"/>
          <w:szCs w:val="22"/>
          <w:highlight w:val="none"/>
          <w:lang w:val="en-US" w:eastAsia="zh-CN"/>
        </w:rPr>
      </w:pPr>
      <w:bookmarkStart w:id="176" w:name="_Toc29788"/>
      <w:r>
        <w:rPr>
          <w:rFonts w:hint="eastAsia" w:ascii="宋体" w:hAnsi="宋体" w:eastAsia="宋体" w:cs="宋体"/>
          <w:b/>
          <w:bCs/>
          <w:color w:val="auto"/>
          <w:sz w:val="22"/>
          <w:szCs w:val="22"/>
          <w:highlight w:val="none"/>
          <w:lang w:val="en-US" w:eastAsia="zh-CN"/>
        </w:rPr>
        <w:t>31.1、对捏造事实、提供虚假材料进行质疑、投诉的行为予以严肃处理。</w:t>
      </w:r>
      <w:bookmarkEnd w:id="176"/>
    </w:p>
    <w:p w14:paraId="1D80A874">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①《中华人民共和国政府采购法》《中华人民共和国政府采购法实施条例》《中华人民共和国招标投标法》《中华人民共和国招标投标法实施条例》《政府采购质疑和投诉办法》等法律法规的规定，投标人质疑、投诉应当有明确的请求和必要的证明材料。</w:t>
      </w:r>
    </w:p>
    <w:p w14:paraId="26FC2B88">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②投诉人在全国范围内十二个月内三次以上投诉查无实据的，由财政部门列入不 良行为记录名单。</w:t>
      </w:r>
    </w:p>
    <w:p w14:paraId="31E36790">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③捏造事实、提供虚假材料或者以非法手段取得证明材料的投诉将被驳回，并将提出投诉的投标人列入不良行为记录名单，禁止其一至三年内参加政府采购活动。</w:t>
      </w:r>
    </w:p>
    <w:p w14:paraId="69151F4A">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firstLine="442" w:firstLineChars="200"/>
        <w:textAlignment w:val="auto"/>
        <w:outlineLvl w:val="2"/>
        <w:rPr>
          <w:rFonts w:hint="eastAsia" w:ascii="宋体" w:hAnsi="宋体" w:eastAsia="宋体" w:cs="宋体"/>
          <w:b/>
          <w:bCs/>
          <w:color w:val="auto"/>
          <w:sz w:val="22"/>
          <w:szCs w:val="22"/>
          <w:highlight w:val="none"/>
          <w:lang w:val="en-US" w:eastAsia="zh-CN"/>
        </w:rPr>
      </w:pPr>
      <w:bookmarkStart w:id="177" w:name="_Toc14568"/>
      <w:r>
        <w:rPr>
          <w:rFonts w:hint="eastAsia" w:ascii="宋体" w:hAnsi="宋体" w:eastAsia="宋体" w:cs="宋体"/>
          <w:b/>
          <w:bCs/>
          <w:color w:val="auto"/>
          <w:sz w:val="22"/>
          <w:szCs w:val="22"/>
          <w:highlight w:val="none"/>
          <w:lang w:val="en-US" w:eastAsia="zh-CN"/>
        </w:rPr>
        <w:t>31.2、依法严惩捏造事实诬告陷害、诽谤他人的行为。</w:t>
      </w:r>
      <w:bookmarkEnd w:id="177"/>
    </w:p>
    <w:p w14:paraId="3AB68F90">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①《中华人民共和国刑法》第 243 条【诬告陷害罪】捏造事实诬告陷害他人，意图使他人受刑事追究，情节严重的，处三年以下有期徒刑、拘役或者管制；造成严重</w:t>
      </w:r>
    </w:p>
    <w:p w14:paraId="5FEE6CAC">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后果的，处三年以上十年以下有期徒刑。</w:t>
      </w:r>
    </w:p>
    <w:p w14:paraId="7CE8EAA5">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firstLine="440" w:firstLineChars="20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②《中华人民共和国刑法》第 246 条【侮辱罪、诽谤罪】以暴力或者其他方法公然侮辱他人或者捏造事实诽谤他人，情节严重的，处三年以下有期徒刑、拘役、管制或者剥夺政治权利。</w:t>
      </w:r>
    </w:p>
    <w:p w14:paraId="440F4AA8">
      <w:pPr>
        <w:rPr>
          <w:rFonts w:hint="eastAsia" w:ascii="宋体" w:hAnsi="宋体" w:eastAsia="宋体" w:cs="宋体"/>
          <w:color w:val="auto"/>
          <w:sz w:val="22"/>
          <w:szCs w:val="22"/>
          <w:highlight w:val="none"/>
          <w:lang w:val="en-US" w:eastAsia="zh-CN"/>
        </w:rPr>
      </w:pPr>
    </w:p>
    <w:p w14:paraId="7DBC5344">
      <w:pPr>
        <w:rPr>
          <w:rFonts w:hint="eastAsia" w:ascii="宋体" w:hAnsi="宋体" w:eastAsia="宋体" w:cs="宋体"/>
          <w:color w:val="auto"/>
          <w:sz w:val="22"/>
          <w:szCs w:val="22"/>
          <w:highlight w:val="none"/>
          <w:lang w:val="en-US" w:eastAsia="zh-CN"/>
        </w:rPr>
      </w:pPr>
    </w:p>
    <w:p w14:paraId="1E68AA77">
      <w:pPr>
        <w:rPr>
          <w:rFonts w:hint="eastAsia" w:ascii="宋体" w:hAnsi="宋体" w:eastAsia="宋体" w:cs="宋体"/>
          <w:color w:val="auto"/>
          <w:sz w:val="22"/>
          <w:szCs w:val="22"/>
          <w:highlight w:val="none"/>
          <w:lang w:val="en-US" w:eastAsia="zh-CN"/>
        </w:rPr>
      </w:pPr>
    </w:p>
    <w:p w14:paraId="314B59CA">
      <w:pPr>
        <w:rPr>
          <w:rFonts w:hint="eastAsia" w:ascii="宋体" w:hAnsi="宋体" w:eastAsia="宋体" w:cs="宋体"/>
          <w:color w:val="auto"/>
          <w:sz w:val="22"/>
          <w:szCs w:val="22"/>
          <w:highlight w:val="none"/>
          <w:lang w:val="en-US" w:eastAsia="zh-CN"/>
        </w:rPr>
      </w:pPr>
    </w:p>
    <w:p w14:paraId="65B62961">
      <w:pPr>
        <w:rPr>
          <w:rFonts w:hint="eastAsia" w:ascii="宋体" w:hAnsi="宋体" w:eastAsia="宋体" w:cs="宋体"/>
          <w:color w:val="auto"/>
          <w:sz w:val="22"/>
          <w:szCs w:val="22"/>
          <w:highlight w:val="none"/>
          <w:lang w:val="en-US" w:eastAsia="zh-CN"/>
        </w:rPr>
      </w:pPr>
    </w:p>
    <w:p w14:paraId="5AA95647">
      <w:pPr>
        <w:rPr>
          <w:rFonts w:hint="eastAsia" w:ascii="宋体" w:hAnsi="宋体" w:eastAsia="宋体" w:cs="宋体"/>
          <w:color w:val="auto"/>
          <w:sz w:val="22"/>
          <w:szCs w:val="22"/>
          <w:highlight w:val="none"/>
          <w:lang w:val="en-US" w:eastAsia="zh-CN"/>
        </w:rPr>
      </w:pPr>
    </w:p>
    <w:p w14:paraId="4DDE804C">
      <w:pPr>
        <w:rPr>
          <w:rFonts w:hint="eastAsia" w:ascii="宋体" w:hAnsi="宋体" w:eastAsia="宋体" w:cs="宋体"/>
          <w:color w:val="auto"/>
          <w:sz w:val="22"/>
          <w:szCs w:val="22"/>
          <w:highlight w:val="none"/>
          <w:lang w:val="en-US" w:eastAsia="zh-CN"/>
        </w:rPr>
      </w:pPr>
    </w:p>
    <w:p w14:paraId="0D6AA79D">
      <w:pPr>
        <w:rPr>
          <w:rFonts w:hint="eastAsia" w:ascii="宋体" w:hAnsi="宋体" w:eastAsia="宋体" w:cs="宋体"/>
          <w:color w:val="auto"/>
          <w:sz w:val="22"/>
          <w:szCs w:val="22"/>
          <w:highlight w:val="none"/>
          <w:lang w:val="en-US" w:eastAsia="zh-CN"/>
        </w:rPr>
      </w:pPr>
    </w:p>
    <w:p w14:paraId="540723FB">
      <w:pPr>
        <w:rPr>
          <w:rFonts w:hint="eastAsia" w:ascii="宋体" w:hAnsi="宋体" w:eastAsia="宋体" w:cs="宋体"/>
          <w:color w:val="auto"/>
          <w:sz w:val="22"/>
          <w:szCs w:val="22"/>
          <w:highlight w:val="none"/>
          <w:lang w:val="en-US" w:eastAsia="zh-CN"/>
        </w:rPr>
      </w:pPr>
    </w:p>
    <w:p w14:paraId="217DDF98">
      <w:pPr>
        <w:rPr>
          <w:rFonts w:hint="eastAsia" w:ascii="宋体" w:hAnsi="宋体" w:eastAsia="宋体" w:cs="宋体"/>
          <w:color w:val="auto"/>
          <w:sz w:val="22"/>
          <w:szCs w:val="22"/>
          <w:highlight w:val="none"/>
          <w:lang w:val="en-US" w:eastAsia="zh-CN"/>
        </w:rPr>
      </w:pPr>
    </w:p>
    <w:p w14:paraId="6F251AE5">
      <w:pPr>
        <w:rPr>
          <w:rFonts w:hint="eastAsia" w:ascii="宋体" w:hAnsi="宋体" w:eastAsia="宋体" w:cs="宋体"/>
          <w:color w:val="auto"/>
          <w:sz w:val="22"/>
          <w:szCs w:val="22"/>
          <w:highlight w:val="none"/>
          <w:lang w:val="en-US" w:eastAsia="zh-CN"/>
        </w:rPr>
      </w:pPr>
    </w:p>
    <w:p w14:paraId="637DDF49">
      <w:pPr>
        <w:rPr>
          <w:rFonts w:hint="eastAsia" w:ascii="宋体" w:hAnsi="宋体" w:eastAsia="宋体" w:cs="宋体"/>
          <w:color w:val="auto"/>
          <w:sz w:val="22"/>
          <w:szCs w:val="22"/>
          <w:highlight w:val="none"/>
          <w:lang w:val="en-US" w:eastAsia="zh-CN"/>
        </w:rPr>
      </w:pPr>
    </w:p>
    <w:p w14:paraId="72E13093">
      <w:pPr>
        <w:rPr>
          <w:rFonts w:hint="eastAsia" w:ascii="宋体" w:hAnsi="宋体" w:eastAsia="宋体" w:cs="宋体"/>
          <w:color w:val="auto"/>
          <w:sz w:val="22"/>
          <w:szCs w:val="22"/>
          <w:highlight w:val="none"/>
          <w:lang w:val="en-US" w:eastAsia="zh-CN"/>
        </w:rPr>
      </w:pPr>
    </w:p>
    <w:p w14:paraId="5F84E543">
      <w:pPr>
        <w:rPr>
          <w:rFonts w:hint="eastAsia" w:ascii="宋体" w:hAnsi="宋体" w:eastAsia="宋体" w:cs="宋体"/>
          <w:color w:val="auto"/>
          <w:sz w:val="22"/>
          <w:szCs w:val="22"/>
          <w:highlight w:val="none"/>
          <w:lang w:val="en-US" w:eastAsia="zh-CN"/>
        </w:rPr>
      </w:pPr>
    </w:p>
    <w:p w14:paraId="58C824B4">
      <w:pPr>
        <w:rPr>
          <w:rFonts w:hint="eastAsia" w:ascii="宋体" w:hAnsi="宋体" w:eastAsia="宋体" w:cs="宋体"/>
          <w:color w:val="auto"/>
          <w:sz w:val="22"/>
          <w:szCs w:val="22"/>
          <w:highlight w:val="none"/>
          <w:lang w:val="en-US" w:eastAsia="zh-CN"/>
        </w:rPr>
      </w:pPr>
    </w:p>
    <w:bookmarkEnd w:id="22"/>
    <w:bookmarkEnd w:id="23"/>
    <w:p w14:paraId="22F91AE3">
      <w:pPr>
        <w:numPr>
          <w:ilvl w:val="0"/>
          <w:numId w:val="5"/>
        </w:numPr>
        <w:jc w:val="center"/>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32"/>
          <w:szCs w:val="32"/>
          <w:highlight w:val="none"/>
        </w:rPr>
        <w:t xml:space="preserve"> </w:t>
      </w:r>
      <w:bookmarkStart w:id="178" w:name="_Toc1984"/>
      <w:r>
        <w:rPr>
          <w:rFonts w:hint="eastAsia" w:ascii="宋体" w:hAnsi="宋体" w:eastAsia="宋体" w:cs="宋体"/>
          <w:b/>
          <w:bCs/>
          <w:color w:val="auto"/>
          <w:kern w:val="2"/>
          <w:sz w:val="32"/>
          <w:szCs w:val="32"/>
          <w:highlight w:val="none"/>
        </w:rPr>
        <w:t>采购内容及</w:t>
      </w:r>
      <w:r>
        <w:rPr>
          <w:rFonts w:hint="eastAsia" w:ascii="宋体" w:hAnsi="宋体" w:eastAsia="宋体" w:cs="宋体"/>
          <w:b/>
          <w:bCs/>
          <w:color w:val="auto"/>
          <w:kern w:val="2"/>
          <w:sz w:val="32"/>
          <w:szCs w:val="32"/>
          <w:highlight w:val="none"/>
          <w:lang w:eastAsia="zh-CN"/>
        </w:rPr>
        <w:t>技术</w:t>
      </w:r>
      <w:r>
        <w:rPr>
          <w:rFonts w:hint="eastAsia" w:ascii="宋体" w:hAnsi="宋体" w:eastAsia="宋体" w:cs="宋体"/>
          <w:b/>
          <w:bCs/>
          <w:color w:val="auto"/>
          <w:kern w:val="2"/>
          <w:sz w:val="32"/>
          <w:szCs w:val="32"/>
          <w:highlight w:val="none"/>
        </w:rPr>
        <w:t>要求</w:t>
      </w:r>
      <w:bookmarkEnd w:id="178"/>
    </w:p>
    <w:p w14:paraId="394BB7D2">
      <w:pPr>
        <w:pStyle w:val="3"/>
        <w:keepNext/>
        <w:keepLines/>
        <w:pageBreakBefore w:val="0"/>
        <w:widowControl w:val="0"/>
        <w:numPr>
          <w:ilvl w:val="0"/>
          <w:numId w:val="6"/>
        </w:numPr>
        <w:kinsoku/>
        <w:wordWrap/>
        <w:overflowPunct/>
        <w:topLinePunct w:val="0"/>
        <w:autoSpaceDE/>
        <w:autoSpaceDN/>
        <w:bidi w:val="0"/>
        <w:adjustRightInd/>
        <w:snapToGrid/>
        <w:spacing w:before="0" w:after="0" w:line="460" w:lineRule="exact"/>
        <w:ind w:left="0" w:leftChars="0" w:firstLine="0" w:firstLineChars="0"/>
        <w:textAlignment w:val="auto"/>
        <w:outlineLvl w:val="0"/>
        <w:rPr>
          <w:rFonts w:hint="eastAsia"/>
          <w:color w:val="auto"/>
          <w:sz w:val="24"/>
          <w:szCs w:val="24"/>
          <w:highlight w:val="none"/>
        </w:rPr>
      </w:pPr>
      <w:bookmarkStart w:id="179" w:name="_Toc23150"/>
      <w:bookmarkStart w:id="180" w:name="_Toc29005_WPSOffice_Level1"/>
      <w:r>
        <w:rPr>
          <w:rFonts w:hint="eastAsia"/>
          <w:color w:val="auto"/>
          <w:sz w:val="24"/>
          <w:szCs w:val="24"/>
          <w:highlight w:val="none"/>
        </w:rPr>
        <w:t>项目简介</w:t>
      </w:r>
      <w:bookmarkEnd w:id="179"/>
      <w:bookmarkEnd w:id="180"/>
    </w:p>
    <w:p w14:paraId="210BC4A1">
      <w:pPr>
        <w:pageBreakBefore w:val="0"/>
        <w:kinsoku/>
        <w:wordWrap/>
        <w:overflowPunct/>
        <w:topLinePunct w:val="0"/>
        <w:autoSpaceDE/>
        <w:autoSpaceDN/>
        <w:bidi w:val="0"/>
        <w:adjustRightInd w:val="0"/>
        <w:snapToGrid w:val="0"/>
        <w:spacing w:line="460" w:lineRule="exact"/>
        <w:ind w:firstLine="480" w:firstLineChars="200"/>
        <w:textAlignment w:val="auto"/>
        <w:rPr>
          <w:rFonts w:hint="default" w:ascii="宋体" w:hAnsi="宋体" w:cs="宋体"/>
          <w:color w:val="auto"/>
          <w:sz w:val="22"/>
          <w:szCs w:val="22"/>
          <w:highlight w:val="none"/>
          <w:lang w:val="en-US"/>
        </w:rPr>
      </w:pPr>
      <w:r>
        <w:rPr>
          <w:rFonts w:hint="eastAsia"/>
          <w:color w:val="auto"/>
          <w:sz w:val="24"/>
          <w:szCs w:val="24"/>
          <w:highlight w:val="none"/>
        </w:rPr>
        <w:t>榆佳经济技术开发区两厂（场）运营管理</w:t>
      </w:r>
      <w:r>
        <w:rPr>
          <w:rFonts w:hint="eastAsia"/>
          <w:color w:val="auto"/>
          <w:sz w:val="24"/>
          <w:szCs w:val="24"/>
          <w:highlight w:val="none"/>
          <w:lang w:val="en-US" w:eastAsia="zh-CN"/>
        </w:rPr>
        <w:t>服务</w:t>
      </w:r>
      <w:r>
        <w:rPr>
          <w:rFonts w:hint="eastAsia"/>
          <w:color w:val="auto"/>
          <w:sz w:val="24"/>
          <w:szCs w:val="24"/>
          <w:highlight w:val="none"/>
        </w:rPr>
        <w:t>项目包括榆佳经济技术开发区污水处理厂</w:t>
      </w:r>
      <w:r>
        <w:rPr>
          <w:rFonts w:hint="eastAsia"/>
          <w:color w:val="auto"/>
          <w:sz w:val="24"/>
          <w:szCs w:val="24"/>
          <w:highlight w:val="none"/>
          <w:lang w:val="en-US" w:eastAsia="zh-CN"/>
        </w:rPr>
        <w:t>及</w:t>
      </w:r>
      <w:r>
        <w:rPr>
          <w:rFonts w:hint="eastAsia"/>
          <w:color w:val="auto"/>
          <w:sz w:val="24"/>
          <w:szCs w:val="24"/>
          <w:highlight w:val="none"/>
          <w:lang w:eastAsia="zh-CN"/>
        </w:rPr>
        <w:t>榆佳经济技术开发区一般工业固体废物填埋场</w:t>
      </w:r>
      <w:r>
        <w:rPr>
          <w:rFonts w:hint="eastAsia"/>
          <w:color w:val="auto"/>
          <w:sz w:val="24"/>
          <w:szCs w:val="24"/>
          <w:highlight w:val="none"/>
          <w:lang w:val="en-US" w:eastAsia="zh-CN"/>
        </w:rPr>
        <w:t>运维服务工作。</w:t>
      </w:r>
    </w:p>
    <w:p w14:paraId="3F8CC6B7">
      <w:pPr>
        <w:keepNext w:val="0"/>
        <w:keepLines w:val="0"/>
        <w:pageBreakBefore w:val="0"/>
        <w:widowControl/>
        <w:numPr>
          <w:ilvl w:val="0"/>
          <w:numId w:val="7"/>
        </w:numPr>
        <w:suppressLineNumbers w:val="0"/>
        <w:kinsoku/>
        <w:wordWrap/>
        <w:overflowPunct/>
        <w:topLinePunct w:val="0"/>
        <w:autoSpaceDE/>
        <w:autoSpaceDN/>
        <w:bidi w:val="0"/>
        <w:adjustRightInd/>
        <w:snapToGrid/>
        <w:spacing w:line="460" w:lineRule="exact"/>
        <w:ind w:left="0" w:leftChars="0" w:firstLine="0" w:firstLineChars="0"/>
        <w:jc w:val="both"/>
        <w:textAlignment w:val="auto"/>
        <w:outlineLvl w:val="1"/>
        <w:rPr>
          <w:rFonts w:hint="eastAsia" w:ascii="宋体" w:hAnsi="宋体" w:eastAsia="宋体" w:cs="宋体"/>
          <w:color w:val="auto"/>
          <w:kern w:val="0"/>
          <w:sz w:val="24"/>
          <w:szCs w:val="24"/>
          <w:highlight w:val="none"/>
          <w:lang w:val="en-US" w:eastAsia="zh-CN" w:bidi="ar"/>
        </w:rPr>
      </w:pPr>
      <w:bookmarkStart w:id="181" w:name="_Toc49157502"/>
      <w:bookmarkStart w:id="182" w:name="_Toc45424928"/>
      <w:bookmarkStart w:id="183" w:name="_Toc56525887"/>
      <w:bookmarkStart w:id="184" w:name="_Toc48429635"/>
      <w:bookmarkStart w:id="185" w:name="_Toc462931738"/>
      <w:bookmarkStart w:id="186" w:name="_Toc48911689"/>
      <w:bookmarkStart w:id="187" w:name="_Toc9901"/>
      <w:bookmarkStart w:id="188" w:name="_Toc352743689"/>
      <w:bookmarkStart w:id="189" w:name="_Toc489304166"/>
      <w:bookmarkStart w:id="190" w:name="_Toc45095494"/>
      <w:bookmarkStart w:id="191" w:name="_Toc48428954"/>
      <w:bookmarkStart w:id="192" w:name="_Toc48909559"/>
      <w:bookmarkStart w:id="193" w:name="_Toc49157839"/>
      <w:bookmarkStart w:id="194" w:name="_Toc49158176"/>
      <w:r>
        <w:rPr>
          <w:rFonts w:hint="eastAsia" w:ascii="宋体" w:hAnsi="宋体" w:eastAsia="宋体" w:cs="宋体"/>
          <w:color w:val="auto"/>
          <w:kern w:val="0"/>
          <w:sz w:val="24"/>
          <w:szCs w:val="24"/>
          <w:highlight w:val="none"/>
          <w:lang w:val="en-US" w:eastAsia="zh-CN" w:bidi="ar"/>
        </w:rPr>
        <w:t>榆佳经济技术开发区污水处理厂概况</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203ECEAF">
      <w:pPr>
        <w:pageBreakBefore w:val="0"/>
        <w:kinsoku/>
        <w:wordWrap/>
        <w:overflowPunct/>
        <w:topLinePunct w:val="0"/>
        <w:autoSpaceDE/>
        <w:autoSpaceDN/>
        <w:bidi w:val="0"/>
        <w:spacing w:line="460" w:lineRule="exact"/>
        <w:ind w:firstLine="480" w:firstLineChars="200"/>
        <w:textAlignment w:val="auto"/>
        <w:rPr>
          <w:rFonts w:hint="eastAsia" w:ascii="Times New Roman" w:hAnsi="Times New Roman" w:cs="Times New Roman"/>
          <w:color w:val="auto"/>
          <w:sz w:val="24"/>
          <w:szCs w:val="22"/>
          <w:highlight w:val="none"/>
          <w:lang w:eastAsia="zh-CN"/>
        </w:rPr>
      </w:pPr>
      <w:r>
        <w:rPr>
          <w:rFonts w:hint="default" w:ascii="Times New Roman" w:hAnsi="Times New Roman" w:cs="Times New Roman"/>
          <w:color w:val="auto"/>
          <w:sz w:val="24"/>
          <w:szCs w:val="24"/>
          <w:highlight w:val="none"/>
        </w:rPr>
        <w:t>榆佳经济技术开发区污水处理厂</w:t>
      </w:r>
      <w:r>
        <w:rPr>
          <w:rFonts w:hint="default" w:ascii="Times New Roman" w:hAnsi="Times New Roman" w:cs="Times New Roman"/>
          <w:color w:val="auto"/>
          <w:sz w:val="24"/>
          <w:szCs w:val="22"/>
          <w:highlight w:val="none"/>
          <w:lang w:val="en-US" w:eastAsia="zh-CN"/>
        </w:rPr>
        <w:t>累计</w:t>
      </w:r>
      <w:r>
        <w:rPr>
          <w:rFonts w:hint="default" w:ascii="Times New Roman" w:hAnsi="Times New Roman" w:cs="Times New Roman"/>
          <w:color w:val="auto"/>
          <w:sz w:val="24"/>
          <w:szCs w:val="22"/>
          <w:highlight w:val="none"/>
        </w:rPr>
        <w:t>建设规模为3700m</w:t>
      </w:r>
      <w:r>
        <w:rPr>
          <w:rFonts w:hint="default" w:ascii="Times New Roman" w:hAnsi="Times New Roman" w:cs="Times New Roman"/>
          <w:color w:val="auto"/>
          <w:sz w:val="24"/>
          <w:szCs w:val="22"/>
          <w:highlight w:val="none"/>
          <w:vertAlign w:val="superscript"/>
        </w:rPr>
        <w:t>3</w:t>
      </w:r>
      <w:r>
        <w:rPr>
          <w:rFonts w:hint="default" w:ascii="Times New Roman" w:hAnsi="Times New Roman" w:cs="Times New Roman"/>
          <w:color w:val="auto"/>
          <w:sz w:val="24"/>
          <w:szCs w:val="22"/>
          <w:highlight w:val="none"/>
        </w:rPr>
        <w:t>/d，主要为：（1）一期系统处理规模3000m</w:t>
      </w:r>
      <w:r>
        <w:rPr>
          <w:rFonts w:hint="default" w:ascii="Times New Roman" w:hAnsi="Times New Roman" w:cs="Times New Roman"/>
          <w:color w:val="auto"/>
          <w:sz w:val="24"/>
          <w:szCs w:val="22"/>
          <w:highlight w:val="none"/>
          <w:vertAlign w:val="superscript"/>
        </w:rPr>
        <w:t>3</w:t>
      </w:r>
      <w:r>
        <w:rPr>
          <w:rFonts w:hint="default" w:ascii="Times New Roman" w:hAnsi="Times New Roman" w:cs="Times New Roman"/>
          <w:color w:val="auto"/>
          <w:sz w:val="24"/>
          <w:szCs w:val="22"/>
          <w:highlight w:val="none"/>
        </w:rPr>
        <w:t>/d（分为两条生产线，单条生产线处理量1500m</w:t>
      </w:r>
      <w:r>
        <w:rPr>
          <w:rFonts w:hint="default" w:ascii="Times New Roman" w:hAnsi="Times New Roman" w:cs="Times New Roman"/>
          <w:color w:val="auto"/>
          <w:sz w:val="24"/>
          <w:szCs w:val="22"/>
          <w:highlight w:val="none"/>
          <w:vertAlign w:val="superscript"/>
        </w:rPr>
        <w:t>3</w:t>
      </w:r>
      <w:r>
        <w:rPr>
          <w:rFonts w:hint="default" w:ascii="Times New Roman" w:hAnsi="Times New Roman" w:cs="Times New Roman"/>
          <w:color w:val="auto"/>
          <w:sz w:val="24"/>
          <w:szCs w:val="22"/>
          <w:highlight w:val="none"/>
        </w:rPr>
        <w:t>/d），采用</w:t>
      </w:r>
      <w:r>
        <w:rPr>
          <w:rFonts w:hint="eastAsia" w:ascii="Times New Roman" w:hAnsi="Times New Roman" w:cs="Times New Roman"/>
          <w:color w:val="auto"/>
          <w:sz w:val="24"/>
          <w:szCs w:val="22"/>
          <w:highlight w:val="none"/>
          <w:lang w:val="en-US" w:eastAsia="zh-CN"/>
        </w:rPr>
        <w:t>预处理+</w:t>
      </w:r>
      <w:r>
        <w:rPr>
          <w:rFonts w:hint="default" w:ascii="Times New Roman" w:hAnsi="Times New Roman" w:cs="Times New Roman"/>
          <w:color w:val="auto"/>
          <w:sz w:val="24"/>
          <w:szCs w:val="22"/>
          <w:highlight w:val="none"/>
        </w:rPr>
        <w:t>水解酸化</w:t>
      </w:r>
      <w:r>
        <w:rPr>
          <w:rFonts w:hint="eastAsia" w:ascii="Times New Roman" w:hAnsi="Times New Roman" w:cs="Times New Roman"/>
          <w:color w:val="auto"/>
          <w:sz w:val="24"/>
          <w:szCs w:val="22"/>
          <w:highlight w:val="none"/>
          <w:lang w:val="en-US" w:eastAsia="zh-CN"/>
        </w:rPr>
        <w:t>+</w:t>
      </w:r>
      <w:r>
        <w:rPr>
          <w:rFonts w:hint="default" w:ascii="Times New Roman" w:hAnsi="Times New Roman" w:cs="Times New Roman"/>
          <w:color w:val="auto"/>
          <w:sz w:val="24"/>
          <w:szCs w:val="22"/>
          <w:highlight w:val="none"/>
        </w:rPr>
        <w:t>多级AO工艺</w:t>
      </w:r>
      <w:r>
        <w:rPr>
          <w:rFonts w:hint="eastAsia" w:ascii="Times New Roman" w:hAnsi="Times New Roman" w:cs="Times New Roman"/>
          <w:color w:val="auto"/>
          <w:sz w:val="24"/>
          <w:szCs w:val="22"/>
          <w:highlight w:val="none"/>
          <w:lang w:val="en-US" w:eastAsia="zh-CN"/>
        </w:rPr>
        <w:t>+二沉池+混凝沉淀池+滤布滤池+次氯酸钠消毒+中水回用</w:t>
      </w:r>
      <w:r>
        <w:rPr>
          <w:rFonts w:hint="eastAsia" w:ascii="Times New Roman" w:hAnsi="Times New Roman" w:cs="Times New Roman"/>
          <w:color w:val="auto"/>
          <w:sz w:val="24"/>
          <w:szCs w:val="22"/>
          <w:highlight w:val="none"/>
          <w:lang w:eastAsia="zh-CN"/>
        </w:rPr>
        <w:t>；</w:t>
      </w:r>
      <w:r>
        <w:rPr>
          <w:rFonts w:hint="default" w:ascii="Times New Roman" w:hAnsi="Times New Roman" w:cs="Times New Roman"/>
          <w:color w:val="auto"/>
          <w:sz w:val="24"/>
          <w:szCs w:val="22"/>
          <w:highlight w:val="none"/>
        </w:rPr>
        <w:t>（2）二期系统处理规模200m</w:t>
      </w:r>
      <w:r>
        <w:rPr>
          <w:rFonts w:hint="default" w:ascii="Times New Roman" w:hAnsi="Times New Roman" w:cs="Times New Roman"/>
          <w:color w:val="auto"/>
          <w:sz w:val="24"/>
          <w:szCs w:val="22"/>
          <w:highlight w:val="none"/>
          <w:vertAlign w:val="superscript"/>
        </w:rPr>
        <w:t>3</w:t>
      </w:r>
      <w:r>
        <w:rPr>
          <w:rFonts w:hint="default" w:ascii="Times New Roman" w:hAnsi="Times New Roman" w:cs="Times New Roman"/>
          <w:color w:val="auto"/>
          <w:sz w:val="24"/>
          <w:szCs w:val="22"/>
          <w:highlight w:val="none"/>
        </w:rPr>
        <w:t>/d（一体化MBR处置装置），采用AO+MBR膜工艺</w:t>
      </w:r>
      <w:r>
        <w:rPr>
          <w:rFonts w:hint="eastAsia" w:ascii="Times New Roman" w:hAnsi="Times New Roman" w:cs="Times New Roman"/>
          <w:color w:val="auto"/>
          <w:sz w:val="24"/>
          <w:szCs w:val="22"/>
          <w:highlight w:val="none"/>
          <w:lang w:val="en-US" w:eastAsia="zh-CN"/>
        </w:rPr>
        <w:t>+紫外/次氯酸钠消毒+中水回用</w:t>
      </w:r>
      <w:r>
        <w:rPr>
          <w:rFonts w:hint="eastAsia" w:ascii="Times New Roman" w:hAnsi="Times New Roman" w:cs="Times New Roman"/>
          <w:color w:val="auto"/>
          <w:sz w:val="24"/>
          <w:szCs w:val="22"/>
          <w:highlight w:val="none"/>
          <w:lang w:eastAsia="zh-CN"/>
        </w:rPr>
        <w:t>；</w:t>
      </w:r>
      <w:r>
        <w:rPr>
          <w:rFonts w:hint="default" w:ascii="Times New Roman" w:hAnsi="Times New Roman" w:cs="Times New Roman"/>
          <w:color w:val="auto"/>
          <w:sz w:val="24"/>
          <w:szCs w:val="22"/>
          <w:highlight w:val="none"/>
        </w:rPr>
        <w:t>（3）三期系统处理规模500m</w:t>
      </w:r>
      <w:r>
        <w:rPr>
          <w:rFonts w:hint="default" w:ascii="Times New Roman" w:hAnsi="Times New Roman" w:cs="Times New Roman"/>
          <w:color w:val="auto"/>
          <w:sz w:val="24"/>
          <w:szCs w:val="22"/>
          <w:highlight w:val="none"/>
          <w:vertAlign w:val="superscript"/>
        </w:rPr>
        <w:t>3</w:t>
      </w:r>
      <w:r>
        <w:rPr>
          <w:rFonts w:hint="default" w:ascii="Times New Roman" w:hAnsi="Times New Roman" w:cs="Times New Roman"/>
          <w:color w:val="auto"/>
          <w:sz w:val="24"/>
          <w:szCs w:val="22"/>
          <w:highlight w:val="none"/>
        </w:rPr>
        <w:t>/d（一体化MBR处置装置），采用AO+MBR膜工艺</w:t>
      </w:r>
      <w:r>
        <w:rPr>
          <w:rFonts w:hint="eastAsia" w:ascii="Times New Roman" w:hAnsi="Times New Roman" w:cs="Times New Roman"/>
          <w:color w:val="auto"/>
          <w:sz w:val="24"/>
          <w:szCs w:val="22"/>
          <w:highlight w:val="none"/>
          <w:lang w:val="en-US" w:eastAsia="zh-CN"/>
        </w:rPr>
        <w:t>紫外/次氯酸钠消毒+中水回用</w:t>
      </w:r>
      <w:r>
        <w:rPr>
          <w:rFonts w:hint="eastAsia" w:ascii="Times New Roman" w:hAnsi="Times New Roman" w:cs="Times New Roman"/>
          <w:color w:val="auto"/>
          <w:sz w:val="24"/>
          <w:szCs w:val="22"/>
          <w:highlight w:val="none"/>
          <w:lang w:eastAsia="zh-CN"/>
        </w:rPr>
        <w:t>。</w:t>
      </w:r>
    </w:p>
    <w:p w14:paraId="581A44AE">
      <w:pPr>
        <w:pageBreakBefore w:val="0"/>
        <w:kinsoku/>
        <w:wordWrap/>
        <w:overflowPunct/>
        <w:topLinePunct w:val="0"/>
        <w:autoSpaceDE/>
        <w:autoSpaceDN/>
        <w:bidi w:val="0"/>
        <w:spacing w:line="460" w:lineRule="exact"/>
        <w:ind w:firstLine="480" w:firstLineChars="200"/>
        <w:textAlignment w:val="auto"/>
        <w:rPr>
          <w:rFonts w:hint="eastAsia" w:ascii="Times New Roman" w:hAnsi="Times New Roman" w:eastAsia="宋体" w:cs="Times New Roman"/>
          <w:color w:val="auto"/>
          <w:sz w:val="24"/>
          <w:szCs w:val="22"/>
          <w:highlight w:val="none"/>
          <w:lang w:eastAsia="zh-CN"/>
        </w:rPr>
      </w:pPr>
      <w:r>
        <w:rPr>
          <w:rFonts w:hint="eastAsia" w:ascii="Times New Roman" w:hAnsi="Times New Roman" w:cs="Times New Roman"/>
          <w:color w:val="auto"/>
          <w:sz w:val="24"/>
          <w:szCs w:val="22"/>
          <w:highlight w:val="none"/>
          <w:lang w:eastAsia="zh-CN"/>
        </w:rPr>
        <w:t>处理后</w:t>
      </w:r>
      <w:r>
        <w:rPr>
          <w:rFonts w:hint="eastAsia" w:ascii="Times New Roman" w:hAnsi="Times New Roman" w:cs="Times New Roman"/>
          <w:color w:val="auto"/>
          <w:sz w:val="24"/>
          <w:szCs w:val="22"/>
          <w:highlight w:val="none"/>
          <w:lang w:val="en-US" w:eastAsia="zh-CN"/>
        </w:rPr>
        <w:t>出水</w:t>
      </w:r>
      <w:r>
        <w:rPr>
          <w:rFonts w:hint="eastAsia" w:ascii="Times New Roman" w:hAnsi="Times New Roman" w:cs="Times New Roman"/>
          <w:color w:val="auto"/>
          <w:sz w:val="24"/>
          <w:szCs w:val="22"/>
          <w:highlight w:val="none"/>
          <w:lang w:eastAsia="zh-CN"/>
        </w:rPr>
        <w:t>达到《城镇污水处理厂污染物排放标准》（GB18918-2002）中的一级A排放标准；脱水后污泥含水率约为60%外运填埋处置。</w:t>
      </w:r>
    </w:p>
    <w:p w14:paraId="7E78E2FE">
      <w:pPr>
        <w:pageBreakBefore w:val="0"/>
        <w:kinsoku/>
        <w:wordWrap/>
        <w:overflowPunct/>
        <w:topLinePunct w:val="0"/>
        <w:autoSpaceDE/>
        <w:autoSpaceDN/>
        <w:bidi w:val="0"/>
        <w:spacing w:line="460" w:lineRule="exact"/>
        <w:ind w:firstLine="480" w:firstLineChars="200"/>
        <w:textAlignment w:val="auto"/>
        <w:rPr>
          <w:rFonts w:ascii="Times New Roman" w:hAnsi="Times New Roman"/>
          <w:color w:val="auto"/>
          <w:sz w:val="24"/>
          <w:szCs w:val="24"/>
          <w:highlight w:val="none"/>
        </w:rPr>
      </w:pPr>
      <w:r>
        <w:rPr>
          <w:rFonts w:hint="default" w:ascii="Times New Roman" w:hAnsi="Times New Roman" w:cs="Times New Roman"/>
          <w:color w:val="auto"/>
          <w:sz w:val="24"/>
          <w:szCs w:val="22"/>
          <w:highlight w:val="none"/>
        </w:rPr>
        <w:t>具体工艺处理单元：预处理装置（三期共用）：粗格栅/集水池、事故池、细格栅/旋流沉砂池、调节池；生化处理单元：水解酸化池（一期）、AON池（一期）、二沉池（一期）、混凝沉淀池（一期）、滤布滤池（一期）、MBR一体化处理单元（二、三期）、消毒池（三期共用）、清水池（三期共用）、配电及控制设备（三期共用）、自动控制软件平台（三期共用）、监控软件平台（三期共用）等。</w:t>
      </w:r>
    </w:p>
    <w:p w14:paraId="3FDE6789">
      <w:pPr>
        <w:keepNext w:val="0"/>
        <w:keepLines w:val="0"/>
        <w:pageBreakBefore w:val="0"/>
        <w:widowControl/>
        <w:numPr>
          <w:ilvl w:val="0"/>
          <w:numId w:val="7"/>
        </w:numPr>
        <w:suppressLineNumbers w:val="0"/>
        <w:kinsoku/>
        <w:wordWrap/>
        <w:overflowPunct/>
        <w:topLinePunct w:val="0"/>
        <w:autoSpaceDE/>
        <w:autoSpaceDN/>
        <w:bidi w:val="0"/>
        <w:adjustRightInd/>
        <w:snapToGrid/>
        <w:spacing w:line="460" w:lineRule="exact"/>
        <w:ind w:left="0" w:leftChars="0" w:firstLine="0" w:firstLineChars="0"/>
        <w:jc w:val="both"/>
        <w:textAlignment w:val="auto"/>
        <w:outlineLvl w:val="1"/>
        <w:rPr>
          <w:rFonts w:hint="eastAsia" w:ascii="宋体" w:hAnsi="宋体" w:eastAsia="宋体" w:cs="宋体"/>
          <w:color w:val="auto"/>
          <w:kern w:val="0"/>
          <w:sz w:val="24"/>
          <w:szCs w:val="24"/>
          <w:highlight w:val="none"/>
          <w:lang w:val="en-US" w:eastAsia="zh-CN" w:bidi="ar"/>
        </w:rPr>
      </w:pPr>
      <w:bookmarkStart w:id="195" w:name="_Toc12103"/>
      <w:bookmarkStart w:id="196" w:name="_Toc56525888"/>
      <w:bookmarkStart w:id="197" w:name="_Toc505039249"/>
      <w:bookmarkStart w:id="198" w:name="_Toc48909564"/>
      <w:bookmarkStart w:id="199" w:name="_Toc49157844"/>
      <w:bookmarkStart w:id="200" w:name="_Toc462931741"/>
      <w:bookmarkStart w:id="201" w:name="_Toc49158181"/>
      <w:bookmarkStart w:id="202" w:name="_Toc505012910"/>
      <w:bookmarkStart w:id="203" w:name="_Toc489304169"/>
      <w:bookmarkStart w:id="204" w:name="_Toc505038683"/>
      <w:bookmarkStart w:id="205" w:name="_Toc49157507"/>
      <w:bookmarkStart w:id="206" w:name="_Toc352743692"/>
      <w:bookmarkStart w:id="207" w:name="_Toc48911694"/>
      <w:r>
        <w:rPr>
          <w:rFonts w:hint="eastAsia" w:ascii="宋体" w:hAnsi="宋体" w:eastAsia="宋体" w:cs="宋体"/>
          <w:color w:val="auto"/>
          <w:kern w:val="0"/>
          <w:sz w:val="24"/>
          <w:szCs w:val="24"/>
          <w:highlight w:val="none"/>
          <w:lang w:val="en-US" w:eastAsia="zh-CN" w:bidi="ar"/>
        </w:rPr>
        <w:t>榆佳经济技术开发区一般工业固体废物填埋场</w:t>
      </w:r>
      <w:bookmarkEnd w:id="195"/>
      <w:bookmarkEnd w:id="196"/>
    </w:p>
    <w:p w14:paraId="4292F1E1">
      <w:pPr>
        <w:pageBreakBefore w:val="0"/>
        <w:kinsoku/>
        <w:wordWrap/>
        <w:overflowPunct/>
        <w:topLinePunct w:val="0"/>
        <w:autoSpaceDE/>
        <w:autoSpaceDN/>
        <w:bidi w:val="0"/>
        <w:spacing w:line="460" w:lineRule="exact"/>
        <w:ind w:firstLine="480" w:firstLineChars="200"/>
        <w:textAlignment w:val="auto"/>
        <w:rPr>
          <w:rFonts w:ascii="Times New Roman" w:hAnsi="Times New Roman"/>
          <w:color w:val="auto"/>
          <w:sz w:val="24"/>
          <w:szCs w:val="24"/>
          <w:highlight w:val="none"/>
        </w:rPr>
      </w:pPr>
      <w:r>
        <w:rPr>
          <w:rFonts w:hint="eastAsia" w:ascii="Times New Roman" w:hAnsi="Times New Roman" w:eastAsia="宋体" w:cs="Times New Roman"/>
          <w:b w:val="0"/>
          <w:bCs w:val="0"/>
          <w:color w:val="auto"/>
          <w:sz w:val="24"/>
          <w:szCs w:val="22"/>
          <w:highlight w:val="none"/>
          <w:lang w:val="en-US" w:eastAsia="zh-CN"/>
        </w:rPr>
        <w:t>一般工业固体废物填埋场</w:t>
      </w:r>
      <w:r>
        <w:rPr>
          <w:rFonts w:ascii="Times New Roman" w:hAnsi="Times New Roman"/>
          <w:color w:val="auto"/>
          <w:sz w:val="24"/>
          <w:szCs w:val="24"/>
          <w:highlight w:val="none"/>
        </w:rPr>
        <w:t>由填埋库区、进场道路、管理区三个部分组成。</w:t>
      </w:r>
      <w:r>
        <w:rPr>
          <w:rFonts w:hint="eastAsia" w:ascii="Times New Roman" w:hAnsi="Times New Roman"/>
          <w:color w:val="auto"/>
          <w:sz w:val="24"/>
          <w:szCs w:val="24"/>
          <w:highlight w:val="none"/>
        </w:rPr>
        <w:t>固废场库容约为112.67万m</w:t>
      </w:r>
      <w:r>
        <w:rPr>
          <w:rFonts w:hint="eastAsia" w:ascii="Times New Roman" w:hAnsi="Times New Roman"/>
          <w:color w:val="auto"/>
          <w:sz w:val="24"/>
          <w:szCs w:val="24"/>
          <w:highlight w:val="none"/>
          <w:vertAlign w:val="superscript"/>
        </w:rPr>
        <w:t>3</w:t>
      </w:r>
      <w:r>
        <w:rPr>
          <w:rFonts w:hint="eastAsia" w:ascii="Times New Roman" w:hAnsi="Times New Roman"/>
          <w:color w:val="auto"/>
          <w:sz w:val="24"/>
          <w:szCs w:val="24"/>
          <w:highlight w:val="none"/>
        </w:rPr>
        <w:t>，设计平均日处理一般工业固体废物规模为 342.28t。</w:t>
      </w:r>
      <w:r>
        <w:rPr>
          <w:rFonts w:ascii="Times New Roman" w:hAnsi="Times New Roman"/>
          <w:color w:val="auto"/>
          <w:sz w:val="24"/>
          <w:szCs w:val="24"/>
          <w:highlight w:val="none"/>
        </w:rPr>
        <w:t>主要由填埋库区土石方、环场截洪沟、垃圾坝、调节池渗滤液导渗系统、防渗系统、渗沥液调节池等分项工程组成。</w:t>
      </w:r>
    </w:p>
    <w:p w14:paraId="35C8C090">
      <w:pPr>
        <w:pageBreakBefore w:val="0"/>
        <w:kinsoku/>
        <w:wordWrap/>
        <w:overflowPunct/>
        <w:topLinePunct w:val="0"/>
        <w:autoSpaceDE/>
        <w:autoSpaceDN/>
        <w:bidi w:val="0"/>
        <w:spacing w:line="460" w:lineRule="exact"/>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防渗系统主要采用5000g/ m</w:t>
      </w:r>
      <w:r>
        <w:rPr>
          <w:rFonts w:ascii="Times New Roman" w:hAnsi="Times New Roman"/>
          <w:color w:val="auto"/>
          <w:sz w:val="24"/>
          <w:szCs w:val="24"/>
          <w:highlight w:val="none"/>
          <w:vertAlign w:val="superscript"/>
        </w:rPr>
        <w:t>2</w:t>
      </w:r>
      <w:r>
        <w:rPr>
          <w:rFonts w:ascii="Times New Roman" w:hAnsi="Times New Roman"/>
          <w:color w:val="auto"/>
          <w:sz w:val="24"/>
          <w:szCs w:val="24"/>
          <w:highlight w:val="none"/>
        </w:rPr>
        <w:t>膨润土垫（GCL）+2mm厚双糙面HDPE膜防</w:t>
      </w:r>
    </w:p>
    <w:p w14:paraId="0FC020A3">
      <w:pPr>
        <w:pageBreakBefore w:val="0"/>
        <w:kinsoku/>
        <w:wordWrap/>
        <w:overflowPunct/>
        <w:topLinePunct w:val="0"/>
        <w:autoSpaceDE/>
        <w:autoSpaceDN/>
        <w:bidi w:val="0"/>
        <w:spacing w:line="460" w:lineRule="exact"/>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渗+600g/ m</w:t>
      </w:r>
      <w:r>
        <w:rPr>
          <w:rFonts w:ascii="Times New Roman" w:hAnsi="Times New Roman"/>
          <w:color w:val="auto"/>
          <w:sz w:val="24"/>
          <w:szCs w:val="24"/>
          <w:highlight w:val="none"/>
          <w:vertAlign w:val="superscript"/>
        </w:rPr>
        <w:t>2</w:t>
      </w:r>
      <w:r>
        <w:rPr>
          <w:rFonts w:ascii="Times New Roman" w:hAnsi="Times New Roman"/>
          <w:color w:val="auto"/>
          <w:sz w:val="24"/>
          <w:szCs w:val="24"/>
          <w:highlight w:val="none"/>
        </w:rPr>
        <w:t>无纺土工布防渗。进场道路工程：道路起点于附近乡村路，终点止于填埋区终点，道路全长1.396km，行车道宽度2*3m，路基宽度6.5m，道路垫层采用180厚10:90灰土，基层为180厚5.5:94.5水泥稳定碎石，面层为220厚水泥混凝土。</w:t>
      </w:r>
    </w:p>
    <w:bookmarkEnd w:id="197"/>
    <w:bookmarkEnd w:id="198"/>
    <w:bookmarkEnd w:id="199"/>
    <w:bookmarkEnd w:id="200"/>
    <w:bookmarkEnd w:id="201"/>
    <w:bookmarkEnd w:id="202"/>
    <w:bookmarkEnd w:id="203"/>
    <w:bookmarkEnd w:id="204"/>
    <w:bookmarkEnd w:id="205"/>
    <w:bookmarkEnd w:id="206"/>
    <w:bookmarkEnd w:id="207"/>
    <w:p w14:paraId="6E1BFABC">
      <w:pPr>
        <w:pStyle w:val="3"/>
        <w:keepNext/>
        <w:keepLines/>
        <w:pageBreakBefore w:val="0"/>
        <w:widowControl w:val="0"/>
        <w:numPr>
          <w:ilvl w:val="0"/>
          <w:numId w:val="6"/>
        </w:numPr>
        <w:kinsoku/>
        <w:wordWrap/>
        <w:overflowPunct/>
        <w:topLinePunct w:val="0"/>
        <w:autoSpaceDE/>
        <w:autoSpaceDN/>
        <w:bidi w:val="0"/>
        <w:adjustRightInd/>
        <w:snapToGrid/>
        <w:spacing w:before="0" w:after="0" w:line="460" w:lineRule="exact"/>
        <w:ind w:left="0" w:leftChars="0" w:firstLine="0" w:firstLineChars="0"/>
        <w:textAlignment w:val="auto"/>
        <w:outlineLvl w:val="0"/>
        <w:rPr>
          <w:rFonts w:hint="eastAsia" w:eastAsia="宋体" w:cs="Times New Roman"/>
          <w:color w:val="auto"/>
          <w:sz w:val="24"/>
          <w:szCs w:val="24"/>
          <w:highlight w:val="none"/>
        </w:rPr>
      </w:pPr>
      <w:bookmarkStart w:id="208" w:name="_Toc24298"/>
      <w:r>
        <w:rPr>
          <w:rFonts w:hint="eastAsia" w:eastAsia="宋体" w:cs="Times New Roman"/>
          <w:color w:val="auto"/>
          <w:sz w:val="24"/>
          <w:szCs w:val="24"/>
          <w:highlight w:val="none"/>
          <w:lang w:val="en-US" w:eastAsia="zh-CN"/>
        </w:rPr>
        <w:t>采购内容</w:t>
      </w:r>
      <w:bookmarkEnd w:id="208"/>
      <w:r>
        <w:rPr>
          <w:rFonts w:hint="eastAsia" w:eastAsia="宋体" w:cs="Times New Roman"/>
          <w:color w:val="auto"/>
          <w:sz w:val="24"/>
          <w:szCs w:val="24"/>
          <w:highlight w:val="none"/>
          <w:lang w:val="en-US" w:eastAsia="zh-CN"/>
        </w:rPr>
        <w:t xml:space="preserve"> </w:t>
      </w:r>
    </w:p>
    <w:p w14:paraId="76EACB37">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sz w:val="24"/>
          <w:szCs w:val="24"/>
          <w:highlight w:val="none"/>
        </w:rPr>
        <w:t>运营服务范围包括榆佳两厂（场）所有设施设备的日常生产运行，日常维护保养包括设备故障维修及小部件的紧固、跑冒滴漏的维护、设备加油、易损件的更换，调整及按规范合理保养）及现场维修工具的配备，不包括设备大修、改造及重大核心零部件的更换以及业主方的固定资产（设备）的更换、更新）和保护义务，子坝加固，确保各系统设施稳定达标运行，保证产生的固废/污泥按国家相应标准理，确保妥善处置废物。</w:t>
      </w:r>
      <w:r>
        <w:rPr>
          <w:rFonts w:hint="eastAsia" w:ascii="宋体" w:hAnsi="宋体" w:eastAsia="宋体" w:cs="宋体"/>
          <w:color w:val="auto"/>
          <w:kern w:val="0"/>
          <w:sz w:val="24"/>
          <w:szCs w:val="24"/>
          <w:highlight w:val="none"/>
          <w:lang w:val="en-US" w:eastAsia="zh-CN" w:bidi="ar"/>
        </w:rPr>
        <w:t>具体内容如下：</w:t>
      </w:r>
    </w:p>
    <w:p w14:paraId="1241E0EC">
      <w:pPr>
        <w:keepNext w:val="0"/>
        <w:keepLines w:val="0"/>
        <w:pageBreakBefore w:val="0"/>
        <w:widowControl/>
        <w:numPr>
          <w:ilvl w:val="0"/>
          <w:numId w:val="8"/>
        </w:numPr>
        <w:suppressLineNumbers w:val="0"/>
        <w:kinsoku/>
        <w:wordWrap/>
        <w:overflowPunct/>
        <w:topLinePunct w:val="0"/>
        <w:autoSpaceDE/>
        <w:autoSpaceDN/>
        <w:bidi w:val="0"/>
        <w:adjustRightInd/>
        <w:snapToGrid/>
        <w:spacing w:line="460" w:lineRule="exact"/>
        <w:ind w:left="0" w:leftChars="0" w:firstLine="480" w:firstLineChars="200"/>
        <w:jc w:val="both"/>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保证榆佳经济技术开发区污水处理厂处理出水达到《城镇污水处理厂污染物排放标准》（GB18918-2002）中的一级A</w:t>
      </w:r>
      <w:r>
        <w:rPr>
          <w:rFonts w:hint="eastAsia" w:ascii="宋体" w:hAnsi="宋体" w:cs="宋体"/>
          <w:color w:val="auto"/>
          <w:kern w:val="0"/>
          <w:sz w:val="24"/>
          <w:szCs w:val="24"/>
          <w:highlight w:val="none"/>
          <w:lang w:val="en-US" w:eastAsia="zh-CN" w:bidi="ar"/>
        </w:rPr>
        <w:t>标准</w:t>
      </w:r>
      <w:r>
        <w:rPr>
          <w:rFonts w:hint="eastAsia" w:ascii="宋体" w:hAnsi="宋体" w:eastAsia="宋体" w:cs="宋体"/>
          <w:color w:val="auto"/>
          <w:kern w:val="0"/>
          <w:sz w:val="24"/>
          <w:szCs w:val="24"/>
          <w:highlight w:val="none"/>
          <w:lang w:val="en-US" w:eastAsia="zh-CN" w:bidi="ar"/>
        </w:rPr>
        <w:t xml:space="preserve">后排放； </w:t>
      </w:r>
    </w:p>
    <w:p w14:paraId="2E7E4287">
      <w:pPr>
        <w:keepNext w:val="0"/>
        <w:keepLines w:val="0"/>
        <w:pageBreakBefore w:val="0"/>
        <w:widowControl/>
        <w:numPr>
          <w:ilvl w:val="0"/>
          <w:numId w:val="8"/>
        </w:numPr>
        <w:suppressLineNumbers w:val="0"/>
        <w:kinsoku/>
        <w:wordWrap/>
        <w:overflowPunct/>
        <w:topLinePunct w:val="0"/>
        <w:autoSpaceDE/>
        <w:autoSpaceDN/>
        <w:bidi w:val="0"/>
        <w:adjustRightInd/>
        <w:snapToGrid/>
        <w:spacing w:line="460" w:lineRule="exact"/>
        <w:ind w:left="0" w:leftChars="0" w:firstLine="480" w:firstLineChars="200"/>
        <w:jc w:val="both"/>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负责两厂（场）</w:t>
      </w:r>
      <w:r>
        <w:rPr>
          <w:rFonts w:hint="eastAsia" w:ascii="宋体" w:hAnsi="宋体" w:cs="宋体"/>
          <w:color w:val="auto"/>
          <w:kern w:val="0"/>
          <w:sz w:val="24"/>
          <w:szCs w:val="24"/>
          <w:highlight w:val="none"/>
          <w:lang w:val="en-US" w:eastAsia="zh-CN" w:bidi="ar"/>
        </w:rPr>
        <w:t>各处理</w:t>
      </w:r>
      <w:r>
        <w:rPr>
          <w:rFonts w:hint="eastAsia" w:ascii="宋体" w:hAnsi="宋体" w:eastAsia="宋体" w:cs="宋体"/>
          <w:color w:val="auto"/>
          <w:kern w:val="0"/>
          <w:sz w:val="24"/>
          <w:szCs w:val="24"/>
          <w:highlight w:val="none"/>
          <w:lang w:val="en-US" w:eastAsia="zh-CN" w:bidi="ar"/>
        </w:rPr>
        <w:t>设施的日常运维、维护（设施设备日常维保包括设备故障维修及小部件的紧固、跑冒滴漏的维护、设备加油、易损件的更换，调整及按规范合理保养）及现场维修工具的配备，不包括设备大修、改造及重大核心零部件的更换以及业主方的固定资产（设备）的更换、更新（金额大于3000元/单次））和保护义务</w:t>
      </w:r>
      <w:r>
        <w:rPr>
          <w:rFonts w:hint="eastAsia" w:ascii="宋体" w:hAnsi="宋体" w:cs="宋体"/>
          <w:color w:val="auto"/>
          <w:kern w:val="0"/>
          <w:sz w:val="24"/>
          <w:szCs w:val="24"/>
          <w:highlight w:val="none"/>
          <w:lang w:val="en-US" w:eastAsia="zh-CN" w:bidi="ar"/>
        </w:rPr>
        <w:t>；</w:t>
      </w:r>
    </w:p>
    <w:p w14:paraId="6FAD9C1F">
      <w:pPr>
        <w:keepNext w:val="0"/>
        <w:keepLines w:val="0"/>
        <w:pageBreakBefore w:val="0"/>
        <w:widowControl/>
        <w:numPr>
          <w:ilvl w:val="0"/>
          <w:numId w:val="8"/>
        </w:numPr>
        <w:suppressLineNumbers w:val="0"/>
        <w:kinsoku/>
        <w:wordWrap/>
        <w:overflowPunct/>
        <w:topLinePunct w:val="0"/>
        <w:autoSpaceDE/>
        <w:autoSpaceDN/>
        <w:bidi w:val="0"/>
        <w:adjustRightInd/>
        <w:snapToGrid/>
        <w:spacing w:line="460" w:lineRule="exact"/>
        <w:ind w:left="0" w:leftChars="0" w:firstLine="480" w:firstLineChars="200"/>
        <w:jc w:val="both"/>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负责及时清运</w:t>
      </w:r>
      <w:r>
        <w:rPr>
          <w:rFonts w:hint="eastAsia" w:ascii="宋体" w:hAnsi="宋体" w:cs="宋体"/>
          <w:color w:val="auto"/>
          <w:sz w:val="24"/>
          <w:szCs w:val="24"/>
          <w:highlight w:val="none"/>
        </w:rPr>
        <w:t>两厂（场）</w:t>
      </w:r>
      <w:r>
        <w:rPr>
          <w:rFonts w:hint="eastAsia" w:ascii="宋体" w:hAnsi="宋体" w:eastAsia="宋体" w:cs="宋体"/>
          <w:color w:val="auto"/>
          <w:kern w:val="0"/>
          <w:sz w:val="24"/>
          <w:szCs w:val="24"/>
          <w:highlight w:val="none"/>
          <w:lang w:val="en-US" w:eastAsia="zh-CN" w:bidi="ar"/>
        </w:rPr>
        <w:t xml:space="preserve">处理设施范围内的垃圾及污泥等废弃物，并作好妥善处置，保证不产生恶臭和二次污染。 </w:t>
      </w:r>
    </w:p>
    <w:p w14:paraId="2355C98D">
      <w:pPr>
        <w:keepNext w:val="0"/>
        <w:keepLines w:val="0"/>
        <w:pageBreakBefore w:val="0"/>
        <w:widowControl/>
        <w:numPr>
          <w:ilvl w:val="0"/>
          <w:numId w:val="8"/>
        </w:numPr>
        <w:suppressLineNumbers w:val="0"/>
        <w:kinsoku/>
        <w:wordWrap/>
        <w:overflowPunct/>
        <w:topLinePunct w:val="0"/>
        <w:autoSpaceDE/>
        <w:autoSpaceDN/>
        <w:bidi w:val="0"/>
        <w:adjustRightInd/>
        <w:snapToGrid/>
        <w:spacing w:line="460" w:lineRule="exact"/>
        <w:ind w:left="0" w:leftChars="0" w:firstLine="480" w:firstLineChars="200"/>
        <w:jc w:val="both"/>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负责</w:t>
      </w:r>
      <w:r>
        <w:rPr>
          <w:rFonts w:hint="eastAsia" w:ascii="宋体" w:hAnsi="宋体" w:cs="宋体"/>
          <w:color w:val="auto"/>
          <w:sz w:val="24"/>
          <w:szCs w:val="24"/>
          <w:highlight w:val="none"/>
        </w:rPr>
        <w:t>两厂（场）</w:t>
      </w:r>
      <w:r>
        <w:rPr>
          <w:rFonts w:hint="eastAsia" w:ascii="宋体" w:hAnsi="宋体" w:eastAsia="宋体" w:cs="宋体"/>
          <w:color w:val="auto"/>
          <w:kern w:val="0"/>
          <w:sz w:val="24"/>
          <w:szCs w:val="24"/>
          <w:highlight w:val="none"/>
          <w:lang w:val="en-US" w:eastAsia="zh-CN" w:bidi="ar"/>
        </w:rPr>
        <w:t>设施范围内的清洁卫生工作，保证本</w:t>
      </w:r>
      <w:r>
        <w:rPr>
          <w:rFonts w:hint="eastAsia" w:ascii="宋体" w:hAnsi="宋体" w:cs="宋体"/>
          <w:color w:val="auto"/>
          <w:kern w:val="0"/>
          <w:sz w:val="24"/>
          <w:szCs w:val="24"/>
          <w:highlight w:val="none"/>
          <w:lang w:val="en-US" w:eastAsia="zh-CN" w:bidi="ar"/>
        </w:rPr>
        <w:t>项目所有</w:t>
      </w:r>
      <w:r>
        <w:rPr>
          <w:rFonts w:hint="eastAsia" w:ascii="宋体" w:hAnsi="宋体" w:eastAsia="宋体" w:cs="宋体"/>
          <w:color w:val="auto"/>
          <w:kern w:val="0"/>
          <w:sz w:val="24"/>
          <w:szCs w:val="24"/>
          <w:highlight w:val="none"/>
          <w:lang w:val="en-US" w:eastAsia="zh-CN" w:bidi="ar"/>
        </w:rPr>
        <w:t xml:space="preserve">处理设施有一个良好的生产和生活环境。 </w:t>
      </w:r>
    </w:p>
    <w:p w14:paraId="4B58419F">
      <w:pPr>
        <w:keepNext w:val="0"/>
        <w:keepLines w:val="0"/>
        <w:pageBreakBefore w:val="0"/>
        <w:widowControl/>
        <w:numPr>
          <w:ilvl w:val="0"/>
          <w:numId w:val="8"/>
        </w:numPr>
        <w:suppressLineNumbers w:val="0"/>
        <w:kinsoku/>
        <w:wordWrap/>
        <w:overflowPunct/>
        <w:topLinePunct w:val="0"/>
        <w:autoSpaceDE/>
        <w:autoSpaceDN/>
        <w:bidi w:val="0"/>
        <w:adjustRightInd/>
        <w:snapToGrid/>
        <w:spacing w:line="460" w:lineRule="exact"/>
        <w:ind w:left="0" w:leftChars="0" w:firstLine="480" w:firstLineChars="200"/>
        <w:jc w:val="both"/>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负责</w:t>
      </w:r>
      <w:r>
        <w:rPr>
          <w:rFonts w:hint="eastAsia" w:ascii="宋体" w:hAnsi="宋体" w:cs="宋体"/>
          <w:color w:val="auto"/>
          <w:sz w:val="24"/>
          <w:szCs w:val="24"/>
          <w:highlight w:val="none"/>
        </w:rPr>
        <w:t>两厂（场）</w:t>
      </w:r>
      <w:r>
        <w:rPr>
          <w:rFonts w:hint="eastAsia" w:ascii="宋体" w:hAnsi="宋体" w:eastAsia="宋体" w:cs="宋体"/>
          <w:color w:val="auto"/>
          <w:kern w:val="0"/>
          <w:sz w:val="24"/>
          <w:szCs w:val="24"/>
          <w:highlight w:val="none"/>
          <w:lang w:val="en-US" w:eastAsia="zh-CN" w:bidi="ar"/>
        </w:rPr>
        <w:t xml:space="preserve">设施范围内的安全工作，确保人员及财产安全。 </w:t>
      </w:r>
    </w:p>
    <w:p w14:paraId="10B87FE1">
      <w:pPr>
        <w:keepNext w:val="0"/>
        <w:keepLines w:val="0"/>
        <w:pageBreakBefore w:val="0"/>
        <w:widowControl/>
        <w:numPr>
          <w:ilvl w:val="0"/>
          <w:numId w:val="8"/>
        </w:numPr>
        <w:suppressLineNumbers w:val="0"/>
        <w:kinsoku/>
        <w:wordWrap/>
        <w:overflowPunct/>
        <w:topLinePunct w:val="0"/>
        <w:autoSpaceDE/>
        <w:autoSpaceDN/>
        <w:bidi w:val="0"/>
        <w:adjustRightInd/>
        <w:snapToGrid/>
        <w:spacing w:line="460" w:lineRule="exact"/>
        <w:ind w:left="0" w:leftChars="0" w:firstLine="480" w:firstLineChars="200"/>
        <w:jc w:val="both"/>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积极配合甲方做好</w:t>
      </w:r>
      <w:r>
        <w:rPr>
          <w:rFonts w:hint="eastAsia" w:ascii="宋体" w:hAnsi="宋体" w:cs="宋体"/>
          <w:color w:val="auto"/>
          <w:sz w:val="24"/>
          <w:szCs w:val="24"/>
          <w:highlight w:val="none"/>
        </w:rPr>
        <w:t>两厂（场）</w:t>
      </w:r>
      <w:r>
        <w:rPr>
          <w:rFonts w:hint="eastAsia" w:ascii="宋体" w:hAnsi="宋体" w:cs="宋体"/>
          <w:color w:val="auto"/>
          <w:sz w:val="24"/>
          <w:szCs w:val="24"/>
          <w:highlight w:val="none"/>
          <w:lang w:val="en-US" w:eastAsia="zh-CN"/>
        </w:rPr>
        <w:t>项目各</w:t>
      </w:r>
      <w:r>
        <w:rPr>
          <w:rFonts w:hint="eastAsia" w:ascii="宋体" w:hAnsi="宋体" w:eastAsia="宋体" w:cs="宋体"/>
          <w:color w:val="auto"/>
          <w:kern w:val="0"/>
          <w:sz w:val="24"/>
          <w:szCs w:val="24"/>
          <w:highlight w:val="none"/>
          <w:lang w:val="en-US" w:eastAsia="zh-CN" w:bidi="ar"/>
        </w:rPr>
        <w:t xml:space="preserve">处理设施的参观学习、检查等接待工作。 </w:t>
      </w:r>
    </w:p>
    <w:p w14:paraId="6782D1D3">
      <w:pPr>
        <w:keepNext w:val="0"/>
        <w:keepLines w:val="0"/>
        <w:pageBreakBefore w:val="0"/>
        <w:widowControl/>
        <w:numPr>
          <w:ilvl w:val="0"/>
          <w:numId w:val="8"/>
        </w:numPr>
        <w:suppressLineNumbers w:val="0"/>
        <w:kinsoku/>
        <w:wordWrap/>
        <w:overflowPunct/>
        <w:topLinePunct w:val="0"/>
        <w:autoSpaceDE/>
        <w:autoSpaceDN/>
        <w:bidi w:val="0"/>
        <w:adjustRightInd/>
        <w:snapToGrid/>
        <w:spacing w:line="460" w:lineRule="exact"/>
        <w:ind w:left="0" w:leftChars="0" w:firstLine="480" w:firstLineChars="200"/>
        <w:jc w:val="both"/>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免费为甲方培训技术、管理等人员，确保在运营年限内及处理设施移交给甲方后，</w:t>
      </w:r>
      <w:r>
        <w:rPr>
          <w:rFonts w:hint="eastAsia" w:ascii="宋体" w:hAnsi="宋体" w:cs="宋体"/>
          <w:color w:val="auto"/>
          <w:sz w:val="24"/>
          <w:szCs w:val="24"/>
          <w:highlight w:val="none"/>
        </w:rPr>
        <w:t>两厂（场）</w:t>
      </w:r>
      <w:r>
        <w:rPr>
          <w:rFonts w:hint="eastAsia" w:ascii="宋体" w:hAnsi="宋体" w:cs="宋体"/>
          <w:color w:val="auto"/>
          <w:sz w:val="24"/>
          <w:szCs w:val="24"/>
          <w:highlight w:val="none"/>
          <w:lang w:val="en-US" w:eastAsia="zh-CN"/>
        </w:rPr>
        <w:t>各</w:t>
      </w:r>
      <w:r>
        <w:rPr>
          <w:rFonts w:hint="eastAsia" w:ascii="宋体" w:hAnsi="宋体" w:eastAsia="宋体" w:cs="宋体"/>
          <w:color w:val="auto"/>
          <w:kern w:val="0"/>
          <w:sz w:val="24"/>
          <w:szCs w:val="24"/>
          <w:highlight w:val="none"/>
          <w:lang w:val="en-US" w:eastAsia="zh-CN" w:bidi="ar"/>
        </w:rPr>
        <w:t xml:space="preserve">处理设施可以维持正常运营； </w:t>
      </w:r>
    </w:p>
    <w:p w14:paraId="2A83A935">
      <w:pPr>
        <w:keepNext w:val="0"/>
        <w:keepLines w:val="0"/>
        <w:pageBreakBefore w:val="0"/>
        <w:widowControl/>
        <w:numPr>
          <w:ilvl w:val="0"/>
          <w:numId w:val="8"/>
        </w:numPr>
        <w:suppressLineNumbers w:val="0"/>
        <w:kinsoku/>
        <w:wordWrap/>
        <w:overflowPunct/>
        <w:topLinePunct w:val="0"/>
        <w:autoSpaceDE/>
        <w:autoSpaceDN/>
        <w:bidi w:val="0"/>
        <w:adjustRightInd/>
        <w:snapToGrid/>
        <w:spacing w:line="460" w:lineRule="exact"/>
        <w:ind w:left="0" w:leftChars="0" w:firstLine="480" w:firstLineChars="200"/>
        <w:jc w:val="both"/>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自觉接受甲方监管人员的监督管理，及时处理甲方监管人员要求处理的问题； </w:t>
      </w:r>
    </w:p>
    <w:p w14:paraId="3321AEC9">
      <w:pPr>
        <w:keepNext w:val="0"/>
        <w:keepLines w:val="0"/>
        <w:pageBreakBefore w:val="0"/>
        <w:widowControl/>
        <w:numPr>
          <w:ilvl w:val="0"/>
          <w:numId w:val="8"/>
        </w:numPr>
        <w:suppressLineNumbers w:val="0"/>
        <w:kinsoku/>
        <w:wordWrap/>
        <w:overflowPunct/>
        <w:topLinePunct w:val="0"/>
        <w:autoSpaceDE/>
        <w:autoSpaceDN/>
        <w:bidi w:val="0"/>
        <w:adjustRightInd/>
        <w:snapToGrid/>
        <w:spacing w:line="460" w:lineRule="exact"/>
        <w:ind w:left="0" w:leftChars="0" w:firstLine="480" w:firstLineChars="200"/>
        <w:jc w:val="both"/>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做好</w:t>
      </w:r>
      <w:r>
        <w:rPr>
          <w:rFonts w:hint="eastAsia" w:ascii="宋体" w:hAnsi="宋体" w:cs="宋体"/>
          <w:color w:val="auto"/>
          <w:sz w:val="24"/>
          <w:szCs w:val="24"/>
          <w:highlight w:val="none"/>
        </w:rPr>
        <w:t>两厂（场）</w:t>
      </w:r>
      <w:r>
        <w:rPr>
          <w:rFonts w:hint="eastAsia" w:ascii="宋体" w:hAnsi="宋体" w:eastAsia="宋体" w:cs="宋体"/>
          <w:color w:val="auto"/>
          <w:kern w:val="0"/>
          <w:sz w:val="24"/>
          <w:szCs w:val="24"/>
          <w:highlight w:val="none"/>
          <w:lang w:val="en-US" w:eastAsia="zh-CN" w:bidi="ar"/>
        </w:rPr>
        <w:t xml:space="preserve">内照明、绿化、道路养护和保持好厂容厂貌工作； </w:t>
      </w:r>
    </w:p>
    <w:p w14:paraId="258AA7F4">
      <w:pPr>
        <w:keepNext w:val="0"/>
        <w:keepLines w:val="0"/>
        <w:pageBreakBefore w:val="0"/>
        <w:widowControl/>
        <w:numPr>
          <w:ilvl w:val="0"/>
          <w:numId w:val="8"/>
        </w:numPr>
        <w:suppressLineNumbers w:val="0"/>
        <w:kinsoku/>
        <w:wordWrap/>
        <w:overflowPunct/>
        <w:topLinePunct w:val="0"/>
        <w:autoSpaceDE/>
        <w:autoSpaceDN/>
        <w:bidi w:val="0"/>
        <w:adjustRightInd/>
        <w:snapToGrid/>
        <w:spacing w:line="460" w:lineRule="exact"/>
        <w:ind w:left="0" w:leftChars="0" w:firstLine="480" w:firstLineChars="200"/>
        <w:jc w:val="both"/>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配置安全设施及设置警示标志； </w:t>
      </w:r>
    </w:p>
    <w:p w14:paraId="4E173446">
      <w:pPr>
        <w:keepNext w:val="0"/>
        <w:keepLines w:val="0"/>
        <w:pageBreakBefore w:val="0"/>
        <w:widowControl/>
        <w:numPr>
          <w:ilvl w:val="0"/>
          <w:numId w:val="8"/>
        </w:numPr>
        <w:suppressLineNumbers w:val="0"/>
        <w:kinsoku/>
        <w:wordWrap/>
        <w:overflowPunct/>
        <w:topLinePunct w:val="0"/>
        <w:autoSpaceDE/>
        <w:autoSpaceDN/>
        <w:bidi w:val="0"/>
        <w:adjustRightInd/>
        <w:snapToGrid/>
        <w:spacing w:line="460" w:lineRule="exact"/>
        <w:ind w:left="0" w:leftChars="0" w:firstLine="480" w:firstLineChars="200"/>
        <w:jc w:val="both"/>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协调运营期内出现的经甲方同意和乙方认可的其他服务设施的管理及运行问题。 </w:t>
      </w:r>
    </w:p>
    <w:p w14:paraId="74D7AA1B">
      <w:pPr>
        <w:pStyle w:val="3"/>
        <w:keepNext/>
        <w:keepLines/>
        <w:pageBreakBefore w:val="0"/>
        <w:widowControl w:val="0"/>
        <w:numPr>
          <w:ilvl w:val="0"/>
          <w:numId w:val="6"/>
        </w:numPr>
        <w:kinsoku/>
        <w:wordWrap/>
        <w:overflowPunct/>
        <w:topLinePunct w:val="0"/>
        <w:autoSpaceDE/>
        <w:autoSpaceDN/>
        <w:bidi w:val="0"/>
        <w:adjustRightInd/>
        <w:snapToGrid/>
        <w:spacing w:before="0" w:after="0" w:line="460" w:lineRule="exact"/>
        <w:ind w:left="0" w:leftChars="0" w:firstLine="0" w:firstLineChars="0"/>
        <w:textAlignment w:val="auto"/>
        <w:outlineLvl w:val="0"/>
        <w:rPr>
          <w:rFonts w:hint="eastAsia" w:eastAsia="宋体" w:cs="Times New Roman"/>
          <w:color w:val="auto"/>
          <w:sz w:val="24"/>
          <w:szCs w:val="24"/>
          <w:highlight w:val="none"/>
          <w:lang w:val="en-US" w:eastAsia="zh-CN"/>
        </w:rPr>
      </w:pPr>
      <w:bookmarkStart w:id="209" w:name="_Toc25511"/>
      <w:bookmarkStart w:id="210" w:name="_Toc32611"/>
      <w:r>
        <w:rPr>
          <w:rFonts w:hint="eastAsia" w:eastAsia="宋体" w:cs="Times New Roman"/>
          <w:color w:val="auto"/>
          <w:sz w:val="24"/>
          <w:szCs w:val="24"/>
          <w:highlight w:val="none"/>
          <w:lang w:val="en-US" w:eastAsia="zh-CN"/>
        </w:rPr>
        <w:t>运营费用</w:t>
      </w:r>
      <w:bookmarkEnd w:id="209"/>
      <w:r>
        <w:rPr>
          <w:rFonts w:hint="eastAsia" w:eastAsia="宋体" w:cs="Times New Roman"/>
          <w:color w:val="auto"/>
          <w:sz w:val="24"/>
          <w:szCs w:val="24"/>
          <w:highlight w:val="none"/>
          <w:lang w:val="en-US" w:eastAsia="zh-CN"/>
        </w:rPr>
        <w:t>的组成</w:t>
      </w:r>
      <w:bookmarkEnd w:id="210"/>
    </w:p>
    <w:p w14:paraId="1ACE21CA">
      <w:pPr>
        <w:pageBreakBefore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内容所需的</w:t>
      </w:r>
      <w:r>
        <w:rPr>
          <w:rFonts w:hint="eastAsia" w:ascii="宋体" w:hAnsi="宋体" w:eastAsia="宋体" w:cs="宋体"/>
          <w:color w:val="auto"/>
          <w:sz w:val="24"/>
          <w:szCs w:val="24"/>
          <w:highlight w:val="none"/>
        </w:rPr>
        <w:t>人工</w:t>
      </w:r>
      <w:r>
        <w:rPr>
          <w:rFonts w:hint="eastAsia" w:ascii="宋体" w:hAnsi="宋体" w:eastAsia="宋体" w:cs="宋体"/>
          <w:color w:val="auto"/>
          <w:sz w:val="24"/>
          <w:szCs w:val="24"/>
          <w:highlight w:val="none"/>
          <w:lang w:val="en-US" w:eastAsia="zh-CN"/>
        </w:rPr>
        <w:t>费、</w:t>
      </w:r>
      <w:r>
        <w:rPr>
          <w:rFonts w:hint="eastAsia" w:ascii="宋体" w:hAnsi="宋体" w:cs="宋体"/>
          <w:color w:val="auto"/>
          <w:sz w:val="24"/>
          <w:szCs w:val="24"/>
          <w:highlight w:val="none"/>
          <w:lang w:val="en-US" w:eastAsia="zh-CN"/>
        </w:rPr>
        <w:t>生产</w:t>
      </w:r>
      <w:r>
        <w:rPr>
          <w:rFonts w:hint="eastAsia" w:ascii="宋体" w:hAnsi="宋体" w:cs="宋体"/>
          <w:color w:val="auto"/>
          <w:sz w:val="24"/>
          <w:szCs w:val="24"/>
          <w:highlight w:val="none"/>
        </w:rPr>
        <w:t>直接费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水电等能耗费，药剂</w:t>
      </w:r>
      <w:r>
        <w:rPr>
          <w:rFonts w:hint="eastAsia" w:ascii="宋体" w:hAnsi="宋体" w:cs="宋体"/>
          <w:color w:val="auto"/>
          <w:sz w:val="24"/>
          <w:szCs w:val="24"/>
          <w:highlight w:val="none"/>
          <w:lang w:val="en-US" w:eastAsia="zh-CN"/>
        </w:rPr>
        <w:t>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污泥装车、外运</w:t>
      </w:r>
      <w:r>
        <w:rPr>
          <w:rFonts w:hint="eastAsia" w:ascii="宋体" w:hAnsi="宋体" w:cs="宋体"/>
          <w:color w:val="auto"/>
          <w:sz w:val="24"/>
          <w:szCs w:val="24"/>
          <w:highlight w:val="none"/>
          <w:lang w:val="en-US" w:eastAsia="zh-CN"/>
        </w:rPr>
        <w:t>及</w:t>
      </w:r>
      <w:r>
        <w:rPr>
          <w:rFonts w:hint="eastAsia" w:ascii="宋体" w:hAnsi="宋体" w:cs="宋体"/>
          <w:color w:val="auto"/>
          <w:sz w:val="24"/>
          <w:szCs w:val="24"/>
          <w:highlight w:val="none"/>
        </w:rPr>
        <w:t>危废处置</w:t>
      </w:r>
      <w:r>
        <w:rPr>
          <w:rFonts w:hint="eastAsia" w:ascii="宋体" w:hAnsi="宋体" w:cs="宋体"/>
          <w:color w:val="auto"/>
          <w:sz w:val="24"/>
          <w:szCs w:val="24"/>
          <w:highlight w:val="none"/>
          <w:lang w:val="en-US" w:eastAsia="zh-CN"/>
        </w:rPr>
        <w:t>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维修保养及备品备件</w:t>
      </w:r>
      <w:r>
        <w:rPr>
          <w:rFonts w:hint="eastAsia" w:ascii="宋体" w:hAnsi="宋体" w:cs="宋体"/>
          <w:color w:val="auto"/>
          <w:sz w:val="24"/>
          <w:szCs w:val="24"/>
          <w:highlight w:val="none"/>
          <w:lang w:val="en-US" w:eastAsia="zh-CN"/>
        </w:rPr>
        <w:t>，土工作业费，填埋机械作业</w:t>
      </w:r>
      <w:r>
        <w:rPr>
          <w:rFonts w:hint="eastAsia" w:ascii="宋体" w:hAnsi="宋体" w:cs="宋体"/>
          <w:color w:val="auto"/>
          <w:sz w:val="24"/>
          <w:szCs w:val="24"/>
          <w:highlight w:val="none"/>
        </w:rPr>
        <w:t>等</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。间接费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检测分析费，行政办公</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车辆</w:t>
      </w:r>
      <w:r>
        <w:rPr>
          <w:rFonts w:hint="eastAsia" w:ascii="宋体" w:hAnsi="宋体" w:cs="宋体"/>
          <w:color w:val="auto"/>
          <w:sz w:val="24"/>
          <w:szCs w:val="24"/>
          <w:highlight w:val="none"/>
          <w:lang w:val="en-US" w:eastAsia="zh-CN"/>
        </w:rPr>
        <w:t>交通</w:t>
      </w:r>
      <w:r>
        <w:rPr>
          <w:rFonts w:hint="eastAsia" w:ascii="宋体" w:hAnsi="宋体" w:cs="宋体"/>
          <w:color w:val="auto"/>
          <w:sz w:val="24"/>
          <w:szCs w:val="24"/>
          <w:highlight w:val="none"/>
        </w:rPr>
        <w:t>，安全</w:t>
      </w:r>
      <w:r>
        <w:rPr>
          <w:rFonts w:hint="eastAsia" w:ascii="宋体" w:hAnsi="宋体" w:cs="宋体"/>
          <w:color w:val="auto"/>
          <w:sz w:val="24"/>
          <w:szCs w:val="24"/>
          <w:highlight w:val="none"/>
          <w:lang w:val="en-US" w:eastAsia="zh-CN"/>
        </w:rPr>
        <w:t>管理</w:t>
      </w:r>
      <w:r>
        <w:rPr>
          <w:rFonts w:hint="eastAsia" w:ascii="宋体" w:hAnsi="宋体" w:cs="宋体"/>
          <w:color w:val="auto"/>
          <w:sz w:val="24"/>
          <w:szCs w:val="24"/>
          <w:highlight w:val="none"/>
        </w:rPr>
        <w:t>，绿化养护等</w:t>
      </w:r>
      <w:r>
        <w:rPr>
          <w:rFonts w:hint="eastAsia" w:ascii="宋体" w:hAnsi="宋体" w:cs="宋体"/>
          <w:color w:val="auto"/>
          <w:sz w:val="24"/>
          <w:szCs w:val="24"/>
          <w:highlight w:val="none"/>
          <w:lang w:val="en-US" w:eastAsia="zh-CN"/>
        </w:rPr>
        <w:t>管理费用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、税金及其它相关的一切费用，以及合同实施过程中的应预见及不可预见费用等完成合同规定责任和义务、达到合同</w:t>
      </w:r>
      <w:r>
        <w:rPr>
          <w:rFonts w:hint="eastAsia" w:ascii="宋体" w:hAnsi="宋体" w:cs="宋体"/>
          <w:color w:val="auto"/>
          <w:sz w:val="24"/>
          <w:szCs w:val="24"/>
          <w:highlight w:val="none"/>
          <w:lang w:val="en-US" w:eastAsia="zh-CN"/>
        </w:rPr>
        <w:t>约定目标</w:t>
      </w:r>
      <w:r>
        <w:rPr>
          <w:rFonts w:hint="eastAsia" w:ascii="宋体" w:hAnsi="宋体" w:cs="宋体"/>
          <w:color w:val="auto"/>
          <w:sz w:val="24"/>
          <w:szCs w:val="24"/>
          <w:highlight w:val="none"/>
        </w:rPr>
        <w:t>的一切费用</w:t>
      </w:r>
      <w:r>
        <w:rPr>
          <w:rFonts w:hint="eastAsia" w:ascii="宋体" w:hAnsi="宋体" w:cs="宋体"/>
          <w:color w:val="auto"/>
          <w:sz w:val="24"/>
          <w:szCs w:val="24"/>
          <w:highlight w:val="none"/>
          <w:lang w:eastAsia="zh-CN"/>
        </w:rPr>
        <w:t>。</w:t>
      </w:r>
    </w:p>
    <w:p w14:paraId="5203FCE4">
      <w:pPr>
        <w:pStyle w:val="3"/>
        <w:keepNext/>
        <w:keepLines/>
        <w:pageBreakBefore w:val="0"/>
        <w:widowControl w:val="0"/>
        <w:numPr>
          <w:ilvl w:val="0"/>
          <w:numId w:val="6"/>
        </w:numPr>
        <w:kinsoku/>
        <w:wordWrap/>
        <w:overflowPunct/>
        <w:topLinePunct w:val="0"/>
        <w:autoSpaceDE/>
        <w:autoSpaceDN/>
        <w:bidi w:val="0"/>
        <w:adjustRightInd/>
        <w:snapToGrid/>
        <w:spacing w:before="0" w:after="0" w:line="460" w:lineRule="exact"/>
        <w:ind w:left="0" w:leftChars="0" w:firstLine="0" w:firstLineChars="0"/>
        <w:textAlignment w:val="auto"/>
        <w:outlineLvl w:val="0"/>
        <w:rPr>
          <w:rFonts w:hint="eastAsia" w:eastAsia="宋体" w:cs="Times New Roman"/>
          <w:color w:val="auto"/>
          <w:sz w:val="24"/>
          <w:szCs w:val="24"/>
          <w:highlight w:val="none"/>
          <w:lang w:val="en-US" w:eastAsia="zh-CN"/>
        </w:rPr>
      </w:pPr>
      <w:bookmarkStart w:id="211" w:name="_Toc11456"/>
      <w:r>
        <w:rPr>
          <w:rFonts w:hint="eastAsia" w:eastAsia="宋体" w:cs="Times New Roman"/>
          <w:color w:val="auto"/>
          <w:sz w:val="24"/>
          <w:szCs w:val="24"/>
          <w:highlight w:val="none"/>
          <w:lang w:val="en-US" w:eastAsia="zh-CN"/>
        </w:rPr>
        <w:t>服务要求</w:t>
      </w:r>
      <w:bookmarkEnd w:id="211"/>
      <w:r>
        <w:rPr>
          <w:rFonts w:hint="eastAsia" w:eastAsia="宋体" w:cs="Times New Roman"/>
          <w:color w:val="auto"/>
          <w:sz w:val="24"/>
          <w:szCs w:val="24"/>
          <w:highlight w:val="none"/>
          <w:lang w:val="en-US" w:eastAsia="zh-CN"/>
        </w:rPr>
        <w:t xml:space="preserve"> </w:t>
      </w:r>
    </w:p>
    <w:p w14:paraId="061E17F3">
      <w:pPr>
        <w:keepNext w:val="0"/>
        <w:keepLines w:val="0"/>
        <w:pageBreakBefore w:val="0"/>
        <w:widowControl/>
        <w:numPr>
          <w:ilvl w:val="0"/>
          <w:numId w:val="9"/>
        </w:numPr>
        <w:suppressLineNumbers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服务期限：合同履行期限1年，总服务期限2年（一年一签）</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 xml:space="preserve">根据考核情况续签下一年。 </w:t>
      </w:r>
    </w:p>
    <w:p w14:paraId="3635E887">
      <w:pPr>
        <w:keepNext w:val="0"/>
        <w:keepLines w:val="0"/>
        <w:pageBreakBefore w:val="0"/>
        <w:widowControl/>
        <w:numPr>
          <w:ilvl w:val="0"/>
          <w:numId w:val="9"/>
        </w:numPr>
        <w:suppressLineNumbers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服务要求 </w:t>
      </w:r>
    </w:p>
    <w:p w14:paraId="27D63C44">
      <w:pPr>
        <w:keepNext w:val="0"/>
        <w:keepLines w:val="0"/>
        <w:pageBreakBefore w:val="0"/>
        <w:widowControl/>
        <w:numPr>
          <w:ilvl w:val="0"/>
          <w:numId w:val="10"/>
        </w:numPr>
        <w:suppressLineNumbers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运营商需具备污染治理设施运行服务能力评价证书（生活污水处理二级及以上），同时能积极协调与当地环保局的相关事宜做好环保工作，配合上级领导部门的检查验收工作。</w:t>
      </w:r>
    </w:p>
    <w:p w14:paraId="5424018B">
      <w:pPr>
        <w:keepNext w:val="0"/>
        <w:keepLines w:val="0"/>
        <w:pageBreakBefore w:val="0"/>
        <w:widowControl/>
        <w:numPr>
          <w:ilvl w:val="0"/>
          <w:numId w:val="10"/>
        </w:numPr>
        <w:suppressLineNumbers w:val="0"/>
        <w:kinsoku/>
        <w:wordWrap/>
        <w:overflowPunct/>
        <w:topLinePunct w:val="0"/>
        <w:autoSpaceDE/>
        <w:autoSpaceDN/>
        <w:bidi w:val="0"/>
        <w:adjustRightInd/>
        <w:snapToGrid/>
        <w:spacing w:line="460" w:lineRule="exact"/>
        <w:ind w:left="0" w:leftChars="0"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建立健全</w:t>
      </w:r>
      <w:r>
        <w:rPr>
          <w:rFonts w:hint="eastAsia" w:ascii="宋体" w:hAnsi="宋体" w:cs="宋体"/>
          <w:color w:val="auto"/>
          <w:sz w:val="24"/>
          <w:szCs w:val="24"/>
          <w:highlight w:val="none"/>
        </w:rPr>
        <w:t>两厂（场）</w:t>
      </w:r>
      <w:r>
        <w:rPr>
          <w:rFonts w:hint="eastAsia" w:ascii="宋体" w:hAnsi="宋体" w:cs="宋体"/>
          <w:color w:val="auto"/>
          <w:sz w:val="24"/>
          <w:szCs w:val="24"/>
          <w:highlight w:val="none"/>
          <w:lang w:val="en-US" w:eastAsia="zh-CN"/>
        </w:rPr>
        <w:t>项目</w:t>
      </w:r>
      <w:r>
        <w:rPr>
          <w:rFonts w:hint="eastAsia" w:ascii="宋体" w:hAnsi="宋体" w:eastAsia="宋体" w:cs="宋体"/>
          <w:color w:val="auto"/>
          <w:kern w:val="0"/>
          <w:sz w:val="24"/>
          <w:szCs w:val="24"/>
          <w:highlight w:val="none"/>
          <w:lang w:val="en-US" w:eastAsia="zh-CN" w:bidi="ar"/>
        </w:rPr>
        <w:t>的组织管理机构，做到严格高效管理，保障安全运营。</w:t>
      </w:r>
    </w:p>
    <w:p w14:paraId="70E40B30">
      <w:pPr>
        <w:keepNext w:val="0"/>
        <w:keepLines w:val="0"/>
        <w:pageBreakBefore w:val="0"/>
        <w:widowControl/>
        <w:numPr>
          <w:ilvl w:val="0"/>
          <w:numId w:val="10"/>
        </w:numPr>
        <w:suppressLineNumbers w:val="0"/>
        <w:kinsoku/>
        <w:wordWrap/>
        <w:overflowPunct/>
        <w:topLinePunct w:val="0"/>
        <w:autoSpaceDE/>
        <w:autoSpaceDN/>
        <w:bidi w:val="0"/>
        <w:adjustRightInd/>
        <w:snapToGrid/>
        <w:spacing w:line="460" w:lineRule="exact"/>
        <w:ind w:left="0" w:leftChars="0"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在运营期间要确保人员安全和装置安全，由乙方自行配备符合国家安全标准的劳动防护用品和应急救援物资，杜绝发生伤亡事故，如运营期间发生安全责任事故，由乙方承担全部责任。 </w:t>
      </w:r>
    </w:p>
    <w:p w14:paraId="6B55DFEE">
      <w:pPr>
        <w:keepNext w:val="0"/>
        <w:keepLines w:val="0"/>
        <w:pageBreakBefore w:val="0"/>
        <w:widowControl/>
        <w:numPr>
          <w:ilvl w:val="0"/>
          <w:numId w:val="10"/>
        </w:numPr>
        <w:suppressLineNumbers w:val="0"/>
        <w:kinsoku/>
        <w:wordWrap/>
        <w:overflowPunct/>
        <w:topLinePunct w:val="0"/>
        <w:autoSpaceDE/>
        <w:autoSpaceDN/>
        <w:bidi w:val="0"/>
        <w:adjustRightInd/>
        <w:snapToGrid/>
        <w:spacing w:line="460" w:lineRule="exact"/>
        <w:ind w:left="0" w:leftChars="0"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做好运营期间</w:t>
      </w:r>
      <w:r>
        <w:rPr>
          <w:rFonts w:hint="eastAsia" w:ascii="宋体" w:hAnsi="宋体" w:cs="宋体"/>
          <w:color w:val="auto"/>
          <w:sz w:val="24"/>
          <w:szCs w:val="24"/>
          <w:highlight w:val="none"/>
        </w:rPr>
        <w:t>两厂（场）</w:t>
      </w:r>
      <w:r>
        <w:rPr>
          <w:rFonts w:hint="eastAsia" w:ascii="宋体" w:hAnsi="宋体" w:eastAsia="宋体" w:cs="宋体"/>
          <w:color w:val="auto"/>
          <w:kern w:val="0"/>
          <w:sz w:val="24"/>
          <w:szCs w:val="24"/>
          <w:highlight w:val="none"/>
          <w:lang w:val="en-US" w:eastAsia="zh-CN" w:bidi="ar"/>
        </w:rPr>
        <w:t xml:space="preserve">日常生产所需的水处理药剂的采购和使用，应具备简单的化验条件，化验分析所需的药剂耗材由运营商自行购置。 </w:t>
      </w:r>
    </w:p>
    <w:p w14:paraId="0CD11FC5">
      <w:pPr>
        <w:keepNext w:val="0"/>
        <w:keepLines w:val="0"/>
        <w:pageBreakBefore w:val="0"/>
        <w:widowControl/>
        <w:numPr>
          <w:ilvl w:val="0"/>
          <w:numId w:val="10"/>
        </w:numPr>
        <w:suppressLineNumbers w:val="0"/>
        <w:kinsoku/>
        <w:wordWrap/>
        <w:overflowPunct/>
        <w:topLinePunct w:val="0"/>
        <w:autoSpaceDE/>
        <w:autoSpaceDN/>
        <w:bidi w:val="0"/>
        <w:adjustRightInd/>
        <w:snapToGrid/>
        <w:spacing w:line="460" w:lineRule="exact"/>
        <w:ind w:left="0" w:leftChars="0" w:firstLine="480" w:firstLineChars="200"/>
        <w:jc w:val="left"/>
        <w:textAlignment w:val="auto"/>
        <w:rPr>
          <w:color w:val="auto"/>
          <w:sz w:val="24"/>
          <w:szCs w:val="24"/>
          <w:highlight w:val="none"/>
        </w:rPr>
      </w:pPr>
      <w:r>
        <w:rPr>
          <w:rFonts w:hint="eastAsia" w:ascii="宋体" w:hAnsi="宋体" w:cs="宋体"/>
          <w:color w:val="auto"/>
          <w:sz w:val="24"/>
          <w:szCs w:val="24"/>
          <w:highlight w:val="none"/>
        </w:rPr>
        <w:t>两厂（场）</w:t>
      </w:r>
      <w:r>
        <w:rPr>
          <w:rFonts w:hint="eastAsia" w:ascii="宋体" w:hAnsi="宋体" w:cs="宋体"/>
          <w:color w:val="auto"/>
          <w:sz w:val="24"/>
          <w:szCs w:val="24"/>
          <w:highlight w:val="none"/>
          <w:lang w:val="en-US" w:eastAsia="zh-CN"/>
        </w:rPr>
        <w:t>项目</w:t>
      </w:r>
      <w:r>
        <w:rPr>
          <w:rFonts w:hint="eastAsia" w:ascii="宋体" w:hAnsi="宋体" w:eastAsia="宋体" w:cs="宋体"/>
          <w:color w:val="auto"/>
          <w:kern w:val="0"/>
          <w:sz w:val="24"/>
          <w:szCs w:val="24"/>
          <w:highlight w:val="none"/>
          <w:lang w:val="en-US" w:eastAsia="zh-CN" w:bidi="ar"/>
        </w:rPr>
        <w:t xml:space="preserve">所有设备交付乙方使用，乙方必须做好设施设备的日常使用维护保养工作，运营过程中产生的污泥，均由乙方根据生态环保要求运送至甲方指定地点处理并按环评批复要求处置方式执行，对于危险废物由乙方送至有资质的处理单位进行处理。 </w:t>
      </w:r>
    </w:p>
    <w:p w14:paraId="6B3754EE">
      <w:pPr>
        <w:keepNext w:val="0"/>
        <w:keepLines w:val="0"/>
        <w:pageBreakBefore w:val="0"/>
        <w:widowControl/>
        <w:numPr>
          <w:ilvl w:val="0"/>
          <w:numId w:val="10"/>
        </w:numPr>
        <w:suppressLineNumbers w:val="0"/>
        <w:kinsoku/>
        <w:wordWrap/>
        <w:overflowPunct/>
        <w:topLinePunct w:val="0"/>
        <w:autoSpaceDE/>
        <w:autoSpaceDN/>
        <w:bidi w:val="0"/>
        <w:adjustRightInd/>
        <w:snapToGrid/>
        <w:spacing w:line="460" w:lineRule="exact"/>
        <w:ind w:left="0" w:leftChars="0"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做好</w:t>
      </w:r>
      <w:r>
        <w:rPr>
          <w:rFonts w:hint="eastAsia" w:ascii="宋体" w:hAnsi="宋体" w:cs="宋体"/>
          <w:color w:val="auto"/>
          <w:sz w:val="24"/>
          <w:szCs w:val="24"/>
          <w:highlight w:val="none"/>
        </w:rPr>
        <w:t>两厂（场）</w:t>
      </w:r>
      <w:r>
        <w:rPr>
          <w:rFonts w:hint="eastAsia" w:ascii="宋体" w:hAnsi="宋体" w:cs="宋体"/>
          <w:color w:val="auto"/>
          <w:sz w:val="24"/>
          <w:szCs w:val="24"/>
          <w:highlight w:val="none"/>
          <w:lang w:val="en-US" w:eastAsia="zh-CN"/>
        </w:rPr>
        <w:t>项目</w:t>
      </w:r>
      <w:r>
        <w:rPr>
          <w:rFonts w:hint="eastAsia" w:ascii="宋体" w:hAnsi="宋体" w:eastAsia="宋体" w:cs="宋体"/>
          <w:color w:val="auto"/>
          <w:kern w:val="0"/>
          <w:sz w:val="24"/>
          <w:szCs w:val="24"/>
          <w:highlight w:val="none"/>
          <w:lang w:val="en-US" w:eastAsia="zh-CN" w:bidi="ar"/>
        </w:rPr>
        <w:t>运营和管理的相关台帐记录，包括设备检查，安全检查，工艺检查以及生产运行台账记录、污泥处理记录，按时向生态环保部门、甲方上报准确真实的报表</w:t>
      </w:r>
      <w:r>
        <w:rPr>
          <w:rFonts w:hint="eastAsia" w:ascii="宋体" w:hAnsi="宋体" w:cs="宋体"/>
          <w:color w:val="auto"/>
          <w:kern w:val="0"/>
          <w:sz w:val="24"/>
          <w:szCs w:val="24"/>
          <w:highlight w:val="none"/>
          <w:lang w:val="en-US" w:eastAsia="zh-CN" w:bidi="ar"/>
        </w:rPr>
        <w:t>台账</w:t>
      </w:r>
      <w:r>
        <w:rPr>
          <w:rFonts w:hint="eastAsia" w:ascii="宋体" w:hAnsi="宋体" w:eastAsia="宋体" w:cs="宋体"/>
          <w:color w:val="auto"/>
          <w:kern w:val="0"/>
          <w:sz w:val="24"/>
          <w:szCs w:val="24"/>
          <w:highlight w:val="none"/>
          <w:lang w:val="en-US" w:eastAsia="zh-CN" w:bidi="ar"/>
        </w:rPr>
        <w:t>等相关运营记录</w:t>
      </w:r>
      <w:r>
        <w:rPr>
          <w:rFonts w:hint="eastAsia" w:ascii="宋体" w:hAnsi="宋体" w:cs="宋体"/>
          <w:color w:val="auto"/>
          <w:kern w:val="0"/>
          <w:sz w:val="24"/>
          <w:szCs w:val="24"/>
          <w:highlight w:val="none"/>
          <w:lang w:val="en-US" w:eastAsia="zh-CN" w:bidi="ar"/>
        </w:rPr>
        <w:t>资料</w:t>
      </w:r>
      <w:r>
        <w:rPr>
          <w:rFonts w:hint="eastAsia" w:ascii="宋体" w:hAnsi="宋体" w:eastAsia="宋体" w:cs="宋体"/>
          <w:color w:val="auto"/>
          <w:kern w:val="0"/>
          <w:sz w:val="24"/>
          <w:szCs w:val="24"/>
          <w:highlight w:val="none"/>
          <w:lang w:val="en-US" w:eastAsia="zh-CN" w:bidi="ar"/>
        </w:rPr>
        <w:t xml:space="preserve">。 </w:t>
      </w:r>
    </w:p>
    <w:p w14:paraId="3A2716C4">
      <w:pPr>
        <w:keepNext w:val="0"/>
        <w:keepLines w:val="0"/>
        <w:pageBreakBefore w:val="0"/>
        <w:widowControl/>
        <w:numPr>
          <w:ilvl w:val="0"/>
          <w:numId w:val="10"/>
        </w:numPr>
        <w:suppressLineNumbers w:val="0"/>
        <w:kinsoku/>
        <w:wordWrap/>
        <w:overflowPunct/>
        <w:topLinePunct w:val="0"/>
        <w:autoSpaceDE/>
        <w:autoSpaceDN/>
        <w:bidi w:val="0"/>
        <w:adjustRightInd/>
        <w:snapToGrid/>
        <w:spacing w:line="460" w:lineRule="exact"/>
        <w:ind w:left="0" w:leftChars="0"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做好运营人员的岗位教育培训，按要求检查构筑物、设备、电器和仪表的运营情况，发现设备运营问题及时处理。严格执行管理考核制度，如出现违规违法行为导致一切责任由乙方承担相关责任。</w:t>
      </w:r>
    </w:p>
    <w:p w14:paraId="66E5CE7E">
      <w:pPr>
        <w:keepNext w:val="0"/>
        <w:keepLines w:val="0"/>
        <w:pageBreakBefore w:val="0"/>
        <w:widowControl/>
        <w:numPr>
          <w:ilvl w:val="0"/>
          <w:numId w:val="10"/>
        </w:numPr>
        <w:suppressLineNumbers w:val="0"/>
        <w:kinsoku/>
        <w:wordWrap/>
        <w:overflowPunct/>
        <w:topLinePunct w:val="0"/>
        <w:autoSpaceDE/>
        <w:autoSpaceDN/>
        <w:bidi w:val="0"/>
        <w:adjustRightInd/>
        <w:snapToGrid/>
        <w:spacing w:line="460" w:lineRule="exact"/>
        <w:ind w:left="0" w:leftChars="0"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其他与污水处理厂、固废场有关的一切行政事务。</w:t>
      </w:r>
    </w:p>
    <w:p w14:paraId="17F1E977">
      <w:pPr>
        <w:keepNext w:val="0"/>
        <w:keepLines w:val="0"/>
        <w:pageBreakBefore w:val="0"/>
        <w:widowControl/>
        <w:numPr>
          <w:ilvl w:val="0"/>
          <w:numId w:val="9"/>
        </w:numPr>
        <w:suppressLineNumbers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人员要求 </w:t>
      </w:r>
    </w:p>
    <w:p w14:paraId="4C16D445">
      <w:pPr>
        <w:keepNext w:val="0"/>
        <w:keepLines w:val="0"/>
        <w:pageBreakBefore w:val="0"/>
        <w:widowControl/>
        <w:numPr>
          <w:ilvl w:val="0"/>
          <w:numId w:val="11"/>
        </w:numPr>
        <w:suppressLineNumbers w:val="0"/>
        <w:kinsoku/>
        <w:wordWrap/>
        <w:overflowPunct/>
        <w:topLinePunct w:val="0"/>
        <w:autoSpaceDE/>
        <w:autoSpaceDN/>
        <w:bidi w:val="0"/>
        <w:adjustRightInd/>
        <w:snapToGrid/>
        <w:spacing w:line="460" w:lineRule="exact"/>
        <w:ind w:left="0" w:leftChars="0" w:firstLine="480" w:firstLineChars="200"/>
        <w:jc w:val="left"/>
        <w:textAlignment w:val="auto"/>
        <w:rPr>
          <w:color w:val="auto"/>
          <w:sz w:val="24"/>
          <w:szCs w:val="24"/>
          <w:highlight w:val="none"/>
        </w:rPr>
      </w:pPr>
      <w:r>
        <w:rPr>
          <w:rFonts w:hint="eastAsia" w:ascii="宋体" w:hAnsi="宋体" w:cs="宋体"/>
          <w:color w:val="auto"/>
          <w:kern w:val="0"/>
          <w:sz w:val="24"/>
          <w:szCs w:val="24"/>
          <w:highlight w:val="none"/>
          <w:lang w:val="en-US" w:eastAsia="zh-CN" w:bidi="ar"/>
        </w:rPr>
        <w:t>运行</w:t>
      </w:r>
      <w:r>
        <w:rPr>
          <w:rFonts w:hint="eastAsia" w:ascii="宋体" w:hAnsi="宋体" w:eastAsia="宋体" w:cs="宋体"/>
          <w:color w:val="auto"/>
          <w:kern w:val="0"/>
          <w:sz w:val="24"/>
          <w:szCs w:val="24"/>
          <w:highlight w:val="none"/>
          <w:lang w:val="en-US" w:eastAsia="zh-CN" w:bidi="ar"/>
        </w:rPr>
        <w:t xml:space="preserve">人员，应进行相关岗位的培训，应达到懂原理、会操作、问题诊断、故障排除，同时还可进行简单的维护管理，保证处理效果。 </w:t>
      </w:r>
    </w:p>
    <w:p w14:paraId="5E4D5801">
      <w:pPr>
        <w:keepNext w:val="0"/>
        <w:keepLines w:val="0"/>
        <w:pageBreakBefore w:val="0"/>
        <w:widowControl/>
        <w:numPr>
          <w:ilvl w:val="0"/>
          <w:numId w:val="11"/>
        </w:numPr>
        <w:suppressLineNumbers w:val="0"/>
        <w:kinsoku/>
        <w:wordWrap/>
        <w:overflowPunct/>
        <w:topLinePunct w:val="0"/>
        <w:autoSpaceDE/>
        <w:autoSpaceDN/>
        <w:bidi w:val="0"/>
        <w:adjustRightInd/>
        <w:snapToGrid/>
        <w:spacing w:line="460" w:lineRule="exact"/>
        <w:ind w:left="0" w:leftChars="0"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运营管理人员必须熟悉本</w:t>
      </w:r>
      <w:r>
        <w:rPr>
          <w:rFonts w:hint="eastAsia" w:ascii="宋体" w:hAnsi="宋体" w:cs="宋体"/>
          <w:color w:val="auto"/>
          <w:kern w:val="0"/>
          <w:sz w:val="24"/>
          <w:szCs w:val="24"/>
          <w:highlight w:val="none"/>
          <w:lang w:val="en-US" w:eastAsia="zh-CN" w:bidi="ar"/>
        </w:rPr>
        <w:t>项目所有</w:t>
      </w:r>
      <w:r>
        <w:rPr>
          <w:rFonts w:hint="eastAsia" w:ascii="宋体" w:hAnsi="宋体" w:eastAsia="宋体" w:cs="宋体"/>
          <w:color w:val="auto"/>
          <w:kern w:val="0"/>
          <w:sz w:val="24"/>
          <w:szCs w:val="24"/>
          <w:highlight w:val="none"/>
          <w:lang w:val="en-US" w:eastAsia="zh-CN" w:bidi="ar"/>
        </w:rPr>
        <w:t xml:space="preserve">处理工艺和设施、设备的运营要求和系统各单元的技术要求。 </w:t>
      </w:r>
    </w:p>
    <w:p w14:paraId="74898FB9">
      <w:pPr>
        <w:keepNext w:val="0"/>
        <w:keepLines w:val="0"/>
        <w:pageBreakBefore w:val="0"/>
        <w:widowControl/>
        <w:numPr>
          <w:ilvl w:val="0"/>
          <w:numId w:val="11"/>
        </w:numPr>
        <w:suppressLineNumbers w:val="0"/>
        <w:kinsoku/>
        <w:wordWrap/>
        <w:overflowPunct/>
        <w:topLinePunct w:val="0"/>
        <w:autoSpaceDE/>
        <w:autoSpaceDN/>
        <w:bidi w:val="0"/>
        <w:adjustRightInd/>
        <w:snapToGrid/>
        <w:spacing w:line="460" w:lineRule="exact"/>
        <w:ind w:left="0" w:leftChars="0"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运营管理人员必须熟悉各处理单元配备设备的设备结构原理、使用说明。 </w:t>
      </w:r>
    </w:p>
    <w:p w14:paraId="3EA2711C">
      <w:pPr>
        <w:keepNext w:val="0"/>
        <w:keepLines w:val="0"/>
        <w:pageBreakBefore w:val="0"/>
        <w:widowControl/>
        <w:numPr>
          <w:ilvl w:val="0"/>
          <w:numId w:val="11"/>
        </w:numPr>
        <w:suppressLineNumbers w:val="0"/>
        <w:kinsoku/>
        <w:wordWrap/>
        <w:overflowPunct/>
        <w:topLinePunct w:val="0"/>
        <w:autoSpaceDE/>
        <w:autoSpaceDN/>
        <w:bidi w:val="0"/>
        <w:adjustRightInd/>
        <w:snapToGrid/>
        <w:spacing w:line="460" w:lineRule="exact"/>
        <w:ind w:left="0" w:leftChars="0"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运营管理人员和操作人员应按要求巡视检查构筑物、设备、电器和仪表的运营情况。 </w:t>
      </w:r>
    </w:p>
    <w:p w14:paraId="74A3894F">
      <w:pPr>
        <w:keepNext w:val="0"/>
        <w:keepLines w:val="0"/>
        <w:pageBreakBefore w:val="0"/>
        <w:widowControl/>
        <w:numPr>
          <w:ilvl w:val="0"/>
          <w:numId w:val="11"/>
        </w:numPr>
        <w:suppressLineNumbers w:val="0"/>
        <w:kinsoku/>
        <w:wordWrap/>
        <w:overflowPunct/>
        <w:topLinePunct w:val="0"/>
        <w:autoSpaceDE/>
        <w:autoSpaceDN/>
        <w:bidi w:val="0"/>
        <w:adjustRightInd/>
        <w:snapToGrid/>
        <w:spacing w:line="460" w:lineRule="exact"/>
        <w:ind w:left="0" w:leftChars="0"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各岗位的操作人员应按时做好运营记录，数据应准确无误。 </w:t>
      </w:r>
    </w:p>
    <w:p w14:paraId="30F53C80">
      <w:pPr>
        <w:keepNext w:val="0"/>
        <w:keepLines w:val="0"/>
        <w:pageBreakBefore w:val="0"/>
        <w:widowControl/>
        <w:numPr>
          <w:ilvl w:val="0"/>
          <w:numId w:val="11"/>
        </w:numPr>
        <w:suppressLineNumbers w:val="0"/>
        <w:kinsoku/>
        <w:wordWrap/>
        <w:overflowPunct/>
        <w:topLinePunct w:val="0"/>
        <w:autoSpaceDE/>
        <w:autoSpaceDN/>
        <w:bidi w:val="0"/>
        <w:adjustRightInd/>
        <w:snapToGrid/>
        <w:spacing w:line="460" w:lineRule="exact"/>
        <w:ind w:left="0" w:leftChars="0"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操作人员发现设备运营不正常时，应及时处理或上报主管部门。 </w:t>
      </w:r>
    </w:p>
    <w:p w14:paraId="229CA186">
      <w:pPr>
        <w:keepNext w:val="0"/>
        <w:keepLines w:val="0"/>
        <w:pageBreakBefore w:val="0"/>
        <w:widowControl/>
        <w:numPr>
          <w:ilvl w:val="0"/>
          <w:numId w:val="11"/>
        </w:numPr>
        <w:suppressLineNumbers w:val="0"/>
        <w:kinsoku/>
        <w:wordWrap/>
        <w:overflowPunct/>
        <w:topLinePunct w:val="0"/>
        <w:autoSpaceDE/>
        <w:autoSpaceDN/>
        <w:bidi w:val="0"/>
        <w:adjustRightInd/>
        <w:snapToGrid/>
        <w:spacing w:line="460" w:lineRule="exact"/>
        <w:ind w:left="0" w:leftChars="0"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各种机械设备应保持清洁、无漏水、漏气等。 </w:t>
      </w:r>
    </w:p>
    <w:p w14:paraId="3B4EBFD4">
      <w:pPr>
        <w:keepNext w:val="0"/>
        <w:keepLines w:val="0"/>
        <w:pageBreakBefore w:val="0"/>
        <w:widowControl/>
        <w:numPr>
          <w:ilvl w:val="0"/>
          <w:numId w:val="11"/>
        </w:numPr>
        <w:suppressLineNumbers w:val="0"/>
        <w:kinsoku/>
        <w:wordWrap/>
        <w:overflowPunct/>
        <w:topLinePunct w:val="0"/>
        <w:autoSpaceDE/>
        <w:autoSpaceDN/>
        <w:bidi w:val="0"/>
        <w:adjustRightInd/>
        <w:snapToGrid/>
        <w:spacing w:line="460" w:lineRule="exact"/>
        <w:ind w:left="0" w:leftChars="0"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水处理构筑物堰口、池壁应保持清洁、完好。 </w:t>
      </w:r>
    </w:p>
    <w:p w14:paraId="01274FFC">
      <w:pPr>
        <w:keepNext w:val="0"/>
        <w:keepLines w:val="0"/>
        <w:pageBreakBefore w:val="0"/>
        <w:widowControl/>
        <w:numPr>
          <w:ilvl w:val="0"/>
          <w:numId w:val="11"/>
        </w:numPr>
        <w:suppressLineNumbers w:val="0"/>
        <w:kinsoku/>
        <w:wordWrap/>
        <w:overflowPunct/>
        <w:topLinePunct w:val="0"/>
        <w:autoSpaceDE/>
        <w:autoSpaceDN/>
        <w:bidi w:val="0"/>
        <w:adjustRightInd/>
        <w:snapToGrid/>
        <w:spacing w:line="460" w:lineRule="exact"/>
        <w:ind w:left="0" w:leftChars="0"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应根据不同机电设备要求，定时检查、添加或更换润滑油或润滑脂。（使用原设备生产厂家指定品牌的润滑油或润滑脂） </w:t>
      </w:r>
    </w:p>
    <w:p w14:paraId="5AC8F000">
      <w:pPr>
        <w:keepNext w:val="0"/>
        <w:keepLines w:val="0"/>
        <w:pageBreakBefore w:val="0"/>
        <w:widowControl/>
        <w:numPr>
          <w:ilvl w:val="0"/>
          <w:numId w:val="9"/>
        </w:numPr>
        <w:suppressLineNumbers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安全操作要求 </w:t>
      </w:r>
    </w:p>
    <w:p w14:paraId="63D45DE3">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由于</w:t>
      </w:r>
      <w:r>
        <w:rPr>
          <w:rFonts w:hint="eastAsia" w:ascii="宋体" w:hAnsi="宋体" w:cs="宋体"/>
          <w:color w:val="auto"/>
          <w:sz w:val="24"/>
          <w:szCs w:val="24"/>
          <w:highlight w:val="none"/>
        </w:rPr>
        <w:t>两厂（场）</w:t>
      </w:r>
      <w:r>
        <w:rPr>
          <w:rFonts w:hint="eastAsia" w:ascii="宋体" w:hAnsi="宋体" w:eastAsia="宋体" w:cs="宋体"/>
          <w:color w:val="auto"/>
          <w:kern w:val="0"/>
          <w:sz w:val="24"/>
          <w:szCs w:val="24"/>
          <w:highlight w:val="none"/>
          <w:lang w:val="en-US" w:eastAsia="zh-CN" w:bidi="ar"/>
        </w:rPr>
        <w:t xml:space="preserve">内有高压电路和各种设备，因此，在系统试运营阶段乃至今后的日常运营中，必须重视安全生产。 </w:t>
      </w:r>
    </w:p>
    <w:p w14:paraId="69B7C398">
      <w:pPr>
        <w:keepNext w:val="0"/>
        <w:keepLines w:val="0"/>
        <w:pageBreakBefore w:val="0"/>
        <w:widowControl/>
        <w:numPr>
          <w:ilvl w:val="0"/>
          <w:numId w:val="12"/>
        </w:numPr>
        <w:suppressLineNumbers w:val="0"/>
        <w:kinsoku/>
        <w:wordWrap/>
        <w:overflowPunct/>
        <w:topLinePunct w:val="0"/>
        <w:autoSpaceDE/>
        <w:autoSpaceDN/>
        <w:bidi w:val="0"/>
        <w:adjustRightInd/>
        <w:snapToGrid/>
        <w:spacing w:line="460" w:lineRule="exact"/>
        <w:ind w:left="0" w:leftChars="0"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各岗位操作人员和维修人员必须经过技术培训和生产实践。 </w:t>
      </w:r>
    </w:p>
    <w:p w14:paraId="2AB38205">
      <w:pPr>
        <w:keepNext w:val="0"/>
        <w:keepLines w:val="0"/>
        <w:pageBreakBefore w:val="0"/>
        <w:widowControl/>
        <w:numPr>
          <w:ilvl w:val="0"/>
          <w:numId w:val="12"/>
        </w:numPr>
        <w:suppressLineNumbers w:val="0"/>
        <w:kinsoku/>
        <w:wordWrap/>
        <w:overflowPunct/>
        <w:topLinePunct w:val="0"/>
        <w:autoSpaceDE/>
        <w:autoSpaceDN/>
        <w:bidi w:val="0"/>
        <w:adjustRightInd/>
        <w:snapToGrid/>
        <w:spacing w:line="460" w:lineRule="exact"/>
        <w:ind w:left="0" w:leftChars="0"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系统启动前应做好各种准备工作。 </w:t>
      </w:r>
    </w:p>
    <w:p w14:paraId="62C562EE">
      <w:pPr>
        <w:keepNext w:val="0"/>
        <w:keepLines w:val="0"/>
        <w:pageBreakBefore w:val="0"/>
        <w:widowControl/>
        <w:numPr>
          <w:ilvl w:val="0"/>
          <w:numId w:val="12"/>
        </w:numPr>
        <w:suppressLineNumbers w:val="0"/>
        <w:kinsoku/>
        <w:wordWrap/>
        <w:overflowPunct/>
        <w:topLinePunct w:val="0"/>
        <w:autoSpaceDE/>
        <w:autoSpaceDN/>
        <w:bidi w:val="0"/>
        <w:adjustRightInd/>
        <w:snapToGrid/>
        <w:spacing w:line="460" w:lineRule="exact"/>
        <w:ind w:left="0" w:leftChars="0"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电源电压大于或小于额定电压5%时，不宜启动电机。 </w:t>
      </w:r>
    </w:p>
    <w:p w14:paraId="1C5167F9">
      <w:pPr>
        <w:keepNext w:val="0"/>
        <w:keepLines w:val="0"/>
        <w:pageBreakBefore w:val="0"/>
        <w:widowControl/>
        <w:numPr>
          <w:ilvl w:val="0"/>
          <w:numId w:val="12"/>
        </w:numPr>
        <w:suppressLineNumbers w:val="0"/>
        <w:kinsoku/>
        <w:wordWrap/>
        <w:overflowPunct/>
        <w:topLinePunct w:val="0"/>
        <w:autoSpaceDE/>
        <w:autoSpaceDN/>
        <w:bidi w:val="0"/>
        <w:adjustRightInd/>
        <w:snapToGrid/>
        <w:spacing w:line="460" w:lineRule="exact"/>
        <w:ind w:left="0" w:leftChars="0"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操作人员在启闭电器开关时，应按电工操作规程进行。 </w:t>
      </w:r>
    </w:p>
    <w:p w14:paraId="6A915A4E">
      <w:pPr>
        <w:keepNext w:val="0"/>
        <w:keepLines w:val="0"/>
        <w:pageBreakBefore w:val="0"/>
        <w:widowControl/>
        <w:numPr>
          <w:ilvl w:val="0"/>
          <w:numId w:val="12"/>
        </w:numPr>
        <w:suppressLineNumbers w:val="0"/>
        <w:kinsoku/>
        <w:wordWrap/>
        <w:overflowPunct/>
        <w:topLinePunct w:val="0"/>
        <w:autoSpaceDE/>
        <w:autoSpaceDN/>
        <w:bidi w:val="0"/>
        <w:adjustRightInd/>
        <w:snapToGrid/>
        <w:spacing w:line="460" w:lineRule="exact"/>
        <w:ind w:left="0" w:leftChars="0"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维修设备时必须断电，并在开关处悬挂维修标牌。 </w:t>
      </w:r>
    </w:p>
    <w:p w14:paraId="07CCA414">
      <w:pPr>
        <w:keepNext w:val="0"/>
        <w:keepLines w:val="0"/>
        <w:pageBreakBefore w:val="0"/>
        <w:widowControl/>
        <w:numPr>
          <w:ilvl w:val="0"/>
          <w:numId w:val="12"/>
        </w:numPr>
        <w:suppressLineNumbers w:val="0"/>
        <w:kinsoku/>
        <w:wordWrap/>
        <w:overflowPunct/>
        <w:topLinePunct w:val="0"/>
        <w:autoSpaceDE/>
        <w:autoSpaceDN/>
        <w:bidi w:val="0"/>
        <w:adjustRightInd/>
        <w:snapToGrid/>
        <w:spacing w:line="460" w:lineRule="exact"/>
        <w:ind w:left="0" w:leftChars="0"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各种机械设备应保持清洁，无漏水、漏气等。构筑物堰口、池壁应保持清洁、完好。根据不同机电设备的要求，应定时检查、添加或更换润滑油或润滑脂。各种闸井应保持无积水。 </w:t>
      </w:r>
    </w:p>
    <w:p w14:paraId="4E2A5A89">
      <w:pPr>
        <w:keepNext w:val="0"/>
        <w:keepLines w:val="0"/>
        <w:pageBreakBefore w:val="0"/>
        <w:widowControl/>
        <w:numPr>
          <w:ilvl w:val="0"/>
          <w:numId w:val="12"/>
        </w:numPr>
        <w:suppressLineNumbers w:val="0"/>
        <w:kinsoku/>
        <w:wordWrap/>
        <w:overflowPunct/>
        <w:topLinePunct w:val="0"/>
        <w:autoSpaceDE/>
        <w:autoSpaceDN/>
        <w:bidi w:val="0"/>
        <w:adjustRightInd/>
        <w:snapToGrid/>
        <w:spacing w:line="460" w:lineRule="exact"/>
        <w:ind w:left="0" w:leftChars="0"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清理机电设备及周围环境卫生，严禁擦拭设备运转部位，冲洗水不得溅到电缆头和电机带电部位及润滑部位。 </w:t>
      </w:r>
    </w:p>
    <w:p w14:paraId="7EF1205A">
      <w:pPr>
        <w:keepNext w:val="0"/>
        <w:keepLines w:val="0"/>
        <w:pageBreakBefore w:val="0"/>
        <w:widowControl/>
        <w:numPr>
          <w:ilvl w:val="0"/>
          <w:numId w:val="12"/>
        </w:numPr>
        <w:suppressLineNumbers w:val="0"/>
        <w:kinsoku/>
        <w:wordWrap/>
        <w:overflowPunct/>
        <w:topLinePunct w:val="0"/>
        <w:autoSpaceDE/>
        <w:autoSpaceDN/>
        <w:bidi w:val="0"/>
        <w:adjustRightInd/>
        <w:snapToGrid/>
        <w:spacing w:line="460" w:lineRule="exact"/>
        <w:ind w:left="0" w:leftChars="0"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各岗位操作人员上岗应穿戴劳保用品，做好安全防范工作。 </w:t>
      </w:r>
    </w:p>
    <w:p w14:paraId="67535247">
      <w:pPr>
        <w:keepNext w:val="0"/>
        <w:keepLines w:val="0"/>
        <w:pageBreakBefore w:val="0"/>
        <w:widowControl/>
        <w:numPr>
          <w:ilvl w:val="0"/>
          <w:numId w:val="12"/>
        </w:numPr>
        <w:suppressLineNumbers w:val="0"/>
        <w:kinsoku/>
        <w:wordWrap/>
        <w:overflowPunct/>
        <w:topLinePunct w:val="0"/>
        <w:autoSpaceDE/>
        <w:autoSpaceDN/>
        <w:bidi w:val="0"/>
        <w:adjustRightInd/>
        <w:snapToGrid/>
        <w:spacing w:line="460" w:lineRule="exact"/>
        <w:ind w:left="0" w:leftChars="0"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严禁非岗位人员启闭本岗位的机电设备。 </w:t>
      </w:r>
    </w:p>
    <w:p w14:paraId="5DD2FC82">
      <w:pPr>
        <w:keepNext w:val="0"/>
        <w:keepLines w:val="0"/>
        <w:pageBreakBefore w:val="0"/>
        <w:widowControl/>
        <w:numPr>
          <w:ilvl w:val="0"/>
          <w:numId w:val="12"/>
        </w:numPr>
        <w:suppressLineNumbers w:val="0"/>
        <w:kinsoku/>
        <w:wordWrap/>
        <w:overflowPunct/>
        <w:topLinePunct w:val="0"/>
        <w:autoSpaceDE/>
        <w:autoSpaceDN/>
        <w:bidi w:val="0"/>
        <w:adjustRightInd/>
        <w:snapToGrid/>
        <w:spacing w:line="460" w:lineRule="exact"/>
        <w:ind w:left="0" w:leftChars="0"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雨天或冰雪天气，操作人员在构筑物上巡视或操作时，应注意防滑。 </w:t>
      </w:r>
    </w:p>
    <w:p w14:paraId="066351F4">
      <w:pPr>
        <w:keepNext w:val="0"/>
        <w:keepLines w:val="0"/>
        <w:pageBreakBefore w:val="0"/>
        <w:widowControl/>
        <w:numPr>
          <w:ilvl w:val="0"/>
          <w:numId w:val="12"/>
        </w:numPr>
        <w:suppressLineNumbers w:val="0"/>
        <w:kinsoku/>
        <w:wordWrap/>
        <w:overflowPunct/>
        <w:topLinePunct w:val="0"/>
        <w:autoSpaceDE/>
        <w:autoSpaceDN/>
        <w:bidi w:val="0"/>
        <w:adjustRightInd/>
        <w:snapToGrid/>
        <w:spacing w:line="460" w:lineRule="exact"/>
        <w:ind w:left="0" w:leftChars="0"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所有高压电气设备应有标示牌。 </w:t>
      </w:r>
    </w:p>
    <w:p w14:paraId="057EF88A">
      <w:pPr>
        <w:keepNext w:val="0"/>
        <w:keepLines w:val="0"/>
        <w:pageBreakBefore w:val="0"/>
        <w:widowControl/>
        <w:numPr>
          <w:ilvl w:val="0"/>
          <w:numId w:val="9"/>
        </w:numPr>
        <w:suppressLineNumbers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维护保养要求 </w:t>
      </w:r>
    </w:p>
    <w:p w14:paraId="5205D070">
      <w:pPr>
        <w:keepNext w:val="0"/>
        <w:keepLines w:val="0"/>
        <w:pageBreakBefore w:val="0"/>
        <w:widowControl/>
        <w:numPr>
          <w:ilvl w:val="0"/>
          <w:numId w:val="13"/>
        </w:numPr>
        <w:suppressLineNumbers w:val="0"/>
        <w:kinsoku/>
        <w:wordWrap/>
        <w:overflowPunct/>
        <w:topLinePunct w:val="0"/>
        <w:autoSpaceDE/>
        <w:autoSpaceDN/>
        <w:bidi w:val="0"/>
        <w:adjustRightInd/>
        <w:snapToGrid/>
        <w:spacing w:line="460" w:lineRule="exact"/>
        <w:ind w:left="0" w:leftChars="0"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运营管理人员和维修人员应熟悉机电设备性能及维修要点。 </w:t>
      </w:r>
    </w:p>
    <w:p w14:paraId="2B0599D4">
      <w:pPr>
        <w:keepNext w:val="0"/>
        <w:keepLines w:val="0"/>
        <w:pageBreakBefore w:val="0"/>
        <w:widowControl/>
        <w:numPr>
          <w:ilvl w:val="0"/>
          <w:numId w:val="13"/>
        </w:numPr>
        <w:suppressLineNumbers w:val="0"/>
        <w:kinsoku/>
        <w:wordWrap/>
        <w:overflowPunct/>
        <w:topLinePunct w:val="0"/>
        <w:autoSpaceDE/>
        <w:autoSpaceDN/>
        <w:bidi w:val="0"/>
        <w:adjustRightInd/>
        <w:snapToGrid/>
        <w:spacing w:line="460" w:lineRule="exact"/>
        <w:ind w:left="0" w:leftChars="0"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负责</w:t>
      </w:r>
      <w:r>
        <w:rPr>
          <w:rFonts w:hint="eastAsia" w:ascii="宋体" w:hAnsi="宋体" w:cs="宋体"/>
          <w:color w:val="auto"/>
          <w:sz w:val="24"/>
          <w:szCs w:val="24"/>
          <w:highlight w:val="none"/>
        </w:rPr>
        <w:t>两厂（场）</w:t>
      </w:r>
      <w:r>
        <w:rPr>
          <w:rFonts w:hint="eastAsia" w:ascii="宋体" w:hAnsi="宋体" w:cs="宋体"/>
          <w:color w:val="auto"/>
          <w:sz w:val="24"/>
          <w:szCs w:val="24"/>
          <w:highlight w:val="none"/>
          <w:lang w:val="en-US" w:eastAsia="zh-CN"/>
        </w:rPr>
        <w:t>各</w:t>
      </w:r>
      <w:r>
        <w:rPr>
          <w:rFonts w:hint="eastAsia" w:ascii="宋体" w:hAnsi="宋体" w:eastAsia="宋体" w:cs="宋体"/>
          <w:color w:val="auto"/>
          <w:kern w:val="0"/>
          <w:sz w:val="24"/>
          <w:szCs w:val="24"/>
          <w:highlight w:val="none"/>
          <w:lang w:val="en-US" w:eastAsia="zh-CN" w:bidi="ar"/>
        </w:rPr>
        <w:t>生产设备的日常维修养护（包括：日常测试修检维保、跑冒滴漏的维护、设备加油、易损件的更换），不包括大修、改造和设备（大型零部件）及固定资产更换、更新（金额大于3000元/单次）。</w:t>
      </w:r>
    </w:p>
    <w:p w14:paraId="0D93DE18">
      <w:pPr>
        <w:keepNext w:val="0"/>
        <w:keepLines w:val="0"/>
        <w:pageBreakBefore w:val="0"/>
        <w:widowControl/>
        <w:numPr>
          <w:ilvl w:val="0"/>
          <w:numId w:val="13"/>
        </w:numPr>
        <w:suppressLineNumbers w:val="0"/>
        <w:kinsoku/>
        <w:wordWrap/>
        <w:overflowPunct/>
        <w:topLinePunct w:val="0"/>
        <w:autoSpaceDE/>
        <w:autoSpaceDN/>
        <w:bidi w:val="0"/>
        <w:adjustRightInd/>
        <w:snapToGrid/>
        <w:spacing w:line="460" w:lineRule="exact"/>
        <w:ind w:left="0" w:leftChars="0"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应对构筑物的结构及各种闸阀、护栏、爬梯、管道等每星期进行检查、维修及防腐处理，并及时更换被损坏的照明设备。 </w:t>
      </w:r>
    </w:p>
    <w:p w14:paraId="1A29F825">
      <w:pPr>
        <w:keepNext w:val="0"/>
        <w:keepLines w:val="0"/>
        <w:pageBreakBefore w:val="0"/>
        <w:widowControl/>
        <w:numPr>
          <w:ilvl w:val="0"/>
          <w:numId w:val="13"/>
        </w:numPr>
        <w:suppressLineNumbers w:val="0"/>
        <w:kinsoku/>
        <w:wordWrap/>
        <w:overflowPunct/>
        <w:topLinePunct w:val="0"/>
        <w:autoSpaceDE/>
        <w:autoSpaceDN/>
        <w:bidi w:val="0"/>
        <w:adjustRightInd/>
        <w:snapToGrid/>
        <w:spacing w:line="460" w:lineRule="exact"/>
        <w:ind w:left="0" w:leftChars="0"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应经常检查和紧固各种设备连接件，定期更换联轴器的易损件。 </w:t>
      </w:r>
    </w:p>
    <w:p w14:paraId="49119368">
      <w:pPr>
        <w:keepNext w:val="0"/>
        <w:keepLines w:val="0"/>
        <w:pageBreakBefore w:val="0"/>
        <w:widowControl/>
        <w:numPr>
          <w:ilvl w:val="0"/>
          <w:numId w:val="13"/>
        </w:numPr>
        <w:suppressLineNumbers w:val="0"/>
        <w:kinsoku/>
        <w:wordWrap/>
        <w:overflowPunct/>
        <w:topLinePunct w:val="0"/>
        <w:autoSpaceDE/>
        <w:autoSpaceDN/>
        <w:bidi w:val="0"/>
        <w:adjustRightInd/>
        <w:snapToGrid/>
        <w:spacing w:line="460" w:lineRule="exact"/>
        <w:ind w:left="0" w:leftChars="0"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各种管道闸阀应定期做启闭试验检查。 </w:t>
      </w:r>
    </w:p>
    <w:p w14:paraId="0B7A07C7">
      <w:pPr>
        <w:keepNext w:val="0"/>
        <w:keepLines w:val="0"/>
        <w:pageBreakBefore w:val="0"/>
        <w:widowControl/>
        <w:numPr>
          <w:ilvl w:val="0"/>
          <w:numId w:val="13"/>
        </w:numPr>
        <w:suppressLineNumbers w:val="0"/>
        <w:kinsoku/>
        <w:wordWrap/>
        <w:overflowPunct/>
        <w:topLinePunct w:val="0"/>
        <w:autoSpaceDE/>
        <w:autoSpaceDN/>
        <w:bidi w:val="0"/>
        <w:adjustRightInd/>
        <w:snapToGrid/>
        <w:spacing w:line="460" w:lineRule="exact"/>
        <w:ind w:left="0" w:leftChars="0"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应定期检查、清扫电器控制柜，并测试其各种技术性能。 </w:t>
      </w:r>
    </w:p>
    <w:p w14:paraId="72275563">
      <w:pPr>
        <w:keepNext w:val="0"/>
        <w:keepLines w:val="0"/>
        <w:pageBreakBefore w:val="0"/>
        <w:widowControl/>
        <w:numPr>
          <w:ilvl w:val="0"/>
          <w:numId w:val="13"/>
        </w:numPr>
        <w:suppressLineNumbers w:val="0"/>
        <w:kinsoku/>
        <w:wordWrap/>
        <w:overflowPunct/>
        <w:topLinePunct w:val="0"/>
        <w:autoSpaceDE/>
        <w:autoSpaceDN/>
        <w:bidi w:val="0"/>
        <w:adjustRightInd/>
        <w:snapToGrid/>
        <w:spacing w:line="460" w:lineRule="exact"/>
        <w:ind w:left="0" w:leftChars="0"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应定期检查电动闸阀的限位开关、手动与电动的联锁装置。 </w:t>
      </w:r>
    </w:p>
    <w:p w14:paraId="5BE2A902">
      <w:pPr>
        <w:keepNext w:val="0"/>
        <w:keepLines w:val="0"/>
        <w:pageBreakBefore w:val="0"/>
        <w:widowControl/>
        <w:numPr>
          <w:ilvl w:val="0"/>
          <w:numId w:val="13"/>
        </w:numPr>
        <w:suppressLineNumbers w:val="0"/>
        <w:kinsoku/>
        <w:wordWrap/>
        <w:overflowPunct/>
        <w:topLinePunct w:val="0"/>
        <w:autoSpaceDE/>
        <w:autoSpaceDN/>
        <w:bidi w:val="0"/>
        <w:adjustRightInd/>
        <w:snapToGrid/>
        <w:spacing w:line="460" w:lineRule="exact"/>
        <w:ind w:left="0" w:leftChars="0"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在每次停泵后，应检查填料或油封的密封情况，进行必要的处理。并根据需要填加或更换填料、润滑油、润滑脂。（使用原设备生产厂家指定品牌的润滑油或润滑脂） </w:t>
      </w:r>
    </w:p>
    <w:p w14:paraId="6DF7FDA0">
      <w:pPr>
        <w:keepNext w:val="0"/>
        <w:keepLines w:val="0"/>
        <w:pageBreakBefore w:val="0"/>
        <w:widowControl/>
        <w:numPr>
          <w:ilvl w:val="0"/>
          <w:numId w:val="13"/>
        </w:numPr>
        <w:suppressLineNumbers w:val="0"/>
        <w:kinsoku/>
        <w:wordWrap/>
        <w:overflowPunct/>
        <w:topLinePunct w:val="0"/>
        <w:autoSpaceDE/>
        <w:autoSpaceDN/>
        <w:bidi w:val="0"/>
        <w:adjustRightInd/>
        <w:snapToGrid/>
        <w:spacing w:line="460" w:lineRule="exact"/>
        <w:ind w:left="0" w:leftChars="0"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各种机械设备除应做好日常维护保养外，还应按设计要求或制造厂家的要求进行大、中、小修。 </w:t>
      </w:r>
    </w:p>
    <w:p w14:paraId="0EE8EEEF">
      <w:pPr>
        <w:keepNext w:val="0"/>
        <w:keepLines w:val="0"/>
        <w:pageBreakBefore w:val="0"/>
        <w:widowControl/>
        <w:numPr>
          <w:ilvl w:val="0"/>
          <w:numId w:val="13"/>
        </w:numPr>
        <w:suppressLineNumbers w:val="0"/>
        <w:kinsoku/>
        <w:wordWrap/>
        <w:overflowPunct/>
        <w:topLinePunct w:val="0"/>
        <w:autoSpaceDE/>
        <w:autoSpaceDN/>
        <w:bidi w:val="0"/>
        <w:adjustRightInd/>
        <w:snapToGrid/>
        <w:spacing w:line="460" w:lineRule="exact"/>
        <w:ind w:left="0" w:leftChars="0"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检修各类机械设备时，应根据设备的要求，必须保证其同轴度、静平衡等技术要求。 </w:t>
      </w:r>
    </w:p>
    <w:p w14:paraId="31E94CFD">
      <w:pPr>
        <w:keepNext w:val="0"/>
        <w:keepLines w:val="0"/>
        <w:pageBreakBefore w:val="0"/>
        <w:widowControl/>
        <w:numPr>
          <w:ilvl w:val="0"/>
          <w:numId w:val="13"/>
        </w:numPr>
        <w:suppressLineNumbers w:val="0"/>
        <w:kinsoku/>
        <w:wordWrap/>
        <w:overflowPunct/>
        <w:topLinePunct w:val="0"/>
        <w:autoSpaceDE/>
        <w:autoSpaceDN/>
        <w:bidi w:val="0"/>
        <w:adjustRightInd/>
        <w:snapToGrid/>
        <w:spacing w:line="460" w:lineRule="exact"/>
        <w:ind w:left="0" w:leftChars="0"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不得将维修设备更换出的润滑油、润滑脂、实验室废水及其它杂物丢入污水处理设施内，均由运营商根据环保要求运送至甲方指定地点处理。 </w:t>
      </w:r>
    </w:p>
    <w:p w14:paraId="66670734">
      <w:pPr>
        <w:keepNext w:val="0"/>
        <w:keepLines w:val="0"/>
        <w:pageBreakBefore w:val="0"/>
        <w:widowControl/>
        <w:numPr>
          <w:ilvl w:val="0"/>
          <w:numId w:val="13"/>
        </w:numPr>
        <w:suppressLineNumbers w:val="0"/>
        <w:kinsoku/>
        <w:wordWrap/>
        <w:overflowPunct/>
        <w:topLinePunct w:val="0"/>
        <w:autoSpaceDE/>
        <w:autoSpaceDN/>
        <w:bidi w:val="0"/>
        <w:adjustRightInd/>
        <w:snapToGrid/>
        <w:spacing w:line="460" w:lineRule="exact"/>
        <w:ind w:left="0" w:leftChars="0"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维修机械设备时，不得随意搭接临时动力线。 </w:t>
      </w:r>
    </w:p>
    <w:p w14:paraId="08A827E4">
      <w:pPr>
        <w:keepNext w:val="0"/>
        <w:keepLines w:val="0"/>
        <w:pageBreakBefore w:val="0"/>
        <w:widowControl/>
        <w:numPr>
          <w:ilvl w:val="0"/>
          <w:numId w:val="13"/>
        </w:numPr>
        <w:suppressLineNumbers w:val="0"/>
        <w:kinsoku/>
        <w:wordWrap/>
        <w:overflowPunct/>
        <w:topLinePunct w:val="0"/>
        <w:autoSpaceDE/>
        <w:autoSpaceDN/>
        <w:bidi w:val="0"/>
        <w:adjustRightInd/>
        <w:snapToGrid/>
        <w:spacing w:line="460" w:lineRule="exact"/>
        <w:ind w:left="0" w:leftChars="0"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应定期检查和更换消防设施等防护用品。 </w:t>
      </w:r>
    </w:p>
    <w:p w14:paraId="5EB4BE04">
      <w:pPr>
        <w:keepNext w:val="0"/>
        <w:keepLines w:val="0"/>
        <w:pageBreakBefore w:val="0"/>
        <w:widowControl/>
        <w:numPr>
          <w:ilvl w:val="0"/>
          <w:numId w:val="9"/>
        </w:numPr>
        <w:suppressLineNumbers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满足的要求 </w:t>
      </w:r>
    </w:p>
    <w:p w14:paraId="6204833A">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运管过程中始终保证榆佳经济技术开发区污水处理厂尾水水质达到《城镇污水处理厂污染物排放标准》（GB18918-2002）中的一级 A 排放标准。脱水后污泥含水率约为 60%，外运填埋处置。保证榆佳经济技术开发区一般工业固体废物填埋场严格按《中华人民共和国固体废物污染环境防治法》规定合规运行管理。</w:t>
      </w:r>
    </w:p>
    <w:p w14:paraId="42CB0288">
      <w:pPr>
        <w:pStyle w:val="3"/>
        <w:keepNext/>
        <w:keepLines/>
        <w:pageBreakBefore w:val="0"/>
        <w:widowControl w:val="0"/>
        <w:numPr>
          <w:ilvl w:val="0"/>
          <w:numId w:val="6"/>
        </w:numPr>
        <w:kinsoku/>
        <w:wordWrap/>
        <w:overflowPunct/>
        <w:topLinePunct w:val="0"/>
        <w:autoSpaceDE/>
        <w:autoSpaceDN/>
        <w:bidi w:val="0"/>
        <w:adjustRightInd/>
        <w:snapToGrid/>
        <w:spacing w:before="0" w:after="0" w:line="460" w:lineRule="exact"/>
        <w:ind w:left="0" w:leftChars="0" w:firstLine="0" w:firstLineChars="0"/>
        <w:textAlignment w:val="auto"/>
        <w:outlineLvl w:val="0"/>
        <w:rPr>
          <w:rFonts w:hint="eastAsia" w:eastAsia="宋体" w:cs="Times New Roman"/>
          <w:color w:val="auto"/>
          <w:sz w:val="24"/>
          <w:szCs w:val="24"/>
          <w:highlight w:val="none"/>
          <w:lang w:val="en-US" w:eastAsia="zh-CN"/>
        </w:rPr>
      </w:pPr>
      <w:bookmarkStart w:id="212" w:name="_Toc24959"/>
      <w:r>
        <w:rPr>
          <w:rFonts w:hint="eastAsia" w:eastAsia="宋体" w:cs="Times New Roman"/>
          <w:color w:val="auto"/>
          <w:sz w:val="24"/>
          <w:szCs w:val="24"/>
          <w:highlight w:val="none"/>
          <w:lang w:val="en-US" w:eastAsia="zh-CN"/>
        </w:rPr>
        <w:t>技术要求</w:t>
      </w:r>
      <w:bookmarkEnd w:id="212"/>
      <w:r>
        <w:rPr>
          <w:rFonts w:hint="eastAsia" w:eastAsia="宋体" w:cs="Times New Roman"/>
          <w:color w:val="auto"/>
          <w:sz w:val="24"/>
          <w:szCs w:val="24"/>
          <w:highlight w:val="none"/>
          <w:lang w:val="en-US" w:eastAsia="zh-CN"/>
        </w:rPr>
        <w:t xml:space="preserve"> </w:t>
      </w:r>
    </w:p>
    <w:p w14:paraId="26333FD7">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《城镇污水处理厂污染物排放标准》（GB18918-2002）</w:t>
      </w:r>
    </w:p>
    <w:p w14:paraId="31597F29">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《污水排入城镇下水道水质标准》（CJ343-2010） </w:t>
      </w:r>
    </w:p>
    <w:p w14:paraId="0356B7A5">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《工业企业设计卫生标准》（GBZ1-2010） </w:t>
      </w:r>
    </w:p>
    <w:p w14:paraId="7B79157F">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《地表水环境质量标准》（GB3838-2002）</w:t>
      </w:r>
    </w:p>
    <w:p w14:paraId="4CB9E5B6">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《污水综合排放标准》（GB8978-1996） </w:t>
      </w:r>
    </w:p>
    <w:p w14:paraId="5334DA22">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《工业企业厂界环境噪声排放标准》（GB12348-2008） </w:t>
      </w:r>
    </w:p>
    <w:p w14:paraId="492DC81C">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《城镇污水处理厂运行、维护及安全技术规程》（CJJ60-2011）</w:t>
      </w:r>
    </w:p>
    <w:p w14:paraId="3A23AA38">
      <w:pPr>
        <w:pStyle w:val="3"/>
        <w:keepNext/>
        <w:keepLines/>
        <w:pageBreakBefore w:val="0"/>
        <w:widowControl w:val="0"/>
        <w:numPr>
          <w:ilvl w:val="0"/>
          <w:numId w:val="6"/>
        </w:numPr>
        <w:kinsoku/>
        <w:wordWrap/>
        <w:overflowPunct/>
        <w:topLinePunct w:val="0"/>
        <w:autoSpaceDE/>
        <w:autoSpaceDN/>
        <w:bidi w:val="0"/>
        <w:adjustRightInd/>
        <w:snapToGrid/>
        <w:spacing w:before="0" w:after="0" w:line="460" w:lineRule="exact"/>
        <w:ind w:left="0" w:leftChars="0" w:firstLine="0" w:firstLineChars="0"/>
        <w:textAlignment w:val="auto"/>
        <w:outlineLvl w:val="0"/>
        <w:rPr>
          <w:rFonts w:hint="eastAsia" w:eastAsia="宋体" w:cs="Times New Roman"/>
          <w:color w:val="auto"/>
          <w:sz w:val="24"/>
          <w:szCs w:val="24"/>
          <w:highlight w:val="none"/>
          <w:lang w:val="en-US" w:eastAsia="zh-CN"/>
        </w:rPr>
      </w:pPr>
      <w:bookmarkStart w:id="213" w:name="_Toc4399"/>
      <w:r>
        <w:rPr>
          <w:rFonts w:hint="eastAsia" w:eastAsia="宋体" w:cs="Times New Roman"/>
          <w:color w:val="auto"/>
          <w:sz w:val="24"/>
          <w:szCs w:val="24"/>
          <w:highlight w:val="none"/>
          <w:lang w:val="en-US" w:eastAsia="zh-CN"/>
        </w:rPr>
        <w:t>商务要求</w:t>
      </w:r>
      <w:bookmarkEnd w:id="213"/>
      <w:r>
        <w:rPr>
          <w:rFonts w:hint="eastAsia" w:eastAsia="宋体" w:cs="Times New Roman"/>
          <w:color w:val="auto"/>
          <w:sz w:val="24"/>
          <w:szCs w:val="24"/>
          <w:highlight w:val="none"/>
          <w:lang w:val="en-US" w:eastAsia="zh-CN"/>
        </w:rPr>
        <w:t xml:space="preserve"> </w:t>
      </w:r>
    </w:p>
    <w:p w14:paraId="6CD8392C">
      <w:pPr>
        <w:keepNext w:val="0"/>
        <w:keepLines w:val="0"/>
        <w:pageBreakBefore w:val="0"/>
        <w:widowControl/>
        <w:numPr>
          <w:ilvl w:val="0"/>
          <w:numId w:val="14"/>
        </w:numPr>
        <w:suppressLineNumbers w:val="0"/>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合同价款：合同总承包价包括完成本项目的一切相关费用，合同总价一次包死，不受市场价变化的影响，不受实际工作量变化的影响。</w:t>
      </w:r>
    </w:p>
    <w:p w14:paraId="0D595E33">
      <w:pPr>
        <w:keepNext w:val="0"/>
        <w:keepLines w:val="0"/>
        <w:pageBreakBefore w:val="0"/>
        <w:widowControl/>
        <w:numPr>
          <w:ilvl w:val="0"/>
          <w:numId w:val="14"/>
        </w:numPr>
        <w:suppressLineNumbers w:val="0"/>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支付方式：按采购要求进行实施，实施半年后支付合同金额50%，服务期完毕后，甲方对工作量进行核实并验收，待结算审计后结算剩余50%款项。</w:t>
      </w:r>
    </w:p>
    <w:p w14:paraId="0AA949D9">
      <w:pPr>
        <w:keepNext w:val="0"/>
        <w:keepLines w:val="0"/>
        <w:pageBreakBefore w:val="0"/>
        <w:widowControl/>
        <w:numPr>
          <w:ilvl w:val="0"/>
          <w:numId w:val="14"/>
        </w:numPr>
        <w:suppressLineNumbers w:val="0"/>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结算方式：银行转帐，采购单位持中标通知书、采购合同、发票办理相关支付手续。</w:t>
      </w:r>
    </w:p>
    <w:p w14:paraId="22AB73B3">
      <w:pPr>
        <w:keepNext w:val="0"/>
        <w:keepLines w:val="0"/>
        <w:pageBreakBefore w:val="0"/>
        <w:widowControl/>
        <w:numPr>
          <w:ilvl w:val="0"/>
          <w:numId w:val="14"/>
        </w:numPr>
        <w:suppressLineNumbers w:val="0"/>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服务承诺：供应商应遵照国家规范规定的服务内容及要求作出明确承诺。</w:t>
      </w:r>
    </w:p>
    <w:p w14:paraId="067099FD">
      <w:pPr>
        <w:keepNext w:val="0"/>
        <w:keepLines w:val="0"/>
        <w:pageBreakBefore w:val="0"/>
        <w:widowControl/>
        <w:numPr>
          <w:ilvl w:val="0"/>
          <w:numId w:val="14"/>
        </w:numPr>
        <w:suppressLineNumbers w:val="0"/>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违约责任：按《民法典》中的相关条款执行，未按合同要求的服务质量不能满足采购人的要求，采购单位有权终止合同，并报请当地监管部门对其违约行为进行追究。</w:t>
      </w:r>
    </w:p>
    <w:p w14:paraId="4B0D576D">
      <w:pPr>
        <w:pStyle w:val="24"/>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验收依据：按照国家该行业相关标准和合同约定的相关要求，为采购人提供高质量服务，并随时接受采购人的检查、监督。</w:t>
      </w:r>
    </w:p>
    <w:p w14:paraId="5AE086DF">
      <w:pPr>
        <w:rPr>
          <w:rFonts w:hint="eastAsia" w:ascii="宋体" w:hAnsi="宋体" w:eastAsia="宋体" w:cs="宋体"/>
          <w:b/>
          <w:bCs w:val="0"/>
          <w:color w:val="auto"/>
          <w:kern w:val="2"/>
          <w:sz w:val="24"/>
          <w:szCs w:val="24"/>
          <w:highlight w:val="none"/>
          <w:lang w:val="en-US" w:eastAsia="zh-CN" w:bidi="ar-SA"/>
        </w:rPr>
      </w:pPr>
    </w:p>
    <w:p w14:paraId="38A0128F">
      <w:pPr>
        <w:rPr>
          <w:rFonts w:hint="eastAsia" w:ascii="宋体" w:hAnsi="宋体" w:eastAsia="宋体" w:cs="宋体"/>
          <w:b/>
          <w:bCs w:val="0"/>
          <w:color w:val="auto"/>
          <w:kern w:val="2"/>
          <w:sz w:val="24"/>
          <w:szCs w:val="24"/>
          <w:highlight w:val="none"/>
          <w:lang w:val="en-US" w:eastAsia="zh-CN" w:bidi="ar-SA"/>
        </w:rPr>
      </w:pPr>
    </w:p>
    <w:p w14:paraId="2D8787F7">
      <w:pPr>
        <w:rPr>
          <w:rFonts w:hint="eastAsia" w:ascii="宋体" w:hAnsi="宋体" w:eastAsia="宋体" w:cs="宋体"/>
          <w:b/>
          <w:bCs w:val="0"/>
          <w:color w:val="auto"/>
          <w:kern w:val="2"/>
          <w:sz w:val="24"/>
          <w:szCs w:val="24"/>
          <w:highlight w:val="none"/>
          <w:lang w:val="en-US" w:eastAsia="zh-CN" w:bidi="ar-SA"/>
        </w:rPr>
      </w:pPr>
    </w:p>
    <w:p w14:paraId="21535135">
      <w:pPr>
        <w:rPr>
          <w:rFonts w:hint="eastAsia" w:ascii="宋体" w:hAnsi="宋体" w:eastAsia="宋体" w:cs="宋体"/>
          <w:b/>
          <w:bCs w:val="0"/>
          <w:color w:val="auto"/>
          <w:kern w:val="2"/>
          <w:sz w:val="24"/>
          <w:szCs w:val="24"/>
          <w:highlight w:val="none"/>
          <w:lang w:val="en-US" w:eastAsia="zh-CN" w:bidi="ar-SA"/>
        </w:rPr>
      </w:pPr>
    </w:p>
    <w:p w14:paraId="274C1670">
      <w:pPr>
        <w:rPr>
          <w:rFonts w:hint="eastAsia" w:ascii="宋体" w:hAnsi="宋体" w:eastAsia="宋体" w:cs="宋体"/>
          <w:b/>
          <w:bCs w:val="0"/>
          <w:color w:val="auto"/>
          <w:kern w:val="2"/>
          <w:sz w:val="24"/>
          <w:szCs w:val="24"/>
          <w:highlight w:val="none"/>
          <w:lang w:val="en-US" w:eastAsia="zh-CN" w:bidi="ar-SA"/>
        </w:rPr>
      </w:pPr>
    </w:p>
    <w:p w14:paraId="2229C338">
      <w:pPr>
        <w:rPr>
          <w:rFonts w:hint="eastAsia" w:ascii="宋体" w:hAnsi="宋体" w:eastAsia="宋体" w:cs="宋体"/>
          <w:b/>
          <w:bCs w:val="0"/>
          <w:color w:val="auto"/>
          <w:kern w:val="2"/>
          <w:sz w:val="24"/>
          <w:szCs w:val="24"/>
          <w:highlight w:val="none"/>
          <w:lang w:val="en-US" w:eastAsia="zh-CN" w:bidi="ar-SA"/>
        </w:rPr>
      </w:pPr>
    </w:p>
    <w:p w14:paraId="3605C445">
      <w:pPr>
        <w:rPr>
          <w:rFonts w:hint="eastAsia" w:ascii="宋体" w:hAnsi="宋体" w:eastAsia="宋体" w:cs="宋体"/>
          <w:b/>
          <w:bCs w:val="0"/>
          <w:color w:val="auto"/>
          <w:kern w:val="2"/>
          <w:sz w:val="24"/>
          <w:szCs w:val="24"/>
          <w:highlight w:val="none"/>
          <w:lang w:val="en-US" w:eastAsia="zh-CN" w:bidi="ar-SA"/>
        </w:rPr>
      </w:pPr>
    </w:p>
    <w:p w14:paraId="26B57154">
      <w:pPr>
        <w:rPr>
          <w:rFonts w:hint="eastAsia" w:ascii="宋体" w:hAnsi="宋体" w:eastAsia="宋体" w:cs="宋体"/>
          <w:b/>
          <w:bCs w:val="0"/>
          <w:color w:val="auto"/>
          <w:kern w:val="2"/>
          <w:sz w:val="24"/>
          <w:szCs w:val="24"/>
          <w:highlight w:val="none"/>
          <w:lang w:val="en-US" w:eastAsia="zh-CN" w:bidi="ar-SA"/>
        </w:rPr>
      </w:pPr>
    </w:p>
    <w:p w14:paraId="447748F4">
      <w:pPr>
        <w:rPr>
          <w:rFonts w:hint="eastAsia" w:ascii="宋体" w:hAnsi="宋体" w:eastAsia="宋体" w:cs="宋体"/>
          <w:b/>
          <w:bCs w:val="0"/>
          <w:color w:val="auto"/>
          <w:kern w:val="2"/>
          <w:sz w:val="24"/>
          <w:szCs w:val="24"/>
          <w:highlight w:val="none"/>
          <w:lang w:val="en-US" w:eastAsia="zh-CN" w:bidi="ar-SA"/>
        </w:rPr>
      </w:pPr>
    </w:p>
    <w:p w14:paraId="5277032D">
      <w:pPr>
        <w:rPr>
          <w:rFonts w:hint="eastAsia" w:ascii="宋体" w:hAnsi="宋体" w:eastAsia="宋体" w:cs="宋体"/>
          <w:b/>
          <w:bCs w:val="0"/>
          <w:color w:val="auto"/>
          <w:kern w:val="2"/>
          <w:sz w:val="24"/>
          <w:szCs w:val="24"/>
          <w:highlight w:val="none"/>
          <w:lang w:val="en-US" w:eastAsia="zh-CN" w:bidi="ar-SA"/>
        </w:rPr>
      </w:pPr>
    </w:p>
    <w:p w14:paraId="26D3CBF2">
      <w:pPr>
        <w:rPr>
          <w:rFonts w:hint="eastAsia" w:ascii="宋体" w:hAnsi="宋体" w:eastAsia="宋体" w:cs="宋体"/>
          <w:b/>
          <w:bCs w:val="0"/>
          <w:color w:val="auto"/>
          <w:kern w:val="2"/>
          <w:sz w:val="24"/>
          <w:szCs w:val="24"/>
          <w:highlight w:val="none"/>
          <w:lang w:val="en-US" w:eastAsia="zh-CN" w:bidi="ar-SA"/>
        </w:rPr>
      </w:pPr>
    </w:p>
    <w:p w14:paraId="3958264D">
      <w:pPr>
        <w:rPr>
          <w:rFonts w:hint="eastAsia" w:ascii="宋体" w:hAnsi="宋体" w:eastAsia="宋体" w:cs="宋体"/>
          <w:b/>
          <w:bCs w:val="0"/>
          <w:color w:val="auto"/>
          <w:kern w:val="2"/>
          <w:sz w:val="24"/>
          <w:szCs w:val="24"/>
          <w:highlight w:val="none"/>
          <w:lang w:val="en-US" w:eastAsia="zh-CN" w:bidi="ar-SA"/>
        </w:rPr>
      </w:pPr>
    </w:p>
    <w:p w14:paraId="2AEA0D41">
      <w:pPr>
        <w:rPr>
          <w:rFonts w:hint="eastAsia" w:ascii="宋体" w:hAnsi="宋体" w:eastAsia="宋体" w:cs="宋体"/>
          <w:b/>
          <w:bCs w:val="0"/>
          <w:color w:val="auto"/>
          <w:kern w:val="2"/>
          <w:sz w:val="24"/>
          <w:szCs w:val="24"/>
          <w:highlight w:val="none"/>
          <w:lang w:val="en-US" w:eastAsia="zh-CN" w:bidi="ar-SA"/>
        </w:rPr>
      </w:pPr>
    </w:p>
    <w:p w14:paraId="1F28C1F3">
      <w:pPr>
        <w:rPr>
          <w:rFonts w:hint="eastAsia" w:ascii="宋体" w:hAnsi="宋体" w:eastAsia="宋体" w:cs="宋体"/>
          <w:b/>
          <w:bCs w:val="0"/>
          <w:color w:val="auto"/>
          <w:kern w:val="2"/>
          <w:sz w:val="24"/>
          <w:szCs w:val="24"/>
          <w:highlight w:val="none"/>
          <w:lang w:val="en-US" w:eastAsia="zh-CN" w:bidi="ar-SA"/>
        </w:rPr>
      </w:pPr>
    </w:p>
    <w:p w14:paraId="6C6CC16B">
      <w:pPr>
        <w:rPr>
          <w:rFonts w:hint="eastAsia" w:ascii="宋体" w:hAnsi="宋体" w:eastAsia="宋体" w:cs="宋体"/>
          <w:b/>
          <w:bCs w:val="0"/>
          <w:color w:val="auto"/>
          <w:kern w:val="2"/>
          <w:sz w:val="24"/>
          <w:szCs w:val="24"/>
          <w:highlight w:val="none"/>
          <w:lang w:val="en-US" w:eastAsia="zh-CN" w:bidi="ar-SA"/>
        </w:rPr>
      </w:pPr>
    </w:p>
    <w:p w14:paraId="1518D337">
      <w:pPr>
        <w:rPr>
          <w:rFonts w:hint="eastAsia" w:ascii="宋体" w:hAnsi="宋体" w:eastAsia="宋体" w:cs="宋体"/>
          <w:b/>
          <w:bCs w:val="0"/>
          <w:color w:val="auto"/>
          <w:kern w:val="2"/>
          <w:sz w:val="24"/>
          <w:szCs w:val="24"/>
          <w:highlight w:val="none"/>
          <w:lang w:val="en-US" w:eastAsia="zh-CN" w:bidi="ar-SA"/>
        </w:rPr>
      </w:pPr>
    </w:p>
    <w:p w14:paraId="63290E7D">
      <w:pPr>
        <w:rPr>
          <w:rFonts w:hint="eastAsia" w:ascii="宋体" w:hAnsi="宋体" w:eastAsia="宋体" w:cs="宋体"/>
          <w:b/>
          <w:bCs w:val="0"/>
          <w:color w:val="auto"/>
          <w:kern w:val="2"/>
          <w:sz w:val="24"/>
          <w:szCs w:val="24"/>
          <w:highlight w:val="none"/>
          <w:lang w:val="en-US" w:eastAsia="zh-CN" w:bidi="ar-SA"/>
        </w:rPr>
      </w:pPr>
    </w:p>
    <w:p w14:paraId="06895B6F">
      <w:pPr>
        <w:rPr>
          <w:rFonts w:hint="eastAsia" w:ascii="宋体" w:hAnsi="宋体" w:eastAsia="宋体" w:cs="宋体"/>
          <w:b/>
          <w:bCs w:val="0"/>
          <w:color w:val="auto"/>
          <w:kern w:val="2"/>
          <w:sz w:val="24"/>
          <w:szCs w:val="24"/>
          <w:highlight w:val="none"/>
          <w:lang w:val="en-US" w:eastAsia="zh-CN" w:bidi="ar-SA"/>
        </w:rPr>
      </w:pPr>
    </w:p>
    <w:p w14:paraId="41E1BB25">
      <w:pPr>
        <w:rPr>
          <w:rFonts w:hint="eastAsia" w:ascii="宋体" w:hAnsi="宋体" w:eastAsia="宋体" w:cs="宋体"/>
          <w:b/>
          <w:bCs w:val="0"/>
          <w:color w:val="auto"/>
          <w:kern w:val="2"/>
          <w:sz w:val="24"/>
          <w:szCs w:val="24"/>
          <w:highlight w:val="none"/>
          <w:lang w:val="en-US" w:eastAsia="zh-CN" w:bidi="ar-SA"/>
        </w:rPr>
      </w:pPr>
    </w:p>
    <w:p w14:paraId="77BC9A5F">
      <w:pPr>
        <w:rPr>
          <w:rFonts w:hint="eastAsia" w:ascii="宋体" w:hAnsi="宋体" w:eastAsia="宋体" w:cs="宋体"/>
          <w:b/>
          <w:bCs w:val="0"/>
          <w:color w:val="auto"/>
          <w:kern w:val="2"/>
          <w:sz w:val="24"/>
          <w:szCs w:val="24"/>
          <w:highlight w:val="none"/>
          <w:lang w:val="en-US" w:eastAsia="zh-CN" w:bidi="ar-SA"/>
        </w:rPr>
      </w:pPr>
    </w:p>
    <w:p w14:paraId="502F2D26">
      <w:pPr>
        <w:rPr>
          <w:rFonts w:hint="eastAsia" w:ascii="宋体" w:hAnsi="宋体" w:eastAsia="宋体" w:cs="宋体"/>
          <w:b/>
          <w:bCs w:val="0"/>
          <w:color w:val="auto"/>
          <w:kern w:val="2"/>
          <w:sz w:val="24"/>
          <w:szCs w:val="24"/>
          <w:highlight w:val="none"/>
          <w:lang w:val="en-US" w:eastAsia="zh-CN" w:bidi="ar-SA"/>
        </w:rPr>
      </w:pPr>
    </w:p>
    <w:p w14:paraId="6007BB99">
      <w:pPr>
        <w:rPr>
          <w:rFonts w:hint="eastAsia" w:ascii="宋体" w:hAnsi="宋体" w:eastAsia="宋体" w:cs="宋体"/>
          <w:b/>
          <w:bCs w:val="0"/>
          <w:color w:val="auto"/>
          <w:kern w:val="2"/>
          <w:sz w:val="24"/>
          <w:szCs w:val="24"/>
          <w:highlight w:val="none"/>
          <w:lang w:val="en-US" w:eastAsia="zh-CN" w:bidi="ar-SA"/>
        </w:rPr>
      </w:pPr>
    </w:p>
    <w:p w14:paraId="415FDA5F">
      <w:pPr>
        <w:rPr>
          <w:rFonts w:hint="eastAsia" w:ascii="宋体" w:hAnsi="宋体" w:eastAsia="宋体" w:cs="宋体"/>
          <w:b/>
          <w:bCs w:val="0"/>
          <w:color w:val="auto"/>
          <w:kern w:val="2"/>
          <w:sz w:val="24"/>
          <w:szCs w:val="24"/>
          <w:highlight w:val="none"/>
          <w:lang w:val="en-US" w:eastAsia="zh-CN" w:bidi="ar-SA"/>
        </w:rPr>
      </w:pPr>
    </w:p>
    <w:p w14:paraId="16E1CD70">
      <w:pPr>
        <w:rPr>
          <w:rFonts w:hint="eastAsia" w:ascii="宋体" w:hAnsi="宋体" w:eastAsia="宋体" w:cs="宋体"/>
          <w:b/>
          <w:bCs w:val="0"/>
          <w:color w:val="auto"/>
          <w:kern w:val="2"/>
          <w:sz w:val="24"/>
          <w:szCs w:val="24"/>
          <w:highlight w:val="none"/>
          <w:lang w:val="en-US" w:eastAsia="zh-CN" w:bidi="ar-SA"/>
        </w:rPr>
      </w:pPr>
    </w:p>
    <w:p w14:paraId="64182F6F">
      <w:pPr>
        <w:rPr>
          <w:rFonts w:hint="eastAsia" w:ascii="宋体" w:hAnsi="宋体" w:eastAsia="宋体" w:cs="宋体"/>
          <w:b/>
          <w:bCs w:val="0"/>
          <w:color w:val="auto"/>
          <w:kern w:val="2"/>
          <w:sz w:val="24"/>
          <w:szCs w:val="24"/>
          <w:highlight w:val="none"/>
          <w:lang w:val="en-US" w:eastAsia="zh-CN" w:bidi="ar-SA"/>
        </w:rPr>
      </w:pPr>
    </w:p>
    <w:p w14:paraId="5CBD396E">
      <w:pPr>
        <w:rPr>
          <w:rFonts w:hint="eastAsia" w:ascii="宋体" w:hAnsi="宋体" w:eastAsia="宋体" w:cs="宋体"/>
          <w:b/>
          <w:bCs w:val="0"/>
          <w:color w:val="auto"/>
          <w:kern w:val="2"/>
          <w:sz w:val="24"/>
          <w:szCs w:val="24"/>
          <w:highlight w:val="none"/>
          <w:lang w:val="en-US" w:eastAsia="zh-CN" w:bidi="ar-SA"/>
        </w:rPr>
      </w:pPr>
    </w:p>
    <w:p w14:paraId="6F1EAF6E">
      <w:pPr>
        <w:rPr>
          <w:rFonts w:hint="eastAsia" w:ascii="宋体" w:hAnsi="宋体" w:eastAsia="宋体" w:cs="宋体"/>
          <w:b/>
          <w:bCs w:val="0"/>
          <w:color w:val="auto"/>
          <w:kern w:val="2"/>
          <w:sz w:val="24"/>
          <w:szCs w:val="24"/>
          <w:highlight w:val="none"/>
          <w:lang w:val="en-US" w:eastAsia="zh-CN" w:bidi="ar-SA"/>
        </w:rPr>
      </w:pPr>
    </w:p>
    <w:p w14:paraId="72FD182B">
      <w:pPr>
        <w:rPr>
          <w:rFonts w:hint="eastAsia" w:ascii="宋体" w:hAnsi="宋体" w:eastAsia="宋体" w:cs="宋体"/>
          <w:b/>
          <w:bCs w:val="0"/>
          <w:color w:val="auto"/>
          <w:kern w:val="2"/>
          <w:sz w:val="24"/>
          <w:szCs w:val="24"/>
          <w:highlight w:val="none"/>
          <w:lang w:val="en-US" w:eastAsia="zh-CN" w:bidi="ar-SA"/>
        </w:rPr>
      </w:pPr>
    </w:p>
    <w:p w14:paraId="687F39AC">
      <w:pPr>
        <w:rPr>
          <w:rFonts w:hint="eastAsia" w:ascii="宋体" w:hAnsi="宋体" w:eastAsia="宋体" w:cs="宋体"/>
          <w:b/>
          <w:bCs w:val="0"/>
          <w:color w:val="auto"/>
          <w:kern w:val="2"/>
          <w:sz w:val="24"/>
          <w:szCs w:val="24"/>
          <w:highlight w:val="none"/>
          <w:lang w:val="en-US" w:eastAsia="zh-CN" w:bidi="ar-SA"/>
        </w:rPr>
      </w:pPr>
    </w:p>
    <w:p w14:paraId="6233EACA">
      <w:pPr>
        <w:rPr>
          <w:rFonts w:hint="eastAsia" w:ascii="宋体" w:hAnsi="宋体" w:eastAsia="宋体" w:cs="宋体"/>
          <w:b/>
          <w:bCs w:val="0"/>
          <w:color w:val="auto"/>
          <w:kern w:val="2"/>
          <w:sz w:val="24"/>
          <w:szCs w:val="24"/>
          <w:highlight w:val="none"/>
          <w:lang w:val="en-US" w:eastAsia="zh-CN" w:bidi="ar-SA"/>
        </w:rPr>
      </w:pPr>
    </w:p>
    <w:p w14:paraId="1A421D01">
      <w:pPr>
        <w:rPr>
          <w:rFonts w:hint="eastAsia" w:ascii="宋体" w:hAnsi="宋体" w:eastAsia="宋体" w:cs="宋体"/>
          <w:b/>
          <w:bCs w:val="0"/>
          <w:color w:val="auto"/>
          <w:kern w:val="2"/>
          <w:sz w:val="24"/>
          <w:szCs w:val="24"/>
          <w:highlight w:val="none"/>
          <w:lang w:val="en-US" w:eastAsia="zh-CN" w:bidi="ar-SA"/>
        </w:rPr>
      </w:pPr>
    </w:p>
    <w:p w14:paraId="1729D5DE">
      <w:pPr>
        <w:rPr>
          <w:rFonts w:hint="eastAsia" w:ascii="宋体" w:hAnsi="宋体" w:eastAsia="宋体" w:cs="宋体"/>
          <w:b/>
          <w:bCs w:val="0"/>
          <w:color w:val="auto"/>
          <w:kern w:val="2"/>
          <w:sz w:val="24"/>
          <w:szCs w:val="24"/>
          <w:highlight w:val="none"/>
          <w:lang w:val="en-US" w:eastAsia="zh-CN" w:bidi="ar-SA"/>
        </w:rPr>
      </w:pPr>
    </w:p>
    <w:p w14:paraId="26917A76">
      <w:pPr>
        <w:rPr>
          <w:rFonts w:hint="eastAsia" w:ascii="宋体" w:hAnsi="宋体" w:eastAsia="宋体" w:cs="宋体"/>
          <w:b/>
          <w:bCs w:val="0"/>
          <w:color w:val="auto"/>
          <w:kern w:val="2"/>
          <w:sz w:val="24"/>
          <w:szCs w:val="24"/>
          <w:highlight w:val="none"/>
          <w:lang w:val="en-US" w:eastAsia="zh-CN" w:bidi="ar-SA"/>
        </w:rPr>
      </w:pPr>
    </w:p>
    <w:p w14:paraId="6079B00C">
      <w:pPr>
        <w:rPr>
          <w:rFonts w:hint="eastAsia" w:ascii="宋体" w:hAnsi="宋体" w:eastAsia="宋体" w:cs="宋体"/>
          <w:b/>
          <w:bCs w:val="0"/>
          <w:color w:val="auto"/>
          <w:kern w:val="2"/>
          <w:sz w:val="24"/>
          <w:szCs w:val="24"/>
          <w:highlight w:val="none"/>
          <w:lang w:val="en-US" w:eastAsia="zh-CN" w:bidi="ar-SA"/>
        </w:rPr>
      </w:pPr>
    </w:p>
    <w:p w14:paraId="6FD1ED31">
      <w:pPr>
        <w:rPr>
          <w:rFonts w:hint="eastAsia" w:ascii="宋体" w:hAnsi="宋体" w:eastAsia="宋体" w:cs="宋体"/>
          <w:b/>
          <w:bCs w:val="0"/>
          <w:color w:val="auto"/>
          <w:kern w:val="2"/>
          <w:sz w:val="24"/>
          <w:szCs w:val="24"/>
          <w:highlight w:val="none"/>
          <w:lang w:val="en-US" w:eastAsia="zh-CN" w:bidi="ar-SA"/>
        </w:rPr>
      </w:pPr>
    </w:p>
    <w:p w14:paraId="0E96B8C3">
      <w:pPr>
        <w:rPr>
          <w:rFonts w:hint="eastAsia" w:ascii="宋体" w:hAnsi="宋体" w:eastAsia="宋体" w:cs="宋体"/>
          <w:b/>
          <w:bCs w:val="0"/>
          <w:color w:val="auto"/>
          <w:kern w:val="2"/>
          <w:sz w:val="24"/>
          <w:szCs w:val="24"/>
          <w:highlight w:val="none"/>
          <w:lang w:val="en-US" w:eastAsia="zh-CN" w:bidi="ar-SA"/>
        </w:rPr>
      </w:pPr>
    </w:p>
    <w:p w14:paraId="27CDD41E">
      <w:pPr>
        <w:numPr>
          <w:ilvl w:val="0"/>
          <w:numId w:val="5"/>
        </w:numPr>
        <w:autoSpaceDE w:val="0"/>
        <w:autoSpaceDN w:val="0"/>
        <w:snapToGrid w:val="0"/>
        <w:spacing w:line="360" w:lineRule="auto"/>
        <w:ind w:left="0" w:leftChars="0" w:firstLine="0" w:firstLineChars="0"/>
        <w:jc w:val="center"/>
        <w:outlineLvl w:val="0"/>
        <w:rPr>
          <w:rFonts w:hint="eastAsia" w:ascii="宋体" w:hAnsi="宋体" w:eastAsia="宋体" w:cs="宋体"/>
          <w:b/>
          <w:bCs/>
          <w:color w:val="auto"/>
          <w:sz w:val="32"/>
          <w:szCs w:val="32"/>
          <w:highlight w:val="none"/>
          <w:lang w:val="zh-CN"/>
        </w:rPr>
      </w:pPr>
      <w:bookmarkStart w:id="214" w:name="_Toc19207"/>
      <w:bookmarkStart w:id="215" w:name="_Toc20973"/>
      <w:r>
        <w:rPr>
          <w:rFonts w:hint="eastAsia" w:ascii="宋体" w:hAnsi="宋体" w:eastAsia="宋体" w:cs="宋体"/>
          <w:b/>
          <w:bCs/>
          <w:color w:val="auto"/>
          <w:sz w:val="32"/>
          <w:szCs w:val="32"/>
          <w:highlight w:val="none"/>
          <w:lang w:val="zh-CN"/>
        </w:rPr>
        <w:t>商务条款</w:t>
      </w:r>
      <w:bookmarkEnd w:id="214"/>
      <w:bookmarkEnd w:id="215"/>
    </w:p>
    <w:p w14:paraId="368E9138">
      <w:pPr>
        <w:pStyle w:val="10"/>
        <w:ind w:left="765" w:firstLine="448" w:firstLineChars="200"/>
        <w:rPr>
          <w:color w:val="auto"/>
          <w:spacing w:val="2"/>
          <w:sz w:val="22"/>
          <w:szCs w:val="22"/>
          <w:highlight w:val="none"/>
          <w:lang w:eastAsia="zh-CN"/>
        </w:rPr>
      </w:pPr>
      <w:r>
        <w:rPr>
          <w:color w:val="auto"/>
          <w:spacing w:val="2"/>
          <w:sz w:val="22"/>
          <w:szCs w:val="22"/>
          <w:highlight w:val="none"/>
          <w:lang w:eastAsia="zh-CN"/>
        </w:rPr>
        <w:t>本表是对合同条款的具体补充和修改，如有矛盾，应以本资料表为准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8305"/>
      </w:tblGrid>
      <w:tr w14:paraId="4F102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74" w:type="dxa"/>
            <w:noWrap w:val="0"/>
            <w:vAlign w:val="center"/>
          </w:tcPr>
          <w:p w14:paraId="27FC5A30">
            <w:pPr>
              <w:pStyle w:val="23"/>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leftChars="0" w:right="0" w:firstLine="0" w:firstLineChars="0"/>
              <w:jc w:val="center"/>
              <w:textAlignment w:val="baseline"/>
              <w:rPr>
                <w:rFonts w:hint="eastAsia" w:ascii="宋体" w:hAnsi="宋体" w:eastAsia="宋体" w:cs="宋体"/>
                <w:b/>
                <w:bCs/>
                <w:color w:val="auto"/>
                <w:sz w:val="22"/>
                <w:szCs w:val="22"/>
                <w:highlight w:val="none"/>
                <w:vertAlign w:val="baseline"/>
                <w:lang w:val="en-US" w:eastAsia="zh-CN"/>
              </w:rPr>
            </w:pPr>
            <w:r>
              <w:rPr>
                <w:rFonts w:hint="eastAsia" w:ascii="宋体" w:hAnsi="宋体" w:eastAsia="宋体" w:cs="宋体"/>
                <w:b/>
                <w:bCs/>
                <w:color w:val="auto"/>
                <w:sz w:val="22"/>
                <w:szCs w:val="22"/>
                <w:highlight w:val="none"/>
                <w:vertAlign w:val="baseline"/>
                <w:lang w:val="en-US" w:eastAsia="zh-CN"/>
              </w:rPr>
              <w:t>条款号</w:t>
            </w:r>
          </w:p>
        </w:tc>
        <w:tc>
          <w:tcPr>
            <w:tcW w:w="8305" w:type="dxa"/>
            <w:noWrap w:val="0"/>
            <w:vAlign w:val="center"/>
          </w:tcPr>
          <w:p w14:paraId="2868124E">
            <w:pPr>
              <w:pStyle w:val="23"/>
              <w:keepNext w:val="0"/>
              <w:keepLines w:val="0"/>
              <w:suppressLineNumbers w:val="0"/>
              <w:spacing w:before="0" w:beforeAutospacing="0" w:afterAutospacing="0"/>
              <w:ind w:left="0" w:right="0"/>
              <w:jc w:val="center"/>
              <w:rPr>
                <w:rFonts w:hint="eastAsia" w:ascii="宋体" w:hAnsi="宋体" w:eastAsia="宋体" w:cs="宋体"/>
                <w:b/>
                <w:bCs/>
                <w:color w:val="auto"/>
                <w:sz w:val="22"/>
                <w:szCs w:val="22"/>
                <w:highlight w:val="none"/>
                <w:vertAlign w:val="baseline"/>
                <w:lang w:val="en-US" w:eastAsia="zh-CN"/>
              </w:rPr>
            </w:pPr>
            <w:r>
              <w:rPr>
                <w:rFonts w:hint="eastAsia" w:ascii="宋体" w:hAnsi="宋体" w:eastAsia="宋体" w:cs="宋体"/>
                <w:b/>
                <w:bCs/>
                <w:color w:val="auto"/>
                <w:sz w:val="22"/>
                <w:szCs w:val="22"/>
                <w:highlight w:val="none"/>
                <w:vertAlign w:val="baseline"/>
                <w:lang w:val="en-US" w:eastAsia="zh-CN"/>
              </w:rPr>
              <w:t>内 容</w:t>
            </w:r>
          </w:p>
        </w:tc>
      </w:tr>
      <w:tr w14:paraId="6B41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974" w:type="dxa"/>
            <w:noWrap w:val="0"/>
            <w:vAlign w:val="center"/>
          </w:tcPr>
          <w:p w14:paraId="408C4698">
            <w:pPr>
              <w:pStyle w:val="23"/>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jc w:val="center"/>
              <w:textAlignment w:val="baseline"/>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1</w:t>
            </w:r>
          </w:p>
        </w:tc>
        <w:tc>
          <w:tcPr>
            <w:tcW w:w="8305" w:type="dxa"/>
            <w:noWrap w:val="0"/>
            <w:vAlign w:val="center"/>
          </w:tcPr>
          <w:p w14:paraId="10611985">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baseline"/>
              <w:rPr>
                <w:rFonts w:hint="eastAsia" w:ascii="宋体" w:hAnsi="宋体" w:eastAsia="宋体" w:cs="宋体"/>
                <w:color w:val="auto"/>
                <w:sz w:val="22"/>
                <w:szCs w:val="22"/>
                <w:highlight w:val="none"/>
                <w:vertAlign w:val="baseline"/>
                <w:lang w:eastAsia="zh-CN"/>
              </w:rPr>
            </w:pPr>
            <w:r>
              <w:rPr>
                <w:rFonts w:hint="eastAsia" w:ascii="宋体" w:hAnsi="宋体" w:eastAsia="宋体" w:cs="宋体"/>
                <w:color w:val="auto"/>
                <w:sz w:val="22"/>
                <w:szCs w:val="22"/>
                <w:highlight w:val="none"/>
                <w:vertAlign w:val="baseline"/>
                <w:lang w:eastAsia="zh-CN"/>
              </w:rPr>
              <w:t>采购人名称：</w:t>
            </w:r>
            <w:r>
              <w:rPr>
                <w:rFonts w:hint="eastAsia" w:ascii="宋体" w:hAnsi="宋体" w:cs="宋体"/>
                <w:color w:val="auto"/>
                <w:sz w:val="22"/>
                <w:szCs w:val="22"/>
                <w:highlight w:val="none"/>
                <w:vertAlign w:val="baseline"/>
                <w:lang w:eastAsia="zh-CN"/>
              </w:rPr>
              <w:t>榆佳经济技术开发区管理委员会</w:t>
            </w:r>
          </w:p>
          <w:p w14:paraId="4DFE0E5A">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baseline"/>
              <w:rPr>
                <w:rFonts w:hint="eastAsia" w:ascii="宋体" w:hAnsi="宋体" w:eastAsia="宋体" w:cs="宋体"/>
                <w:color w:val="auto"/>
                <w:sz w:val="22"/>
                <w:szCs w:val="22"/>
                <w:highlight w:val="none"/>
                <w:vertAlign w:val="baseline"/>
                <w:lang w:eastAsia="zh-CN"/>
              </w:rPr>
            </w:pPr>
            <w:r>
              <w:rPr>
                <w:rFonts w:hint="eastAsia" w:ascii="宋体" w:hAnsi="宋体" w:eastAsia="宋体" w:cs="宋体"/>
                <w:color w:val="auto"/>
                <w:sz w:val="22"/>
                <w:szCs w:val="22"/>
                <w:highlight w:val="none"/>
                <w:vertAlign w:val="baseline"/>
                <w:lang w:eastAsia="zh-CN"/>
              </w:rPr>
              <w:t>地</w:t>
            </w:r>
            <w:r>
              <w:rPr>
                <w:rFonts w:hint="eastAsia" w:ascii="宋体" w:hAnsi="宋体" w:eastAsia="宋体" w:cs="宋体"/>
                <w:color w:val="auto"/>
                <w:sz w:val="22"/>
                <w:szCs w:val="22"/>
                <w:highlight w:val="none"/>
                <w:vertAlign w:val="baseline"/>
                <w:lang w:eastAsia="zh-CN"/>
              </w:rPr>
              <w:tab/>
            </w:r>
            <w:r>
              <w:rPr>
                <w:rFonts w:hint="eastAsia" w:ascii="宋体" w:hAnsi="宋体" w:eastAsia="宋体" w:cs="宋体"/>
                <w:color w:val="auto"/>
                <w:sz w:val="22"/>
                <w:szCs w:val="22"/>
                <w:highlight w:val="none"/>
                <w:vertAlign w:val="baseline"/>
                <w:lang w:eastAsia="zh-CN"/>
              </w:rPr>
              <w:t>址：</w:t>
            </w:r>
            <w:r>
              <w:rPr>
                <w:rFonts w:hint="eastAsia" w:ascii="宋体" w:hAnsi="宋体" w:cs="宋体"/>
                <w:color w:val="auto"/>
                <w:sz w:val="22"/>
                <w:szCs w:val="22"/>
                <w:highlight w:val="none"/>
                <w:vertAlign w:val="baseline"/>
                <w:lang w:eastAsia="zh-CN"/>
              </w:rPr>
              <w:t>佳县榆佳工业园区</w:t>
            </w:r>
          </w:p>
        </w:tc>
      </w:tr>
      <w:tr w14:paraId="2D940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74" w:type="dxa"/>
            <w:noWrap w:val="0"/>
            <w:vAlign w:val="center"/>
          </w:tcPr>
          <w:p w14:paraId="322AAD88">
            <w:pPr>
              <w:pStyle w:val="23"/>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firstLine="0"/>
              <w:jc w:val="center"/>
              <w:textAlignment w:val="baseline"/>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2</w:t>
            </w:r>
          </w:p>
        </w:tc>
        <w:tc>
          <w:tcPr>
            <w:tcW w:w="8305" w:type="dxa"/>
            <w:noWrap w:val="0"/>
            <w:vAlign w:val="center"/>
          </w:tcPr>
          <w:p w14:paraId="2BE17E3E">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baseline"/>
              <w:rPr>
                <w:rFonts w:hint="eastAsia" w:ascii="宋体" w:hAnsi="宋体" w:eastAsia="宋体" w:cs="宋体"/>
                <w:color w:val="auto"/>
                <w:sz w:val="22"/>
                <w:szCs w:val="22"/>
                <w:highlight w:val="none"/>
                <w:vertAlign w:val="baseline"/>
                <w:lang w:eastAsia="zh-CN"/>
              </w:rPr>
            </w:pPr>
            <w:r>
              <w:rPr>
                <w:rFonts w:hint="eastAsia" w:ascii="宋体" w:hAnsi="宋体" w:eastAsia="宋体" w:cs="宋体"/>
                <w:color w:val="auto"/>
                <w:sz w:val="22"/>
                <w:szCs w:val="22"/>
                <w:highlight w:val="none"/>
                <w:vertAlign w:val="baseline"/>
                <w:lang w:eastAsia="zh-CN"/>
              </w:rPr>
              <w:t>服务地点：采购人指定地点</w:t>
            </w:r>
          </w:p>
        </w:tc>
      </w:tr>
      <w:tr w14:paraId="0B9B3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974" w:type="dxa"/>
            <w:noWrap w:val="0"/>
            <w:vAlign w:val="center"/>
          </w:tcPr>
          <w:p w14:paraId="60512BBA">
            <w:pPr>
              <w:pStyle w:val="23"/>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firstLine="0"/>
              <w:jc w:val="center"/>
              <w:textAlignment w:val="baseline"/>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3</w:t>
            </w:r>
          </w:p>
        </w:tc>
        <w:tc>
          <w:tcPr>
            <w:tcW w:w="8305" w:type="dxa"/>
            <w:noWrap w:val="0"/>
            <w:vAlign w:val="center"/>
          </w:tcPr>
          <w:p w14:paraId="5AF468C9">
            <w:pPr>
              <w:keepNext w:val="0"/>
              <w:keepLines w:val="0"/>
              <w:suppressLineNumbers w:val="0"/>
              <w:spacing w:before="0" w:beforeAutospacing="0" w:after="0" w:afterAutospacing="0" w:line="240" w:lineRule="auto"/>
              <w:ind w:left="0" w:right="0"/>
              <w:rPr>
                <w:rFonts w:hint="eastAsia" w:ascii="宋体" w:hAnsi="宋体" w:cs="宋体"/>
                <w:snapToGrid w:val="0"/>
                <w:color w:val="auto"/>
                <w:kern w:val="0"/>
                <w:sz w:val="22"/>
                <w:szCs w:val="22"/>
                <w:highlight w:val="none"/>
                <w:shd w:val="clear"/>
                <w:lang w:val="en-US" w:eastAsia="zh-CN"/>
              </w:rPr>
            </w:pPr>
            <w:r>
              <w:rPr>
                <w:rFonts w:hint="eastAsia" w:ascii="宋体" w:hAnsi="宋体" w:cs="宋体"/>
                <w:snapToGrid w:val="0"/>
                <w:color w:val="auto"/>
                <w:kern w:val="0"/>
                <w:sz w:val="22"/>
                <w:szCs w:val="22"/>
                <w:highlight w:val="none"/>
                <w:shd w:val="clear"/>
                <w:lang w:val="en-US" w:eastAsia="zh-CN"/>
              </w:rPr>
              <w:t>服务期： 合同履行期限1年，总服务期限2年（一年一签）。 根据考核情况续签下一年。</w:t>
            </w:r>
          </w:p>
        </w:tc>
      </w:tr>
      <w:tr w14:paraId="241F7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974" w:type="dxa"/>
            <w:noWrap w:val="0"/>
            <w:vAlign w:val="center"/>
          </w:tcPr>
          <w:p w14:paraId="10E8909A">
            <w:pPr>
              <w:pStyle w:val="23"/>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firstLine="0"/>
              <w:jc w:val="center"/>
              <w:textAlignment w:val="baseline"/>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4</w:t>
            </w:r>
          </w:p>
        </w:tc>
        <w:tc>
          <w:tcPr>
            <w:tcW w:w="8305" w:type="dxa"/>
            <w:noWrap w:val="0"/>
            <w:vAlign w:val="center"/>
          </w:tcPr>
          <w:p w14:paraId="4DA2BAE3">
            <w:pPr>
              <w:keepNext w:val="0"/>
              <w:keepLines w:val="0"/>
              <w:suppressLineNumbers w:val="0"/>
              <w:spacing w:before="0" w:beforeAutospacing="0" w:after="0" w:afterAutospacing="0" w:line="240" w:lineRule="auto"/>
              <w:ind w:left="0" w:right="0"/>
              <w:rPr>
                <w:rFonts w:hint="eastAsia" w:ascii="宋体" w:hAnsi="宋体" w:cs="宋体"/>
                <w:snapToGrid w:val="0"/>
                <w:color w:val="auto"/>
                <w:kern w:val="0"/>
                <w:sz w:val="22"/>
                <w:szCs w:val="22"/>
                <w:highlight w:val="none"/>
                <w:shd w:val="clear"/>
                <w:lang w:val="en-US" w:eastAsia="zh-CN"/>
              </w:rPr>
            </w:pPr>
            <w:r>
              <w:rPr>
                <w:rFonts w:hint="eastAsia" w:ascii="宋体" w:hAnsi="宋体" w:cs="宋体"/>
                <w:snapToGrid w:val="0"/>
                <w:color w:val="auto"/>
                <w:kern w:val="0"/>
                <w:sz w:val="22"/>
                <w:szCs w:val="22"/>
                <w:highlight w:val="none"/>
                <w:shd w:val="clear"/>
                <w:lang w:val="en-US" w:eastAsia="zh-CN"/>
              </w:rPr>
              <w:t>服务标准：达到国家及行业质量验收合格标准。</w:t>
            </w:r>
          </w:p>
        </w:tc>
      </w:tr>
      <w:tr w14:paraId="6BCBF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7" w:hRule="atLeast"/>
        </w:trPr>
        <w:tc>
          <w:tcPr>
            <w:tcW w:w="974" w:type="dxa"/>
            <w:noWrap w:val="0"/>
            <w:vAlign w:val="center"/>
          </w:tcPr>
          <w:p w14:paraId="76506A54">
            <w:pPr>
              <w:pStyle w:val="23"/>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firstLine="0"/>
              <w:jc w:val="center"/>
              <w:textAlignment w:val="baseline"/>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5</w:t>
            </w:r>
          </w:p>
        </w:tc>
        <w:tc>
          <w:tcPr>
            <w:tcW w:w="8305" w:type="dxa"/>
            <w:noWrap w:val="0"/>
            <w:vAlign w:val="center"/>
          </w:tcPr>
          <w:p w14:paraId="545CAC75">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firstLine="0" w:firstLineChars="0"/>
              <w:jc w:val="both"/>
              <w:textAlignment w:val="baseline"/>
              <w:rPr>
                <w:rFonts w:hint="eastAsia" w:ascii="宋体" w:hAnsi="宋体" w:eastAsia="宋体" w:cs="宋体"/>
                <w:color w:val="auto"/>
                <w:sz w:val="22"/>
                <w:szCs w:val="22"/>
                <w:highlight w:val="none"/>
                <w:vertAlign w:val="baseline"/>
                <w:lang w:eastAsia="zh-CN"/>
              </w:rPr>
            </w:pPr>
            <w:r>
              <w:rPr>
                <w:rFonts w:hint="eastAsia" w:ascii="宋体" w:hAnsi="宋体" w:eastAsia="宋体" w:cs="宋体"/>
                <w:color w:val="auto"/>
                <w:sz w:val="22"/>
                <w:szCs w:val="22"/>
                <w:highlight w:val="none"/>
                <w:vertAlign w:val="baseline"/>
                <w:lang w:eastAsia="zh-CN"/>
              </w:rPr>
              <w:t>1.合同价即成交价，供应商应在</w:t>
            </w:r>
            <w:r>
              <w:rPr>
                <w:rFonts w:hint="eastAsia" w:ascii="宋体" w:hAnsi="宋体" w:cs="宋体"/>
                <w:color w:val="auto"/>
                <w:sz w:val="22"/>
                <w:szCs w:val="22"/>
                <w:highlight w:val="none"/>
                <w:lang w:val="en-US" w:eastAsia="zh-CN"/>
              </w:rPr>
              <w:t>投标</w:t>
            </w:r>
            <w:r>
              <w:rPr>
                <w:rFonts w:hint="eastAsia" w:ascii="宋体" w:hAnsi="宋体" w:eastAsia="宋体" w:cs="宋体"/>
                <w:color w:val="auto"/>
                <w:sz w:val="22"/>
                <w:szCs w:val="22"/>
                <w:highlight w:val="none"/>
                <w:vertAlign w:val="baseline"/>
                <w:lang w:eastAsia="zh-CN"/>
              </w:rPr>
              <w:t>报价表中标明完成本次</w:t>
            </w:r>
            <w:r>
              <w:rPr>
                <w:rFonts w:hint="eastAsia" w:ascii="宋体" w:hAnsi="宋体" w:cs="宋体"/>
                <w:color w:val="auto"/>
                <w:sz w:val="22"/>
                <w:szCs w:val="22"/>
                <w:highlight w:val="none"/>
                <w:lang w:val="en-US" w:eastAsia="zh-CN"/>
              </w:rPr>
              <w:t>投标</w:t>
            </w:r>
            <w:r>
              <w:rPr>
                <w:rFonts w:hint="eastAsia" w:ascii="宋体" w:hAnsi="宋体" w:eastAsia="宋体" w:cs="宋体"/>
                <w:color w:val="auto"/>
                <w:sz w:val="22"/>
                <w:szCs w:val="22"/>
                <w:highlight w:val="none"/>
                <w:vertAlign w:val="baseline"/>
                <w:lang w:eastAsia="zh-CN"/>
              </w:rPr>
              <w:t>所要求的服务、验收合格的所有费用，包括本项目实施服务费、验收费用等其他一切相关费用。</w:t>
            </w:r>
            <w:r>
              <w:rPr>
                <w:rFonts w:hint="eastAsia" w:ascii="宋体" w:hAnsi="宋体" w:cs="宋体"/>
                <w:color w:val="auto"/>
                <w:sz w:val="22"/>
                <w:szCs w:val="22"/>
                <w:highlight w:val="none"/>
                <w:lang w:val="en-US" w:eastAsia="zh-CN"/>
              </w:rPr>
              <w:t>投标</w:t>
            </w:r>
            <w:r>
              <w:rPr>
                <w:rFonts w:hint="eastAsia" w:ascii="宋体" w:hAnsi="宋体" w:eastAsia="宋体" w:cs="宋体"/>
                <w:color w:val="auto"/>
                <w:sz w:val="22"/>
                <w:szCs w:val="22"/>
                <w:highlight w:val="none"/>
                <w:vertAlign w:val="baseline"/>
                <w:lang w:eastAsia="zh-CN"/>
              </w:rPr>
              <w:t>报价表中标明本次服务所有单项价格和总价，任何有选择的报价将不予接受，按无效投标处理。</w:t>
            </w:r>
          </w:p>
          <w:p w14:paraId="4C01459D">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firstLine="0" w:firstLineChars="0"/>
              <w:jc w:val="both"/>
              <w:textAlignment w:val="baseline"/>
              <w:rPr>
                <w:rFonts w:hint="eastAsia" w:ascii="宋体" w:hAnsi="宋体" w:eastAsia="宋体" w:cs="宋体"/>
                <w:color w:val="auto"/>
                <w:sz w:val="22"/>
                <w:szCs w:val="22"/>
                <w:highlight w:val="none"/>
                <w:vertAlign w:val="baseline"/>
                <w:lang w:eastAsia="zh-CN"/>
              </w:rPr>
            </w:pPr>
            <w:r>
              <w:rPr>
                <w:rFonts w:hint="eastAsia" w:ascii="宋体" w:hAnsi="宋体" w:eastAsia="宋体" w:cs="宋体"/>
                <w:color w:val="auto"/>
                <w:sz w:val="22"/>
                <w:szCs w:val="22"/>
                <w:highlight w:val="none"/>
                <w:vertAlign w:val="baseline"/>
                <w:lang w:eastAsia="zh-CN"/>
              </w:rPr>
              <w:t>2.付款方式：</w:t>
            </w:r>
          </w:p>
          <w:p w14:paraId="7DABC1D3">
            <w:pPr>
              <w:pStyle w:val="23"/>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12" w:lineRule="auto"/>
              <w:ind w:left="0" w:leftChars="0" w:right="0" w:firstLine="440" w:firstLineChars="200"/>
              <w:jc w:val="both"/>
              <w:textAlignment w:val="baseline"/>
              <w:rPr>
                <w:rFonts w:hint="default" w:ascii="宋体" w:hAnsi="宋体" w:eastAsia="宋体" w:cs="宋体"/>
                <w:color w:val="auto"/>
                <w:sz w:val="22"/>
                <w:szCs w:val="22"/>
                <w:highlight w:val="none"/>
                <w:vertAlign w:val="baseline"/>
                <w:lang w:val="en-US" w:eastAsia="zh-CN"/>
              </w:rPr>
            </w:pPr>
            <w:r>
              <w:rPr>
                <w:rFonts w:hint="eastAsia" w:ascii="宋体" w:hAnsi="宋体" w:cs="宋体"/>
                <w:snapToGrid w:val="0"/>
                <w:color w:val="auto"/>
                <w:kern w:val="0"/>
                <w:sz w:val="22"/>
                <w:szCs w:val="22"/>
                <w:highlight w:val="none"/>
                <w:lang w:val="en-US" w:eastAsia="zh-CN"/>
              </w:rPr>
              <w:t xml:space="preserve"> </w:t>
            </w:r>
            <w:r>
              <w:rPr>
                <w:rFonts w:hint="eastAsia" w:ascii="宋体" w:hAnsi="宋体" w:eastAsia="宋体" w:cs="宋体"/>
                <w:color w:val="auto"/>
                <w:sz w:val="22"/>
                <w:szCs w:val="22"/>
                <w:highlight w:val="none"/>
              </w:rPr>
              <w:t>按采购要求</w:t>
            </w:r>
            <w:r>
              <w:rPr>
                <w:rFonts w:hint="eastAsia" w:ascii="宋体" w:hAnsi="宋体" w:eastAsia="宋体" w:cs="宋体"/>
                <w:color w:val="auto"/>
                <w:sz w:val="22"/>
                <w:szCs w:val="22"/>
                <w:highlight w:val="none"/>
                <w:lang w:val="en-US" w:eastAsia="zh-CN"/>
              </w:rPr>
              <w:t>进行实施，实施半年后支付合同金额50%，服务期</w:t>
            </w:r>
            <w:r>
              <w:rPr>
                <w:rFonts w:hint="eastAsia" w:ascii="宋体" w:hAnsi="宋体" w:eastAsia="宋体" w:cs="宋体"/>
                <w:color w:val="auto"/>
                <w:sz w:val="22"/>
                <w:szCs w:val="22"/>
                <w:highlight w:val="none"/>
              </w:rPr>
              <w:t>完毕后，甲方对工作量进行核实并验收，</w:t>
            </w:r>
            <w:r>
              <w:rPr>
                <w:rFonts w:hint="eastAsia" w:ascii="宋体" w:hAnsi="宋体" w:eastAsia="宋体" w:cs="宋体"/>
                <w:color w:val="auto"/>
                <w:sz w:val="22"/>
                <w:szCs w:val="22"/>
                <w:highlight w:val="none"/>
                <w:lang w:val="en-US" w:eastAsia="zh-CN"/>
              </w:rPr>
              <w:t>待结算审计</w:t>
            </w:r>
            <w:r>
              <w:rPr>
                <w:rFonts w:hint="eastAsia" w:ascii="宋体" w:hAnsi="宋体" w:eastAsia="宋体" w:cs="宋体"/>
                <w:color w:val="auto"/>
                <w:sz w:val="22"/>
                <w:szCs w:val="22"/>
                <w:highlight w:val="none"/>
              </w:rPr>
              <w:t>后结算剩余</w:t>
            </w:r>
            <w:r>
              <w:rPr>
                <w:rFonts w:hint="eastAsia" w:ascii="宋体" w:hAnsi="宋体" w:eastAsia="宋体" w:cs="宋体"/>
                <w:color w:val="auto"/>
                <w:sz w:val="22"/>
                <w:szCs w:val="22"/>
                <w:highlight w:val="none"/>
                <w:lang w:val="en-US" w:eastAsia="zh-CN"/>
              </w:rPr>
              <w:t>50%</w:t>
            </w:r>
            <w:r>
              <w:rPr>
                <w:rFonts w:hint="eastAsia" w:ascii="宋体" w:hAnsi="宋体" w:eastAsia="宋体" w:cs="宋体"/>
                <w:color w:val="auto"/>
                <w:sz w:val="22"/>
                <w:szCs w:val="22"/>
                <w:highlight w:val="none"/>
              </w:rPr>
              <w:t>款项。</w:t>
            </w:r>
            <w:r>
              <w:rPr>
                <w:rFonts w:hint="eastAsia" w:ascii="宋体" w:hAnsi="宋体" w:cs="宋体"/>
                <w:snapToGrid w:val="0"/>
                <w:color w:val="auto"/>
                <w:kern w:val="0"/>
                <w:sz w:val="22"/>
                <w:szCs w:val="22"/>
                <w:highlight w:val="none"/>
                <w:lang w:val="en-US" w:eastAsia="zh-CN"/>
              </w:rPr>
              <w:t xml:space="preserve">                                                       </w:t>
            </w:r>
          </w:p>
        </w:tc>
      </w:tr>
      <w:tr w14:paraId="38ED3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4" w:hRule="atLeast"/>
        </w:trPr>
        <w:tc>
          <w:tcPr>
            <w:tcW w:w="974" w:type="dxa"/>
            <w:noWrap w:val="0"/>
            <w:vAlign w:val="center"/>
          </w:tcPr>
          <w:p w14:paraId="458FB902">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6</w:t>
            </w:r>
          </w:p>
        </w:tc>
        <w:tc>
          <w:tcPr>
            <w:tcW w:w="8305" w:type="dxa"/>
            <w:noWrap w:val="0"/>
            <w:vAlign w:val="center"/>
          </w:tcPr>
          <w:p w14:paraId="5DBCDE14">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firstLine="0" w:firstLineChars="0"/>
              <w:jc w:val="both"/>
              <w:textAlignment w:val="baseline"/>
              <w:rPr>
                <w:rFonts w:hint="eastAsia" w:ascii="宋体" w:hAnsi="宋体" w:eastAsia="宋体" w:cs="宋体"/>
                <w:b/>
                <w:bCs/>
                <w:color w:val="auto"/>
                <w:sz w:val="22"/>
                <w:szCs w:val="22"/>
                <w:highlight w:val="none"/>
                <w:vertAlign w:val="baseline"/>
                <w:lang w:val="en-US" w:eastAsia="zh-CN"/>
              </w:rPr>
            </w:pPr>
            <w:r>
              <w:rPr>
                <w:rFonts w:hint="eastAsia" w:ascii="宋体" w:hAnsi="宋体" w:eastAsia="宋体" w:cs="宋体"/>
                <w:b/>
                <w:bCs/>
                <w:color w:val="auto"/>
                <w:sz w:val="22"/>
                <w:szCs w:val="22"/>
                <w:highlight w:val="none"/>
                <w:vertAlign w:val="baseline"/>
                <w:lang w:val="en-US" w:eastAsia="zh-CN"/>
              </w:rPr>
              <w:t>验收：</w:t>
            </w:r>
          </w:p>
          <w:p w14:paraId="41CA8358">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firstLine="440" w:firstLineChars="200"/>
              <w:jc w:val="both"/>
              <w:textAlignment w:val="baseline"/>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1、由甲方负责组织验收，乙方配合进行。</w:t>
            </w:r>
          </w:p>
          <w:p w14:paraId="197446B1">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firstLine="440" w:firstLineChars="200"/>
              <w:jc w:val="both"/>
              <w:textAlignment w:val="baseline"/>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2、项目实施完毕后由</w:t>
            </w:r>
            <w:r>
              <w:rPr>
                <w:rFonts w:hint="eastAsia" w:ascii="宋体" w:hAnsi="宋体" w:cs="宋体"/>
                <w:color w:val="auto"/>
                <w:sz w:val="22"/>
                <w:szCs w:val="22"/>
                <w:highlight w:val="none"/>
                <w:vertAlign w:val="baseline"/>
                <w:lang w:val="en-US" w:eastAsia="zh-CN"/>
              </w:rPr>
              <w:t>采购人</w:t>
            </w:r>
            <w:r>
              <w:rPr>
                <w:rFonts w:hint="eastAsia" w:ascii="宋体" w:hAnsi="宋体" w:eastAsia="宋体" w:cs="宋体"/>
                <w:color w:val="auto"/>
                <w:sz w:val="22"/>
                <w:szCs w:val="22"/>
                <w:highlight w:val="none"/>
                <w:vertAlign w:val="baseline"/>
                <w:lang w:val="en-US" w:eastAsia="zh-CN"/>
              </w:rPr>
              <w:t>或其委派的专家代表或第三方机构等对项目进行整体验收，验收合格后，出具《验收报告单》。</w:t>
            </w:r>
          </w:p>
          <w:p w14:paraId="27066BCF">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firstLine="440" w:firstLineChars="200"/>
              <w:jc w:val="both"/>
              <w:textAlignment w:val="baseline"/>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3、验收依据：</w:t>
            </w:r>
          </w:p>
          <w:p w14:paraId="0B6D5900">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firstLine="440" w:firstLineChars="200"/>
              <w:jc w:val="both"/>
              <w:textAlignment w:val="baseline"/>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3-1、招标文件、投标文件、经济合同；</w:t>
            </w:r>
          </w:p>
          <w:p w14:paraId="2FF3ECDA">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firstLine="440" w:firstLineChars="200"/>
              <w:jc w:val="both"/>
              <w:textAlignment w:val="baseline"/>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3-2、中标通知书；</w:t>
            </w:r>
          </w:p>
          <w:p w14:paraId="1DA57E91">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firstLine="440" w:firstLineChars="200"/>
              <w:jc w:val="both"/>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vertAlign w:val="baseline"/>
                <w:lang w:val="en-US" w:eastAsia="zh-CN"/>
              </w:rPr>
              <w:t>3-3、国内相应的国家标准、行业标准及规范。</w:t>
            </w:r>
          </w:p>
        </w:tc>
      </w:tr>
      <w:tr w14:paraId="019D1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974" w:type="dxa"/>
            <w:noWrap w:val="0"/>
            <w:vAlign w:val="center"/>
          </w:tcPr>
          <w:p w14:paraId="2C5CC867">
            <w:pPr>
              <w:pStyle w:val="23"/>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firstLine="0"/>
              <w:jc w:val="center"/>
              <w:textAlignment w:val="baseline"/>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7</w:t>
            </w:r>
          </w:p>
        </w:tc>
        <w:tc>
          <w:tcPr>
            <w:tcW w:w="8305" w:type="dxa"/>
            <w:noWrap w:val="0"/>
            <w:vAlign w:val="center"/>
          </w:tcPr>
          <w:p w14:paraId="65BDC320">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firstLine="0" w:firstLineChars="0"/>
              <w:jc w:val="both"/>
              <w:textAlignment w:val="baseline"/>
              <w:rPr>
                <w:rFonts w:hint="eastAsia" w:ascii="宋体" w:hAnsi="宋体" w:eastAsia="宋体" w:cs="宋体"/>
                <w:b/>
                <w:bCs/>
                <w:color w:val="auto"/>
                <w:sz w:val="22"/>
                <w:szCs w:val="22"/>
                <w:highlight w:val="none"/>
                <w:vertAlign w:val="baseline"/>
                <w:lang w:eastAsia="zh-CN"/>
              </w:rPr>
            </w:pPr>
            <w:r>
              <w:rPr>
                <w:rFonts w:hint="eastAsia" w:ascii="宋体" w:hAnsi="宋体" w:eastAsia="宋体" w:cs="宋体"/>
                <w:b/>
                <w:bCs/>
                <w:color w:val="auto"/>
                <w:sz w:val="22"/>
                <w:szCs w:val="22"/>
                <w:highlight w:val="none"/>
                <w:vertAlign w:val="baseline"/>
                <w:lang w:eastAsia="zh-CN"/>
              </w:rPr>
              <w:t>知识产权：</w:t>
            </w:r>
          </w:p>
          <w:p w14:paraId="65DF7A20">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firstLine="440" w:firstLineChars="200"/>
              <w:jc w:val="both"/>
              <w:textAlignment w:val="baseline"/>
              <w:rPr>
                <w:rFonts w:hint="eastAsia" w:ascii="宋体" w:hAnsi="宋体" w:eastAsia="宋体" w:cs="宋体"/>
                <w:color w:val="auto"/>
                <w:sz w:val="22"/>
                <w:szCs w:val="22"/>
                <w:highlight w:val="none"/>
                <w:vertAlign w:val="baseline"/>
                <w:lang w:eastAsia="zh-CN"/>
              </w:rPr>
            </w:pPr>
            <w:r>
              <w:rPr>
                <w:rFonts w:hint="eastAsia" w:ascii="宋体" w:hAnsi="宋体" w:eastAsia="宋体" w:cs="宋体"/>
                <w:color w:val="auto"/>
                <w:sz w:val="22"/>
                <w:szCs w:val="22"/>
                <w:highlight w:val="none"/>
                <w:vertAlign w:val="baseline"/>
                <w:lang w:eastAsia="zh-CN"/>
              </w:rPr>
              <w:t>供应商应保证投标货物及服务不会出现因第三方提出侵犯其专利权、商标权或其它知识产权而引发法律或经济纠纷，否则由供应商承担全部责任。任何被供应商用于未经授权的商业目的行为所造成的违约或侵权责任由供应商承担。</w:t>
            </w:r>
          </w:p>
        </w:tc>
      </w:tr>
      <w:tr w14:paraId="4BAFE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trPr>
        <w:tc>
          <w:tcPr>
            <w:tcW w:w="974" w:type="dxa"/>
            <w:noWrap w:val="0"/>
            <w:vAlign w:val="center"/>
          </w:tcPr>
          <w:p w14:paraId="47407DD2">
            <w:pPr>
              <w:pStyle w:val="23"/>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firstLine="0"/>
              <w:jc w:val="center"/>
              <w:textAlignment w:val="baseline"/>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8</w:t>
            </w:r>
          </w:p>
        </w:tc>
        <w:tc>
          <w:tcPr>
            <w:tcW w:w="8305" w:type="dxa"/>
            <w:noWrap w:val="0"/>
            <w:vAlign w:val="center"/>
          </w:tcPr>
          <w:p w14:paraId="3C97B579">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firstLine="0" w:firstLineChars="0"/>
              <w:jc w:val="both"/>
              <w:textAlignment w:val="baseline"/>
              <w:rPr>
                <w:rFonts w:hint="eastAsia" w:ascii="宋体" w:hAnsi="宋体" w:eastAsia="宋体" w:cs="宋体"/>
                <w:b/>
                <w:bCs/>
                <w:color w:val="auto"/>
                <w:sz w:val="22"/>
                <w:szCs w:val="22"/>
                <w:highlight w:val="none"/>
                <w:vertAlign w:val="baseline"/>
                <w:lang w:eastAsia="zh-CN"/>
              </w:rPr>
            </w:pPr>
            <w:r>
              <w:rPr>
                <w:rFonts w:hint="eastAsia" w:ascii="宋体" w:hAnsi="宋体" w:eastAsia="宋体" w:cs="宋体"/>
                <w:b/>
                <w:bCs/>
                <w:color w:val="auto"/>
                <w:sz w:val="22"/>
                <w:szCs w:val="22"/>
                <w:highlight w:val="none"/>
                <w:vertAlign w:val="baseline"/>
                <w:lang w:eastAsia="zh-CN"/>
              </w:rPr>
              <w:t>违约责任：</w:t>
            </w:r>
          </w:p>
          <w:p w14:paraId="5EA87CFB">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firstLine="440" w:firstLineChars="200"/>
              <w:jc w:val="both"/>
              <w:textAlignment w:val="baseline"/>
              <w:rPr>
                <w:rFonts w:hint="eastAsia" w:ascii="宋体" w:hAnsi="宋体" w:eastAsia="宋体" w:cs="宋体"/>
                <w:color w:val="auto"/>
                <w:sz w:val="22"/>
                <w:szCs w:val="22"/>
                <w:highlight w:val="none"/>
                <w:vertAlign w:val="baseline"/>
                <w:lang w:eastAsia="zh-CN"/>
              </w:rPr>
            </w:pPr>
            <w:r>
              <w:rPr>
                <w:rFonts w:hint="eastAsia" w:ascii="宋体" w:hAnsi="宋体" w:eastAsia="宋体" w:cs="宋体"/>
                <w:color w:val="auto"/>
                <w:sz w:val="22"/>
                <w:szCs w:val="22"/>
                <w:highlight w:val="none"/>
                <w:vertAlign w:val="baseline"/>
                <w:lang w:eastAsia="zh-CN"/>
              </w:rPr>
              <w:t>1、按《中华人民共和国民法典》中的相关条款执行。</w:t>
            </w:r>
          </w:p>
          <w:p w14:paraId="043D1254">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firstLine="440" w:firstLineChars="200"/>
              <w:jc w:val="both"/>
              <w:textAlignment w:val="baseline"/>
              <w:rPr>
                <w:rFonts w:hint="eastAsia" w:ascii="宋体" w:hAnsi="宋体" w:eastAsia="宋体" w:cs="宋体"/>
                <w:color w:val="auto"/>
                <w:sz w:val="22"/>
                <w:szCs w:val="22"/>
                <w:highlight w:val="none"/>
                <w:vertAlign w:val="baseline"/>
                <w:lang w:eastAsia="zh-CN"/>
              </w:rPr>
            </w:pPr>
            <w:r>
              <w:rPr>
                <w:rFonts w:hint="eastAsia" w:ascii="宋体" w:hAnsi="宋体" w:eastAsia="宋体" w:cs="宋体"/>
                <w:color w:val="auto"/>
                <w:sz w:val="22"/>
                <w:szCs w:val="22"/>
                <w:highlight w:val="none"/>
                <w:vertAlign w:val="baseline"/>
                <w:lang w:eastAsia="zh-CN"/>
              </w:rPr>
              <w:t>2、未按合同或招标文件要求提供产品(货物)或供应的产品(货物)质量不能满足采购人技术要求，采购单位有权单方终止合同，甚至对供应商违约行为进行追究。</w:t>
            </w:r>
          </w:p>
        </w:tc>
      </w:tr>
    </w:tbl>
    <w:p w14:paraId="48334E41">
      <w:pPr>
        <w:numPr>
          <w:ilvl w:val="0"/>
          <w:numId w:val="0"/>
        </w:numPr>
        <w:shd w:val="clear"/>
        <w:autoSpaceDE w:val="0"/>
        <w:autoSpaceDN w:val="0"/>
        <w:snapToGrid w:val="0"/>
        <w:spacing w:line="360" w:lineRule="auto"/>
        <w:ind w:leftChars="0"/>
        <w:jc w:val="both"/>
        <w:rPr>
          <w:rFonts w:hint="eastAsia" w:ascii="宋体" w:hAnsi="宋体" w:eastAsia="宋体" w:cs="宋体"/>
          <w:b/>
          <w:bCs/>
          <w:color w:val="auto"/>
          <w:sz w:val="32"/>
          <w:szCs w:val="32"/>
          <w:highlight w:val="none"/>
          <w:lang w:val="zh-CN"/>
        </w:rPr>
      </w:pPr>
    </w:p>
    <w:p w14:paraId="0C1F38FD">
      <w:pPr>
        <w:numPr>
          <w:ilvl w:val="0"/>
          <w:numId w:val="0"/>
        </w:numPr>
        <w:shd w:val="clear"/>
        <w:autoSpaceDE w:val="0"/>
        <w:autoSpaceDN w:val="0"/>
        <w:snapToGrid w:val="0"/>
        <w:spacing w:line="360" w:lineRule="auto"/>
        <w:ind w:leftChars="0"/>
        <w:jc w:val="both"/>
        <w:rPr>
          <w:rFonts w:hint="eastAsia" w:ascii="宋体" w:hAnsi="宋体" w:eastAsia="宋体" w:cs="宋体"/>
          <w:b/>
          <w:bCs/>
          <w:color w:val="auto"/>
          <w:sz w:val="32"/>
          <w:szCs w:val="32"/>
          <w:highlight w:val="none"/>
          <w:lang w:val="zh-CN"/>
        </w:rPr>
      </w:pPr>
    </w:p>
    <w:p w14:paraId="6D3AB901">
      <w:pPr>
        <w:numPr>
          <w:ilvl w:val="0"/>
          <w:numId w:val="5"/>
        </w:numPr>
        <w:shd w:val="clear"/>
        <w:autoSpaceDE w:val="0"/>
        <w:autoSpaceDN w:val="0"/>
        <w:snapToGrid w:val="0"/>
        <w:spacing w:line="360" w:lineRule="auto"/>
        <w:ind w:left="0" w:leftChars="0" w:firstLine="0" w:firstLineChars="0"/>
        <w:jc w:val="center"/>
        <w:outlineLvl w:val="0"/>
        <w:rPr>
          <w:rFonts w:hint="eastAsia" w:ascii="宋体" w:hAnsi="宋体" w:eastAsia="宋体" w:cs="宋体"/>
          <w:b/>
          <w:bCs/>
          <w:color w:val="auto"/>
          <w:sz w:val="32"/>
          <w:szCs w:val="32"/>
          <w:highlight w:val="none"/>
          <w:lang w:val="zh-CN"/>
        </w:rPr>
      </w:pPr>
      <w:bookmarkStart w:id="216" w:name="_Toc27315"/>
      <w:r>
        <w:rPr>
          <w:rFonts w:hint="eastAsia" w:ascii="宋体" w:hAnsi="宋体" w:eastAsia="宋体" w:cs="宋体"/>
          <w:b/>
          <w:bCs/>
          <w:color w:val="auto"/>
          <w:sz w:val="32"/>
          <w:szCs w:val="32"/>
          <w:highlight w:val="none"/>
          <w:lang w:val="zh-CN" w:eastAsia="zh-CN"/>
        </w:rPr>
        <w:t>政府采购合同（参考格式）</w:t>
      </w:r>
      <w:bookmarkEnd w:id="216"/>
    </w:p>
    <w:p w14:paraId="596BCBAE">
      <w:pPr>
        <w:rPr>
          <w:rFonts w:hint="eastAsia"/>
          <w:highlight w:val="none"/>
        </w:rPr>
      </w:pPr>
    </w:p>
    <w:p w14:paraId="2A5917BF">
      <w:pPr>
        <w:pStyle w:val="2"/>
        <w:spacing w:before="0" w:after="0" w:line="720" w:lineRule="auto"/>
        <w:rPr>
          <w:rFonts w:hint="eastAsia" w:ascii="宋体" w:hAnsi="宋体" w:eastAsia="宋体" w:cs="宋体"/>
          <w:b/>
          <w:sz w:val="48"/>
          <w:szCs w:val="48"/>
          <w:highlight w:val="none"/>
        </w:rPr>
      </w:pPr>
    </w:p>
    <w:p w14:paraId="4C24AABB">
      <w:pPr>
        <w:rPr>
          <w:rFonts w:hint="eastAsia"/>
          <w:highlight w:val="none"/>
        </w:rPr>
      </w:pPr>
    </w:p>
    <w:p w14:paraId="143FBC55">
      <w:pPr>
        <w:jc w:val="center"/>
        <w:rPr>
          <w:rFonts w:hint="eastAsia"/>
          <w:sz w:val="28"/>
          <w:szCs w:val="36"/>
          <w:highlight w:val="none"/>
        </w:rPr>
      </w:pPr>
      <w:r>
        <w:rPr>
          <w:rFonts w:hint="eastAsia" w:ascii="宋体" w:hAnsi="宋体" w:eastAsia="宋体" w:cs="宋体"/>
          <w:b/>
          <w:sz w:val="36"/>
          <w:szCs w:val="36"/>
          <w:highlight w:val="none"/>
        </w:rPr>
        <w:t>2026年度榆佳经济技术开发区两厂(场)运营管理服务项目</w:t>
      </w:r>
    </w:p>
    <w:p w14:paraId="752F4B75">
      <w:pPr>
        <w:rPr>
          <w:rFonts w:hint="eastAsia"/>
          <w:highlight w:val="none"/>
        </w:rPr>
      </w:pPr>
    </w:p>
    <w:p w14:paraId="76E70530">
      <w:pPr>
        <w:rPr>
          <w:rFonts w:hint="eastAsia"/>
          <w:highlight w:val="none"/>
        </w:rPr>
      </w:pPr>
    </w:p>
    <w:p w14:paraId="4118C8C1">
      <w:pPr>
        <w:spacing w:line="360" w:lineRule="auto"/>
        <w:jc w:val="center"/>
        <w:rPr>
          <w:b/>
          <w:bCs/>
          <w:sz w:val="44"/>
          <w:szCs w:val="44"/>
          <w:highlight w:val="none"/>
        </w:rPr>
      </w:pPr>
    </w:p>
    <w:p w14:paraId="11537FF0">
      <w:pPr>
        <w:spacing w:line="360" w:lineRule="auto"/>
        <w:jc w:val="center"/>
        <w:rPr>
          <w:b/>
          <w:bCs/>
          <w:sz w:val="44"/>
          <w:szCs w:val="44"/>
          <w:highlight w:val="none"/>
        </w:rPr>
      </w:pPr>
    </w:p>
    <w:p w14:paraId="7A9C9117">
      <w:pPr>
        <w:spacing w:line="360" w:lineRule="auto"/>
        <w:jc w:val="center"/>
        <w:rPr>
          <w:rFonts w:hint="eastAsia"/>
          <w:b/>
          <w:bCs/>
          <w:sz w:val="44"/>
          <w:szCs w:val="44"/>
          <w:highlight w:val="none"/>
        </w:rPr>
      </w:pPr>
      <w:r>
        <w:rPr>
          <w:rFonts w:hint="eastAsia"/>
          <w:b/>
          <w:bCs/>
          <w:sz w:val="44"/>
          <w:szCs w:val="44"/>
          <w:highlight w:val="none"/>
        </w:rPr>
        <w:t>服</w:t>
      </w:r>
    </w:p>
    <w:p w14:paraId="426B3ECB">
      <w:pPr>
        <w:spacing w:line="360" w:lineRule="auto"/>
        <w:jc w:val="center"/>
        <w:rPr>
          <w:rFonts w:hint="eastAsia"/>
          <w:b/>
          <w:bCs/>
          <w:sz w:val="44"/>
          <w:szCs w:val="44"/>
          <w:highlight w:val="none"/>
        </w:rPr>
      </w:pPr>
    </w:p>
    <w:p w14:paraId="66389B91">
      <w:pPr>
        <w:spacing w:line="360" w:lineRule="auto"/>
        <w:jc w:val="center"/>
        <w:rPr>
          <w:rFonts w:hint="eastAsia"/>
          <w:b/>
          <w:bCs/>
          <w:sz w:val="44"/>
          <w:szCs w:val="44"/>
          <w:highlight w:val="none"/>
        </w:rPr>
      </w:pPr>
      <w:r>
        <w:rPr>
          <w:rFonts w:hint="eastAsia"/>
          <w:b/>
          <w:bCs/>
          <w:sz w:val="44"/>
          <w:szCs w:val="44"/>
          <w:highlight w:val="none"/>
        </w:rPr>
        <w:t>务</w:t>
      </w:r>
    </w:p>
    <w:p w14:paraId="052C567A">
      <w:pPr>
        <w:spacing w:line="360" w:lineRule="auto"/>
        <w:jc w:val="center"/>
        <w:rPr>
          <w:rFonts w:hint="eastAsia"/>
          <w:b/>
          <w:bCs/>
          <w:sz w:val="44"/>
          <w:szCs w:val="44"/>
          <w:highlight w:val="none"/>
        </w:rPr>
      </w:pPr>
    </w:p>
    <w:p w14:paraId="120326BB">
      <w:pPr>
        <w:spacing w:line="360" w:lineRule="auto"/>
        <w:jc w:val="center"/>
        <w:rPr>
          <w:b/>
          <w:bCs/>
          <w:sz w:val="44"/>
          <w:szCs w:val="44"/>
          <w:highlight w:val="none"/>
        </w:rPr>
      </w:pPr>
      <w:r>
        <w:rPr>
          <w:rFonts w:hint="eastAsia"/>
          <w:b/>
          <w:bCs/>
          <w:sz w:val="44"/>
          <w:szCs w:val="44"/>
          <w:highlight w:val="none"/>
        </w:rPr>
        <w:t>合</w:t>
      </w:r>
    </w:p>
    <w:p w14:paraId="47A1359F">
      <w:pPr>
        <w:pStyle w:val="10"/>
        <w:ind w:firstLine="440"/>
        <w:rPr>
          <w:rFonts w:hint="eastAsia"/>
          <w:highlight w:val="none"/>
        </w:rPr>
      </w:pPr>
    </w:p>
    <w:p w14:paraId="2F509E09">
      <w:pPr>
        <w:spacing w:line="360" w:lineRule="auto"/>
        <w:jc w:val="center"/>
        <w:rPr>
          <w:rFonts w:hint="eastAsia"/>
          <w:b/>
          <w:bCs/>
          <w:sz w:val="44"/>
          <w:szCs w:val="44"/>
          <w:highlight w:val="none"/>
        </w:rPr>
      </w:pPr>
      <w:r>
        <w:rPr>
          <w:rFonts w:hint="eastAsia"/>
          <w:b/>
          <w:bCs/>
          <w:sz w:val="44"/>
          <w:szCs w:val="44"/>
          <w:highlight w:val="none"/>
        </w:rPr>
        <w:t>同</w:t>
      </w:r>
    </w:p>
    <w:p w14:paraId="0997FD29">
      <w:pPr>
        <w:rPr>
          <w:rFonts w:hint="eastAsia" w:ascii="宋体" w:hAnsi="宋体" w:cs="宋体"/>
          <w:b/>
          <w:bCs/>
          <w:sz w:val="28"/>
          <w:szCs w:val="28"/>
          <w:highlight w:val="none"/>
        </w:rPr>
      </w:pPr>
    </w:p>
    <w:p w14:paraId="638F22BD">
      <w:pPr>
        <w:spacing w:line="360" w:lineRule="auto"/>
        <w:ind w:leftChars="1000"/>
        <w:rPr>
          <w:rFonts w:hint="eastAsia" w:ascii="宋体" w:hAnsi="宋体" w:eastAsia="宋体" w:cs="宋体"/>
          <w:b/>
          <w:bCs/>
          <w:sz w:val="28"/>
          <w:szCs w:val="28"/>
          <w:highlight w:val="none"/>
          <w:lang w:val="en-US" w:eastAsia="zh-CN"/>
        </w:rPr>
      </w:pPr>
      <w:r>
        <w:rPr>
          <w:rFonts w:hint="eastAsia" w:ascii="宋体" w:hAnsi="宋体" w:cs="宋体"/>
          <w:b/>
          <w:bCs/>
          <w:sz w:val="28"/>
          <w:szCs w:val="28"/>
          <w:highlight w:val="none"/>
        </w:rPr>
        <w:t>委托方：</w:t>
      </w:r>
      <w:r>
        <w:rPr>
          <w:rFonts w:hint="eastAsia" w:ascii="宋体" w:hAnsi="宋体" w:cs="宋体"/>
          <w:b/>
          <w:bCs/>
          <w:sz w:val="28"/>
          <w:szCs w:val="28"/>
          <w:highlight w:val="none"/>
          <w:lang w:val="en-US" w:eastAsia="zh-CN"/>
        </w:rPr>
        <w:t xml:space="preserve"> </w:t>
      </w:r>
    </w:p>
    <w:p w14:paraId="26EC0268">
      <w:pPr>
        <w:spacing w:line="360" w:lineRule="auto"/>
        <w:ind w:leftChars="1000"/>
        <w:jc w:val="both"/>
        <w:rPr>
          <w:rFonts w:hint="eastAsia" w:ascii="宋体" w:hAnsi="宋体" w:eastAsia="宋体" w:cs="宋体"/>
          <w:b/>
          <w:bCs/>
          <w:sz w:val="28"/>
          <w:szCs w:val="28"/>
          <w:highlight w:val="none"/>
          <w:lang w:val="en-US" w:eastAsia="zh-CN"/>
        </w:rPr>
      </w:pPr>
      <w:r>
        <w:rPr>
          <w:rFonts w:hint="eastAsia" w:ascii="宋体" w:hAnsi="宋体" w:cs="宋体"/>
          <w:b/>
          <w:bCs/>
          <w:sz w:val="28"/>
          <w:szCs w:val="28"/>
          <w:highlight w:val="none"/>
        </w:rPr>
        <w:t>运营方：</w:t>
      </w:r>
      <w:r>
        <w:rPr>
          <w:rFonts w:hint="eastAsia" w:ascii="宋体" w:hAnsi="宋体" w:cs="宋体"/>
          <w:b/>
          <w:bCs/>
          <w:sz w:val="28"/>
          <w:szCs w:val="28"/>
          <w:highlight w:val="none"/>
          <w:lang w:val="en-US" w:eastAsia="zh-CN"/>
        </w:rPr>
        <w:t xml:space="preserve"> </w:t>
      </w:r>
    </w:p>
    <w:p w14:paraId="61F1E9D2">
      <w:pPr>
        <w:spacing w:line="360" w:lineRule="auto"/>
        <w:ind w:leftChars="1000"/>
        <w:jc w:val="both"/>
        <w:rPr>
          <w:rFonts w:hint="eastAsia" w:ascii="宋体" w:hAnsi="宋体" w:eastAsia="宋体" w:cs="宋体"/>
          <w:b/>
          <w:bCs/>
          <w:sz w:val="28"/>
          <w:szCs w:val="28"/>
          <w:highlight w:val="none"/>
          <w:lang w:val="en-US" w:eastAsia="zh-CN"/>
        </w:rPr>
        <w:sectPr>
          <w:footerReference r:id="rId9" w:type="default"/>
          <w:pgSz w:w="11906" w:h="16838"/>
          <w:pgMar w:top="1247" w:right="1247" w:bottom="1247" w:left="1247" w:header="851" w:footer="992" w:gutter="0"/>
          <w:cols w:space="720" w:num="1"/>
          <w:docGrid w:type="lines" w:linePitch="312" w:charSpace="0"/>
        </w:sectPr>
      </w:pPr>
      <w:r>
        <w:rPr>
          <w:rFonts w:hint="eastAsia" w:ascii="宋体" w:hAnsi="宋体" w:eastAsia="宋体" w:cs="宋体"/>
          <w:b/>
          <w:bCs/>
          <w:sz w:val="28"/>
          <w:szCs w:val="28"/>
          <w:highlight w:val="none"/>
          <w:lang w:val="en-US" w:eastAsia="zh-CN"/>
        </w:rPr>
        <w:t>日期：</w:t>
      </w:r>
    </w:p>
    <w:p w14:paraId="3889D61F">
      <w:pPr>
        <w:pStyle w:val="3"/>
        <w:spacing w:line="240" w:lineRule="auto"/>
        <w:rPr>
          <w:rFonts w:hint="eastAsia" w:ascii="宋体" w:hAnsi="宋体" w:cs="宋体"/>
          <w:sz w:val="24"/>
          <w:szCs w:val="24"/>
          <w:highlight w:val="none"/>
        </w:rPr>
      </w:pPr>
      <w:r>
        <w:rPr>
          <w:rFonts w:hint="eastAsia" w:ascii="宋体" w:hAnsi="宋体" w:cs="宋体"/>
          <w:sz w:val="24"/>
          <w:szCs w:val="24"/>
          <w:highlight w:val="none"/>
        </w:rPr>
        <w:t>第一部分 定义与解释</w:t>
      </w:r>
    </w:p>
    <w:p w14:paraId="7C99B2C7">
      <w:pPr>
        <w:pStyle w:val="4"/>
        <w:spacing w:line="240" w:lineRule="auto"/>
        <w:rPr>
          <w:rFonts w:hint="eastAsia" w:ascii="宋体" w:hAnsi="宋体" w:cs="宋体"/>
          <w:sz w:val="24"/>
          <w:szCs w:val="24"/>
          <w:highlight w:val="none"/>
        </w:rPr>
      </w:pPr>
      <w:r>
        <w:rPr>
          <w:rFonts w:hint="eastAsia" w:ascii="宋体" w:hAnsi="宋体" w:cs="宋体"/>
          <w:sz w:val="24"/>
          <w:szCs w:val="24"/>
          <w:highlight w:val="none"/>
        </w:rPr>
        <w:t>第1条 定义</w:t>
      </w:r>
    </w:p>
    <w:p w14:paraId="1180741B">
      <w:pPr>
        <w:spacing w:line="240" w:lineRule="auto"/>
        <w:ind w:firstLine="482" w:firstLineChars="200"/>
        <w:rPr>
          <w:rFonts w:hint="eastAsia" w:ascii="宋体" w:hAnsi="宋体" w:cs="宋体"/>
          <w:sz w:val="24"/>
          <w:szCs w:val="24"/>
          <w:highlight w:val="none"/>
        </w:rPr>
      </w:pPr>
      <w:r>
        <w:rPr>
          <w:rFonts w:hint="eastAsia" w:ascii="宋体" w:hAnsi="宋体" w:cs="宋体"/>
          <w:b/>
          <w:bCs/>
          <w:sz w:val="24"/>
          <w:szCs w:val="24"/>
          <w:highlight w:val="none"/>
        </w:rPr>
        <w:t>项目名称</w:t>
      </w:r>
      <w:r>
        <w:rPr>
          <w:rFonts w:hint="eastAsia" w:ascii="宋体" w:hAnsi="宋体" w:cs="宋体"/>
          <w:sz w:val="24"/>
          <w:szCs w:val="24"/>
          <w:highlight w:val="none"/>
        </w:rPr>
        <w:t>：</w:t>
      </w:r>
      <w:r>
        <w:rPr>
          <w:rFonts w:hint="eastAsia" w:ascii="宋体" w:hAnsi="宋体" w:eastAsia="宋体" w:cs="宋体"/>
          <w:b/>
          <w:sz w:val="24"/>
          <w:szCs w:val="24"/>
          <w:highlight w:val="none"/>
        </w:rPr>
        <w:t>2026年度榆佳经济技术开发区两厂(场)运营管理服务项目</w:t>
      </w:r>
    </w:p>
    <w:p w14:paraId="60C6F37E">
      <w:pPr>
        <w:spacing w:line="240" w:lineRule="auto"/>
        <w:ind w:firstLine="482" w:firstLineChars="200"/>
        <w:rPr>
          <w:rFonts w:hint="eastAsia" w:ascii="宋体" w:hAnsi="宋体" w:cs="宋体"/>
          <w:bCs/>
          <w:sz w:val="24"/>
          <w:szCs w:val="24"/>
          <w:highlight w:val="none"/>
        </w:rPr>
      </w:pPr>
      <w:r>
        <w:rPr>
          <w:rFonts w:hint="eastAsia" w:ascii="宋体" w:hAnsi="宋体" w:cs="宋体"/>
          <w:b/>
          <w:bCs/>
          <w:sz w:val="24"/>
          <w:szCs w:val="24"/>
          <w:highlight w:val="none"/>
        </w:rPr>
        <w:t>项目地址</w:t>
      </w:r>
      <w:r>
        <w:rPr>
          <w:rFonts w:hint="eastAsia" w:ascii="宋体" w:hAnsi="宋体" w:cs="宋体"/>
          <w:sz w:val="24"/>
          <w:szCs w:val="24"/>
          <w:highlight w:val="none"/>
        </w:rPr>
        <w:t>：榆佳经济技术开发区</w:t>
      </w:r>
    </w:p>
    <w:p w14:paraId="795DD39B">
      <w:pPr>
        <w:spacing w:line="240" w:lineRule="auto"/>
        <w:ind w:firstLine="482" w:firstLineChars="200"/>
        <w:rPr>
          <w:rFonts w:hint="default" w:ascii="宋体" w:hAnsi="宋体" w:cs="宋体"/>
          <w:b/>
          <w:sz w:val="24"/>
          <w:szCs w:val="24"/>
          <w:highlight w:val="none"/>
          <w:lang w:val="en-US"/>
        </w:rPr>
      </w:pPr>
      <w:r>
        <w:rPr>
          <w:rFonts w:ascii="宋体" w:hAnsi="宋体" w:cs="宋体"/>
          <w:b/>
          <w:bCs/>
          <w:sz w:val="24"/>
          <w:szCs w:val="24"/>
          <w:highlight w:val="none"/>
        </w:rPr>
        <w:t>服务内容</w:t>
      </w:r>
      <w:r>
        <w:rPr>
          <w:rFonts w:hint="eastAsia" w:ascii="宋体" w:hAnsi="宋体" w:cs="宋体"/>
          <w:b/>
          <w:bCs/>
          <w:sz w:val="24"/>
          <w:szCs w:val="24"/>
          <w:highlight w:val="none"/>
        </w:rPr>
        <w:t>：</w:t>
      </w:r>
      <w:r>
        <w:rPr>
          <w:rFonts w:hint="eastAsia" w:ascii="宋体" w:hAnsi="宋体" w:cs="宋体"/>
          <w:b/>
          <w:bCs/>
          <w:sz w:val="24"/>
          <w:szCs w:val="24"/>
          <w:highlight w:val="none"/>
          <w:lang w:val="en-US" w:eastAsia="zh-CN"/>
        </w:rPr>
        <w:t>详见采购内容及技术要求</w:t>
      </w:r>
    </w:p>
    <w:p w14:paraId="5D74967C">
      <w:pPr>
        <w:spacing w:line="240" w:lineRule="auto"/>
        <w:ind w:firstLine="482" w:firstLineChars="200"/>
        <w:rPr>
          <w:rFonts w:hint="eastAsia" w:ascii="宋体" w:hAnsi="宋体" w:cs="宋体"/>
          <w:sz w:val="24"/>
          <w:szCs w:val="24"/>
          <w:highlight w:val="none"/>
        </w:rPr>
      </w:pPr>
      <w:r>
        <w:rPr>
          <w:rFonts w:hint="eastAsia" w:ascii="宋体" w:hAnsi="宋体" w:cs="宋体"/>
          <w:b/>
          <w:sz w:val="24"/>
          <w:szCs w:val="24"/>
          <w:highlight w:val="none"/>
        </w:rPr>
        <w:t>适用法律：</w:t>
      </w:r>
      <w:r>
        <w:rPr>
          <w:rFonts w:hint="eastAsia" w:ascii="宋体" w:hAnsi="宋体" w:cs="宋体"/>
          <w:sz w:val="24"/>
          <w:szCs w:val="24"/>
          <w:highlight w:val="none"/>
        </w:rPr>
        <w:t>指所有适用的国家法律、法规、规章及规范性文件和政府部门颁发的所有技术标准、技术规范规程以及所有其他适用的强制性要求。</w:t>
      </w:r>
    </w:p>
    <w:p w14:paraId="0EAE8F40">
      <w:pPr>
        <w:spacing w:line="240" w:lineRule="auto"/>
        <w:ind w:firstLine="482" w:firstLineChars="200"/>
        <w:rPr>
          <w:rFonts w:hint="eastAsia" w:ascii="宋体" w:hAnsi="宋体" w:cs="宋体"/>
          <w:sz w:val="24"/>
          <w:szCs w:val="24"/>
          <w:highlight w:val="none"/>
        </w:rPr>
      </w:pPr>
      <w:r>
        <w:rPr>
          <w:rFonts w:hint="eastAsia" w:ascii="宋体" w:hAnsi="宋体" w:cs="宋体"/>
          <w:b/>
          <w:bCs/>
          <w:sz w:val="24"/>
          <w:szCs w:val="24"/>
          <w:highlight w:val="none"/>
        </w:rPr>
        <w:t>运营惯例：</w:t>
      </w:r>
      <w:r>
        <w:rPr>
          <w:rFonts w:hint="eastAsia" w:ascii="宋体" w:hAnsi="宋体" w:cs="宋体"/>
          <w:sz w:val="24"/>
          <w:szCs w:val="24"/>
          <w:highlight w:val="none"/>
        </w:rPr>
        <w:t>指在陕西省境内污水处理厂、一般工业固体废物填埋场或其他</w:t>
      </w:r>
      <w:r>
        <w:rPr>
          <w:rFonts w:ascii="宋体" w:hAnsi="宋体" w:cs="宋体"/>
          <w:sz w:val="24"/>
          <w:szCs w:val="24"/>
          <w:highlight w:val="none"/>
        </w:rPr>
        <w:t>同类设施</w:t>
      </w:r>
      <w:r>
        <w:rPr>
          <w:rFonts w:hint="eastAsia" w:ascii="宋体" w:hAnsi="宋体" w:cs="宋体"/>
          <w:sz w:val="24"/>
          <w:szCs w:val="24"/>
          <w:highlight w:val="none"/>
        </w:rPr>
        <w:t>运营者为建设运营类似于本项目的项目所采用或接受的惯例。</w:t>
      </w:r>
    </w:p>
    <w:p w14:paraId="482543C4">
      <w:pPr>
        <w:spacing w:line="240" w:lineRule="auto"/>
        <w:ind w:firstLine="482" w:firstLineChars="200"/>
        <w:rPr>
          <w:rFonts w:hint="eastAsia" w:ascii="宋体" w:hAnsi="宋体" w:cs="宋体"/>
          <w:sz w:val="24"/>
          <w:szCs w:val="24"/>
          <w:highlight w:val="none"/>
        </w:rPr>
      </w:pPr>
      <w:r>
        <w:rPr>
          <w:rFonts w:hint="eastAsia" w:ascii="宋体" w:hAnsi="宋体" w:cs="宋体"/>
          <w:b/>
          <w:sz w:val="24"/>
          <w:szCs w:val="24"/>
          <w:highlight w:val="none"/>
        </w:rPr>
        <w:t>协议生效日：</w:t>
      </w:r>
      <w:r>
        <w:rPr>
          <w:rFonts w:hint="eastAsia" w:ascii="宋体" w:hAnsi="宋体" w:cs="宋体"/>
          <w:sz w:val="24"/>
          <w:szCs w:val="24"/>
          <w:highlight w:val="none"/>
        </w:rPr>
        <w:t>本协议经甲方、乙方盖章后当天为协议生效日。</w:t>
      </w:r>
    </w:p>
    <w:p w14:paraId="1E75FB18">
      <w:pPr>
        <w:spacing w:line="240" w:lineRule="auto"/>
        <w:ind w:firstLine="482" w:firstLineChars="200"/>
        <w:rPr>
          <w:rFonts w:hint="eastAsia" w:ascii="宋体" w:hAnsi="宋体" w:cs="宋体"/>
          <w:b/>
          <w:sz w:val="24"/>
          <w:szCs w:val="24"/>
          <w:highlight w:val="none"/>
        </w:rPr>
      </w:pPr>
      <w:r>
        <w:rPr>
          <w:rFonts w:hint="eastAsia" w:ascii="宋体" w:hAnsi="宋体" w:cs="宋体"/>
          <w:b/>
          <w:sz w:val="24"/>
          <w:szCs w:val="24"/>
          <w:highlight w:val="none"/>
        </w:rPr>
        <w:t>运营期限：</w:t>
      </w:r>
      <w:r>
        <w:rPr>
          <w:rFonts w:hint="eastAsia" w:ascii="宋体" w:hAnsi="宋体" w:eastAsia="宋体" w:cs="宋体"/>
          <w:color w:val="auto"/>
          <w:kern w:val="0"/>
          <w:sz w:val="24"/>
          <w:szCs w:val="24"/>
          <w:highlight w:val="none"/>
          <w:lang w:val="en-US" w:eastAsia="zh-CN" w:bidi="ar"/>
        </w:rPr>
        <w:t>合同履行期限1年，总服务期限2年（一年一签）</w:t>
      </w:r>
      <w:r>
        <w:rPr>
          <w:rFonts w:hint="eastAsia" w:ascii="宋体" w:hAnsi="宋体" w:cs="宋体"/>
          <w:color w:val="auto"/>
          <w:kern w:val="0"/>
          <w:sz w:val="24"/>
          <w:szCs w:val="24"/>
          <w:highlight w:val="none"/>
          <w:lang w:val="en-US" w:eastAsia="zh-CN" w:bidi="ar"/>
        </w:rPr>
        <w:t>，根据考核情况续签下一年</w:t>
      </w:r>
      <w:r>
        <w:rPr>
          <w:rFonts w:hint="eastAsia" w:ascii="宋体" w:hAnsi="宋体" w:cs="宋体"/>
          <w:sz w:val="24"/>
          <w:szCs w:val="24"/>
          <w:highlight w:val="none"/>
        </w:rPr>
        <w:t>。</w:t>
      </w:r>
    </w:p>
    <w:p w14:paraId="3E5EC241">
      <w:pPr>
        <w:pStyle w:val="4"/>
        <w:spacing w:line="240" w:lineRule="auto"/>
        <w:rPr>
          <w:rFonts w:hint="eastAsia"/>
          <w:sz w:val="24"/>
          <w:szCs w:val="24"/>
          <w:highlight w:val="none"/>
        </w:rPr>
      </w:pPr>
      <w:r>
        <w:rPr>
          <w:rFonts w:hint="eastAsia"/>
          <w:sz w:val="24"/>
          <w:szCs w:val="24"/>
          <w:highlight w:val="none"/>
        </w:rPr>
        <w:t>第2条 解释</w:t>
      </w:r>
    </w:p>
    <w:p w14:paraId="3C9059A6">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2.1甲乙双方根据中华人民共和国法律规定，本着公平、公正、合理的原则，为</w:t>
      </w:r>
      <w:r>
        <w:rPr>
          <w:rFonts w:hint="eastAsia" w:ascii="宋体" w:hAnsi="宋体" w:eastAsia="宋体" w:cs="宋体"/>
          <w:b/>
          <w:sz w:val="24"/>
          <w:szCs w:val="24"/>
          <w:highlight w:val="none"/>
        </w:rPr>
        <w:t>2026年度榆佳经济技术开发区两厂(场)运营管理服务项目</w:t>
      </w:r>
      <w:r>
        <w:rPr>
          <w:rFonts w:hint="eastAsia" w:ascii="宋体" w:hAnsi="宋体" w:cs="宋体"/>
          <w:bCs/>
          <w:sz w:val="24"/>
          <w:szCs w:val="24"/>
          <w:highlight w:val="none"/>
        </w:rPr>
        <w:t>的运行管理</w:t>
      </w:r>
      <w:r>
        <w:rPr>
          <w:rFonts w:hint="eastAsia" w:ascii="宋体" w:hAnsi="宋体" w:cs="宋体"/>
          <w:sz w:val="24"/>
          <w:szCs w:val="24"/>
          <w:highlight w:val="none"/>
        </w:rPr>
        <w:t>，特此签订本协议。</w:t>
      </w:r>
    </w:p>
    <w:p w14:paraId="58A9B6E4">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2.2本协议条款中，无论何处涉及由法人代表或委托代理人发出或颁布任何通知、同意、批准、证明或决定，除另有说明外，均指书面通知、同意、批准、证明或决定，均不允许被无故扣押或拖延，收件方应在回执上签署姓名和日期。</w:t>
      </w:r>
    </w:p>
    <w:p w14:paraId="7BFCB1D2">
      <w:pPr>
        <w:spacing w:line="240" w:lineRule="auto"/>
        <w:ind w:firstLine="480" w:firstLineChars="200"/>
        <w:rPr>
          <w:rFonts w:ascii="宋体" w:hAnsi="宋体" w:cs="宋体"/>
          <w:sz w:val="24"/>
          <w:szCs w:val="24"/>
          <w:highlight w:val="none"/>
        </w:rPr>
      </w:pPr>
      <w:r>
        <w:rPr>
          <w:rFonts w:hint="eastAsia" w:ascii="宋体" w:hAnsi="宋体" w:cs="宋体"/>
          <w:sz w:val="24"/>
          <w:szCs w:val="24"/>
          <w:highlight w:val="none"/>
        </w:rPr>
        <w:t>2.3本协议下的其他合同及协议，如承诺合同、检验检测合同、设备及材料供应合同等均以本协议的条款为基础。此前其他相关合同及协议与本协议有冲突的，应以本协议为准。</w:t>
      </w:r>
    </w:p>
    <w:p w14:paraId="4EFF2B05">
      <w:pPr>
        <w:pStyle w:val="3"/>
        <w:spacing w:line="240" w:lineRule="auto"/>
        <w:rPr>
          <w:rFonts w:hint="eastAsia"/>
          <w:sz w:val="24"/>
          <w:szCs w:val="24"/>
          <w:highlight w:val="none"/>
        </w:rPr>
      </w:pPr>
      <w:r>
        <w:rPr>
          <w:rFonts w:hint="eastAsia"/>
          <w:sz w:val="24"/>
          <w:szCs w:val="24"/>
          <w:highlight w:val="none"/>
        </w:rPr>
        <w:t>第二部分 项目概况及运营权</w:t>
      </w:r>
    </w:p>
    <w:p w14:paraId="3863E19C">
      <w:pPr>
        <w:pStyle w:val="4"/>
        <w:spacing w:line="240" w:lineRule="auto"/>
        <w:rPr>
          <w:rFonts w:hint="eastAsia"/>
          <w:sz w:val="24"/>
          <w:szCs w:val="24"/>
          <w:highlight w:val="none"/>
        </w:rPr>
      </w:pPr>
      <w:r>
        <w:rPr>
          <w:rFonts w:hint="eastAsia"/>
          <w:sz w:val="24"/>
          <w:szCs w:val="24"/>
          <w:highlight w:val="none"/>
        </w:rPr>
        <w:t>第3条 项目概况</w:t>
      </w:r>
    </w:p>
    <w:p w14:paraId="193D214A">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3.1项目名称：</w:t>
      </w:r>
      <w:r>
        <w:rPr>
          <w:rFonts w:hint="eastAsia" w:ascii="宋体" w:hAnsi="宋体" w:cs="宋体"/>
          <w:sz w:val="24"/>
          <w:szCs w:val="24"/>
          <w:highlight w:val="none"/>
          <w:lang w:eastAsia="zh-CN"/>
        </w:rPr>
        <w:t>2026年度榆佳经济技术开发区两厂(场)运营管理服务项目</w:t>
      </w:r>
      <w:r>
        <w:rPr>
          <w:rFonts w:hint="eastAsia" w:ascii="宋体" w:hAnsi="宋体" w:cs="宋体"/>
          <w:sz w:val="24"/>
          <w:szCs w:val="24"/>
          <w:highlight w:val="none"/>
        </w:rPr>
        <w:t>。</w:t>
      </w:r>
    </w:p>
    <w:p w14:paraId="5622AB75">
      <w:pPr>
        <w:spacing w:line="240" w:lineRule="auto"/>
        <w:ind w:firstLine="360" w:firstLineChars="150"/>
        <w:rPr>
          <w:rFonts w:hint="eastAsia" w:ascii="宋体" w:hAnsi="宋体" w:cs="宋体"/>
          <w:sz w:val="24"/>
          <w:szCs w:val="24"/>
          <w:highlight w:val="none"/>
        </w:rPr>
      </w:pPr>
      <w:r>
        <w:rPr>
          <w:rFonts w:hint="eastAsia" w:ascii="宋体" w:hAnsi="宋体" w:cs="宋体"/>
          <w:sz w:val="24"/>
          <w:szCs w:val="24"/>
          <w:highlight w:val="none"/>
        </w:rPr>
        <w:t xml:space="preserve"> 3.2项目地址：榆佳经济技术开发区。</w:t>
      </w:r>
    </w:p>
    <w:p w14:paraId="1B5ECDA3">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3.3项目规模：</w:t>
      </w:r>
      <w:r>
        <w:rPr>
          <w:rFonts w:hint="eastAsia" w:ascii="宋体" w:hAnsi="宋体" w:cs="宋体"/>
          <w:b/>
          <w:bCs/>
          <w:sz w:val="24"/>
          <w:szCs w:val="24"/>
          <w:highlight w:val="none"/>
          <w:lang w:val="en-US" w:eastAsia="zh-CN"/>
        </w:rPr>
        <w:t>详见采购内容及技术要求</w:t>
      </w:r>
      <w:r>
        <w:rPr>
          <w:rFonts w:hint="eastAsia" w:ascii="宋体" w:hAnsi="宋体" w:cs="宋体"/>
          <w:sz w:val="24"/>
          <w:szCs w:val="24"/>
          <w:highlight w:val="none"/>
        </w:rPr>
        <w:t>。</w:t>
      </w:r>
    </w:p>
    <w:p w14:paraId="0E6595D9">
      <w:pPr>
        <w:pStyle w:val="4"/>
        <w:spacing w:line="240" w:lineRule="auto"/>
        <w:rPr>
          <w:rFonts w:hint="eastAsia"/>
          <w:sz w:val="24"/>
          <w:szCs w:val="24"/>
          <w:highlight w:val="none"/>
        </w:rPr>
      </w:pPr>
      <w:r>
        <w:rPr>
          <w:rFonts w:hint="eastAsia"/>
          <w:sz w:val="24"/>
          <w:szCs w:val="24"/>
          <w:highlight w:val="none"/>
        </w:rPr>
        <w:t>第4条 运营权</w:t>
      </w:r>
    </w:p>
    <w:p w14:paraId="76D06D46">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4.1按照适用的法律，甲方授予乙方</w:t>
      </w:r>
      <w:r>
        <w:rPr>
          <w:rFonts w:hint="eastAsia" w:ascii="宋体" w:hAnsi="宋体" w:cs="宋体"/>
          <w:sz w:val="24"/>
          <w:szCs w:val="24"/>
          <w:highlight w:val="none"/>
          <w:lang w:eastAsia="zh-CN"/>
        </w:rPr>
        <w:t>2026年度榆佳经济技术开发区两厂(场)运营管理服务项目</w:t>
      </w:r>
      <w:r>
        <w:rPr>
          <w:rFonts w:hint="eastAsia" w:ascii="宋体" w:hAnsi="宋体" w:cs="宋体"/>
          <w:sz w:val="24"/>
          <w:szCs w:val="24"/>
          <w:highlight w:val="none"/>
        </w:rPr>
        <w:t>在整个运营期间及范围内运营和维护项目设施的权利。</w:t>
      </w:r>
    </w:p>
    <w:p w14:paraId="49B08561">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4.2运营期：</w:t>
      </w:r>
      <w:r>
        <w:rPr>
          <w:rFonts w:hint="eastAsia" w:ascii="宋体" w:hAnsi="宋体" w:cs="宋体"/>
          <w:sz w:val="24"/>
          <w:szCs w:val="24"/>
          <w:highlight w:val="none"/>
          <w:lang w:val="en-US" w:eastAsia="zh-CN"/>
        </w:rPr>
        <w:t>合同履行期限1年，总服务期限2年（一年一签）</w:t>
      </w:r>
      <w:r>
        <w:rPr>
          <w:rFonts w:hint="eastAsia" w:ascii="宋体" w:hAnsi="宋体" w:cs="宋体"/>
          <w:sz w:val="24"/>
          <w:szCs w:val="24"/>
          <w:highlight w:val="none"/>
        </w:rPr>
        <w:t>，自协议生效日起计算。运营期满时，乙方应无偿将正常运行的本项目移交给甲方或其指定的执行机构。若双方均自愿委托或受委托时，期满后续签第二期。在运营期满后继续签订《运营管理服务合同书》时在同等条件下乙方有优先权。</w:t>
      </w:r>
    </w:p>
    <w:p w14:paraId="14899123">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4.3乙方负责榆佳经济技术开发区两厂（场）运营管理、日常管理及日常维修维护等；负责定期排查园区各企业排污口的排水水质达标（满足进水水质标准）、保障污水处理厂达标排放；负责</w:t>
      </w:r>
      <w:r>
        <w:rPr>
          <w:rFonts w:ascii="宋体" w:hAnsi="宋体" w:cs="宋体"/>
          <w:sz w:val="24"/>
          <w:szCs w:val="24"/>
          <w:highlight w:val="none"/>
        </w:rPr>
        <w:t>接收</w:t>
      </w:r>
      <w:r>
        <w:rPr>
          <w:rFonts w:hint="eastAsia" w:ascii="宋体" w:hAnsi="宋体" w:cs="宋体"/>
          <w:sz w:val="24"/>
          <w:szCs w:val="24"/>
          <w:highlight w:val="none"/>
        </w:rPr>
        <w:t>、填埋</w:t>
      </w:r>
      <w:r>
        <w:rPr>
          <w:rFonts w:ascii="宋体" w:hAnsi="宋体" w:cs="宋体"/>
          <w:sz w:val="24"/>
          <w:szCs w:val="24"/>
          <w:highlight w:val="none"/>
        </w:rPr>
        <w:t>一般工业固体废物</w:t>
      </w:r>
      <w:r>
        <w:rPr>
          <w:rFonts w:hint="eastAsia" w:ascii="宋体" w:hAnsi="宋体" w:cs="宋体"/>
          <w:sz w:val="24"/>
          <w:szCs w:val="24"/>
          <w:highlight w:val="none"/>
        </w:rPr>
        <w:t>；负责接受政府部门的监管。</w:t>
      </w:r>
    </w:p>
    <w:p w14:paraId="537D8F63">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4.4乙方将为本项目设立独立法人的运营项目公司，项目公司全权负责项目运营、管理、维护，并接受甲方监管。</w:t>
      </w:r>
    </w:p>
    <w:p w14:paraId="2A9C826E">
      <w:pPr>
        <w:pStyle w:val="4"/>
        <w:spacing w:line="240" w:lineRule="auto"/>
        <w:rPr>
          <w:rFonts w:hint="eastAsia" w:ascii="宋体" w:hAnsi="宋体" w:cs="宋体"/>
          <w:sz w:val="24"/>
          <w:szCs w:val="24"/>
          <w:highlight w:val="none"/>
        </w:rPr>
      </w:pPr>
      <w:r>
        <w:rPr>
          <w:rFonts w:hint="eastAsia" w:ascii="宋体" w:hAnsi="宋体" w:cs="宋体"/>
          <w:sz w:val="24"/>
          <w:szCs w:val="24"/>
          <w:highlight w:val="none"/>
        </w:rPr>
        <w:t xml:space="preserve">第5条 本项目运营权下的权利    </w:t>
      </w:r>
    </w:p>
    <w:p w14:paraId="7B3DAC86">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5.1甲方的权利和义务</w:t>
      </w:r>
    </w:p>
    <w:p w14:paraId="112BE0D3">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（1）授予乙方对该项目的运营管理权；</w:t>
      </w:r>
    </w:p>
    <w:p w14:paraId="76DA440D">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（2）根据本协议的规定按时向乙方支付运营管理服务费；</w:t>
      </w:r>
    </w:p>
    <w:p w14:paraId="0DA26789">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（3）在运营期内，协助乙方办理有关政府部门要求的各种与本项目有关的手续；</w:t>
      </w:r>
    </w:p>
    <w:p w14:paraId="40F10B59">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（4）对乙方两厂（场）运营过程实施监督，包括人员配制、机械设备、化验检测、预案规范纺制、服务质量、财务状况、项目经营状况和安全防护措施等；</w:t>
      </w:r>
    </w:p>
    <w:p w14:paraId="2F79E7EC">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（5）甲方本着尊重社会公众的知情权，鼓励公众参与监督的原则，有权及时将产品和服务质量检查、监测、评估结果和整改情况以适当的方式向社会公布。受理公众对乙方的投诉，并进行核实处理。</w:t>
      </w:r>
    </w:p>
    <w:p w14:paraId="33725AA9">
      <w:pPr>
        <w:spacing w:line="240" w:lineRule="auto"/>
        <w:ind w:firstLine="480" w:firstLineChars="200"/>
        <w:rPr>
          <w:rFonts w:hint="eastAsia"/>
          <w:sz w:val="24"/>
          <w:szCs w:val="24"/>
          <w:highlight w:val="none"/>
        </w:rPr>
      </w:pPr>
      <w:r>
        <w:rPr>
          <w:rFonts w:hint="eastAsia" w:ascii="宋体" w:hAnsi="宋体" w:cs="宋体"/>
          <w:sz w:val="24"/>
          <w:szCs w:val="24"/>
          <w:highlight w:val="none"/>
        </w:rPr>
        <w:t>（6）乙方运营管理人员需服从甲方合法合规的安排，若运营管理人员未按甲方要求执行工作，甲方有权对运营管理人员进行口头教育批评、警告，若乙方运营管理人员对于工作屡次不落实、不执行，甲方有权要求乙方更换运营管理人员。</w:t>
      </w:r>
    </w:p>
    <w:p w14:paraId="7F05E374">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5.2乙方的权利和义务</w:t>
      </w:r>
    </w:p>
    <w:p w14:paraId="70DE70AD">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（1）乙方在运营期内享有对该项目的运营管理权；</w:t>
      </w:r>
    </w:p>
    <w:p w14:paraId="588BEBBE">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（2）根据本协议的规定，乙方在运营期内自行承担管理、安全、责任风险等，负责进行项目运营和维护，运营期限届满移交本项目；</w:t>
      </w:r>
    </w:p>
    <w:p w14:paraId="7B59C9E2">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（3）按照本协议规定的方式取得运营管理服务费；</w:t>
      </w:r>
    </w:p>
    <w:p w14:paraId="730E15FF">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（4）接受政府部门的行业监管。服从社会公共利益，履行对社会公益性事业所应尽的义务和服务；</w:t>
      </w:r>
    </w:p>
    <w:p w14:paraId="61E3450A">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（5）负责定期排查园区各企业排污口的排水水质达标（满足进水水质标准），发现超标立即采取措施及上报甲方，保障两厂（场）运营达到设计标准。</w:t>
      </w:r>
    </w:p>
    <w:p w14:paraId="4FA9AA07">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（6）负责污水处理厂在线监测设备维护及保养，保障上传数据的准确有效，发现故障及时汇报甲方。</w:t>
      </w:r>
    </w:p>
    <w:p w14:paraId="7477B21E">
      <w:pPr>
        <w:pStyle w:val="10"/>
        <w:spacing w:line="240" w:lineRule="auto"/>
        <w:ind w:firstLine="440"/>
        <w:rPr>
          <w:rFonts w:hint="eastAsia"/>
          <w:sz w:val="24"/>
          <w:szCs w:val="24"/>
          <w:highlight w:val="none"/>
        </w:rPr>
      </w:pPr>
    </w:p>
    <w:p w14:paraId="19BA2723">
      <w:pPr>
        <w:pStyle w:val="3"/>
        <w:spacing w:line="240" w:lineRule="auto"/>
        <w:rPr>
          <w:rFonts w:hint="eastAsia"/>
          <w:sz w:val="24"/>
          <w:szCs w:val="24"/>
          <w:highlight w:val="none"/>
        </w:rPr>
      </w:pPr>
      <w:r>
        <w:rPr>
          <w:rFonts w:hint="eastAsia"/>
          <w:sz w:val="24"/>
          <w:szCs w:val="24"/>
          <w:highlight w:val="none"/>
        </w:rPr>
        <w:t>第三部分 项目移交</w:t>
      </w:r>
      <w:r>
        <w:rPr>
          <w:sz w:val="24"/>
          <w:szCs w:val="24"/>
          <w:highlight w:val="none"/>
        </w:rPr>
        <w:t>及</w:t>
      </w:r>
      <w:r>
        <w:rPr>
          <w:rFonts w:hint="eastAsia"/>
          <w:sz w:val="24"/>
          <w:szCs w:val="24"/>
          <w:highlight w:val="none"/>
        </w:rPr>
        <w:t>运营工作</w:t>
      </w:r>
    </w:p>
    <w:p w14:paraId="5B6460DB">
      <w:pPr>
        <w:pStyle w:val="4"/>
        <w:spacing w:line="240" w:lineRule="auto"/>
        <w:rPr>
          <w:rFonts w:hint="eastAsia"/>
          <w:sz w:val="24"/>
          <w:szCs w:val="24"/>
          <w:highlight w:val="none"/>
        </w:rPr>
      </w:pPr>
      <w:r>
        <w:rPr>
          <w:rFonts w:hint="eastAsia"/>
          <w:sz w:val="24"/>
          <w:szCs w:val="24"/>
          <w:highlight w:val="none"/>
        </w:rPr>
        <w:t xml:space="preserve">第6条 项目设施移交、项目试运行和完工验收 </w:t>
      </w:r>
    </w:p>
    <w:p w14:paraId="3D65C4FA">
      <w:pPr>
        <w:spacing w:line="240" w:lineRule="auto"/>
        <w:ind w:firstLine="360" w:firstLineChars="150"/>
        <w:rPr>
          <w:rFonts w:hint="eastAsia" w:ascii="宋体" w:hAnsi="宋体" w:cs="宋体"/>
          <w:b/>
          <w:sz w:val="24"/>
          <w:szCs w:val="24"/>
          <w:highlight w:val="none"/>
        </w:rPr>
      </w:pPr>
      <w:r>
        <w:rPr>
          <w:rFonts w:hint="eastAsia" w:ascii="宋体" w:hAnsi="宋体" w:cs="宋体"/>
          <w:sz w:val="24"/>
          <w:szCs w:val="24"/>
          <w:highlight w:val="none"/>
        </w:rPr>
        <w:t xml:space="preserve"> </w:t>
      </w:r>
      <w:r>
        <w:rPr>
          <w:rFonts w:hint="eastAsia" w:ascii="宋体" w:hAnsi="宋体" w:cs="宋体"/>
          <w:b/>
          <w:sz w:val="24"/>
          <w:szCs w:val="24"/>
          <w:highlight w:val="none"/>
        </w:rPr>
        <w:t>6.1项目设施移交小组</w:t>
      </w:r>
    </w:p>
    <w:p w14:paraId="5D8C6C75">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6.1.1项目移交小组由榆佳经济技术开发区管理委员会牵头，成立榆佳经济技术开发区两厂（场）运营管理项目移交小组。移交小组组织召开移交工作会议按照协商一致原则确认清点资产，并形成项目移交清单。甲乙双方签字盖章后方可生效（详见移交手册）。</w:t>
      </w:r>
    </w:p>
    <w:p w14:paraId="72867910">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6.1.2本项目接受政府部门的监管；项目设施经调试测试合格后，甲方与乙方应各自组成项目移交小组，负责项目设施移交的前期准备工作及与项目设施移交有关的资产清点、合同、运营交接及其他任何必要的项目设施移交前期工作。项目移交小组严格审核甲乙双方编制的移交工作报告。</w:t>
      </w:r>
    </w:p>
    <w:p w14:paraId="6C14ABAE">
      <w:pPr>
        <w:spacing w:before="93" w:beforeLines="30" w:line="240" w:lineRule="auto"/>
        <w:ind w:firstLine="482" w:firstLineChars="200"/>
        <w:rPr>
          <w:rFonts w:hint="eastAsia" w:ascii="宋体" w:hAnsi="宋体" w:cs="宋体"/>
          <w:b/>
          <w:sz w:val="24"/>
          <w:szCs w:val="24"/>
          <w:highlight w:val="none"/>
        </w:rPr>
      </w:pPr>
      <w:r>
        <w:rPr>
          <w:rFonts w:hint="eastAsia" w:ascii="宋体" w:hAnsi="宋体" w:cs="宋体"/>
          <w:b/>
          <w:sz w:val="24"/>
          <w:szCs w:val="24"/>
          <w:highlight w:val="none"/>
        </w:rPr>
        <w:t>6.2项目设施的移交</w:t>
      </w:r>
    </w:p>
    <w:p w14:paraId="172C17DC">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6.2.1在整个委托运营期限内，项目设施所有权均属甲方所有。</w:t>
      </w:r>
    </w:p>
    <w:p w14:paraId="2B6D60F9">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6.2.2项目设施移交时，甲方和乙方应根据移交手册，共同对榆佳经济技术开发区两厂（场）现有的项目设施进行逐项清点和登记，并在必要时就其状况或其它需要特别说明的事项进行备注后，由双方代表签字盖章予以确认。项目移交手册经双方签署盖章之日即为本项目设施移交完成之日。</w:t>
      </w:r>
    </w:p>
    <w:p w14:paraId="21A1F5EF">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6.2.3项目资料和工程技术资料的移交：项目资料和工程技术资料包括项目建设中的所有土建、安装工程资料、技术文件。技术文件应包括榆佳经济技术开发区两厂（场）所有为其运营和维护所需的技术性文件，包括但不限于截止项目设施移交日现有的设计、可行性研究等技术文件和技术档案，所有设备的制造厂商提供的合格证书、质量保证书、图纸、安装使用及维护手册等文件和资料，以及项目设施的有关资料和文件（乙方在项目运营期内各行业部门要求办理的相关证件，例如排污许可证），以及各设备、仪表、电气厂家联系方式。</w:t>
      </w:r>
    </w:p>
    <w:p w14:paraId="02A22025">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6.2.4上述技术文件仅为供乙方在委托运营期间运营和维护项目设施的目的，其所有权仍然属于甲方。乙方应仅限于为本协议之目的而使用该上述技术文件，并不得将该技术文件使用于除此之外的任何目的和用途，除非已获得甲方的书面同意，否则由此带来的法律责任均由乙方自行承担。</w:t>
      </w:r>
    </w:p>
    <w:p w14:paraId="164E75E8">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6.2.5乙方对移交资料在使用的同时，尽到妥善维护和保管义务，以保证经营权转让期满或提前收回时，将全部技术文件完整地交还甲方。</w:t>
      </w:r>
    </w:p>
    <w:p w14:paraId="481FE3DE">
      <w:pPr>
        <w:spacing w:before="93" w:beforeLines="30" w:line="240" w:lineRule="auto"/>
        <w:rPr>
          <w:rFonts w:hint="eastAsia" w:ascii="宋体" w:hAnsi="宋体" w:cs="宋体"/>
          <w:b/>
          <w:sz w:val="24"/>
          <w:szCs w:val="24"/>
          <w:highlight w:val="none"/>
        </w:rPr>
      </w:pPr>
      <w:r>
        <w:rPr>
          <w:rFonts w:hint="eastAsia" w:ascii="宋体" w:hAnsi="宋体" w:cs="宋体"/>
          <w:b/>
          <w:sz w:val="24"/>
          <w:szCs w:val="24"/>
          <w:highlight w:val="none"/>
        </w:rPr>
        <w:t xml:space="preserve">    6.4项目试运行</w:t>
      </w:r>
    </w:p>
    <w:p w14:paraId="5BF0287D">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6.4.1项目设施移交后，为了达到本协议约定的处理标准或</w:t>
      </w:r>
      <w:r>
        <w:rPr>
          <w:rFonts w:ascii="宋体" w:hAnsi="宋体" w:cs="宋体"/>
          <w:sz w:val="24"/>
          <w:szCs w:val="24"/>
          <w:highlight w:val="none"/>
        </w:rPr>
        <w:t>效果</w:t>
      </w:r>
      <w:r>
        <w:rPr>
          <w:rFonts w:hint="eastAsia" w:ascii="宋体" w:hAnsi="宋体" w:cs="宋体"/>
          <w:sz w:val="24"/>
          <w:szCs w:val="24"/>
          <w:highlight w:val="none"/>
        </w:rPr>
        <w:t>而对项目设施的所有整修、改造均由甲方负责组织实施。</w:t>
      </w:r>
    </w:p>
    <w:p w14:paraId="353E7C88">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6.4.2本项目无试运行期限，合同签署后直接进入正式运营。</w:t>
      </w:r>
    </w:p>
    <w:p w14:paraId="59A8B10B">
      <w:pPr>
        <w:spacing w:before="93" w:beforeLines="30" w:line="240" w:lineRule="auto"/>
        <w:ind w:firstLine="472" w:firstLineChars="196"/>
        <w:rPr>
          <w:rFonts w:hint="eastAsia" w:ascii="宋体" w:hAnsi="宋体" w:cs="宋体"/>
          <w:b/>
          <w:sz w:val="24"/>
          <w:szCs w:val="24"/>
          <w:highlight w:val="none"/>
        </w:rPr>
      </w:pPr>
      <w:r>
        <w:rPr>
          <w:rFonts w:hint="eastAsia" w:ascii="宋体" w:hAnsi="宋体" w:cs="宋体"/>
          <w:b/>
          <w:sz w:val="24"/>
          <w:szCs w:val="24"/>
          <w:highlight w:val="none"/>
        </w:rPr>
        <w:t>6.5项目的验收</w:t>
      </w:r>
    </w:p>
    <w:p w14:paraId="2AD1C675">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6.5.1项目运营的验收由甲方牵头与乙方共同组织实施。</w:t>
      </w:r>
    </w:p>
    <w:p w14:paraId="271795A2">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6.5.2项目的整体验收应依据协议、运营合同所规定的规范、标准、程序及建设行政主管部门的规定进行，并取得经甲方签发的书面工程验收报告。</w:t>
      </w:r>
    </w:p>
    <w:p w14:paraId="3F192C23">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6.5.3性能测试：甲乙双方联合对项目进行性能测试，性能测试结果和环保指标均应达到国家或本协议规定的标准。</w:t>
      </w:r>
    </w:p>
    <w:p w14:paraId="141CC219">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6.5.4乙方已取得项目运营的环保监测合格证明和其他必要的行政许可。</w:t>
      </w:r>
    </w:p>
    <w:p w14:paraId="586DBC87">
      <w:pPr>
        <w:pStyle w:val="4"/>
        <w:spacing w:line="240" w:lineRule="auto"/>
        <w:rPr>
          <w:rFonts w:hint="eastAsia"/>
          <w:sz w:val="24"/>
          <w:szCs w:val="24"/>
          <w:highlight w:val="none"/>
        </w:rPr>
      </w:pPr>
      <w:r>
        <w:rPr>
          <w:rFonts w:hint="eastAsia"/>
          <w:sz w:val="24"/>
          <w:szCs w:val="24"/>
          <w:highlight w:val="none"/>
        </w:rPr>
        <w:t>第7条 正式运营</w:t>
      </w:r>
    </w:p>
    <w:p w14:paraId="1CAD429F">
      <w:pPr>
        <w:spacing w:line="240" w:lineRule="auto"/>
        <w:ind w:firstLine="480" w:firstLineChars="200"/>
        <w:rPr>
          <w:rFonts w:ascii="宋体" w:hAnsi="宋体" w:cs="宋体"/>
          <w:sz w:val="24"/>
          <w:szCs w:val="24"/>
          <w:highlight w:val="none"/>
        </w:rPr>
      </w:pPr>
      <w:r>
        <w:rPr>
          <w:rFonts w:hint="eastAsia" w:ascii="宋体" w:hAnsi="宋体" w:cs="宋体"/>
          <w:sz w:val="24"/>
          <w:szCs w:val="24"/>
          <w:highlight w:val="none"/>
        </w:rPr>
        <w:t>该项目已满足以下条件，</w:t>
      </w:r>
      <w:r>
        <w:rPr>
          <w:rFonts w:ascii="宋体" w:hAnsi="宋体" w:cs="宋体"/>
          <w:sz w:val="24"/>
          <w:szCs w:val="24"/>
          <w:highlight w:val="none"/>
        </w:rPr>
        <w:t>具备</w:t>
      </w:r>
      <w:r>
        <w:rPr>
          <w:rFonts w:hint="eastAsia" w:ascii="宋体" w:hAnsi="宋体" w:cs="宋体"/>
          <w:sz w:val="24"/>
          <w:szCs w:val="24"/>
          <w:highlight w:val="none"/>
        </w:rPr>
        <w:t>正式运营条件：</w:t>
      </w:r>
    </w:p>
    <w:p w14:paraId="15FDE722">
      <w:pPr>
        <w:spacing w:line="240" w:lineRule="auto"/>
        <w:ind w:firstLine="480" w:firstLineChars="200"/>
        <w:rPr>
          <w:rFonts w:ascii="宋体" w:hAnsi="宋体" w:cs="宋体"/>
          <w:sz w:val="24"/>
          <w:szCs w:val="24"/>
          <w:highlight w:val="none"/>
        </w:rPr>
      </w:pPr>
      <w:r>
        <w:rPr>
          <w:rFonts w:hint="eastAsia" w:ascii="宋体" w:hAnsi="宋体" w:cs="宋体"/>
          <w:sz w:val="24"/>
          <w:szCs w:val="24"/>
          <w:highlight w:val="none"/>
        </w:rPr>
        <w:t>（1）污水处理站内的设备安装完毕、污水处理设施和系统试运营验收合格。</w:t>
      </w:r>
    </w:p>
    <w:p w14:paraId="2EF74CEF">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（2）一般工业固体废物填埋场已</w:t>
      </w:r>
      <w:r>
        <w:rPr>
          <w:rFonts w:ascii="宋体" w:hAnsi="宋体" w:cs="宋体"/>
          <w:sz w:val="24"/>
          <w:szCs w:val="24"/>
          <w:highlight w:val="none"/>
        </w:rPr>
        <w:t>完成竣工验收并</w:t>
      </w:r>
      <w:r>
        <w:rPr>
          <w:rFonts w:hint="eastAsia" w:ascii="宋体" w:hAnsi="宋体" w:cs="宋体"/>
          <w:sz w:val="24"/>
          <w:szCs w:val="24"/>
          <w:highlight w:val="none"/>
        </w:rPr>
        <w:t>已投入</w:t>
      </w:r>
      <w:r>
        <w:rPr>
          <w:rFonts w:ascii="宋体" w:hAnsi="宋体" w:cs="宋体"/>
          <w:sz w:val="24"/>
          <w:szCs w:val="24"/>
          <w:highlight w:val="none"/>
        </w:rPr>
        <w:t>正常使用。</w:t>
      </w:r>
    </w:p>
    <w:p w14:paraId="26D83E9A">
      <w:pPr>
        <w:pStyle w:val="4"/>
        <w:spacing w:line="240" w:lineRule="auto"/>
        <w:rPr>
          <w:rFonts w:hint="eastAsia" w:ascii="宋体" w:hAnsi="宋体" w:cs="宋体"/>
          <w:sz w:val="24"/>
          <w:szCs w:val="24"/>
          <w:highlight w:val="none"/>
        </w:rPr>
      </w:pPr>
      <w:r>
        <w:rPr>
          <w:rFonts w:hint="eastAsia" w:ascii="宋体" w:hAnsi="宋体" w:cs="宋体"/>
          <w:sz w:val="24"/>
          <w:szCs w:val="24"/>
          <w:highlight w:val="none"/>
        </w:rPr>
        <w:t>第8条 运营方式</w:t>
      </w:r>
    </w:p>
    <w:p w14:paraId="3193B58F">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项目在运营期内该项目所包含的一切设备、仪表、设施等由乙方独立进行商业运营。</w:t>
      </w:r>
    </w:p>
    <w:p w14:paraId="1CF98A53">
      <w:pPr>
        <w:pStyle w:val="4"/>
        <w:spacing w:line="240" w:lineRule="auto"/>
        <w:rPr>
          <w:rFonts w:hint="eastAsia" w:ascii="宋体" w:hAnsi="宋体" w:cs="宋体"/>
          <w:sz w:val="24"/>
          <w:szCs w:val="24"/>
          <w:highlight w:val="none"/>
        </w:rPr>
      </w:pPr>
      <w:r>
        <w:rPr>
          <w:rFonts w:hint="eastAsia" w:ascii="宋体" w:hAnsi="宋体" w:cs="宋体"/>
          <w:sz w:val="24"/>
          <w:szCs w:val="24"/>
          <w:highlight w:val="none"/>
        </w:rPr>
        <w:t>第9条 运营和维护的基本原则</w:t>
      </w:r>
    </w:p>
    <w:p w14:paraId="69A2C349">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9.1在整个运营期内，乙方应根据本协议的规定，负责榆佳经济技术开发区两厂（场）内设备、设施的维护保养及维修并自行承担费用（包括税费）和风险，管理、运营和维护运营</w:t>
      </w:r>
      <w:r>
        <w:rPr>
          <w:rFonts w:ascii="宋体" w:hAnsi="宋体" w:cs="宋体"/>
          <w:sz w:val="24"/>
          <w:szCs w:val="24"/>
          <w:highlight w:val="none"/>
        </w:rPr>
        <w:t>项目</w:t>
      </w:r>
      <w:r>
        <w:rPr>
          <w:rFonts w:hint="eastAsia" w:ascii="宋体" w:hAnsi="宋体" w:cs="宋体"/>
          <w:sz w:val="24"/>
          <w:szCs w:val="24"/>
          <w:highlight w:val="none"/>
        </w:rPr>
        <w:t>设施。榆佳经济技术开发区两厂（场）的设备维修费用由乙方负责。乙方运营期间添置的与污水处理工艺、一般工业</w:t>
      </w:r>
      <w:r>
        <w:rPr>
          <w:rFonts w:ascii="宋体" w:hAnsi="宋体" w:cs="宋体"/>
          <w:sz w:val="24"/>
          <w:szCs w:val="24"/>
          <w:highlight w:val="none"/>
        </w:rPr>
        <w:t>固体废物填埋场正常运行</w:t>
      </w:r>
      <w:r>
        <w:rPr>
          <w:rFonts w:hint="eastAsia" w:ascii="宋体" w:hAnsi="宋体" w:cs="宋体"/>
          <w:sz w:val="24"/>
          <w:szCs w:val="24"/>
          <w:highlight w:val="none"/>
        </w:rPr>
        <w:t>无关的办公用品等费用由乙方负责，运营期满以后乙方自行处置。乙方应确保在正式运营期内，始终根据下列规定运营并维护两厂（场）项目设施：</w:t>
      </w:r>
    </w:p>
    <w:p w14:paraId="70A79CFA">
      <w:pPr>
        <w:spacing w:line="240" w:lineRule="auto"/>
        <w:ind w:firstLine="435"/>
        <w:rPr>
          <w:rFonts w:hint="eastAsia" w:ascii="宋体" w:hAnsi="宋体" w:cs="宋体"/>
          <w:sz w:val="24"/>
          <w:szCs w:val="24"/>
          <w:highlight w:val="none"/>
        </w:rPr>
      </w:pPr>
      <w:r>
        <w:rPr>
          <w:rFonts w:hint="eastAsia" w:ascii="宋体" w:hAnsi="宋体" w:cs="宋体"/>
          <w:sz w:val="24"/>
          <w:szCs w:val="24"/>
          <w:highlight w:val="none"/>
        </w:rPr>
        <w:t>（1）国家和地方现行的企业运行的有关法律法规，污水处理和</w:t>
      </w:r>
      <w:r>
        <w:rPr>
          <w:rFonts w:ascii="宋体" w:hAnsi="宋体" w:cs="宋体"/>
          <w:sz w:val="24"/>
          <w:szCs w:val="24"/>
          <w:highlight w:val="none"/>
        </w:rPr>
        <w:t>一般工业固体废物</w:t>
      </w:r>
      <w:r>
        <w:rPr>
          <w:rFonts w:hint="eastAsia" w:ascii="宋体" w:hAnsi="宋体" w:cs="宋体"/>
          <w:sz w:val="24"/>
          <w:szCs w:val="24"/>
          <w:highlight w:val="none"/>
        </w:rPr>
        <w:t>有关的法律法规、标准和规范，本项目有关批准文件的要求；</w:t>
      </w:r>
    </w:p>
    <w:p w14:paraId="33241303">
      <w:pPr>
        <w:spacing w:line="240" w:lineRule="auto"/>
        <w:ind w:firstLine="435"/>
        <w:rPr>
          <w:rFonts w:hint="eastAsia" w:ascii="宋体" w:hAnsi="宋体" w:cs="宋体"/>
          <w:sz w:val="24"/>
          <w:szCs w:val="24"/>
          <w:highlight w:val="none"/>
        </w:rPr>
      </w:pPr>
      <w:r>
        <w:rPr>
          <w:rFonts w:hint="eastAsia" w:ascii="宋体" w:hAnsi="宋体" w:cs="宋体"/>
          <w:sz w:val="24"/>
          <w:szCs w:val="24"/>
          <w:highlight w:val="none"/>
        </w:rPr>
        <w:t>（2）本协议规定的质量保证、质量控制和安全生产的要求；</w:t>
      </w:r>
    </w:p>
    <w:p w14:paraId="6F848A03">
      <w:pPr>
        <w:spacing w:line="240" w:lineRule="auto"/>
        <w:ind w:firstLine="435"/>
        <w:rPr>
          <w:rFonts w:hint="eastAsia" w:ascii="宋体" w:hAnsi="宋体" w:cs="宋体"/>
          <w:sz w:val="24"/>
          <w:szCs w:val="24"/>
          <w:highlight w:val="none"/>
        </w:rPr>
      </w:pPr>
      <w:r>
        <w:rPr>
          <w:rFonts w:hint="eastAsia" w:ascii="宋体" w:hAnsi="宋体" w:cs="宋体"/>
          <w:sz w:val="24"/>
          <w:szCs w:val="24"/>
          <w:highlight w:val="none"/>
        </w:rPr>
        <w:t>（3）运行维护手册以及运营项目设备制造商提供的说明手册和指导。</w:t>
      </w:r>
    </w:p>
    <w:p w14:paraId="1F451417">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9.2乙方应确保两厂（场）设施始终处于良好运行状态并能够安全稳定的达标运营。</w:t>
      </w:r>
    </w:p>
    <w:p w14:paraId="15F2A29F">
      <w:pPr>
        <w:pStyle w:val="4"/>
        <w:spacing w:line="240" w:lineRule="auto"/>
        <w:rPr>
          <w:rFonts w:hint="eastAsia" w:ascii="宋体" w:hAnsi="宋体" w:cs="宋体"/>
          <w:sz w:val="24"/>
          <w:szCs w:val="24"/>
          <w:highlight w:val="none"/>
        </w:rPr>
      </w:pPr>
      <w:r>
        <w:rPr>
          <w:rFonts w:hint="eastAsia" w:ascii="宋体" w:hAnsi="宋体" w:cs="宋体"/>
          <w:sz w:val="24"/>
          <w:szCs w:val="24"/>
          <w:highlight w:val="none"/>
        </w:rPr>
        <w:t>第10条 甲方的主要责任与权力</w:t>
      </w:r>
    </w:p>
    <w:p w14:paraId="5311239E">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10.</w:t>
      </w:r>
      <w:r>
        <w:rPr>
          <w:rFonts w:ascii="宋体" w:hAnsi="宋体" w:cs="宋体"/>
          <w:sz w:val="24"/>
          <w:szCs w:val="24"/>
          <w:highlight w:val="none"/>
        </w:rPr>
        <w:t>1</w:t>
      </w:r>
      <w:r>
        <w:rPr>
          <w:rFonts w:hint="eastAsia" w:ascii="宋体" w:hAnsi="宋体" w:cs="宋体"/>
          <w:sz w:val="24"/>
          <w:szCs w:val="24"/>
          <w:highlight w:val="none"/>
        </w:rPr>
        <w:t>在整个运营期内，甲方应督促乙方认真执行国家行业标准、行业管理部门和地方政府的相关规定以及本协议规定的排污标准。甲方随时可委托有资质的第三方检测机构对排污标准进行监测，第三方检测公司由甲方联系，检测费用由乙方支付。</w:t>
      </w:r>
    </w:p>
    <w:p w14:paraId="728ABC2A">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10.</w:t>
      </w:r>
      <w:r>
        <w:rPr>
          <w:rFonts w:ascii="宋体" w:hAnsi="宋体" w:cs="宋体"/>
          <w:sz w:val="24"/>
          <w:szCs w:val="24"/>
          <w:highlight w:val="none"/>
        </w:rPr>
        <w:t>2</w:t>
      </w:r>
      <w:r>
        <w:rPr>
          <w:rFonts w:hint="eastAsia" w:ascii="宋体" w:hAnsi="宋体" w:cs="宋体"/>
          <w:sz w:val="24"/>
          <w:szCs w:val="24"/>
          <w:highlight w:val="none"/>
        </w:rPr>
        <w:t xml:space="preserve">甲方有权进入榆佳经济技术开发区两厂（场）按照相关规定对项目设施的运营和维护进行检查。甲方有权要求乙方提交运营有关报表、报告和资料，乙方不得以任何理由推诿，并在3个工作日内回复。  </w:t>
      </w:r>
    </w:p>
    <w:p w14:paraId="6B61F2DC">
      <w:pPr>
        <w:spacing w:line="240" w:lineRule="auto"/>
        <w:rPr>
          <w:rFonts w:hint="eastAsia"/>
          <w:sz w:val="24"/>
          <w:szCs w:val="24"/>
          <w:highlight w:val="none"/>
        </w:rPr>
      </w:pPr>
      <w:r>
        <w:rPr>
          <w:rFonts w:hint="eastAsia"/>
          <w:sz w:val="24"/>
          <w:szCs w:val="24"/>
          <w:highlight w:val="none"/>
        </w:rPr>
        <w:t xml:space="preserve">    10.</w:t>
      </w:r>
      <w:r>
        <w:rPr>
          <w:rFonts w:hint="eastAsia"/>
          <w:sz w:val="24"/>
          <w:szCs w:val="24"/>
          <w:highlight w:val="none"/>
          <w:lang w:val="en-US" w:eastAsia="zh-CN"/>
        </w:rPr>
        <w:t>3</w:t>
      </w:r>
      <w:r>
        <w:rPr>
          <w:rFonts w:hint="eastAsia"/>
          <w:sz w:val="24"/>
          <w:szCs w:val="24"/>
          <w:highlight w:val="none"/>
        </w:rPr>
        <w:t xml:space="preserve"> 甲方有权监督乙方规范运营，按操作规程操作，按行业主管部门要求履行，如遇人为因素造成的失误乙方承担一切责任。</w:t>
      </w:r>
      <w:r>
        <w:rPr>
          <w:rFonts w:hint="eastAsia" w:ascii="宋体" w:hAnsi="宋体" w:cs="宋体"/>
          <w:sz w:val="24"/>
          <w:szCs w:val="24"/>
          <w:highlight w:val="none"/>
        </w:rPr>
        <w:t>甲方视情节严重程度有权对乙方现场开具罚单，单次罚款金额</w:t>
      </w:r>
      <w:r>
        <w:rPr>
          <w:rFonts w:hint="eastAsia" w:ascii="宋体" w:hAnsi="宋体" w:cs="宋体"/>
          <w:sz w:val="24"/>
          <w:szCs w:val="24"/>
          <w:highlight w:val="none"/>
          <w:lang w:val="en-US" w:eastAsia="zh-CN"/>
        </w:rPr>
        <w:t>5</w:t>
      </w:r>
      <w:r>
        <w:rPr>
          <w:rFonts w:hint="eastAsia" w:ascii="宋体" w:hAnsi="宋体" w:cs="宋体"/>
          <w:sz w:val="24"/>
          <w:szCs w:val="24"/>
          <w:highlight w:val="none"/>
        </w:rPr>
        <w:t>000—10000在运营费中扣除。如情节严重甲方有权终止合同。运营费用按合同比例进行支付扣除乙方过失所承担的费用及罚款。</w:t>
      </w:r>
    </w:p>
    <w:p w14:paraId="74B91056">
      <w:pPr>
        <w:pStyle w:val="4"/>
        <w:spacing w:line="240" w:lineRule="auto"/>
        <w:rPr>
          <w:rFonts w:hint="eastAsia" w:ascii="宋体" w:hAnsi="宋体" w:cs="宋体"/>
          <w:sz w:val="24"/>
          <w:szCs w:val="24"/>
          <w:highlight w:val="none"/>
        </w:rPr>
      </w:pPr>
      <w:r>
        <w:rPr>
          <w:rFonts w:hint="eastAsia" w:ascii="宋体" w:hAnsi="宋体" w:cs="宋体"/>
          <w:sz w:val="24"/>
          <w:szCs w:val="24"/>
          <w:highlight w:val="none"/>
        </w:rPr>
        <w:t>第11条 乙方的主要责任</w:t>
      </w:r>
    </w:p>
    <w:p w14:paraId="790C8854">
      <w:pPr>
        <w:spacing w:line="240" w:lineRule="auto"/>
        <w:ind w:firstLine="480" w:firstLineChars="200"/>
        <w:rPr>
          <w:rFonts w:hint="eastAsia" w:ascii="宋体" w:hAnsi="宋体" w:cs="宋体"/>
          <w:b/>
          <w:kern w:val="0"/>
          <w:sz w:val="24"/>
          <w:szCs w:val="24"/>
          <w:highlight w:val="none"/>
        </w:rPr>
      </w:pPr>
      <w:r>
        <w:rPr>
          <w:rFonts w:hint="eastAsia" w:ascii="宋体" w:hAnsi="宋体" w:cs="宋体"/>
          <w:sz w:val="24"/>
          <w:szCs w:val="24"/>
          <w:highlight w:val="none"/>
        </w:rPr>
        <w:t xml:space="preserve">11.1从开始正式运营日起，乙方应连续接收和管理园区两厂（场），将污水处理厂从接收点进入的污水经处理达到出水质量标准后，排放至交付点。乙方有责任在其职责范围内完成榆佳经济技术开发区两厂（场）运营工作，并对出水水质情况负责，因乙方原因导致出水水质超出国家规定的排放标准，给甲方造成政治、经济的损失以及法律责任均由乙方承担。一个运营年度内如由于乙方责任导致榆佳经济技术开发区两厂（场）运营收到环保主管部门的书面处罚 </w:t>
      </w:r>
      <w:r>
        <w:rPr>
          <w:rFonts w:hint="eastAsia" w:ascii="宋体" w:hAnsi="宋体" w:cs="宋体"/>
          <w:sz w:val="24"/>
          <w:szCs w:val="24"/>
          <w:highlight w:val="none"/>
          <w:u w:val="single"/>
        </w:rPr>
        <w:t>3</w:t>
      </w:r>
      <w:r>
        <w:rPr>
          <w:rFonts w:hint="eastAsia" w:ascii="宋体" w:hAnsi="宋体" w:cs="宋体"/>
          <w:sz w:val="24"/>
          <w:szCs w:val="24"/>
          <w:highlight w:val="none"/>
        </w:rPr>
        <w:t>次以上，甲方有权解除与乙方的合同关系，且乙方必须配合甲方完成后续运营交接。</w:t>
      </w:r>
    </w:p>
    <w:p w14:paraId="3800EED3">
      <w:pPr>
        <w:spacing w:line="240" w:lineRule="auto"/>
        <w:ind w:firstLine="480" w:firstLineChars="200"/>
        <w:rPr>
          <w:sz w:val="24"/>
          <w:szCs w:val="24"/>
          <w:highlight w:val="none"/>
        </w:rPr>
      </w:pPr>
      <w:r>
        <w:rPr>
          <w:rFonts w:hint="eastAsia" w:ascii="宋体" w:hAnsi="宋体" w:cs="宋体"/>
          <w:sz w:val="24"/>
          <w:szCs w:val="24"/>
          <w:highlight w:val="none"/>
        </w:rPr>
        <w:t>11.2乙方负责编制榆佳工业园区一般工业固体废物填埋场、污水处理厂突发环境事件应急预案。在两厂（场）运营过程中，出现事故时，乙方应立即采取紧急措施，启动应急预案。</w:t>
      </w:r>
    </w:p>
    <w:p w14:paraId="5B3BF4FB">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11.3乙方应按照适用法律法规和合理的运行标准以及运行惯例认真而有效的处理业务与事务。</w:t>
      </w:r>
    </w:p>
    <w:p w14:paraId="10A853F0">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11.4在本项目的运营期间，乙方应按照国家有关环境污染治理设施运营管理规定建立健全各项管理制度。</w:t>
      </w:r>
    </w:p>
    <w:p w14:paraId="2BF598C5">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11.5在本项目的运营期间，乙方做好污水处理厂的水质水量检测、固废场的废物接收记录。每日按规定对有关参数进行测定并记录。</w:t>
      </w:r>
    </w:p>
    <w:p w14:paraId="05B321B2">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11.6乙方应编制运行与维护手册。</w:t>
      </w:r>
    </w:p>
    <w:p w14:paraId="3AF44D3C">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11.7乙方应建立完整的运行日记，记录每一处构筑物的运行情况、处理效果、事故、设备的检修等事项。</w:t>
      </w:r>
    </w:p>
    <w:p w14:paraId="0CD627E4">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11.8乙方应建立和完善安全生产制度和意外事故的应急机制，乙方应保障生产和服务的稳定和安全，防止事故发生。如出现重大意外事故，乙方应及时通报甲方，并尽最大人力、物力进行抢救，尽快恢复生产与服务；在事故影响期间，乙方应采取各种措施进行补救，尽量减少事故对公众的影响。</w:t>
      </w:r>
    </w:p>
    <w:p w14:paraId="0FBDF0AD">
      <w:pPr>
        <w:pStyle w:val="10"/>
        <w:spacing w:line="240" w:lineRule="auto"/>
        <w:ind w:firstLine="560"/>
        <w:rPr>
          <w:rFonts w:hint="eastAsia"/>
          <w:sz w:val="24"/>
          <w:szCs w:val="24"/>
          <w:highlight w:val="none"/>
        </w:rPr>
      </w:pPr>
      <w:r>
        <w:rPr>
          <w:rFonts w:hint="eastAsia" w:ascii="宋体" w:hAnsi="宋体" w:cs="宋体"/>
          <w:sz w:val="24"/>
          <w:szCs w:val="24"/>
          <w:highlight w:val="none"/>
        </w:rPr>
        <w:t>11.9乙方在对一般工业固体废弃物填埋场进行填埋作业时，必须做好对一般工业固体废弃物填埋区土工布、HDPE膜的保护，应在填埋前对库区四周码沙袋，沙袋厚度不小于30㎝，以防止尖锐物质破坏土工布和HDPE膜造成环境事件。</w:t>
      </w:r>
    </w:p>
    <w:p w14:paraId="6D4970CA">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11.10榆佳经济技术开发区两厂（场）运营实施季度考核，乙方应在每季度次月上旬向甲方提交上一年度的运营情况季度报告。</w:t>
      </w:r>
    </w:p>
    <w:p w14:paraId="5983EF3F">
      <w:pPr>
        <w:pStyle w:val="4"/>
        <w:spacing w:line="240" w:lineRule="auto"/>
        <w:rPr>
          <w:rFonts w:hint="eastAsia" w:ascii="宋体" w:hAnsi="宋体" w:cs="宋体"/>
          <w:sz w:val="24"/>
          <w:szCs w:val="24"/>
          <w:highlight w:val="none"/>
        </w:rPr>
      </w:pPr>
      <w:r>
        <w:rPr>
          <w:rFonts w:hint="eastAsia" w:ascii="宋体" w:hAnsi="宋体" w:cs="宋体"/>
          <w:sz w:val="24"/>
          <w:szCs w:val="24"/>
          <w:highlight w:val="none"/>
        </w:rPr>
        <w:t>第12条 项目暂停服务</w:t>
      </w:r>
    </w:p>
    <w:p w14:paraId="3BB83F28">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12.1每个运营年度的累积计划内暂停服务时间不超过15日，其中</w:t>
      </w:r>
      <w:r>
        <w:rPr>
          <w:rFonts w:ascii="宋体" w:hAnsi="宋体" w:cs="宋体"/>
          <w:sz w:val="24"/>
          <w:szCs w:val="24"/>
          <w:highlight w:val="none"/>
        </w:rPr>
        <w:t>污水处理</w:t>
      </w:r>
      <w:r>
        <w:rPr>
          <w:rFonts w:hint="eastAsia" w:ascii="宋体" w:hAnsi="宋体" w:cs="宋体"/>
          <w:sz w:val="24"/>
          <w:szCs w:val="24"/>
          <w:highlight w:val="none"/>
        </w:rPr>
        <w:t>厂外的污水管网维修及厂内的设备更换除外。至少在每一运营年度开始30日前，乙方与甲方应就该运营年度的两厂（场）计划内暂停服务时间表达成协议。在任何运营年度内的任何时候，乙方都应在至少提前10日通知甲方后安排两厂（场）计划内暂停服务具体时间，但乙方不得违反所达成的该运营年度计划内暂停服务协议。</w:t>
      </w:r>
    </w:p>
    <w:p w14:paraId="0295652A">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12.2甲方可要求乙方对两厂（场）计划内暂停服务时间表进行修改，但须在计划暂停服务前15日书面通知乙方，如果此类修改属于下列情况之一，则乙方应尽量依甲方要求调整时间表。</w:t>
      </w:r>
    </w:p>
    <w:p w14:paraId="007E2089">
      <w:pPr>
        <w:spacing w:line="240" w:lineRule="auto"/>
        <w:ind w:firstLine="435"/>
        <w:rPr>
          <w:rFonts w:hint="eastAsia" w:ascii="宋体" w:hAnsi="宋体" w:cs="宋体"/>
          <w:sz w:val="24"/>
          <w:szCs w:val="24"/>
          <w:highlight w:val="none"/>
        </w:rPr>
      </w:pPr>
      <w:r>
        <w:rPr>
          <w:rFonts w:hint="eastAsia" w:ascii="宋体" w:hAnsi="宋体" w:cs="宋体"/>
          <w:sz w:val="24"/>
          <w:szCs w:val="24"/>
          <w:highlight w:val="none"/>
        </w:rPr>
        <w:t>（1）不会导致乙方安排两厂（场）计划内暂停服务的方式和时间与两厂（场）设计处理能力或行业安全规范相冲突；</w:t>
      </w:r>
    </w:p>
    <w:p w14:paraId="45DCA88A">
      <w:pPr>
        <w:spacing w:line="240" w:lineRule="auto"/>
        <w:ind w:firstLine="435"/>
        <w:rPr>
          <w:rFonts w:hint="eastAsia" w:ascii="宋体" w:hAnsi="宋体" w:cs="宋体"/>
          <w:sz w:val="24"/>
          <w:szCs w:val="24"/>
          <w:highlight w:val="none"/>
        </w:rPr>
      </w:pPr>
      <w:r>
        <w:rPr>
          <w:rFonts w:hint="eastAsia" w:ascii="宋体" w:hAnsi="宋体" w:cs="宋体"/>
          <w:sz w:val="24"/>
          <w:szCs w:val="24"/>
          <w:highlight w:val="none"/>
        </w:rPr>
        <w:t>（2）不会对项目造成危害。</w:t>
      </w:r>
    </w:p>
    <w:p w14:paraId="53C8CDD7">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12.4紧急情况、自然灾害暂停服务，发生后，乙方应立即通知甲方，并在2日内向甲方书面提供该暂停服务的原因、范围及持续时间的具体情况。如果是可预见性的暂停服务，乙方应以书面的形式通知甲方。 </w:t>
      </w:r>
    </w:p>
    <w:p w14:paraId="7A3D5A1F">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12.5 污水处理厂进水水质超标：进水水质超过水质标准而导致乙方出水不达标的，甲方则免除乙方出水水质超标的违约责任，同时正常支付污水处理费用。由于进水水质各指标低于系统生化处理的正常需求而导致的出水不达标，甲方则免除乙方出水水质超标的责任，同时正常支付污水处理费用。</w:t>
      </w:r>
    </w:p>
    <w:p w14:paraId="28F9D80B">
      <w:pPr>
        <w:pStyle w:val="4"/>
        <w:spacing w:line="240" w:lineRule="auto"/>
        <w:rPr>
          <w:rFonts w:hint="eastAsia" w:ascii="宋体" w:hAnsi="宋体" w:cs="宋体"/>
          <w:sz w:val="24"/>
          <w:szCs w:val="24"/>
          <w:highlight w:val="none"/>
        </w:rPr>
      </w:pPr>
      <w:r>
        <w:rPr>
          <w:rFonts w:hint="eastAsia" w:ascii="宋体" w:hAnsi="宋体" w:cs="宋体"/>
          <w:sz w:val="24"/>
          <w:szCs w:val="24"/>
          <w:highlight w:val="none"/>
        </w:rPr>
        <w:t>第13条 污泥的处置</w:t>
      </w:r>
    </w:p>
    <w:p w14:paraId="1C1A7CE9">
      <w:pPr>
        <w:pStyle w:val="9"/>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13.1乙方负责污泥的脱水，按照环评要求进行处置。</w:t>
      </w:r>
    </w:p>
    <w:p w14:paraId="7976B43C">
      <w:pPr>
        <w:pStyle w:val="3"/>
        <w:spacing w:line="240" w:lineRule="auto"/>
        <w:rPr>
          <w:rFonts w:hint="eastAsia"/>
          <w:sz w:val="24"/>
          <w:szCs w:val="24"/>
          <w:highlight w:val="none"/>
        </w:rPr>
      </w:pPr>
      <w:r>
        <w:rPr>
          <w:rFonts w:hint="eastAsia"/>
          <w:sz w:val="24"/>
          <w:szCs w:val="24"/>
          <w:highlight w:val="none"/>
        </w:rPr>
        <w:t>第四部分 运营标准</w:t>
      </w:r>
      <w:r>
        <w:rPr>
          <w:sz w:val="24"/>
          <w:szCs w:val="24"/>
          <w:highlight w:val="none"/>
        </w:rPr>
        <w:t>、</w:t>
      </w:r>
      <w:r>
        <w:rPr>
          <w:rFonts w:hint="eastAsia"/>
          <w:sz w:val="24"/>
          <w:szCs w:val="24"/>
          <w:highlight w:val="none"/>
        </w:rPr>
        <w:t>服务费用</w:t>
      </w:r>
      <w:r>
        <w:rPr>
          <w:sz w:val="24"/>
          <w:szCs w:val="24"/>
          <w:highlight w:val="none"/>
        </w:rPr>
        <w:t>及支付</w:t>
      </w:r>
    </w:p>
    <w:p w14:paraId="45F2472A">
      <w:pPr>
        <w:pStyle w:val="4"/>
        <w:spacing w:line="240" w:lineRule="auto"/>
        <w:rPr>
          <w:rFonts w:hint="eastAsia" w:ascii="宋体" w:hAnsi="宋体" w:cs="宋体"/>
          <w:sz w:val="24"/>
          <w:szCs w:val="24"/>
          <w:highlight w:val="none"/>
        </w:rPr>
      </w:pPr>
      <w:r>
        <w:rPr>
          <w:rFonts w:hint="eastAsia" w:ascii="宋体" w:hAnsi="宋体" w:cs="宋体"/>
          <w:sz w:val="24"/>
          <w:szCs w:val="24"/>
          <w:highlight w:val="none"/>
        </w:rPr>
        <w:t>第 14条  污水</w:t>
      </w:r>
      <w:r>
        <w:rPr>
          <w:rFonts w:ascii="宋体" w:hAnsi="宋体" w:cs="宋体"/>
          <w:sz w:val="24"/>
          <w:szCs w:val="24"/>
          <w:highlight w:val="none"/>
        </w:rPr>
        <w:t>处理厂</w:t>
      </w:r>
      <w:r>
        <w:rPr>
          <w:rFonts w:hint="eastAsia" w:ascii="宋体" w:hAnsi="宋体" w:cs="宋体"/>
          <w:sz w:val="24"/>
          <w:szCs w:val="24"/>
          <w:highlight w:val="none"/>
        </w:rPr>
        <w:t>水质的检测及</w:t>
      </w:r>
      <w:r>
        <w:rPr>
          <w:rFonts w:ascii="宋体" w:hAnsi="宋体" w:cs="宋体"/>
          <w:sz w:val="24"/>
          <w:szCs w:val="24"/>
          <w:highlight w:val="none"/>
        </w:rPr>
        <w:t>要求</w:t>
      </w:r>
    </w:p>
    <w:p w14:paraId="6E7334FF">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4</w:t>
      </w:r>
      <w:r>
        <w:rPr>
          <w:rFonts w:hint="eastAsia" w:ascii="宋体" w:hAnsi="宋体" w:cs="宋体"/>
          <w:sz w:val="24"/>
          <w:szCs w:val="24"/>
          <w:highlight w:val="none"/>
        </w:rPr>
        <w:t>.1在线监测：必须安装符合国家技术规范的水质在线监测监控系统。</w:t>
      </w:r>
    </w:p>
    <w:p w14:paraId="7FF560A8">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4</w:t>
      </w:r>
      <w:r>
        <w:rPr>
          <w:rFonts w:hint="eastAsia" w:ascii="宋体" w:hAnsi="宋体" w:cs="宋体"/>
          <w:sz w:val="24"/>
          <w:szCs w:val="24"/>
          <w:highlight w:val="none"/>
        </w:rPr>
        <w:t>.2水质检测方法：政府环保监测机构和乙方所进行的水质检测应按国家相关规范和标准执行。</w:t>
      </w:r>
    </w:p>
    <w:p w14:paraId="395AE83A">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4</w:t>
      </w:r>
      <w:r>
        <w:rPr>
          <w:rFonts w:hint="eastAsia" w:ascii="宋体" w:hAnsi="宋体" w:cs="宋体"/>
          <w:sz w:val="24"/>
          <w:szCs w:val="24"/>
          <w:highlight w:val="none"/>
        </w:rPr>
        <w:t>.3 水质检测结论：水质检测以在线监测监控系统反应的数据或政府环保监测机构的水质检测结论为准。</w:t>
      </w:r>
    </w:p>
    <w:p w14:paraId="135C7663">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4</w:t>
      </w:r>
      <w:r>
        <w:rPr>
          <w:rFonts w:hint="eastAsia" w:ascii="宋体" w:hAnsi="宋体" w:cs="宋体"/>
          <w:sz w:val="24"/>
          <w:szCs w:val="24"/>
          <w:highlight w:val="none"/>
        </w:rPr>
        <w:t>.4 进出水水质标准</w:t>
      </w:r>
    </w:p>
    <w:p w14:paraId="5360EEF9">
      <w:pPr>
        <w:spacing w:line="240" w:lineRule="auto"/>
        <w:ind w:firstLine="435"/>
        <w:jc w:val="center"/>
        <w:rPr>
          <w:rFonts w:hint="eastAsia" w:ascii="宋体" w:hAnsi="宋体" w:cs="宋体"/>
          <w:sz w:val="24"/>
          <w:szCs w:val="24"/>
          <w:highlight w:val="none"/>
        </w:rPr>
      </w:pPr>
      <w:r>
        <w:rPr>
          <w:rFonts w:hint="eastAsia" w:ascii="宋体" w:hAnsi="宋体" w:cs="宋体"/>
          <w:sz w:val="24"/>
          <w:szCs w:val="24"/>
          <w:highlight w:val="none"/>
        </w:rPr>
        <w:t>榆佳经济技术开发区污水处理厂设计进水水质标准</w:t>
      </w:r>
    </w:p>
    <w:p w14:paraId="2EF5F23B">
      <w:pPr>
        <w:pStyle w:val="37"/>
        <w:spacing w:line="240" w:lineRule="auto"/>
        <w:ind w:firstLine="200" w:firstLineChars="0"/>
        <w:jc w:val="center"/>
        <w:rPr>
          <w:rFonts w:hint="eastAsia" w:ascii="宋体" w:hAnsi="宋体" w:cs="宋体"/>
          <w:b/>
          <w:sz w:val="24"/>
          <w:szCs w:val="24"/>
          <w:highlight w:val="none"/>
        </w:rPr>
      </w:pPr>
      <w:r>
        <w:rPr>
          <w:rFonts w:hint="eastAsia" w:ascii="宋体" w:hAnsi="宋体" w:cs="宋体"/>
          <w:b/>
          <w:sz w:val="24"/>
          <w:szCs w:val="24"/>
          <w:highlight w:val="none"/>
        </w:rPr>
        <w:t>设计进出水水质指标</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360"/>
        <w:gridCol w:w="1417"/>
        <w:gridCol w:w="2268"/>
        <w:gridCol w:w="2268"/>
      </w:tblGrid>
      <w:tr w14:paraId="61D13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17" w:type="dxa"/>
            <w:vMerge w:val="restart"/>
            <w:shd w:val="clear" w:color="auto" w:fill="FFFFFF"/>
            <w:noWrap w:val="0"/>
            <w:vAlign w:val="center"/>
          </w:tcPr>
          <w:p w14:paraId="7187EEB7">
            <w:pPr>
              <w:keepNext w:val="0"/>
              <w:keepLines w:val="0"/>
              <w:suppressLineNumbers w:val="0"/>
              <w:spacing w:before="0" w:beforeAutospacing="0" w:after="0" w:afterAutospacing="0" w:line="240" w:lineRule="auto"/>
              <w:ind w:left="0" w:right="0" w:firstLine="200"/>
              <w:jc w:val="center"/>
              <w:rPr>
                <w:rFonts w:hint="eastAsia" w:ascii="宋体" w:hAnsi="宋体" w:cs="宋体"/>
                <w:b/>
                <w:sz w:val="24"/>
                <w:szCs w:val="24"/>
                <w:highlight w:val="none"/>
              </w:rPr>
            </w:pPr>
            <w:r>
              <w:rPr>
                <w:rFonts w:hint="eastAsia" w:ascii="宋体" w:hAnsi="宋体" w:cs="宋体"/>
                <w:b/>
                <w:sz w:val="24"/>
                <w:szCs w:val="24"/>
                <w:highlight w:val="none"/>
              </w:rPr>
              <w:t>序号</w:t>
            </w:r>
          </w:p>
        </w:tc>
        <w:tc>
          <w:tcPr>
            <w:tcW w:w="1360" w:type="dxa"/>
            <w:vMerge w:val="restart"/>
            <w:shd w:val="clear" w:color="auto" w:fill="FFFFFF"/>
            <w:noWrap w:val="0"/>
            <w:vAlign w:val="center"/>
          </w:tcPr>
          <w:p w14:paraId="62AC7856">
            <w:pPr>
              <w:keepNext w:val="0"/>
              <w:keepLines w:val="0"/>
              <w:suppressLineNumbers w:val="0"/>
              <w:spacing w:before="0" w:beforeAutospacing="0" w:after="0" w:afterAutospacing="0" w:line="240" w:lineRule="auto"/>
              <w:ind w:left="0" w:right="0" w:firstLine="200"/>
              <w:jc w:val="center"/>
              <w:rPr>
                <w:rFonts w:hint="eastAsia" w:ascii="宋体" w:hAnsi="宋体" w:cs="宋体"/>
                <w:b/>
                <w:sz w:val="24"/>
                <w:szCs w:val="24"/>
                <w:highlight w:val="none"/>
              </w:rPr>
            </w:pPr>
            <w:r>
              <w:rPr>
                <w:rFonts w:hint="eastAsia" w:ascii="宋体" w:hAnsi="宋体" w:cs="宋体"/>
                <w:b/>
                <w:sz w:val="24"/>
                <w:szCs w:val="24"/>
                <w:highlight w:val="none"/>
              </w:rPr>
              <w:t>项目</w:t>
            </w:r>
          </w:p>
        </w:tc>
        <w:tc>
          <w:tcPr>
            <w:tcW w:w="1417" w:type="dxa"/>
            <w:vMerge w:val="restart"/>
            <w:shd w:val="clear" w:color="auto" w:fill="FFFFFF"/>
            <w:noWrap w:val="0"/>
            <w:vAlign w:val="center"/>
          </w:tcPr>
          <w:p w14:paraId="62734F2B">
            <w:pPr>
              <w:keepNext w:val="0"/>
              <w:keepLines w:val="0"/>
              <w:suppressLineNumbers w:val="0"/>
              <w:spacing w:before="0" w:beforeAutospacing="0" w:after="0" w:afterAutospacing="0" w:line="240" w:lineRule="auto"/>
              <w:ind w:left="0" w:right="0" w:firstLine="200"/>
              <w:jc w:val="center"/>
              <w:rPr>
                <w:rFonts w:hint="eastAsia" w:ascii="宋体" w:hAnsi="宋体" w:cs="宋体"/>
                <w:b/>
                <w:sz w:val="24"/>
                <w:szCs w:val="24"/>
                <w:highlight w:val="none"/>
              </w:rPr>
            </w:pPr>
            <w:r>
              <w:rPr>
                <w:rFonts w:hint="eastAsia" w:ascii="宋体" w:hAnsi="宋体" w:cs="宋体"/>
                <w:b/>
                <w:sz w:val="24"/>
                <w:szCs w:val="24"/>
                <w:highlight w:val="none"/>
              </w:rPr>
              <w:t>单位</w:t>
            </w:r>
          </w:p>
        </w:tc>
        <w:tc>
          <w:tcPr>
            <w:tcW w:w="2268" w:type="dxa"/>
            <w:shd w:val="clear" w:color="auto" w:fill="FFFFFF"/>
            <w:noWrap w:val="0"/>
            <w:vAlign w:val="center"/>
          </w:tcPr>
          <w:p w14:paraId="67E92CAA">
            <w:pPr>
              <w:keepNext w:val="0"/>
              <w:keepLines w:val="0"/>
              <w:suppressLineNumbers w:val="0"/>
              <w:spacing w:before="0" w:beforeAutospacing="0" w:after="0" w:afterAutospacing="0" w:line="240" w:lineRule="auto"/>
              <w:ind w:left="0" w:right="0" w:firstLine="200"/>
              <w:jc w:val="center"/>
              <w:rPr>
                <w:rFonts w:hint="eastAsia" w:ascii="宋体" w:hAnsi="宋体" w:cs="宋体"/>
                <w:b/>
                <w:sz w:val="24"/>
                <w:szCs w:val="24"/>
                <w:highlight w:val="none"/>
              </w:rPr>
            </w:pPr>
            <w:r>
              <w:rPr>
                <w:rFonts w:hint="eastAsia" w:ascii="宋体" w:hAnsi="宋体" w:cs="宋体"/>
                <w:b/>
                <w:sz w:val="24"/>
                <w:szCs w:val="24"/>
                <w:highlight w:val="none"/>
              </w:rPr>
              <w:t>进水水质</w:t>
            </w:r>
          </w:p>
        </w:tc>
        <w:tc>
          <w:tcPr>
            <w:tcW w:w="2268" w:type="dxa"/>
            <w:shd w:val="clear" w:color="auto" w:fill="FFFFFF"/>
            <w:noWrap w:val="0"/>
            <w:vAlign w:val="center"/>
          </w:tcPr>
          <w:p w14:paraId="70D2587D">
            <w:pPr>
              <w:keepNext w:val="0"/>
              <w:keepLines w:val="0"/>
              <w:suppressLineNumbers w:val="0"/>
              <w:spacing w:before="0" w:beforeAutospacing="0" w:after="0" w:afterAutospacing="0" w:line="240" w:lineRule="auto"/>
              <w:ind w:left="0" w:right="0" w:firstLine="200"/>
              <w:jc w:val="center"/>
              <w:rPr>
                <w:rFonts w:hint="eastAsia" w:ascii="宋体" w:hAnsi="宋体" w:cs="宋体"/>
                <w:b/>
                <w:sz w:val="24"/>
                <w:szCs w:val="24"/>
                <w:highlight w:val="none"/>
              </w:rPr>
            </w:pPr>
            <w:r>
              <w:rPr>
                <w:rFonts w:hint="eastAsia" w:ascii="宋体" w:hAnsi="宋体" w:cs="宋体"/>
                <w:b/>
                <w:sz w:val="24"/>
                <w:szCs w:val="24"/>
                <w:highlight w:val="none"/>
              </w:rPr>
              <w:t>出水水质</w:t>
            </w:r>
          </w:p>
        </w:tc>
      </w:tr>
      <w:tr w14:paraId="0563F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17" w:type="dxa"/>
            <w:vMerge w:val="continue"/>
            <w:shd w:val="clear" w:color="auto" w:fill="FFFFFF"/>
            <w:noWrap w:val="0"/>
            <w:vAlign w:val="center"/>
          </w:tcPr>
          <w:p w14:paraId="2E153FA4">
            <w:pPr>
              <w:keepNext w:val="0"/>
              <w:keepLines w:val="0"/>
              <w:suppressLineNumbers w:val="0"/>
              <w:spacing w:before="0" w:beforeAutospacing="0" w:after="0" w:afterAutospacing="0" w:line="240" w:lineRule="auto"/>
              <w:ind w:left="0" w:right="0" w:firstLine="200"/>
              <w:jc w:val="center"/>
              <w:rPr>
                <w:rFonts w:hint="eastAsia" w:ascii="宋体" w:hAnsi="宋体" w:cs="宋体"/>
                <w:b/>
                <w:sz w:val="24"/>
                <w:szCs w:val="24"/>
                <w:highlight w:val="none"/>
              </w:rPr>
            </w:pPr>
          </w:p>
        </w:tc>
        <w:tc>
          <w:tcPr>
            <w:tcW w:w="1360" w:type="dxa"/>
            <w:vMerge w:val="continue"/>
            <w:shd w:val="clear" w:color="auto" w:fill="FFFFFF"/>
            <w:noWrap w:val="0"/>
            <w:vAlign w:val="center"/>
          </w:tcPr>
          <w:p w14:paraId="4B4E251E">
            <w:pPr>
              <w:keepNext w:val="0"/>
              <w:keepLines w:val="0"/>
              <w:suppressLineNumbers w:val="0"/>
              <w:spacing w:before="0" w:beforeAutospacing="0" w:after="0" w:afterAutospacing="0" w:line="240" w:lineRule="auto"/>
              <w:ind w:left="0" w:right="0" w:firstLine="200"/>
              <w:jc w:val="center"/>
              <w:rPr>
                <w:rFonts w:hint="eastAsia" w:ascii="宋体" w:hAnsi="宋体" w:cs="宋体"/>
                <w:b/>
                <w:sz w:val="24"/>
                <w:szCs w:val="24"/>
                <w:highlight w:val="none"/>
              </w:rPr>
            </w:pPr>
          </w:p>
        </w:tc>
        <w:tc>
          <w:tcPr>
            <w:tcW w:w="1417" w:type="dxa"/>
            <w:vMerge w:val="continue"/>
            <w:shd w:val="clear" w:color="auto" w:fill="FFFFFF"/>
            <w:noWrap w:val="0"/>
            <w:vAlign w:val="center"/>
          </w:tcPr>
          <w:p w14:paraId="7EEF708F">
            <w:pPr>
              <w:keepNext w:val="0"/>
              <w:keepLines w:val="0"/>
              <w:suppressLineNumbers w:val="0"/>
              <w:spacing w:before="0" w:beforeAutospacing="0" w:after="0" w:afterAutospacing="0" w:line="240" w:lineRule="auto"/>
              <w:ind w:left="0" w:right="0" w:firstLine="200"/>
              <w:jc w:val="center"/>
              <w:rPr>
                <w:rFonts w:hint="eastAsia" w:ascii="宋体" w:hAnsi="宋体" w:cs="宋体"/>
                <w:b/>
                <w:sz w:val="24"/>
                <w:szCs w:val="24"/>
                <w:highlight w:val="none"/>
              </w:rPr>
            </w:pPr>
          </w:p>
        </w:tc>
        <w:tc>
          <w:tcPr>
            <w:tcW w:w="2268" w:type="dxa"/>
            <w:shd w:val="clear" w:color="auto" w:fill="FFFFFF"/>
            <w:noWrap w:val="0"/>
            <w:vAlign w:val="center"/>
          </w:tcPr>
          <w:p w14:paraId="7346D344">
            <w:pPr>
              <w:keepNext w:val="0"/>
              <w:keepLines w:val="0"/>
              <w:suppressLineNumbers w:val="0"/>
              <w:spacing w:before="0" w:beforeAutospacing="0" w:after="0" w:afterAutospacing="0" w:line="240" w:lineRule="auto"/>
              <w:ind w:left="0" w:right="0" w:firstLine="200"/>
              <w:jc w:val="center"/>
              <w:rPr>
                <w:rFonts w:hint="eastAsia" w:ascii="宋体" w:hAnsi="宋体" w:cs="宋体"/>
                <w:b/>
                <w:sz w:val="24"/>
                <w:szCs w:val="24"/>
                <w:highlight w:val="none"/>
              </w:rPr>
            </w:pPr>
            <w:r>
              <w:rPr>
                <w:rFonts w:hint="eastAsia" w:ascii="宋体" w:hAnsi="宋体" w:cs="宋体"/>
                <w:b/>
                <w:sz w:val="24"/>
                <w:szCs w:val="24"/>
                <w:highlight w:val="none"/>
              </w:rPr>
              <w:t>控制指标</w:t>
            </w:r>
          </w:p>
        </w:tc>
        <w:tc>
          <w:tcPr>
            <w:tcW w:w="2268" w:type="dxa"/>
            <w:shd w:val="clear" w:color="auto" w:fill="FFFFFF"/>
            <w:noWrap w:val="0"/>
            <w:vAlign w:val="center"/>
          </w:tcPr>
          <w:p w14:paraId="29783FEB">
            <w:pPr>
              <w:keepNext w:val="0"/>
              <w:keepLines w:val="0"/>
              <w:suppressLineNumbers w:val="0"/>
              <w:spacing w:before="0" w:beforeAutospacing="0" w:after="0" w:afterAutospacing="0" w:line="240" w:lineRule="auto"/>
              <w:ind w:left="0" w:right="0" w:firstLine="200"/>
              <w:jc w:val="center"/>
              <w:rPr>
                <w:rFonts w:hint="eastAsia" w:ascii="宋体" w:hAnsi="宋体" w:cs="宋体"/>
                <w:b/>
                <w:sz w:val="24"/>
                <w:szCs w:val="24"/>
                <w:highlight w:val="none"/>
              </w:rPr>
            </w:pPr>
            <w:r>
              <w:rPr>
                <w:rFonts w:hint="eastAsia" w:ascii="宋体" w:hAnsi="宋体" w:cs="宋体"/>
                <w:b/>
                <w:sz w:val="24"/>
                <w:szCs w:val="24"/>
                <w:highlight w:val="none"/>
              </w:rPr>
              <w:t>控制指标</w:t>
            </w:r>
          </w:p>
        </w:tc>
      </w:tr>
      <w:tr w14:paraId="79BB0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7" w:type="dxa"/>
            <w:noWrap w:val="0"/>
            <w:vAlign w:val="center"/>
          </w:tcPr>
          <w:p w14:paraId="43E8C9D5">
            <w:pPr>
              <w:keepNext w:val="0"/>
              <w:keepLines w:val="0"/>
              <w:widowControl/>
              <w:suppressLineNumbers w:val="0"/>
              <w:tabs>
                <w:tab w:val="left" w:pos="480"/>
              </w:tabs>
              <w:spacing w:before="0" w:beforeAutospacing="0" w:after="0" w:afterAutospacing="0" w:line="240" w:lineRule="auto"/>
              <w:ind w:left="0" w:right="0" w:firstLine="200"/>
              <w:jc w:val="center"/>
              <w:rPr>
                <w:rFonts w:hint="eastAsia" w:ascii="宋体" w:hAnsi="宋体" w:cs="宋体"/>
                <w:sz w:val="24"/>
                <w:szCs w:val="24"/>
                <w:highlight w:val="none"/>
              </w:rPr>
            </w:pPr>
            <w:r>
              <w:rPr>
                <w:rFonts w:hint="eastAsia" w:ascii="宋体" w:hAnsi="宋体" w:cs="宋体"/>
                <w:sz w:val="24"/>
                <w:szCs w:val="24"/>
                <w:highlight w:val="none"/>
              </w:rPr>
              <w:t>1</w:t>
            </w:r>
          </w:p>
        </w:tc>
        <w:tc>
          <w:tcPr>
            <w:tcW w:w="1360" w:type="dxa"/>
            <w:noWrap w:val="0"/>
            <w:vAlign w:val="center"/>
          </w:tcPr>
          <w:p w14:paraId="3682F0F5">
            <w:pPr>
              <w:keepNext w:val="0"/>
              <w:keepLines w:val="0"/>
              <w:widowControl/>
              <w:suppressLineNumbers w:val="0"/>
              <w:tabs>
                <w:tab w:val="left" w:pos="480"/>
              </w:tabs>
              <w:spacing w:before="0" w:beforeAutospacing="0" w:after="0" w:afterAutospacing="0" w:line="240" w:lineRule="auto"/>
              <w:ind w:left="0" w:right="0" w:firstLine="200"/>
              <w:jc w:val="center"/>
              <w:rPr>
                <w:rFonts w:hint="eastAsia" w:ascii="宋体" w:hAnsi="宋体" w:cs="宋体"/>
                <w:sz w:val="24"/>
                <w:szCs w:val="24"/>
                <w:highlight w:val="none"/>
              </w:rPr>
            </w:pPr>
            <w:r>
              <w:rPr>
                <w:rFonts w:hint="eastAsia" w:ascii="宋体" w:hAnsi="宋体" w:cs="宋体"/>
                <w:sz w:val="24"/>
                <w:szCs w:val="24"/>
                <w:highlight w:val="none"/>
              </w:rPr>
              <w:t>COD</w:t>
            </w:r>
          </w:p>
        </w:tc>
        <w:tc>
          <w:tcPr>
            <w:tcW w:w="1417" w:type="dxa"/>
            <w:noWrap w:val="0"/>
            <w:vAlign w:val="center"/>
          </w:tcPr>
          <w:p w14:paraId="65B8F986">
            <w:pPr>
              <w:keepNext w:val="0"/>
              <w:keepLines w:val="0"/>
              <w:widowControl/>
              <w:suppressLineNumbers w:val="0"/>
              <w:tabs>
                <w:tab w:val="left" w:pos="480"/>
              </w:tabs>
              <w:spacing w:before="0" w:beforeAutospacing="0" w:after="0" w:afterAutospacing="0" w:line="240" w:lineRule="auto"/>
              <w:ind w:left="0" w:right="0" w:firstLine="200"/>
              <w:jc w:val="center"/>
              <w:rPr>
                <w:rFonts w:hint="eastAsia" w:ascii="宋体" w:hAnsi="宋体" w:cs="宋体"/>
                <w:sz w:val="24"/>
                <w:szCs w:val="24"/>
                <w:highlight w:val="none"/>
              </w:rPr>
            </w:pPr>
            <w:r>
              <w:rPr>
                <w:rFonts w:hint="eastAsia" w:ascii="宋体" w:hAnsi="宋体" w:cs="宋体"/>
                <w:sz w:val="24"/>
                <w:szCs w:val="24"/>
                <w:highlight w:val="none"/>
              </w:rPr>
              <w:t>mg/L</w:t>
            </w:r>
          </w:p>
        </w:tc>
        <w:tc>
          <w:tcPr>
            <w:tcW w:w="2268" w:type="dxa"/>
            <w:noWrap w:val="0"/>
            <w:vAlign w:val="center"/>
          </w:tcPr>
          <w:p w14:paraId="0DA35A32">
            <w:pPr>
              <w:keepNext w:val="0"/>
              <w:keepLines w:val="0"/>
              <w:widowControl/>
              <w:suppressLineNumbers w:val="0"/>
              <w:tabs>
                <w:tab w:val="left" w:pos="480"/>
              </w:tabs>
              <w:spacing w:before="0" w:beforeAutospacing="0" w:after="0" w:afterAutospacing="0" w:line="240" w:lineRule="auto"/>
              <w:ind w:left="0" w:right="0" w:firstLine="200"/>
              <w:jc w:val="center"/>
              <w:rPr>
                <w:rFonts w:hint="eastAsia" w:ascii="宋体" w:hAnsi="宋体" w:cs="宋体"/>
                <w:sz w:val="24"/>
                <w:szCs w:val="24"/>
                <w:highlight w:val="none"/>
              </w:rPr>
            </w:pPr>
            <w:r>
              <w:rPr>
                <w:rFonts w:hint="default"/>
                <w:sz w:val="24"/>
                <w:szCs w:val="24"/>
                <w:highlight w:val="none"/>
              </w:rPr>
              <w:t>100—350</w:t>
            </w:r>
          </w:p>
        </w:tc>
        <w:tc>
          <w:tcPr>
            <w:tcW w:w="2268" w:type="dxa"/>
            <w:noWrap w:val="0"/>
            <w:vAlign w:val="center"/>
          </w:tcPr>
          <w:p w14:paraId="7AC94CF0">
            <w:pPr>
              <w:keepNext w:val="0"/>
              <w:keepLines w:val="0"/>
              <w:widowControl/>
              <w:suppressLineNumbers w:val="0"/>
              <w:tabs>
                <w:tab w:val="left" w:pos="480"/>
              </w:tabs>
              <w:spacing w:before="0" w:beforeAutospacing="0" w:after="0" w:afterAutospacing="0" w:line="240" w:lineRule="auto"/>
              <w:ind w:left="0" w:right="0" w:firstLine="200"/>
              <w:jc w:val="center"/>
              <w:rPr>
                <w:rFonts w:hint="eastAsia" w:ascii="宋体" w:hAnsi="宋体" w:cs="宋体"/>
                <w:sz w:val="24"/>
                <w:szCs w:val="24"/>
                <w:highlight w:val="none"/>
              </w:rPr>
            </w:pPr>
            <w:r>
              <w:rPr>
                <w:rFonts w:hint="eastAsia" w:ascii="宋体" w:hAnsi="宋体" w:cs="宋体"/>
                <w:sz w:val="24"/>
                <w:szCs w:val="24"/>
                <w:highlight w:val="none"/>
              </w:rPr>
              <w:t>≤50</w:t>
            </w:r>
          </w:p>
        </w:tc>
      </w:tr>
      <w:tr w14:paraId="424AC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7" w:type="dxa"/>
            <w:noWrap w:val="0"/>
            <w:vAlign w:val="center"/>
          </w:tcPr>
          <w:p w14:paraId="5150454B">
            <w:pPr>
              <w:keepNext w:val="0"/>
              <w:keepLines w:val="0"/>
              <w:widowControl/>
              <w:suppressLineNumbers w:val="0"/>
              <w:tabs>
                <w:tab w:val="left" w:pos="480"/>
              </w:tabs>
              <w:spacing w:before="0" w:beforeAutospacing="0" w:after="0" w:afterAutospacing="0" w:line="240" w:lineRule="auto"/>
              <w:ind w:left="0" w:right="0" w:firstLine="200"/>
              <w:jc w:val="center"/>
              <w:rPr>
                <w:rFonts w:hint="eastAsia" w:ascii="宋体" w:hAnsi="宋体" w:cs="宋体"/>
                <w:sz w:val="24"/>
                <w:szCs w:val="24"/>
                <w:highlight w:val="none"/>
              </w:rPr>
            </w:pPr>
            <w:r>
              <w:rPr>
                <w:rFonts w:hint="eastAsia" w:ascii="宋体" w:hAnsi="宋体" w:cs="宋体"/>
                <w:sz w:val="24"/>
                <w:szCs w:val="24"/>
                <w:highlight w:val="none"/>
              </w:rPr>
              <w:t>2</w:t>
            </w:r>
          </w:p>
        </w:tc>
        <w:tc>
          <w:tcPr>
            <w:tcW w:w="1360" w:type="dxa"/>
            <w:noWrap w:val="0"/>
            <w:vAlign w:val="center"/>
          </w:tcPr>
          <w:p w14:paraId="658B217A">
            <w:pPr>
              <w:keepNext w:val="0"/>
              <w:keepLines w:val="0"/>
              <w:widowControl/>
              <w:suppressLineNumbers w:val="0"/>
              <w:tabs>
                <w:tab w:val="left" w:pos="480"/>
              </w:tabs>
              <w:spacing w:before="0" w:beforeAutospacing="0" w:after="0" w:afterAutospacing="0" w:line="240" w:lineRule="auto"/>
              <w:ind w:left="0" w:right="0" w:firstLine="200"/>
              <w:jc w:val="center"/>
              <w:rPr>
                <w:rFonts w:hint="eastAsia" w:ascii="宋体" w:hAnsi="宋体" w:cs="宋体"/>
                <w:sz w:val="24"/>
                <w:szCs w:val="24"/>
                <w:highlight w:val="none"/>
              </w:rPr>
            </w:pPr>
            <w:r>
              <w:rPr>
                <w:rFonts w:hint="eastAsia" w:ascii="宋体" w:hAnsi="宋体" w:cs="宋体"/>
                <w:sz w:val="24"/>
                <w:szCs w:val="24"/>
                <w:highlight w:val="none"/>
              </w:rPr>
              <w:t>BOD</w:t>
            </w:r>
            <w:r>
              <w:rPr>
                <w:rFonts w:hint="eastAsia" w:ascii="宋体" w:hAnsi="宋体" w:cs="宋体"/>
                <w:sz w:val="24"/>
                <w:szCs w:val="24"/>
                <w:highlight w:val="none"/>
                <w:vertAlign w:val="subscript"/>
              </w:rPr>
              <w:t>5</w:t>
            </w:r>
          </w:p>
        </w:tc>
        <w:tc>
          <w:tcPr>
            <w:tcW w:w="1417" w:type="dxa"/>
            <w:noWrap w:val="0"/>
            <w:vAlign w:val="center"/>
          </w:tcPr>
          <w:p w14:paraId="0D200594">
            <w:pPr>
              <w:keepNext w:val="0"/>
              <w:keepLines w:val="0"/>
              <w:widowControl/>
              <w:suppressLineNumbers w:val="0"/>
              <w:tabs>
                <w:tab w:val="left" w:pos="480"/>
              </w:tabs>
              <w:spacing w:before="0" w:beforeAutospacing="0" w:after="0" w:afterAutospacing="0" w:line="240" w:lineRule="auto"/>
              <w:ind w:left="0" w:right="0" w:firstLine="200"/>
              <w:jc w:val="center"/>
              <w:rPr>
                <w:rFonts w:hint="eastAsia" w:ascii="宋体" w:hAnsi="宋体" w:cs="宋体"/>
                <w:sz w:val="24"/>
                <w:szCs w:val="24"/>
                <w:highlight w:val="none"/>
              </w:rPr>
            </w:pPr>
            <w:r>
              <w:rPr>
                <w:rFonts w:hint="eastAsia" w:ascii="宋体" w:hAnsi="宋体" w:cs="宋体"/>
                <w:sz w:val="24"/>
                <w:szCs w:val="24"/>
                <w:highlight w:val="none"/>
              </w:rPr>
              <w:t>mg/L</w:t>
            </w:r>
          </w:p>
        </w:tc>
        <w:tc>
          <w:tcPr>
            <w:tcW w:w="2268" w:type="dxa"/>
            <w:noWrap w:val="0"/>
            <w:vAlign w:val="center"/>
          </w:tcPr>
          <w:p w14:paraId="1F39A04E">
            <w:pPr>
              <w:keepNext w:val="0"/>
              <w:keepLines w:val="0"/>
              <w:widowControl/>
              <w:suppressLineNumbers w:val="0"/>
              <w:tabs>
                <w:tab w:val="left" w:pos="480"/>
              </w:tabs>
              <w:spacing w:before="0" w:beforeAutospacing="0" w:after="0" w:afterAutospacing="0" w:line="240" w:lineRule="auto"/>
              <w:ind w:left="0" w:right="0" w:firstLine="200"/>
              <w:jc w:val="center"/>
              <w:rPr>
                <w:rFonts w:hint="eastAsia" w:ascii="宋体" w:hAnsi="宋体" w:cs="宋体"/>
                <w:sz w:val="24"/>
                <w:szCs w:val="24"/>
                <w:highlight w:val="none"/>
              </w:rPr>
            </w:pPr>
            <w:r>
              <w:rPr>
                <w:rFonts w:hint="default"/>
                <w:sz w:val="24"/>
                <w:szCs w:val="24"/>
                <w:highlight w:val="none"/>
              </w:rPr>
              <w:t>≤180</w:t>
            </w:r>
          </w:p>
        </w:tc>
        <w:tc>
          <w:tcPr>
            <w:tcW w:w="2268" w:type="dxa"/>
            <w:noWrap w:val="0"/>
            <w:vAlign w:val="center"/>
          </w:tcPr>
          <w:p w14:paraId="424A07CE">
            <w:pPr>
              <w:keepNext w:val="0"/>
              <w:keepLines w:val="0"/>
              <w:widowControl/>
              <w:suppressLineNumbers w:val="0"/>
              <w:tabs>
                <w:tab w:val="left" w:pos="480"/>
              </w:tabs>
              <w:spacing w:before="0" w:beforeAutospacing="0" w:after="0" w:afterAutospacing="0" w:line="240" w:lineRule="auto"/>
              <w:ind w:left="0" w:right="0" w:firstLine="200"/>
              <w:jc w:val="center"/>
              <w:rPr>
                <w:rFonts w:hint="eastAsia" w:ascii="宋体" w:hAnsi="宋体" w:cs="宋体"/>
                <w:sz w:val="24"/>
                <w:szCs w:val="24"/>
                <w:highlight w:val="none"/>
              </w:rPr>
            </w:pPr>
            <w:r>
              <w:rPr>
                <w:rFonts w:hint="eastAsia" w:ascii="宋体" w:hAnsi="宋体" w:cs="宋体"/>
                <w:sz w:val="24"/>
                <w:szCs w:val="24"/>
                <w:highlight w:val="none"/>
              </w:rPr>
              <w:t>≤10</w:t>
            </w:r>
          </w:p>
        </w:tc>
      </w:tr>
      <w:tr w14:paraId="7F29A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7" w:type="dxa"/>
            <w:noWrap w:val="0"/>
            <w:vAlign w:val="center"/>
          </w:tcPr>
          <w:p w14:paraId="164CF3EE">
            <w:pPr>
              <w:keepNext w:val="0"/>
              <w:keepLines w:val="0"/>
              <w:widowControl/>
              <w:suppressLineNumbers w:val="0"/>
              <w:tabs>
                <w:tab w:val="left" w:pos="480"/>
              </w:tabs>
              <w:spacing w:before="0" w:beforeAutospacing="0" w:after="0" w:afterAutospacing="0" w:line="240" w:lineRule="auto"/>
              <w:ind w:left="0" w:right="0" w:firstLine="200"/>
              <w:jc w:val="center"/>
              <w:rPr>
                <w:rFonts w:hint="eastAsia" w:ascii="宋体" w:hAnsi="宋体" w:cs="宋体"/>
                <w:sz w:val="24"/>
                <w:szCs w:val="24"/>
                <w:highlight w:val="none"/>
              </w:rPr>
            </w:pPr>
            <w:r>
              <w:rPr>
                <w:rFonts w:hint="eastAsia" w:ascii="宋体" w:hAnsi="宋体" w:cs="宋体"/>
                <w:sz w:val="24"/>
                <w:szCs w:val="24"/>
                <w:highlight w:val="none"/>
              </w:rPr>
              <w:t>3</w:t>
            </w:r>
          </w:p>
        </w:tc>
        <w:tc>
          <w:tcPr>
            <w:tcW w:w="1360" w:type="dxa"/>
            <w:noWrap w:val="0"/>
            <w:vAlign w:val="center"/>
          </w:tcPr>
          <w:p w14:paraId="01BAC01F">
            <w:pPr>
              <w:keepNext w:val="0"/>
              <w:keepLines w:val="0"/>
              <w:widowControl/>
              <w:suppressLineNumbers w:val="0"/>
              <w:tabs>
                <w:tab w:val="left" w:pos="480"/>
              </w:tabs>
              <w:spacing w:before="0" w:beforeAutospacing="0" w:after="0" w:afterAutospacing="0" w:line="240" w:lineRule="auto"/>
              <w:ind w:left="0" w:right="0" w:firstLine="200"/>
              <w:jc w:val="center"/>
              <w:rPr>
                <w:rFonts w:hint="eastAsia" w:ascii="宋体" w:hAnsi="宋体" w:cs="宋体"/>
                <w:sz w:val="24"/>
                <w:szCs w:val="24"/>
                <w:highlight w:val="none"/>
              </w:rPr>
            </w:pPr>
            <w:r>
              <w:rPr>
                <w:rFonts w:hint="eastAsia" w:ascii="宋体" w:hAnsi="宋体" w:cs="宋体"/>
                <w:sz w:val="24"/>
                <w:szCs w:val="24"/>
                <w:highlight w:val="none"/>
              </w:rPr>
              <w:t>总氮</w:t>
            </w:r>
          </w:p>
        </w:tc>
        <w:tc>
          <w:tcPr>
            <w:tcW w:w="1417" w:type="dxa"/>
            <w:noWrap w:val="0"/>
            <w:vAlign w:val="center"/>
          </w:tcPr>
          <w:p w14:paraId="5784EBA6">
            <w:pPr>
              <w:keepNext w:val="0"/>
              <w:keepLines w:val="0"/>
              <w:widowControl/>
              <w:suppressLineNumbers w:val="0"/>
              <w:tabs>
                <w:tab w:val="left" w:pos="480"/>
              </w:tabs>
              <w:spacing w:before="0" w:beforeAutospacing="0" w:after="0" w:afterAutospacing="0" w:line="240" w:lineRule="auto"/>
              <w:ind w:left="0" w:right="0" w:firstLine="200"/>
              <w:jc w:val="center"/>
              <w:rPr>
                <w:rFonts w:hint="eastAsia" w:ascii="宋体" w:hAnsi="宋体" w:cs="宋体"/>
                <w:sz w:val="24"/>
                <w:szCs w:val="24"/>
                <w:highlight w:val="none"/>
              </w:rPr>
            </w:pPr>
            <w:r>
              <w:rPr>
                <w:rFonts w:hint="eastAsia" w:ascii="宋体" w:hAnsi="宋体" w:cs="宋体"/>
                <w:sz w:val="24"/>
                <w:szCs w:val="24"/>
                <w:highlight w:val="none"/>
              </w:rPr>
              <w:t>mg/L</w:t>
            </w:r>
          </w:p>
        </w:tc>
        <w:tc>
          <w:tcPr>
            <w:tcW w:w="2268" w:type="dxa"/>
            <w:noWrap w:val="0"/>
            <w:vAlign w:val="center"/>
          </w:tcPr>
          <w:p w14:paraId="779C3BC3">
            <w:pPr>
              <w:keepNext w:val="0"/>
              <w:keepLines w:val="0"/>
              <w:widowControl/>
              <w:suppressLineNumbers w:val="0"/>
              <w:tabs>
                <w:tab w:val="left" w:pos="480"/>
              </w:tabs>
              <w:spacing w:before="0" w:beforeAutospacing="0" w:after="0" w:afterAutospacing="0" w:line="240" w:lineRule="auto"/>
              <w:ind w:left="0" w:right="0" w:firstLine="200"/>
              <w:jc w:val="center"/>
              <w:rPr>
                <w:rFonts w:hint="eastAsia" w:ascii="宋体" w:hAnsi="宋体" w:cs="宋体"/>
                <w:sz w:val="24"/>
                <w:szCs w:val="24"/>
                <w:highlight w:val="none"/>
              </w:rPr>
            </w:pPr>
            <w:r>
              <w:rPr>
                <w:rFonts w:hint="default"/>
                <w:sz w:val="24"/>
                <w:szCs w:val="24"/>
                <w:highlight w:val="none"/>
              </w:rPr>
              <w:t>≤60</w:t>
            </w:r>
          </w:p>
        </w:tc>
        <w:tc>
          <w:tcPr>
            <w:tcW w:w="2268" w:type="dxa"/>
            <w:noWrap w:val="0"/>
            <w:vAlign w:val="center"/>
          </w:tcPr>
          <w:p w14:paraId="30C3E54C">
            <w:pPr>
              <w:keepNext w:val="0"/>
              <w:keepLines w:val="0"/>
              <w:widowControl/>
              <w:suppressLineNumbers w:val="0"/>
              <w:tabs>
                <w:tab w:val="left" w:pos="480"/>
              </w:tabs>
              <w:spacing w:before="0" w:beforeAutospacing="0" w:after="0" w:afterAutospacing="0" w:line="240" w:lineRule="auto"/>
              <w:ind w:left="0" w:right="0" w:firstLine="200"/>
              <w:jc w:val="center"/>
              <w:rPr>
                <w:rFonts w:hint="eastAsia" w:ascii="宋体" w:hAnsi="宋体" w:cs="宋体"/>
                <w:sz w:val="24"/>
                <w:szCs w:val="24"/>
                <w:highlight w:val="none"/>
              </w:rPr>
            </w:pPr>
            <w:r>
              <w:rPr>
                <w:rFonts w:hint="eastAsia" w:ascii="宋体" w:hAnsi="宋体" w:cs="宋体"/>
                <w:sz w:val="24"/>
                <w:szCs w:val="24"/>
                <w:highlight w:val="none"/>
              </w:rPr>
              <w:t>≤15</w:t>
            </w:r>
          </w:p>
        </w:tc>
      </w:tr>
      <w:tr w14:paraId="1C8B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7" w:type="dxa"/>
            <w:noWrap w:val="0"/>
            <w:vAlign w:val="center"/>
          </w:tcPr>
          <w:p w14:paraId="02A44968">
            <w:pPr>
              <w:keepNext w:val="0"/>
              <w:keepLines w:val="0"/>
              <w:widowControl/>
              <w:suppressLineNumbers w:val="0"/>
              <w:tabs>
                <w:tab w:val="left" w:pos="480"/>
              </w:tabs>
              <w:spacing w:before="0" w:beforeAutospacing="0" w:after="0" w:afterAutospacing="0" w:line="240" w:lineRule="auto"/>
              <w:ind w:left="0" w:right="0" w:firstLine="200"/>
              <w:jc w:val="center"/>
              <w:rPr>
                <w:rFonts w:hint="eastAsia" w:ascii="宋体" w:hAnsi="宋体" w:cs="宋体"/>
                <w:sz w:val="24"/>
                <w:szCs w:val="24"/>
                <w:highlight w:val="none"/>
              </w:rPr>
            </w:pPr>
            <w:r>
              <w:rPr>
                <w:rFonts w:hint="eastAsia" w:ascii="宋体" w:hAnsi="宋体" w:cs="宋体"/>
                <w:sz w:val="24"/>
                <w:szCs w:val="24"/>
                <w:highlight w:val="none"/>
              </w:rPr>
              <w:t>4</w:t>
            </w:r>
          </w:p>
        </w:tc>
        <w:tc>
          <w:tcPr>
            <w:tcW w:w="1360" w:type="dxa"/>
            <w:noWrap w:val="0"/>
            <w:vAlign w:val="center"/>
          </w:tcPr>
          <w:p w14:paraId="28F23FC3">
            <w:pPr>
              <w:keepNext w:val="0"/>
              <w:keepLines w:val="0"/>
              <w:widowControl/>
              <w:suppressLineNumbers w:val="0"/>
              <w:tabs>
                <w:tab w:val="left" w:pos="480"/>
              </w:tabs>
              <w:spacing w:before="0" w:beforeAutospacing="0" w:after="0" w:afterAutospacing="0" w:line="240" w:lineRule="auto"/>
              <w:ind w:left="0" w:right="0" w:firstLine="200"/>
              <w:jc w:val="center"/>
              <w:rPr>
                <w:rFonts w:hint="eastAsia" w:ascii="宋体" w:hAnsi="宋体" w:cs="宋体"/>
                <w:sz w:val="24"/>
                <w:szCs w:val="24"/>
                <w:highlight w:val="none"/>
              </w:rPr>
            </w:pPr>
            <w:r>
              <w:rPr>
                <w:rFonts w:hint="eastAsia" w:ascii="宋体" w:hAnsi="宋体" w:cs="宋体"/>
                <w:sz w:val="24"/>
                <w:szCs w:val="24"/>
                <w:highlight w:val="none"/>
              </w:rPr>
              <w:t>氨氮</w:t>
            </w:r>
          </w:p>
        </w:tc>
        <w:tc>
          <w:tcPr>
            <w:tcW w:w="1417" w:type="dxa"/>
            <w:noWrap w:val="0"/>
            <w:vAlign w:val="center"/>
          </w:tcPr>
          <w:p w14:paraId="3A0A1AC5">
            <w:pPr>
              <w:keepNext w:val="0"/>
              <w:keepLines w:val="0"/>
              <w:widowControl/>
              <w:suppressLineNumbers w:val="0"/>
              <w:tabs>
                <w:tab w:val="left" w:pos="480"/>
              </w:tabs>
              <w:spacing w:before="0" w:beforeAutospacing="0" w:after="0" w:afterAutospacing="0" w:line="240" w:lineRule="auto"/>
              <w:ind w:left="0" w:right="0" w:firstLine="200"/>
              <w:jc w:val="center"/>
              <w:rPr>
                <w:rFonts w:hint="eastAsia" w:ascii="宋体" w:hAnsi="宋体" w:cs="宋体"/>
                <w:sz w:val="24"/>
                <w:szCs w:val="24"/>
                <w:highlight w:val="none"/>
              </w:rPr>
            </w:pPr>
            <w:r>
              <w:rPr>
                <w:rFonts w:hint="eastAsia" w:ascii="宋体" w:hAnsi="宋体" w:cs="宋体"/>
                <w:sz w:val="24"/>
                <w:szCs w:val="24"/>
                <w:highlight w:val="none"/>
              </w:rPr>
              <w:t>mg/L</w:t>
            </w:r>
          </w:p>
        </w:tc>
        <w:tc>
          <w:tcPr>
            <w:tcW w:w="2268" w:type="dxa"/>
            <w:noWrap w:val="0"/>
            <w:vAlign w:val="center"/>
          </w:tcPr>
          <w:p w14:paraId="3F570949">
            <w:pPr>
              <w:keepNext w:val="0"/>
              <w:keepLines w:val="0"/>
              <w:widowControl/>
              <w:suppressLineNumbers w:val="0"/>
              <w:tabs>
                <w:tab w:val="left" w:pos="480"/>
              </w:tabs>
              <w:spacing w:before="0" w:beforeAutospacing="0" w:after="0" w:afterAutospacing="0" w:line="240" w:lineRule="auto"/>
              <w:ind w:left="0" w:right="0" w:firstLine="200"/>
              <w:jc w:val="center"/>
              <w:rPr>
                <w:rFonts w:hint="eastAsia" w:ascii="宋体" w:hAnsi="宋体" w:cs="宋体"/>
                <w:sz w:val="24"/>
                <w:szCs w:val="24"/>
                <w:highlight w:val="none"/>
              </w:rPr>
            </w:pPr>
            <w:r>
              <w:rPr>
                <w:rFonts w:hint="default"/>
                <w:sz w:val="24"/>
                <w:szCs w:val="24"/>
                <w:highlight w:val="none"/>
              </w:rPr>
              <w:t>≤40</w:t>
            </w:r>
          </w:p>
        </w:tc>
        <w:tc>
          <w:tcPr>
            <w:tcW w:w="2268" w:type="dxa"/>
            <w:noWrap w:val="0"/>
            <w:vAlign w:val="center"/>
          </w:tcPr>
          <w:p w14:paraId="2BB699CF">
            <w:pPr>
              <w:keepNext w:val="0"/>
              <w:keepLines w:val="0"/>
              <w:widowControl/>
              <w:suppressLineNumbers w:val="0"/>
              <w:tabs>
                <w:tab w:val="left" w:pos="480"/>
              </w:tabs>
              <w:spacing w:before="0" w:beforeAutospacing="0" w:after="0" w:afterAutospacing="0" w:line="240" w:lineRule="auto"/>
              <w:ind w:left="0" w:right="0" w:firstLine="200"/>
              <w:jc w:val="center"/>
              <w:rPr>
                <w:rFonts w:hint="eastAsia" w:ascii="宋体" w:hAnsi="宋体" w:cs="宋体"/>
                <w:sz w:val="24"/>
                <w:szCs w:val="24"/>
                <w:highlight w:val="none"/>
              </w:rPr>
            </w:pPr>
            <w:r>
              <w:rPr>
                <w:rFonts w:hint="eastAsia" w:ascii="宋体" w:hAnsi="宋体" w:cs="宋体"/>
                <w:sz w:val="24"/>
                <w:szCs w:val="24"/>
                <w:highlight w:val="none"/>
              </w:rPr>
              <w:t>≤5（8）</w:t>
            </w:r>
          </w:p>
        </w:tc>
      </w:tr>
      <w:tr w14:paraId="10285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7" w:type="dxa"/>
            <w:noWrap w:val="0"/>
            <w:vAlign w:val="center"/>
          </w:tcPr>
          <w:p w14:paraId="67273C9F">
            <w:pPr>
              <w:keepNext w:val="0"/>
              <w:keepLines w:val="0"/>
              <w:widowControl/>
              <w:suppressLineNumbers w:val="0"/>
              <w:tabs>
                <w:tab w:val="left" w:pos="480"/>
              </w:tabs>
              <w:spacing w:before="0" w:beforeAutospacing="0" w:after="0" w:afterAutospacing="0" w:line="240" w:lineRule="auto"/>
              <w:ind w:left="0" w:right="0" w:firstLine="200"/>
              <w:jc w:val="center"/>
              <w:rPr>
                <w:rFonts w:hint="eastAsia" w:ascii="宋体" w:hAnsi="宋体" w:cs="宋体"/>
                <w:sz w:val="24"/>
                <w:szCs w:val="24"/>
                <w:highlight w:val="none"/>
              </w:rPr>
            </w:pPr>
            <w:r>
              <w:rPr>
                <w:rFonts w:hint="eastAsia" w:ascii="宋体" w:hAnsi="宋体" w:cs="宋体"/>
                <w:sz w:val="24"/>
                <w:szCs w:val="24"/>
                <w:highlight w:val="none"/>
              </w:rPr>
              <w:t>5</w:t>
            </w:r>
          </w:p>
        </w:tc>
        <w:tc>
          <w:tcPr>
            <w:tcW w:w="1360" w:type="dxa"/>
            <w:noWrap w:val="0"/>
            <w:vAlign w:val="center"/>
          </w:tcPr>
          <w:p w14:paraId="0D1FBD5D">
            <w:pPr>
              <w:keepNext w:val="0"/>
              <w:keepLines w:val="0"/>
              <w:widowControl/>
              <w:suppressLineNumbers w:val="0"/>
              <w:tabs>
                <w:tab w:val="left" w:pos="480"/>
              </w:tabs>
              <w:spacing w:before="0" w:beforeAutospacing="0" w:after="0" w:afterAutospacing="0" w:line="240" w:lineRule="auto"/>
              <w:ind w:left="0" w:right="0" w:firstLine="200"/>
              <w:jc w:val="center"/>
              <w:rPr>
                <w:rFonts w:hint="eastAsia" w:ascii="宋体" w:hAnsi="宋体" w:cs="宋体"/>
                <w:sz w:val="24"/>
                <w:szCs w:val="24"/>
                <w:highlight w:val="none"/>
              </w:rPr>
            </w:pPr>
            <w:r>
              <w:rPr>
                <w:rFonts w:hint="eastAsia" w:ascii="宋体" w:hAnsi="宋体" w:cs="宋体"/>
                <w:sz w:val="24"/>
                <w:szCs w:val="24"/>
                <w:highlight w:val="none"/>
              </w:rPr>
              <w:t>总磷</w:t>
            </w:r>
          </w:p>
        </w:tc>
        <w:tc>
          <w:tcPr>
            <w:tcW w:w="1417" w:type="dxa"/>
            <w:noWrap w:val="0"/>
            <w:vAlign w:val="center"/>
          </w:tcPr>
          <w:p w14:paraId="7A3870D3">
            <w:pPr>
              <w:keepNext w:val="0"/>
              <w:keepLines w:val="0"/>
              <w:widowControl/>
              <w:suppressLineNumbers w:val="0"/>
              <w:tabs>
                <w:tab w:val="left" w:pos="480"/>
              </w:tabs>
              <w:spacing w:before="0" w:beforeAutospacing="0" w:after="0" w:afterAutospacing="0" w:line="240" w:lineRule="auto"/>
              <w:ind w:left="0" w:right="0" w:firstLine="200"/>
              <w:jc w:val="center"/>
              <w:rPr>
                <w:rFonts w:hint="eastAsia" w:ascii="宋体" w:hAnsi="宋体" w:cs="宋体"/>
                <w:sz w:val="24"/>
                <w:szCs w:val="24"/>
                <w:highlight w:val="none"/>
              </w:rPr>
            </w:pPr>
            <w:r>
              <w:rPr>
                <w:rFonts w:hint="eastAsia" w:ascii="宋体" w:hAnsi="宋体" w:cs="宋体"/>
                <w:sz w:val="24"/>
                <w:szCs w:val="24"/>
                <w:highlight w:val="none"/>
              </w:rPr>
              <w:t>mg/L</w:t>
            </w:r>
          </w:p>
        </w:tc>
        <w:tc>
          <w:tcPr>
            <w:tcW w:w="2268" w:type="dxa"/>
            <w:noWrap w:val="0"/>
            <w:vAlign w:val="center"/>
          </w:tcPr>
          <w:p w14:paraId="7FAE6DFC">
            <w:pPr>
              <w:keepNext w:val="0"/>
              <w:keepLines w:val="0"/>
              <w:widowControl/>
              <w:suppressLineNumbers w:val="0"/>
              <w:tabs>
                <w:tab w:val="left" w:pos="480"/>
              </w:tabs>
              <w:spacing w:before="0" w:beforeAutospacing="0" w:after="0" w:afterAutospacing="0" w:line="240" w:lineRule="auto"/>
              <w:ind w:left="0" w:right="0" w:firstLine="200"/>
              <w:jc w:val="center"/>
              <w:rPr>
                <w:rFonts w:hint="eastAsia" w:ascii="宋体" w:hAnsi="宋体" w:cs="宋体"/>
                <w:sz w:val="24"/>
                <w:szCs w:val="24"/>
                <w:highlight w:val="none"/>
              </w:rPr>
            </w:pPr>
            <w:r>
              <w:rPr>
                <w:rFonts w:hint="default"/>
                <w:sz w:val="24"/>
                <w:szCs w:val="24"/>
                <w:highlight w:val="none"/>
              </w:rPr>
              <w:t>≤4.0</w:t>
            </w:r>
          </w:p>
        </w:tc>
        <w:tc>
          <w:tcPr>
            <w:tcW w:w="2268" w:type="dxa"/>
            <w:noWrap w:val="0"/>
            <w:vAlign w:val="center"/>
          </w:tcPr>
          <w:p w14:paraId="25EBB8E5">
            <w:pPr>
              <w:keepNext w:val="0"/>
              <w:keepLines w:val="0"/>
              <w:widowControl/>
              <w:suppressLineNumbers w:val="0"/>
              <w:tabs>
                <w:tab w:val="left" w:pos="480"/>
              </w:tabs>
              <w:spacing w:before="0" w:beforeAutospacing="0" w:after="0" w:afterAutospacing="0" w:line="240" w:lineRule="auto"/>
              <w:ind w:left="0" w:right="0" w:firstLine="200"/>
              <w:jc w:val="center"/>
              <w:rPr>
                <w:rFonts w:hint="eastAsia" w:ascii="宋体" w:hAnsi="宋体" w:cs="宋体"/>
                <w:sz w:val="24"/>
                <w:szCs w:val="24"/>
                <w:highlight w:val="none"/>
              </w:rPr>
            </w:pPr>
            <w:r>
              <w:rPr>
                <w:rFonts w:hint="eastAsia" w:ascii="宋体" w:hAnsi="宋体" w:cs="宋体"/>
                <w:sz w:val="24"/>
                <w:szCs w:val="24"/>
                <w:highlight w:val="none"/>
              </w:rPr>
              <w:t>≤0.5</w:t>
            </w:r>
          </w:p>
        </w:tc>
      </w:tr>
      <w:tr w14:paraId="68F99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7" w:type="dxa"/>
            <w:noWrap w:val="0"/>
            <w:vAlign w:val="center"/>
          </w:tcPr>
          <w:p w14:paraId="7B1C36E6">
            <w:pPr>
              <w:keepNext w:val="0"/>
              <w:keepLines w:val="0"/>
              <w:widowControl/>
              <w:suppressLineNumbers w:val="0"/>
              <w:tabs>
                <w:tab w:val="left" w:pos="480"/>
              </w:tabs>
              <w:spacing w:before="0" w:beforeAutospacing="0" w:after="0" w:afterAutospacing="0" w:line="240" w:lineRule="auto"/>
              <w:ind w:left="0" w:right="0" w:firstLine="200"/>
              <w:jc w:val="center"/>
              <w:rPr>
                <w:rFonts w:hint="eastAsia" w:ascii="宋体" w:hAnsi="宋体" w:cs="宋体"/>
                <w:sz w:val="24"/>
                <w:szCs w:val="24"/>
                <w:highlight w:val="none"/>
              </w:rPr>
            </w:pPr>
            <w:r>
              <w:rPr>
                <w:rFonts w:hint="eastAsia" w:ascii="宋体" w:hAnsi="宋体" w:cs="宋体"/>
                <w:sz w:val="24"/>
                <w:szCs w:val="24"/>
                <w:highlight w:val="none"/>
              </w:rPr>
              <w:t>6</w:t>
            </w:r>
          </w:p>
        </w:tc>
        <w:tc>
          <w:tcPr>
            <w:tcW w:w="1360" w:type="dxa"/>
            <w:noWrap w:val="0"/>
            <w:vAlign w:val="center"/>
          </w:tcPr>
          <w:p w14:paraId="56F79371">
            <w:pPr>
              <w:keepNext w:val="0"/>
              <w:keepLines w:val="0"/>
              <w:widowControl/>
              <w:suppressLineNumbers w:val="0"/>
              <w:tabs>
                <w:tab w:val="left" w:pos="480"/>
              </w:tabs>
              <w:spacing w:before="0" w:beforeAutospacing="0" w:after="0" w:afterAutospacing="0" w:line="240" w:lineRule="auto"/>
              <w:ind w:left="0" w:right="0" w:firstLine="200"/>
              <w:jc w:val="center"/>
              <w:rPr>
                <w:rFonts w:hint="eastAsia" w:ascii="宋体" w:hAnsi="宋体" w:cs="宋体"/>
                <w:sz w:val="24"/>
                <w:szCs w:val="24"/>
                <w:highlight w:val="none"/>
              </w:rPr>
            </w:pPr>
            <w:r>
              <w:rPr>
                <w:rFonts w:hint="eastAsia" w:ascii="宋体" w:hAnsi="宋体" w:cs="宋体"/>
                <w:sz w:val="24"/>
                <w:szCs w:val="24"/>
                <w:highlight w:val="none"/>
              </w:rPr>
              <w:t>pH值</w:t>
            </w:r>
          </w:p>
        </w:tc>
        <w:tc>
          <w:tcPr>
            <w:tcW w:w="1417" w:type="dxa"/>
            <w:noWrap w:val="0"/>
            <w:vAlign w:val="center"/>
          </w:tcPr>
          <w:p w14:paraId="4E837DEE">
            <w:pPr>
              <w:keepNext w:val="0"/>
              <w:keepLines w:val="0"/>
              <w:widowControl/>
              <w:suppressLineNumbers w:val="0"/>
              <w:tabs>
                <w:tab w:val="left" w:pos="480"/>
              </w:tabs>
              <w:spacing w:before="0" w:beforeAutospacing="0" w:after="0" w:afterAutospacing="0" w:line="240" w:lineRule="auto"/>
              <w:ind w:left="0" w:right="0" w:firstLine="200"/>
              <w:jc w:val="center"/>
              <w:rPr>
                <w:rFonts w:hint="eastAsia" w:ascii="宋体" w:hAnsi="宋体" w:cs="宋体"/>
                <w:sz w:val="24"/>
                <w:szCs w:val="24"/>
                <w:highlight w:val="none"/>
              </w:rPr>
            </w:pPr>
            <w:r>
              <w:rPr>
                <w:rFonts w:hint="eastAsia" w:ascii="宋体" w:hAnsi="宋体" w:cs="宋体"/>
                <w:sz w:val="24"/>
                <w:szCs w:val="24"/>
                <w:highlight w:val="none"/>
              </w:rPr>
              <w:t>-</w:t>
            </w:r>
          </w:p>
        </w:tc>
        <w:tc>
          <w:tcPr>
            <w:tcW w:w="2268" w:type="dxa"/>
            <w:noWrap w:val="0"/>
            <w:vAlign w:val="center"/>
          </w:tcPr>
          <w:p w14:paraId="6DA8C36A">
            <w:pPr>
              <w:keepNext w:val="0"/>
              <w:keepLines w:val="0"/>
              <w:widowControl/>
              <w:suppressLineNumbers w:val="0"/>
              <w:tabs>
                <w:tab w:val="left" w:pos="480"/>
              </w:tabs>
              <w:spacing w:before="0" w:beforeAutospacing="0" w:after="0" w:afterAutospacing="0" w:line="240" w:lineRule="auto"/>
              <w:ind w:left="0" w:right="0" w:firstLine="200"/>
              <w:jc w:val="center"/>
              <w:rPr>
                <w:rFonts w:hint="eastAsia" w:ascii="宋体" w:hAnsi="宋体" w:cs="宋体"/>
                <w:sz w:val="24"/>
                <w:szCs w:val="24"/>
                <w:highlight w:val="none"/>
              </w:rPr>
            </w:pPr>
            <w:r>
              <w:rPr>
                <w:rFonts w:hint="eastAsia" w:ascii="宋体" w:hAnsi="宋体" w:cs="宋体"/>
                <w:sz w:val="24"/>
                <w:szCs w:val="24"/>
                <w:highlight w:val="none"/>
              </w:rPr>
              <w:t>6~9</w:t>
            </w:r>
          </w:p>
        </w:tc>
        <w:tc>
          <w:tcPr>
            <w:tcW w:w="2268" w:type="dxa"/>
            <w:noWrap w:val="0"/>
            <w:vAlign w:val="center"/>
          </w:tcPr>
          <w:p w14:paraId="43BB0D41">
            <w:pPr>
              <w:keepNext w:val="0"/>
              <w:keepLines w:val="0"/>
              <w:widowControl/>
              <w:suppressLineNumbers w:val="0"/>
              <w:tabs>
                <w:tab w:val="left" w:pos="480"/>
              </w:tabs>
              <w:spacing w:before="0" w:beforeAutospacing="0" w:after="0" w:afterAutospacing="0" w:line="240" w:lineRule="auto"/>
              <w:ind w:left="0" w:right="0" w:firstLine="200"/>
              <w:jc w:val="center"/>
              <w:rPr>
                <w:rFonts w:hint="eastAsia" w:ascii="宋体" w:hAnsi="宋体" w:cs="宋体"/>
                <w:sz w:val="24"/>
                <w:szCs w:val="24"/>
                <w:highlight w:val="none"/>
              </w:rPr>
            </w:pPr>
            <w:r>
              <w:rPr>
                <w:rFonts w:hint="eastAsia" w:ascii="宋体" w:hAnsi="宋体" w:cs="宋体"/>
                <w:sz w:val="24"/>
                <w:szCs w:val="24"/>
                <w:highlight w:val="none"/>
              </w:rPr>
              <w:t>6~9</w:t>
            </w:r>
          </w:p>
        </w:tc>
      </w:tr>
      <w:tr w14:paraId="33500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7" w:type="dxa"/>
            <w:noWrap w:val="0"/>
            <w:vAlign w:val="center"/>
          </w:tcPr>
          <w:p w14:paraId="1FD4647D">
            <w:pPr>
              <w:keepNext w:val="0"/>
              <w:keepLines w:val="0"/>
              <w:widowControl/>
              <w:suppressLineNumbers w:val="0"/>
              <w:tabs>
                <w:tab w:val="left" w:pos="480"/>
              </w:tabs>
              <w:spacing w:before="0" w:beforeAutospacing="0" w:after="0" w:afterAutospacing="0" w:line="240" w:lineRule="auto"/>
              <w:ind w:left="0" w:right="0" w:firstLine="200"/>
              <w:jc w:val="center"/>
              <w:rPr>
                <w:rFonts w:hint="eastAsia" w:ascii="宋体" w:hAnsi="宋体" w:cs="宋体"/>
                <w:sz w:val="24"/>
                <w:szCs w:val="24"/>
                <w:highlight w:val="none"/>
              </w:rPr>
            </w:pPr>
            <w:r>
              <w:rPr>
                <w:rFonts w:hint="eastAsia" w:ascii="宋体" w:hAnsi="宋体" w:cs="宋体"/>
                <w:sz w:val="24"/>
                <w:szCs w:val="24"/>
                <w:highlight w:val="none"/>
              </w:rPr>
              <w:t>7</w:t>
            </w:r>
          </w:p>
        </w:tc>
        <w:tc>
          <w:tcPr>
            <w:tcW w:w="1360" w:type="dxa"/>
            <w:noWrap w:val="0"/>
            <w:vAlign w:val="center"/>
          </w:tcPr>
          <w:p w14:paraId="78779FED">
            <w:pPr>
              <w:keepNext w:val="0"/>
              <w:keepLines w:val="0"/>
              <w:widowControl/>
              <w:suppressLineNumbers w:val="0"/>
              <w:tabs>
                <w:tab w:val="left" w:pos="480"/>
              </w:tabs>
              <w:spacing w:before="0" w:beforeAutospacing="0" w:after="0" w:afterAutospacing="0" w:line="240" w:lineRule="auto"/>
              <w:ind w:left="0" w:right="0" w:firstLine="200"/>
              <w:jc w:val="center"/>
              <w:rPr>
                <w:rFonts w:hint="eastAsia" w:ascii="宋体" w:hAnsi="宋体" w:cs="宋体"/>
                <w:sz w:val="24"/>
                <w:szCs w:val="24"/>
                <w:highlight w:val="none"/>
              </w:rPr>
            </w:pPr>
            <w:r>
              <w:rPr>
                <w:rFonts w:hint="eastAsia" w:ascii="宋体" w:hAnsi="宋体" w:cs="宋体"/>
                <w:sz w:val="24"/>
                <w:szCs w:val="24"/>
                <w:highlight w:val="none"/>
              </w:rPr>
              <w:t>SS</w:t>
            </w:r>
          </w:p>
        </w:tc>
        <w:tc>
          <w:tcPr>
            <w:tcW w:w="1417" w:type="dxa"/>
            <w:noWrap w:val="0"/>
            <w:vAlign w:val="center"/>
          </w:tcPr>
          <w:p w14:paraId="761B3F20">
            <w:pPr>
              <w:keepNext w:val="0"/>
              <w:keepLines w:val="0"/>
              <w:widowControl/>
              <w:suppressLineNumbers w:val="0"/>
              <w:tabs>
                <w:tab w:val="left" w:pos="480"/>
              </w:tabs>
              <w:spacing w:before="0" w:beforeAutospacing="0" w:after="0" w:afterAutospacing="0" w:line="240" w:lineRule="auto"/>
              <w:ind w:left="0" w:right="0" w:firstLine="200"/>
              <w:jc w:val="center"/>
              <w:rPr>
                <w:rFonts w:hint="eastAsia" w:ascii="宋体" w:hAnsi="宋体" w:cs="宋体"/>
                <w:sz w:val="24"/>
                <w:szCs w:val="24"/>
                <w:highlight w:val="none"/>
              </w:rPr>
            </w:pPr>
            <w:r>
              <w:rPr>
                <w:rFonts w:hint="eastAsia" w:ascii="宋体" w:hAnsi="宋体" w:cs="宋体"/>
                <w:sz w:val="24"/>
                <w:szCs w:val="24"/>
                <w:highlight w:val="none"/>
              </w:rPr>
              <w:t>mg/L</w:t>
            </w:r>
          </w:p>
        </w:tc>
        <w:tc>
          <w:tcPr>
            <w:tcW w:w="2268" w:type="dxa"/>
            <w:noWrap w:val="0"/>
            <w:vAlign w:val="center"/>
          </w:tcPr>
          <w:p w14:paraId="5D4FDBAF">
            <w:pPr>
              <w:keepNext w:val="0"/>
              <w:keepLines w:val="0"/>
              <w:widowControl/>
              <w:suppressLineNumbers w:val="0"/>
              <w:tabs>
                <w:tab w:val="left" w:pos="480"/>
              </w:tabs>
              <w:spacing w:before="0" w:beforeAutospacing="0" w:after="0" w:afterAutospacing="0" w:line="240" w:lineRule="auto"/>
              <w:ind w:left="0" w:right="0" w:firstLine="200"/>
              <w:jc w:val="center"/>
              <w:rPr>
                <w:rFonts w:hint="eastAsia" w:ascii="宋体" w:hAnsi="宋体" w:cs="宋体"/>
                <w:sz w:val="24"/>
                <w:szCs w:val="24"/>
                <w:highlight w:val="none"/>
              </w:rPr>
            </w:pPr>
            <w:r>
              <w:rPr>
                <w:rFonts w:hint="default"/>
                <w:sz w:val="24"/>
                <w:szCs w:val="24"/>
                <w:highlight w:val="none"/>
              </w:rPr>
              <w:t>≤180</w:t>
            </w:r>
          </w:p>
        </w:tc>
        <w:tc>
          <w:tcPr>
            <w:tcW w:w="2268" w:type="dxa"/>
            <w:noWrap w:val="0"/>
            <w:vAlign w:val="center"/>
          </w:tcPr>
          <w:p w14:paraId="2E03C5C8">
            <w:pPr>
              <w:keepNext w:val="0"/>
              <w:keepLines w:val="0"/>
              <w:widowControl/>
              <w:suppressLineNumbers w:val="0"/>
              <w:tabs>
                <w:tab w:val="left" w:pos="480"/>
              </w:tabs>
              <w:spacing w:before="0" w:beforeAutospacing="0" w:after="0" w:afterAutospacing="0" w:line="240" w:lineRule="auto"/>
              <w:ind w:left="0" w:right="0" w:firstLine="200"/>
              <w:jc w:val="center"/>
              <w:rPr>
                <w:rFonts w:hint="eastAsia" w:ascii="宋体" w:hAnsi="宋体" w:cs="宋体"/>
                <w:sz w:val="24"/>
                <w:szCs w:val="24"/>
                <w:highlight w:val="none"/>
              </w:rPr>
            </w:pPr>
            <w:r>
              <w:rPr>
                <w:rFonts w:hint="eastAsia" w:ascii="宋体" w:hAnsi="宋体" w:cs="宋体"/>
                <w:sz w:val="24"/>
                <w:szCs w:val="24"/>
                <w:highlight w:val="none"/>
              </w:rPr>
              <w:t>≤10</w:t>
            </w:r>
          </w:p>
        </w:tc>
      </w:tr>
      <w:tr w14:paraId="1C4F7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7" w:type="dxa"/>
            <w:noWrap w:val="0"/>
            <w:vAlign w:val="center"/>
          </w:tcPr>
          <w:p w14:paraId="01F70952">
            <w:pPr>
              <w:keepNext w:val="0"/>
              <w:keepLines w:val="0"/>
              <w:widowControl/>
              <w:suppressLineNumbers w:val="0"/>
              <w:tabs>
                <w:tab w:val="left" w:pos="480"/>
              </w:tabs>
              <w:spacing w:before="0" w:beforeAutospacing="0" w:after="0" w:afterAutospacing="0" w:line="240" w:lineRule="auto"/>
              <w:ind w:left="0" w:right="0" w:firstLine="200"/>
              <w:jc w:val="center"/>
              <w:rPr>
                <w:rFonts w:hint="eastAsia" w:ascii="宋体" w:hAnsi="宋体" w:cs="宋体"/>
                <w:sz w:val="24"/>
                <w:szCs w:val="24"/>
                <w:highlight w:val="none"/>
              </w:rPr>
            </w:pPr>
            <w:r>
              <w:rPr>
                <w:rFonts w:hint="eastAsia" w:ascii="宋体" w:hAnsi="宋体" w:cs="宋体"/>
                <w:sz w:val="24"/>
                <w:szCs w:val="24"/>
                <w:highlight w:val="none"/>
              </w:rPr>
              <w:t>8</w:t>
            </w:r>
          </w:p>
        </w:tc>
        <w:tc>
          <w:tcPr>
            <w:tcW w:w="1360" w:type="dxa"/>
            <w:noWrap w:val="0"/>
            <w:vAlign w:val="top"/>
          </w:tcPr>
          <w:p w14:paraId="73C41611">
            <w:pPr>
              <w:keepNext w:val="0"/>
              <w:keepLines w:val="0"/>
              <w:suppressLineNumbers w:val="0"/>
              <w:spacing w:before="0" w:beforeAutospacing="0" w:after="0" w:afterAutospacing="0" w:line="240" w:lineRule="auto"/>
              <w:ind w:left="0" w:right="0"/>
              <w:jc w:val="center"/>
              <w:rPr>
                <w:rFonts w:hint="eastAsia" w:ascii="宋体" w:hAnsi="宋体" w:cs="宋体"/>
                <w:sz w:val="24"/>
                <w:szCs w:val="24"/>
                <w:highlight w:val="none"/>
              </w:rPr>
            </w:pPr>
            <w:r>
              <w:rPr>
                <w:rFonts w:hint="eastAsia" w:ascii="Calibri" w:hAnsi="Calibri"/>
                <w:sz w:val="24"/>
                <w:szCs w:val="24"/>
                <w:highlight w:val="none"/>
              </w:rPr>
              <w:t>油类</w:t>
            </w:r>
          </w:p>
        </w:tc>
        <w:tc>
          <w:tcPr>
            <w:tcW w:w="1417" w:type="dxa"/>
            <w:noWrap w:val="0"/>
            <w:vAlign w:val="center"/>
          </w:tcPr>
          <w:p w14:paraId="40770CED">
            <w:pPr>
              <w:keepNext w:val="0"/>
              <w:keepLines w:val="0"/>
              <w:widowControl/>
              <w:suppressLineNumbers w:val="0"/>
              <w:tabs>
                <w:tab w:val="left" w:pos="480"/>
              </w:tabs>
              <w:spacing w:before="0" w:beforeAutospacing="0" w:after="0" w:afterAutospacing="0" w:line="240" w:lineRule="auto"/>
              <w:ind w:left="0" w:right="0" w:firstLine="200"/>
              <w:jc w:val="center"/>
              <w:rPr>
                <w:rFonts w:hint="eastAsia" w:ascii="宋体" w:hAnsi="宋体" w:cs="宋体"/>
                <w:sz w:val="24"/>
                <w:szCs w:val="24"/>
                <w:highlight w:val="none"/>
              </w:rPr>
            </w:pPr>
            <w:r>
              <w:rPr>
                <w:rFonts w:hint="eastAsia" w:ascii="宋体" w:hAnsi="宋体" w:cs="宋体"/>
                <w:sz w:val="24"/>
                <w:szCs w:val="24"/>
                <w:highlight w:val="none"/>
              </w:rPr>
              <w:t>mg/L</w:t>
            </w:r>
          </w:p>
        </w:tc>
        <w:tc>
          <w:tcPr>
            <w:tcW w:w="2268" w:type="dxa"/>
            <w:noWrap w:val="0"/>
            <w:vAlign w:val="center"/>
          </w:tcPr>
          <w:p w14:paraId="340CFF6E">
            <w:pPr>
              <w:keepNext w:val="0"/>
              <w:keepLines w:val="0"/>
              <w:widowControl/>
              <w:suppressLineNumbers w:val="0"/>
              <w:tabs>
                <w:tab w:val="left" w:pos="480"/>
              </w:tabs>
              <w:spacing w:before="0" w:beforeAutospacing="0" w:after="0" w:afterAutospacing="0" w:line="240" w:lineRule="auto"/>
              <w:ind w:left="0" w:right="0" w:firstLine="200"/>
              <w:jc w:val="center"/>
              <w:rPr>
                <w:rFonts w:hint="eastAsia" w:ascii="宋体" w:hAnsi="宋体" w:cs="宋体"/>
                <w:sz w:val="24"/>
                <w:szCs w:val="24"/>
                <w:highlight w:val="none"/>
              </w:rPr>
            </w:pPr>
            <w:r>
              <w:rPr>
                <w:rFonts w:hint="default"/>
                <w:sz w:val="24"/>
                <w:szCs w:val="24"/>
                <w:highlight w:val="none"/>
              </w:rPr>
              <w:t>≤15</w:t>
            </w:r>
          </w:p>
        </w:tc>
        <w:tc>
          <w:tcPr>
            <w:tcW w:w="2268" w:type="dxa"/>
            <w:noWrap w:val="0"/>
            <w:vAlign w:val="center"/>
          </w:tcPr>
          <w:p w14:paraId="2D32ED1A">
            <w:pPr>
              <w:keepNext w:val="0"/>
              <w:keepLines w:val="0"/>
              <w:widowControl/>
              <w:suppressLineNumbers w:val="0"/>
              <w:tabs>
                <w:tab w:val="left" w:pos="480"/>
              </w:tabs>
              <w:spacing w:before="0" w:beforeAutospacing="0" w:after="0" w:afterAutospacing="0" w:line="240" w:lineRule="auto"/>
              <w:ind w:left="0" w:right="0" w:firstLine="200"/>
              <w:jc w:val="center"/>
              <w:rPr>
                <w:rFonts w:hint="eastAsia" w:ascii="宋体" w:hAnsi="宋体" w:cs="宋体"/>
                <w:sz w:val="24"/>
                <w:szCs w:val="24"/>
                <w:highlight w:val="none"/>
              </w:rPr>
            </w:pPr>
            <w:r>
              <w:rPr>
                <w:rFonts w:hint="eastAsia" w:ascii="宋体" w:hAnsi="宋体" w:cs="宋体"/>
                <w:sz w:val="24"/>
                <w:szCs w:val="24"/>
                <w:highlight w:val="none"/>
              </w:rPr>
              <w:t>≤0.5</w:t>
            </w:r>
          </w:p>
        </w:tc>
      </w:tr>
    </w:tbl>
    <w:p w14:paraId="57C15369">
      <w:pPr>
        <w:adjustRightInd w:val="0"/>
        <w:spacing w:after="156" w:afterLines="50" w:line="240" w:lineRule="auto"/>
        <w:ind w:firstLine="200"/>
        <w:rPr>
          <w:rFonts w:hint="eastAsia" w:ascii="宋体" w:hAnsi="宋体" w:cs="宋体"/>
          <w:sz w:val="24"/>
          <w:szCs w:val="24"/>
          <w:highlight w:val="none"/>
        </w:rPr>
      </w:pPr>
      <w:r>
        <w:rPr>
          <w:rFonts w:hint="eastAsia" w:ascii="宋体" w:hAnsi="宋体" w:cs="宋体"/>
          <w:sz w:val="24"/>
          <w:szCs w:val="24"/>
          <w:highlight w:val="none"/>
        </w:rPr>
        <w:t>注：上表中括号内数值为水温≤12℃时的控制指标。</w:t>
      </w:r>
    </w:p>
    <w:p w14:paraId="0192FB36">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除上述7项主要指标外的其他进水指标应符合《污水排入城市下水道水质标准》（CJ3082—1999）的规定。在污水进水质量标准的前提下，污水处理站出水水质应满足《城镇污水处理厂污染物排放标准》（GB18918—2002）一级标准A类规定的排放标准，其中主要出水污染物按照上表执行。</w:t>
      </w:r>
    </w:p>
    <w:p w14:paraId="6F206940">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4</w:t>
      </w:r>
      <w:r>
        <w:rPr>
          <w:rFonts w:hint="eastAsia" w:ascii="宋体" w:hAnsi="宋体" w:cs="宋体"/>
          <w:sz w:val="24"/>
          <w:szCs w:val="24"/>
          <w:highlight w:val="none"/>
        </w:rPr>
        <w:t>.</w:t>
      </w:r>
      <w:r>
        <w:rPr>
          <w:rFonts w:ascii="宋体" w:hAnsi="宋体" w:cs="宋体"/>
          <w:sz w:val="24"/>
          <w:szCs w:val="24"/>
          <w:highlight w:val="none"/>
        </w:rPr>
        <w:t>5</w:t>
      </w:r>
      <w:r>
        <w:rPr>
          <w:rFonts w:hint="eastAsia" w:ascii="宋体" w:hAnsi="宋体" w:cs="宋体"/>
          <w:sz w:val="24"/>
          <w:szCs w:val="24"/>
          <w:highlight w:val="none"/>
        </w:rPr>
        <w:t xml:space="preserve"> 污泥排放标准 ，污水处理厂的污泥乙方应进行污泥脱水处理，脱水后的污泥应符合国家标准和行业规范的要求，按照环评要求集中处理。</w:t>
      </w:r>
    </w:p>
    <w:p w14:paraId="4230616F">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4</w:t>
      </w:r>
      <w:r>
        <w:rPr>
          <w:rFonts w:hint="eastAsia" w:ascii="宋体" w:hAnsi="宋体" w:cs="宋体"/>
          <w:sz w:val="24"/>
          <w:szCs w:val="24"/>
          <w:highlight w:val="none"/>
        </w:rPr>
        <w:t>.</w:t>
      </w:r>
      <w:r>
        <w:rPr>
          <w:rFonts w:ascii="宋体" w:hAnsi="宋体" w:cs="宋体"/>
          <w:sz w:val="24"/>
          <w:szCs w:val="24"/>
          <w:highlight w:val="none"/>
        </w:rPr>
        <w:t>6</w:t>
      </w:r>
      <w:r>
        <w:rPr>
          <w:rFonts w:hint="eastAsia" w:ascii="宋体" w:hAnsi="宋体" w:cs="宋体"/>
          <w:sz w:val="24"/>
          <w:szCs w:val="24"/>
          <w:highlight w:val="none"/>
        </w:rPr>
        <w:t>水质超标的处理，如果由于乙方原因导致出水水质超标引起的第三方侵权纠纷或环保部门依据环境保护法律法规做出的处理，均由乙方负责解决。</w:t>
      </w:r>
    </w:p>
    <w:p w14:paraId="17B00F3B">
      <w:pPr>
        <w:pStyle w:val="4"/>
        <w:spacing w:line="240" w:lineRule="auto"/>
        <w:rPr>
          <w:rFonts w:hint="eastAsia" w:ascii="宋体" w:hAnsi="宋体" w:cs="宋体"/>
          <w:sz w:val="24"/>
          <w:szCs w:val="24"/>
          <w:highlight w:val="none"/>
        </w:rPr>
      </w:pPr>
      <w:r>
        <w:rPr>
          <w:rFonts w:hint="eastAsia" w:ascii="宋体" w:hAnsi="宋体" w:cs="宋体"/>
          <w:sz w:val="24"/>
          <w:szCs w:val="24"/>
          <w:highlight w:val="none"/>
        </w:rPr>
        <w:t>第1</w:t>
      </w:r>
      <w:r>
        <w:rPr>
          <w:rFonts w:ascii="宋体" w:hAnsi="宋体" w:cs="宋体"/>
          <w:sz w:val="24"/>
          <w:szCs w:val="24"/>
          <w:highlight w:val="none"/>
        </w:rPr>
        <w:t>5</w:t>
      </w:r>
      <w:r>
        <w:rPr>
          <w:rFonts w:hint="eastAsia" w:ascii="宋体" w:hAnsi="宋体" w:cs="宋体"/>
          <w:sz w:val="24"/>
          <w:szCs w:val="24"/>
          <w:highlight w:val="none"/>
        </w:rPr>
        <w:t>条 运营管理服务费</w:t>
      </w:r>
    </w:p>
    <w:p w14:paraId="4847E379">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5</w:t>
      </w:r>
      <w:r>
        <w:rPr>
          <w:rFonts w:hint="eastAsia" w:ascii="宋体" w:hAnsi="宋体" w:cs="宋体"/>
          <w:sz w:val="24"/>
          <w:szCs w:val="24"/>
          <w:highlight w:val="none"/>
        </w:rPr>
        <w:t>.1榆佳经济技术开发区两厂（场）运营管理项目服务费包括：厂内生产项目药剂费、设备、设施维修保养费、人员工资及福利费、生产办公费、冬季取暖费及其它费用等全部</w:t>
      </w:r>
      <w:r>
        <w:rPr>
          <w:rFonts w:hint="eastAsia" w:ascii="宋体" w:hAnsi="宋体" w:cs="宋体"/>
          <w:sz w:val="24"/>
          <w:szCs w:val="24"/>
          <w:highlight w:val="none"/>
          <w:lang w:val="en-US" w:eastAsia="zh-CN"/>
        </w:rPr>
        <w:t>运行管理</w:t>
      </w:r>
      <w:r>
        <w:rPr>
          <w:rFonts w:hint="eastAsia" w:ascii="宋体" w:hAnsi="宋体" w:cs="宋体"/>
          <w:sz w:val="24"/>
          <w:szCs w:val="24"/>
          <w:highlight w:val="none"/>
        </w:rPr>
        <w:t>费用。</w:t>
      </w:r>
    </w:p>
    <w:p w14:paraId="2C2BB06D">
      <w:pPr>
        <w:spacing w:line="240" w:lineRule="auto"/>
        <w:ind w:firstLine="480" w:firstLineChars="200"/>
        <w:rPr>
          <w:rFonts w:hint="eastAsia"/>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5</w:t>
      </w:r>
      <w:r>
        <w:rPr>
          <w:rFonts w:hint="eastAsia" w:ascii="宋体" w:hAnsi="宋体" w:cs="宋体"/>
          <w:sz w:val="24"/>
          <w:szCs w:val="24"/>
          <w:highlight w:val="none"/>
        </w:rPr>
        <w:t>.2 根据乙方委托运营方案，乙方必须遵循《中华人民共和国劳动法》及用人标准，人员工资及福利不得低于社会平均工资，不得拖欠。</w:t>
      </w:r>
    </w:p>
    <w:p w14:paraId="7C75077E">
      <w:pPr>
        <w:pStyle w:val="4"/>
        <w:spacing w:line="240" w:lineRule="auto"/>
        <w:rPr>
          <w:rFonts w:hint="eastAsia" w:ascii="宋体" w:hAnsi="宋体" w:cs="宋体"/>
          <w:sz w:val="24"/>
          <w:szCs w:val="24"/>
          <w:highlight w:val="none"/>
        </w:rPr>
      </w:pPr>
      <w:r>
        <w:rPr>
          <w:rFonts w:hint="eastAsia" w:ascii="宋体" w:hAnsi="宋体" w:cs="宋体"/>
          <w:sz w:val="24"/>
          <w:szCs w:val="24"/>
          <w:highlight w:val="none"/>
        </w:rPr>
        <w:t>第1</w:t>
      </w:r>
      <w:r>
        <w:rPr>
          <w:rFonts w:ascii="宋体" w:hAnsi="宋体" w:cs="宋体"/>
          <w:sz w:val="24"/>
          <w:szCs w:val="24"/>
          <w:highlight w:val="none"/>
        </w:rPr>
        <w:t>6</w:t>
      </w:r>
      <w:r>
        <w:rPr>
          <w:rFonts w:hint="eastAsia" w:ascii="宋体" w:hAnsi="宋体" w:cs="宋体"/>
          <w:sz w:val="24"/>
          <w:szCs w:val="24"/>
          <w:highlight w:val="none"/>
        </w:rPr>
        <w:t>条 两厂（场）运营管理服务费的支付</w:t>
      </w:r>
    </w:p>
    <w:p w14:paraId="1EC7369E">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6</w:t>
      </w:r>
      <w:r>
        <w:rPr>
          <w:rFonts w:hint="eastAsia" w:ascii="宋体" w:hAnsi="宋体" w:cs="宋体"/>
          <w:sz w:val="24"/>
          <w:szCs w:val="24"/>
          <w:highlight w:val="none"/>
        </w:rPr>
        <w:t>.1</w:t>
      </w:r>
      <w:r>
        <w:rPr>
          <w:rFonts w:ascii="宋体" w:hAnsi="宋体" w:cs="宋体"/>
          <w:sz w:val="24"/>
          <w:szCs w:val="24"/>
          <w:highlight w:val="none"/>
        </w:rPr>
        <w:t xml:space="preserve"> </w:t>
      </w:r>
      <w:r>
        <w:rPr>
          <w:rFonts w:hint="eastAsia" w:ascii="宋体" w:hAnsi="宋体" w:cs="宋体"/>
          <w:sz w:val="24"/>
          <w:szCs w:val="24"/>
          <w:highlight w:val="none"/>
        </w:rPr>
        <w:t>运营管理</w:t>
      </w:r>
      <w:r>
        <w:rPr>
          <w:rFonts w:ascii="宋体" w:hAnsi="宋体" w:cs="宋体"/>
          <w:sz w:val="24"/>
          <w:szCs w:val="24"/>
          <w:highlight w:val="none"/>
        </w:rPr>
        <w:t>服务费</w:t>
      </w:r>
      <w:r>
        <w:rPr>
          <w:rFonts w:hint="eastAsia" w:ascii="宋体" w:hAnsi="宋体" w:cs="宋体"/>
          <w:sz w:val="24"/>
          <w:szCs w:val="24"/>
          <w:highlight w:val="none"/>
        </w:rPr>
        <w:t>。</w:t>
      </w:r>
    </w:p>
    <w:p w14:paraId="21095608">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本项目</w:t>
      </w:r>
      <w:r>
        <w:rPr>
          <w:rFonts w:ascii="宋体" w:hAnsi="宋体" w:cs="宋体"/>
          <w:sz w:val="24"/>
          <w:szCs w:val="24"/>
          <w:highlight w:val="none"/>
        </w:rPr>
        <w:t>运营管理服务费为</w:t>
      </w:r>
      <w:r>
        <w:rPr>
          <w:rFonts w:hint="eastAsia" w:ascii="宋体" w:hAnsi="宋体" w:cs="宋体"/>
          <w:sz w:val="24"/>
          <w:szCs w:val="24"/>
          <w:highlight w:val="none"/>
        </w:rPr>
        <w:t>人民币</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元</w:t>
      </w:r>
      <w:r>
        <w:rPr>
          <w:rFonts w:hint="eastAsia" w:ascii="宋体" w:hAnsi="宋体" w:cs="宋体"/>
          <w:sz w:val="24"/>
          <w:szCs w:val="24"/>
          <w:highlight w:val="none"/>
        </w:rPr>
        <w:t>，</w:t>
      </w:r>
      <w:r>
        <w:rPr>
          <w:rFonts w:hint="default" w:ascii="宋体" w:hAnsi="宋体" w:eastAsia="宋体" w:cs="宋体"/>
          <w:sz w:val="24"/>
          <w:szCs w:val="24"/>
          <w:highlight w:val="none"/>
          <w:lang w:val="en-US" w:eastAsia="en-US"/>
        </w:rPr>
        <w:t>大写金额</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sz w:val="24"/>
          <w:szCs w:val="24"/>
          <w:highlight w:val="none"/>
        </w:rPr>
        <w:t>。</w:t>
      </w:r>
    </w:p>
    <w:p w14:paraId="709F1041">
      <w:pPr>
        <w:pStyle w:val="3"/>
        <w:spacing w:line="240" w:lineRule="auto"/>
        <w:rPr>
          <w:rFonts w:hint="eastAsia" w:ascii="宋体" w:hAnsi="宋体" w:cs="宋体"/>
          <w:sz w:val="24"/>
          <w:szCs w:val="24"/>
          <w:highlight w:val="none"/>
        </w:rPr>
      </w:pPr>
      <w:r>
        <w:rPr>
          <w:rFonts w:hint="eastAsia" w:ascii="宋体" w:hAnsi="宋体" w:cs="宋体"/>
          <w:sz w:val="24"/>
          <w:szCs w:val="24"/>
          <w:highlight w:val="none"/>
        </w:rPr>
        <w:t>第五部分 设备设施的更新、维修</w:t>
      </w:r>
    </w:p>
    <w:p w14:paraId="5A8A1BB4">
      <w:pPr>
        <w:pStyle w:val="4"/>
        <w:spacing w:line="240" w:lineRule="auto"/>
        <w:rPr>
          <w:rFonts w:hint="eastAsia" w:ascii="宋体" w:hAnsi="宋体" w:cs="宋体"/>
          <w:sz w:val="24"/>
          <w:szCs w:val="24"/>
          <w:highlight w:val="none"/>
        </w:rPr>
      </w:pPr>
      <w:r>
        <w:rPr>
          <w:rFonts w:hint="eastAsia" w:ascii="宋体" w:hAnsi="宋体" w:cs="宋体"/>
          <w:sz w:val="24"/>
          <w:szCs w:val="24"/>
          <w:highlight w:val="none"/>
        </w:rPr>
        <w:t>第1</w:t>
      </w:r>
      <w:r>
        <w:rPr>
          <w:rFonts w:ascii="宋体" w:hAnsi="宋体" w:cs="宋体"/>
          <w:sz w:val="24"/>
          <w:szCs w:val="24"/>
          <w:highlight w:val="none"/>
        </w:rPr>
        <w:t>7</w:t>
      </w:r>
      <w:r>
        <w:rPr>
          <w:rFonts w:hint="eastAsia" w:ascii="宋体" w:hAnsi="宋体" w:cs="宋体"/>
          <w:sz w:val="24"/>
          <w:szCs w:val="24"/>
          <w:highlight w:val="none"/>
        </w:rPr>
        <w:t>条设备设施的更新、维修</w:t>
      </w:r>
    </w:p>
    <w:p w14:paraId="7B718252">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7</w:t>
      </w:r>
      <w:r>
        <w:rPr>
          <w:rFonts w:hint="eastAsia" w:ascii="宋体" w:hAnsi="宋体" w:cs="宋体"/>
          <w:sz w:val="24"/>
          <w:szCs w:val="24"/>
          <w:highlight w:val="none"/>
        </w:rPr>
        <w:t>.1 设备设施的更新：因设备达到使用年限或设备本身质量问题而造成的更换费用由甲方承担，乙方运营期间添置的与两厂（场）工艺无关的办公用品等费用由乙方负责，运营期满后由乙方自行处理。</w:t>
      </w:r>
    </w:p>
    <w:p w14:paraId="553FBBD7">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7</w:t>
      </w:r>
      <w:r>
        <w:rPr>
          <w:rFonts w:hint="eastAsia" w:ascii="宋体" w:hAnsi="宋体" w:cs="宋体"/>
          <w:sz w:val="24"/>
          <w:szCs w:val="24"/>
          <w:highlight w:val="none"/>
        </w:rPr>
        <w:t>.2设备设施的维修：运营期限内两厂（场）设备、设施、厂区日常维修养护费用乙方承担。</w:t>
      </w:r>
    </w:p>
    <w:p w14:paraId="67DC8941">
      <w:pPr>
        <w:spacing w:line="240" w:lineRule="auto"/>
        <w:ind w:firstLine="480" w:firstLineChars="200"/>
        <w:rPr>
          <w:rFonts w:hint="eastAsia"/>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7</w:t>
      </w:r>
      <w:r>
        <w:rPr>
          <w:rFonts w:hint="eastAsia" w:ascii="宋体" w:hAnsi="宋体" w:cs="宋体"/>
          <w:sz w:val="24"/>
          <w:szCs w:val="24"/>
          <w:highlight w:val="none"/>
        </w:rPr>
        <w:t>.3若乙方运营人员未按照甲方要求对设备、设施进行维修维护，甲方有权对乙方进行考核，根据情节严重程度罚款</w:t>
      </w:r>
      <w:r>
        <w:rPr>
          <w:rFonts w:hint="eastAsia" w:ascii="宋体" w:hAnsi="宋体" w:cs="宋体"/>
          <w:sz w:val="24"/>
          <w:szCs w:val="24"/>
          <w:highlight w:val="none"/>
          <w:lang w:val="en-US" w:eastAsia="zh-CN"/>
        </w:rPr>
        <w:t>5000</w:t>
      </w:r>
      <w:r>
        <w:rPr>
          <w:rFonts w:hint="eastAsia" w:ascii="宋体" w:hAnsi="宋体" w:cs="宋体"/>
          <w:sz w:val="24"/>
          <w:szCs w:val="24"/>
          <w:highlight w:val="none"/>
        </w:rPr>
        <w:t>—</w:t>
      </w:r>
      <w:r>
        <w:rPr>
          <w:rFonts w:hint="eastAsia" w:ascii="宋体" w:hAnsi="宋体" w:cs="宋体"/>
          <w:sz w:val="24"/>
          <w:szCs w:val="24"/>
          <w:highlight w:val="none"/>
          <w:lang w:val="en-US" w:eastAsia="zh-CN"/>
        </w:rPr>
        <w:t>20000</w:t>
      </w:r>
      <w:r>
        <w:rPr>
          <w:rFonts w:hint="eastAsia" w:ascii="宋体" w:hAnsi="宋体" w:cs="宋体"/>
          <w:sz w:val="24"/>
          <w:szCs w:val="24"/>
          <w:highlight w:val="none"/>
        </w:rPr>
        <w:t>元不等。</w:t>
      </w:r>
    </w:p>
    <w:p w14:paraId="5E2B90B7">
      <w:pPr>
        <w:pStyle w:val="3"/>
        <w:spacing w:line="240" w:lineRule="auto"/>
        <w:rPr>
          <w:rFonts w:hint="eastAsia"/>
          <w:sz w:val="24"/>
          <w:szCs w:val="24"/>
          <w:highlight w:val="none"/>
        </w:rPr>
      </w:pPr>
      <w:r>
        <w:rPr>
          <w:rFonts w:hint="eastAsia"/>
          <w:sz w:val="24"/>
          <w:szCs w:val="24"/>
          <w:highlight w:val="none"/>
        </w:rPr>
        <w:t>第六部分 运营期满后项目移交事宜、生效</w:t>
      </w:r>
    </w:p>
    <w:p w14:paraId="2827FA7A">
      <w:pPr>
        <w:pStyle w:val="4"/>
        <w:spacing w:line="240" w:lineRule="auto"/>
        <w:rPr>
          <w:rFonts w:hint="eastAsia" w:ascii="宋体" w:hAnsi="宋体" w:cs="宋体"/>
          <w:sz w:val="24"/>
          <w:szCs w:val="24"/>
          <w:highlight w:val="none"/>
        </w:rPr>
      </w:pPr>
      <w:r>
        <w:rPr>
          <w:rFonts w:hint="eastAsia" w:ascii="宋体" w:hAnsi="宋体" w:cs="宋体"/>
          <w:sz w:val="24"/>
          <w:szCs w:val="24"/>
          <w:highlight w:val="none"/>
        </w:rPr>
        <w:t>第1</w:t>
      </w:r>
      <w:r>
        <w:rPr>
          <w:rFonts w:ascii="宋体" w:hAnsi="宋体" w:cs="宋体"/>
          <w:sz w:val="24"/>
          <w:szCs w:val="24"/>
          <w:highlight w:val="none"/>
        </w:rPr>
        <w:t>8</w:t>
      </w:r>
      <w:r>
        <w:rPr>
          <w:rFonts w:hint="eastAsia" w:ascii="宋体" w:hAnsi="宋体" w:cs="宋体"/>
          <w:sz w:val="24"/>
          <w:szCs w:val="24"/>
          <w:highlight w:val="none"/>
        </w:rPr>
        <w:t>条 运营</w:t>
      </w:r>
      <w:r>
        <w:rPr>
          <w:rFonts w:ascii="宋体" w:hAnsi="宋体" w:cs="宋体"/>
          <w:sz w:val="24"/>
          <w:szCs w:val="24"/>
          <w:highlight w:val="none"/>
        </w:rPr>
        <w:t>期满后</w:t>
      </w:r>
      <w:r>
        <w:rPr>
          <w:rFonts w:hint="eastAsia" w:ascii="宋体" w:hAnsi="宋体" w:cs="宋体"/>
          <w:sz w:val="24"/>
          <w:szCs w:val="24"/>
          <w:highlight w:val="none"/>
        </w:rPr>
        <w:t>项目的移交</w:t>
      </w:r>
    </w:p>
    <w:p w14:paraId="411D0660">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8</w:t>
      </w:r>
      <w:r>
        <w:rPr>
          <w:rFonts w:hint="eastAsia" w:ascii="宋体" w:hAnsi="宋体" w:cs="宋体"/>
          <w:sz w:val="24"/>
          <w:szCs w:val="24"/>
          <w:highlight w:val="none"/>
        </w:rPr>
        <w:t>.1 移交日期：本项目运营期满的第一个月内。</w:t>
      </w:r>
    </w:p>
    <w:p w14:paraId="296DCA70">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8</w:t>
      </w:r>
      <w:r>
        <w:rPr>
          <w:rFonts w:hint="eastAsia" w:ascii="宋体" w:hAnsi="宋体" w:cs="宋体"/>
          <w:sz w:val="24"/>
          <w:szCs w:val="24"/>
          <w:highlight w:val="none"/>
        </w:rPr>
        <w:t>.2</w:t>
      </w:r>
      <w:r>
        <w:rPr>
          <w:rFonts w:ascii="宋体" w:hAnsi="宋体" w:cs="宋体"/>
          <w:sz w:val="24"/>
          <w:szCs w:val="24"/>
          <w:highlight w:val="none"/>
        </w:rPr>
        <w:t xml:space="preserve"> </w:t>
      </w:r>
      <w:r>
        <w:rPr>
          <w:rFonts w:hint="eastAsia" w:ascii="宋体" w:hAnsi="宋体" w:cs="宋体"/>
          <w:sz w:val="24"/>
          <w:szCs w:val="24"/>
          <w:highlight w:val="none"/>
        </w:rPr>
        <w:t>乙方无偿移交给甲方或其指定的执行机构，</w:t>
      </w:r>
      <w:r>
        <w:rPr>
          <w:rFonts w:ascii="宋体" w:hAnsi="宋体" w:cs="宋体"/>
          <w:sz w:val="24"/>
          <w:szCs w:val="24"/>
          <w:highlight w:val="none"/>
        </w:rPr>
        <w:t>移交范围包括</w:t>
      </w:r>
      <w:r>
        <w:rPr>
          <w:rFonts w:hint="eastAsia" w:ascii="宋体" w:hAnsi="宋体" w:cs="宋体"/>
          <w:sz w:val="24"/>
          <w:szCs w:val="24"/>
          <w:highlight w:val="none"/>
        </w:rPr>
        <w:t>：</w:t>
      </w:r>
    </w:p>
    <w:p w14:paraId="25EFA22D">
      <w:pPr>
        <w:spacing w:line="240" w:lineRule="auto"/>
        <w:ind w:firstLine="435"/>
        <w:rPr>
          <w:rFonts w:hint="eastAsia" w:ascii="宋体" w:hAnsi="宋体" w:cs="宋体"/>
          <w:sz w:val="24"/>
          <w:szCs w:val="24"/>
          <w:highlight w:val="none"/>
        </w:rPr>
      </w:pPr>
      <w:r>
        <w:rPr>
          <w:rFonts w:hint="eastAsia" w:ascii="宋体" w:hAnsi="宋体" w:cs="宋体"/>
          <w:sz w:val="24"/>
          <w:szCs w:val="24"/>
          <w:highlight w:val="none"/>
        </w:rPr>
        <w:t>（1）乙方对本项目设施的所有权利和利益，包括两厂（场）项目设施的建筑物和构筑物；与污水处理项目设施使用相关的所有机械、设备和零配件以及其它动产；运营和维护项目设施所要求的所有技术和技术诀窍、知识产权等无形资产。</w:t>
      </w:r>
    </w:p>
    <w:p w14:paraId="2ADDF111">
      <w:pPr>
        <w:spacing w:line="240" w:lineRule="auto"/>
        <w:ind w:firstLine="435"/>
        <w:rPr>
          <w:rFonts w:hint="eastAsia" w:ascii="宋体" w:hAnsi="宋体" w:cs="宋体"/>
          <w:sz w:val="24"/>
          <w:szCs w:val="24"/>
          <w:highlight w:val="none"/>
        </w:rPr>
      </w:pPr>
      <w:r>
        <w:rPr>
          <w:rFonts w:hint="eastAsia" w:ascii="宋体" w:hAnsi="宋体" w:cs="宋体"/>
          <w:sz w:val="24"/>
          <w:szCs w:val="24"/>
          <w:highlight w:val="none"/>
        </w:rPr>
        <w:t>（2）在用的各类管理规章和运营手册，包括专有技术、生产档案、技术档案、文秘档案、图书资料、设计图纸、文件和其它资料，以使两厂（场）项目能平稳正常继续运营。</w:t>
      </w:r>
    </w:p>
    <w:p w14:paraId="1A478718">
      <w:pPr>
        <w:spacing w:line="240" w:lineRule="auto"/>
        <w:ind w:firstLine="435"/>
        <w:rPr>
          <w:rFonts w:hint="eastAsia" w:ascii="宋体" w:hAnsi="宋体" w:cs="宋体"/>
          <w:sz w:val="24"/>
          <w:szCs w:val="24"/>
          <w:highlight w:val="none"/>
        </w:rPr>
      </w:pPr>
      <w:r>
        <w:rPr>
          <w:rFonts w:hint="eastAsia" w:ascii="宋体" w:hAnsi="宋体" w:cs="宋体"/>
          <w:sz w:val="24"/>
          <w:szCs w:val="24"/>
          <w:highlight w:val="none"/>
        </w:rPr>
        <w:t>（3）移交前甲方和乙方应会谈并商定本项目移交的详尽程序，在会谈中乙方应提交将要移交的建筑、设备、设施和物品清单以及负责移交代表名单，甲方应告知乙方其负责接受移交的代表名单。</w:t>
      </w:r>
    </w:p>
    <w:p w14:paraId="421D607D">
      <w:pPr>
        <w:pStyle w:val="4"/>
        <w:spacing w:line="240" w:lineRule="auto"/>
        <w:rPr>
          <w:rFonts w:hint="eastAsia" w:ascii="宋体" w:hAnsi="宋体" w:cs="宋体"/>
          <w:sz w:val="24"/>
          <w:szCs w:val="24"/>
          <w:highlight w:val="none"/>
        </w:rPr>
      </w:pPr>
      <w:r>
        <w:rPr>
          <w:rFonts w:hint="eastAsia" w:ascii="宋体" w:hAnsi="宋体" w:cs="宋体"/>
          <w:sz w:val="24"/>
          <w:szCs w:val="24"/>
          <w:highlight w:val="none"/>
        </w:rPr>
        <w:t>第</w:t>
      </w:r>
      <w:r>
        <w:rPr>
          <w:rFonts w:ascii="宋体" w:hAnsi="宋体" w:cs="宋体"/>
          <w:sz w:val="24"/>
          <w:szCs w:val="24"/>
          <w:highlight w:val="none"/>
        </w:rPr>
        <w:t>19</w:t>
      </w:r>
      <w:r>
        <w:rPr>
          <w:rFonts w:hint="eastAsia" w:ascii="宋体" w:hAnsi="宋体" w:cs="宋体"/>
          <w:sz w:val="24"/>
          <w:szCs w:val="24"/>
          <w:highlight w:val="none"/>
        </w:rPr>
        <w:t>条 项目移交后的有关事宜</w:t>
      </w:r>
    </w:p>
    <w:p w14:paraId="7E872828">
      <w:pPr>
        <w:spacing w:line="240" w:lineRule="auto"/>
        <w:ind w:firstLine="480" w:firstLineChars="200"/>
        <w:rPr>
          <w:rFonts w:hint="eastAsia" w:ascii="宋体" w:hAnsi="宋体" w:cs="宋体"/>
          <w:sz w:val="24"/>
          <w:szCs w:val="24"/>
          <w:highlight w:val="none"/>
        </w:rPr>
      </w:pPr>
      <w:r>
        <w:rPr>
          <w:rFonts w:ascii="宋体" w:hAnsi="宋体" w:cs="宋体"/>
          <w:sz w:val="24"/>
          <w:szCs w:val="24"/>
          <w:highlight w:val="none"/>
        </w:rPr>
        <w:t>19</w:t>
      </w:r>
      <w:r>
        <w:rPr>
          <w:rFonts w:hint="eastAsia" w:ascii="宋体" w:hAnsi="宋体" w:cs="宋体"/>
          <w:sz w:val="24"/>
          <w:szCs w:val="24"/>
          <w:highlight w:val="none"/>
        </w:rPr>
        <w:t>.1项目移交后半年内，如两厂（场）设备、设施出现故障影响两厂（场）的正常运行时，乙方接到甲方的通知后应免费为该项目进行技术服务。</w:t>
      </w:r>
    </w:p>
    <w:p w14:paraId="2C71C5A9">
      <w:pPr>
        <w:spacing w:line="240" w:lineRule="auto"/>
        <w:ind w:firstLine="480" w:firstLineChars="200"/>
        <w:rPr>
          <w:rFonts w:hint="eastAsia" w:ascii="宋体" w:hAnsi="宋体" w:cs="宋体"/>
          <w:sz w:val="24"/>
          <w:szCs w:val="24"/>
          <w:highlight w:val="none"/>
        </w:rPr>
      </w:pPr>
      <w:r>
        <w:rPr>
          <w:rFonts w:ascii="宋体" w:hAnsi="宋体" w:cs="宋体"/>
          <w:sz w:val="24"/>
          <w:szCs w:val="24"/>
          <w:highlight w:val="none"/>
        </w:rPr>
        <w:t>19</w:t>
      </w:r>
      <w:r>
        <w:rPr>
          <w:rFonts w:hint="eastAsia" w:ascii="宋体" w:hAnsi="宋体" w:cs="宋体"/>
          <w:sz w:val="24"/>
          <w:szCs w:val="24"/>
          <w:highlight w:val="none"/>
        </w:rPr>
        <w:t>.2甲方或其指定的执行机构进行本项目的管理、运营、维护和修理时，若需要乙方提供技术支持、维修服务乙方不能拒绝，移交后</w:t>
      </w:r>
      <w:r>
        <w:rPr>
          <w:rFonts w:ascii="宋体" w:hAnsi="宋体" w:cs="宋体"/>
          <w:sz w:val="24"/>
          <w:szCs w:val="24"/>
          <w:highlight w:val="none"/>
        </w:rPr>
        <w:t>半年</w:t>
      </w:r>
      <w:r>
        <w:rPr>
          <w:rFonts w:hint="eastAsia" w:ascii="宋体" w:hAnsi="宋体" w:cs="宋体"/>
          <w:sz w:val="24"/>
          <w:szCs w:val="24"/>
          <w:highlight w:val="none"/>
        </w:rPr>
        <w:t>以外</w:t>
      </w:r>
      <w:r>
        <w:rPr>
          <w:rFonts w:ascii="宋体" w:hAnsi="宋体" w:cs="宋体"/>
          <w:sz w:val="24"/>
          <w:szCs w:val="24"/>
          <w:highlight w:val="none"/>
        </w:rPr>
        <w:t>的服务乙方</w:t>
      </w:r>
      <w:r>
        <w:rPr>
          <w:rFonts w:hint="eastAsia" w:ascii="宋体" w:hAnsi="宋体" w:cs="宋体"/>
          <w:sz w:val="24"/>
          <w:szCs w:val="24"/>
          <w:highlight w:val="none"/>
        </w:rPr>
        <w:t>有权</w:t>
      </w:r>
      <w:r>
        <w:rPr>
          <w:rFonts w:ascii="宋体" w:hAnsi="宋体" w:cs="宋体"/>
          <w:sz w:val="24"/>
          <w:szCs w:val="24"/>
          <w:highlight w:val="none"/>
        </w:rPr>
        <w:t>收取合理的服务费用。</w:t>
      </w:r>
    </w:p>
    <w:p w14:paraId="636C68A0">
      <w:pPr>
        <w:spacing w:line="240" w:lineRule="auto"/>
        <w:ind w:firstLine="480" w:firstLineChars="200"/>
        <w:rPr>
          <w:rFonts w:hint="eastAsia" w:ascii="宋体" w:hAnsi="宋体" w:cs="宋体"/>
          <w:sz w:val="24"/>
          <w:szCs w:val="24"/>
          <w:highlight w:val="none"/>
        </w:rPr>
      </w:pPr>
      <w:r>
        <w:rPr>
          <w:rFonts w:ascii="宋体" w:hAnsi="宋体" w:cs="宋体"/>
          <w:sz w:val="24"/>
          <w:szCs w:val="24"/>
          <w:highlight w:val="none"/>
        </w:rPr>
        <w:t>19</w:t>
      </w:r>
      <w:r>
        <w:rPr>
          <w:rFonts w:hint="eastAsia" w:ascii="宋体" w:hAnsi="宋体" w:cs="宋体"/>
          <w:sz w:val="24"/>
          <w:szCs w:val="24"/>
          <w:highlight w:val="none"/>
        </w:rPr>
        <w:t>.3乙方有义务将所有承包商、制造商和供应商的尚未期满的担保及保证在可转让的范围内分别无偿转让给甲方，并促成供应商以过去同样的优惠价格供应设备，在移交时，甲方有权选择是否接受合同延续和承担由此发生的一切责任。</w:t>
      </w:r>
    </w:p>
    <w:p w14:paraId="4BE4A330">
      <w:pPr>
        <w:spacing w:line="240" w:lineRule="auto"/>
        <w:ind w:firstLine="480" w:firstLineChars="200"/>
        <w:rPr>
          <w:rFonts w:hint="eastAsia" w:ascii="宋体" w:hAnsi="宋体" w:cs="宋体"/>
          <w:sz w:val="24"/>
          <w:szCs w:val="24"/>
          <w:highlight w:val="none"/>
        </w:rPr>
      </w:pPr>
      <w:r>
        <w:rPr>
          <w:rFonts w:ascii="宋体" w:hAnsi="宋体" w:cs="宋体"/>
          <w:sz w:val="24"/>
          <w:szCs w:val="24"/>
          <w:highlight w:val="none"/>
        </w:rPr>
        <w:t>19</w:t>
      </w:r>
      <w:r>
        <w:rPr>
          <w:rFonts w:hint="eastAsia" w:ascii="宋体" w:hAnsi="宋体" w:cs="宋体"/>
          <w:sz w:val="24"/>
          <w:szCs w:val="24"/>
          <w:highlight w:val="none"/>
        </w:rPr>
        <w:t>.4本项目的移交日之后，如果甲方计划再次以运营权的方式将本项目运营权授予新的运营者，若采用协商程序或方式挑选新的运营者时，乙方应有权参与；</w:t>
      </w:r>
    </w:p>
    <w:p w14:paraId="04C02F05">
      <w:pPr>
        <w:pStyle w:val="4"/>
        <w:spacing w:line="240" w:lineRule="auto"/>
        <w:rPr>
          <w:rFonts w:hint="eastAsia" w:ascii="宋体" w:hAnsi="宋体" w:cs="宋体"/>
          <w:sz w:val="24"/>
          <w:szCs w:val="24"/>
          <w:highlight w:val="none"/>
        </w:rPr>
      </w:pPr>
      <w:r>
        <w:rPr>
          <w:rFonts w:hint="eastAsia" w:ascii="宋体" w:hAnsi="宋体" w:cs="宋体"/>
          <w:sz w:val="24"/>
          <w:szCs w:val="24"/>
          <w:highlight w:val="none"/>
        </w:rPr>
        <w:t>第2</w:t>
      </w:r>
      <w:r>
        <w:rPr>
          <w:rFonts w:ascii="宋体" w:hAnsi="宋体" w:cs="宋体"/>
          <w:sz w:val="24"/>
          <w:szCs w:val="24"/>
          <w:highlight w:val="none"/>
        </w:rPr>
        <w:t>0</w:t>
      </w:r>
      <w:r>
        <w:rPr>
          <w:rFonts w:hint="eastAsia" w:ascii="宋体" w:hAnsi="宋体" w:cs="宋体"/>
          <w:sz w:val="24"/>
          <w:szCs w:val="24"/>
          <w:highlight w:val="none"/>
        </w:rPr>
        <w:t>条 违约</w:t>
      </w:r>
    </w:p>
    <w:p w14:paraId="7F1E583A">
      <w:pPr>
        <w:pStyle w:val="10"/>
        <w:spacing w:line="240" w:lineRule="auto"/>
        <w:ind w:firstLine="560"/>
        <w:rPr>
          <w:rFonts w:hint="eastAsia" w:ascii="宋体" w:hAnsi="宋体" w:cs="宋体"/>
          <w:bCs w:val="0"/>
          <w:kern w:val="2"/>
          <w:sz w:val="24"/>
          <w:szCs w:val="24"/>
          <w:highlight w:val="none"/>
        </w:rPr>
      </w:pPr>
      <w:r>
        <w:rPr>
          <w:rFonts w:hint="eastAsia" w:ascii="宋体" w:hAnsi="宋体" w:cs="宋体"/>
          <w:bCs w:val="0"/>
          <w:kern w:val="2"/>
          <w:sz w:val="24"/>
          <w:szCs w:val="24"/>
          <w:highlight w:val="none"/>
        </w:rPr>
        <w:t>本合同期满后，若甲方继续委托运营，乙方在同等条件下有优先权。</w:t>
      </w:r>
    </w:p>
    <w:p w14:paraId="2D0A43EE">
      <w:pPr>
        <w:pStyle w:val="4"/>
        <w:spacing w:line="240" w:lineRule="auto"/>
        <w:rPr>
          <w:rFonts w:hint="eastAsia" w:ascii="宋体" w:hAnsi="宋体" w:cs="宋体"/>
          <w:sz w:val="24"/>
          <w:szCs w:val="24"/>
          <w:highlight w:val="none"/>
        </w:rPr>
      </w:pPr>
      <w:r>
        <w:rPr>
          <w:rFonts w:hint="eastAsia" w:ascii="宋体" w:hAnsi="宋体" w:cs="宋体"/>
          <w:sz w:val="24"/>
          <w:szCs w:val="24"/>
          <w:highlight w:val="none"/>
        </w:rPr>
        <w:t>第21条 违约</w:t>
      </w:r>
    </w:p>
    <w:p w14:paraId="152AE3EF">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21.1.任何一方不履行本协议义务或履行本协议不符合约定条件的，其行为即构成违约，但本协议规定的不可抗力事件导致发生的除外。</w:t>
      </w:r>
    </w:p>
    <w:p w14:paraId="475E1F3E">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21.2发生违约事件时，任何一方在收到对方的具体说明违约情况的书面通知后，如确认违约行为实际存在，则应在30日内或者对违约行为予以纠正并书面通知对方；如认为违约行为不存在，则应在3日内向对方提供书面异议或说明情况，在此情况下，双方应就此问题进行协商。</w:t>
      </w:r>
    </w:p>
    <w:p w14:paraId="085A1C33">
      <w:pPr>
        <w:pStyle w:val="4"/>
        <w:spacing w:line="240" w:lineRule="auto"/>
        <w:rPr>
          <w:rFonts w:hint="eastAsia" w:ascii="宋体" w:hAnsi="宋体" w:cs="宋体"/>
          <w:sz w:val="24"/>
          <w:szCs w:val="24"/>
          <w:highlight w:val="none"/>
        </w:rPr>
      </w:pPr>
      <w:r>
        <w:rPr>
          <w:rFonts w:hint="eastAsia" w:ascii="宋体" w:hAnsi="宋体" w:cs="宋体"/>
          <w:sz w:val="24"/>
          <w:szCs w:val="24"/>
          <w:highlight w:val="none"/>
        </w:rPr>
        <w:t>第22</w:t>
      </w:r>
      <w:r>
        <w:rPr>
          <w:rFonts w:ascii="宋体" w:hAnsi="宋体" w:cs="宋体"/>
          <w:sz w:val="24"/>
          <w:szCs w:val="24"/>
          <w:highlight w:val="none"/>
        </w:rPr>
        <w:t xml:space="preserve"> </w:t>
      </w:r>
      <w:r>
        <w:rPr>
          <w:rFonts w:hint="eastAsia" w:ascii="宋体" w:hAnsi="宋体" w:cs="宋体"/>
          <w:sz w:val="24"/>
          <w:szCs w:val="24"/>
          <w:highlight w:val="none"/>
        </w:rPr>
        <w:t>终止协议</w:t>
      </w:r>
    </w:p>
    <w:p w14:paraId="14332C94">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22.1终止协议：如果甲方或乙方中有一方严重违反协议，已导致协议无法履行时，则另一方可终止协议。</w:t>
      </w:r>
    </w:p>
    <w:p w14:paraId="187B9775">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22.2遇国家出台政策，导致委托运营服务无法进行，须终止本协议，则甲乙双方共同协商终止协议，在双方达成一致意见时协议方可终止。</w:t>
      </w:r>
    </w:p>
    <w:p w14:paraId="7DB39683">
      <w:pPr>
        <w:pStyle w:val="10"/>
        <w:spacing w:line="240" w:lineRule="auto"/>
        <w:ind w:firstLine="560"/>
        <w:rPr>
          <w:rFonts w:hint="eastAsia"/>
          <w:sz w:val="24"/>
          <w:szCs w:val="24"/>
          <w:highlight w:val="none"/>
        </w:rPr>
      </w:pPr>
      <w:r>
        <w:rPr>
          <w:rFonts w:hint="eastAsia"/>
          <w:sz w:val="24"/>
          <w:szCs w:val="24"/>
          <w:highlight w:val="none"/>
        </w:rPr>
        <w:t>22.3 如违反本协议第10.3</w:t>
      </w:r>
      <w:r>
        <w:rPr>
          <w:rFonts w:hint="eastAsia"/>
          <w:sz w:val="24"/>
          <w:szCs w:val="24"/>
          <w:highlight w:val="none"/>
          <w:lang w:val="en-US" w:eastAsia="zh-CN"/>
        </w:rPr>
        <w:t>.</w:t>
      </w:r>
      <w:r>
        <w:rPr>
          <w:rFonts w:hint="eastAsia"/>
          <w:sz w:val="24"/>
          <w:szCs w:val="24"/>
          <w:highlight w:val="none"/>
        </w:rPr>
        <w:t>条款时甲方可终止协议。</w:t>
      </w:r>
    </w:p>
    <w:p w14:paraId="6C1FB5DD">
      <w:pPr>
        <w:pStyle w:val="10"/>
        <w:spacing w:line="240" w:lineRule="auto"/>
        <w:ind w:firstLine="560"/>
        <w:rPr>
          <w:rFonts w:hint="eastAsia"/>
          <w:sz w:val="24"/>
          <w:szCs w:val="24"/>
          <w:highlight w:val="none"/>
        </w:rPr>
      </w:pPr>
      <w:r>
        <w:rPr>
          <w:rFonts w:hint="eastAsia" w:ascii="宋体" w:hAnsi="宋体" w:cs="宋体"/>
          <w:sz w:val="24"/>
          <w:szCs w:val="24"/>
          <w:highlight w:val="none"/>
        </w:rPr>
        <w:t>22.4本协议若有异议，可申请仲裁机关仲裁或者合同签订地人民法院诉讼解决。</w:t>
      </w:r>
    </w:p>
    <w:p w14:paraId="74F63AFA">
      <w:pPr>
        <w:pStyle w:val="4"/>
        <w:spacing w:line="240" w:lineRule="auto"/>
        <w:rPr>
          <w:rFonts w:hint="eastAsia" w:ascii="宋体" w:hAnsi="宋体" w:cs="宋体"/>
          <w:sz w:val="24"/>
          <w:szCs w:val="24"/>
          <w:highlight w:val="none"/>
        </w:rPr>
      </w:pPr>
      <w:r>
        <w:rPr>
          <w:rFonts w:hint="eastAsia" w:ascii="宋体" w:hAnsi="宋体" w:cs="宋体"/>
          <w:sz w:val="24"/>
          <w:szCs w:val="24"/>
          <w:highlight w:val="none"/>
        </w:rPr>
        <w:t>第23条 不可抗力</w:t>
      </w:r>
    </w:p>
    <w:p w14:paraId="268C7649">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23.1不可抗力：是指在签订本协议时不能合理预见的、对其后果不能克服和不能避免的事件或情形。</w:t>
      </w:r>
    </w:p>
    <w:p w14:paraId="7F615E29">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23.2不可抗力的通知：不可抗力情况导致一方不能履行全部或部分本协议义务，受影响当事方应在不可抗力情形消除后立即以书面形式通知对方。通知将陈述不可抗力情况发生的日期、性质、预计持续时间，对当事方履行义务影响的情况及当事方准备采取的环节措施。在通知发出之后的合理时间内，当事人应向另一方提交经公证机关出具的关于不可抗力情况的证明。</w:t>
      </w:r>
    </w:p>
    <w:p w14:paraId="2D01D399">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23.3发生不可抗力事件时，甲方必须自行承担由于不可抗力事件造成的支出和费用。</w:t>
      </w:r>
    </w:p>
    <w:p w14:paraId="42F4C8CD">
      <w:pPr>
        <w:pStyle w:val="4"/>
        <w:numPr>
          <w:ilvl w:val="0"/>
          <w:numId w:val="15"/>
        </w:numPr>
        <w:spacing w:line="240" w:lineRule="auto"/>
        <w:rPr>
          <w:rFonts w:hint="eastAsia"/>
          <w:sz w:val="24"/>
          <w:szCs w:val="24"/>
          <w:highlight w:val="none"/>
        </w:rPr>
      </w:pPr>
      <w:r>
        <w:rPr>
          <w:rFonts w:hint="eastAsia" w:ascii="宋体" w:hAnsi="宋体" w:cs="宋体"/>
          <w:sz w:val="24"/>
          <w:szCs w:val="24"/>
          <w:highlight w:val="none"/>
        </w:rPr>
        <w:t>其他</w:t>
      </w:r>
    </w:p>
    <w:p w14:paraId="577CC9FE">
      <w:pPr>
        <w:pStyle w:val="10"/>
        <w:spacing w:line="240" w:lineRule="auto"/>
        <w:ind w:firstLine="560"/>
        <w:rPr>
          <w:rFonts w:hint="eastAsia" w:ascii="宋体" w:hAnsi="宋体" w:cs="宋体"/>
          <w:bCs w:val="0"/>
          <w:kern w:val="2"/>
          <w:sz w:val="24"/>
          <w:szCs w:val="24"/>
          <w:highlight w:val="none"/>
        </w:rPr>
      </w:pPr>
      <w:r>
        <w:rPr>
          <w:rFonts w:hint="eastAsia" w:ascii="宋体" w:hAnsi="宋体" w:cs="宋体"/>
          <w:sz w:val="24"/>
          <w:szCs w:val="24"/>
          <w:highlight w:val="none"/>
        </w:rPr>
        <w:t>24.1</w:t>
      </w:r>
      <w:r>
        <w:rPr>
          <w:rFonts w:hint="eastAsia" w:ascii="宋体" w:hAnsi="宋体" w:cs="宋体"/>
          <w:bCs w:val="0"/>
          <w:kern w:val="2"/>
          <w:sz w:val="24"/>
          <w:szCs w:val="24"/>
          <w:highlight w:val="none"/>
        </w:rPr>
        <w:t>本服务合同在运营过程中如遇合同未约定事项，双方可签订补充合同，补充合同经双方签字盖章后为本合同的附件，与本合同具有同等法律效力。</w:t>
      </w:r>
    </w:p>
    <w:p w14:paraId="1855F056">
      <w:pPr>
        <w:pStyle w:val="4"/>
        <w:spacing w:line="240" w:lineRule="auto"/>
        <w:rPr>
          <w:rFonts w:hint="eastAsia" w:ascii="宋体" w:hAnsi="宋体" w:cs="宋体"/>
          <w:sz w:val="24"/>
          <w:szCs w:val="24"/>
          <w:highlight w:val="none"/>
        </w:rPr>
      </w:pPr>
      <w:r>
        <w:rPr>
          <w:rFonts w:hint="eastAsia" w:ascii="宋体" w:hAnsi="宋体" w:cs="宋体"/>
          <w:sz w:val="24"/>
          <w:szCs w:val="24"/>
          <w:highlight w:val="none"/>
        </w:rPr>
        <w:t>第25条</w:t>
      </w:r>
      <w:r>
        <w:rPr>
          <w:rFonts w:ascii="宋体" w:hAnsi="宋体" w:cs="宋体"/>
          <w:sz w:val="24"/>
          <w:szCs w:val="24"/>
          <w:highlight w:val="none"/>
        </w:rPr>
        <w:t xml:space="preserve"> </w:t>
      </w:r>
      <w:r>
        <w:rPr>
          <w:rFonts w:hint="eastAsia" w:ascii="宋体" w:hAnsi="宋体" w:cs="宋体"/>
          <w:sz w:val="24"/>
          <w:szCs w:val="24"/>
          <w:highlight w:val="none"/>
        </w:rPr>
        <w:t>签字及生效</w:t>
      </w:r>
    </w:p>
    <w:p w14:paraId="34F3CBC9">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25.1以简体中文订正，本合同一式</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份，双方各执</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份，每份均具有同等法律效力。</w:t>
      </w:r>
    </w:p>
    <w:p w14:paraId="17FBF933">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25.2双方签字盖章后生效，协议期满时自动终止。</w:t>
      </w:r>
    </w:p>
    <w:p w14:paraId="28C83588">
      <w:pPr>
        <w:spacing w:line="240" w:lineRule="auto"/>
        <w:ind w:firstLine="480" w:firstLineChars="200"/>
        <w:rPr>
          <w:rFonts w:hint="eastAsia" w:ascii="宋体" w:hAnsi="宋体" w:cs="宋体"/>
          <w:sz w:val="28"/>
          <w:szCs w:val="28"/>
          <w:highlight w:val="none"/>
        </w:rPr>
      </w:pPr>
      <w:r>
        <w:rPr>
          <w:rFonts w:hint="eastAsia" w:ascii="宋体" w:hAnsi="宋体" w:cs="宋体"/>
          <w:sz w:val="24"/>
          <w:szCs w:val="24"/>
          <w:highlight w:val="none"/>
        </w:rPr>
        <w:t>在协议期内，任何一方因不可抗力、违反协议义务而暂停履行其在协议下的义务，则协议的终止日将按实际情况确定。</w:t>
      </w:r>
    </w:p>
    <w:p w14:paraId="3E91D508">
      <w:pPr>
        <w:pStyle w:val="10"/>
        <w:ind w:firstLine="440"/>
        <w:rPr>
          <w:rFonts w:hint="eastAsia"/>
          <w:highlight w:val="none"/>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2"/>
        <w:gridCol w:w="4788"/>
      </w:tblGrid>
      <w:tr w14:paraId="15AE0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332" w:type="dxa"/>
            <w:tcBorders>
              <w:top w:val="single" w:color="auto" w:sz="4" w:space="0"/>
              <w:left w:val="single" w:color="auto" w:sz="4" w:space="0"/>
              <w:bottom w:val="single" w:color="auto" w:sz="4" w:space="0"/>
              <w:right w:val="single" w:color="auto" w:sz="4" w:space="0"/>
            </w:tcBorders>
            <w:noWrap w:val="0"/>
            <w:vAlign w:val="center"/>
          </w:tcPr>
          <w:p w14:paraId="6845E971">
            <w:pPr>
              <w:keepNext w:val="0"/>
              <w:keepLines w:val="0"/>
              <w:suppressLineNumbers w:val="0"/>
              <w:spacing w:before="0" w:beforeAutospacing="0" w:after="0" w:afterAutospacing="0"/>
              <w:ind w:left="0" w:right="0"/>
              <w:jc w:val="left"/>
              <w:rPr>
                <w:rFonts w:hint="eastAsia" w:ascii="宋体" w:hAnsi="宋体" w:eastAsia="宋体"/>
                <w:sz w:val="24"/>
                <w:szCs w:val="28"/>
                <w:highlight w:val="none"/>
                <w:lang w:eastAsia="zh-CN"/>
              </w:rPr>
            </w:pPr>
            <w:r>
              <w:rPr>
                <w:rFonts w:hint="eastAsia" w:ascii="宋体" w:hAnsi="宋体"/>
                <w:sz w:val="24"/>
                <w:szCs w:val="28"/>
                <w:highlight w:val="none"/>
              </w:rPr>
              <w:t>甲  方：</w:t>
            </w:r>
            <w:r>
              <w:rPr>
                <w:rFonts w:hint="eastAsia" w:ascii="宋体" w:hAnsi="宋体"/>
                <w:sz w:val="24"/>
                <w:szCs w:val="28"/>
                <w:highlight w:val="none"/>
                <w:lang w:val="en-US" w:eastAsia="zh-CN"/>
              </w:rPr>
              <w:t xml:space="preserve"> </w:t>
            </w:r>
          </w:p>
        </w:tc>
        <w:tc>
          <w:tcPr>
            <w:tcW w:w="4788" w:type="dxa"/>
            <w:tcBorders>
              <w:top w:val="single" w:color="auto" w:sz="4" w:space="0"/>
              <w:left w:val="single" w:color="auto" w:sz="4" w:space="0"/>
              <w:bottom w:val="single" w:color="auto" w:sz="4" w:space="0"/>
              <w:right w:val="single" w:color="auto" w:sz="4" w:space="0"/>
            </w:tcBorders>
            <w:noWrap w:val="0"/>
            <w:vAlign w:val="center"/>
          </w:tcPr>
          <w:p w14:paraId="3C5D3643">
            <w:pPr>
              <w:keepNext w:val="0"/>
              <w:keepLines w:val="0"/>
              <w:suppressLineNumbers w:val="0"/>
              <w:spacing w:before="0" w:beforeAutospacing="0" w:after="0" w:afterAutospacing="0"/>
              <w:ind w:left="0" w:right="0"/>
              <w:jc w:val="left"/>
              <w:rPr>
                <w:rFonts w:hint="default" w:ascii="宋体" w:hAnsi="宋体"/>
                <w:sz w:val="24"/>
                <w:szCs w:val="28"/>
                <w:highlight w:val="none"/>
              </w:rPr>
            </w:pPr>
            <w:r>
              <w:rPr>
                <w:rFonts w:hint="eastAsia" w:ascii="宋体" w:hAnsi="宋体"/>
                <w:sz w:val="24"/>
                <w:szCs w:val="28"/>
                <w:highlight w:val="none"/>
              </w:rPr>
              <w:t>乙  方：</w:t>
            </w:r>
          </w:p>
        </w:tc>
      </w:tr>
      <w:tr w14:paraId="0A02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4332" w:type="dxa"/>
            <w:tcBorders>
              <w:top w:val="single" w:color="auto" w:sz="4" w:space="0"/>
              <w:left w:val="single" w:color="auto" w:sz="4" w:space="0"/>
              <w:bottom w:val="single" w:color="auto" w:sz="4" w:space="0"/>
              <w:right w:val="single" w:color="auto" w:sz="4" w:space="0"/>
            </w:tcBorders>
            <w:noWrap w:val="0"/>
            <w:vAlign w:val="center"/>
          </w:tcPr>
          <w:p w14:paraId="735A5F22">
            <w:pPr>
              <w:keepNext w:val="0"/>
              <w:keepLines w:val="0"/>
              <w:suppressLineNumbers w:val="0"/>
              <w:spacing w:before="0" w:beforeAutospacing="0" w:after="0" w:afterAutospacing="0"/>
              <w:ind w:left="0" w:right="0"/>
              <w:jc w:val="left"/>
              <w:rPr>
                <w:rFonts w:hint="default" w:ascii="宋体" w:hAnsi="宋体"/>
                <w:sz w:val="24"/>
                <w:szCs w:val="28"/>
                <w:highlight w:val="none"/>
              </w:rPr>
            </w:pPr>
            <w:r>
              <w:rPr>
                <w:rFonts w:hint="eastAsia" w:ascii="宋体" w:hAnsi="宋体"/>
                <w:sz w:val="24"/>
                <w:szCs w:val="28"/>
                <w:highlight w:val="none"/>
              </w:rPr>
              <w:t>（盖章）</w:t>
            </w:r>
          </w:p>
        </w:tc>
        <w:tc>
          <w:tcPr>
            <w:tcW w:w="4788" w:type="dxa"/>
            <w:tcBorders>
              <w:top w:val="single" w:color="auto" w:sz="4" w:space="0"/>
              <w:left w:val="single" w:color="auto" w:sz="4" w:space="0"/>
              <w:bottom w:val="single" w:color="auto" w:sz="4" w:space="0"/>
              <w:right w:val="single" w:color="auto" w:sz="4" w:space="0"/>
            </w:tcBorders>
            <w:noWrap w:val="0"/>
            <w:vAlign w:val="center"/>
          </w:tcPr>
          <w:p w14:paraId="681B6036">
            <w:pPr>
              <w:keepNext w:val="0"/>
              <w:keepLines w:val="0"/>
              <w:suppressLineNumbers w:val="0"/>
              <w:spacing w:before="0" w:beforeAutospacing="0" w:after="0" w:afterAutospacing="0"/>
              <w:ind w:left="0" w:right="0"/>
              <w:jc w:val="left"/>
              <w:rPr>
                <w:rFonts w:hint="default" w:ascii="宋体" w:hAnsi="宋体"/>
                <w:sz w:val="24"/>
                <w:szCs w:val="28"/>
                <w:highlight w:val="none"/>
              </w:rPr>
            </w:pPr>
            <w:r>
              <w:rPr>
                <w:rFonts w:hint="eastAsia" w:ascii="宋体" w:hAnsi="宋体"/>
                <w:sz w:val="24"/>
                <w:szCs w:val="28"/>
                <w:highlight w:val="none"/>
              </w:rPr>
              <w:t>（盖章）</w:t>
            </w:r>
          </w:p>
        </w:tc>
      </w:tr>
      <w:tr w14:paraId="2FBFB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332" w:type="dxa"/>
            <w:tcBorders>
              <w:top w:val="single" w:color="auto" w:sz="4" w:space="0"/>
              <w:left w:val="single" w:color="auto" w:sz="4" w:space="0"/>
              <w:bottom w:val="single" w:color="auto" w:sz="4" w:space="0"/>
              <w:right w:val="single" w:color="auto" w:sz="4" w:space="0"/>
            </w:tcBorders>
            <w:noWrap w:val="0"/>
            <w:vAlign w:val="center"/>
          </w:tcPr>
          <w:p w14:paraId="5A9E3227">
            <w:pPr>
              <w:keepNext w:val="0"/>
              <w:keepLines w:val="0"/>
              <w:suppressLineNumbers w:val="0"/>
              <w:spacing w:before="0" w:beforeAutospacing="0" w:after="0" w:afterAutospacing="0"/>
              <w:ind w:left="0" w:right="0"/>
              <w:jc w:val="left"/>
              <w:rPr>
                <w:rFonts w:hint="eastAsia" w:ascii="宋体" w:hAnsi="宋体" w:eastAsia="宋体"/>
                <w:sz w:val="24"/>
                <w:szCs w:val="28"/>
                <w:highlight w:val="none"/>
                <w:lang w:eastAsia="zh-CN"/>
              </w:rPr>
            </w:pPr>
            <w:r>
              <w:rPr>
                <w:rFonts w:hint="eastAsia" w:ascii="宋体" w:hAnsi="宋体"/>
                <w:sz w:val="24"/>
                <w:szCs w:val="28"/>
                <w:highlight w:val="none"/>
              </w:rPr>
              <w:t>地址：</w:t>
            </w:r>
            <w:r>
              <w:rPr>
                <w:rFonts w:hint="eastAsia" w:ascii="宋体" w:hAnsi="宋体"/>
                <w:sz w:val="24"/>
                <w:szCs w:val="28"/>
                <w:highlight w:val="none"/>
                <w:lang w:val="en-US" w:eastAsia="zh-CN"/>
              </w:rPr>
              <w:t xml:space="preserve"> </w:t>
            </w:r>
          </w:p>
        </w:tc>
        <w:tc>
          <w:tcPr>
            <w:tcW w:w="4788" w:type="dxa"/>
            <w:tcBorders>
              <w:top w:val="single" w:color="auto" w:sz="4" w:space="0"/>
              <w:left w:val="single" w:color="auto" w:sz="4" w:space="0"/>
              <w:bottom w:val="single" w:color="auto" w:sz="4" w:space="0"/>
              <w:right w:val="single" w:color="auto" w:sz="4" w:space="0"/>
            </w:tcBorders>
            <w:noWrap w:val="0"/>
            <w:vAlign w:val="center"/>
          </w:tcPr>
          <w:p w14:paraId="28D959C2">
            <w:pPr>
              <w:keepNext w:val="0"/>
              <w:keepLines w:val="0"/>
              <w:suppressLineNumbers w:val="0"/>
              <w:spacing w:before="0" w:beforeAutospacing="0" w:after="0" w:afterAutospacing="0"/>
              <w:ind w:left="0" w:right="0"/>
              <w:jc w:val="left"/>
              <w:rPr>
                <w:rFonts w:hint="default" w:ascii="宋体" w:hAnsi="宋体"/>
                <w:sz w:val="24"/>
                <w:szCs w:val="28"/>
                <w:highlight w:val="none"/>
              </w:rPr>
            </w:pPr>
            <w:r>
              <w:rPr>
                <w:rFonts w:hint="eastAsia" w:ascii="宋体" w:hAnsi="宋体"/>
                <w:sz w:val="24"/>
                <w:szCs w:val="28"/>
                <w:highlight w:val="none"/>
              </w:rPr>
              <w:t>地址：</w:t>
            </w:r>
          </w:p>
        </w:tc>
      </w:tr>
      <w:tr w14:paraId="6DADF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332" w:type="dxa"/>
            <w:tcBorders>
              <w:top w:val="single" w:color="auto" w:sz="4" w:space="0"/>
              <w:left w:val="single" w:color="auto" w:sz="4" w:space="0"/>
              <w:bottom w:val="single" w:color="auto" w:sz="4" w:space="0"/>
              <w:right w:val="single" w:color="auto" w:sz="4" w:space="0"/>
            </w:tcBorders>
            <w:noWrap w:val="0"/>
            <w:vAlign w:val="center"/>
          </w:tcPr>
          <w:p w14:paraId="2354C116">
            <w:pPr>
              <w:keepNext w:val="0"/>
              <w:keepLines w:val="0"/>
              <w:suppressLineNumbers w:val="0"/>
              <w:spacing w:before="0" w:beforeAutospacing="0" w:after="0" w:afterAutospacing="0"/>
              <w:ind w:left="0" w:right="0"/>
              <w:jc w:val="left"/>
              <w:rPr>
                <w:rFonts w:hint="eastAsia" w:ascii="宋体" w:hAnsi="宋体" w:eastAsia="宋体"/>
                <w:sz w:val="24"/>
                <w:szCs w:val="28"/>
                <w:highlight w:val="none"/>
                <w:lang w:eastAsia="zh-CN"/>
              </w:rPr>
            </w:pPr>
            <w:r>
              <w:rPr>
                <w:rFonts w:hint="eastAsia" w:ascii="宋体" w:hAnsi="宋体"/>
                <w:sz w:val="24"/>
                <w:szCs w:val="28"/>
                <w:highlight w:val="none"/>
              </w:rPr>
              <w:t>邮编：</w:t>
            </w:r>
            <w:r>
              <w:rPr>
                <w:rFonts w:hint="eastAsia" w:ascii="宋体" w:hAnsi="宋体"/>
                <w:sz w:val="24"/>
                <w:szCs w:val="28"/>
                <w:highlight w:val="none"/>
                <w:lang w:val="en-US" w:eastAsia="zh-CN"/>
              </w:rPr>
              <w:t xml:space="preserve"> </w:t>
            </w:r>
          </w:p>
        </w:tc>
        <w:tc>
          <w:tcPr>
            <w:tcW w:w="4788" w:type="dxa"/>
            <w:tcBorders>
              <w:top w:val="single" w:color="auto" w:sz="4" w:space="0"/>
              <w:left w:val="single" w:color="auto" w:sz="4" w:space="0"/>
              <w:bottom w:val="single" w:color="auto" w:sz="4" w:space="0"/>
              <w:right w:val="single" w:color="auto" w:sz="4" w:space="0"/>
            </w:tcBorders>
            <w:noWrap w:val="0"/>
            <w:vAlign w:val="center"/>
          </w:tcPr>
          <w:p w14:paraId="512FB8B4">
            <w:pPr>
              <w:keepNext w:val="0"/>
              <w:keepLines w:val="0"/>
              <w:suppressLineNumbers w:val="0"/>
              <w:spacing w:before="0" w:beforeAutospacing="0" w:after="0" w:afterAutospacing="0"/>
              <w:ind w:left="0" w:right="0"/>
              <w:jc w:val="left"/>
              <w:rPr>
                <w:rFonts w:hint="default" w:ascii="宋体" w:hAnsi="宋体"/>
                <w:sz w:val="24"/>
                <w:szCs w:val="28"/>
                <w:highlight w:val="none"/>
              </w:rPr>
            </w:pPr>
            <w:r>
              <w:rPr>
                <w:rFonts w:hint="eastAsia" w:ascii="宋体" w:hAnsi="宋体"/>
                <w:sz w:val="24"/>
                <w:szCs w:val="28"/>
                <w:highlight w:val="none"/>
              </w:rPr>
              <w:t>邮编：</w:t>
            </w:r>
          </w:p>
        </w:tc>
      </w:tr>
      <w:tr w14:paraId="2A6D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332" w:type="dxa"/>
            <w:tcBorders>
              <w:top w:val="single" w:color="auto" w:sz="4" w:space="0"/>
              <w:left w:val="single" w:color="auto" w:sz="4" w:space="0"/>
              <w:right w:val="single" w:color="auto" w:sz="4" w:space="0"/>
            </w:tcBorders>
            <w:noWrap w:val="0"/>
            <w:vAlign w:val="center"/>
          </w:tcPr>
          <w:p w14:paraId="690BCDF3">
            <w:pPr>
              <w:pStyle w:val="10"/>
              <w:keepNext w:val="0"/>
              <w:keepLines w:val="0"/>
              <w:suppressLineNumbers w:val="0"/>
              <w:spacing w:before="0" w:beforeAutospacing="0" w:afterAutospacing="0"/>
              <w:ind w:left="0" w:right="0" w:firstLine="0" w:firstLineChars="0"/>
              <w:rPr>
                <w:rFonts w:hint="eastAsia"/>
                <w:highlight w:val="none"/>
              </w:rPr>
            </w:pPr>
            <w:r>
              <w:rPr>
                <w:rFonts w:hint="eastAsia" w:ascii="宋体" w:hAnsi="宋体"/>
                <w:sz w:val="24"/>
                <w:szCs w:val="28"/>
                <w:highlight w:val="none"/>
              </w:rPr>
              <w:t>法定代表人：</w:t>
            </w:r>
          </w:p>
        </w:tc>
        <w:tc>
          <w:tcPr>
            <w:tcW w:w="4788" w:type="dxa"/>
            <w:tcBorders>
              <w:top w:val="single" w:color="auto" w:sz="4" w:space="0"/>
              <w:left w:val="single" w:color="auto" w:sz="4" w:space="0"/>
              <w:bottom w:val="single" w:color="auto" w:sz="4" w:space="0"/>
              <w:right w:val="single" w:color="auto" w:sz="4" w:space="0"/>
            </w:tcBorders>
            <w:noWrap w:val="0"/>
            <w:vAlign w:val="center"/>
          </w:tcPr>
          <w:p w14:paraId="0B55AAE2">
            <w:pPr>
              <w:keepNext w:val="0"/>
              <w:keepLines w:val="0"/>
              <w:suppressLineNumbers w:val="0"/>
              <w:spacing w:before="0" w:beforeAutospacing="0" w:after="0" w:afterAutospacing="0"/>
              <w:ind w:left="0" w:right="0"/>
              <w:jc w:val="left"/>
              <w:rPr>
                <w:rFonts w:hint="default" w:ascii="宋体" w:hAnsi="宋体"/>
                <w:sz w:val="24"/>
                <w:szCs w:val="28"/>
                <w:highlight w:val="none"/>
              </w:rPr>
            </w:pPr>
            <w:r>
              <w:rPr>
                <w:rFonts w:hint="eastAsia" w:ascii="宋体" w:hAnsi="宋体"/>
                <w:sz w:val="24"/>
                <w:szCs w:val="28"/>
                <w:highlight w:val="none"/>
              </w:rPr>
              <w:t>法定代表人：</w:t>
            </w:r>
          </w:p>
        </w:tc>
      </w:tr>
      <w:tr w14:paraId="7676B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332" w:type="dxa"/>
            <w:tcBorders>
              <w:left w:val="single" w:color="auto" w:sz="4" w:space="0"/>
              <w:bottom w:val="single" w:color="auto" w:sz="4" w:space="0"/>
              <w:right w:val="single" w:color="auto" w:sz="4" w:space="0"/>
            </w:tcBorders>
            <w:noWrap w:val="0"/>
            <w:vAlign w:val="center"/>
          </w:tcPr>
          <w:p w14:paraId="16FDEF27">
            <w:pPr>
              <w:keepNext w:val="0"/>
              <w:keepLines w:val="0"/>
              <w:suppressLineNumbers w:val="0"/>
              <w:spacing w:before="0" w:beforeAutospacing="0" w:after="0" w:afterAutospacing="0"/>
              <w:ind w:left="0" w:right="0"/>
              <w:jc w:val="left"/>
              <w:rPr>
                <w:rFonts w:hint="default" w:ascii="宋体" w:hAnsi="宋体"/>
                <w:sz w:val="24"/>
                <w:szCs w:val="28"/>
                <w:highlight w:val="none"/>
              </w:rPr>
            </w:pPr>
            <w:r>
              <w:rPr>
                <w:rFonts w:hint="eastAsia" w:ascii="宋体" w:hAnsi="宋体"/>
                <w:sz w:val="24"/>
                <w:szCs w:val="28"/>
                <w:highlight w:val="none"/>
              </w:rPr>
              <w:t>代理人：（签字）</w:t>
            </w:r>
          </w:p>
        </w:tc>
        <w:tc>
          <w:tcPr>
            <w:tcW w:w="4788" w:type="dxa"/>
            <w:tcBorders>
              <w:top w:val="single" w:color="auto" w:sz="4" w:space="0"/>
              <w:left w:val="single" w:color="auto" w:sz="4" w:space="0"/>
              <w:bottom w:val="single" w:color="auto" w:sz="4" w:space="0"/>
              <w:right w:val="single" w:color="auto" w:sz="4" w:space="0"/>
            </w:tcBorders>
            <w:noWrap w:val="0"/>
            <w:vAlign w:val="center"/>
          </w:tcPr>
          <w:p w14:paraId="315B7D78">
            <w:pPr>
              <w:keepNext w:val="0"/>
              <w:keepLines w:val="0"/>
              <w:suppressLineNumbers w:val="0"/>
              <w:spacing w:before="0" w:beforeAutospacing="0" w:after="0" w:afterAutospacing="0"/>
              <w:ind w:left="0" w:right="0"/>
              <w:jc w:val="left"/>
              <w:rPr>
                <w:rFonts w:hint="default" w:ascii="宋体" w:hAnsi="宋体"/>
                <w:sz w:val="24"/>
                <w:szCs w:val="28"/>
                <w:highlight w:val="none"/>
              </w:rPr>
            </w:pPr>
            <w:r>
              <w:rPr>
                <w:rFonts w:hint="eastAsia" w:ascii="宋体" w:hAnsi="宋体"/>
                <w:sz w:val="24"/>
                <w:szCs w:val="28"/>
                <w:highlight w:val="none"/>
              </w:rPr>
              <w:t>被授权代表：（签字）</w:t>
            </w:r>
          </w:p>
        </w:tc>
      </w:tr>
      <w:tr w14:paraId="6ED28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332" w:type="dxa"/>
            <w:tcBorders>
              <w:top w:val="single" w:color="auto" w:sz="4" w:space="0"/>
              <w:left w:val="single" w:color="auto" w:sz="4" w:space="0"/>
              <w:bottom w:val="single" w:color="auto" w:sz="4" w:space="0"/>
              <w:right w:val="single" w:color="auto" w:sz="4" w:space="0"/>
            </w:tcBorders>
            <w:noWrap w:val="0"/>
            <w:vAlign w:val="center"/>
          </w:tcPr>
          <w:p w14:paraId="37A89948">
            <w:pPr>
              <w:keepNext w:val="0"/>
              <w:keepLines w:val="0"/>
              <w:suppressLineNumbers w:val="0"/>
              <w:spacing w:before="0" w:beforeAutospacing="0" w:after="0" w:afterAutospacing="0"/>
              <w:ind w:left="0" w:right="0"/>
              <w:jc w:val="left"/>
              <w:rPr>
                <w:rFonts w:hint="eastAsia" w:ascii="宋体" w:hAnsi="宋体" w:eastAsia="宋体"/>
                <w:sz w:val="24"/>
                <w:szCs w:val="28"/>
                <w:highlight w:val="none"/>
                <w:lang w:eastAsia="zh-CN"/>
              </w:rPr>
            </w:pPr>
            <w:r>
              <w:rPr>
                <w:rFonts w:hint="eastAsia" w:ascii="宋体" w:hAnsi="宋体"/>
                <w:sz w:val="24"/>
                <w:szCs w:val="28"/>
                <w:highlight w:val="none"/>
              </w:rPr>
              <w:t>电话：</w:t>
            </w:r>
            <w:r>
              <w:rPr>
                <w:rFonts w:hint="eastAsia" w:ascii="宋体" w:hAnsi="宋体"/>
                <w:sz w:val="24"/>
                <w:szCs w:val="28"/>
                <w:highlight w:val="none"/>
                <w:lang w:val="en-US" w:eastAsia="zh-CN"/>
              </w:rPr>
              <w:t xml:space="preserve"> </w:t>
            </w:r>
          </w:p>
        </w:tc>
        <w:tc>
          <w:tcPr>
            <w:tcW w:w="4788" w:type="dxa"/>
            <w:tcBorders>
              <w:top w:val="single" w:color="auto" w:sz="4" w:space="0"/>
              <w:left w:val="single" w:color="auto" w:sz="4" w:space="0"/>
              <w:bottom w:val="single" w:color="auto" w:sz="4" w:space="0"/>
              <w:right w:val="single" w:color="auto" w:sz="4" w:space="0"/>
            </w:tcBorders>
            <w:noWrap w:val="0"/>
            <w:vAlign w:val="center"/>
          </w:tcPr>
          <w:p w14:paraId="6D6A72EE">
            <w:pPr>
              <w:keepNext w:val="0"/>
              <w:keepLines w:val="0"/>
              <w:suppressLineNumbers w:val="0"/>
              <w:spacing w:before="0" w:beforeAutospacing="0" w:after="0" w:afterAutospacing="0"/>
              <w:ind w:left="0" w:right="0"/>
              <w:jc w:val="left"/>
              <w:rPr>
                <w:rFonts w:hint="default" w:ascii="宋体" w:hAnsi="宋体"/>
                <w:sz w:val="24"/>
                <w:szCs w:val="28"/>
                <w:highlight w:val="none"/>
              </w:rPr>
            </w:pPr>
            <w:r>
              <w:rPr>
                <w:rFonts w:hint="eastAsia" w:ascii="宋体" w:hAnsi="宋体"/>
                <w:sz w:val="24"/>
                <w:szCs w:val="28"/>
                <w:highlight w:val="none"/>
              </w:rPr>
              <w:t>电话：</w:t>
            </w:r>
          </w:p>
        </w:tc>
      </w:tr>
      <w:tr w14:paraId="76F98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332" w:type="dxa"/>
            <w:tcBorders>
              <w:top w:val="single" w:color="auto" w:sz="4" w:space="0"/>
              <w:left w:val="single" w:color="auto" w:sz="4" w:space="0"/>
              <w:bottom w:val="single" w:color="auto" w:sz="4" w:space="0"/>
              <w:right w:val="single" w:color="auto" w:sz="4" w:space="0"/>
            </w:tcBorders>
            <w:noWrap w:val="0"/>
            <w:vAlign w:val="center"/>
          </w:tcPr>
          <w:p w14:paraId="36336471">
            <w:pPr>
              <w:keepNext w:val="0"/>
              <w:keepLines w:val="0"/>
              <w:suppressLineNumbers w:val="0"/>
              <w:spacing w:before="0" w:beforeAutospacing="0" w:after="0" w:afterAutospacing="0"/>
              <w:ind w:left="0" w:right="0"/>
              <w:jc w:val="left"/>
              <w:rPr>
                <w:rFonts w:hint="eastAsia" w:ascii="宋体" w:hAnsi="宋体" w:eastAsia="宋体"/>
                <w:sz w:val="24"/>
                <w:szCs w:val="28"/>
                <w:highlight w:val="none"/>
                <w:lang w:eastAsia="zh-CN"/>
              </w:rPr>
            </w:pPr>
            <w:r>
              <w:rPr>
                <w:rFonts w:hint="eastAsia" w:ascii="宋体" w:hAnsi="宋体"/>
                <w:sz w:val="24"/>
                <w:szCs w:val="28"/>
                <w:highlight w:val="none"/>
              </w:rPr>
              <w:t>传真：</w:t>
            </w:r>
            <w:r>
              <w:rPr>
                <w:rFonts w:hint="eastAsia" w:ascii="宋体" w:hAnsi="宋体"/>
                <w:sz w:val="24"/>
                <w:szCs w:val="28"/>
                <w:highlight w:val="none"/>
                <w:lang w:val="en-US" w:eastAsia="zh-CN"/>
              </w:rPr>
              <w:t xml:space="preserve"> </w:t>
            </w:r>
          </w:p>
        </w:tc>
        <w:tc>
          <w:tcPr>
            <w:tcW w:w="4788" w:type="dxa"/>
            <w:tcBorders>
              <w:top w:val="single" w:color="auto" w:sz="4" w:space="0"/>
              <w:left w:val="single" w:color="auto" w:sz="4" w:space="0"/>
              <w:bottom w:val="single" w:color="auto" w:sz="4" w:space="0"/>
              <w:right w:val="single" w:color="auto" w:sz="4" w:space="0"/>
            </w:tcBorders>
            <w:noWrap w:val="0"/>
            <w:vAlign w:val="center"/>
          </w:tcPr>
          <w:p w14:paraId="0D173070">
            <w:pPr>
              <w:keepNext w:val="0"/>
              <w:keepLines w:val="0"/>
              <w:suppressLineNumbers w:val="0"/>
              <w:spacing w:before="0" w:beforeAutospacing="0" w:after="0" w:afterAutospacing="0"/>
              <w:ind w:left="0" w:right="0"/>
              <w:jc w:val="left"/>
              <w:rPr>
                <w:rFonts w:hint="eastAsia" w:ascii="宋体" w:hAnsi="宋体" w:eastAsia="宋体"/>
                <w:sz w:val="24"/>
                <w:szCs w:val="28"/>
                <w:highlight w:val="none"/>
                <w:lang w:eastAsia="zh-CN"/>
              </w:rPr>
            </w:pPr>
            <w:r>
              <w:rPr>
                <w:rFonts w:hint="eastAsia" w:ascii="宋体" w:hAnsi="宋体"/>
                <w:sz w:val="24"/>
                <w:szCs w:val="28"/>
                <w:highlight w:val="none"/>
              </w:rPr>
              <w:t>传真：</w:t>
            </w:r>
            <w:r>
              <w:rPr>
                <w:rFonts w:hint="eastAsia" w:ascii="宋体" w:hAnsi="宋体"/>
                <w:sz w:val="24"/>
                <w:szCs w:val="28"/>
                <w:highlight w:val="none"/>
                <w:lang w:val="en-US" w:eastAsia="zh-CN"/>
              </w:rPr>
              <w:t xml:space="preserve"> </w:t>
            </w:r>
          </w:p>
        </w:tc>
      </w:tr>
      <w:tr w14:paraId="23339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332" w:type="dxa"/>
            <w:tcBorders>
              <w:top w:val="single" w:color="auto" w:sz="4" w:space="0"/>
              <w:left w:val="single" w:color="auto" w:sz="4" w:space="0"/>
              <w:bottom w:val="single" w:color="auto" w:sz="4" w:space="0"/>
              <w:right w:val="single" w:color="auto" w:sz="4" w:space="0"/>
            </w:tcBorders>
            <w:noWrap w:val="0"/>
            <w:vAlign w:val="center"/>
          </w:tcPr>
          <w:p w14:paraId="3B475BE4">
            <w:pPr>
              <w:keepNext w:val="0"/>
              <w:keepLines w:val="0"/>
              <w:suppressLineNumbers w:val="0"/>
              <w:spacing w:before="0" w:beforeAutospacing="0" w:after="0" w:afterAutospacing="0"/>
              <w:ind w:left="0" w:right="0"/>
              <w:jc w:val="left"/>
              <w:rPr>
                <w:rFonts w:hint="default" w:ascii="宋体" w:hAnsi="宋体"/>
                <w:sz w:val="24"/>
                <w:szCs w:val="28"/>
                <w:highlight w:val="none"/>
              </w:rPr>
            </w:pPr>
            <w:r>
              <w:rPr>
                <w:rFonts w:hint="eastAsia" w:ascii="宋体" w:hAnsi="宋体"/>
                <w:sz w:val="24"/>
                <w:szCs w:val="28"/>
                <w:highlight w:val="none"/>
              </w:rPr>
              <w:t>开户银行：</w:t>
            </w:r>
            <w:r>
              <w:rPr>
                <w:rFonts w:hint="eastAsia" w:ascii="宋体" w:hAnsi="宋体"/>
                <w:sz w:val="24"/>
                <w:szCs w:val="28"/>
                <w:highlight w:val="none"/>
                <w:lang w:val="en-US" w:eastAsia="zh-CN"/>
              </w:rPr>
              <w:t xml:space="preserve"> </w:t>
            </w:r>
          </w:p>
        </w:tc>
        <w:tc>
          <w:tcPr>
            <w:tcW w:w="4788" w:type="dxa"/>
            <w:tcBorders>
              <w:top w:val="single" w:color="auto" w:sz="4" w:space="0"/>
              <w:left w:val="single" w:color="auto" w:sz="4" w:space="0"/>
              <w:bottom w:val="single" w:color="auto" w:sz="4" w:space="0"/>
              <w:right w:val="single" w:color="auto" w:sz="4" w:space="0"/>
            </w:tcBorders>
            <w:noWrap w:val="0"/>
            <w:vAlign w:val="center"/>
          </w:tcPr>
          <w:p w14:paraId="7A6867F0">
            <w:pPr>
              <w:keepNext w:val="0"/>
              <w:keepLines w:val="0"/>
              <w:suppressLineNumbers w:val="0"/>
              <w:spacing w:before="0" w:beforeAutospacing="0" w:after="0" w:afterAutospacing="0"/>
              <w:ind w:left="0" w:right="0"/>
              <w:jc w:val="left"/>
              <w:rPr>
                <w:rFonts w:hint="eastAsia" w:ascii="宋体" w:hAnsi="宋体" w:eastAsia="宋体"/>
                <w:sz w:val="24"/>
                <w:szCs w:val="28"/>
                <w:highlight w:val="none"/>
                <w:lang w:eastAsia="zh-CN"/>
              </w:rPr>
            </w:pPr>
            <w:r>
              <w:rPr>
                <w:rFonts w:hint="eastAsia" w:ascii="宋体" w:hAnsi="宋体"/>
                <w:sz w:val="24"/>
                <w:szCs w:val="28"/>
                <w:highlight w:val="none"/>
              </w:rPr>
              <w:t>开户银行：</w:t>
            </w:r>
            <w:r>
              <w:rPr>
                <w:rFonts w:hint="eastAsia" w:ascii="宋体" w:hAnsi="宋体"/>
                <w:sz w:val="24"/>
                <w:szCs w:val="28"/>
                <w:highlight w:val="none"/>
                <w:lang w:val="en-US" w:eastAsia="zh-CN"/>
              </w:rPr>
              <w:t xml:space="preserve"> </w:t>
            </w:r>
          </w:p>
        </w:tc>
      </w:tr>
      <w:tr w14:paraId="5C716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332" w:type="dxa"/>
            <w:tcBorders>
              <w:top w:val="single" w:color="auto" w:sz="4" w:space="0"/>
              <w:left w:val="single" w:color="auto" w:sz="4" w:space="0"/>
              <w:bottom w:val="single" w:color="auto" w:sz="4" w:space="0"/>
              <w:right w:val="single" w:color="auto" w:sz="4" w:space="0"/>
            </w:tcBorders>
            <w:noWrap w:val="0"/>
            <w:vAlign w:val="center"/>
          </w:tcPr>
          <w:p w14:paraId="2157296A">
            <w:pPr>
              <w:keepNext w:val="0"/>
              <w:keepLines w:val="0"/>
              <w:suppressLineNumbers w:val="0"/>
              <w:spacing w:before="0" w:beforeAutospacing="0" w:after="0" w:afterAutospacing="0"/>
              <w:ind w:left="0" w:right="0"/>
              <w:jc w:val="left"/>
              <w:rPr>
                <w:rFonts w:hint="default" w:ascii="宋体" w:hAnsi="宋体"/>
                <w:sz w:val="24"/>
                <w:szCs w:val="28"/>
                <w:highlight w:val="none"/>
              </w:rPr>
            </w:pPr>
            <w:r>
              <w:rPr>
                <w:rFonts w:hint="eastAsia" w:ascii="宋体" w:hAnsi="宋体"/>
                <w:sz w:val="24"/>
                <w:szCs w:val="28"/>
                <w:highlight w:val="none"/>
              </w:rPr>
              <w:t>账号:</w:t>
            </w:r>
            <w:r>
              <w:rPr>
                <w:rFonts w:hint="eastAsia" w:ascii="宋体" w:hAnsi="宋体"/>
                <w:sz w:val="24"/>
                <w:szCs w:val="28"/>
                <w:highlight w:val="none"/>
                <w:lang w:val="en-US" w:eastAsia="zh-CN"/>
              </w:rPr>
              <w:t xml:space="preserve"> </w:t>
            </w:r>
          </w:p>
        </w:tc>
        <w:tc>
          <w:tcPr>
            <w:tcW w:w="4788" w:type="dxa"/>
            <w:tcBorders>
              <w:top w:val="single" w:color="auto" w:sz="4" w:space="0"/>
              <w:left w:val="single" w:color="auto" w:sz="4" w:space="0"/>
              <w:bottom w:val="single" w:color="auto" w:sz="4" w:space="0"/>
              <w:right w:val="single" w:color="auto" w:sz="4" w:space="0"/>
            </w:tcBorders>
            <w:noWrap w:val="0"/>
            <w:vAlign w:val="center"/>
          </w:tcPr>
          <w:p w14:paraId="0C2FD6BE">
            <w:pPr>
              <w:keepNext w:val="0"/>
              <w:keepLines w:val="0"/>
              <w:suppressLineNumbers w:val="0"/>
              <w:spacing w:before="0" w:beforeAutospacing="0" w:after="0" w:afterAutospacing="0"/>
              <w:ind w:left="0" w:right="0"/>
              <w:jc w:val="left"/>
              <w:rPr>
                <w:rFonts w:hint="eastAsia" w:ascii="宋体" w:hAnsi="宋体" w:eastAsia="宋体"/>
                <w:sz w:val="24"/>
                <w:szCs w:val="28"/>
                <w:highlight w:val="none"/>
                <w:lang w:eastAsia="zh-CN"/>
              </w:rPr>
            </w:pPr>
            <w:r>
              <w:rPr>
                <w:rFonts w:hint="eastAsia" w:ascii="宋体" w:hAnsi="宋体"/>
                <w:sz w:val="24"/>
                <w:szCs w:val="28"/>
                <w:highlight w:val="none"/>
              </w:rPr>
              <w:t>账号:</w:t>
            </w:r>
            <w:r>
              <w:rPr>
                <w:rFonts w:hint="eastAsia" w:ascii="宋体" w:hAnsi="宋体"/>
                <w:sz w:val="24"/>
                <w:szCs w:val="28"/>
                <w:highlight w:val="none"/>
                <w:lang w:val="en-US" w:eastAsia="zh-CN"/>
              </w:rPr>
              <w:t xml:space="preserve"> </w:t>
            </w:r>
          </w:p>
        </w:tc>
      </w:tr>
      <w:tr w14:paraId="3FDED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4332" w:type="dxa"/>
            <w:tcBorders>
              <w:top w:val="single" w:color="auto" w:sz="4" w:space="0"/>
              <w:left w:val="single" w:color="auto" w:sz="4" w:space="0"/>
              <w:bottom w:val="single" w:color="auto" w:sz="4" w:space="0"/>
              <w:right w:val="single" w:color="auto" w:sz="4" w:space="0"/>
            </w:tcBorders>
            <w:noWrap w:val="0"/>
            <w:vAlign w:val="center"/>
          </w:tcPr>
          <w:p w14:paraId="102D622B">
            <w:pPr>
              <w:keepNext w:val="0"/>
              <w:keepLines w:val="0"/>
              <w:suppressLineNumbers w:val="0"/>
              <w:spacing w:before="0" w:beforeAutospacing="0" w:after="0" w:afterAutospacing="0"/>
              <w:ind w:left="0" w:right="0"/>
              <w:jc w:val="left"/>
              <w:rPr>
                <w:rFonts w:hint="default" w:ascii="宋体" w:hAnsi="宋体"/>
                <w:sz w:val="24"/>
                <w:szCs w:val="28"/>
                <w:highlight w:val="none"/>
              </w:rPr>
            </w:pPr>
            <w:r>
              <w:rPr>
                <w:rFonts w:hint="eastAsia" w:ascii="宋体" w:hAnsi="宋体"/>
                <w:sz w:val="24"/>
                <w:szCs w:val="28"/>
                <w:highlight w:val="none"/>
              </w:rPr>
              <w:t>日期：  年   月   日</w:t>
            </w:r>
          </w:p>
        </w:tc>
        <w:tc>
          <w:tcPr>
            <w:tcW w:w="4788" w:type="dxa"/>
            <w:tcBorders>
              <w:top w:val="single" w:color="auto" w:sz="4" w:space="0"/>
              <w:left w:val="single" w:color="auto" w:sz="4" w:space="0"/>
              <w:bottom w:val="single" w:color="auto" w:sz="4" w:space="0"/>
              <w:right w:val="single" w:color="auto" w:sz="4" w:space="0"/>
            </w:tcBorders>
            <w:noWrap w:val="0"/>
            <w:vAlign w:val="center"/>
          </w:tcPr>
          <w:p w14:paraId="046749A8">
            <w:pPr>
              <w:keepNext w:val="0"/>
              <w:keepLines w:val="0"/>
              <w:suppressLineNumbers w:val="0"/>
              <w:spacing w:before="0" w:beforeAutospacing="0" w:after="0" w:afterAutospacing="0"/>
              <w:ind w:left="0" w:right="0"/>
              <w:jc w:val="left"/>
              <w:rPr>
                <w:rFonts w:hint="default" w:ascii="宋体" w:hAnsi="宋体"/>
                <w:sz w:val="24"/>
                <w:szCs w:val="28"/>
                <w:highlight w:val="none"/>
              </w:rPr>
            </w:pPr>
            <w:r>
              <w:rPr>
                <w:rFonts w:hint="eastAsia" w:ascii="宋体" w:hAnsi="宋体"/>
                <w:sz w:val="24"/>
                <w:szCs w:val="28"/>
                <w:highlight w:val="none"/>
              </w:rPr>
              <w:t>日期：  年   月   日</w:t>
            </w:r>
          </w:p>
        </w:tc>
      </w:tr>
    </w:tbl>
    <w:p w14:paraId="08199BFA">
      <w:pPr>
        <w:pStyle w:val="10"/>
        <w:ind w:firstLine="440"/>
        <w:rPr>
          <w:rFonts w:hint="eastAsia"/>
          <w:highlight w:val="none"/>
        </w:rPr>
      </w:pPr>
    </w:p>
    <w:p w14:paraId="40B4EA45">
      <w:pPr>
        <w:rPr>
          <w:rFonts w:hint="eastAsia"/>
          <w:highlight w:val="none"/>
        </w:rPr>
      </w:pPr>
    </w:p>
    <w:p w14:paraId="77DE4D77">
      <w:pPr>
        <w:pStyle w:val="10"/>
        <w:ind w:firstLine="440"/>
        <w:rPr>
          <w:rFonts w:hint="eastAsia"/>
          <w:highlight w:val="none"/>
        </w:rPr>
      </w:pPr>
    </w:p>
    <w:p w14:paraId="25630383">
      <w:pPr>
        <w:rPr>
          <w:rFonts w:hint="eastAsia"/>
          <w:highlight w:val="none"/>
        </w:rPr>
      </w:pPr>
    </w:p>
    <w:p w14:paraId="6438B4AE">
      <w:pPr>
        <w:pStyle w:val="10"/>
        <w:rPr>
          <w:rFonts w:hint="eastAsia" w:ascii="宋体" w:hAnsi="宋体" w:eastAsia="宋体" w:cs="宋体"/>
          <w:b/>
          <w:bCs/>
          <w:color w:val="auto"/>
          <w:sz w:val="36"/>
          <w:szCs w:val="36"/>
          <w:highlight w:val="none"/>
          <w:lang w:val="zh-CN" w:eastAsia="zh-CN"/>
        </w:rPr>
      </w:pPr>
    </w:p>
    <w:p w14:paraId="2D74077F">
      <w:pPr>
        <w:keepNext w:val="0"/>
        <w:keepLines w:val="0"/>
        <w:pageBreakBefore w:val="0"/>
        <w:widowControl w:val="0"/>
        <w:kinsoku/>
        <w:wordWrap/>
        <w:overflowPunct/>
        <w:topLinePunct w:val="0"/>
        <w:autoSpaceDE/>
        <w:autoSpaceDN/>
        <w:bidi w:val="0"/>
        <w:adjustRightInd/>
        <w:snapToGrid/>
        <w:spacing w:line="480" w:lineRule="auto"/>
        <w:ind w:firstLine="660" w:firstLineChars="300"/>
        <w:jc w:val="left"/>
        <w:textAlignment w:val="auto"/>
        <w:rPr>
          <w:rFonts w:hint="eastAsia" w:ascii="宋体" w:hAnsi="宋体" w:eastAsia="宋体" w:cs="宋体"/>
          <w:b/>
          <w:bCs/>
          <w:color w:val="auto"/>
          <w:sz w:val="32"/>
          <w:szCs w:val="32"/>
          <w:highlight w:val="none"/>
          <w:lang w:val="zh-CN"/>
        </w:rPr>
      </w:pPr>
      <w:r>
        <w:rPr>
          <w:rFonts w:hint="eastAsia" w:ascii="宋体" w:hAnsi="宋体" w:eastAsia="宋体" w:cs="宋体"/>
          <w:color w:val="auto"/>
          <w:sz w:val="22"/>
          <w:szCs w:val="22"/>
          <w:highlight w:val="none"/>
        </w:rPr>
        <w:br w:type="page"/>
      </w:r>
    </w:p>
    <w:p w14:paraId="18C33301">
      <w:pPr>
        <w:spacing w:line="360" w:lineRule="auto"/>
        <w:ind w:firstLine="643" w:firstLineChars="200"/>
        <w:jc w:val="center"/>
        <w:outlineLvl w:val="0"/>
        <w:rPr>
          <w:rFonts w:hint="eastAsia" w:ascii="宋体" w:hAnsi="宋体" w:eastAsia="宋体" w:cs="宋体"/>
          <w:b/>
          <w:bCs/>
          <w:color w:val="auto"/>
          <w:sz w:val="32"/>
          <w:szCs w:val="32"/>
          <w:highlight w:val="none"/>
          <w:lang w:val="zh-CN"/>
        </w:rPr>
      </w:pPr>
      <w:bookmarkStart w:id="217" w:name="_Toc23668"/>
      <w:r>
        <w:rPr>
          <w:rFonts w:hint="eastAsia" w:ascii="宋体" w:hAnsi="宋体" w:eastAsia="宋体" w:cs="宋体"/>
          <w:b/>
          <w:bCs/>
          <w:color w:val="auto"/>
          <w:sz w:val="32"/>
          <w:szCs w:val="32"/>
          <w:highlight w:val="none"/>
          <w:lang w:val="zh-CN"/>
        </w:rPr>
        <w:t>第</w:t>
      </w:r>
      <w:r>
        <w:rPr>
          <w:rFonts w:hint="eastAsia" w:ascii="宋体" w:hAnsi="宋体" w:eastAsia="宋体" w:cs="宋体"/>
          <w:b/>
          <w:bCs/>
          <w:color w:val="auto"/>
          <w:sz w:val="32"/>
          <w:szCs w:val="32"/>
          <w:highlight w:val="none"/>
          <w:lang w:val="en-US" w:eastAsia="zh-CN"/>
        </w:rPr>
        <w:t>七</w:t>
      </w:r>
      <w:r>
        <w:rPr>
          <w:rFonts w:hint="eastAsia" w:ascii="宋体" w:hAnsi="宋体" w:eastAsia="宋体" w:cs="宋体"/>
          <w:b/>
          <w:bCs/>
          <w:color w:val="auto"/>
          <w:sz w:val="32"/>
          <w:szCs w:val="32"/>
          <w:highlight w:val="none"/>
          <w:lang w:val="zh-CN"/>
        </w:rPr>
        <w:t>章</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投标文件基本格式</w:t>
      </w:r>
      <w:bookmarkEnd w:id="217"/>
    </w:p>
    <w:p w14:paraId="5E88FD88">
      <w:pPr>
        <w:pStyle w:val="39"/>
        <w:numPr>
          <w:ilvl w:val="0"/>
          <w:numId w:val="0"/>
        </w:numPr>
        <w:snapToGrid w:val="0"/>
        <w:spacing w:before="0" w:line="360" w:lineRule="auto"/>
        <w:ind w:left="0" w:leftChars="0" w:firstLine="0" w:firstLineChars="0"/>
        <w:outlineLvl w:val="9"/>
        <w:rPr>
          <w:rFonts w:hint="eastAsia" w:ascii="宋体" w:hAnsi="宋体" w:eastAsia="宋体" w:cs="宋体"/>
          <w:color w:val="auto"/>
          <w:sz w:val="24"/>
          <w:highlight w:val="none"/>
        </w:rPr>
      </w:pPr>
      <w:bookmarkStart w:id="218" w:name="_Toc174185202"/>
      <w:bookmarkStart w:id="219" w:name="_Toc86202633"/>
      <w:r>
        <w:rPr>
          <w:rFonts w:hint="eastAsia" w:ascii="宋体" w:hAnsi="宋体" w:eastAsia="宋体" w:cs="宋体"/>
          <w:color w:val="auto"/>
          <w:sz w:val="24"/>
          <w:highlight w:val="none"/>
        </w:rPr>
        <w:t>投标人提交文件须知</w:t>
      </w:r>
      <w:bookmarkEnd w:id="218"/>
      <w:bookmarkEnd w:id="219"/>
    </w:p>
    <w:p w14:paraId="2B353967">
      <w:pPr>
        <w:numPr>
          <w:ilvl w:val="0"/>
          <w:numId w:val="16"/>
        </w:numPr>
        <w:tabs>
          <w:tab w:val="left" w:pos="0"/>
          <w:tab w:val="left" w:pos="806"/>
        </w:tabs>
        <w:snapToGrid w:val="0"/>
        <w:spacing w:line="360" w:lineRule="auto"/>
        <w:ind w:left="824" w:leftChars="0" w:hanging="368" w:firstLineChars="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投标人应严格按照招标文件填写和提交下述规定的全部格式文件以及其他有关资料，混乱的编排导致投标文件被误读或查找不到，后果由投标人承担。</w:t>
      </w:r>
    </w:p>
    <w:p w14:paraId="2450B390">
      <w:pPr>
        <w:numPr>
          <w:ilvl w:val="0"/>
          <w:numId w:val="16"/>
        </w:numPr>
        <w:tabs>
          <w:tab w:val="left" w:pos="0"/>
          <w:tab w:val="left" w:pos="806"/>
        </w:tabs>
        <w:snapToGrid w:val="0"/>
        <w:spacing w:line="360" w:lineRule="auto"/>
        <w:ind w:left="824" w:leftChars="0" w:hanging="368" w:firstLineChars="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所附表格中要求回答的全部问题和信息都必须正面回答。</w:t>
      </w:r>
    </w:p>
    <w:p w14:paraId="623B99EA">
      <w:pPr>
        <w:numPr>
          <w:ilvl w:val="0"/>
          <w:numId w:val="16"/>
        </w:numPr>
        <w:tabs>
          <w:tab w:val="left" w:pos="0"/>
          <w:tab w:val="left" w:pos="806"/>
        </w:tabs>
        <w:snapToGrid w:val="0"/>
        <w:spacing w:line="360" w:lineRule="auto"/>
        <w:ind w:left="824" w:leftChars="0" w:hanging="368" w:firstLineChars="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评标委员会将应用投标人提交的资料并根据自己的判断，决定投标人履行合同的合格性及能力。</w:t>
      </w:r>
    </w:p>
    <w:p w14:paraId="579E4E78">
      <w:pPr>
        <w:numPr>
          <w:ilvl w:val="0"/>
          <w:numId w:val="16"/>
        </w:numPr>
        <w:tabs>
          <w:tab w:val="left" w:pos="0"/>
          <w:tab w:val="left" w:pos="806"/>
        </w:tabs>
        <w:snapToGrid w:val="0"/>
        <w:spacing w:line="360" w:lineRule="auto"/>
        <w:ind w:left="824" w:leftChars="0" w:hanging="368" w:firstLineChars="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投标人提交的材料将被妥善保存，但不退还。</w:t>
      </w:r>
    </w:p>
    <w:p w14:paraId="1B901E92">
      <w:pPr>
        <w:numPr>
          <w:ilvl w:val="0"/>
          <w:numId w:val="16"/>
        </w:numPr>
        <w:tabs>
          <w:tab w:val="left" w:pos="0"/>
          <w:tab w:val="left" w:pos="806"/>
        </w:tabs>
        <w:snapToGrid w:val="0"/>
        <w:spacing w:line="360" w:lineRule="auto"/>
        <w:ind w:left="824" w:leftChars="0" w:hanging="368" w:firstLineChars="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全部文件应按投标人须知中规定的语言和份数提交。</w:t>
      </w:r>
    </w:p>
    <w:p w14:paraId="4330F816">
      <w:pPr>
        <w:autoSpaceDE w:val="0"/>
        <w:autoSpaceDN w:val="0"/>
        <w:snapToGrid w:val="0"/>
        <w:spacing w:line="360" w:lineRule="auto"/>
        <w:jc w:val="right"/>
        <w:rPr>
          <w:rFonts w:hint="eastAsia" w:ascii="宋体" w:hAnsi="宋体" w:eastAsia="宋体" w:cs="宋体"/>
          <w:b/>
          <w:color w:val="auto"/>
          <w:sz w:val="28"/>
          <w:szCs w:val="28"/>
          <w:highlight w:val="none"/>
        </w:rPr>
      </w:pPr>
      <w:r>
        <w:rPr>
          <w:rFonts w:hint="eastAsia" w:ascii="宋体" w:hAnsi="宋体" w:eastAsia="宋体" w:cs="宋体"/>
          <w:b/>
          <w:color w:val="auto"/>
          <w:sz w:val="24"/>
          <w:highlight w:val="none"/>
        </w:rPr>
        <w:br w:type="page"/>
      </w:r>
    </w:p>
    <w:p w14:paraId="443BB208">
      <w:pPr>
        <w:adjustRightInd w:val="0"/>
        <w:snapToGrid w:val="0"/>
        <w:spacing w:line="360" w:lineRule="auto"/>
        <w:ind w:right="-187" w:rightChars="-89"/>
        <w:rPr>
          <w:rFonts w:hint="default" w:ascii="宋体" w:hAnsi="宋体" w:eastAsia="宋体" w:cs="宋体"/>
          <w:b/>
          <w:color w:val="auto"/>
          <w:sz w:val="28"/>
          <w:szCs w:val="28"/>
          <w:highlight w:val="none"/>
          <w:lang w:val="en-US"/>
        </w:rPr>
      </w:pPr>
      <w:r>
        <w:rPr>
          <w:rFonts w:hint="eastAsia" w:ascii="宋体" w:hAnsi="宋体" w:eastAsia="宋体" w:cs="宋体"/>
          <w:b/>
          <w:color w:val="auto"/>
          <w:sz w:val="28"/>
          <w:szCs w:val="28"/>
          <w:highlight w:val="none"/>
        </w:rPr>
        <w:t>项目编号：</w:t>
      </w:r>
      <w:r>
        <w:rPr>
          <w:rFonts w:hint="eastAsia" w:ascii="宋体" w:hAnsi="宋体" w:cs="宋体"/>
          <w:b/>
          <w:color w:val="auto"/>
          <w:sz w:val="28"/>
          <w:szCs w:val="28"/>
          <w:highlight w:val="none"/>
          <w:lang w:val="en-US" w:eastAsia="zh-CN"/>
        </w:rPr>
        <w:t>SXQFY-2025-YL034.1B1</w:t>
      </w:r>
    </w:p>
    <w:p w14:paraId="79D07DE9">
      <w:pPr>
        <w:pStyle w:val="37"/>
        <w:rPr>
          <w:rFonts w:hint="eastAsia" w:ascii="宋体" w:hAnsi="宋体" w:eastAsia="宋体" w:cs="宋体"/>
          <w:color w:val="auto"/>
          <w:highlight w:val="none"/>
        </w:rPr>
      </w:pPr>
    </w:p>
    <w:p w14:paraId="30E1EE4D">
      <w:pPr>
        <w:autoSpaceDE w:val="0"/>
        <w:autoSpaceDN w:val="0"/>
        <w:snapToGrid w:val="0"/>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 xml:space="preserve">                            正（副）本</w:t>
      </w:r>
    </w:p>
    <w:p w14:paraId="4EF3BEAE">
      <w:pPr>
        <w:pStyle w:val="8"/>
        <w:rPr>
          <w:rFonts w:hint="eastAsia" w:ascii="宋体" w:hAnsi="宋体" w:eastAsia="宋体" w:cs="宋体"/>
          <w:color w:val="auto"/>
          <w:highlight w:val="none"/>
        </w:rPr>
      </w:pPr>
    </w:p>
    <w:p w14:paraId="7B382BE3">
      <w:pPr>
        <w:spacing w:line="600" w:lineRule="auto"/>
        <w:jc w:val="center"/>
        <w:rPr>
          <w:rFonts w:hint="eastAsia"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t>2026年度榆佳经济技术开发区两厂(场)运营管理服务项目（</w:t>
      </w:r>
      <w:r>
        <w:rPr>
          <w:rFonts w:hint="eastAsia" w:ascii="宋体" w:hAnsi="宋体" w:cs="宋体"/>
          <w:b/>
          <w:bCs/>
          <w:color w:val="auto"/>
          <w:sz w:val="28"/>
          <w:szCs w:val="28"/>
          <w:highlight w:val="none"/>
          <w:lang w:val="en-US" w:eastAsia="zh-CN"/>
        </w:rPr>
        <w:t>二次</w:t>
      </w:r>
      <w:r>
        <w:rPr>
          <w:rFonts w:hint="eastAsia" w:ascii="宋体" w:hAnsi="宋体" w:cs="宋体"/>
          <w:b/>
          <w:bCs/>
          <w:color w:val="auto"/>
          <w:sz w:val="28"/>
          <w:szCs w:val="28"/>
          <w:highlight w:val="none"/>
          <w:lang w:eastAsia="zh-CN"/>
        </w:rPr>
        <w:t>）</w:t>
      </w:r>
    </w:p>
    <w:p w14:paraId="74BA65F8">
      <w:pPr>
        <w:spacing w:line="20" w:lineRule="atLeast"/>
        <w:jc w:val="center"/>
        <w:rPr>
          <w:rFonts w:hint="eastAsia" w:ascii="宋体" w:hAnsi="宋体" w:eastAsia="宋体" w:cs="宋体"/>
          <w:b w:val="0"/>
          <w:bCs w:val="0"/>
          <w:color w:val="auto"/>
          <w:sz w:val="48"/>
          <w:szCs w:val="48"/>
          <w:highlight w:val="none"/>
          <w:lang w:eastAsia="zh-CN"/>
        </w:rPr>
      </w:pPr>
    </w:p>
    <w:p w14:paraId="3B113BD1">
      <w:pPr>
        <w:spacing w:line="20" w:lineRule="atLeast"/>
        <w:jc w:val="center"/>
        <w:rPr>
          <w:rFonts w:hint="eastAsia" w:ascii="宋体" w:hAnsi="宋体" w:eastAsia="宋体" w:cs="宋体"/>
          <w:b w:val="0"/>
          <w:bCs w:val="0"/>
          <w:color w:val="auto"/>
          <w:sz w:val="48"/>
          <w:szCs w:val="48"/>
          <w:highlight w:val="none"/>
          <w:lang w:eastAsia="zh-CN"/>
        </w:rPr>
      </w:pPr>
    </w:p>
    <w:p w14:paraId="77632C09">
      <w:pPr>
        <w:pStyle w:val="37"/>
        <w:ind w:left="0" w:leftChars="0" w:firstLine="0" w:firstLineChars="0"/>
        <w:rPr>
          <w:rFonts w:hint="eastAsia" w:ascii="宋体" w:hAnsi="宋体" w:eastAsia="宋体" w:cs="宋体"/>
          <w:color w:val="auto"/>
          <w:sz w:val="72"/>
          <w:szCs w:val="72"/>
          <w:highlight w:val="none"/>
        </w:rPr>
      </w:pPr>
    </w:p>
    <w:p w14:paraId="07472D0E">
      <w:pPr>
        <w:pStyle w:val="8"/>
        <w:ind w:firstLine="400"/>
        <w:rPr>
          <w:rFonts w:hint="eastAsia" w:ascii="宋体" w:hAnsi="宋体" w:eastAsia="宋体" w:cs="宋体"/>
          <w:color w:val="auto"/>
          <w:highlight w:val="none"/>
        </w:rPr>
      </w:pPr>
    </w:p>
    <w:p w14:paraId="18A2E43B">
      <w:pPr>
        <w:spacing w:line="20" w:lineRule="atLeast"/>
        <w:jc w:val="center"/>
        <w:rPr>
          <w:rFonts w:hint="eastAsia" w:ascii="宋体" w:hAnsi="宋体" w:eastAsia="宋体" w:cs="宋体"/>
          <w:b/>
          <w:bCs/>
          <w:color w:val="auto"/>
          <w:sz w:val="96"/>
          <w:szCs w:val="96"/>
          <w:highlight w:val="none"/>
        </w:rPr>
      </w:pPr>
      <w:r>
        <w:rPr>
          <w:rFonts w:hint="eastAsia" w:ascii="宋体" w:hAnsi="宋体" w:eastAsia="宋体" w:cs="宋体"/>
          <w:b/>
          <w:bCs/>
          <w:color w:val="auto"/>
          <w:sz w:val="96"/>
          <w:szCs w:val="96"/>
          <w:highlight w:val="none"/>
        </w:rPr>
        <w:t>投 标 文 件</w:t>
      </w:r>
    </w:p>
    <w:p w14:paraId="49103FE6">
      <w:pPr>
        <w:spacing w:line="20" w:lineRule="atLeast"/>
        <w:jc w:val="center"/>
        <w:rPr>
          <w:rFonts w:hint="eastAsia" w:ascii="宋体" w:hAnsi="宋体" w:eastAsia="宋体" w:cs="宋体"/>
          <w:b/>
          <w:color w:val="auto"/>
          <w:sz w:val="36"/>
          <w:highlight w:val="none"/>
        </w:rPr>
      </w:pPr>
    </w:p>
    <w:p w14:paraId="7D8D78CD">
      <w:pPr>
        <w:pStyle w:val="23"/>
        <w:rPr>
          <w:rFonts w:hint="eastAsia"/>
          <w:color w:val="auto"/>
          <w:highlight w:val="none"/>
        </w:rPr>
      </w:pPr>
    </w:p>
    <w:p w14:paraId="7E960DC2">
      <w:pPr>
        <w:pStyle w:val="24"/>
        <w:rPr>
          <w:rFonts w:hint="eastAsia"/>
          <w:color w:val="auto"/>
          <w:highlight w:val="none"/>
        </w:rPr>
      </w:pPr>
    </w:p>
    <w:p w14:paraId="1B0E0922">
      <w:pPr>
        <w:pStyle w:val="24"/>
        <w:rPr>
          <w:rFonts w:hint="eastAsia"/>
          <w:color w:val="auto"/>
          <w:highlight w:val="none"/>
        </w:rPr>
      </w:pPr>
    </w:p>
    <w:p w14:paraId="77D64A19">
      <w:pPr>
        <w:spacing w:line="20" w:lineRule="atLeast"/>
        <w:jc w:val="center"/>
        <w:rPr>
          <w:rFonts w:hint="eastAsia" w:ascii="宋体" w:hAnsi="宋体" w:eastAsia="宋体" w:cs="宋体"/>
          <w:b/>
          <w:color w:val="auto"/>
          <w:sz w:val="36"/>
          <w:highlight w:val="none"/>
        </w:rPr>
      </w:pPr>
    </w:p>
    <w:p w14:paraId="69ED36B6">
      <w:pPr>
        <w:spacing w:line="20" w:lineRule="atLeast"/>
        <w:rPr>
          <w:rFonts w:hint="eastAsia" w:ascii="宋体" w:hAnsi="宋体" w:eastAsia="宋体" w:cs="宋体"/>
          <w:b/>
          <w:color w:val="auto"/>
          <w:sz w:val="36"/>
          <w:highlight w:val="none"/>
        </w:rPr>
      </w:pPr>
      <w:r>
        <w:rPr>
          <w:rFonts w:hint="eastAsia" w:ascii="宋体" w:hAnsi="宋体" w:eastAsia="宋体" w:cs="宋体"/>
          <w:b/>
          <w:color w:val="auto"/>
          <w:sz w:val="36"/>
          <w:highlight w:val="none"/>
        </w:rPr>
        <w:t xml:space="preserve">              </w:t>
      </w:r>
    </w:p>
    <w:p w14:paraId="0F452798">
      <w:pPr>
        <w:shd w:val="clear" w:color="auto" w:fill="auto"/>
        <w:adjustRightInd w:val="0"/>
        <w:snapToGrid w:val="0"/>
        <w:spacing w:line="600" w:lineRule="auto"/>
        <w:ind w:firstLine="643" w:firstLineChars="200"/>
        <w:rPr>
          <w:rFonts w:hint="eastAsia" w:ascii="宋体" w:hAnsi="宋体" w:eastAsia="宋体" w:cs="宋体"/>
          <w:color w:val="auto"/>
          <w:sz w:val="32"/>
          <w:szCs w:val="32"/>
          <w:highlight w:val="none"/>
          <w:u w:val="single"/>
        </w:rPr>
      </w:pPr>
      <w:r>
        <w:rPr>
          <w:rFonts w:hint="eastAsia" w:ascii="宋体" w:hAnsi="宋体" w:eastAsia="宋体" w:cs="宋体"/>
          <w:b/>
          <w:bCs/>
          <w:color w:val="auto"/>
          <w:sz w:val="32"/>
          <w:szCs w:val="32"/>
          <w:highlight w:val="none"/>
        </w:rPr>
        <w:t>投 标 人（</w:t>
      </w:r>
      <w:r>
        <w:rPr>
          <w:rFonts w:hint="eastAsia" w:ascii="宋体" w:hAnsi="宋体" w:eastAsia="宋体" w:cs="宋体"/>
          <w:b/>
          <w:bCs/>
          <w:color w:val="auto"/>
          <w:sz w:val="32"/>
          <w:szCs w:val="32"/>
          <w:highlight w:val="none"/>
          <w:lang w:val="en-US" w:eastAsia="zh-CN"/>
        </w:rPr>
        <w:t>全称、</w:t>
      </w:r>
      <w:r>
        <w:rPr>
          <w:rFonts w:hint="eastAsia" w:ascii="宋体" w:hAnsi="宋体" w:eastAsia="宋体" w:cs="宋体"/>
          <w:b/>
          <w:bCs/>
          <w:color w:val="auto"/>
          <w:sz w:val="32"/>
          <w:szCs w:val="32"/>
          <w:highlight w:val="none"/>
        </w:rPr>
        <w:t>盖章）</w:t>
      </w:r>
      <w:r>
        <w:rPr>
          <w:rFonts w:hint="eastAsia" w:ascii="宋体" w:hAnsi="宋体" w:eastAsia="宋体" w:cs="宋体"/>
          <w:b/>
          <w:color w:val="auto"/>
          <w:sz w:val="32"/>
          <w:szCs w:val="32"/>
          <w:highlight w:val="none"/>
        </w:rPr>
        <w:t>：</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          </w:t>
      </w:r>
    </w:p>
    <w:p w14:paraId="6EEAF880">
      <w:pPr>
        <w:shd w:val="clear" w:color="auto" w:fill="auto"/>
        <w:adjustRightInd w:val="0"/>
        <w:snapToGrid w:val="0"/>
        <w:spacing w:line="600" w:lineRule="auto"/>
        <w:ind w:firstLine="643" w:firstLineChars="200"/>
        <w:rPr>
          <w:rFonts w:hint="eastAsia" w:ascii="宋体" w:hAnsi="宋体" w:eastAsia="宋体" w:cs="宋体"/>
          <w:color w:val="auto"/>
          <w:sz w:val="32"/>
          <w:szCs w:val="32"/>
          <w:highlight w:val="none"/>
          <w:u w:val="single"/>
        </w:rPr>
      </w:pPr>
      <w:r>
        <w:rPr>
          <w:rFonts w:hint="eastAsia" w:ascii="宋体" w:hAnsi="宋体" w:cs="宋体"/>
          <w:b/>
          <w:bCs/>
          <w:color w:val="auto"/>
          <w:sz w:val="32"/>
          <w:szCs w:val="32"/>
          <w:highlight w:val="none"/>
          <w:lang w:val="en-US" w:eastAsia="zh-CN"/>
        </w:rPr>
        <w:t>法定代表人</w:t>
      </w:r>
      <w:r>
        <w:rPr>
          <w:rFonts w:hint="eastAsia" w:ascii="宋体" w:hAnsi="宋体" w:eastAsia="宋体" w:cs="宋体"/>
          <w:b/>
          <w:bCs/>
          <w:color w:val="auto"/>
          <w:sz w:val="32"/>
          <w:szCs w:val="32"/>
          <w:highlight w:val="none"/>
        </w:rPr>
        <w:t>或</w:t>
      </w:r>
      <w:r>
        <w:rPr>
          <w:rFonts w:hint="eastAsia" w:ascii="宋体" w:hAnsi="宋体" w:cs="宋体"/>
          <w:b/>
          <w:bCs/>
          <w:color w:val="auto"/>
          <w:sz w:val="32"/>
          <w:szCs w:val="32"/>
          <w:highlight w:val="none"/>
          <w:lang w:val="en-US" w:eastAsia="zh-CN"/>
        </w:rPr>
        <w:t>其</w:t>
      </w:r>
      <w:r>
        <w:rPr>
          <w:rFonts w:hint="eastAsia" w:ascii="宋体" w:hAnsi="宋体" w:eastAsia="宋体" w:cs="宋体"/>
          <w:b/>
          <w:bCs/>
          <w:color w:val="auto"/>
          <w:sz w:val="32"/>
          <w:szCs w:val="32"/>
          <w:highlight w:val="none"/>
        </w:rPr>
        <w:t>委托人（</w:t>
      </w:r>
      <w:r>
        <w:rPr>
          <w:rFonts w:hint="eastAsia" w:ascii="宋体" w:hAnsi="宋体" w:eastAsia="宋体" w:cs="宋体"/>
          <w:b/>
          <w:bCs/>
          <w:color w:val="auto"/>
          <w:sz w:val="32"/>
          <w:szCs w:val="32"/>
          <w:highlight w:val="none"/>
          <w:lang w:val="en-US" w:eastAsia="zh-CN"/>
        </w:rPr>
        <w:t>签字或盖章</w:t>
      </w:r>
      <w:r>
        <w:rPr>
          <w:rFonts w:hint="eastAsia" w:ascii="宋体" w:hAnsi="宋体" w:eastAsia="宋体" w:cs="宋体"/>
          <w:b/>
          <w:bCs/>
          <w:color w:val="auto"/>
          <w:sz w:val="32"/>
          <w:szCs w:val="32"/>
          <w:highlight w:val="none"/>
        </w:rPr>
        <w:t>）：</w:t>
      </w:r>
      <w:r>
        <w:rPr>
          <w:rFonts w:hint="eastAsia" w:ascii="宋体" w:hAnsi="宋体" w:eastAsia="宋体" w:cs="宋体"/>
          <w:color w:val="auto"/>
          <w:sz w:val="32"/>
          <w:szCs w:val="32"/>
          <w:highlight w:val="none"/>
          <w:u w:val="single"/>
        </w:rPr>
        <w:t xml:space="preserve">            </w:t>
      </w:r>
    </w:p>
    <w:p w14:paraId="3BDE22D9">
      <w:pPr>
        <w:shd w:val="clear" w:color="auto" w:fill="auto"/>
        <w:spacing w:line="600" w:lineRule="auto"/>
        <w:ind w:firstLine="643" w:firstLineChars="200"/>
        <w:jc w:val="left"/>
        <w:rPr>
          <w:rFonts w:hint="eastAsia" w:eastAsia="宋体"/>
          <w:color w:val="auto"/>
          <w:sz w:val="30"/>
          <w:highlight w:val="none"/>
          <w:lang w:eastAsia="zh-CN"/>
        </w:rPr>
      </w:pPr>
      <w:r>
        <w:rPr>
          <w:rFonts w:hint="eastAsia" w:ascii="宋体" w:hAnsi="宋体" w:eastAsia="宋体" w:cs="宋体"/>
          <w:b/>
          <w:color w:val="auto"/>
          <w:sz w:val="32"/>
          <w:szCs w:val="32"/>
          <w:highlight w:val="none"/>
        </w:rPr>
        <w:t>日    期</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u w:val="none"/>
          <w:lang w:val="en-US" w:eastAsia="zh-CN"/>
        </w:rPr>
        <w:t xml:space="preserve">  </w:t>
      </w:r>
      <w:r>
        <w:rPr>
          <w:rFonts w:hint="eastAsia" w:ascii="宋体" w:hAnsi="宋体" w:eastAsia="宋体" w:cs="宋体"/>
          <w:b/>
          <w:bCs/>
          <w:color w:val="auto"/>
          <w:sz w:val="32"/>
          <w:szCs w:val="32"/>
          <w:highlight w:val="none"/>
          <w:u w:val="none"/>
          <w:lang w:val="en-US" w:eastAsia="zh-CN"/>
        </w:rPr>
        <w:t xml:space="preserve">     年    月    日</w:t>
      </w:r>
    </w:p>
    <w:p w14:paraId="36FEA1A5">
      <w:pPr>
        <w:jc w:val="center"/>
        <w:rPr>
          <w:rFonts w:hint="eastAsia" w:ascii="宋体" w:hAnsi="宋体" w:eastAsia="宋体" w:cs="宋体"/>
          <w:b/>
          <w:color w:val="auto"/>
          <w:sz w:val="48"/>
          <w:szCs w:val="48"/>
          <w:highlight w:val="none"/>
        </w:rPr>
      </w:pPr>
    </w:p>
    <w:p w14:paraId="7B974FF3">
      <w:pPr>
        <w:pStyle w:val="23"/>
        <w:rPr>
          <w:rFonts w:hint="eastAsia"/>
          <w:color w:val="auto"/>
          <w:highlight w:val="none"/>
        </w:rPr>
      </w:pPr>
    </w:p>
    <w:p w14:paraId="38A8E80F">
      <w:pPr>
        <w:jc w:val="center"/>
        <w:rPr>
          <w:rFonts w:hint="eastAsia" w:ascii="宋体" w:hAnsi="宋体" w:eastAsia="宋体" w:cs="宋体"/>
          <w:b/>
          <w:color w:val="auto"/>
          <w:sz w:val="22"/>
          <w:szCs w:val="22"/>
          <w:highlight w:val="none"/>
        </w:rPr>
      </w:pPr>
      <w:r>
        <w:rPr>
          <w:rFonts w:hint="eastAsia" w:ascii="宋体" w:hAnsi="宋体" w:cs="宋体"/>
          <w:b/>
          <w:color w:val="auto"/>
          <w:sz w:val="48"/>
          <w:szCs w:val="48"/>
          <w:highlight w:val="none"/>
          <w:lang w:val="en-US" w:eastAsia="zh-CN"/>
        </w:rPr>
        <w:t xml:space="preserve"> </w:t>
      </w:r>
      <w:r>
        <w:rPr>
          <w:rFonts w:hint="eastAsia" w:ascii="宋体" w:hAnsi="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目  录</w:t>
      </w:r>
    </w:p>
    <w:p w14:paraId="46F2D047">
      <w:pPr>
        <w:pStyle w:val="37"/>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自动索引</w:t>
      </w:r>
      <w:r>
        <w:rPr>
          <w:rFonts w:hint="eastAsia" w:ascii="宋体" w:hAnsi="宋体" w:eastAsia="宋体" w:cs="宋体"/>
          <w:b w:val="0"/>
          <w:bCs w:val="0"/>
          <w:color w:val="auto"/>
          <w:sz w:val="24"/>
          <w:szCs w:val="24"/>
          <w:highlight w:val="none"/>
          <w:lang w:val="en-US" w:eastAsia="zh-CN"/>
        </w:rPr>
        <w:t>）</w:t>
      </w:r>
    </w:p>
    <w:p w14:paraId="0B303C80">
      <w:pPr>
        <w:pStyle w:val="17"/>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 xml:space="preserve">   </w:t>
      </w:r>
    </w:p>
    <w:p w14:paraId="157105F7">
      <w:pPr>
        <w:autoSpaceDE w:val="0"/>
        <w:autoSpaceDN w:val="0"/>
        <w:adjustRightInd w:val="0"/>
        <w:snapToGrid w:val="0"/>
        <w:spacing w:before="312" w:beforeLines="100" w:after="156" w:afterLines="50" w:line="480" w:lineRule="exact"/>
        <w:textAlignment w:val="baseline"/>
        <w:rPr>
          <w:rFonts w:hint="eastAsia" w:ascii="宋体" w:hAnsi="宋体" w:eastAsia="宋体" w:cs="宋体"/>
          <w:b/>
          <w:bCs/>
          <w:color w:val="auto"/>
          <w:sz w:val="32"/>
          <w:szCs w:val="32"/>
          <w:highlight w:val="none"/>
        </w:rPr>
      </w:pPr>
    </w:p>
    <w:p w14:paraId="56DB05F7">
      <w:pPr>
        <w:autoSpaceDE w:val="0"/>
        <w:autoSpaceDN w:val="0"/>
        <w:snapToGrid w:val="0"/>
        <w:spacing w:before="312" w:beforeLines="100" w:after="156" w:afterLines="50" w:line="600" w:lineRule="exact"/>
        <w:rPr>
          <w:rFonts w:hint="eastAsia" w:ascii="宋体" w:hAnsi="宋体" w:eastAsia="宋体" w:cs="宋体"/>
          <w:b/>
          <w:color w:val="auto"/>
          <w:sz w:val="32"/>
          <w:szCs w:val="32"/>
          <w:highlight w:val="none"/>
        </w:rPr>
      </w:pPr>
    </w:p>
    <w:p w14:paraId="142D7BDA">
      <w:pPr>
        <w:autoSpaceDE w:val="0"/>
        <w:autoSpaceDN w:val="0"/>
        <w:snapToGrid w:val="0"/>
        <w:spacing w:before="312" w:beforeLines="100" w:after="156" w:afterLines="50" w:line="600" w:lineRule="exact"/>
        <w:rPr>
          <w:rFonts w:hint="eastAsia" w:ascii="宋体" w:hAnsi="宋体" w:eastAsia="宋体" w:cs="宋体"/>
          <w:b/>
          <w:color w:val="auto"/>
          <w:sz w:val="32"/>
          <w:szCs w:val="32"/>
          <w:highlight w:val="none"/>
        </w:rPr>
      </w:pPr>
    </w:p>
    <w:p w14:paraId="0808AD65">
      <w:pPr>
        <w:autoSpaceDE w:val="0"/>
        <w:autoSpaceDN w:val="0"/>
        <w:snapToGrid w:val="0"/>
        <w:spacing w:before="312" w:beforeLines="100" w:after="156" w:afterLines="50" w:line="600" w:lineRule="exact"/>
        <w:rPr>
          <w:rFonts w:hint="eastAsia" w:ascii="宋体" w:hAnsi="宋体" w:eastAsia="宋体" w:cs="宋体"/>
          <w:b/>
          <w:color w:val="auto"/>
          <w:sz w:val="32"/>
          <w:szCs w:val="32"/>
          <w:highlight w:val="none"/>
        </w:rPr>
      </w:pPr>
    </w:p>
    <w:p w14:paraId="5C2A3A1F">
      <w:pPr>
        <w:autoSpaceDE w:val="0"/>
        <w:autoSpaceDN w:val="0"/>
        <w:snapToGrid w:val="0"/>
        <w:spacing w:before="312" w:beforeLines="100" w:after="156" w:afterLines="50" w:line="600" w:lineRule="exact"/>
        <w:rPr>
          <w:rFonts w:hint="eastAsia" w:ascii="宋体" w:hAnsi="宋体" w:eastAsia="宋体" w:cs="宋体"/>
          <w:b/>
          <w:color w:val="auto"/>
          <w:sz w:val="32"/>
          <w:szCs w:val="32"/>
          <w:highlight w:val="none"/>
        </w:rPr>
      </w:pPr>
    </w:p>
    <w:p w14:paraId="239AA100">
      <w:pPr>
        <w:autoSpaceDE w:val="0"/>
        <w:autoSpaceDN w:val="0"/>
        <w:snapToGrid w:val="0"/>
        <w:spacing w:before="312" w:beforeLines="100" w:after="156" w:afterLines="50" w:line="600" w:lineRule="exact"/>
        <w:jc w:val="center"/>
        <w:rPr>
          <w:rFonts w:hint="eastAsia" w:ascii="宋体" w:hAnsi="宋体" w:eastAsia="宋体" w:cs="宋体"/>
          <w:b/>
          <w:color w:val="auto"/>
          <w:sz w:val="32"/>
          <w:szCs w:val="32"/>
          <w:highlight w:val="none"/>
        </w:rPr>
      </w:pPr>
    </w:p>
    <w:p w14:paraId="175206F3">
      <w:pPr>
        <w:autoSpaceDE w:val="0"/>
        <w:autoSpaceDN w:val="0"/>
        <w:snapToGrid w:val="0"/>
        <w:spacing w:before="312" w:beforeLines="100" w:after="156" w:afterLines="50" w:line="600" w:lineRule="exact"/>
        <w:jc w:val="center"/>
        <w:rPr>
          <w:rFonts w:hint="eastAsia" w:ascii="宋体" w:hAnsi="宋体" w:eastAsia="宋体" w:cs="宋体"/>
          <w:b/>
          <w:color w:val="auto"/>
          <w:sz w:val="32"/>
          <w:szCs w:val="32"/>
          <w:highlight w:val="none"/>
        </w:rPr>
      </w:pPr>
    </w:p>
    <w:p w14:paraId="128E702C">
      <w:pPr>
        <w:autoSpaceDE w:val="0"/>
        <w:autoSpaceDN w:val="0"/>
        <w:snapToGrid w:val="0"/>
        <w:spacing w:before="312" w:beforeLines="100" w:after="156" w:afterLines="50" w:line="600" w:lineRule="exact"/>
        <w:jc w:val="center"/>
        <w:rPr>
          <w:rFonts w:hint="eastAsia" w:ascii="宋体" w:hAnsi="宋体" w:eastAsia="宋体" w:cs="宋体"/>
          <w:b/>
          <w:color w:val="auto"/>
          <w:sz w:val="32"/>
          <w:szCs w:val="32"/>
          <w:highlight w:val="none"/>
        </w:rPr>
        <w:sectPr>
          <w:footerReference r:id="rId10"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28B05CC">
      <w:pPr>
        <w:autoSpaceDE w:val="0"/>
        <w:autoSpaceDN w:val="0"/>
        <w:snapToGrid w:val="0"/>
        <w:spacing w:before="312" w:beforeLines="100" w:after="156" w:afterLines="50" w:line="600" w:lineRule="exact"/>
        <w:jc w:val="center"/>
        <w:outlineLvl w:val="0"/>
        <w:rPr>
          <w:rFonts w:hint="eastAsia" w:ascii="宋体" w:hAnsi="宋体" w:eastAsia="宋体" w:cs="宋体"/>
          <w:b/>
          <w:color w:val="auto"/>
          <w:sz w:val="32"/>
          <w:szCs w:val="32"/>
          <w:highlight w:val="none"/>
        </w:rPr>
      </w:pPr>
      <w:bookmarkStart w:id="220" w:name="_Toc29287"/>
      <w:r>
        <w:rPr>
          <w:rFonts w:hint="eastAsia" w:ascii="宋体" w:hAnsi="宋体" w:eastAsia="宋体" w:cs="宋体"/>
          <w:b/>
          <w:color w:val="auto"/>
          <w:sz w:val="32"/>
          <w:szCs w:val="32"/>
          <w:highlight w:val="none"/>
        </w:rPr>
        <w:t>一、投标函</w:t>
      </w:r>
      <w:bookmarkEnd w:id="220"/>
    </w:p>
    <w:p w14:paraId="635AF8D3">
      <w:pPr>
        <w:spacing w:line="360" w:lineRule="auto"/>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u w:val="single"/>
        </w:rPr>
        <w:t xml:space="preserve">致        （采购人） </w:t>
      </w:r>
      <w:r>
        <w:rPr>
          <w:rFonts w:hint="eastAsia" w:ascii="宋体" w:hAnsi="宋体" w:cs="宋体"/>
          <w:color w:val="auto"/>
          <w:sz w:val="24"/>
          <w:szCs w:val="24"/>
          <w:highlight w:val="none"/>
        </w:rPr>
        <w:t>：</w:t>
      </w:r>
    </w:p>
    <w:p w14:paraId="01A8974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我方收到贵公司发布的</w:t>
      </w:r>
      <w:r>
        <w:rPr>
          <w:rFonts w:hint="eastAsia" w:ascii="宋体" w:hAnsi="宋体" w:eastAsia="宋体" w:cs="宋体"/>
          <w:color w:val="auto"/>
          <w:spacing w:val="4"/>
          <w:sz w:val="22"/>
          <w:szCs w:val="22"/>
          <w:highlight w:val="none"/>
          <w:u w:val="single"/>
        </w:rPr>
        <w:t>《项目名称》</w:t>
      </w:r>
      <w:r>
        <w:rPr>
          <w:rFonts w:hint="eastAsia" w:ascii="宋体" w:hAnsi="宋体" w:cs="宋体"/>
          <w:color w:val="auto"/>
          <w:spacing w:val="4"/>
          <w:sz w:val="22"/>
          <w:szCs w:val="22"/>
          <w:highlight w:val="none"/>
          <w:u w:val="single"/>
          <w:lang w:val="en-US" w:eastAsia="zh-CN"/>
        </w:rPr>
        <w:t xml:space="preserve">    </w:t>
      </w:r>
      <w:r>
        <w:rPr>
          <w:rFonts w:hint="eastAsia" w:ascii="宋体" w:hAnsi="宋体" w:eastAsia="宋体" w:cs="宋体"/>
          <w:color w:val="auto"/>
          <w:spacing w:val="4"/>
          <w:sz w:val="22"/>
          <w:szCs w:val="22"/>
          <w:highlight w:val="none"/>
          <w:u w:val="single"/>
        </w:rPr>
        <w:t>（项目编号：</w:t>
      </w:r>
      <w:r>
        <w:rPr>
          <w:rFonts w:hint="eastAsia" w:ascii="宋体" w:hAnsi="宋体" w:cs="宋体"/>
          <w:color w:val="auto"/>
          <w:spacing w:val="4"/>
          <w:sz w:val="22"/>
          <w:szCs w:val="22"/>
          <w:highlight w:val="none"/>
          <w:u w:val="single"/>
          <w:lang w:val="en-US" w:eastAsia="zh-CN"/>
        </w:rPr>
        <w:t xml:space="preserve">   </w:t>
      </w:r>
      <w:r>
        <w:rPr>
          <w:rFonts w:hint="eastAsia" w:ascii="宋体" w:hAnsi="宋体" w:eastAsia="宋体" w:cs="宋体"/>
          <w:color w:val="auto"/>
          <w:spacing w:val="4"/>
          <w:sz w:val="22"/>
          <w:szCs w:val="22"/>
          <w:highlight w:val="none"/>
          <w:u w:val="single"/>
        </w:rPr>
        <w:t>）</w:t>
      </w:r>
      <w:r>
        <w:rPr>
          <w:rFonts w:hint="eastAsia" w:ascii="宋体" w:hAnsi="宋体" w:eastAsia="宋体" w:cs="宋体"/>
          <w:color w:val="auto"/>
          <w:spacing w:val="4"/>
          <w:sz w:val="22"/>
          <w:szCs w:val="22"/>
          <w:highlight w:val="none"/>
        </w:rPr>
        <w:t>招标文件，经详细研究，我方决定参加该项目招标活动。为此，我方郑重声明以下诸点，并负法律责任。</w:t>
      </w:r>
    </w:p>
    <w:p w14:paraId="63BAA7E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1、本文件的所有内容，组成了我们的投标文件，并且该文件内的所有内容都是真实的。</w:t>
      </w:r>
    </w:p>
    <w:p w14:paraId="2DFC3CE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2、我们与招标人不存在可能影响招标公正性的利害关系。</w:t>
      </w:r>
    </w:p>
    <w:p w14:paraId="50DBA32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3、我们完全同意招标文件规定的招标程序及评标方法，我们完全接受并认同招标文件（包括合同条款）的全部内容，愿意遵守招标文件中的各项规定。</w:t>
      </w:r>
    </w:p>
    <w:p w14:paraId="5A92C28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4、</w:t>
      </w:r>
      <w:r>
        <w:rPr>
          <w:rFonts w:hint="eastAsia" w:ascii="宋体" w:hAnsi="宋体" w:eastAsia="宋体" w:cs="宋体"/>
          <w:color w:val="auto"/>
          <w:spacing w:val="4"/>
          <w:sz w:val="22"/>
          <w:szCs w:val="22"/>
          <w:highlight w:val="none"/>
          <w:lang w:val="en-US" w:eastAsia="zh-CN"/>
        </w:rPr>
        <w:t>我方</w:t>
      </w:r>
      <w:r>
        <w:rPr>
          <w:rFonts w:hint="eastAsia" w:ascii="宋体" w:hAnsi="宋体" w:eastAsia="宋体" w:cs="宋体"/>
          <w:color w:val="auto"/>
          <w:spacing w:val="4"/>
          <w:sz w:val="22"/>
          <w:szCs w:val="22"/>
          <w:highlight w:val="none"/>
        </w:rPr>
        <w:t>已交纳</w:t>
      </w:r>
      <w:r>
        <w:rPr>
          <w:rFonts w:hint="eastAsia" w:ascii="宋体" w:hAnsi="宋体" w:eastAsia="宋体" w:cs="宋体"/>
          <w:color w:val="auto"/>
          <w:spacing w:val="4"/>
          <w:sz w:val="22"/>
          <w:szCs w:val="22"/>
          <w:highlight w:val="none"/>
          <w:lang w:val="en-US" w:eastAsia="zh-CN"/>
        </w:rPr>
        <w:t>投标</w:t>
      </w:r>
      <w:r>
        <w:rPr>
          <w:rFonts w:hint="eastAsia" w:ascii="宋体" w:hAnsi="宋体" w:eastAsia="宋体" w:cs="宋体"/>
          <w:color w:val="auto"/>
          <w:spacing w:val="4"/>
          <w:sz w:val="22"/>
          <w:szCs w:val="22"/>
          <w:highlight w:val="none"/>
        </w:rPr>
        <w:t>保证金：缴纳形式为</w:t>
      </w:r>
      <w:r>
        <w:rPr>
          <w:rFonts w:hint="eastAsia" w:ascii="宋体" w:hAnsi="宋体" w:eastAsia="宋体" w:cs="宋体"/>
          <w:color w:val="auto"/>
          <w:spacing w:val="4"/>
          <w:sz w:val="22"/>
          <w:szCs w:val="22"/>
          <w:highlight w:val="none"/>
          <w:u w:val="single"/>
        </w:rPr>
        <w:t xml:space="preserve"> </w:t>
      </w:r>
      <w:r>
        <w:rPr>
          <w:rFonts w:hint="eastAsia" w:ascii="宋体" w:hAnsi="宋体" w:cs="宋体"/>
          <w:color w:val="auto"/>
          <w:spacing w:val="4"/>
          <w:sz w:val="22"/>
          <w:szCs w:val="22"/>
          <w:highlight w:val="none"/>
          <w:u w:val="single"/>
          <w:lang w:val="en-US" w:eastAsia="zh-CN"/>
        </w:rPr>
        <w:t xml:space="preserve">    </w:t>
      </w:r>
      <w:r>
        <w:rPr>
          <w:rFonts w:hint="eastAsia" w:ascii="宋体" w:hAnsi="宋体" w:eastAsia="宋体" w:cs="宋体"/>
          <w:color w:val="auto"/>
          <w:spacing w:val="4"/>
          <w:sz w:val="22"/>
          <w:szCs w:val="22"/>
          <w:highlight w:val="none"/>
        </w:rPr>
        <w:t xml:space="preserve"> 。</w:t>
      </w:r>
    </w:p>
    <w:p w14:paraId="096E34F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lang w:val="en-US" w:eastAsia="zh-CN"/>
        </w:rPr>
        <w:t>5、</w:t>
      </w:r>
      <w:r>
        <w:rPr>
          <w:rFonts w:hint="eastAsia" w:ascii="宋体" w:hAnsi="宋体" w:eastAsia="宋体" w:cs="宋体"/>
          <w:color w:val="auto"/>
          <w:spacing w:val="4"/>
          <w:sz w:val="22"/>
          <w:szCs w:val="22"/>
          <w:highlight w:val="none"/>
        </w:rPr>
        <w:t>我方将严格按照有关建设工程招标投标法规及招标文件的规定参加投标。如我方中标，我方保证在接到你方发出的中标通知书起</w:t>
      </w:r>
      <w:r>
        <w:rPr>
          <w:rFonts w:hint="eastAsia" w:ascii="宋体" w:hAnsi="宋体" w:eastAsia="宋体" w:cs="宋体"/>
          <w:color w:val="auto"/>
          <w:spacing w:val="4"/>
          <w:sz w:val="22"/>
          <w:szCs w:val="22"/>
          <w:highlight w:val="none"/>
          <w:lang w:val="en-US" w:eastAsia="zh-CN"/>
        </w:rPr>
        <w:t>10日内</w:t>
      </w:r>
      <w:r>
        <w:rPr>
          <w:rFonts w:hint="eastAsia" w:ascii="宋体" w:hAnsi="宋体" w:eastAsia="宋体" w:cs="宋体"/>
          <w:color w:val="auto"/>
          <w:spacing w:val="4"/>
          <w:sz w:val="22"/>
          <w:szCs w:val="22"/>
          <w:highlight w:val="none"/>
        </w:rPr>
        <w:t>，按中标通知书、招标文件和本投标书的约定与招标人签订合同。</w:t>
      </w:r>
    </w:p>
    <w:p w14:paraId="7F7BD82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lang w:val="en-US" w:eastAsia="zh-CN"/>
        </w:rPr>
        <w:t>6、</w:t>
      </w:r>
      <w:r>
        <w:rPr>
          <w:rFonts w:hint="eastAsia" w:ascii="宋体" w:hAnsi="宋体" w:eastAsia="宋体" w:cs="宋体"/>
          <w:color w:val="auto"/>
          <w:spacing w:val="4"/>
          <w:sz w:val="22"/>
          <w:szCs w:val="22"/>
          <w:highlight w:val="none"/>
        </w:rPr>
        <w:t>经认真考虑和详细计算，我们在此报出最优惠的价格参与竞争(详见《投标报价表》)。</w:t>
      </w:r>
    </w:p>
    <w:p w14:paraId="4E384E6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lang w:val="en-US" w:eastAsia="zh-CN"/>
        </w:rPr>
        <w:t>7、</w:t>
      </w:r>
      <w:r>
        <w:rPr>
          <w:rFonts w:hint="eastAsia" w:ascii="宋体" w:hAnsi="宋体" w:eastAsia="宋体" w:cs="宋体"/>
          <w:color w:val="auto"/>
          <w:spacing w:val="4"/>
          <w:sz w:val="22"/>
          <w:szCs w:val="22"/>
          <w:highlight w:val="none"/>
        </w:rPr>
        <w:t>对于招标人要求进一步提供的其它资料，我们愿意尽快提供或答复。</w:t>
      </w:r>
    </w:p>
    <w:p w14:paraId="6ED5B80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color w:val="auto"/>
          <w:spacing w:val="4"/>
          <w:sz w:val="22"/>
          <w:szCs w:val="22"/>
          <w:highlight w:val="none"/>
          <w:u w:val="single"/>
          <w:lang w:eastAsia="zh-CN"/>
        </w:rPr>
      </w:pPr>
      <w:r>
        <w:rPr>
          <w:rFonts w:hint="eastAsia" w:ascii="宋体" w:hAnsi="宋体" w:eastAsia="宋体" w:cs="宋体"/>
          <w:color w:val="auto"/>
          <w:spacing w:val="4"/>
          <w:sz w:val="22"/>
          <w:szCs w:val="22"/>
          <w:highlight w:val="none"/>
          <w:lang w:val="en-US" w:eastAsia="zh-CN"/>
        </w:rPr>
        <w:t>8、投标</w:t>
      </w:r>
      <w:r>
        <w:rPr>
          <w:rFonts w:hint="eastAsia" w:ascii="宋体" w:hAnsi="宋体" w:eastAsia="宋体" w:cs="宋体"/>
          <w:color w:val="auto"/>
          <w:spacing w:val="4"/>
          <w:sz w:val="22"/>
          <w:szCs w:val="22"/>
          <w:highlight w:val="none"/>
        </w:rPr>
        <w:t>报价自</w:t>
      </w:r>
      <w:r>
        <w:rPr>
          <w:rFonts w:hint="eastAsia" w:ascii="宋体" w:hAnsi="宋体" w:eastAsia="宋体" w:cs="宋体"/>
          <w:color w:val="auto"/>
          <w:spacing w:val="4"/>
          <w:sz w:val="22"/>
          <w:szCs w:val="22"/>
          <w:highlight w:val="none"/>
          <w:lang w:val="en-US" w:eastAsia="zh-CN"/>
        </w:rPr>
        <w:t>投标</w:t>
      </w:r>
      <w:r>
        <w:rPr>
          <w:rFonts w:hint="eastAsia" w:ascii="宋体" w:hAnsi="宋体" w:eastAsia="宋体" w:cs="宋体"/>
          <w:color w:val="auto"/>
          <w:spacing w:val="4"/>
          <w:sz w:val="22"/>
          <w:szCs w:val="22"/>
          <w:highlight w:val="none"/>
        </w:rPr>
        <w:t>截止之日起有效期为</w:t>
      </w:r>
      <w:r>
        <w:rPr>
          <w:rFonts w:hint="eastAsia" w:ascii="宋体" w:hAnsi="宋体" w:cs="宋体"/>
          <w:color w:val="auto"/>
          <w:spacing w:val="4"/>
          <w:sz w:val="22"/>
          <w:szCs w:val="22"/>
          <w:highlight w:val="none"/>
          <w:u w:val="single"/>
          <w:lang w:val="en-US" w:eastAsia="zh-CN"/>
        </w:rPr>
        <w:t xml:space="preserve">   </w:t>
      </w:r>
      <w:r>
        <w:rPr>
          <w:rFonts w:hint="eastAsia" w:ascii="宋体" w:hAnsi="宋体" w:eastAsia="宋体" w:cs="宋体"/>
          <w:color w:val="auto"/>
          <w:spacing w:val="4"/>
          <w:sz w:val="22"/>
          <w:szCs w:val="22"/>
          <w:highlight w:val="none"/>
        </w:rPr>
        <w:t>个日历天</w:t>
      </w:r>
      <w:r>
        <w:rPr>
          <w:rFonts w:hint="eastAsia" w:ascii="宋体" w:hAnsi="宋体" w:eastAsia="宋体" w:cs="宋体"/>
          <w:color w:val="auto"/>
          <w:spacing w:val="4"/>
          <w:sz w:val="22"/>
          <w:szCs w:val="22"/>
          <w:highlight w:val="none"/>
          <w:lang w:eastAsia="zh-CN"/>
        </w:rPr>
        <w:t>，</w:t>
      </w:r>
      <w:r>
        <w:rPr>
          <w:rFonts w:hint="eastAsia" w:ascii="宋体" w:hAnsi="宋体" w:eastAsia="宋体" w:cs="宋体"/>
          <w:color w:val="auto"/>
          <w:spacing w:val="4"/>
          <w:sz w:val="22"/>
          <w:szCs w:val="22"/>
          <w:highlight w:val="none"/>
          <w:lang w:val="en-US" w:eastAsia="zh-CN"/>
        </w:rPr>
        <w:t>如</w:t>
      </w:r>
      <w:r>
        <w:rPr>
          <w:rFonts w:hint="eastAsia" w:ascii="宋体" w:hAnsi="宋体" w:eastAsia="宋体" w:cs="宋体"/>
          <w:color w:val="auto"/>
          <w:spacing w:val="4"/>
          <w:sz w:val="22"/>
          <w:szCs w:val="22"/>
          <w:highlight w:val="none"/>
          <w:lang w:eastAsia="zh-CN"/>
        </w:rPr>
        <w:t>中标，投标文件有效期与合同有效期一致。</w:t>
      </w:r>
    </w:p>
    <w:p w14:paraId="301A3CD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lang w:val="en-US" w:eastAsia="zh-CN"/>
        </w:rPr>
        <w:t>9、</w:t>
      </w:r>
      <w:r>
        <w:rPr>
          <w:rFonts w:hint="eastAsia" w:ascii="宋体" w:hAnsi="宋体" w:eastAsia="宋体" w:cs="宋体"/>
          <w:color w:val="auto"/>
          <w:spacing w:val="4"/>
          <w:sz w:val="22"/>
          <w:szCs w:val="22"/>
          <w:highlight w:val="none"/>
        </w:rPr>
        <w:t>所有关于本次投标的函电联系，请寄到下列地址：</w:t>
      </w:r>
    </w:p>
    <w:p w14:paraId="0F381C33">
      <w:pPr>
        <w:widowControl w:val="0"/>
        <w:shd w:val="clear" w:color="auto" w:fill="auto"/>
        <w:tabs>
          <w:tab w:val="center" w:pos="4153"/>
          <w:tab w:val="right" w:pos="8306"/>
        </w:tabs>
        <w:snapToGrid w:val="0"/>
        <w:spacing w:after="0"/>
        <w:jc w:val="left"/>
        <w:rPr>
          <w:rFonts w:hint="eastAsia" w:ascii="Times New Roman" w:hAnsi="Times New Roman" w:eastAsia="宋体" w:cs="Times New Roman"/>
          <w:color w:val="auto"/>
          <w:kern w:val="0"/>
          <w:sz w:val="22"/>
          <w:szCs w:val="22"/>
          <w:highlight w:val="none"/>
          <w:lang w:val="en-US" w:eastAsia="zh-CN" w:bidi="ar-SA"/>
        </w:rPr>
      </w:pPr>
    </w:p>
    <w:p w14:paraId="7A115C9E">
      <w:pPr>
        <w:shd w:val="clear" w:color="auto" w:fill="auto"/>
        <w:spacing w:line="400" w:lineRule="exact"/>
        <w:ind w:firstLine="570" w:firstLineChars="250"/>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lang w:val="en-US" w:eastAsia="zh-CN"/>
        </w:rPr>
        <w:t>供应商</w:t>
      </w:r>
      <w:r>
        <w:rPr>
          <w:rFonts w:hint="eastAsia" w:ascii="宋体" w:hAnsi="宋体" w:eastAsia="宋体" w:cs="宋体"/>
          <w:color w:val="auto"/>
          <w:spacing w:val="4"/>
          <w:sz w:val="22"/>
          <w:szCs w:val="22"/>
          <w:highlight w:val="none"/>
        </w:rPr>
        <w:t>全称（公章）：</w:t>
      </w:r>
    </w:p>
    <w:p w14:paraId="52089638">
      <w:pPr>
        <w:shd w:val="clear" w:color="auto" w:fill="auto"/>
        <w:spacing w:line="400" w:lineRule="exact"/>
        <w:ind w:firstLine="570" w:firstLineChars="250"/>
        <w:rPr>
          <w:rFonts w:hint="eastAsia" w:ascii="宋体" w:hAnsi="宋体" w:eastAsia="宋体" w:cs="宋体"/>
          <w:color w:val="auto"/>
          <w:spacing w:val="4"/>
          <w:sz w:val="22"/>
          <w:szCs w:val="22"/>
          <w:highlight w:val="none"/>
          <w:lang w:eastAsia="zh-CN"/>
        </w:rPr>
      </w:pPr>
      <w:r>
        <w:rPr>
          <w:rFonts w:hint="eastAsia" w:ascii="宋体" w:hAnsi="宋体" w:eastAsia="宋体" w:cs="宋体"/>
          <w:color w:val="auto"/>
          <w:spacing w:val="4"/>
          <w:sz w:val="22"/>
          <w:szCs w:val="22"/>
          <w:highlight w:val="none"/>
        </w:rPr>
        <w:t>地址</w:t>
      </w:r>
      <w:r>
        <w:rPr>
          <w:rFonts w:hint="eastAsia" w:ascii="宋体" w:hAnsi="宋体" w:eastAsia="宋体" w:cs="宋体"/>
          <w:color w:val="auto"/>
          <w:spacing w:val="4"/>
          <w:sz w:val="22"/>
          <w:szCs w:val="22"/>
          <w:highlight w:val="none"/>
          <w:lang w:eastAsia="zh-CN"/>
        </w:rPr>
        <w:t>：</w:t>
      </w:r>
      <w:r>
        <w:rPr>
          <w:rFonts w:hint="eastAsia" w:ascii="宋体" w:hAnsi="宋体" w:eastAsia="宋体" w:cs="宋体"/>
          <w:color w:val="auto"/>
          <w:spacing w:val="4"/>
          <w:sz w:val="22"/>
          <w:szCs w:val="22"/>
          <w:highlight w:val="none"/>
          <w:lang w:val="en-US" w:eastAsia="zh-CN"/>
        </w:rPr>
        <w:t xml:space="preserve">       </w:t>
      </w:r>
      <w:r>
        <w:rPr>
          <w:rFonts w:hint="eastAsia" w:ascii="宋体" w:hAnsi="宋体" w:eastAsia="宋体" w:cs="宋体"/>
          <w:color w:val="auto"/>
          <w:spacing w:val="4"/>
          <w:sz w:val="22"/>
          <w:szCs w:val="22"/>
          <w:highlight w:val="none"/>
        </w:rPr>
        <w:t>邮编：</w:t>
      </w:r>
    </w:p>
    <w:p w14:paraId="4813FE8E">
      <w:pPr>
        <w:shd w:val="clear" w:color="auto" w:fill="auto"/>
        <w:spacing w:line="400" w:lineRule="exact"/>
        <w:ind w:firstLine="570" w:firstLineChars="250"/>
        <w:rPr>
          <w:rFonts w:hint="default" w:ascii="宋体" w:hAnsi="宋体" w:eastAsia="宋体" w:cs="宋体"/>
          <w:color w:val="auto"/>
          <w:spacing w:val="4"/>
          <w:sz w:val="22"/>
          <w:szCs w:val="22"/>
          <w:highlight w:val="none"/>
          <w:lang w:val="en-US" w:eastAsia="zh-CN"/>
        </w:rPr>
      </w:pPr>
      <w:r>
        <w:rPr>
          <w:rFonts w:hint="eastAsia" w:ascii="宋体" w:hAnsi="宋体" w:eastAsia="宋体" w:cs="宋体"/>
          <w:color w:val="auto"/>
          <w:spacing w:val="4"/>
          <w:sz w:val="22"/>
          <w:szCs w:val="22"/>
          <w:highlight w:val="none"/>
        </w:rPr>
        <w:t>电话：</w:t>
      </w:r>
      <w:r>
        <w:rPr>
          <w:rFonts w:hint="eastAsia" w:ascii="宋体" w:hAnsi="宋体" w:eastAsia="宋体" w:cs="宋体"/>
          <w:color w:val="auto"/>
          <w:spacing w:val="4"/>
          <w:sz w:val="22"/>
          <w:szCs w:val="22"/>
          <w:highlight w:val="none"/>
          <w:lang w:val="en-US" w:eastAsia="zh-CN"/>
        </w:rPr>
        <w:t xml:space="preserve">       邮箱（专用邮箱） ：</w:t>
      </w:r>
    </w:p>
    <w:p w14:paraId="4047614A">
      <w:pPr>
        <w:shd w:val="clear" w:color="auto" w:fill="auto"/>
        <w:spacing w:line="400" w:lineRule="exact"/>
        <w:ind w:firstLine="570" w:firstLineChars="250"/>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传真：</w:t>
      </w:r>
    </w:p>
    <w:p w14:paraId="43036574">
      <w:pPr>
        <w:shd w:val="clear" w:color="auto" w:fill="auto"/>
        <w:spacing w:line="400" w:lineRule="exact"/>
        <w:ind w:firstLine="570" w:firstLineChars="250"/>
        <w:rPr>
          <w:rFonts w:hint="eastAsia" w:ascii="宋体" w:hAnsi="宋体" w:eastAsia="宋体" w:cs="宋体"/>
          <w:color w:val="auto"/>
          <w:spacing w:val="4"/>
          <w:sz w:val="22"/>
          <w:szCs w:val="22"/>
          <w:highlight w:val="none"/>
          <w:lang w:eastAsia="zh-CN"/>
        </w:rPr>
      </w:pPr>
      <w:r>
        <w:rPr>
          <w:rFonts w:hint="eastAsia" w:ascii="宋体" w:hAnsi="宋体" w:eastAsia="宋体" w:cs="宋体"/>
          <w:color w:val="auto"/>
          <w:spacing w:val="4"/>
          <w:sz w:val="22"/>
          <w:szCs w:val="22"/>
          <w:highlight w:val="none"/>
        </w:rPr>
        <w:t>开户银行：</w:t>
      </w:r>
    </w:p>
    <w:p w14:paraId="1D8A3566">
      <w:pPr>
        <w:shd w:val="clear" w:color="auto" w:fill="auto"/>
        <w:spacing w:line="400" w:lineRule="exact"/>
        <w:ind w:firstLine="570" w:firstLineChars="250"/>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帐    号：</w:t>
      </w:r>
    </w:p>
    <w:p w14:paraId="210BAC31">
      <w:pPr>
        <w:shd w:val="clear" w:color="auto" w:fill="auto"/>
        <w:spacing w:line="400" w:lineRule="exact"/>
        <w:ind w:firstLine="570" w:firstLineChars="250"/>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法定代表人或委托代理人（签名或盖章）：</w:t>
      </w:r>
    </w:p>
    <w:p w14:paraId="1D9E28C0">
      <w:pPr>
        <w:shd w:val="clear" w:color="auto" w:fill="auto"/>
        <w:spacing w:line="400" w:lineRule="exact"/>
        <w:ind w:firstLine="570" w:firstLineChars="250"/>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日    期：</w:t>
      </w:r>
    </w:p>
    <w:p w14:paraId="557C4B60">
      <w:pPr>
        <w:widowControl w:val="0"/>
        <w:adjustRightInd w:val="0"/>
        <w:spacing w:before="0" w:after="120"/>
        <w:ind w:left="0" w:right="0" w:firstLine="420"/>
        <w:jc w:val="left"/>
        <w:textAlignment w:val="baseline"/>
        <w:rPr>
          <w:rFonts w:hint="eastAsia" w:ascii="宋体" w:hAnsi="宋体" w:eastAsia="宋体" w:cs="宋体"/>
          <w:color w:val="auto"/>
          <w:spacing w:val="4"/>
          <w:kern w:val="0"/>
          <w:sz w:val="22"/>
          <w:szCs w:val="22"/>
          <w:highlight w:val="none"/>
          <w:lang w:val="en-US" w:eastAsia="zh-CN" w:bidi="ar-SA"/>
        </w:rPr>
      </w:pPr>
    </w:p>
    <w:p w14:paraId="663B910F">
      <w:pPr>
        <w:widowControl w:val="0"/>
        <w:adjustRightInd w:val="0"/>
        <w:spacing w:before="0" w:after="120"/>
        <w:ind w:left="0" w:right="0" w:firstLine="420"/>
        <w:jc w:val="left"/>
        <w:textAlignment w:val="baseline"/>
        <w:rPr>
          <w:rFonts w:hint="eastAsia" w:ascii="宋体" w:hAnsi="宋体" w:eastAsia="宋体" w:cs="宋体"/>
          <w:color w:val="auto"/>
          <w:spacing w:val="4"/>
          <w:kern w:val="0"/>
          <w:sz w:val="22"/>
          <w:szCs w:val="22"/>
          <w:highlight w:val="none"/>
          <w:lang w:val="en-US" w:eastAsia="zh-CN" w:bidi="ar-SA"/>
        </w:rPr>
      </w:pPr>
      <w:r>
        <w:rPr>
          <w:rFonts w:hint="eastAsia" w:ascii="宋体" w:hAnsi="宋体" w:eastAsia="宋体" w:cs="宋体"/>
          <w:color w:val="auto"/>
          <w:spacing w:val="4"/>
          <w:kern w:val="0"/>
          <w:sz w:val="22"/>
          <w:szCs w:val="22"/>
          <w:highlight w:val="none"/>
          <w:lang w:val="en-US" w:eastAsia="zh-CN" w:bidi="ar-SA"/>
        </w:rPr>
        <w:t>备注：1、除可填报项目外，对本响应函的任何实质性内容修改将被视为非实质性响应， 在评审时将其视为无效响应。</w:t>
      </w:r>
    </w:p>
    <w:p w14:paraId="639C4C99">
      <w:pPr>
        <w:autoSpaceDE w:val="0"/>
        <w:autoSpaceDN w:val="0"/>
        <w:adjustRightInd w:val="0"/>
        <w:spacing w:line="360" w:lineRule="auto"/>
        <w:ind w:right="480"/>
        <w:rPr>
          <w:rFonts w:hint="eastAsia" w:ascii="宋体" w:hAnsi="宋体" w:cs="宋体"/>
          <w:color w:val="auto"/>
          <w:sz w:val="22"/>
          <w:szCs w:val="22"/>
          <w:highlight w:val="none"/>
        </w:rPr>
      </w:pPr>
    </w:p>
    <w:p w14:paraId="2C6E01AC">
      <w:pPr>
        <w:autoSpaceDE w:val="0"/>
        <w:autoSpaceDN w:val="0"/>
        <w:snapToGrid w:val="0"/>
        <w:spacing w:line="360" w:lineRule="auto"/>
        <w:jc w:val="center"/>
        <w:rPr>
          <w:rFonts w:hint="eastAsia" w:ascii="宋体" w:hAnsi="宋体" w:cs="宋体"/>
          <w:b/>
          <w:color w:val="auto"/>
          <w:sz w:val="22"/>
          <w:szCs w:val="22"/>
          <w:highlight w:val="none"/>
          <w:lang w:val="en-US" w:eastAsia="zh-CN"/>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E983F83">
      <w:pPr>
        <w:autoSpaceDE w:val="0"/>
        <w:autoSpaceDN w:val="0"/>
        <w:snapToGrid w:val="0"/>
        <w:spacing w:line="360" w:lineRule="auto"/>
        <w:jc w:val="center"/>
        <w:outlineLvl w:val="0"/>
        <w:rPr>
          <w:rFonts w:hint="eastAsia" w:ascii="宋体" w:hAnsi="宋体" w:eastAsia="宋体" w:cs="宋体"/>
          <w:b/>
          <w:color w:val="auto"/>
          <w:sz w:val="32"/>
          <w:szCs w:val="32"/>
          <w:highlight w:val="none"/>
        </w:rPr>
      </w:pPr>
      <w:bookmarkStart w:id="221" w:name="_Toc22426"/>
      <w:r>
        <w:rPr>
          <w:rFonts w:hint="eastAsia" w:ascii="宋体" w:hAnsi="宋体" w:cs="宋体"/>
          <w:b/>
          <w:color w:val="auto"/>
          <w:sz w:val="32"/>
          <w:szCs w:val="32"/>
          <w:highlight w:val="none"/>
          <w:lang w:val="en-US" w:eastAsia="zh-CN"/>
        </w:rPr>
        <w:t>二</w:t>
      </w:r>
      <w:r>
        <w:rPr>
          <w:rFonts w:hint="eastAsia" w:ascii="宋体" w:hAnsi="宋体" w:eastAsia="宋体" w:cs="宋体"/>
          <w:b/>
          <w:color w:val="auto"/>
          <w:sz w:val="32"/>
          <w:szCs w:val="32"/>
          <w:highlight w:val="none"/>
        </w:rPr>
        <w:t>、</w:t>
      </w:r>
      <w:r>
        <w:rPr>
          <w:rFonts w:hint="eastAsia" w:ascii="宋体" w:hAnsi="宋体" w:cs="宋体"/>
          <w:b/>
          <w:color w:val="auto"/>
          <w:sz w:val="32"/>
          <w:szCs w:val="32"/>
          <w:highlight w:val="none"/>
          <w:lang w:val="en-US" w:eastAsia="zh-CN"/>
        </w:rPr>
        <w:t>开标一览</w:t>
      </w:r>
      <w:r>
        <w:rPr>
          <w:rFonts w:hint="eastAsia" w:ascii="宋体" w:hAnsi="宋体" w:eastAsia="宋体" w:cs="宋体"/>
          <w:b/>
          <w:color w:val="auto"/>
          <w:sz w:val="32"/>
          <w:szCs w:val="32"/>
          <w:highlight w:val="none"/>
        </w:rPr>
        <w:t>表</w:t>
      </w:r>
      <w:bookmarkEnd w:id="221"/>
    </w:p>
    <w:tbl>
      <w:tblPr>
        <w:tblStyle w:val="25"/>
        <w:tblpPr w:leftFromText="180" w:rightFromText="180" w:vertAnchor="text" w:horzAnchor="page" w:tblpX="1580" w:tblpY="736"/>
        <w:tblOverlap w:val="never"/>
        <w:tblW w:w="8937"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56"/>
        <w:gridCol w:w="6981"/>
      </w:tblGrid>
      <w:tr w14:paraId="67074B2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163" w:hRule="atLeast"/>
        </w:trPr>
        <w:tc>
          <w:tcPr>
            <w:tcW w:w="1956" w:type="dxa"/>
            <w:tcBorders>
              <w:bottom w:val="single" w:color="auto" w:sz="4" w:space="0"/>
            </w:tcBorders>
            <w:noWrap w:val="0"/>
            <w:vAlign w:val="center"/>
          </w:tcPr>
          <w:p w14:paraId="5B60A5D4">
            <w:pPr>
              <w:keepNext w:val="0"/>
              <w:keepLines w:val="0"/>
              <w:suppressLineNumbers w:val="0"/>
              <w:spacing w:before="0" w:beforeAutospacing="0" w:after="0" w:afterAutospacing="0" w:line="360" w:lineRule="auto"/>
              <w:ind w:left="0" w:right="0"/>
              <w:jc w:val="center"/>
              <w:rPr>
                <w:rFonts w:hint="default"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rPr>
              <w:t>采购项目名称</w:t>
            </w:r>
          </w:p>
        </w:tc>
        <w:tc>
          <w:tcPr>
            <w:tcW w:w="6981" w:type="dxa"/>
            <w:noWrap w:val="0"/>
            <w:vAlign w:val="center"/>
          </w:tcPr>
          <w:p w14:paraId="77DF9323">
            <w:pPr>
              <w:keepNext/>
              <w:keepLines/>
              <w:widowControl w:val="0"/>
              <w:suppressLineNumbers w:val="0"/>
              <w:spacing w:before="340" w:beforeLines="0" w:beforeAutospacing="0" w:after="330" w:afterLines="0" w:afterAutospacing="0" w:line="360" w:lineRule="auto"/>
              <w:ind w:left="0" w:right="0"/>
              <w:jc w:val="center"/>
              <w:outlineLvl w:val="9"/>
              <w:rPr>
                <w:rFonts w:hint="eastAsia" w:ascii="宋体" w:hAnsi="宋体" w:eastAsia="宋体" w:cs="宋体"/>
                <w:b w:val="0"/>
                <w:bCs/>
                <w:color w:val="auto"/>
                <w:kern w:val="2"/>
                <w:sz w:val="22"/>
                <w:szCs w:val="22"/>
                <w:highlight w:val="none"/>
                <w:lang w:val="en-US" w:eastAsia="zh-CN" w:bidi="ar-SA"/>
              </w:rPr>
            </w:pPr>
          </w:p>
        </w:tc>
      </w:tr>
      <w:tr w14:paraId="25920E8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93" w:hRule="atLeast"/>
        </w:trPr>
        <w:tc>
          <w:tcPr>
            <w:tcW w:w="1956" w:type="dxa"/>
            <w:tcBorders>
              <w:bottom w:val="single" w:color="auto" w:sz="4" w:space="0"/>
            </w:tcBorders>
            <w:noWrap w:val="0"/>
            <w:vAlign w:val="center"/>
          </w:tcPr>
          <w:p w14:paraId="2C506A15">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采购项目编号</w:t>
            </w:r>
          </w:p>
        </w:tc>
        <w:tc>
          <w:tcPr>
            <w:tcW w:w="6981" w:type="dxa"/>
            <w:tcBorders>
              <w:bottom w:val="single" w:color="auto" w:sz="4" w:space="0"/>
            </w:tcBorders>
            <w:noWrap w:val="0"/>
            <w:vAlign w:val="center"/>
          </w:tcPr>
          <w:p w14:paraId="0F8CAFD3">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2"/>
                <w:szCs w:val="22"/>
                <w:highlight w:val="none"/>
                <w:lang w:val="en-US" w:eastAsia="zh-CN"/>
              </w:rPr>
            </w:pPr>
          </w:p>
        </w:tc>
      </w:tr>
      <w:tr w14:paraId="24F1CA5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137" w:hRule="atLeast"/>
        </w:trPr>
        <w:tc>
          <w:tcPr>
            <w:tcW w:w="1956" w:type="dxa"/>
            <w:noWrap w:val="0"/>
            <w:vAlign w:val="center"/>
          </w:tcPr>
          <w:p w14:paraId="4EC4F707">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供应商名称</w:t>
            </w:r>
          </w:p>
          <w:p w14:paraId="20E39FEA">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(单位名称)</w:t>
            </w:r>
          </w:p>
        </w:tc>
        <w:tc>
          <w:tcPr>
            <w:tcW w:w="6981" w:type="dxa"/>
            <w:noWrap w:val="0"/>
            <w:vAlign w:val="center"/>
          </w:tcPr>
          <w:p w14:paraId="135C0E28">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2"/>
                <w:szCs w:val="22"/>
                <w:highlight w:val="none"/>
              </w:rPr>
            </w:pPr>
          </w:p>
        </w:tc>
      </w:tr>
      <w:tr w14:paraId="59761B9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272" w:hRule="atLeast"/>
        </w:trPr>
        <w:tc>
          <w:tcPr>
            <w:tcW w:w="1956" w:type="dxa"/>
            <w:noWrap w:val="0"/>
            <w:vAlign w:val="center"/>
          </w:tcPr>
          <w:p w14:paraId="10EFAE28">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eastAsia="zh-CN"/>
              </w:rPr>
              <w:t>投标</w:t>
            </w:r>
            <w:r>
              <w:rPr>
                <w:rFonts w:hint="eastAsia" w:ascii="宋体" w:hAnsi="宋体" w:eastAsia="宋体" w:cs="宋体"/>
                <w:b/>
                <w:bCs/>
                <w:color w:val="auto"/>
                <w:sz w:val="22"/>
                <w:szCs w:val="22"/>
                <w:highlight w:val="none"/>
              </w:rPr>
              <w:t>报价</w:t>
            </w:r>
          </w:p>
        </w:tc>
        <w:tc>
          <w:tcPr>
            <w:tcW w:w="6981" w:type="dxa"/>
            <w:noWrap w:val="0"/>
            <w:vAlign w:val="top"/>
          </w:tcPr>
          <w:p w14:paraId="5FBD3598">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2"/>
                <w:szCs w:val="22"/>
                <w:highlight w:val="none"/>
              </w:rPr>
            </w:pPr>
          </w:p>
          <w:p w14:paraId="6916AE69">
            <w:pPr>
              <w:keepNext w:val="0"/>
              <w:keepLines w:val="0"/>
              <w:suppressLineNumbers w:val="0"/>
              <w:spacing w:before="0" w:beforeAutospacing="0" w:after="0" w:afterAutospacing="0" w:line="360" w:lineRule="auto"/>
              <w:ind w:left="0" w:right="0"/>
              <w:jc w:val="both"/>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人 民 币（大写）：</w:t>
            </w:r>
            <w:r>
              <w:rPr>
                <w:rFonts w:hint="eastAsia" w:ascii="宋体" w:hAnsi="宋体" w:eastAsia="宋体" w:cs="宋体"/>
                <w:b/>
                <w:bCs/>
                <w:color w:val="auto"/>
                <w:sz w:val="22"/>
                <w:szCs w:val="22"/>
                <w:highlight w:val="none"/>
                <w:u w:val="single"/>
              </w:rPr>
              <w:t xml:space="preserve">                  </w:t>
            </w:r>
            <w:r>
              <w:rPr>
                <w:rFonts w:hint="eastAsia" w:ascii="宋体" w:hAnsi="宋体" w:eastAsia="宋体" w:cs="宋体"/>
                <w:b/>
                <w:bCs/>
                <w:color w:val="auto"/>
                <w:sz w:val="22"/>
                <w:szCs w:val="22"/>
                <w:highlight w:val="none"/>
              </w:rPr>
              <w:t xml:space="preserve"> </w:t>
            </w:r>
          </w:p>
          <w:p w14:paraId="1CA6A825">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2"/>
                <w:szCs w:val="22"/>
                <w:highlight w:val="none"/>
              </w:rPr>
            </w:pPr>
          </w:p>
          <w:p w14:paraId="50DD75C7">
            <w:pPr>
              <w:keepNext w:val="0"/>
              <w:keepLines w:val="0"/>
              <w:suppressLineNumbers w:val="0"/>
              <w:spacing w:before="0" w:beforeAutospacing="0" w:after="0" w:afterAutospacing="0" w:line="360" w:lineRule="auto"/>
              <w:ind w:left="0" w:right="0"/>
              <w:jc w:val="both"/>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人 民 币（小写）：</w:t>
            </w:r>
            <w:r>
              <w:rPr>
                <w:rFonts w:hint="eastAsia" w:ascii="宋体" w:hAnsi="宋体" w:eastAsia="宋体" w:cs="宋体"/>
                <w:b/>
                <w:bCs/>
                <w:color w:val="auto"/>
                <w:sz w:val="22"/>
                <w:szCs w:val="22"/>
                <w:highlight w:val="none"/>
                <w:u w:val="single"/>
              </w:rPr>
              <w:t xml:space="preserve">                 </w:t>
            </w:r>
            <w:r>
              <w:rPr>
                <w:rFonts w:hint="eastAsia" w:ascii="宋体" w:hAnsi="宋体" w:eastAsia="宋体" w:cs="宋体"/>
                <w:b/>
                <w:bCs/>
                <w:color w:val="auto"/>
                <w:sz w:val="22"/>
                <w:szCs w:val="22"/>
                <w:highlight w:val="none"/>
              </w:rPr>
              <w:t xml:space="preserve"> </w:t>
            </w:r>
            <w:r>
              <w:rPr>
                <w:rFonts w:hint="eastAsia" w:ascii="宋体" w:hAnsi="宋体" w:eastAsia="宋体" w:cs="宋体"/>
                <w:b/>
                <w:bCs/>
                <w:color w:val="auto"/>
                <w:sz w:val="22"/>
                <w:szCs w:val="22"/>
                <w:highlight w:val="none"/>
                <w:lang w:val="en-US" w:eastAsia="zh-CN"/>
              </w:rPr>
              <w:t xml:space="preserve"> </w:t>
            </w:r>
            <w:r>
              <w:rPr>
                <w:rFonts w:hint="eastAsia" w:ascii="宋体" w:hAnsi="宋体" w:eastAsia="宋体" w:cs="宋体"/>
                <w:b/>
                <w:bCs/>
                <w:color w:val="auto"/>
                <w:sz w:val="22"/>
                <w:szCs w:val="22"/>
                <w:highlight w:val="none"/>
              </w:rPr>
              <w:t>元</w:t>
            </w:r>
          </w:p>
        </w:tc>
      </w:tr>
      <w:tr w14:paraId="4FD1822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87" w:hRule="atLeast"/>
        </w:trPr>
        <w:tc>
          <w:tcPr>
            <w:tcW w:w="1956" w:type="dxa"/>
            <w:noWrap w:val="0"/>
            <w:vAlign w:val="center"/>
          </w:tcPr>
          <w:p w14:paraId="74CCECCF">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2"/>
                <w:szCs w:val="22"/>
                <w:highlight w:val="none"/>
                <w:lang w:eastAsia="zh-CN"/>
              </w:rPr>
            </w:pPr>
            <w:r>
              <w:rPr>
                <w:rFonts w:hint="eastAsia" w:ascii="宋体" w:hAnsi="宋体" w:cs="宋体"/>
                <w:b/>
                <w:bCs/>
                <w:color w:val="auto"/>
                <w:sz w:val="22"/>
                <w:szCs w:val="22"/>
                <w:highlight w:val="none"/>
                <w:lang w:eastAsia="zh-CN"/>
              </w:rPr>
              <w:t>服务期</w:t>
            </w:r>
          </w:p>
        </w:tc>
        <w:tc>
          <w:tcPr>
            <w:tcW w:w="6981" w:type="dxa"/>
            <w:noWrap w:val="0"/>
            <w:vAlign w:val="top"/>
          </w:tcPr>
          <w:p w14:paraId="784C373C">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2"/>
                <w:szCs w:val="22"/>
                <w:highlight w:val="none"/>
              </w:rPr>
            </w:pPr>
          </w:p>
        </w:tc>
      </w:tr>
      <w:tr w14:paraId="669C61A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87" w:hRule="atLeast"/>
        </w:trPr>
        <w:tc>
          <w:tcPr>
            <w:tcW w:w="1956" w:type="dxa"/>
            <w:noWrap w:val="0"/>
            <w:vAlign w:val="center"/>
          </w:tcPr>
          <w:p w14:paraId="18B61D65">
            <w:pPr>
              <w:keepNext w:val="0"/>
              <w:keepLines w:val="0"/>
              <w:suppressLineNumbers w:val="0"/>
              <w:spacing w:before="0" w:beforeAutospacing="0" w:after="0" w:afterAutospacing="0" w:line="360" w:lineRule="auto"/>
              <w:ind w:left="0" w:right="0"/>
              <w:jc w:val="center"/>
              <w:rPr>
                <w:rFonts w:hint="default"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质量标准</w:t>
            </w:r>
          </w:p>
        </w:tc>
        <w:tc>
          <w:tcPr>
            <w:tcW w:w="6981" w:type="dxa"/>
            <w:noWrap w:val="0"/>
            <w:vAlign w:val="top"/>
          </w:tcPr>
          <w:p w14:paraId="5E49F142">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2"/>
                <w:szCs w:val="22"/>
                <w:highlight w:val="none"/>
              </w:rPr>
            </w:pPr>
          </w:p>
        </w:tc>
      </w:tr>
      <w:tr w14:paraId="718C75A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92" w:hRule="atLeast"/>
        </w:trPr>
        <w:tc>
          <w:tcPr>
            <w:tcW w:w="1956" w:type="dxa"/>
            <w:noWrap w:val="0"/>
            <w:vAlign w:val="center"/>
          </w:tcPr>
          <w:p w14:paraId="6233BA6C">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eastAsia="zh-CN"/>
              </w:rPr>
              <w:t>投标</w:t>
            </w:r>
            <w:r>
              <w:rPr>
                <w:rFonts w:hint="eastAsia" w:ascii="宋体" w:hAnsi="宋体" w:eastAsia="宋体" w:cs="宋体"/>
                <w:b/>
                <w:bCs/>
                <w:color w:val="auto"/>
                <w:sz w:val="22"/>
                <w:szCs w:val="22"/>
                <w:highlight w:val="none"/>
              </w:rPr>
              <w:t>声明</w:t>
            </w:r>
          </w:p>
        </w:tc>
        <w:tc>
          <w:tcPr>
            <w:tcW w:w="6981" w:type="dxa"/>
            <w:noWrap w:val="0"/>
            <w:vAlign w:val="top"/>
          </w:tcPr>
          <w:p w14:paraId="1B1C4EEF">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2"/>
                <w:szCs w:val="22"/>
                <w:highlight w:val="none"/>
              </w:rPr>
            </w:pPr>
          </w:p>
        </w:tc>
      </w:tr>
    </w:tbl>
    <w:p w14:paraId="4162DAC1">
      <w:pPr>
        <w:rPr>
          <w:rFonts w:hint="eastAsia" w:ascii="宋体" w:hAnsi="宋体" w:eastAsia="宋体" w:cs="宋体"/>
          <w:color w:val="auto"/>
          <w:sz w:val="24"/>
          <w:highlight w:val="none"/>
        </w:rPr>
      </w:pPr>
    </w:p>
    <w:p w14:paraId="3D67EB5E">
      <w:pPr>
        <w:pStyle w:val="23"/>
        <w:rPr>
          <w:rFonts w:hint="eastAsia"/>
          <w:color w:val="auto"/>
          <w:highlight w:val="none"/>
        </w:rPr>
      </w:pPr>
    </w:p>
    <w:p w14:paraId="5674A453">
      <w:pPr>
        <w:ind w:firstLine="220" w:firstLineChars="1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投标人（</w:t>
      </w:r>
      <w:r>
        <w:rPr>
          <w:rFonts w:hint="eastAsia" w:ascii="宋体" w:hAnsi="宋体" w:cs="宋体"/>
          <w:color w:val="auto"/>
          <w:sz w:val="22"/>
          <w:szCs w:val="22"/>
          <w:highlight w:val="none"/>
          <w:lang w:val="en-US" w:eastAsia="zh-CN"/>
        </w:rPr>
        <w:t>全称、</w:t>
      </w:r>
      <w:r>
        <w:rPr>
          <w:rFonts w:hint="eastAsia" w:ascii="宋体" w:hAnsi="宋体" w:eastAsia="宋体" w:cs="宋体"/>
          <w:color w:val="auto"/>
          <w:sz w:val="22"/>
          <w:szCs w:val="22"/>
          <w:highlight w:val="none"/>
        </w:rPr>
        <w:t>盖章）</w:t>
      </w:r>
      <w:r>
        <w:rPr>
          <w:rFonts w:hint="eastAsia" w:ascii="宋体" w:hAnsi="宋体" w:cs="宋体"/>
          <w:color w:val="auto"/>
          <w:sz w:val="22"/>
          <w:szCs w:val="22"/>
          <w:highlight w:val="none"/>
          <w:u w:val="none"/>
          <w:lang w:eastAsia="zh-CN"/>
        </w:rPr>
        <w:t>：</w:t>
      </w:r>
    </w:p>
    <w:p w14:paraId="5C148F74">
      <w:pPr>
        <w:ind w:firstLine="220" w:firstLineChars="100"/>
        <w:rPr>
          <w:rFonts w:hint="eastAsia" w:ascii="宋体" w:hAnsi="宋体" w:eastAsia="宋体" w:cs="宋体"/>
          <w:color w:val="auto"/>
          <w:sz w:val="22"/>
          <w:szCs w:val="22"/>
          <w:highlight w:val="none"/>
        </w:rPr>
      </w:pPr>
    </w:p>
    <w:p w14:paraId="587AEBEE">
      <w:pPr>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法定代表人或授权代理人签字：</w:t>
      </w:r>
    </w:p>
    <w:p w14:paraId="1A8E1A48">
      <w:pPr>
        <w:rPr>
          <w:rFonts w:hint="eastAsia" w:ascii="宋体" w:hAnsi="宋体" w:eastAsia="宋体" w:cs="宋体"/>
          <w:color w:val="auto"/>
          <w:sz w:val="22"/>
          <w:szCs w:val="22"/>
          <w:highlight w:val="none"/>
        </w:rPr>
      </w:pPr>
    </w:p>
    <w:p w14:paraId="56E6011B">
      <w:pPr>
        <w:rPr>
          <w:rFonts w:hint="eastAsia" w:ascii="宋体" w:hAnsi="宋体" w:eastAsia="宋体" w:cs="宋体"/>
          <w:color w:val="auto"/>
          <w:sz w:val="22"/>
          <w:szCs w:val="22"/>
          <w:highlight w:val="none"/>
        </w:rPr>
      </w:pPr>
    </w:p>
    <w:p w14:paraId="081F95CE">
      <w:pPr>
        <w:wordWrap w:val="0"/>
        <w:ind w:firstLine="220" w:firstLineChars="100"/>
        <w:jc w:val="both"/>
        <w:rPr>
          <w:rFonts w:hint="eastAsia" w:ascii="宋体" w:hAnsi="宋体" w:eastAsia="宋体" w:cs="宋体"/>
          <w:color w:val="auto"/>
          <w:sz w:val="22"/>
          <w:szCs w:val="22"/>
          <w:highlight w:val="none"/>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color w:val="auto"/>
          <w:sz w:val="22"/>
          <w:szCs w:val="22"/>
          <w:highlight w:val="none"/>
        </w:rPr>
        <w:t>日期：   年   月   日</w:t>
      </w:r>
    </w:p>
    <w:p w14:paraId="659943C2">
      <w:pPr>
        <w:jc w:val="center"/>
        <w:rPr>
          <w:rFonts w:hint="eastAsia" w:ascii="宋体" w:hAnsi="宋体" w:eastAsia="宋体" w:cs="宋体"/>
          <w:color w:val="auto"/>
          <w:highlight w:val="none"/>
          <w:lang w:eastAsia="zh-CN"/>
        </w:rPr>
      </w:pPr>
      <w:r>
        <w:rPr>
          <w:rFonts w:hint="eastAsia" w:ascii="宋体" w:hAnsi="宋体" w:cs="宋体"/>
          <w:b/>
          <w:bCs/>
          <w:color w:val="auto"/>
          <w:sz w:val="32"/>
          <w:szCs w:val="40"/>
          <w:highlight w:val="none"/>
          <w:lang w:val="en-US" w:eastAsia="zh-CN"/>
        </w:rPr>
        <w:t>分项报价表</w:t>
      </w:r>
    </w:p>
    <w:p w14:paraId="056A2BB5">
      <w:pPr>
        <w:jc w:val="center"/>
        <w:rPr>
          <w:rFonts w:hint="eastAsia" w:ascii="宋体" w:hAnsi="宋体" w:cs="宋体"/>
          <w:color w:val="auto"/>
          <w:highlight w:val="none"/>
        </w:rPr>
      </w:pPr>
    </w:p>
    <w:p w14:paraId="3C13AD7E">
      <w:pPr>
        <w:rPr>
          <w:rFonts w:hint="default" w:ascii="宋体" w:hAnsi="宋体" w:cs="宋体"/>
          <w:color w:val="auto"/>
          <w:sz w:val="22"/>
          <w:szCs w:val="22"/>
          <w:highlight w:val="none"/>
          <w:u w:val="single"/>
          <w:lang w:val="en-US" w:eastAsia="zh-CN"/>
        </w:rPr>
      </w:pPr>
      <w:r>
        <w:rPr>
          <w:rFonts w:hint="eastAsia" w:ascii="宋体" w:hAnsi="宋体" w:cs="宋体"/>
          <w:color w:val="auto"/>
          <w:sz w:val="22"/>
          <w:szCs w:val="22"/>
          <w:highlight w:val="none"/>
          <w:lang w:val="en-US" w:eastAsia="zh-CN"/>
        </w:rPr>
        <w:t>项目名称：</w:t>
      </w:r>
      <w:r>
        <w:rPr>
          <w:rFonts w:hint="eastAsia" w:ascii="宋体" w:hAnsi="宋体" w:cs="宋体"/>
          <w:color w:val="auto"/>
          <w:sz w:val="22"/>
          <w:szCs w:val="22"/>
          <w:highlight w:val="none"/>
          <w:u w:val="single"/>
          <w:lang w:val="en-US" w:eastAsia="zh-CN"/>
        </w:rPr>
        <w:t xml:space="preserve">          </w:t>
      </w:r>
    </w:p>
    <w:p w14:paraId="557989C0">
      <w:pPr>
        <w:jc w:val="both"/>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项目编号：</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 xml:space="preserve"> </w:t>
      </w:r>
    </w:p>
    <w:p w14:paraId="57E612AE">
      <w:pPr>
        <w:keepNext w:val="0"/>
        <w:keepLines w:val="0"/>
        <w:pageBreakBefore w:val="0"/>
        <w:widowControl w:val="0"/>
        <w:kinsoku/>
        <w:wordWrap/>
        <w:overflowPunct/>
        <w:topLinePunct w:val="0"/>
        <w:autoSpaceDE/>
        <w:autoSpaceDN/>
        <w:bidi w:val="0"/>
        <w:adjustRightInd w:val="0"/>
        <w:snapToGrid/>
        <w:spacing w:line="480" w:lineRule="auto"/>
        <w:ind w:firstLine="385" w:firstLineChars="175"/>
        <w:jc w:val="left"/>
        <w:textAlignment w:val="auto"/>
        <w:rPr>
          <w:rFonts w:hint="eastAsia" w:ascii="宋体" w:hAnsi="宋体" w:eastAsia="宋体" w:cs="宋体"/>
          <w:bCs/>
          <w:color w:val="auto"/>
          <w:sz w:val="22"/>
          <w:szCs w:val="22"/>
          <w:highlight w:val="none"/>
        </w:rPr>
      </w:pPr>
    </w:p>
    <w:p w14:paraId="230C83D5">
      <w:pPr>
        <w:keepNext w:val="0"/>
        <w:keepLines w:val="0"/>
        <w:pageBreakBefore w:val="0"/>
        <w:widowControl w:val="0"/>
        <w:kinsoku/>
        <w:wordWrap/>
        <w:overflowPunct/>
        <w:topLinePunct w:val="0"/>
        <w:autoSpaceDE/>
        <w:autoSpaceDN/>
        <w:bidi w:val="0"/>
        <w:adjustRightInd w:val="0"/>
        <w:snapToGrid/>
        <w:spacing w:line="480" w:lineRule="auto"/>
        <w:ind w:firstLine="385" w:firstLineChars="175"/>
        <w:jc w:val="left"/>
        <w:textAlignment w:val="auto"/>
        <w:rPr>
          <w:rFonts w:hint="eastAsia" w:ascii="宋体" w:hAnsi="宋体" w:eastAsia="宋体" w:cs="宋体"/>
          <w:bCs/>
          <w:color w:val="auto"/>
          <w:sz w:val="22"/>
          <w:szCs w:val="22"/>
          <w:highlight w:val="none"/>
        </w:rPr>
      </w:pPr>
    </w:p>
    <w:p w14:paraId="06B2C2DC">
      <w:pPr>
        <w:keepNext w:val="0"/>
        <w:keepLines w:val="0"/>
        <w:pageBreakBefore w:val="0"/>
        <w:widowControl w:val="0"/>
        <w:kinsoku/>
        <w:wordWrap/>
        <w:overflowPunct/>
        <w:topLinePunct w:val="0"/>
        <w:autoSpaceDE/>
        <w:autoSpaceDN/>
        <w:bidi w:val="0"/>
        <w:adjustRightInd w:val="0"/>
        <w:snapToGrid/>
        <w:spacing w:line="480" w:lineRule="auto"/>
        <w:ind w:firstLine="385" w:firstLineChars="175"/>
        <w:jc w:val="center"/>
        <w:textAlignment w:val="auto"/>
        <w:rPr>
          <w:rFonts w:hint="default" w:ascii="宋体" w:hAnsi="宋体" w:eastAsia="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（格式自拟）</w:t>
      </w:r>
    </w:p>
    <w:p w14:paraId="6E69A7EC">
      <w:pPr>
        <w:keepNext w:val="0"/>
        <w:keepLines w:val="0"/>
        <w:pageBreakBefore w:val="0"/>
        <w:widowControl w:val="0"/>
        <w:kinsoku/>
        <w:wordWrap/>
        <w:overflowPunct/>
        <w:topLinePunct w:val="0"/>
        <w:autoSpaceDE/>
        <w:autoSpaceDN/>
        <w:bidi w:val="0"/>
        <w:adjustRightInd w:val="0"/>
        <w:snapToGrid/>
        <w:spacing w:line="480" w:lineRule="auto"/>
        <w:ind w:firstLine="385" w:firstLineChars="175"/>
        <w:jc w:val="left"/>
        <w:textAlignment w:val="auto"/>
        <w:rPr>
          <w:rFonts w:hint="eastAsia" w:ascii="宋体" w:hAnsi="宋体" w:eastAsia="宋体" w:cs="宋体"/>
          <w:bCs/>
          <w:color w:val="auto"/>
          <w:sz w:val="22"/>
          <w:szCs w:val="22"/>
          <w:highlight w:val="none"/>
        </w:rPr>
      </w:pPr>
    </w:p>
    <w:p w14:paraId="3B4CB564">
      <w:pPr>
        <w:keepNext w:val="0"/>
        <w:keepLines w:val="0"/>
        <w:pageBreakBefore w:val="0"/>
        <w:widowControl w:val="0"/>
        <w:kinsoku/>
        <w:wordWrap/>
        <w:overflowPunct/>
        <w:topLinePunct w:val="0"/>
        <w:autoSpaceDE/>
        <w:autoSpaceDN/>
        <w:bidi w:val="0"/>
        <w:adjustRightInd w:val="0"/>
        <w:snapToGrid/>
        <w:spacing w:line="480" w:lineRule="auto"/>
        <w:ind w:firstLine="385" w:firstLineChars="175"/>
        <w:jc w:val="left"/>
        <w:textAlignment w:val="auto"/>
        <w:rPr>
          <w:rFonts w:hint="eastAsia" w:ascii="宋体" w:hAnsi="宋体" w:eastAsia="宋体" w:cs="宋体"/>
          <w:bCs/>
          <w:color w:val="auto"/>
          <w:sz w:val="22"/>
          <w:szCs w:val="22"/>
          <w:highlight w:val="none"/>
        </w:rPr>
      </w:pPr>
    </w:p>
    <w:p w14:paraId="2EE3EB11">
      <w:pPr>
        <w:keepNext w:val="0"/>
        <w:keepLines w:val="0"/>
        <w:pageBreakBefore w:val="0"/>
        <w:widowControl w:val="0"/>
        <w:kinsoku/>
        <w:wordWrap/>
        <w:overflowPunct/>
        <w:topLinePunct w:val="0"/>
        <w:autoSpaceDE/>
        <w:autoSpaceDN/>
        <w:bidi w:val="0"/>
        <w:adjustRightInd w:val="0"/>
        <w:snapToGrid/>
        <w:spacing w:line="480" w:lineRule="auto"/>
        <w:ind w:firstLine="385" w:firstLineChars="175"/>
        <w:jc w:val="left"/>
        <w:textAlignment w:val="auto"/>
        <w:rPr>
          <w:rFonts w:hint="eastAsia" w:ascii="宋体" w:hAnsi="宋体" w:eastAsia="宋体" w:cs="宋体"/>
          <w:bCs/>
          <w:color w:val="auto"/>
          <w:sz w:val="22"/>
          <w:szCs w:val="22"/>
          <w:highlight w:val="none"/>
        </w:rPr>
      </w:pPr>
    </w:p>
    <w:p w14:paraId="4D1704FC">
      <w:pPr>
        <w:keepNext w:val="0"/>
        <w:keepLines w:val="0"/>
        <w:pageBreakBefore w:val="0"/>
        <w:widowControl w:val="0"/>
        <w:kinsoku/>
        <w:wordWrap/>
        <w:overflowPunct/>
        <w:topLinePunct w:val="0"/>
        <w:autoSpaceDE/>
        <w:autoSpaceDN/>
        <w:bidi w:val="0"/>
        <w:adjustRightInd w:val="0"/>
        <w:snapToGrid/>
        <w:spacing w:line="480" w:lineRule="auto"/>
        <w:ind w:firstLine="385" w:firstLineChars="175"/>
        <w:jc w:val="left"/>
        <w:textAlignment w:val="auto"/>
        <w:rPr>
          <w:rFonts w:hint="eastAsia" w:ascii="宋体" w:hAnsi="宋体" w:eastAsia="宋体" w:cs="宋体"/>
          <w:bCs/>
          <w:color w:val="auto"/>
          <w:sz w:val="22"/>
          <w:szCs w:val="22"/>
          <w:highlight w:val="none"/>
        </w:rPr>
      </w:pPr>
    </w:p>
    <w:p w14:paraId="6098FC7E">
      <w:pPr>
        <w:keepNext w:val="0"/>
        <w:keepLines w:val="0"/>
        <w:pageBreakBefore w:val="0"/>
        <w:widowControl w:val="0"/>
        <w:kinsoku/>
        <w:wordWrap/>
        <w:overflowPunct/>
        <w:topLinePunct w:val="0"/>
        <w:autoSpaceDE/>
        <w:autoSpaceDN/>
        <w:bidi w:val="0"/>
        <w:adjustRightInd w:val="0"/>
        <w:snapToGrid/>
        <w:spacing w:line="480" w:lineRule="auto"/>
        <w:ind w:firstLine="385" w:firstLineChars="175"/>
        <w:jc w:val="left"/>
        <w:textAlignment w:val="auto"/>
        <w:rPr>
          <w:rFonts w:hint="eastAsia" w:ascii="宋体" w:hAnsi="宋体" w:eastAsia="宋体" w:cs="宋体"/>
          <w:bCs/>
          <w:color w:val="auto"/>
          <w:sz w:val="22"/>
          <w:szCs w:val="22"/>
          <w:highlight w:val="none"/>
        </w:rPr>
      </w:pPr>
    </w:p>
    <w:p w14:paraId="3E78E013">
      <w:pPr>
        <w:keepNext w:val="0"/>
        <w:keepLines w:val="0"/>
        <w:pageBreakBefore w:val="0"/>
        <w:widowControl w:val="0"/>
        <w:kinsoku/>
        <w:wordWrap/>
        <w:overflowPunct/>
        <w:topLinePunct w:val="0"/>
        <w:autoSpaceDE/>
        <w:autoSpaceDN/>
        <w:bidi w:val="0"/>
        <w:adjustRightInd w:val="0"/>
        <w:snapToGrid/>
        <w:spacing w:line="480" w:lineRule="auto"/>
        <w:ind w:firstLine="385" w:firstLineChars="175"/>
        <w:jc w:val="left"/>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rPr>
        <w:t>投 标 人（</w:t>
      </w:r>
      <w:r>
        <w:rPr>
          <w:rFonts w:hint="eastAsia" w:ascii="宋体" w:hAnsi="宋体" w:cs="宋体"/>
          <w:bCs/>
          <w:color w:val="auto"/>
          <w:sz w:val="22"/>
          <w:szCs w:val="22"/>
          <w:highlight w:val="none"/>
          <w:lang w:val="en-US" w:eastAsia="zh-CN"/>
        </w:rPr>
        <w:t>全称、</w:t>
      </w:r>
      <w:r>
        <w:rPr>
          <w:rFonts w:hint="eastAsia" w:ascii="宋体" w:hAnsi="宋体" w:eastAsia="宋体" w:cs="宋体"/>
          <w:bCs/>
          <w:color w:val="auto"/>
          <w:sz w:val="22"/>
          <w:szCs w:val="22"/>
          <w:highlight w:val="none"/>
        </w:rPr>
        <w:t>盖章）</w:t>
      </w:r>
      <w:r>
        <w:rPr>
          <w:rFonts w:hint="eastAsia" w:ascii="宋体" w:hAnsi="宋体" w:cs="宋体"/>
          <w:bCs/>
          <w:color w:val="auto"/>
          <w:sz w:val="22"/>
          <w:szCs w:val="22"/>
          <w:highlight w:val="none"/>
          <w:lang w:eastAsia="zh-CN"/>
        </w:rPr>
        <w:t>：</w:t>
      </w:r>
    </w:p>
    <w:p w14:paraId="4C4BE3CA">
      <w:pPr>
        <w:keepNext w:val="0"/>
        <w:keepLines w:val="0"/>
        <w:pageBreakBefore w:val="0"/>
        <w:widowControl w:val="0"/>
        <w:kinsoku/>
        <w:wordWrap/>
        <w:overflowPunct/>
        <w:topLinePunct w:val="0"/>
        <w:autoSpaceDE/>
        <w:autoSpaceDN/>
        <w:bidi w:val="0"/>
        <w:adjustRightInd w:val="0"/>
        <w:snapToGrid/>
        <w:spacing w:line="480" w:lineRule="auto"/>
        <w:ind w:firstLine="385" w:firstLineChars="175"/>
        <w:jc w:val="left"/>
        <w:textAlignment w:val="auto"/>
        <w:rPr>
          <w:rFonts w:hint="eastAsia" w:ascii="宋体" w:hAnsi="宋体" w:cs="宋体"/>
          <w:color w:val="auto"/>
          <w:sz w:val="22"/>
          <w:szCs w:val="22"/>
          <w:highlight w:val="none"/>
          <w:lang w:eastAsia="zh-CN"/>
        </w:rPr>
      </w:pPr>
      <w:r>
        <w:rPr>
          <w:rFonts w:hint="eastAsia" w:ascii="宋体" w:hAnsi="宋体" w:eastAsia="宋体" w:cs="宋体"/>
          <w:color w:val="auto"/>
          <w:sz w:val="22"/>
          <w:szCs w:val="22"/>
          <w:highlight w:val="none"/>
        </w:rPr>
        <w:t>法定代表人或委托代理人（签字或盖章）</w:t>
      </w:r>
      <w:r>
        <w:rPr>
          <w:rFonts w:hint="eastAsia" w:ascii="宋体" w:hAnsi="宋体" w:cs="宋体"/>
          <w:color w:val="auto"/>
          <w:sz w:val="22"/>
          <w:szCs w:val="22"/>
          <w:highlight w:val="none"/>
          <w:lang w:eastAsia="zh-CN"/>
        </w:rPr>
        <w:t>：</w:t>
      </w:r>
    </w:p>
    <w:p w14:paraId="2742CE5E">
      <w:pPr>
        <w:ind w:firstLine="440" w:firstLineChars="200"/>
        <w:jc w:val="both"/>
        <w:rPr>
          <w:rFonts w:hint="eastAsia" w:ascii="宋体" w:hAnsi="宋体" w:eastAsia="宋体" w:cs="宋体"/>
          <w:b/>
          <w:color w:val="auto"/>
          <w:sz w:val="36"/>
          <w:highlight w:val="none"/>
        </w:rPr>
      </w:pPr>
      <w:r>
        <w:rPr>
          <w:rFonts w:hint="eastAsia" w:ascii="宋体" w:hAnsi="宋体" w:eastAsia="宋体" w:cs="宋体"/>
          <w:bCs/>
          <w:color w:val="auto"/>
          <w:sz w:val="22"/>
          <w:szCs w:val="22"/>
          <w:highlight w:val="none"/>
        </w:rPr>
        <w:t>日 期：</w:t>
      </w:r>
    </w:p>
    <w:p w14:paraId="337DFFC1">
      <w:pPr>
        <w:jc w:val="center"/>
        <w:rPr>
          <w:rFonts w:hint="eastAsia" w:ascii="宋体" w:hAnsi="宋体" w:eastAsia="宋体" w:cs="宋体"/>
          <w:b/>
          <w:color w:val="auto"/>
          <w:sz w:val="36"/>
          <w:highlight w:val="none"/>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00E34CB">
      <w:pPr>
        <w:jc w:val="center"/>
        <w:outlineLvl w:val="0"/>
        <w:rPr>
          <w:rFonts w:hint="eastAsia" w:ascii="宋体" w:hAnsi="宋体" w:eastAsia="宋体" w:cs="宋体"/>
          <w:b/>
          <w:bCs/>
          <w:color w:val="auto"/>
          <w:sz w:val="32"/>
          <w:szCs w:val="32"/>
          <w:highlight w:val="none"/>
        </w:rPr>
      </w:pPr>
      <w:bookmarkStart w:id="222" w:name="_Toc16591"/>
      <w:r>
        <w:rPr>
          <w:rFonts w:hint="eastAsia" w:ascii="宋体" w:hAnsi="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、商务响应偏离表</w:t>
      </w:r>
      <w:bookmarkEnd w:id="222"/>
    </w:p>
    <w:p w14:paraId="6FA90200">
      <w:pPr>
        <w:spacing w:line="440" w:lineRule="exact"/>
        <w:jc w:val="center"/>
        <w:rPr>
          <w:rFonts w:hint="eastAsia" w:ascii="宋体" w:hAnsi="宋体" w:eastAsia="宋体" w:cs="宋体"/>
          <w:b/>
          <w:bCs/>
          <w:color w:val="auto"/>
          <w:sz w:val="24"/>
          <w:highlight w:val="none"/>
        </w:rPr>
      </w:pPr>
    </w:p>
    <w:p w14:paraId="502CEAFC">
      <w:pPr>
        <w:rPr>
          <w:rFonts w:hint="default" w:ascii="宋体" w:hAnsi="宋体" w:cs="宋体"/>
          <w:color w:val="auto"/>
          <w:sz w:val="22"/>
          <w:szCs w:val="22"/>
          <w:highlight w:val="none"/>
          <w:u w:val="single"/>
          <w:lang w:val="en-US" w:eastAsia="zh-CN"/>
        </w:rPr>
      </w:pPr>
      <w:r>
        <w:rPr>
          <w:rFonts w:hint="eastAsia" w:ascii="宋体" w:hAnsi="宋体" w:cs="宋体"/>
          <w:color w:val="auto"/>
          <w:sz w:val="22"/>
          <w:szCs w:val="22"/>
          <w:highlight w:val="none"/>
          <w:lang w:val="en-US" w:eastAsia="zh-CN"/>
        </w:rPr>
        <w:t>项目名称：</w:t>
      </w:r>
      <w:r>
        <w:rPr>
          <w:rFonts w:hint="eastAsia" w:ascii="宋体" w:hAnsi="宋体" w:cs="宋体"/>
          <w:color w:val="auto"/>
          <w:sz w:val="22"/>
          <w:szCs w:val="22"/>
          <w:highlight w:val="none"/>
          <w:u w:val="single"/>
          <w:lang w:val="en-US" w:eastAsia="zh-CN"/>
        </w:rPr>
        <w:t xml:space="preserve">          </w:t>
      </w:r>
    </w:p>
    <w:p w14:paraId="4587376C">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项目编号：</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 xml:space="preserve">             </w:t>
      </w:r>
    </w:p>
    <w:p w14:paraId="19FDB25D">
      <w:pPr>
        <w:rPr>
          <w:rFonts w:hint="eastAsia" w:ascii="宋体" w:hAnsi="宋体" w:eastAsia="宋体" w:cs="宋体"/>
          <w:color w:val="auto"/>
          <w:sz w:val="22"/>
          <w:szCs w:val="22"/>
          <w:highlight w:val="none"/>
        </w:rPr>
      </w:pPr>
    </w:p>
    <w:p w14:paraId="3DB88F78">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w:t>
      </w:r>
      <w:r>
        <w:rPr>
          <w:rFonts w:hint="eastAsia" w:ascii="宋体" w:hAnsi="宋体" w:cs="宋体"/>
          <w:color w:val="auto"/>
          <w:sz w:val="22"/>
          <w:szCs w:val="22"/>
          <w:highlight w:val="none"/>
          <w:lang w:val="en-US" w:eastAsia="zh-CN"/>
        </w:rPr>
        <w:t>全称、</w:t>
      </w:r>
      <w:r>
        <w:rPr>
          <w:rFonts w:hint="eastAsia" w:ascii="宋体" w:hAnsi="宋体" w:eastAsia="宋体" w:cs="宋体"/>
          <w:color w:val="auto"/>
          <w:sz w:val="22"/>
          <w:szCs w:val="22"/>
          <w:highlight w:val="none"/>
        </w:rPr>
        <w:t>盖章)：</w:t>
      </w:r>
      <w:r>
        <w:rPr>
          <w:rFonts w:hint="eastAsia" w:ascii="宋体" w:hAnsi="宋体" w:eastAsia="宋体" w:cs="宋体"/>
          <w:color w:val="auto"/>
          <w:sz w:val="22"/>
          <w:szCs w:val="22"/>
          <w:highlight w:val="none"/>
          <w:u w:val="single"/>
        </w:rPr>
        <w:t xml:space="preserve">                   </w:t>
      </w:r>
    </w:p>
    <w:tbl>
      <w:tblPr>
        <w:tblStyle w:val="25"/>
        <w:tblpPr w:leftFromText="180" w:rightFromText="180" w:vertAnchor="page" w:horzAnchor="margin" w:tblpY="3163"/>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3010"/>
        <w:gridCol w:w="3240"/>
        <w:gridCol w:w="2340"/>
      </w:tblGrid>
      <w:tr w14:paraId="45DC2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878" w:type="dxa"/>
            <w:tcBorders>
              <w:bottom w:val="single" w:color="auto" w:sz="4" w:space="0"/>
            </w:tcBorders>
            <w:noWrap w:val="0"/>
            <w:vAlign w:val="center"/>
          </w:tcPr>
          <w:p w14:paraId="1E8AFAC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3010" w:type="dxa"/>
            <w:tcBorders>
              <w:bottom w:val="single" w:color="auto" w:sz="4" w:space="0"/>
            </w:tcBorders>
            <w:noWrap w:val="0"/>
            <w:vAlign w:val="center"/>
          </w:tcPr>
          <w:p w14:paraId="4F9AA6C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招标文件要求</w:t>
            </w:r>
          </w:p>
        </w:tc>
        <w:tc>
          <w:tcPr>
            <w:tcW w:w="3240" w:type="dxa"/>
            <w:tcBorders>
              <w:bottom w:val="single" w:color="auto" w:sz="4" w:space="0"/>
            </w:tcBorders>
            <w:noWrap w:val="0"/>
            <w:vAlign w:val="center"/>
          </w:tcPr>
          <w:p w14:paraId="1CFFD0B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投标文件情况</w:t>
            </w:r>
          </w:p>
        </w:tc>
        <w:tc>
          <w:tcPr>
            <w:tcW w:w="2340" w:type="dxa"/>
            <w:tcBorders>
              <w:bottom w:val="single" w:color="auto" w:sz="4" w:space="0"/>
            </w:tcBorders>
            <w:noWrap w:val="0"/>
            <w:vAlign w:val="center"/>
          </w:tcPr>
          <w:p w14:paraId="470E38A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  注</w:t>
            </w:r>
          </w:p>
        </w:tc>
      </w:tr>
      <w:tr w14:paraId="1213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68BF39C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010" w:type="dxa"/>
            <w:noWrap w:val="0"/>
            <w:vAlign w:val="center"/>
          </w:tcPr>
          <w:p w14:paraId="1C95E78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240" w:type="dxa"/>
            <w:noWrap w:val="0"/>
            <w:vAlign w:val="center"/>
          </w:tcPr>
          <w:p w14:paraId="1921F4F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340" w:type="dxa"/>
            <w:noWrap w:val="0"/>
            <w:vAlign w:val="center"/>
          </w:tcPr>
          <w:p w14:paraId="66CA5BA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0BFB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420B79B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010" w:type="dxa"/>
            <w:noWrap w:val="0"/>
            <w:vAlign w:val="center"/>
          </w:tcPr>
          <w:p w14:paraId="60595DA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240" w:type="dxa"/>
            <w:noWrap w:val="0"/>
            <w:vAlign w:val="center"/>
          </w:tcPr>
          <w:p w14:paraId="04F51F9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340" w:type="dxa"/>
            <w:noWrap w:val="0"/>
            <w:vAlign w:val="center"/>
          </w:tcPr>
          <w:p w14:paraId="16B5684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58F04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270A558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010" w:type="dxa"/>
            <w:noWrap w:val="0"/>
            <w:vAlign w:val="center"/>
          </w:tcPr>
          <w:p w14:paraId="159EB2F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240" w:type="dxa"/>
            <w:noWrap w:val="0"/>
            <w:vAlign w:val="center"/>
          </w:tcPr>
          <w:p w14:paraId="3E43470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340" w:type="dxa"/>
            <w:noWrap w:val="0"/>
            <w:vAlign w:val="center"/>
          </w:tcPr>
          <w:p w14:paraId="2183F00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2725D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trPr>
        <w:tc>
          <w:tcPr>
            <w:tcW w:w="878" w:type="dxa"/>
            <w:noWrap w:val="0"/>
            <w:vAlign w:val="center"/>
          </w:tcPr>
          <w:p w14:paraId="7DEF6E6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010" w:type="dxa"/>
            <w:noWrap w:val="0"/>
            <w:vAlign w:val="center"/>
          </w:tcPr>
          <w:p w14:paraId="4C85B8F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240" w:type="dxa"/>
            <w:noWrap w:val="0"/>
            <w:vAlign w:val="center"/>
          </w:tcPr>
          <w:p w14:paraId="0F4A1F5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340" w:type="dxa"/>
            <w:noWrap w:val="0"/>
            <w:vAlign w:val="center"/>
          </w:tcPr>
          <w:p w14:paraId="0615401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326F4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4FEBFF7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010" w:type="dxa"/>
            <w:noWrap w:val="0"/>
            <w:vAlign w:val="center"/>
          </w:tcPr>
          <w:p w14:paraId="7F6BE05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240" w:type="dxa"/>
            <w:noWrap w:val="0"/>
            <w:vAlign w:val="center"/>
          </w:tcPr>
          <w:p w14:paraId="10CD632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340" w:type="dxa"/>
            <w:noWrap w:val="0"/>
            <w:vAlign w:val="center"/>
          </w:tcPr>
          <w:p w14:paraId="57499B9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19FA2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5D46250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010" w:type="dxa"/>
            <w:noWrap w:val="0"/>
            <w:vAlign w:val="center"/>
          </w:tcPr>
          <w:p w14:paraId="5CD445B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240" w:type="dxa"/>
            <w:noWrap w:val="0"/>
            <w:vAlign w:val="center"/>
          </w:tcPr>
          <w:p w14:paraId="24DA260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340" w:type="dxa"/>
            <w:noWrap w:val="0"/>
            <w:vAlign w:val="center"/>
          </w:tcPr>
          <w:p w14:paraId="13F2267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34310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6ED2542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010" w:type="dxa"/>
            <w:noWrap w:val="0"/>
            <w:vAlign w:val="center"/>
          </w:tcPr>
          <w:p w14:paraId="141E8B0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240" w:type="dxa"/>
            <w:noWrap w:val="0"/>
            <w:vAlign w:val="center"/>
          </w:tcPr>
          <w:p w14:paraId="2AD9D75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340" w:type="dxa"/>
            <w:noWrap w:val="0"/>
            <w:vAlign w:val="center"/>
          </w:tcPr>
          <w:p w14:paraId="5A84745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25D03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348A5A2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010" w:type="dxa"/>
            <w:noWrap w:val="0"/>
            <w:vAlign w:val="center"/>
          </w:tcPr>
          <w:p w14:paraId="3D30324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240" w:type="dxa"/>
            <w:noWrap w:val="0"/>
            <w:vAlign w:val="center"/>
          </w:tcPr>
          <w:p w14:paraId="683B3AE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340" w:type="dxa"/>
            <w:noWrap w:val="0"/>
            <w:vAlign w:val="center"/>
          </w:tcPr>
          <w:p w14:paraId="742A23A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0EE5A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7F5E0C2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010" w:type="dxa"/>
            <w:noWrap w:val="0"/>
            <w:vAlign w:val="center"/>
          </w:tcPr>
          <w:p w14:paraId="2CF08E1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240" w:type="dxa"/>
            <w:noWrap w:val="0"/>
            <w:vAlign w:val="center"/>
          </w:tcPr>
          <w:p w14:paraId="1819E03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340" w:type="dxa"/>
            <w:noWrap w:val="0"/>
            <w:vAlign w:val="center"/>
          </w:tcPr>
          <w:p w14:paraId="325322F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2153C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744AB07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010" w:type="dxa"/>
            <w:noWrap w:val="0"/>
            <w:vAlign w:val="center"/>
          </w:tcPr>
          <w:p w14:paraId="390BA14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240" w:type="dxa"/>
            <w:noWrap w:val="0"/>
            <w:vAlign w:val="center"/>
          </w:tcPr>
          <w:p w14:paraId="77BAF00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340" w:type="dxa"/>
            <w:noWrap w:val="0"/>
            <w:vAlign w:val="center"/>
          </w:tcPr>
          <w:p w14:paraId="69A08A1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5EEC1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6C72C57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010" w:type="dxa"/>
            <w:noWrap w:val="0"/>
            <w:vAlign w:val="center"/>
          </w:tcPr>
          <w:p w14:paraId="7F8EA84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240" w:type="dxa"/>
            <w:noWrap w:val="0"/>
            <w:vAlign w:val="center"/>
          </w:tcPr>
          <w:p w14:paraId="449D76D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340" w:type="dxa"/>
            <w:noWrap w:val="0"/>
            <w:vAlign w:val="center"/>
          </w:tcPr>
          <w:p w14:paraId="5BAB6A9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bl>
    <w:p w14:paraId="310E1CB3">
      <w:pPr>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法定代表人或授权代理人签字：</w:t>
      </w:r>
      <w:r>
        <w:rPr>
          <w:rFonts w:hint="eastAsia" w:ascii="宋体" w:hAnsi="宋体" w:eastAsia="宋体" w:cs="宋体"/>
          <w:color w:val="auto"/>
          <w:sz w:val="22"/>
          <w:szCs w:val="22"/>
          <w:highlight w:val="none"/>
          <w:u w:val="single"/>
        </w:rPr>
        <w:t xml:space="preserve">           </w:t>
      </w:r>
    </w:p>
    <w:p w14:paraId="72410D28">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职 务：</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p>
    <w:p w14:paraId="10CD6A47">
      <w:pPr>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日 期：</w:t>
      </w:r>
      <w:r>
        <w:rPr>
          <w:rFonts w:hint="eastAsia" w:ascii="宋体" w:hAnsi="宋体" w:eastAsia="宋体" w:cs="宋体"/>
          <w:color w:val="auto"/>
          <w:sz w:val="22"/>
          <w:szCs w:val="22"/>
          <w:highlight w:val="none"/>
          <w:u w:val="single"/>
        </w:rPr>
        <w:t xml:space="preserve">           </w:t>
      </w:r>
    </w:p>
    <w:p w14:paraId="36A83AE1">
      <w:pPr>
        <w:rPr>
          <w:rFonts w:hint="eastAsia" w:ascii="宋体" w:hAnsi="宋体" w:eastAsia="宋体" w:cs="宋体"/>
          <w:color w:val="auto"/>
          <w:sz w:val="22"/>
          <w:szCs w:val="22"/>
          <w:highlight w:val="none"/>
        </w:rPr>
      </w:pPr>
    </w:p>
    <w:p w14:paraId="29A19228">
      <w:pPr>
        <w:rPr>
          <w:rFonts w:hint="eastAsia" w:ascii="宋体" w:hAnsi="宋体" w:eastAsia="宋体" w:cs="宋体"/>
          <w:color w:val="auto"/>
          <w:sz w:val="22"/>
          <w:szCs w:val="22"/>
          <w:highlight w:val="none"/>
        </w:rPr>
      </w:pPr>
    </w:p>
    <w:p w14:paraId="51581B3D">
      <w:pPr>
        <w:rPr>
          <w:rFonts w:hint="eastAsia" w:ascii="宋体" w:hAnsi="宋体" w:eastAsia="宋体" w:cs="宋体"/>
          <w:color w:val="auto"/>
          <w:sz w:val="22"/>
          <w:szCs w:val="22"/>
          <w:highlight w:val="none"/>
        </w:rPr>
      </w:pPr>
    </w:p>
    <w:p w14:paraId="038CEAF4">
      <w:pPr>
        <w:spacing w:line="440" w:lineRule="exact"/>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注：</w:t>
      </w:r>
      <w:r>
        <w:rPr>
          <w:rFonts w:hint="eastAsia" w:ascii="宋体" w:hAnsi="宋体" w:cs="宋体"/>
          <w:b/>
          <w:bCs/>
          <w:color w:val="auto"/>
          <w:sz w:val="22"/>
          <w:szCs w:val="22"/>
          <w:highlight w:val="none"/>
          <w:lang w:val="en-US" w:eastAsia="zh-CN"/>
        </w:rPr>
        <w:t>1、</w:t>
      </w:r>
      <w:r>
        <w:rPr>
          <w:rFonts w:hint="eastAsia" w:ascii="宋体" w:hAnsi="宋体" w:eastAsia="宋体" w:cs="宋体"/>
          <w:b/>
          <w:bCs/>
          <w:color w:val="auto"/>
          <w:sz w:val="22"/>
          <w:szCs w:val="22"/>
          <w:highlight w:val="none"/>
        </w:rPr>
        <w:t>根据服务期限、付款、验收及商务条款等要求，此表在不改变表式的情况下可自行制作。</w:t>
      </w:r>
    </w:p>
    <w:p w14:paraId="6168A031">
      <w:pPr>
        <w:spacing w:line="440" w:lineRule="exact"/>
        <w:ind w:firstLine="442" w:firstLineChars="200"/>
        <w:outlineLvl w:val="9"/>
        <w:rPr>
          <w:rFonts w:hint="eastAsia" w:ascii="宋体" w:hAnsi="宋体" w:eastAsia="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2、</w:t>
      </w:r>
      <w:r>
        <w:rPr>
          <w:rFonts w:hint="eastAsia" w:ascii="宋体" w:hAnsi="宋体" w:eastAsia="宋体" w:cs="宋体"/>
          <w:b/>
          <w:bCs/>
          <w:color w:val="auto"/>
          <w:sz w:val="22"/>
          <w:szCs w:val="22"/>
          <w:highlight w:val="none"/>
          <w:lang w:val="en-US" w:eastAsia="zh-CN"/>
        </w:rPr>
        <w:t>商务偏离中投标文件内容不得与招标文件内容完全一致，否则按无效响应处理</w:t>
      </w:r>
      <w:r>
        <w:rPr>
          <w:rFonts w:hint="eastAsia" w:ascii="宋体" w:hAnsi="宋体" w:cs="宋体"/>
          <w:b/>
          <w:bCs/>
          <w:color w:val="auto"/>
          <w:sz w:val="22"/>
          <w:szCs w:val="22"/>
          <w:highlight w:val="none"/>
          <w:lang w:val="en-US" w:eastAsia="zh-CN"/>
        </w:rPr>
        <w:t>。</w:t>
      </w:r>
    </w:p>
    <w:p w14:paraId="786B0DA5">
      <w:pPr>
        <w:spacing w:line="440" w:lineRule="exact"/>
        <w:jc w:val="center"/>
        <w:outlineLvl w:val="9"/>
        <w:rPr>
          <w:rFonts w:hint="eastAsia" w:ascii="宋体" w:hAnsi="宋体" w:eastAsia="宋体" w:cs="宋体"/>
          <w:b/>
          <w:bCs/>
          <w:color w:val="auto"/>
          <w:sz w:val="32"/>
          <w:szCs w:val="32"/>
          <w:highlight w:val="none"/>
        </w:rPr>
      </w:pPr>
    </w:p>
    <w:p w14:paraId="5F1B347E">
      <w:pPr>
        <w:spacing w:line="440" w:lineRule="exact"/>
        <w:jc w:val="center"/>
        <w:outlineLvl w:val="9"/>
        <w:rPr>
          <w:rFonts w:hint="eastAsia" w:ascii="宋体" w:hAnsi="宋体" w:eastAsia="宋体" w:cs="宋体"/>
          <w:b/>
          <w:bCs/>
          <w:color w:val="auto"/>
          <w:sz w:val="32"/>
          <w:szCs w:val="32"/>
          <w:highlight w:val="none"/>
        </w:rPr>
      </w:pPr>
    </w:p>
    <w:p w14:paraId="31B8DB97">
      <w:pPr>
        <w:spacing w:line="440" w:lineRule="exact"/>
        <w:jc w:val="center"/>
        <w:outlineLvl w:val="9"/>
        <w:rPr>
          <w:rFonts w:hint="eastAsia" w:ascii="宋体" w:hAnsi="宋体" w:eastAsia="宋体" w:cs="宋体"/>
          <w:b/>
          <w:bCs/>
          <w:color w:val="auto"/>
          <w:sz w:val="32"/>
          <w:szCs w:val="32"/>
          <w:highlight w:val="none"/>
        </w:rPr>
      </w:pPr>
    </w:p>
    <w:p w14:paraId="4EF4F998">
      <w:pPr>
        <w:spacing w:line="440" w:lineRule="exact"/>
        <w:jc w:val="center"/>
        <w:outlineLvl w:val="9"/>
        <w:rPr>
          <w:rFonts w:hint="eastAsia" w:ascii="宋体" w:hAnsi="宋体" w:eastAsia="宋体" w:cs="宋体"/>
          <w:b/>
          <w:bCs/>
          <w:color w:val="auto"/>
          <w:sz w:val="32"/>
          <w:szCs w:val="32"/>
          <w:highlight w:val="none"/>
        </w:rPr>
      </w:pPr>
    </w:p>
    <w:p w14:paraId="39A39F45">
      <w:pPr>
        <w:spacing w:line="440" w:lineRule="exact"/>
        <w:jc w:val="center"/>
        <w:outlineLvl w:val="9"/>
        <w:rPr>
          <w:rFonts w:hint="eastAsia" w:ascii="宋体" w:hAnsi="宋体" w:eastAsia="宋体" w:cs="宋体"/>
          <w:b/>
          <w:bCs/>
          <w:color w:val="auto"/>
          <w:sz w:val="32"/>
          <w:szCs w:val="32"/>
          <w:highlight w:val="none"/>
        </w:rPr>
      </w:pPr>
    </w:p>
    <w:p w14:paraId="2AE62168">
      <w:pPr>
        <w:pStyle w:val="3"/>
        <w:numPr>
          <w:ilvl w:val="0"/>
          <w:numId w:val="0"/>
        </w:numPr>
        <w:spacing w:before="0" w:after="480" w:afterLines="200" w:line="240" w:lineRule="auto"/>
        <w:ind w:left="575" w:leftChars="0" w:firstLine="2249" w:firstLineChars="700"/>
        <w:jc w:val="both"/>
        <w:outlineLvl w:val="0"/>
        <w:rPr>
          <w:rFonts w:hint="eastAsia" w:ascii="宋体" w:hAnsi="宋体" w:eastAsia="宋体" w:cs="宋体"/>
          <w:b/>
          <w:bCs w:val="0"/>
          <w:color w:val="auto"/>
          <w:kern w:val="2"/>
          <w:sz w:val="32"/>
          <w:szCs w:val="32"/>
          <w:highlight w:val="none"/>
          <w:lang w:val="en-US" w:eastAsia="zh-CN" w:bidi="ar-SA"/>
        </w:rPr>
      </w:pPr>
      <w:bookmarkStart w:id="223" w:name="_Toc217446086"/>
      <w:bookmarkStart w:id="224" w:name="_Toc20720"/>
      <w:r>
        <w:rPr>
          <w:rFonts w:hint="eastAsia" w:ascii="宋体" w:hAnsi="宋体" w:cs="宋体"/>
          <w:b/>
          <w:bCs w:val="0"/>
          <w:color w:val="auto"/>
          <w:kern w:val="2"/>
          <w:sz w:val="32"/>
          <w:szCs w:val="32"/>
          <w:highlight w:val="none"/>
          <w:lang w:val="en-US" w:eastAsia="zh-CN" w:bidi="ar-SA"/>
        </w:rPr>
        <w:t>四</w:t>
      </w:r>
      <w:r>
        <w:rPr>
          <w:rFonts w:hint="eastAsia" w:ascii="宋体" w:hAnsi="宋体" w:eastAsia="宋体" w:cs="宋体"/>
          <w:b/>
          <w:bCs w:val="0"/>
          <w:color w:val="auto"/>
          <w:kern w:val="2"/>
          <w:sz w:val="32"/>
          <w:szCs w:val="32"/>
          <w:highlight w:val="none"/>
          <w:lang w:val="en-US" w:eastAsia="zh-CN" w:bidi="ar-SA"/>
        </w:rPr>
        <w:t>、</w:t>
      </w:r>
      <w:bookmarkEnd w:id="223"/>
      <w:r>
        <w:rPr>
          <w:rFonts w:hint="eastAsia" w:ascii="宋体" w:hAnsi="宋体" w:eastAsia="宋体" w:cs="宋体"/>
          <w:b/>
          <w:bCs w:val="0"/>
          <w:color w:val="auto"/>
          <w:kern w:val="2"/>
          <w:sz w:val="32"/>
          <w:szCs w:val="32"/>
          <w:highlight w:val="none"/>
          <w:lang w:val="en-US" w:eastAsia="zh-CN" w:bidi="ar-SA"/>
        </w:rPr>
        <w:t>技术参数偏离表</w:t>
      </w:r>
      <w:bookmarkEnd w:id="224"/>
    </w:p>
    <w:p w14:paraId="073191E5">
      <w:pPr>
        <w:pStyle w:val="8"/>
        <w:spacing w:before="120" w:beforeLines="50" w:after="120" w:afterLines="50"/>
        <w:ind w:firstLine="0"/>
        <w:jc w:val="left"/>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项目名称</w:t>
      </w:r>
      <w:r>
        <w:rPr>
          <w:rFonts w:hint="eastAsia" w:ascii="宋体" w:hAnsi="宋体" w:eastAsia="宋体" w:cs="宋体"/>
          <w:color w:val="auto"/>
          <w:sz w:val="22"/>
          <w:szCs w:val="22"/>
          <w:highlight w:val="none"/>
        </w:rPr>
        <w:t>：                   采购项目编号：</w:t>
      </w:r>
      <w:r>
        <w:rPr>
          <w:rFonts w:hint="eastAsia" w:ascii="宋体" w:hAnsi="宋体" w:eastAsia="宋体" w:cs="宋体"/>
          <w:color w:val="auto"/>
          <w:sz w:val="22"/>
          <w:szCs w:val="22"/>
          <w:highlight w:val="none"/>
          <w:lang w:val="en-US" w:eastAsia="zh-CN"/>
        </w:rPr>
        <w:t xml:space="preserve">   </w:t>
      </w:r>
    </w:p>
    <w:tbl>
      <w:tblPr>
        <w:tblStyle w:val="25"/>
        <w:tblW w:w="924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474"/>
        <w:gridCol w:w="1865"/>
        <w:gridCol w:w="2542"/>
        <w:gridCol w:w="841"/>
        <w:gridCol w:w="1684"/>
      </w:tblGrid>
      <w:tr w14:paraId="0EC03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841" w:type="dxa"/>
            <w:noWrap w:val="0"/>
            <w:vAlign w:val="center"/>
          </w:tcPr>
          <w:p w14:paraId="3AA50306">
            <w:pPr>
              <w:keepNext w:val="0"/>
              <w:keepLines w:val="0"/>
              <w:suppressLineNumbers w:val="0"/>
              <w:adjustRightInd w:val="0"/>
              <w:snapToGrid w:val="0"/>
              <w:spacing w:before="0" w:beforeAutospacing="0" w:after="0" w:afterAutospacing="0"/>
              <w:ind w:left="0" w:right="23"/>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1474" w:type="dxa"/>
            <w:noWrap w:val="0"/>
            <w:vAlign w:val="center"/>
          </w:tcPr>
          <w:p w14:paraId="545B9599">
            <w:pPr>
              <w:keepNext w:val="0"/>
              <w:keepLines w:val="0"/>
              <w:suppressLineNumbers w:val="0"/>
              <w:adjustRightInd w:val="0"/>
              <w:snapToGrid w:val="0"/>
              <w:spacing w:before="0" w:beforeAutospacing="0" w:after="0" w:afterAutospacing="0"/>
              <w:ind w:left="0" w:right="23"/>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文件条目号</w:t>
            </w:r>
          </w:p>
        </w:tc>
        <w:tc>
          <w:tcPr>
            <w:tcW w:w="1865" w:type="dxa"/>
            <w:noWrap w:val="0"/>
            <w:vAlign w:val="center"/>
          </w:tcPr>
          <w:p w14:paraId="2D99627D">
            <w:pPr>
              <w:keepNext w:val="0"/>
              <w:keepLines w:val="0"/>
              <w:suppressLineNumbers w:val="0"/>
              <w:adjustRightInd w:val="0"/>
              <w:snapToGrid w:val="0"/>
              <w:spacing w:before="0" w:beforeAutospacing="0" w:after="0" w:afterAutospacing="0"/>
              <w:ind w:left="0" w:right="23"/>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采购规格及</w:t>
            </w:r>
          </w:p>
          <w:p w14:paraId="217B65B0">
            <w:pPr>
              <w:keepNext w:val="0"/>
              <w:keepLines w:val="0"/>
              <w:suppressLineNumbers w:val="0"/>
              <w:adjustRightInd w:val="0"/>
              <w:snapToGrid w:val="0"/>
              <w:spacing w:before="0" w:beforeAutospacing="0" w:after="0" w:afterAutospacing="0"/>
              <w:ind w:left="0" w:right="23"/>
              <w:jc w:val="center"/>
              <w:rPr>
                <w:rFonts w:hint="eastAsia" w:ascii="宋体" w:hAnsi="宋体" w:eastAsia="宋体" w:cs="宋体"/>
                <w:b/>
                <w:bCs/>
                <w:color w:val="auto"/>
                <w:sz w:val="22"/>
                <w:szCs w:val="22"/>
                <w:highlight w:val="none"/>
              </w:rPr>
            </w:pPr>
            <w:r>
              <w:rPr>
                <w:rFonts w:hint="eastAsia" w:ascii="宋体" w:hAnsi="宋体" w:eastAsia="宋体" w:cs="宋体"/>
                <w:b/>
                <w:color w:val="auto"/>
                <w:sz w:val="22"/>
                <w:szCs w:val="22"/>
                <w:highlight w:val="none"/>
              </w:rPr>
              <w:t>技术需求</w:t>
            </w:r>
          </w:p>
        </w:tc>
        <w:tc>
          <w:tcPr>
            <w:tcW w:w="2542" w:type="dxa"/>
            <w:noWrap w:val="0"/>
            <w:vAlign w:val="center"/>
          </w:tcPr>
          <w:p w14:paraId="3A9FFD57">
            <w:pPr>
              <w:keepNext w:val="0"/>
              <w:keepLines w:val="0"/>
              <w:suppressLineNumbers w:val="0"/>
              <w:adjustRightInd w:val="0"/>
              <w:snapToGrid w:val="0"/>
              <w:spacing w:before="0" w:beforeAutospacing="0" w:after="0" w:afterAutospacing="0"/>
              <w:ind w:left="0" w:right="23"/>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投标文件规格及</w:t>
            </w:r>
          </w:p>
          <w:p w14:paraId="11671EFE">
            <w:pPr>
              <w:keepNext w:val="0"/>
              <w:keepLines w:val="0"/>
              <w:suppressLineNumbers w:val="0"/>
              <w:adjustRightInd w:val="0"/>
              <w:snapToGrid w:val="0"/>
              <w:spacing w:before="0" w:beforeAutospacing="0" w:after="0" w:afterAutospacing="0"/>
              <w:ind w:left="0" w:right="23"/>
              <w:jc w:val="center"/>
              <w:rPr>
                <w:rFonts w:hint="eastAsia" w:ascii="宋体" w:hAnsi="宋体" w:eastAsia="宋体" w:cs="宋体"/>
                <w:b/>
                <w:bCs/>
                <w:color w:val="auto"/>
                <w:sz w:val="22"/>
                <w:szCs w:val="22"/>
                <w:highlight w:val="none"/>
              </w:rPr>
            </w:pPr>
            <w:r>
              <w:rPr>
                <w:rFonts w:hint="eastAsia" w:ascii="宋体" w:hAnsi="宋体" w:eastAsia="宋体" w:cs="宋体"/>
                <w:b/>
                <w:color w:val="auto"/>
                <w:sz w:val="22"/>
                <w:szCs w:val="22"/>
                <w:highlight w:val="none"/>
              </w:rPr>
              <w:t>技术参数</w:t>
            </w:r>
          </w:p>
        </w:tc>
        <w:tc>
          <w:tcPr>
            <w:tcW w:w="841" w:type="dxa"/>
            <w:noWrap w:val="0"/>
            <w:vAlign w:val="center"/>
          </w:tcPr>
          <w:p w14:paraId="4B35D200">
            <w:pPr>
              <w:keepNext w:val="0"/>
              <w:keepLines w:val="0"/>
              <w:suppressLineNumbers w:val="0"/>
              <w:adjustRightInd w:val="0"/>
              <w:snapToGrid w:val="0"/>
              <w:spacing w:before="0" w:beforeAutospacing="0" w:after="0" w:afterAutospacing="0"/>
              <w:ind w:left="0" w:right="23"/>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偏离</w:t>
            </w:r>
          </w:p>
        </w:tc>
        <w:tc>
          <w:tcPr>
            <w:tcW w:w="1684" w:type="dxa"/>
            <w:noWrap w:val="0"/>
            <w:vAlign w:val="center"/>
          </w:tcPr>
          <w:p w14:paraId="39896A79">
            <w:pPr>
              <w:keepNext w:val="0"/>
              <w:keepLines w:val="0"/>
              <w:suppressLineNumbers w:val="0"/>
              <w:adjustRightInd w:val="0"/>
              <w:snapToGrid w:val="0"/>
              <w:spacing w:before="0" w:beforeAutospacing="0" w:after="0" w:afterAutospacing="0"/>
              <w:ind w:left="0" w:right="23"/>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偏离及其影响</w:t>
            </w:r>
          </w:p>
        </w:tc>
      </w:tr>
      <w:tr w14:paraId="2EC85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03861F4E">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474" w:type="dxa"/>
            <w:noWrap w:val="0"/>
            <w:vAlign w:val="top"/>
          </w:tcPr>
          <w:p w14:paraId="1709B4D5">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865" w:type="dxa"/>
            <w:noWrap w:val="0"/>
            <w:vAlign w:val="top"/>
          </w:tcPr>
          <w:p w14:paraId="5572515A">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2542" w:type="dxa"/>
            <w:noWrap w:val="0"/>
            <w:vAlign w:val="top"/>
          </w:tcPr>
          <w:p w14:paraId="49B5AD32">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841" w:type="dxa"/>
            <w:noWrap w:val="0"/>
            <w:vAlign w:val="top"/>
          </w:tcPr>
          <w:p w14:paraId="650A8978">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684" w:type="dxa"/>
            <w:noWrap w:val="0"/>
            <w:vAlign w:val="top"/>
          </w:tcPr>
          <w:p w14:paraId="3D26D6E6">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r>
      <w:tr w14:paraId="40E74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55DCC156">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474" w:type="dxa"/>
            <w:noWrap w:val="0"/>
            <w:vAlign w:val="top"/>
          </w:tcPr>
          <w:p w14:paraId="27451F77">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865" w:type="dxa"/>
            <w:noWrap w:val="0"/>
            <w:vAlign w:val="top"/>
          </w:tcPr>
          <w:p w14:paraId="2E3DCA33">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2542" w:type="dxa"/>
            <w:noWrap w:val="0"/>
            <w:vAlign w:val="top"/>
          </w:tcPr>
          <w:p w14:paraId="21F97AC5">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841" w:type="dxa"/>
            <w:noWrap w:val="0"/>
            <w:vAlign w:val="top"/>
          </w:tcPr>
          <w:p w14:paraId="4FC93DE4">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684" w:type="dxa"/>
            <w:noWrap w:val="0"/>
            <w:vAlign w:val="top"/>
          </w:tcPr>
          <w:p w14:paraId="342D6172">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r>
      <w:tr w14:paraId="66400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12456F1A">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474" w:type="dxa"/>
            <w:noWrap w:val="0"/>
            <w:vAlign w:val="top"/>
          </w:tcPr>
          <w:p w14:paraId="650BA87B">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865" w:type="dxa"/>
            <w:noWrap w:val="0"/>
            <w:vAlign w:val="top"/>
          </w:tcPr>
          <w:p w14:paraId="0B78F6A3">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2542" w:type="dxa"/>
            <w:noWrap w:val="0"/>
            <w:vAlign w:val="top"/>
          </w:tcPr>
          <w:p w14:paraId="6EB6D2B9">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841" w:type="dxa"/>
            <w:noWrap w:val="0"/>
            <w:vAlign w:val="top"/>
          </w:tcPr>
          <w:p w14:paraId="6A0E3BA4">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684" w:type="dxa"/>
            <w:noWrap w:val="0"/>
            <w:vAlign w:val="top"/>
          </w:tcPr>
          <w:p w14:paraId="2F9641F6">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r>
      <w:tr w14:paraId="4B34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450838B8">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474" w:type="dxa"/>
            <w:noWrap w:val="0"/>
            <w:vAlign w:val="top"/>
          </w:tcPr>
          <w:p w14:paraId="6AFC2782">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865" w:type="dxa"/>
            <w:noWrap w:val="0"/>
            <w:vAlign w:val="top"/>
          </w:tcPr>
          <w:p w14:paraId="78A6B120">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2542" w:type="dxa"/>
            <w:noWrap w:val="0"/>
            <w:vAlign w:val="top"/>
          </w:tcPr>
          <w:p w14:paraId="0B5CA2F8">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841" w:type="dxa"/>
            <w:noWrap w:val="0"/>
            <w:vAlign w:val="top"/>
          </w:tcPr>
          <w:p w14:paraId="32035628">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684" w:type="dxa"/>
            <w:noWrap w:val="0"/>
            <w:vAlign w:val="top"/>
          </w:tcPr>
          <w:p w14:paraId="31B4F3F4">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r>
      <w:tr w14:paraId="70AF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4B57ED80">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474" w:type="dxa"/>
            <w:noWrap w:val="0"/>
            <w:vAlign w:val="top"/>
          </w:tcPr>
          <w:p w14:paraId="758A75A1">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865" w:type="dxa"/>
            <w:noWrap w:val="0"/>
            <w:vAlign w:val="top"/>
          </w:tcPr>
          <w:p w14:paraId="6E1386BD">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2542" w:type="dxa"/>
            <w:noWrap w:val="0"/>
            <w:vAlign w:val="top"/>
          </w:tcPr>
          <w:p w14:paraId="7FA4A2AB">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841" w:type="dxa"/>
            <w:noWrap w:val="0"/>
            <w:vAlign w:val="top"/>
          </w:tcPr>
          <w:p w14:paraId="51F4A47C">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684" w:type="dxa"/>
            <w:noWrap w:val="0"/>
            <w:vAlign w:val="top"/>
          </w:tcPr>
          <w:p w14:paraId="6EF45165">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r>
      <w:tr w14:paraId="5B0D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5E42C277">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474" w:type="dxa"/>
            <w:noWrap w:val="0"/>
            <w:vAlign w:val="top"/>
          </w:tcPr>
          <w:p w14:paraId="4F35498E">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865" w:type="dxa"/>
            <w:noWrap w:val="0"/>
            <w:vAlign w:val="top"/>
          </w:tcPr>
          <w:p w14:paraId="5703AA85">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2542" w:type="dxa"/>
            <w:noWrap w:val="0"/>
            <w:vAlign w:val="top"/>
          </w:tcPr>
          <w:p w14:paraId="20B4C66C">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841" w:type="dxa"/>
            <w:noWrap w:val="0"/>
            <w:vAlign w:val="top"/>
          </w:tcPr>
          <w:p w14:paraId="3B95FFFA">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684" w:type="dxa"/>
            <w:noWrap w:val="0"/>
            <w:vAlign w:val="top"/>
          </w:tcPr>
          <w:p w14:paraId="3D319636">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r>
      <w:tr w14:paraId="2CFF8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338729B3">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474" w:type="dxa"/>
            <w:noWrap w:val="0"/>
            <w:vAlign w:val="top"/>
          </w:tcPr>
          <w:p w14:paraId="3C0E1FE0">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865" w:type="dxa"/>
            <w:noWrap w:val="0"/>
            <w:vAlign w:val="top"/>
          </w:tcPr>
          <w:p w14:paraId="3E7A8C0E">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2542" w:type="dxa"/>
            <w:noWrap w:val="0"/>
            <w:vAlign w:val="top"/>
          </w:tcPr>
          <w:p w14:paraId="1701D747">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841" w:type="dxa"/>
            <w:noWrap w:val="0"/>
            <w:vAlign w:val="top"/>
          </w:tcPr>
          <w:p w14:paraId="3470B051">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684" w:type="dxa"/>
            <w:noWrap w:val="0"/>
            <w:vAlign w:val="top"/>
          </w:tcPr>
          <w:p w14:paraId="0BE34D30">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r>
      <w:tr w14:paraId="628E3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083F629F">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474" w:type="dxa"/>
            <w:noWrap w:val="0"/>
            <w:vAlign w:val="top"/>
          </w:tcPr>
          <w:p w14:paraId="4083C248">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865" w:type="dxa"/>
            <w:noWrap w:val="0"/>
            <w:vAlign w:val="top"/>
          </w:tcPr>
          <w:p w14:paraId="098CD623">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2542" w:type="dxa"/>
            <w:noWrap w:val="0"/>
            <w:vAlign w:val="top"/>
          </w:tcPr>
          <w:p w14:paraId="50EEAB54">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841" w:type="dxa"/>
            <w:noWrap w:val="0"/>
            <w:vAlign w:val="top"/>
          </w:tcPr>
          <w:p w14:paraId="6A58130D">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684" w:type="dxa"/>
            <w:noWrap w:val="0"/>
            <w:vAlign w:val="top"/>
          </w:tcPr>
          <w:p w14:paraId="790AA819">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r>
      <w:tr w14:paraId="49F2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492FD5EE">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474" w:type="dxa"/>
            <w:noWrap w:val="0"/>
            <w:vAlign w:val="top"/>
          </w:tcPr>
          <w:p w14:paraId="0F51B44D">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865" w:type="dxa"/>
            <w:noWrap w:val="0"/>
            <w:vAlign w:val="top"/>
          </w:tcPr>
          <w:p w14:paraId="0BCDB071">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2542" w:type="dxa"/>
            <w:noWrap w:val="0"/>
            <w:vAlign w:val="top"/>
          </w:tcPr>
          <w:p w14:paraId="6070BE4C">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841" w:type="dxa"/>
            <w:noWrap w:val="0"/>
            <w:vAlign w:val="top"/>
          </w:tcPr>
          <w:p w14:paraId="499C8DCF">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684" w:type="dxa"/>
            <w:noWrap w:val="0"/>
            <w:vAlign w:val="top"/>
          </w:tcPr>
          <w:p w14:paraId="3ACFAA61">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r>
      <w:tr w14:paraId="2624A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2343C9A5">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474" w:type="dxa"/>
            <w:noWrap w:val="0"/>
            <w:vAlign w:val="top"/>
          </w:tcPr>
          <w:p w14:paraId="70EFC6DC">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865" w:type="dxa"/>
            <w:noWrap w:val="0"/>
            <w:vAlign w:val="top"/>
          </w:tcPr>
          <w:p w14:paraId="24283E2E">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2542" w:type="dxa"/>
            <w:noWrap w:val="0"/>
            <w:vAlign w:val="top"/>
          </w:tcPr>
          <w:p w14:paraId="6AAFAA40">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841" w:type="dxa"/>
            <w:noWrap w:val="0"/>
            <w:vAlign w:val="top"/>
          </w:tcPr>
          <w:p w14:paraId="02F56623">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684" w:type="dxa"/>
            <w:noWrap w:val="0"/>
            <w:vAlign w:val="top"/>
          </w:tcPr>
          <w:p w14:paraId="1531C5A9">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r>
      <w:tr w14:paraId="644F7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28172C82">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474" w:type="dxa"/>
            <w:noWrap w:val="0"/>
            <w:vAlign w:val="top"/>
          </w:tcPr>
          <w:p w14:paraId="093A1824">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865" w:type="dxa"/>
            <w:noWrap w:val="0"/>
            <w:vAlign w:val="top"/>
          </w:tcPr>
          <w:p w14:paraId="18A97CF7">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2542" w:type="dxa"/>
            <w:noWrap w:val="0"/>
            <w:vAlign w:val="top"/>
          </w:tcPr>
          <w:p w14:paraId="12D1BC9E">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841" w:type="dxa"/>
            <w:noWrap w:val="0"/>
            <w:vAlign w:val="top"/>
          </w:tcPr>
          <w:p w14:paraId="1BB8FBD3">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684" w:type="dxa"/>
            <w:noWrap w:val="0"/>
            <w:vAlign w:val="top"/>
          </w:tcPr>
          <w:p w14:paraId="0717FDC9">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r>
      <w:tr w14:paraId="52EC8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7CDA28F6">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474" w:type="dxa"/>
            <w:noWrap w:val="0"/>
            <w:vAlign w:val="top"/>
          </w:tcPr>
          <w:p w14:paraId="5E7D7FE2">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865" w:type="dxa"/>
            <w:noWrap w:val="0"/>
            <w:vAlign w:val="top"/>
          </w:tcPr>
          <w:p w14:paraId="0A101FD3">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2542" w:type="dxa"/>
            <w:noWrap w:val="0"/>
            <w:vAlign w:val="top"/>
          </w:tcPr>
          <w:p w14:paraId="0D5855CE">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841" w:type="dxa"/>
            <w:noWrap w:val="0"/>
            <w:vAlign w:val="top"/>
          </w:tcPr>
          <w:p w14:paraId="57DFF3A8">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684" w:type="dxa"/>
            <w:noWrap w:val="0"/>
            <w:vAlign w:val="top"/>
          </w:tcPr>
          <w:p w14:paraId="297B27C0">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r>
      <w:tr w14:paraId="53852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338B6B31">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474" w:type="dxa"/>
            <w:noWrap w:val="0"/>
            <w:vAlign w:val="top"/>
          </w:tcPr>
          <w:p w14:paraId="79EAFCDD">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865" w:type="dxa"/>
            <w:noWrap w:val="0"/>
            <w:vAlign w:val="top"/>
          </w:tcPr>
          <w:p w14:paraId="6B3CC47B">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2542" w:type="dxa"/>
            <w:noWrap w:val="0"/>
            <w:vAlign w:val="top"/>
          </w:tcPr>
          <w:p w14:paraId="6F787877">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841" w:type="dxa"/>
            <w:noWrap w:val="0"/>
            <w:vAlign w:val="top"/>
          </w:tcPr>
          <w:p w14:paraId="6ABD3A64">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684" w:type="dxa"/>
            <w:noWrap w:val="0"/>
            <w:vAlign w:val="top"/>
          </w:tcPr>
          <w:p w14:paraId="60BBCFC2">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r>
      <w:tr w14:paraId="0DF3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5E44CE0C">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474" w:type="dxa"/>
            <w:noWrap w:val="0"/>
            <w:vAlign w:val="top"/>
          </w:tcPr>
          <w:p w14:paraId="27F8852D">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865" w:type="dxa"/>
            <w:noWrap w:val="0"/>
            <w:vAlign w:val="top"/>
          </w:tcPr>
          <w:p w14:paraId="1B861DA3">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2542" w:type="dxa"/>
            <w:noWrap w:val="0"/>
            <w:vAlign w:val="top"/>
          </w:tcPr>
          <w:p w14:paraId="3BA611D0">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841" w:type="dxa"/>
            <w:noWrap w:val="0"/>
            <w:vAlign w:val="top"/>
          </w:tcPr>
          <w:p w14:paraId="7F547A48">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684" w:type="dxa"/>
            <w:noWrap w:val="0"/>
            <w:vAlign w:val="top"/>
          </w:tcPr>
          <w:p w14:paraId="769A9037">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r>
    </w:tbl>
    <w:p w14:paraId="1909FBEF">
      <w:pPr>
        <w:spacing w:before="120" w:beforeLines="50" w:line="400" w:lineRule="exact"/>
        <w:ind w:left="-141" w:leftChars="-6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1.本表只填写投标文件中与招标文件有偏离的内容，投标文件中技术规格及指标响应与招标文件要求完全一致的，不用在此表中列出，但必须提交空白表。如不提供此表，则视为投标人不满足招标文件的所有技术条款要求，其</w:t>
      </w:r>
      <w:r>
        <w:rPr>
          <w:rFonts w:hint="eastAsia" w:ascii="宋体" w:hAnsi="宋体" w:eastAsia="宋体" w:cs="宋体"/>
          <w:b/>
          <w:color w:val="auto"/>
          <w:sz w:val="22"/>
          <w:szCs w:val="22"/>
          <w:highlight w:val="none"/>
        </w:rPr>
        <w:t>投标无效</w:t>
      </w:r>
      <w:r>
        <w:rPr>
          <w:rFonts w:hint="eastAsia" w:ascii="宋体" w:hAnsi="宋体" w:eastAsia="宋体" w:cs="宋体"/>
          <w:color w:val="auto"/>
          <w:sz w:val="22"/>
          <w:szCs w:val="22"/>
          <w:highlight w:val="none"/>
        </w:rPr>
        <w:t>。</w:t>
      </w:r>
    </w:p>
    <w:p w14:paraId="6FD3CFB9">
      <w:pPr>
        <w:spacing w:line="400" w:lineRule="exact"/>
        <w:ind w:left="-141" w:leftChars="-67"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2.投标人必须据实填写，不得虚假响应，否则，将取消其投标或中标资格。</w:t>
      </w:r>
    </w:p>
    <w:p w14:paraId="75C1AD89">
      <w:pPr>
        <w:adjustRightInd w:val="0"/>
        <w:spacing w:line="400" w:lineRule="exact"/>
        <w:ind w:firstLine="385" w:firstLineChars="175"/>
        <w:jc w:val="left"/>
        <w:rPr>
          <w:rFonts w:hint="eastAsia" w:ascii="宋体" w:hAnsi="宋体" w:eastAsia="宋体" w:cs="宋体"/>
          <w:bCs/>
          <w:color w:val="auto"/>
          <w:sz w:val="22"/>
          <w:szCs w:val="22"/>
          <w:highlight w:val="none"/>
        </w:rPr>
      </w:pPr>
    </w:p>
    <w:p w14:paraId="41EACB8D">
      <w:pPr>
        <w:keepNext w:val="0"/>
        <w:keepLines w:val="0"/>
        <w:pageBreakBefore w:val="0"/>
        <w:widowControl w:val="0"/>
        <w:kinsoku/>
        <w:wordWrap/>
        <w:overflowPunct/>
        <w:topLinePunct w:val="0"/>
        <w:autoSpaceDE/>
        <w:autoSpaceDN/>
        <w:bidi w:val="0"/>
        <w:adjustRightInd w:val="0"/>
        <w:snapToGrid/>
        <w:spacing w:line="480" w:lineRule="auto"/>
        <w:ind w:firstLine="385" w:firstLineChars="175"/>
        <w:jc w:val="left"/>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rPr>
        <w:t>投 标 人（</w:t>
      </w:r>
      <w:r>
        <w:rPr>
          <w:rFonts w:hint="eastAsia" w:ascii="宋体" w:hAnsi="宋体" w:cs="宋体"/>
          <w:bCs/>
          <w:color w:val="auto"/>
          <w:sz w:val="22"/>
          <w:szCs w:val="22"/>
          <w:highlight w:val="none"/>
          <w:lang w:val="en-US" w:eastAsia="zh-CN"/>
        </w:rPr>
        <w:t>全称、</w:t>
      </w:r>
      <w:r>
        <w:rPr>
          <w:rFonts w:hint="eastAsia" w:ascii="宋体" w:hAnsi="宋体" w:eastAsia="宋体" w:cs="宋体"/>
          <w:bCs/>
          <w:color w:val="auto"/>
          <w:sz w:val="22"/>
          <w:szCs w:val="22"/>
          <w:highlight w:val="none"/>
        </w:rPr>
        <w:t>盖章）</w:t>
      </w:r>
      <w:r>
        <w:rPr>
          <w:rFonts w:hint="eastAsia" w:ascii="宋体" w:hAnsi="宋体" w:cs="宋体"/>
          <w:bCs/>
          <w:color w:val="auto"/>
          <w:sz w:val="22"/>
          <w:szCs w:val="22"/>
          <w:highlight w:val="none"/>
          <w:lang w:eastAsia="zh-CN"/>
        </w:rPr>
        <w:t>：</w:t>
      </w:r>
    </w:p>
    <w:p w14:paraId="30DF467E">
      <w:pPr>
        <w:keepNext w:val="0"/>
        <w:keepLines w:val="0"/>
        <w:pageBreakBefore w:val="0"/>
        <w:widowControl w:val="0"/>
        <w:kinsoku/>
        <w:wordWrap/>
        <w:overflowPunct/>
        <w:topLinePunct w:val="0"/>
        <w:autoSpaceDE/>
        <w:autoSpaceDN/>
        <w:bidi w:val="0"/>
        <w:adjustRightInd w:val="0"/>
        <w:snapToGrid/>
        <w:spacing w:line="480" w:lineRule="auto"/>
        <w:ind w:firstLine="385" w:firstLineChars="175"/>
        <w:jc w:val="left"/>
        <w:textAlignment w:val="auto"/>
        <w:rPr>
          <w:rFonts w:hint="eastAsia" w:ascii="宋体" w:hAnsi="宋体" w:cs="宋体"/>
          <w:color w:val="auto"/>
          <w:sz w:val="22"/>
          <w:szCs w:val="22"/>
          <w:highlight w:val="none"/>
          <w:lang w:eastAsia="zh-CN"/>
        </w:rPr>
      </w:pPr>
      <w:r>
        <w:rPr>
          <w:rFonts w:hint="eastAsia" w:ascii="宋体" w:hAnsi="宋体" w:eastAsia="宋体" w:cs="宋体"/>
          <w:color w:val="auto"/>
          <w:sz w:val="22"/>
          <w:szCs w:val="22"/>
          <w:highlight w:val="none"/>
        </w:rPr>
        <w:t>法定代表人或委托代理人（签字或盖章）</w:t>
      </w:r>
      <w:r>
        <w:rPr>
          <w:rFonts w:hint="eastAsia" w:ascii="宋体" w:hAnsi="宋体" w:cs="宋体"/>
          <w:color w:val="auto"/>
          <w:sz w:val="22"/>
          <w:szCs w:val="22"/>
          <w:highlight w:val="none"/>
          <w:lang w:eastAsia="zh-CN"/>
        </w:rPr>
        <w:t>：</w:t>
      </w:r>
    </w:p>
    <w:p w14:paraId="7633DAFB">
      <w:pPr>
        <w:keepNext w:val="0"/>
        <w:keepLines w:val="0"/>
        <w:pageBreakBefore w:val="0"/>
        <w:widowControl w:val="0"/>
        <w:kinsoku/>
        <w:wordWrap/>
        <w:overflowPunct/>
        <w:topLinePunct w:val="0"/>
        <w:autoSpaceDE/>
        <w:autoSpaceDN/>
        <w:bidi w:val="0"/>
        <w:adjustRightInd w:val="0"/>
        <w:snapToGrid/>
        <w:spacing w:line="480" w:lineRule="auto"/>
        <w:ind w:firstLine="385" w:firstLineChars="175"/>
        <w:jc w:val="left"/>
        <w:textAlignment w:val="auto"/>
        <w:rPr>
          <w:rFonts w:hint="eastAsia" w:ascii="宋体" w:hAnsi="宋体" w:eastAsia="宋体" w:cs="宋体"/>
          <w:b/>
          <w:color w:val="auto"/>
          <w:sz w:val="22"/>
          <w:szCs w:val="22"/>
          <w:highlight w:val="none"/>
        </w:rPr>
      </w:pPr>
      <w:r>
        <w:rPr>
          <w:rFonts w:hint="eastAsia" w:ascii="宋体" w:hAnsi="宋体" w:eastAsia="宋体" w:cs="宋体"/>
          <w:bCs/>
          <w:color w:val="auto"/>
          <w:sz w:val="22"/>
          <w:szCs w:val="22"/>
          <w:highlight w:val="none"/>
        </w:rPr>
        <w:t xml:space="preserve">日 期：   </w:t>
      </w:r>
      <w:r>
        <w:rPr>
          <w:rFonts w:hint="eastAsia" w:ascii="宋体" w:hAnsi="宋体" w:eastAsia="宋体" w:cs="宋体"/>
          <w:b/>
          <w:color w:val="auto"/>
          <w:sz w:val="22"/>
          <w:szCs w:val="22"/>
          <w:highlight w:val="none"/>
        </w:rPr>
        <w:t xml:space="preserve">        </w:t>
      </w:r>
    </w:p>
    <w:p w14:paraId="043E35DE">
      <w:pPr>
        <w:pStyle w:val="23"/>
        <w:rPr>
          <w:rFonts w:hint="eastAsia"/>
          <w:color w:val="auto"/>
          <w:highlight w:val="none"/>
        </w:rPr>
      </w:pPr>
    </w:p>
    <w:p w14:paraId="248B345D">
      <w:pPr>
        <w:adjustRightInd w:val="0"/>
        <w:spacing w:before="360" w:beforeLines="150" w:line="360" w:lineRule="auto"/>
        <w:jc w:val="center"/>
        <w:outlineLvl w:val="0"/>
        <w:rPr>
          <w:rFonts w:hint="eastAsia" w:ascii="宋体" w:hAnsi="宋体" w:eastAsia="宋体" w:cs="宋体"/>
          <w:color w:val="auto"/>
          <w:sz w:val="32"/>
          <w:szCs w:val="32"/>
          <w:highlight w:val="none"/>
        </w:rPr>
      </w:pPr>
      <w:bookmarkStart w:id="225" w:name="_Toc15037"/>
      <w:r>
        <w:rPr>
          <w:rFonts w:hint="eastAsia" w:ascii="宋体" w:hAnsi="宋体" w:cs="宋体"/>
          <w:b/>
          <w:color w:val="auto"/>
          <w:sz w:val="32"/>
          <w:szCs w:val="32"/>
          <w:highlight w:val="none"/>
          <w:lang w:val="en-US" w:eastAsia="zh-CN"/>
        </w:rPr>
        <w:t>五</w:t>
      </w:r>
      <w:r>
        <w:rPr>
          <w:rFonts w:hint="eastAsia" w:ascii="宋体" w:hAnsi="宋体" w:eastAsia="宋体" w:cs="宋体"/>
          <w:b/>
          <w:color w:val="auto"/>
          <w:sz w:val="32"/>
          <w:szCs w:val="32"/>
          <w:highlight w:val="none"/>
        </w:rPr>
        <w:t>、</w:t>
      </w:r>
      <w:bookmarkStart w:id="226" w:name="_Toc308451529"/>
      <w:r>
        <w:rPr>
          <w:rFonts w:hint="eastAsia" w:ascii="宋体" w:hAnsi="宋体" w:eastAsia="宋体" w:cs="宋体"/>
          <w:b/>
          <w:bCs/>
          <w:color w:val="auto"/>
          <w:sz w:val="32"/>
          <w:szCs w:val="32"/>
          <w:highlight w:val="none"/>
        </w:rPr>
        <w:t>法定代表人证明书及法定代表人授权书</w:t>
      </w:r>
      <w:bookmarkEnd w:id="225"/>
    </w:p>
    <w:p w14:paraId="1DF41AC1">
      <w:pPr>
        <w:spacing w:line="480" w:lineRule="exact"/>
        <w:ind w:left="210" w:leftChars="100"/>
        <w:jc w:val="center"/>
        <w:outlineLvl w:val="1"/>
        <w:rPr>
          <w:rFonts w:hint="eastAsia" w:ascii="宋体" w:hAnsi="宋体" w:eastAsia="宋体" w:cs="宋体"/>
          <w:b/>
          <w:bCs/>
          <w:color w:val="auto"/>
          <w:sz w:val="24"/>
          <w:highlight w:val="none"/>
        </w:rPr>
      </w:pPr>
      <w:bookmarkStart w:id="227" w:name="_Toc26087"/>
      <w:bookmarkStart w:id="228" w:name="_Toc30332"/>
      <w:r>
        <w:rPr>
          <w:rFonts w:hint="eastAsia" w:ascii="宋体" w:hAnsi="宋体" w:cs="宋体"/>
          <w:b/>
          <w:bCs/>
          <w:color w:val="auto"/>
          <w:sz w:val="24"/>
          <w:highlight w:val="none"/>
          <w:lang w:val="en-US" w:eastAsia="zh-CN"/>
        </w:rPr>
        <w:t>5</w:t>
      </w:r>
      <w:r>
        <w:rPr>
          <w:rFonts w:hint="eastAsia" w:ascii="宋体" w:hAnsi="宋体" w:eastAsia="宋体" w:cs="宋体"/>
          <w:b/>
          <w:bCs/>
          <w:color w:val="auto"/>
          <w:sz w:val="24"/>
          <w:highlight w:val="none"/>
        </w:rPr>
        <w:t>-1、法定代表人证明书</w:t>
      </w:r>
      <w:bookmarkEnd w:id="227"/>
      <w:bookmarkEnd w:id="228"/>
    </w:p>
    <w:tbl>
      <w:tblPr>
        <w:tblStyle w:val="25"/>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2281"/>
        <w:gridCol w:w="975"/>
        <w:gridCol w:w="839"/>
        <w:gridCol w:w="1234"/>
        <w:gridCol w:w="2554"/>
      </w:tblGrid>
      <w:tr w14:paraId="036E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380" w:type="dxa"/>
            <w:gridSpan w:val="6"/>
            <w:noWrap w:val="0"/>
            <w:vAlign w:val="top"/>
          </w:tcPr>
          <w:p w14:paraId="698E5E31">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致：（采购人</w:t>
            </w:r>
            <w:r>
              <w:rPr>
                <w:rFonts w:hint="eastAsia" w:ascii="宋体" w:hAnsi="宋体" w:cs="宋体"/>
                <w:bCs/>
                <w:caps/>
                <w:color w:val="auto"/>
                <w:sz w:val="22"/>
                <w:szCs w:val="22"/>
                <w:highlight w:val="none"/>
                <w:lang w:val="en-US" w:eastAsia="zh-CN"/>
              </w:rPr>
              <w:t>名称</w:t>
            </w:r>
            <w:r>
              <w:rPr>
                <w:rFonts w:hint="eastAsia" w:ascii="宋体" w:hAnsi="宋体" w:eastAsia="宋体" w:cs="宋体"/>
                <w:bCs/>
                <w:caps/>
                <w:color w:val="auto"/>
                <w:sz w:val="22"/>
                <w:szCs w:val="22"/>
                <w:highlight w:val="none"/>
              </w:rPr>
              <w:t xml:space="preserve">）     </w:t>
            </w:r>
          </w:p>
        </w:tc>
      </w:tr>
      <w:tr w14:paraId="7BDEF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noWrap w:val="0"/>
            <w:vAlign w:val="center"/>
          </w:tcPr>
          <w:p w14:paraId="3682E354">
            <w:pPr>
              <w:keepNext w:val="0"/>
              <w:keepLines w:val="0"/>
              <w:suppressLineNumbers w:val="0"/>
              <w:tabs>
                <w:tab w:val="right" w:leader="dot" w:pos="9022"/>
              </w:tabs>
              <w:autoSpaceDE w:val="0"/>
              <w:autoSpaceDN w:val="0"/>
              <w:adjustRightInd w:val="0"/>
              <w:spacing w:before="0" w:beforeAutospacing="0" w:after="0" w:afterAutospacing="0" w:line="240" w:lineRule="auto"/>
              <w:ind w:left="0" w:right="0"/>
              <w:jc w:val="center"/>
              <w:rPr>
                <w:rFonts w:hint="default" w:ascii="宋体" w:hAnsi="宋体" w:eastAsia="宋体" w:cs="宋体"/>
                <w:bCs/>
                <w:caps/>
                <w:color w:val="auto"/>
                <w:sz w:val="22"/>
                <w:szCs w:val="22"/>
                <w:highlight w:val="none"/>
                <w:lang w:val="en-US" w:eastAsia="zh-CN"/>
              </w:rPr>
            </w:pPr>
            <w:r>
              <w:rPr>
                <w:rFonts w:hint="eastAsia" w:ascii="宋体" w:hAnsi="宋体" w:eastAsia="宋体" w:cs="宋体"/>
                <w:bCs/>
                <w:caps/>
                <w:color w:val="auto"/>
                <w:sz w:val="22"/>
                <w:szCs w:val="22"/>
                <w:highlight w:val="none"/>
              </w:rPr>
              <w:t>项目名称</w:t>
            </w:r>
          </w:p>
        </w:tc>
        <w:tc>
          <w:tcPr>
            <w:tcW w:w="7883" w:type="dxa"/>
            <w:gridSpan w:val="5"/>
            <w:noWrap w:val="0"/>
            <w:vAlign w:val="top"/>
          </w:tcPr>
          <w:p w14:paraId="485918B7">
            <w:pPr>
              <w:keepNext w:val="0"/>
              <w:keepLines w:val="0"/>
              <w:suppressLineNumbers w:val="0"/>
              <w:tabs>
                <w:tab w:val="right" w:leader="dot" w:pos="9022"/>
              </w:tabs>
              <w:autoSpaceDE w:val="0"/>
              <w:autoSpaceDN w:val="0"/>
              <w:adjustRightInd w:val="0"/>
              <w:spacing w:before="0" w:beforeAutospacing="0" w:after="0" w:afterAutospacing="0" w:line="240" w:lineRule="auto"/>
              <w:ind w:left="0" w:right="0"/>
              <w:jc w:val="left"/>
              <w:rPr>
                <w:rFonts w:hint="eastAsia" w:ascii="宋体" w:hAnsi="宋体" w:eastAsia="宋体" w:cs="宋体"/>
                <w:bCs/>
                <w:caps/>
                <w:color w:val="auto"/>
                <w:sz w:val="22"/>
                <w:szCs w:val="22"/>
                <w:highlight w:val="none"/>
              </w:rPr>
            </w:pPr>
          </w:p>
        </w:tc>
      </w:tr>
      <w:tr w14:paraId="32367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noWrap w:val="0"/>
            <w:vAlign w:val="center"/>
          </w:tcPr>
          <w:p w14:paraId="27407E2C">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文件编号</w:t>
            </w:r>
          </w:p>
        </w:tc>
        <w:tc>
          <w:tcPr>
            <w:tcW w:w="7883" w:type="dxa"/>
            <w:gridSpan w:val="5"/>
            <w:noWrap w:val="0"/>
            <w:vAlign w:val="top"/>
          </w:tcPr>
          <w:p w14:paraId="229684AD">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p>
        </w:tc>
      </w:tr>
      <w:tr w14:paraId="5AEAF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497" w:type="dxa"/>
            <w:noWrap w:val="0"/>
            <w:vAlign w:val="center"/>
          </w:tcPr>
          <w:p w14:paraId="038E234C">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权   限</w:t>
            </w:r>
          </w:p>
        </w:tc>
        <w:tc>
          <w:tcPr>
            <w:tcW w:w="7883" w:type="dxa"/>
            <w:gridSpan w:val="5"/>
            <w:noWrap w:val="0"/>
            <w:vAlign w:val="center"/>
          </w:tcPr>
          <w:p w14:paraId="75005BAC">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办理本次采购项目的</w:t>
            </w:r>
            <w:r>
              <w:rPr>
                <w:rFonts w:hint="eastAsia" w:ascii="宋体" w:hAnsi="宋体" w:eastAsia="宋体" w:cs="宋体"/>
                <w:bCs/>
                <w:caps/>
                <w:color w:val="auto"/>
                <w:sz w:val="22"/>
                <w:szCs w:val="22"/>
                <w:highlight w:val="none"/>
                <w:lang w:val="en-US" w:eastAsia="zh-CN"/>
              </w:rPr>
              <w:t>投标</w:t>
            </w:r>
            <w:r>
              <w:rPr>
                <w:rFonts w:hint="eastAsia" w:ascii="宋体" w:hAnsi="宋体" w:eastAsia="宋体" w:cs="宋体"/>
                <w:bCs/>
                <w:caps/>
                <w:color w:val="auto"/>
                <w:sz w:val="22"/>
                <w:szCs w:val="22"/>
                <w:highlight w:val="none"/>
              </w:rPr>
              <w:t>、联系、洽谈、签约、执行等具体事务，签署全部有关文件、文书、协议及合同。</w:t>
            </w:r>
          </w:p>
        </w:tc>
      </w:tr>
      <w:tr w14:paraId="781D3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noWrap w:val="0"/>
            <w:vAlign w:val="center"/>
          </w:tcPr>
          <w:p w14:paraId="763F75CF">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有效期</w:t>
            </w:r>
          </w:p>
        </w:tc>
        <w:tc>
          <w:tcPr>
            <w:tcW w:w="7883" w:type="dxa"/>
            <w:gridSpan w:val="5"/>
            <w:noWrap w:val="0"/>
            <w:vAlign w:val="center"/>
          </w:tcPr>
          <w:p w14:paraId="578BE21E">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自提交</w:t>
            </w:r>
            <w:r>
              <w:rPr>
                <w:rFonts w:hint="eastAsia" w:ascii="宋体" w:hAnsi="宋体" w:eastAsia="宋体" w:cs="宋体"/>
                <w:bCs/>
                <w:caps/>
                <w:color w:val="auto"/>
                <w:sz w:val="22"/>
                <w:szCs w:val="22"/>
                <w:highlight w:val="none"/>
                <w:lang w:val="en-US" w:eastAsia="zh-CN"/>
              </w:rPr>
              <w:t>投标</w:t>
            </w:r>
            <w:r>
              <w:rPr>
                <w:rFonts w:hint="eastAsia" w:ascii="宋体" w:hAnsi="宋体" w:eastAsia="宋体" w:cs="宋体"/>
                <w:bCs/>
                <w:caps/>
                <w:color w:val="auto"/>
                <w:sz w:val="22"/>
                <w:szCs w:val="22"/>
                <w:highlight w:val="none"/>
              </w:rPr>
              <w:t>文件的截止之日起</w:t>
            </w:r>
            <w:r>
              <w:rPr>
                <w:rFonts w:hint="eastAsia" w:ascii="宋体" w:hAnsi="宋体" w:eastAsia="宋体" w:cs="宋体"/>
                <w:bCs/>
                <w:caps/>
                <w:color w:val="auto"/>
                <w:sz w:val="22"/>
                <w:szCs w:val="22"/>
                <w:highlight w:val="none"/>
                <w:u w:val="none"/>
              </w:rPr>
              <w:t xml:space="preserve"> </w:t>
            </w:r>
            <w:r>
              <w:rPr>
                <w:rFonts w:hint="eastAsia" w:ascii="宋体" w:hAnsi="宋体" w:eastAsia="宋体" w:cs="宋体"/>
                <w:bCs/>
                <w:caps/>
                <w:color w:val="auto"/>
                <w:sz w:val="22"/>
                <w:szCs w:val="22"/>
                <w:highlight w:val="none"/>
              </w:rPr>
              <w:t>个日历日</w:t>
            </w:r>
          </w:p>
        </w:tc>
      </w:tr>
      <w:tr w14:paraId="6BC4C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restart"/>
            <w:noWrap w:val="0"/>
            <w:vAlign w:val="center"/>
          </w:tcPr>
          <w:p w14:paraId="3225A1FF">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企业</w:t>
            </w:r>
          </w:p>
          <w:p w14:paraId="635BAC3D">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信息</w:t>
            </w:r>
          </w:p>
        </w:tc>
        <w:tc>
          <w:tcPr>
            <w:tcW w:w="2281" w:type="dxa"/>
            <w:noWrap w:val="0"/>
            <w:vAlign w:val="top"/>
          </w:tcPr>
          <w:p w14:paraId="200CE2C5">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 xml:space="preserve">企 业 名 称 </w:t>
            </w:r>
          </w:p>
        </w:tc>
        <w:tc>
          <w:tcPr>
            <w:tcW w:w="5602" w:type="dxa"/>
            <w:gridSpan w:val="4"/>
            <w:noWrap w:val="0"/>
            <w:vAlign w:val="top"/>
          </w:tcPr>
          <w:p w14:paraId="0858332A">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p>
        </w:tc>
      </w:tr>
      <w:tr w14:paraId="7848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0"/>
            <w:vAlign w:val="center"/>
          </w:tcPr>
          <w:p w14:paraId="19DB761F">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p>
        </w:tc>
        <w:tc>
          <w:tcPr>
            <w:tcW w:w="2281" w:type="dxa"/>
            <w:noWrap w:val="0"/>
            <w:vAlign w:val="top"/>
          </w:tcPr>
          <w:p w14:paraId="6C8F2A23">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法 定 地 址</w:t>
            </w:r>
          </w:p>
        </w:tc>
        <w:tc>
          <w:tcPr>
            <w:tcW w:w="5602" w:type="dxa"/>
            <w:gridSpan w:val="4"/>
            <w:noWrap w:val="0"/>
            <w:vAlign w:val="top"/>
          </w:tcPr>
          <w:p w14:paraId="1E37164A">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p>
        </w:tc>
      </w:tr>
      <w:tr w14:paraId="22108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0"/>
            <w:vAlign w:val="center"/>
          </w:tcPr>
          <w:p w14:paraId="48F7AF4A">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p>
        </w:tc>
        <w:tc>
          <w:tcPr>
            <w:tcW w:w="2281" w:type="dxa"/>
            <w:noWrap w:val="0"/>
            <w:vAlign w:val="top"/>
          </w:tcPr>
          <w:p w14:paraId="1211B8F7">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统一社会信用代码</w:t>
            </w:r>
          </w:p>
        </w:tc>
        <w:tc>
          <w:tcPr>
            <w:tcW w:w="5602" w:type="dxa"/>
            <w:gridSpan w:val="4"/>
            <w:noWrap w:val="0"/>
            <w:vAlign w:val="top"/>
          </w:tcPr>
          <w:p w14:paraId="74853369">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p>
        </w:tc>
      </w:tr>
      <w:tr w14:paraId="5E8D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0"/>
            <w:vAlign w:val="center"/>
          </w:tcPr>
          <w:p w14:paraId="07B9D034">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p>
        </w:tc>
        <w:tc>
          <w:tcPr>
            <w:tcW w:w="2281" w:type="dxa"/>
            <w:noWrap w:val="0"/>
            <w:vAlign w:val="top"/>
          </w:tcPr>
          <w:p w14:paraId="4FDE592D">
            <w:pPr>
              <w:keepNext w:val="0"/>
              <w:keepLines w:val="0"/>
              <w:suppressLineNumbers w:val="0"/>
              <w:tabs>
                <w:tab w:val="right" w:leader="dot" w:pos="9022"/>
              </w:tabs>
              <w:spacing w:before="0" w:beforeAutospacing="0" w:after="0" w:afterAutospacing="0" w:line="360" w:lineRule="auto"/>
              <w:ind w:left="0" w:right="0"/>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工商登记机关</w:t>
            </w:r>
          </w:p>
        </w:tc>
        <w:tc>
          <w:tcPr>
            <w:tcW w:w="5602" w:type="dxa"/>
            <w:gridSpan w:val="4"/>
            <w:noWrap w:val="0"/>
            <w:vAlign w:val="top"/>
          </w:tcPr>
          <w:p w14:paraId="6AD6F304">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p>
        </w:tc>
      </w:tr>
      <w:tr w14:paraId="29BE2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0"/>
            <w:vAlign w:val="center"/>
          </w:tcPr>
          <w:p w14:paraId="22A7F210">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p>
        </w:tc>
        <w:tc>
          <w:tcPr>
            <w:tcW w:w="2281" w:type="dxa"/>
            <w:noWrap w:val="0"/>
            <w:vAlign w:val="top"/>
          </w:tcPr>
          <w:p w14:paraId="507E9573">
            <w:pPr>
              <w:keepNext w:val="0"/>
              <w:keepLines w:val="0"/>
              <w:suppressLineNumbers w:val="0"/>
              <w:tabs>
                <w:tab w:val="right" w:leader="dot" w:pos="9022"/>
              </w:tabs>
              <w:spacing w:before="0" w:beforeAutospacing="0" w:after="0" w:afterAutospacing="0" w:line="360" w:lineRule="auto"/>
              <w:ind w:left="0" w:right="0"/>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网    址</w:t>
            </w:r>
          </w:p>
        </w:tc>
        <w:tc>
          <w:tcPr>
            <w:tcW w:w="5602" w:type="dxa"/>
            <w:gridSpan w:val="4"/>
            <w:noWrap w:val="0"/>
            <w:vAlign w:val="top"/>
          </w:tcPr>
          <w:p w14:paraId="28C85F6C">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p>
        </w:tc>
      </w:tr>
      <w:tr w14:paraId="49DC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restart"/>
            <w:noWrap w:val="0"/>
            <w:vAlign w:val="center"/>
          </w:tcPr>
          <w:p w14:paraId="46B72A9E">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法定代</w:t>
            </w:r>
          </w:p>
          <w:p w14:paraId="1CE05EA2">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表人</w:t>
            </w:r>
          </w:p>
        </w:tc>
        <w:tc>
          <w:tcPr>
            <w:tcW w:w="2281" w:type="dxa"/>
            <w:noWrap w:val="0"/>
            <w:vAlign w:val="top"/>
          </w:tcPr>
          <w:p w14:paraId="4E6D53EC">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姓    名</w:t>
            </w:r>
          </w:p>
        </w:tc>
        <w:tc>
          <w:tcPr>
            <w:tcW w:w="1814" w:type="dxa"/>
            <w:gridSpan w:val="2"/>
            <w:noWrap w:val="0"/>
            <w:vAlign w:val="top"/>
          </w:tcPr>
          <w:p w14:paraId="76203A46">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p>
        </w:tc>
        <w:tc>
          <w:tcPr>
            <w:tcW w:w="1234" w:type="dxa"/>
            <w:noWrap w:val="0"/>
            <w:vAlign w:val="top"/>
          </w:tcPr>
          <w:p w14:paraId="1E1E2BD6">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性    别</w:t>
            </w:r>
          </w:p>
        </w:tc>
        <w:tc>
          <w:tcPr>
            <w:tcW w:w="2554" w:type="dxa"/>
            <w:noWrap w:val="0"/>
            <w:vAlign w:val="top"/>
          </w:tcPr>
          <w:p w14:paraId="1B3CDEA9">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p>
        </w:tc>
      </w:tr>
      <w:tr w14:paraId="35C3F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0"/>
            <w:vAlign w:val="center"/>
          </w:tcPr>
          <w:p w14:paraId="20584FF6">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p>
        </w:tc>
        <w:tc>
          <w:tcPr>
            <w:tcW w:w="2281" w:type="dxa"/>
            <w:noWrap w:val="0"/>
            <w:vAlign w:val="top"/>
          </w:tcPr>
          <w:p w14:paraId="362E1E6C">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职    务</w:t>
            </w:r>
          </w:p>
        </w:tc>
        <w:tc>
          <w:tcPr>
            <w:tcW w:w="1814" w:type="dxa"/>
            <w:gridSpan w:val="2"/>
            <w:noWrap w:val="0"/>
            <w:vAlign w:val="top"/>
          </w:tcPr>
          <w:p w14:paraId="420AF3D9">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p>
        </w:tc>
        <w:tc>
          <w:tcPr>
            <w:tcW w:w="1234" w:type="dxa"/>
            <w:noWrap w:val="0"/>
            <w:vAlign w:val="top"/>
          </w:tcPr>
          <w:p w14:paraId="6352ADAE">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联系电话</w:t>
            </w:r>
          </w:p>
        </w:tc>
        <w:tc>
          <w:tcPr>
            <w:tcW w:w="2554" w:type="dxa"/>
            <w:noWrap w:val="0"/>
            <w:vAlign w:val="top"/>
          </w:tcPr>
          <w:p w14:paraId="3DE8D539">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p>
        </w:tc>
      </w:tr>
      <w:tr w14:paraId="5A18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0"/>
            <w:vAlign w:val="center"/>
          </w:tcPr>
          <w:p w14:paraId="5BBCE205">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p>
        </w:tc>
        <w:tc>
          <w:tcPr>
            <w:tcW w:w="2281" w:type="dxa"/>
            <w:noWrap w:val="0"/>
            <w:vAlign w:val="top"/>
          </w:tcPr>
          <w:p w14:paraId="429845F3">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传    真</w:t>
            </w:r>
          </w:p>
        </w:tc>
        <w:tc>
          <w:tcPr>
            <w:tcW w:w="5602" w:type="dxa"/>
            <w:gridSpan w:val="4"/>
            <w:noWrap w:val="0"/>
            <w:vAlign w:val="top"/>
          </w:tcPr>
          <w:p w14:paraId="7B64FBC6">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p>
        </w:tc>
      </w:tr>
      <w:tr w14:paraId="502EC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0"/>
            <w:vAlign w:val="center"/>
          </w:tcPr>
          <w:p w14:paraId="4745A66A">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p>
        </w:tc>
        <w:tc>
          <w:tcPr>
            <w:tcW w:w="2281" w:type="dxa"/>
            <w:noWrap w:val="0"/>
            <w:vAlign w:val="top"/>
          </w:tcPr>
          <w:p w14:paraId="23A45875">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通讯地址</w:t>
            </w:r>
          </w:p>
        </w:tc>
        <w:tc>
          <w:tcPr>
            <w:tcW w:w="5602" w:type="dxa"/>
            <w:gridSpan w:val="4"/>
            <w:noWrap w:val="0"/>
            <w:vAlign w:val="top"/>
          </w:tcPr>
          <w:p w14:paraId="75165762">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p>
        </w:tc>
      </w:tr>
      <w:tr w14:paraId="5B6A4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6" w:hRule="atLeast"/>
          <w:jc w:val="center"/>
        </w:trPr>
        <w:tc>
          <w:tcPr>
            <w:tcW w:w="4753" w:type="dxa"/>
            <w:gridSpan w:val="3"/>
            <w:noWrap w:val="0"/>
            <w:vAlign w:val="top"/>
          </w:tcPr>
          <w:p w14:paraId="0C69B70A">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p>
          <w:p w14:paraId="1B93580F">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pacing w:val="-4"/>
                <w:sz w:val="22"/>
                <w:szCs w:val="22"/>
                <w:highlight w:val="none"/>
              </w:rPr>
            </w:pPr>
          </w:p>
          <w:p w14:paraId="34BACCA3">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pacing w:val="-4"/>
                <w:sz w:val="22"/>
                <w:szCs w:val="22"/>
                <w:highlight w:val="none"/>
              </w:rPr>
            </w:pPr>
          </w:p>
          <w:p w14:paraId="04BEB1B2">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r>
              <w:rPr>
                <w:rFonts w:hint="eastAsia" w:ascii="宋体" w:hAnsi="宋体" w:eastAsia="宋体" w:cs="宋体"/>
                <w:color w:val="auto"/>
                <w:spacing w:val="-4"/>
                <w:sz w:val="22"/>
                <w:szCs w:val="22"/>
                <w:highlight w:val="none"/>
              </w:rPr>
              <w:t>法定代表人二代身份证正面复印件或扫描件</w:t>
            </w:r>
          </w:p>
          <w:p w14:paraId="727B7DB7">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p>
          <w:p w14:paraId="4FFD9B43">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p>
        </w:tc>
        <w:tc>
          <w:tcPr>
            <w:tcW w:w="4627" w:type="dxa"/>
            <w:gridSpan w:val="3"/>
            <w:noWrap w:val="0"/>
            <w:vAlign w:val="top"/>
          </w:tcPr>
          <w:p w14:paraId="572A1476">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p>
          <w:p w14:paraId="35641923">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pacing w:val="-4"/>
                <w:sz w:val="22"/>
                <w:szCs w:val="22"/>
                <w:highlight w:val="none"/>
              </w:rPr>
            </w:pPr>
          </w:p>
          <w:p w14:paraId="568672AC">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pacing w:val="-4"/>
                <w:sz w:val="22"/>
                <w:szCs w:val="22"/>
                <w:highlight w:val="none"/>
              </w:rPr>
            </w:pPr>
          </w:p>
          <w:p w14:paraId="7AB57BC1">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r>
              <w:rPr>
                <w:rFonts w:hint="eastAsia" w:ascii="宋体" w:hAnsi="宋体" w:eastAsia="宋体" w:cs="宋体"/>
                <w:color w:val="auto"/>
                <w:spacing w:val="-4"/>
                <w:sz w:val="22"/>
                <w:szCs w:val="22"/>
                <w:highlight w:val="none"/>
              </w:rPr>
              <w:t>法定代表人二代身份证反面复印件或扫描件</w:t>
            </w:r>
          </w:p>
          <w:p w14:paraId="6439E208">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p>
        </w:tc>
      </w:tr>
      <w:tr w14:paraId="70351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380" w:type="dxa"/>
            <w:gridSpan w:val="6"/>
            <w:noWrap w:val="0"/>
            <w:vAlign w:val="top"/>
          </w:tcPr>
          <w:p w14:paraId="47CDCA09">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法定代表人签字并盖章：</w:t>
            </w:r>
          </w:p>
        </w:tc>
      </w:tr>
    </w:tbl>
    <w:p w14:paraId="440CB3D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（供应商单位公章） </w:t>
      </w:r>
    </w:p>
    <w:p w14:paraId="3C65DB18">
      <w:pPr>
        <w:spacing w:line="48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 期：  </w:t>
      </w:r>
    </w:p>
    <w:p w14:paraId="5B3700FF">
      <w:pPr>
        <w:spacing w:line="480" w:lineRule="exact"/>
        <w:jc w:val="center"/>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bookmarkStart w:id="229" w:name="_Toc20979"/>
      <w:bookmarkStart w:id="230" w:name="_Toc16573"/>
      <w:r>
        <w:rPr>
          <w:rFonts w:hint="eastAsia" w:ascii="宋体" w:hAnsi="宋体" w:cs="宋体"/>
          <w:b/>
          <w:bCs/>
          <w:color w:val="auto"/>
          <w:sz w:val="24"/>
          <w:highlight w:val="none"/>
          <w:lang w:val="en-US" w:eastAsia="zh-CN"/>
        </w:rPr>
        <w:t>5</w:t>
      </w:r>
      <w:r>
        <w:rPr>
          <w:rFonts w:hint="eastAsia" w:ascii="宋体" w:hAnsi="宋体" w:eastAsia="宋体" w:cs="宋体"/>
          <w:b/>
          <w:bCs/>
          <w:color w:val="auto"/>
          <w:sz w:val="24"/>
          <w:highlight w:val="none"/>
        </w:rPr>
        <w:t>-2、法定代表人授权书</w:t>
      </w:r>
      <w:bookmarkEnd w:id="229"/>
      <w:bookmarkEnd w:id="230"/>
    </w:p>
    <w:tbl>
      <w:tblPr>
        <w:tblStyle w:val="25"/>
        <w:tblW w:w="94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455"/>
        <w:gridCol w:w="1041"/>
        <w:gridCol w:w="800"/>
        <w:gridCol w:w="631"/>
        <w:gridCol w:w="1432"/>
        <w:gridCol w:w="2649"/>
      </w:tblGrid>
      <w:tr w14:paraId="147EF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427" w:type="dxa"/>
            <w:gridSpan w:val="7"/>
            <w:noWrap w:val="0"/>
            <w:vAlign w:val="top"/>
          </w:tcPr>
          <w:p w14:paraId="052FB5FC">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致：（采购人</w:t>
            </w:r>
            <w:r>
              <w:rPr>
                <w:rFonts w:hint="eastAsia" w:ascii="宋体" w:hAnsi="宋体" w:cs="宋体"/>
                <w:bCs/>
                <w:caps/>
                <w:color w:val="auto"/>
                <w:sz w:val="22"/>
                <w:szCs w:val="22"/>
                <w:highlight w:val="none"/>
                <w:lang w:val="en-US" w:eastAsia="zh-CN"/>
              </w:rPr>
              <w:t>名称</w:t>
            </w:r>
            <w:r>
              <w:rPr>
                <w:rFonts w:hint="eastAsia" w:ascii="宋体" w:hAnsi="宋体" w:eastAsia="宋体" w:cs="宋体"/>
                <w:bCs/>
                <w:caps/>
                <w:color w:val="auto"/>
                <w:sz w:val="22"/>
                <w:szCs w:val="22"/>
                <w:highlight w:val="none"/>
              </w:rPr>
              <w:t xml:space="preserve">）     </w:t>
            </w:r>
          </w:p>
        </w:tc>
      </w:tr>
      <w:tr w14:paraId="2CCE0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419" w:type="dxa"/>
            <w:vMerge w:val="restart"/>
            <w:noWrap w:val="0"/>
            <w:vAlign w:val="center"/>
          </w:tcPr>
          <w:p w14:paraId="7A330278">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被授</w:t>
            </w:r>
          </w:p>
          <w:p w14:paraId="1BC182ED">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权项</w:t>
            </w:r>
          </w:p>
          <w:p w14:paraId="63E0AA08">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目与</w:t>
            </w:r>
          </w:p>
          <w:p w14:paraId="5B697DD0">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内容</w:t>
            </w:r>
          </w:p>
        </w:tc>
        <w:tc>
          <w:tcPr>
            <w:tcW w:w="1455" w:type="dxa"/>
            <w:noWrap w:val="0"/>
            <w:vAlign w:val="top"/>
          </w:tcPr>
          <w:p w14:paraId="3007C575">
            <w:pPr>
              <w:keepNext w:val="0"/>
              <w:keepLines w:val="0"/>
              <w:suppressLineNumbers w:val="0"/>
              <w:tabs>
                <w:tab w:val="right" w:leader="dot" w:pos="9022"/>
              </w:tabs>
              <w:autoSpaceDE w:val="0"/>
              <w:autoSpaceDN w:val="0"/>
              <w:adjustRightInd w:val="0"/>
              <w:spacing w:before="0" w:beforeAutospacing="0" w:after="0" w:afterAutospacing="0" w:line="240" w:lineRule="auto"/>
              <w:ind w:left="0" w:right="0"/>
              <w:jc w:val="left"/>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项目名称</w:t>
            </w:r>
          </w:p>
        </w:tc>
        <w:tc>
          <w:tcPr>
            <w:tcW w:w="6553" w:type="dxa"/>
            <w:gridSpan w:val="5"/>
            <w:noWrap w:val="0"/>
            <w:vAlign w:val="top"/>
          </w:tcPr>
          <w:p w14:paraId="59223747">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p>
        </w:tc>
      </w:tr>
      <w:tr w14:paraId="4FE9A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419" w:type="dxa"/>
            <w:vMerge w:val="continue"/>
            <w:noWrap w:val="0"/>
            <w:vAlign w:val="top"/>
          </w:tcPr>
          <w:p w14:paraId="4F88B1EA">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p>
        </w:tc>
        <w:tc>
          <w:tcPr>
            <w:tcW w:w="1455" w:type="dxa"/>
            <w:noWrap w:val="0"/>
            <w:vAlign w:val="top"/>
          </w:tcPr>
          <w:p w14:paraId="0B7D7B94">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文件编号</w:t>
            </w:r>
          </w:p>
        </w:tc>
        <w:tc>
          <w:tcPr>
            <w:tcW w:w="6553" w:type="dxa"/>
            <w:gridSpan w:val="5"/>
            <w:noWrap w:val="0"/>
            <w:vAlign w:val="top"/>
          </w:tcPr>
          <w:p w14:paraId="5775F6FA">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p>
        </w:tc>
      </w:tr>
      <w:tr w14:paraId="31C91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419" w:type="dxa"/>
            <w:vMerge w:val="continue"/>
            <w:noWrap w:val="0"/>
            <w:vAlign w:val="top"/>
          </w:tcPr>
          <w:p w14:paraId="7FCDD2DB">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p>
        </w:tc>
        <w:tc>
          <w:tcPr>
            <w:tcW w:w="1455" w:type="dxa"/>
            <w:noWrap w:val="0"/>
            <w:vAlign w:val="center"/>
          </w:tcPr>
          <w:p w14:paraId="49C439F3">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授权范围</w:t>
            </w:r>
          </w:p>
        </w:tc>
        <w:tc>
          <w:tcPr>
            <w:tcW w:w="6553" w:type="dxa"/>
            <w:gridSpan w:val="5"/>
            <w:noWrap w:val="0"/>
            <w:vAlign w:val="top"/>
          </w:tcPr>
          <w:p w14:paraId="086B509C">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全权办理本次采购项目的</w:t>
            </w:r>
            <w:r>
              <w:rPr>
                <w:rFonts w:hint="eastAsia" w:ascii="宋体" w:hAnsi="宋体" w:eastAsia="宋体" w:cs="宋体"/>
                <w:bCs/>
                <w:caps/>
                <w:color w:val="auto"/>
                <w:sz w:val="22"/>
                <w:szCs w:val="22"/>
                <w:highlight w:val="none"/>
                <w:lang w:val="en-US" w:eastAsia="zh-CN"/>
              </w:rPr>
              <w:t>投标</w:t>
            </w:r>
            <w:r>
              <w:rPr>
                <w:rFonts w:hint="eastAsia" w:ascii="宋体" w:hAnsi="宋体" w:eastAsia="宋体" w:cs="宋体"/>
                <w:bCs/>
                <w:caps/>
                <w:color w:val="auto"/>
                <w:sz w:val="22"/>
                <w:szCs w:val="22"/>
                <w:highlight w:val="none"/>
              </w:rPr>
              <w:t>、联系、洽谈、签约、执行等具体事务，签署全部有关文件、文书、协议及合同。</w:t>
            </w:r>
          </w:p>
        </w:tc>
      </w:tr>
      <w:tr w14:paraId="0214C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419" w:type="dxa"/>
            <w:vMerge w:val="continue"/>
            <w:noWrap w:val="0"/>
            <w:vAlign w:val="top"/>
          </w:tcPr>
          <w:p w14:paraId="7F1DA51F">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p>
        </w:tc>
        <w:tc>
          <w:tcPr>
            <w:tcW w:w="1455" w:type="dxa"/>
            <w:noWrap w:val="0"/>
            <w:vAlign w:val="top"/>
          </w:tcPr>
          <w:p w14:paraId="02362968">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法律责任</w:t>
            </w:r>
          </w:p>
        </w:tc>
        <w:tc>
          <w:tcPr>
            <w:tcW w:w="6553" w:type="dxa"/>
            <w:gridSpan w:val="5"/>
            <w:noWrap w:val="0"/>
            <w:vAlign w:val="top"/>
          </w:tcPr>
          <w:p w14:paraId="0D817EDA">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本公司对被授权人在本项目中的签名承担全部法律责任。</w:t>
            </w:r>
          </w:p>
        </w:tc>
      </w:tr>
      <w:tr w14:paraId="700D0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419" w:type="dxa"/>
            <w:vMerge w:val="continue"/>
            <w:noWrap w:val="0"/>
            <w:vAlign w:val="top"/>
          </w:tcPr>
          <w:p w14:paraId="0325F2FA">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p>
        </w:tc>
        <w:tc>
          <w:tcPr>
            <w:tcW w:w="1455" w:type="dxa"/>
            <w:noWrap w:val="0"/>
            <w:vAlign w:val="center"/>
          </w:tcPr>
          <w:p w14:paraId="4BA4AED8">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授权期限</w:t>
            </w:r>
          </w:p>
        </w:tc>
        <w:tc>
          <w:tcPr>
            <w:tcW w:w="6553" w:type="dxa"/>
            <w:gridSpan w:val="5"/>
            <w:noWrap w:val="0"/>
            <w:vAlign w:val="center"/>
          </w:tcPr>
          <w:p w14:paraId="365DA997">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本授权书自提交</w:t>
            </w:r>
            <w:r>
              <w:rPr>
                <w:rFonts w:hint="eastAsia" w:ascii="宋体" w:hAnsi="宋体" w:eastAsia="宋体" w:cs="宋体"/>
                <w:bCs/>
                <w:caps/>
                <w:color w:val="auto"/>
                <w:sz w:val="22"/>
                <w:szCs w:val="22"/>
                <w:highlight w:val="none"/>
                <w:lang w:val="en-US" w:eastAsia="zh-CN"/>
              </w:rPr>
              <w:t>投标</w:t>
            </w:r>
            <w:r>
              <w:rPr>
                <w:rFonts w:hint="eastAsia" w:ascii="宋体" w:hAnsi="宋体" w:eastAsia="宋体" w:cs="宋体"/>
                <w:bCs/>
                <w:caps/>
                <w:color w:val="auto"/>
                <w:sz w:val="22"/>
                <w:szCs w:val="22"/>
                <w:highlight w:val="none"/>
              </w:rPr>
              <w:t>文件的截止之日起</w:t>
            </w:r>
            <w:r>
              <w:rPr>
                <w:rFonts w:hint="eastAsia" w:ascii="宋体" w:hAnsi="宋体" w:eastAsia="宋体" w:cs="宋体"/>
                <w:bCs/>
                <w:caps/>
                <w:color w:val="auto"/>
                <w:sz w:val="22"/>
                <w:szCs w:val="22"/>
                <w:highlight w:val="none"/>
                <w:u w:val="none"/>
              </w:rPr>
              <w:t xml:space="preserve"> </w:t>
            </w:r>
            <w:r>
              <w:rPr>
                <w:rFonts w:hint="eastAsia" w:ascii="宋体" w:hAnsi="宋体" w:eastAsia="宋体" w:cs="宋体"/>
                <w:bCs/>
                <w:caps/>
                <w:color w:val="auto"/>
                <w:sz w:val="22"/>
                <w:szCs w:val="22"/>
                <w:highlight w:val="none"/>
              </w:rPr>
              <w:t>个日历日</w:t>
            </w:r>
          </w:p>
        </w:tc>
      </w:tr>
      <w:tr w14:paraId="6E469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419" w:type="dxa"/>
            <w:vMerge w:val="restart"/>
            <w:noWrap w:val="0"/>
            <w:vAlign w:val="center"/>
          </w:tcPr>
          <w:p w14:paraId="7E3840C1">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企业信息</w:t>
            </w:r>
          </w:p>
        </w:tc>
        <w:tc>
          <w:tcPr>
            <w:tcW w:w="2496" w:type="dxa"/>
            <w:gridSpan w:val="2"/>
            <w:noWrap w:val="0"/>
            <w:vAlign w:val="top"/>
          </w:tcPr>
          <w:p w14:paraId="2C62F50A">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 xml:space="preserve">企 业 名 称 </w:t>
            </w:r>
          </w:p>
        </w:tc>
        <w:tc>
          <w:tcPr>
            <w:tcW w:w="5512" w:type="dxa"/>
            <w:gridSpan w:val="4"/>
            <w:noWrap w:val="0"/>
            <w:vAlign w:val="center"/>
          </w:tcPr>
          <w:p w14:paraId="5A757A2D">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rPr>
                <w:rFonts w:hint="eastAsia" w:ascii="宋体" w:hAnsi="宋体" w:eastAsia="宋体" w:cs="宋体"/>
                <w:bCs/>
                <w:caps/>
                <w:color w:val="auto"/>
                <w:sz w:val="22"/>
                <w:szCs w:val="22"/>
                <w:highlight w:val="none"/>
              </w:rPr>
            </w:pPr>
          </w:p>
        </w:tc>
      </w:tr>
      <w:tr w14:paraId="136CB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419" w:type="dxa"/>
            <w:vMerge w:val="continue"/>
            <w:noWrap w:val="0"/>
            <w:vAlign w:val="top"/>
          </w:tcPr>
          <w:p w14:paraId="03995D4D">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p>
        </w:tc>
        <w:tc>
          <w:tcPr>
            <w:tcW w:w="2496" w:type="dxa"/>
            <w:gridSpan w:val="2"/>
            <w:noWrap w:val="0"/>
            <w:vAlign w:val="top"/>
          </w:tcPr>
          <w:p w14:paraId="7F3D6B54">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法 定 地 址</w:t>
            </w:r>
          </w:p>
        </w:tc>
        <w:tc>
          <w:tcPr>
            <w:tcW w:w="5512" w:type="dxa"/>
            <w:gridSpan w:val="4"/>
            <w:noWrap w:val="0"/>
            <w:vAlign w:val="center"/>
          </w:tcPr>
          <w:p w14:paraId="707E448B">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rPr>
                <w:rFonts w:hint="eastAsia" w:ascii="宋体" w:hAnsi="宋体" w:eastAsia="宋体" w:cs="宋体"/>
                <w:bCs/>
                <w:caps/>
                <w:color w:val="auto"/>
                <w:sz w:val="22"/>
                <w:szCs w:val="22"/>
                <w:highlight w:val="none"/>
              </w:rPr>
            </w:pPr>
          </w:p>
        </w:tc>
      </w:tr>
      <w:tr w14:paraId="5A4C5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419" w:type="dxa"/>
            <w:vMerge w:val="continue"/>
            <w:noWrap w:val="0"/>
            <w:vAlign w:val="top"/>
          </w:tcPr>
          <w:p w14:paraId="76CFF62C">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p>
        </w:tc>
        <w:tc>
          <w:tcPr>
            <w:tcW w:w="2496" w:type="dxa"/>
            <w:gridSpan w:val="2"/>
            <w:noWrap w:val="0"/>
            <w:vAlign w:val="top"/>
          </w:tcPr>
          <w:p w14:paraId="62C5B7B2">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统一社会信用代码</w:t>
            </w:r>
          </w:p>
        </w:tc>
        <w:tc>
          <w:tcPr>
            <w:tcW w:w="5512" w:type="dxa"/>
            <w:gridSpan w:val="4"/>
            <w:noWrap w:val="0"/>
            <w:vAlign w:val="center"/>
          </w:tcPr>
          <w:p w14:paraId="406AC1D9">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rPr>
                <w:rFonts w:hint="eastAsia" w:ascii="宋体" w:hAnsi="宋体" w:eastAsia="宋体" w:cs="宋体"/>
                <w:bCs/>
                <w:caps/>
                <w:color w:val="auto"/>
                <w:sz w:val="22"/>
                <w:szCs w:val="22"/>
                <w:highlight w:val="none"/>
              </w:rPr>
            </w:pPr>
          </w:p>
        </w:tc>
      </w:tr>
      <w:tr w14:paraId="23A84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419" w:type="dxa"/>
            <w:vMerge w:val="restart"/>
            <w:noWrap w:val="0"/>
            <w:vAlign w:val="center"/>
          </w:tcPr>
          <w:p w14:paraId="6FE29C06">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法定代表人</w:t>
            </w:r>
          </w:p>
        </w:tc>
        <w:tc>
          <w:tcPr>
            <w:tcW w:w="1455" w:type="dxa"/>
            <w:noWrap w:val="0"/>
            <w:vAlign w:val="center"/>
          </w:tcPr>
          <w:p w14:paraId="48349D1B">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姓名</w:t>
            </w:r>
          </w:p>
        </w:tc>
        <w:tc>
          <w:tcPr>
            <w:tcW w:w="2472" w:type="dxa"/>
            <w:gridSpan w:val="3"/>
            <w:noWrap w:val="0"/>
            <w:vAlign w:val="center"/>
          </w:tcPr>
          <w:p w14:paraId="0AC85D23">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p>
        </w:tc>
        <w:tc>
          <w:tcPr>
            <w:tcW w:w="1432" w:type="dxa"/>
            <w:noWrap w:val="0"/>
            <w:vAlign w:val="center"/>
          </w:tcPr>
          <w:p w14:paraId="13E7785D">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性    别</w:t>
            </w:r>
          </w:p>
        </w:tc>
        <w:tc>
          <w:tcPr>
            <w:tcW w:w="2649" w:type="dxa"/>
            <w:noWrap w:val="0"/>
            <w:vAlign w:val="center"/>
          </w:tcPr>
          <w:p w14:paraId="65F2B2AD">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p>
        </w:tc>
      </w:tr>
      <w:tr w14:paraId="19E64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419" w:type="dxa"/>
            <w:vMerge w:val="continue"/>
            <w:noWrap w:val="0"/>
            <w:vAlign w:val="center"/>
          </w:tcPr>
          <w:p w14:paraId="130DE91E">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p>
        </w:tc>
        <w:tc>
          <w:tcPr>
            <w:tcW w:w="1455" w:type="dxa"/>
            <w:noWrap w:val="0"/>
            <w:vAlign w:val="center"/>
          </w:tcPr>
          <w:p w14:paraId="1E336AC2">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职务</w:t>
            </w:r>
          </w:p>
        </w:tc>
        <w:tc>
          <w:tcPr>
            <w:tcW w:w="2472" w:type="dxa"/>
            <w:gridSpan w:val="3"/>
            <w:noWrap w:val="0"/>
            <w:vAlign w:val="center"/>
          </w:tcPr>
          <w:p w14:paraId="249D28AA">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p>
        </w:tc>
        <w:tc>
          <w:tcPr>
            <w:tcW w:w="1432" w:type="dxa"/>
            <w:noWrap w:val="0"/>
            <w:vAlign w:val="center"/>
          </w:tcPr>
          <w:p w14:paraId="2D84550A">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手机号码</w:t>
            </w:r>
          </w:p>
        </w:tc>
        <w:tc>
          <w:tcPr>
            <w:tcW w:w="2649" w:type="dxa"/>
            <w:noWrap w:val="0"/>
            <w:vAlign w:val="center"/>
          </w:tcPr>
          <w:p w14:paraId="4B9C7E66">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rPr>
                <w:rFonts w:hint="eastAsia" w:ascii="宋体" w:hAnsi="宋体" w:eastAsia="宋体" w:cs="宋体"/>
                <w:bCs/>
                <w:caps/>
                <w:color w:val="auto"/>
                <w:sz w:val="22"/>
                <w:szCs w:val="22"/>
                <w:highlight w:val="none"/>
              </w:rPr>
            </w:pPr>
          </w:p>
        </w:tc>
      </w:tr>
      <w:tr w14:paraId="60036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419" w:type="dxa"/>
            <w:vMerge w:val="restart"/>
            <w:noWrap w:val="0"/>
            <w:vAlign w:val="center"/>
          </w:tcPr>
          <w:p w14:paraId="369A0726">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被授权人</w:t>
            </w:r>
          </w:p>
        </w:tc>
        <w:tc>
          <w:tcPr>
            <w:tcW w:w="1455" w:type="dxa"/>
            <w:noWrap w:val="0"/>
            <w:vAlign w:val="center"/>
          </w:tcPr>
          <w:p w14:paraId="38DD7D65">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姓名</w:t>
            </w:r>
          </w:p>
        </w:tc>
        <w:tc>
          <w:tcPr>
            <w:tcW w:w="2472" w:type="dxa"/>
            <w:gridSpan w:val="3"/>
            <w:noWrap w:val="0"/>
            <w:vAlign w:val="center"/>
          </w:tcPr>
          <w:p w14:paraId="0B9DB1FC">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p>
        </w:tc>
        <w:tc>
          <w:tcPr>
            <w:tcW w:w="1432" w:type="dxa"/>
            <w:noWrap w:val="0"/>
            <w:vAlign w:val="center"/>
          </w:tcPr>
          <w:p w14:paraId="4939D7B6">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性    别</w:t>
            </w:r>
          </w:p>
        </w:tc>
        <w:tc>
          <w:tcPr>
            <w:tcW w:w="2649" w:type="dxa"/>
            <w:noWrap w:val="0"/>
            <w:vAlign w:val="center"/>
          </w:tcPr>
          <w:p w14:paraId="7504C770">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p>
        </w:tc>
      </w:tr>
      <w:tr w14:paraId="6FD9D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419" w:type="dxa"/>
            <w:vMerge w:val="continue"/>
            <w:noWrap w:val="0"/>
            <w:vAlign w:val="top"/>
          </w:tcPr>
          <w:p w14:paraId="044D9DA9">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p>
        </w:tc>
        <w:tc>
          <w:tcPr>
            <w:tcW w:w="1455" w:type="dxa"/>
            <w:noWrap w:val="0"/>
            <w:vAlign w:val="center"/>
          </w:tcPr>
          <w:p w14:paraId="06E24060">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职务</w:t>
            </w:r>
          </w:p>
        </w:tc>
        <w:tc>
          <w:tcPr>
            <w:tcW w:w="2472" w:type="dxa"/>
            <w:gridSpan w:val="3"/>
            <w:noWrap w:val="0"/>
            <w:vAlign w:val="center"/>
          </w:tcPr>
          <w:p w14:paraId="6B2DD516">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p>
        </w:tc>
        <w:tc>
          <w:tcPr>
            <w:tcW w:w="1432" w:type="dxa"/>
            <w:noWrap w:val="0"/>
            <w:vAlign w:val="center"/>
          </w:tcPr>
          <w:p w14:paraId="6634848A">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手机号码</w:t>
            </w:r>
          </w:p>
        </w:tc>
        <w:tc>
          <w:tcPr>
            <w:tcW w:w="2649" w:type="dxa"/>
            <w:noWrap w:val="0"/>
            <w:vAlign w:val="top"/>
          </w:tcPr>
          <w:p w14:paraId="0223B21F">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rPr>
                <w:rFonts w:hint="eastAsia" w:ascii="宋体" w:hAnsi="宋体" w:eastAsia="宋体" w:cs="宋体"/>
                <w:bCs/>
                <w:caps/>
                <w:color w:val="auto"/>
                <w:sz w:val="22"/>
                <w:szCs w:val="22"/>
                <w:highlight w:val="none"/>
              </w:rPr>
            </w:pPr>
          </w:p>
        </w:tc>
      </w:tr>
      <w:tr w14:paraId="333E5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419" w:type="dxa"/>
            <w:noWrap w:val="0"/>
            <w:vAlign w:val="top"/>
          </w:tcPr>
          <w:p w14:paraId="231DF8F3">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通讯地址</w:t>
            </w:r>
          </w:p>
        </w:tc>
        <w:tc>
          <w:tcPr>
            <w:tcW w:w="8008" w:type="dxa"/>
            <w:gridSpan w:val="6"/>
            <w:noWrap w:val="0"/>
            <w:vAlign w:val="top"/>
          </w:tcPr>
          <w:p w14:paraId="2CBFA9E8">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p>
        </w:tc>
      </w:tr>
      <w:tr w14:paraId="4877F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4715" w:type="dxa"/>
            <w:gridSpan w:val="4"/>
            <w:noWrap w:val="0"/>
            <w:vAlign w:val="top"/>
          </w:tcPr>
          <w:p w14:paraId="1140D6FB">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p>
          <w:p w14:paraId="054D0D5F">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pacing w:val="-4"/>
                <w:sz w:val="22"/>
                <w:szCs w:val="22"/>
                <w:highlight w:val="none"/>
              </w:rPr>
            </w:pPr>
          </w:p>
          <w:p w14:paraId="07EBE3EE">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r>
              <w:rPr>
                <w:rFonts w:hint="eastAsia" w:ascii="宋体" w:hAnsi="宋体" w:eastAsia="宋体" w:cs="宋体"/>
                <w:color w:val="auto"/>
                <w:spacing w:val="-4"/>
                <w:sz w:val="22"/>
                <w:szCs w:val="22"/>
                <w:highlight w:val="none"/>
              </w:rPr>
              <w:t>法定代表人二代身份证正面复印件或扫描件</w:t>
            </w:r>
          </w:p>
          <w:p w14:paraId="421CB03A">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p>
        </w:tc>
        <w:tc>
          <w:tcPr>
            <w:tcW w:w="4712" w:type="dxa"/>
            <w:gridSpan w:val="3"/>
            <w:noWrap w:val="0"/>
            <w:vAlign w:val="top"/>
          </w:tcPr>
          <w:p w14:paraId="4E8372F6">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p>
          <w:p w14:paraId="1737ED75">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pacing w:val="-4"/>
                <w:sz w:val="22"/>
                <w:szCs w:val="22"/>
                <w:highlight w:val="none"/>
              </w:rPr>
            </w:pPr>
          </w:p>
          <w:p w14:paraId="163D6B70">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r>
              <w:rPr>
                <w:rFonts w:hint="eastAsia" w:ascii="宋体" w:hAnsi="宋体" w:eastAsia="宋体" w:cs="宋体"/>
                <w:color w:val="auto"/>
                <w:spacing w:val="-4"/>
                <w:sz w:val="22"/>
                <w:szCs w:val="22"/>
                <w:highlight w:val="none"/>
              </w:rPr>
              <w:t>法定代表人二代身份证反面复印件或扫描件</w:t>
            </w:r>
          </w:p>
          <w:p w14:paraId="28AD1C16">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p>
        </w:tc>
      </w:tr>
      <w:tr w14:paraId="754CC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jc w:val="center"/>
        </w:trPr>
        <w:tc>
          <w:tcPr>
            <w:tcW w:w="4715" w:type="dxa"/>
            <w:gridSpan w:val="4"/>
            <w:noWrap w:val="0"/>
            <w:vAlign w:val="center"/>
          </w:tcPr>
          <w:p w14:paraId="3F571F05">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both"/>
              <w:rPr>
                <w:rFonts w:hint="eastAsia" w:ascii="宋体" w:hAnsi="宋体" w:eastAsia="宋体" w:cs="宋体"/>
                <w:bCs/>
                <w:caps/>
                <w:color w:val="auto"/>
                <w:sz w:val="22"/>
                <w:szCs w:val="22"/>
                <w:highlight w:val="none"/>
              </w:rPr>
            </w:pPr>
            <w:r>
              <w:rPr>
                <w:rFonts w:hint="eastAsia" w:ascii="宋体" w:hAnsi="宋体" w:eastAsia="宋体" w:cs="宋体"/>
                <w:color w:val="auto"/>
                <w:spacing w:val="-4"/>
                <w:sz w:val="22"/>
                <w:szCs w:val="22"/>
                <w:highlight w:val="none"/>
              </w:rPr>
              <w:t>被授权人二代身份证正面复印件或扫描件</w:t>
            </w:r>
          </w:p>
        </w:tc>
        <w:tc>
          <w:tcPr>
            <w:tcW w:w="4712" w:type="dxa"/>
            <w:gridSpan w:val="3"/>
            <w:noWrap w:val="0"/>
            <w:vAlign w:val="center"/>
          </w:tcPr>
          <w:p w14:paraId="72220831">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r>
              <w:rPr>
                <w:rFonts w:hint="eastAsia" w:ascii="宋体" w:hAnsi="宋体" w:eastAsia="宋体" w:cs="宋体"/>
                <w:color w:val="auto"/>
                <w:spacing w:val="-4"/>
                <w:sz w:val="22"/>
                <w:szCs w:val="22"/>
                <w:highlight w:val="none"/>
              </w:rPr>
              <w:t>被授权人二代身份证反面复印件或扫描件</w:t>
            </w:r>
          </w:p>
        </w:tc>
      </w:tr>
      <w:tr w14:paraId="0198F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427" w:type="dxa"/>
            <w:gridSpan w:val="7"/>
            <w:tcBorders>
              <w:bottom w:val="single" w:color="auto" w:sz="4" w:space="0"/>
            </w:tcBorders>
            <w:noWrap w:val="0"/>
            <w:vAlign w:val="center"/>
          </w:tcPr>
          <w:p w14:paraId="1297BABC">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法定代表人及被授权人签字：</w:t>
            </w:r>
          </w:p>
        </w:tc>
      </w:tr>
    </w:tbl>
    <w:p w14:paraId="2DA62DAB">
      <w:pPr>
        <w:autoSpaceDE w:val="0"/>
        <w:autoSpaceDN w:val="0"/>
        <w:adjustRightInd w:val="0"/>
        <w:snapToGrid w:val="0"/>
        <w:spacing w:line="360" w:lineRule="auto"/>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供应商（</w:t>
      </w:r>
      <w:r>
        <w:rPr>
          <w:rFonts w:hint="eastAsia" w:ascii="宋体" w:hAnsi="宋体" w:cs="宋体"/>
          <w:bCs/>
          <w:caps/>
          <w:color w:val="auto"/>
          <w:sz w:val="22"/>
          <w:szCs w:val="22"/>
          <w:highlight w:val="none"/>
          <w:lang w:val="en-US" w:eastAsia="zh-CN"/>
        </w:rPr>
        <w:t>全称、盖章</w:t>
      </w:r>
      <w:r>
        <w:rPr>
          <w:rFonts w:hint="eastAsia" w:ascii="宋体" w:hAnsi="宋体" w:eastAsia="宋体" w:cs="宋体"/>
          <w:bCs/>
          <w:caps/>
          <w:color w:val="auto"/>
          <w:sz w:val="22"/>
          <w:szCs w:val="22"/>
          <w:highlight w:val="none"/>
        </w:rPr>
        <w:t>）</w:t>
      </w:r>
      <w:r>
        <w:rPr>
          <w:rFonts w:hint="eastAsia" w:ascii="宋体" w:hAnsi="宋体" w:cs="宋体"/>
          <w:bCs/>
          <w:caps/>
          <w:color w:val="auto"/>
          <w:sz w:val="22"/>
          <w:szCs w:val="22"/>
          <w:highlight w:val="none"/>
          <w:lang w:eastAsia="zh-CN"/>
        </w:rPr>
        <w:t>：</w:t>
      </w:r>
      <w:r>
        <w:rPr>
          <w:rFonts w:hint="eastAsia" w:ascii="宋体" w:hAnsi="宋体" w:eastAsia="宋体" w:cs="宋体"/>
          <w:bCs/>
          <w:caps/>
          <w:color w:val="auto"/>
          <w:sz w:val="22"/>
          <w:szCs w:val="22"/>
          <w:highlight w:val="none"/>
        </w:rPr>
        <w:t xml:space="preserve"> </w:t>
      </w:r>
    </w:p>
    <w:p w14:paraId="28EF6101">
      <w:pPr>
        <w:autoSpaceDE w:val="0"/>
        <w:autoSpaceDN w:val="0"/>
        <w:adjustRightInd w:val="0"/>
        <w:snapToGrid w:val="0"/>
        <w:spacing w:line="360" w:lineRule="auto"/>
        <w:rPr>
          <w:rFonts w:hint="eastAsia" w:ascii="宋体" w:hAnsi="宋体" w:eastAsia="宋体" w:cs="宋体"/>
          <w:bCs/>
          <w:caps/>
          <w:color w:val="auto"/>
          <w:sz w:val="28"/>
          <w:szCs w:val="28"/>
          <w:highlight w:val="none"/>
        </w:rPr>
      </w:pPr>
      <w:r>
        <w:rPr>
          <w:rFonts w:hint="eastAsia" w:ascii="宋体" w:hAnsi="宋体" w:eastAsia="宋体" w:cs="宋体"/>
          <w:bCs/>
          <w:caps/>
          <w:color w:val="auto"/>
          <w:sz w:val="22"/>
          <w:szCs w:val="22"/>
          <w:highlight w:val="none"/>
        </w:rPr>
        <w:t>日 期</w:t>
      </w:r>
      <w:r>
        <w:rPr>
          <w:rFonts w:hint="eastAsia" w:ascii="宋体" w:hAnsi="宋体" w:eastAsia="宋体" w:cs="宋体"/>
          <w:bCs/>
          <w:caps/>
          <w:color w:val="auto"/>
          <w:sz w:val="24"/>
          <w:szCs w:val="24"/>
          <w:highlight w:val="none"/>
        </w:rPr>
        <w:t>：</w:t>
      </w:r>
      <w:r>
        <w:rPr>
          <w:rFonts w:hint="eastAsia" w:ascii="宋体" w:hAnsi="宋体" w:eastAsia="宋体" w:cs="宋体"/>
          <w:bCs/>
          <w:caps/>
          <w:color w:val="auto"/>
          <w:sz w:val="28"/>
          <w:szCs w:val="28"/>
          <w:highlight w:val="none"/>
        </w:rPr>
        <w:t xml:space="preserve">      </w:t>
      </w:r>
      <w:bookmarkEnd w:id="226"/>
    </w:p>
    <w:p w14:paraId="3A658AD0">
      <w:pPr>
        <w:rPr>
          <w:rFonts w:hint="eastAsia" w:ascii="宋体" w:hAnsi="宋体" w:eastAsia="宋体" w:cs="宋体"/>
          <w:bCs/>
          <w:caps/>
          <w:color w:val="auto"/>
          <w:sz w:val="28"/>
          <w:szCs w:val="28"/>
          <w:highlight w:val="none"/>
        </w:rPr>
      </w:pPr>
      <w:r>
        <w:rPr>
          <w:rFonts w:hint="eastAsia" w:ascii="宋体" w:hAnsi="宋体" w:eastAsia="宋体" w:cs="宋体"/>
          <w:bCs/>
          <w:caps/>
          <w:color w:val="auto"/>
          <w:sz w:val="28"/>
          <w:szCs w:val="28"/>
          <w:highlight w:val="none"/>
        </w:rPr>
        <w:br w:type="page"/>
      </w:r>
    </w:p>
    <w:p w14:paraId="318C5D07">
      <w:pPr>
        <w:pStyle w:val="17"/>
        <w:rPr>
          <w:rFonts w:hint="eastAsia"/>
          <w:color w:val="auto"/>
          <w:highlight w:val="none"/>
        </w:rPr>
      </w:pPr>
    </w:p>
    <w:p w14:paraId="71FF9D66">
      <w:pPr>
        <w:numPr>
          <w:ilvl w:val="0"/>
          <w:numId w:val="17"/>
        </w:numPr>
        <w:spacing w:line="440" w:lineRule="exact"/>
        <w:jc w:val="center"/>
        <w:outlineLvl w:val="0"/>
        <w:rPr>
          <w:rFonts w:hint="eastAsia" w:ascii="宋体" w:hAnsi="宋体" w:eastAsia="宋体" w:cs="宋体"/>
          <w:b/>
          <w:bCs/>
          <w:color w:val="auto"/>
          <w:sz w:val="32"/>
          <w:szCs w:val="32"/>
          <w:highlight w:val="none"/>
        </w:rPr>
      </w:pPr>
      <w:bookmarkStart w:id="231" w:name="_Toc28331"/>
      <w:r>
        <w:rPr>
          <w:rFonts w:hint="eastAsia" w:ascii="宋体" w:hAnsi="宋体" w:cs="宋体"/>
          <w:b/>
          <w:bCs/>
          <w:color w:val="auto"/>
          <w:sz w:val="32"/>
          <w:szCs w:val="32"/>
          <w:highlight w:val="none"/>
          <w:lang w:val="en-US" w:eastAsia="zh-CN"/>
        </w:rPr>
        <w:t>供应商</w:t>
      </w:r>
      <w:r>
        <w:rPr>
          <w:rFonts w:hint="eastAsia" w:ascii="宋体" w:hAnsi="宋体" w:eastAsia="宋体" w:cs="宋体"/>
          <w:b/>
          <w:bCs/>
          <w:color w:val="auto"/>
          <w:sz w:val="32"/>
          <w:szCs w:val="32"/>
          <w:highlight w:val="none"/>
        </w:rPr>
        <w:t>资格证明文件</w:t>
      </w:r>
      <w:bookmarkEnd w:id="231"/>
    </w:p>
    <w:p w14:paraId="694751E8">
      <w:pPr>
        <w:spacing w:line="360" w:lineRule="auto"/>
        <w:ind w:firstLine="440" w:firstLineChars="200"/>
        <w:rPr>
          <w:rFonts w:hint="eastAsia" w:ascii="宋体" w:hAnsi="宋体" w:eastAsia="宋体" w:cs="宋体"/>
          <w:sz w:val="22"/>
          <w:szCs w:val="22"/>
          <w:highlight w:val="none"/>
          <w:lang w:eastAsia="zh-CN"/>
        </w:rPr>
      </w:pPr>
      <w:bookmarkStart w:id="232" w:name="_Toc27028"/>
      <w:bookmarkStart w:id="233" w:name="_Toc16242"/>
      <w:bookmarkStart w:id="234" w:name="_Toc27143"/>
      <w:r>
        <w:rPr>
          <w:rFonts w:hint="eastAsia" w:ascii="宋体" w:hAnsi="宋体" w:eastAsia="宋体" w:cs="宋体"/>
          <w:sz w:val="22"/>
          <w:szCs w:val="22"/>
          <w:highlight w:val="none"/>
        </w:rPr>
        <w:t>（1）投标人为具有独立承担民事责任能力的法人。企业法人应提供合法有效的标识有统一社会信用代码的营业执照；</w:t>
      </w:r>
      <w:r>
        <w:rPr>
          <w:rFonts w:hint="eastAsia" w:ascii="宋体" w:hAnsi="宋体" w:eastAsia="宋体" w:cs="宋体"/>
          <w:sz w:val="22"/>
          <w:szCs w:val="22"/>
          <w:highlight w:val="none"/>
        </w:rPr>
        <w:br w:type="textWrapping"/>
      </w:r>
      <w:r>
        <w:rPr>
          <w:rFonts w:hint="eastAsia" w:ascii="宋体" w:hAnsi="宋体" w:cs="宋体"/>
          <w:sz w:val="22"/>
          <w:szCs w:val="22"/>
          <w:highlight w:val="none"/>
          <w:lang w:val="en-US" w:eastAsia="zh-CN"/>
        </w:rPr>
        <w:t xml:space="preserve">    </w:t>
      </w:r>
      <w:r>
        <w:rPr>
          <w:rFonts w:hint="eastAsia" w:ascii="宋体" w:hAnsi="宋体" w:eastAsia="宋体" w:cs="宋体"/>
          <w:sz w:val="22"/>
          <w:szCs w:val="22"/>
          <w:highlight w:val="none"/>
        </w:rPr>
        <w:t>（2）财务状况报告：提供完整的2024年度赋码财务审计报告，成立时间至提交投标文件截止时间不足一年的提供其基本账户开户银行出具的资信证明及基本账户开户许可证；（注：2022年后已在注册会计师行业统一监管平台（http://acc.mof.gov.cn/）报备的财务审计报告须可查询，并提供网页查询截图。）</w:t>
      </w:r>
      <w:r>
        <w:rPr>
          <w:rFonts w:hint="eastAsia" w:ascii="宋体" w:hAnsi="宋体" w:eastAsia="宋体" w:cs="宋体"/>
          <w:sz w:val="22"/>
          <w:szCs w:val="22"/>
          <w:highlight w:val="none"/>
        </w:rPr>
        <w:br w:type="textWrapping"/>
      </w:r>
      <w:r>
        <w:rPr>
          <w:rFonts w:hint="eastAsia" w:ascii="宋体" w:hAnsi="宋体" w:cs="宋体"/>
          <w:sz w:val="22"/>
          <w:szCs w:val="22"/>
          <w:highlight w:val="none"/>
          <w:lang w:val="en-US" w:eastAsia="zh-CN"/>
        </w:rPr>
        <w:t xml:space="preserve">    </w:t>
      </w:r>
      <w:r>
        <w:rPr>
          <w:rFonts w:hint="eastAsia" w:ascii="宋体" w:hAnsi="宋体" w:eastAsia="宋体" w:cs="宋体"/>
          <w:sz w:val="22"/>
          <w:szCs w:val="22"/>
          <w:highlight w:val="none"/>
        </w:rPr>
        <w:t>（3）社会保障资金缴纳证明：提供2025年1月至投标截止时间止至少连续3个月的社会保障资金银行缴费单据或社保机构开具的社会保险参保缴费情况证明，依法不需要缴纳社会保障资金的单位应提供相关证明材料（加盖公章的复印件）；</w:t>
      </w:r>
      <w:r>
        <w:rPr>
          <w:rFonts w:hint="eastAsia" w:ascii="宋体" w:hAnsi="宋体" w:eastAsia="宋体" w:cs="宋体"/>
          <w:sz w:val="22"/>
          <w:szCs w:val="22"/>
          <w:highlight w:val="none"/>
        </w:rPr>
        <w:br w:type="textWrapping"/>
      </w:r>
      <w:r>
        <w:rPr>
          <w:rFonts w:hint="eastAsia" w:ascii="宋体" w:hAnsi="宋体" w:cs="宋体"/>
          <w:sz w:val="22"/>
          <w:szCs w:val="22"/>
          <w:highlight w:val="none"/>
          <w:lang w:val="en-US" w:eastAsia="zh-CN"/>
        </w:rPr>
        <w:t xml:space="preserve">    </w:t>
      </w:r>
      <w:r>
        <w:rPr>
          <w:rFonts w:hint="eastAsia" w:ascii="宋体" w:hAnsi="宋体" w:eastAsia="宋体" w:cs="宋体"/>
          <w:sz w:val="22"/>
          <w:szCs w:val="22"/>
          <w:highlight w:val="none"/>
        </w:rPr>
        <w:t>（4）税收缴纳证明：提供2025年1月至投标截止时间止至少连续3个月的纳税证明（银行缴费凭证）或完税证明（时间以税款所属日期为准、税种须包含增值税或企业所得税或营业税），依法免税的单位应提供相关证明材料；</w:t>
      </w:r>
      <w:r>
        <w:rPr>
          <w:rFonts w:hint="eastAsia" w:ascii="宋体" w:hAnsi="宋体" w:eastAsia="宋体" w:cs="宋体"/>
          <w:sz w:val="22"/>
          <w:szCs w:val="22"/>
          <w:highlight w:val="none"/>
        </w:rPr>
        <w:br w:type="textWrapping"/>
      </w:r>
      <w:r>
        <w:rPr>
          <w:rFonts w:hint="eastAsia" w:ascii="宋体" w:hAnsi="宋体" w:cs="宋体"/>
          <w:sz w:val="22"/>
          <w:szCs w:val="22"/>
          <w:highlight w:val="none"/>
          <w:lang w:val="en-US" w:eastAsia="zh-CN"/>
        </w:rPr>
        <w:t xml:space="preserve">    </w:t>
      </w:r>
      <w:r>
        <w:rPr>
          <w:rFonts w:hint="eastAsia" w:ascii="宋体" w:hAnsi="宋体" w:eastAsia="宋体" w:cs="宋体"/>
          <w:sz w:val="22"/>
          <w:szCs w:val="22"/>
          <w:highlight w:val="none"/>
        </w:rPr>
        <w:t>（5）参加政府采购活动前三年内，在经营活动中没有重大违法记录的书面声明；</w:t>
      </w:r>
      <w:r>
        <w:rPr>
          <w:rFonts w:hint="eastAsia" w:ascii="宋体" w:hAnsi="宋体" w:eastAsia="宋体" w:cs="宋体"/>
          <w:sz w:val="22"/>
          <w:szCs w:val="22"/>
          <w:highlight w:val="none"/>
        </w:rPr>
        <w:br w:type="textWrapping"/>
      </w:r>
      <w:r>
        <w:rPr>
          <w:rFonts w:hint="eastAsia" w:ascii="宋体" w:hAnsi="宋体" w:cs="宋体"/>
          <w:sz w:val="22"/>
          <w:szCs w:val="22"/>
          <w:highlight w:val="none"/>
          <w:lang w:val="en-US" w:eastAsia="zh-CN"/>
        </w:rPr>
        <w:t xml:space="preserve">    </w:t>
      </w:r>
      <w:r>
        <w:rPr>
          <w:rFonts w:hint="eastAsia" w:ascii="宋体" w:hAnsi="宋体" w:eastAsia="宋体" w:cs="宋体"/>
          <w:sz w:val="22"/>
          <w:szCs w:val="22"/>
          <w:highlight w:val="none"/>
        </w:rPr>
        <w:t>（6）提供具有履行合同所必需的设备和专业技术能力的证明资料或承诺书；</w:t>
      </w:r>
      <w:r>
        <w:rPr>
          <w:rFonts w:hint="eastAsia" w:ascii="宋体" w:hAnsi="宋体" w:eastAsia="宋体" w:cs="宋体"/>
          <w:sz w:val="22"/>
          <w:szCs w:val="22"/>
          <w:highlight w:val="none"/>
        </w:rPr>
        <w:br w:type="textWrapping"/>
      </w:r>
      <w:r>
        <w:rPr>
          <w:rFonts w:hint="eastAsia" w:ascii="宋体" w:hAnsi="宋体" w:cs="宋体"/>
          <w:sz w:val="22"/>
          <w:szCs w:val="22"/>
          <w:highlight w:val="none"/>
          <w:lang w:val="en-US" w:eastAsia="zh-CN"/>
        </w:rPr>
        <w:t xml:space="preserve">    </w:t>
      </w:r>
      <w:r>
        <w:rPr>
          <w:rFonts w:hint="eastAsia" w:ascii="宋体" w:hAnsi="宋体" w:eastAsia="宋体" w:cs="宋体"/>
          <w:sz w:val="22"/>
          <w:szCs w:val="22"/>
          <w:highlight w:val="none"/>
        </w:rPr>
        <w:t>（7）对列入“信用中国”网站(www.creditchina.gov.cn)“记录失信被执行人、重大税收违法案件当事人名单、企业经营异常名录”记录名单；中国政府采购网(www.ccgp.gov.cn)“政府采购严重违法失信行为信息记录”的单位，应当拒绝参与政府采购活动（处罚期限届满的除外，如相关失信记录已失效，投标人需提供相关证明资料，附投标截止日前的查询结果但以投标截止日当天查询结果为准）。提供“信用中国”网站(www.creditchina.gov.cn)、中国政府采购网(www.ccgp.gov.cn)等网页截图加盖投标人公章（鲜章）为准；</w:t>
      </w:r>
      <w:r>
        <w:rPr>
          <w:rFonts w:hint="eastAsia" w:ascii="宋体" w:hAnsi="宋体" w:eastAsia="宋体" w:cs="宋体"/>
          <w:sz w:val="22"/>
          <w:szCs w:val="22"/>
          <w:highlight w:val="none"/>
        </w:rPr>
        <w:br w:type="textWrapping"/>
      </w:r>
      <w:r>
        <w:rPr>
          <w:rFonts w:hint="eastAsia" w:ascii="宋体" w:hAnsi="宋体" w:cs="宋体"/>
          <w:sz w:val="22"/>
          <w:szCs w:val="22"/>
          <w:highlight w:val="none"/>
          <w:lang w:val="en-US" w:eastAsia="zh-CN"/>
        </w:rPr>
        <w:t xml:space="preserve">   </w:t>
      </w:r>
      <w:r>
        <w:rPr>
          <w:rFonts w:hint="eastAsia" w:ascii="宋体" w:hAnsi="宋体" w:eastAsia="宋体" w:cs="宋体"/>
          <w:sz w:val="22"/>
          <w:szCs w:val="22"/>
          <w:highlight w:val="none"/>
        </w:rPr>
        <w:t>（8）本项目采用信用承诺书代替投标保证金，提供信用中国陕西榆林承诺网页截图（截图须体现合同包名称）；</w:t>
      </w:r>
      <w:r>
        <w:rPr>
          <w:rFonts w:hint="eastAsia" w:ascii="宋体" w:hAnsi="宋体" w:eastAsia="宋体" w:cs="宋体"/>
          <w:sz w:val="22"/>
          <w:szCs w:val="22"/>
          <w:highlight w:val="none"/>
        </w:rPr>
        <w:br w:type="textWrapping"/>
      </w:r>
      <w:r>
        <w:rPr>
          <w:rFonts w:hint="eastAsia" w:ascii="宋体" w:hAnsi="宋体" w:cs="宋体"/>
          <w:sz w:val="22"/>
          <w:szCs w:val="22"/>
          <w:highlight w:val="none"/>
          <w:lang w:val="en-US" w:eastAsia="zh-CN"/>
        </w:rPr>
        <w:t xml:space="preserve">   </w:t>
      </w:r>
      <w:r>
        <w:rPr>
          <w:rFonts w:hint="eastAsia" w:ascii="宋体" w:hAnsi="宋体" w:eastAsia="宋体" w:cs="宋体"/>
          <w:sz w:val="22"/>
          <w:szCs w:val="22"/>
          <w:highlight w:val="none"/>
        </w:rPr>
        <w:t>（9）提供《榆林市政府采购服务类项目供应商信用承诺书》；</w:t>
      </w:r>
      <w:r>
        <w:rPr>
          <w:rFonts w:hint="eastAsia" w:ascii="宋体" w:hAnsi="宋体" w:eastAsia="宋体" w:cs="宋体"/>
          <w:sz w:val="22"/>
          <w:szCs w:val="22"/>
          <w:highlight w:val="none"/>
        </w:rPr>
        <w:br w:type="textWrapping"/>
      </w:r>
      <w:r>
        <w:rPr>
          <w:rFonts w:hint="eastAsia" w:ascii="宋体" w:hAnsi="宋体" w:cs="宋体"/>
          <w:sz w:val="22"/>
          <w:szCs w:val="22"/>
          <w:highlight w:val="none"/>
          <w:lang w:val="en-US" w:eastAsia="zh-CN"/>
        </w:rPr>
        <w:t xml:space="preserve">   </w:t>
      </w:r>
      <w:r>
        <w:rPr>
          <w:rFonts w:hint="eastAsia" w:ascii="宋体" w:hAnsi="宋体" w:eastAsia="宋体" w:cs="宋体"/>
          <w:sz w:val="22"/>
          <w:szCs w:val="22"/>
          <w:highlight w:val="none"/>
        </w:rPr>
        <w:t>（10）本项目专门面向中小企业采购，投标人须填写《中小企业声明函》；</w:t>
      </w:r>
      <w:r>
        <w:rPr>
          <w:rFonts w:hint="eastAsia" w:ascii="宋体" w:hAnsi="宋体" w:eastAsia="宋体" w:cs="宋体"/>
          <w:sz w:val="22"/>
          <w:szCs w:val="22"/>
          <w:highlight w:val="none"/>
        </w:rPr>
        <w:br w:type="textWrapping"/>
      </w:r>
      <w:r>
        <w:rPr>
          <w:rFonts w:hint="eastAsia" w:ascii="宋体" w:hAnsi="宋体" w:cs="宋体"/>
          <w:sz w:val="22"/>
          <w:szCs w:val="22"/>
          <w:highlight w:val="none"/>
          <w:lang w:val="en-US" w:eastAsia="zh-CN"/>
        </w:rPr>
        <w:t xml:space="preserve">   </w:t>
      </w:r>
      <w:r>
        <w:rPr>
          <w:rFonts w:hint="eastAsia" w:ascii="宋体" w:hAnsi="宋体" w:eastAsia="宋体" w:cs="宋体"/>
          <w:sz w:val="22"/>
          <w:szCs w:val="22"/>
          <w:highlight w:val="none"/>
        </w:rPr>
        <w:t>（11）本项目不接受联合体投标，单位负责人为同一人或者存在直接控股、管理关系的不同投标人，不得参加同一合同项下的政府采购活动。</w:t>
      </w:r>
      <w:r>
        <w:rPr>
          <w:rFonts w:hint="eastAsia" w:ascii="宋体" w:hAnsi="宋体" w:eastAsia="宋体" w:cs="宋体"/>
          <w:sz w:val="22"/>
          <w:szCs w:val="22"/>
          <w:highlight w:val="none"/>
          <w:lang w:eastAsia="zh-CN"/>
        </w:rPr>
        <w:t>（提供书面声明材料）</w:t>
      </w:r>
    </w:p>
    <w:p w14:paraId="326ADB72">
      <w:pPr>
        <w:spacing w:line="360" w:lineRule="auto"/>
        <w:rPr>
          <w:rFonts w:hint="eastAsia"/>
          <w:color w:val="auto"/>
          <w:sz w:val="22"/>
          <w:szCs w:val="22"/>
          <w:highlight w:val="none"/>
        </w:rPr>
      </w:pPr>
      <w:r>
        <w:rPr>
          <w:rFonts w:hint="eastAsia" w:ascii="宋体" w:hAnsi="宋体" w:cs="宋体"/>
          <w:sz w:val="22"/>
          <w:szCs w:val="22"/>
          <w:highlight w:val="none"/>
          <w:lang w:val="en-US" w:eastAsia="zh-CN"/>
        </w:rPr>
        <w:t xml:space="preserve"> </w:t>
      </w:r>
      <w:r>
        <w:rPr>
          <w:rFonts w:hint="eastAsia" w:ascii="宋体" w:hAnsi="宋体" w:eastAsia="宋体" w:cs="宋体"/>
          <w:sz w:val="22"/>
          <w:szCs w:val="22"/>
          <w:highlight w:val="none"/>
        </w:rPr>
        <w:t>注：上述资格证明材料为必备材料或条件，缺少一项或某项达不到招标文件要求的按无效投标文件处理，各投标人在投标文件中应附完整的资格证明材料。</w:t>
      </w:r>
    </w:p>
    <w:p w14:paraId="4FE62CE5">
      <w:pPr>
        <w:pStyle w:val="94"/>
        <w:spacing w:line="360" w:lineRule="auto"/>
        <w:jc w:val="left"/>
        <w:outlineLvl w:val="9"/>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附件1：</w:t>
      </w:r>
    </w:p>
    <w:p w14:paraId="5DBC7157">
      <w:pPr>
        <w:pStyle w:val="94"/>
        <w:spacing w:line="360" w:lineRule="auto"/>
        <w:jc w:val="center"/>
        <w:outlineLvl w:val="9"/>
        <w:rPr>
          <w:rFonts w:hint="eastAsia" w:ascii="宋体" w:hAnsi="宋体" w:eastAsia="宋体" w:cs="宋体"/>
          <w:color w:val="auto"/>
          <w:sz w:val="22"/>
          <w:szCs w:val="22"/>
          <w:highlight w:val="none"/>
        </w:rPr>
      </w:pPr>
    </w:p>
    <w:p w14:paraId="508ACCF1">
      <w:pPr>
        <w:pStyle w:val="94"/>
        <w:spacing w:line="360" w:lineRule="auto"/>
        <w:jc w:val="center"/>
        <w:outlineLvl w:val="1"/>
        <w:rPr>
          <w:rFonts w:hint="eastAsia" w:ascii="宋体" w:hAnsi="宋体" w:eastAsia="宋体" w:cs="宋体"/>
          <w:color w:val="auto"/>
          <w:sz w:val="22"/>
          <w:szCs w:val="22"/>
          <w:highlight w:val="none"/>
        </w:rPr>
      </w:pPr>
      <w:bookmarkStart w:id="235" w:name="_Toc28479"/>
      <w:r>
        <w:rPr>
          <w:rFonts w:hint="eastAsia" w:ascii="宋体" w:hAnsi="宋体" w:eastAsia="宋体" w:cs="宋体"/>
          <w:color w:val="auto"/>
          <w:sz w:val="22"/>
          <w:szCs w:val="22"/>
          <w:highlight w:val="none"/>
        </w:rPr>
        <w:t>供应商书面声明函</w:t>
      </w:r>
      <w:bookmarkEnd w:id="232"/>
      <w:bookmarkEnd w:id="233"/>
      <w:bookmarkEnd w:id="234"/>
      <w:bookmarkEnd w:id="235"/>
    </w:p>
    <w:p w14:paraId="22A0C427">
      <w:pPr>
        <w:widowControl/>
        <w:spacing w:line="360" w:lineRule="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陕西秦丰源项目管理有限公司</w:t>
      </w:r>
      <w:r>
        <w:rPr>
          <w:rFonts w:hint="eastAsia" w:ascii="宋体" w:hAnsi="宋体" w:eastAsia="宋体" w:cs="宋体"/>
          <w:color w:val="auto"/>
          <w:sz w:val="22"/>
          <w:szCs w:val="22"/>
          <w:highlight w:val="none"/>
        </w:rPr>
        <w:t>：</w:t>
      </w:r>
    </w:p>
    <w:p w14:paraId="65981120">
      <w:pPr>
        <w:widowControl/>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我方作为</w:t>
      </w:r>
      <w:r>
        <w:rPr>
          <w:rFonts w:hint="eastAsia" w:ascii="宋体" w:hAnsi="宋体" w:eastAsia="宋体" w:cs="宋体"/>
          <w:color w:val="auto"/>
          <w:sz w:val="22"/>
          <w:szCs w:val="22"/>
          <w:highlight w:val="none"/>
          <w:u w:val="none"/>
          <w:lang w:val="en-US" w:eastAsia="zh-CN"/>
        </w:rPr>
        <w:t>（</w:t>
      </w:r>
      <w:r>
        <w:rPr>
          <w:rFonts w:hint="eastAsia" w:ascii="宋体" w:hAnsi="宋体" w:eastAsia="宋体" w:cs="宋体"/>
          <w:color w:val="auto"/>
          <w:sz w:val="22"/>
          <w:szCs w:val="22"/>
          <w:highlight w:val="none"/>
          <w:u w:val="single"/>
          <w:lang w:val="en-US" w:eastAsia="zh-CN"/>
        </w:rPr>
        <w:t>项目名称）</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（采购项目编号：</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w:t>
      </w:r>
      <w:r>
        <w:rPr>
          <w:rFonts w:hint="eastAsia" w:ascii="宋体" w:hAnsi="宋体" w:eastAsia="宋体" w:cs="宋体"/>
          <w:color w:val="auto"/>
          <w:sz w:val="22"/>
          <w:szCs w:val="22"/>
          <w:highlight w:val="none"/>
        </w:rPr>
        <w:t>的投标供应商，在此郑重声明：</w:t>
      </w:r>
    </w:p>
    <w:p w14:paraId="0FB50DA9">
      <w:pPr>
        <w:widowControl/>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1、在参加本次政府采购活动前3年内的经营活动中_</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（填“没有”或“有”）重大违法记录。供应商</w:t>
      </w:r>
      <w:r>
        <w:rPr>
          <w:rFonts w:hint="eastAsia" w:ascii="宋体" w:hAnsi="宋体" w:eastAsia="宋体" w:cs="宋体"/>
          <w:b/>
          <w:bCs/>
          <w:color w:val="auto"/>
          <w:sz w:val="22"/>
          <w:szCs w:val="22"/>
          <w:highlight w:val="none"/>
        </w:rPr>
        <w:t>在参加政府采购活动前3年内因违法经营被禁止在一定期限内参加政府采购活动，期限届满的，可以参加政府采购活动，但应提供期限届满的证明材料。</w:t>
      </w:r>
    </w:p>
    <w:p w14:paraId="290EC7B0">
      <w:pPr>
        <w:widowControl/>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2、我方</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（填“未被列入”或“被列入”）失信被执行人名单。</w:t>
      </w:r>
    </w:p>
    <w:p w14:paraId="06C7DAE1">
      <w:pPr>
        <w:widowControl/>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3、我方</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（填“未被列入”或“被列入”）重大税收违法案件当事人名单。</w:t>
      </w:r>
    </w:p>
    <w:p w14:paraId="179F1692">
      <w:pPr>
        <w:widowControl/>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4、我方</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（填“未被列入”或“被列入”）政府采购严重违法失信行为记录名单。</w:t>
      </w:r>
    </w:p>
    <w:p w14:paraId="61BD3A14">
      <w:pPr>
        <w:widowControl/>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如有不实，我方将无条件地退出本项目的采购活动，并遵照《政府采购法》有关“提供虚假材料的规定”接受处罚。</w:t>
      </w:r>
    </w:p>
    <w:p w14:paraId="2B946681">
      <w:pPr>
        <w:widowControl/>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特此声明。</w:t>
      </w:r>
    </w:p>
    <w:p w14:paraId="716329A2">
      <w:pPr>
        <w:widowControl/>
        <w:spacing w:line="360" w:lineRule="auto"/>
        <w:ind w:firstLine="1980" w:firstLineChars="9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供应商：（加盖公章）</w:t>
      </w:r>
    </w:p>
    <w:p w14:paraId="73B648C5">
      <w:pPr>
        <w:widowControl/>
        <w:spacing w:line="360" w:lineRule="auto"/>
        <w:ind w:firstLine="1920" w:firstLineChars="8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法定代表人或授权代表</w:t>
      </w:r>
      <w:r>
        <w:rPr>
          <w:rFonts w:hint="eastAsia" w:ascii="宋体" w:hAnsi="宋体" w:eastAsia="宋体" w:cs="宋体"/>
          <w:color w:val="auto"/>
          <w:sz w:val="24"/>
          <w:szCs w:val="24"/>
          <w:highlight w:val="none"/>
          <w:lang w:val="en-US" w:eastAsia="zh-CN"/>
        </w:rPr>
        <w:t>签字</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p>
    <w:p w14:paraId="6F54D37B">
      <w:pPr>
        <w:widowControl/>
        <w:spacing w:line="360" w:lineRule="auto"/>
        <w:ind w:firstLine="1920" w:firstLineChars="800"/>
        <w:rPr>
          <w:rFonts w:hint="eastAsia" w:ascii="Times New Roman" w:hAnsi="Times New Roman" w:eastAsia="宋体" w:cs="Times New Roman"/>
          <w:color w:val="auto"/>
          <w:szCs w:val="20"/>
          <w:highlight w:val="none"/>
        </w:rPr>
      </w:pPr>
      <w:r>
        <w:rPr>
          <w:rFonts w:hint="eastAsia" w:ascii="宋体" w:hAnsi="宋体" w:eastAsia="宋体" w:cs="宋体"/>
          <w:color w:val="auto"/>
          <w:sz w:val="24"/>
          <w:szCs w:val="24"/>
          <w:highlight w:val="none"/>
        </w:rPr>
        <w:t>日期：　　年　月　日</w:t>
      </w:r>
    </w:p>
    <w:p w14:paraId="2B979E93">
      <w:pPr>
        <w:keepNext/>
        <w:keepLines/>
        <w:widowControl w:val="0"/>
        <w:spacing w:before="240" w:after="290" w:line="240" w:lineRule="auto"/>
        <w:ind w:right="437"/>
        <w:jc w:val="center"/>
        <w:outlineLvl w:val="9"/>
        <w:rPr>
          <w:rFonts w:hint="eastAsia" w:ascii="宋体" w:hAnsi="宋体" w:eastAsia="宋体" w:cs="宋体"/>
          <w:b/>
          <w:bCs/>
          <w:color w:val="auto"/>
          <w:kern w:val="2"/>
          <w:sz w:val="22"/>
          <w:szCs w:val="22"/>
          <w:highlight w:val="none"/>
          <w:lang w:val="en-US" w:eastAsia="zh-CN" w:bidi="ar-SA"/>
        </w:rPr>
      </w:pPr>
    </w:p>
    <w:p w14:paraId="692AA006">
      <w:pPr>
        <w:rPr>
          <w:rFonts w:hint="eastAsia" w:ascii="宋体" w:hAnsi="宋体" w:eastAsia="宋体" w:cs="宋体"/>
          <w:color w:val="auto"/>
          <w:sz w:val="22"/>
          <w:szCs w:val="22"/>
          <w:highlight w:val="none"/>
        </w:rPr>
      </w:pPr>
    </w:p>
    <w:p w14:paraId="7CF17895">
      <w:pPr>
        <w:rPr>
          <w:rFonts w:hint="eastAsia" w:ascii="宋体" w:hAnsi="宋体" w:eastAsia="宋体" w:cs="宋体"/>
          <w:color w:val="auto"/>
          <w:sz w:val="22"/>
          <w:szCs w:val="22"/>
          <w:highlight w:val="none"/>
        </w:rPr>
      </w:pPr>
    </w:p>
    <w:p w14:paraId="5133FFF7">
      <w:pPr>
        <w:rPr>
          <w:rFonts w:hint="eastAsia" w:ascii="宋体" w:hAnsi="宋体" w:eastAsia="宋体" w:cs="宋体"/>
          <w:color w:val="auto"/>
          <w:sz w:val="22"/>
          <w:szCs w:val="22"/>
          <w:highlight w:val="none"/>
        </w:rPr>
      </w:pPr>
    </w:p>
    <w:p w14:paraId="5043A7DC">
      <w:pPr>
        <w:rPr>
          <w:rFonts w:hint="eastAsia" w:ascii="宋体" w:hAnsi="宋体" w:eastAsia="宋体" w:cs="宋体"/>
          <w:color w:val="auto"/>
          <w:sz w:val="22"/>
          <w:szCs w:val="22"/>
          <w:highlight w:val="none"/>
        </w:rPr>
      </w:pPr>
    </w:p>
    <w:p w14:paraId="57F1AE7C">
      <w:pPr>
        <w:rPr>
          <w:rFonts w:hint="eastAsia" w:ascii="宋体" w:hAnsi="宋体" w:eastAsia="宋体" w:cs="宋体"/>
          <w:color w:val="auto"/>
          <w:sz w:val="22"/>
          <w:szCs w:val="22"/>
          <w:highlight w:val="none"/>
        </w:rPr>
      </w:pPr>
    </w:p>
    <w:p w14:paraId="438513DB">
      <w:pPr>
        <w:rPr>
          <w:rFonts w:hint="eastAsia" w:ascii="宋体" w:hAnsi="宋体" w:eastAsia="宋体" w:cs="宋体"/>
          <w:color w:val="auto"/>
          <w:sz w:val="22"/>
          <w:szCs w:val="22"/>
          <w:highlight w:val="none"/>
        </w:rPr>
      </w:pPr>
    </w:p>
    <w:p w14:paraId="5425BBDD">
      <w:pPr>
        <w:keepNext/>
        <w:keepLines/>
        <w:widowControl w:val="0"/>
        <w:spacing w:before="240" w:after="290" w:line="240" w:lineRule="auto"/>
        <w:ind w:right="437"/>
        <w:jc w:val="center"/>
        <w:outlineLvl w:val="9"/>
        <w:rPr>
          <w:rFonts w:hint="eastAsia" w:ascii="宋体" w:hAnsi="宋体" w:eastAsia="宋体" w:cs="宋体"/>
          <w:b/>
          <w:bCs/>
          <w:color w:val="auto"/>
          <w:kern w:val="2"/>
          <w:sz w:val="22"/>
          <w:szCs w:val="22"/>
          <w:highlight w:val="none"/>
          <w:lang w:val="en-US" w:eastAsia="zh-CN" w:bidi="ar-SA"/>
        </w:rPr>
      </w:pPr>
    </w:p>
    <w:p w14:paraId="67CAD9EA">
      <w:pPr>
        <w:keepNext/>
        <w:keepLines/>
        <w:widowControl w:val="0"/>
        <w:spacing w:before="240" w:after="290" w:line="240" w:lineRule="auto"/>
        <w:ind w:right="437"/>
        <w:jc w:val="center"/>
        <w:outlineLvl w:val="9"/>
        <w:rPr>
          <w:rFonts w:hint="eastAsia" w:ascii="宋体" w:hAnsi="宋体" w:eastAsia="宋体" w:cs="宋体"/>
          <w:b/>
          <w:bCs/>
          <w:color w:val="auto"/>
          <w:kern w:val="2"/>
          <w:sz w:val="22"/>
          <w:szCs w:val="22"/>
          <w:highlight w:val="none"/>
          <w:lang w:val="en-US" w:eastAsia="zh-CN" w:bidi="ar-SA"/>
        </w:rPr>
      </w:pPr>
    </w:p>
    <w:p w14:paraId="0E36C533">
      <w:pPr>
        <w:keepNext/>
        <w:keepLines/>
        <w:widowControl w:val="0"/>
        <w:spacing w:before="240" w:after="290" w:line="240" w:lineRule="auto"/>
        <w:ind w:right="437"/>
        <w:jc w:val="center"/>
        <w:outlineLvl w:val="9"/>
        <w:rPr>
          <w:rFonts w:hint="eastAsia" w:ascii="宋体" w:hAnsi="宋体" w:eastAsia="宋体" w:cs="宋体"/>
          <w:b/>
          <w:bCs/>
          <w:color w:val="auto"/>
          <w:kern w:val="2"/>
          <w:sz w:val="22"/>
          <w:szCs w:val="22"/>
          <w:highlight w:val="none"/>
          <w:lang w:val="en-US" w:eastAsia="zh-CN" w:bidi="ar-SA"/>
        </w:rPr>
      </w:pPr>
    </w:p>
    <w:p w14:paraId="3F99D5E4">
      <w:pPr>
        <w:keepNext/>
        <w:keepLines/>
        <w:widowControl w:val="0"/>
        <w:spacing w:before="240" w:after="290" w:line="240" w:lineRule="auto"/>
        <w:ind w:right="437"/>
        <w:jc w:val="center"/>
        <w:outlineLvl w:val="9"/>
        <w:rPr>
          <w:rFonts w:hint="eastAsia" w:ascii="宋体" w:hAnsi="宋体" w:eastAsia="宋体" w:cs="宋体"/>
          <w:b/>
          <w:bCs/>
          <w:color w:val="auto"/>
          <w:kern w:val="2"/>
          <w:sz w:val="22"/>
          <w:szCs w:val="22"/>
          <w:highlight w:val="none"/>
          <w:lang w:val="en-US" w:eastAsia="zh-CN" w:bidi="ar-SA"/>
        </w:rPr>
      </w:pPr>
    </w:p>
    <w:p w14:paraId="2F966348">
      <w:pPr>
        <w:rPr>
          <w:rFonts w:hint="eastAsia"/>
          <w:highlight w:val="none"/>
        </w:rPr>
      </w:pPr>
    </w:p>
    <w:p w14:paraId="1E1BD5EC">
      <w:pPr>
        <w:pStyle w:val="6"/>
        <w:spacing w:before="240" w:line="240" w:lineRule="auto"/>
        <w:ind w:right="437" w:rightChars="0"/>
        <w:jc w:val="center"/>
        <w:outlineLvl w:val="1"/>
        <w:rPr>
          <w:rFonts w:hint="eastAsia" w:ascii="宋体" w:hAnsi="宋体" w:eastAsia="宋体" w:cs="宋体"/>
          <w:b/>
          <w:color w:val="auto"/>
          <w:sz w:val="22"/>
          <w:szCs w:val="22"/>
          <w:highlight w:val="none"/>
        </w:rPr>
      </w:pPr>
      <w:bookmarkStart w:id="236" w:name="_Toc32030"/>
      <w:r>
        <w:rPr>
          <w:rFonts w:hint="eastAsia" w:ascii="宋体" w:hAnsi="宋体" w:eastAsia="宋体" w:cs="宋体"/>
          <w:color w:val="auto"/>
          <w:sz w:val="22"/>
          <w:szCs w:val="22"/>
          <w:highlight w:val="none"/>
        </w:rPr>
        <w:t>投标信用承诺书（并附网页截图）</w:t>
      </w:r>
      <w:bookmarkEnd w:id="236"/>
    </w:p>
    <w:p w14:paraId="30CBE226">
      <w:pPr>
        <w:keepNext w:val="0"/>
        <w:keepLines w:val="0"/>
        <w:pageBreakBefore w:val="0"/>
        <w:widowControl w:val="0"/>
        <w:tabs>
          <w:tab w:val="left" w:pos="6130"/>
        </w:tabs>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spacing w:val="-1"/>
          <w:kern w:val="0"/>
          <w:sz w:val="22"/>
          <w:szCs w:val="22"/>
          <w:highlight w:val="none"/>
          <w:lang w:val="en-US" w:eastAsia="zh-CN" w:bidi="ar-SA"/>
        </w:rPr>
        <w:t>项目</w:t>
      </w:r>
      <w:r>
        <w:rPr>
          <w:rFonts w:hint="eastAsia" w:ascii="宋体" w:hAnsi="宋体" w:eastAsia="宋体" w:cs="宋体"/>
          <w:color w:val="auto"/>
          <w:kern w:val="0"/>
          <w:sz w:val="22"/>
          <w:szCs w:val="22"/>
          <w:highlight w:val="none"/>
          <w:lang w:val="en-US" w:eastAsia="zh-CN" w:bidi="ar-SA"/>
        </w:rPr>
        <w:t>名称：</w:t>
      </w:r>
      <w:r>
        <w:rPr>
          <w:rFonts w:hint="eastAsia" w:ascii="宋体" w:hAnsi="宋体" w:eastAsia="宋体" w:cs="宋体"/>
          <w:color w:val="auto"/>
          <w:kern w:val="0"/>
          <w:sz w:val="22"/>
          <w:szCs w:val="22"/>
          <w:highlight w:val="none"/>
          <w:u w:val="single"/>
          <w:lang w:val="en-US" w:eastAsia="zh-CN" w:bidi="ar-SA"/>
        </w:rPr>
        <w:t xml:space="preserve"> </w:t>
      </w:r>
      <w:r>
        <w:rPr>
          <w:rFonts w:hint="eastAsia" w:ascii="宋体" w:hAnsi="宋体" w:eastAsia="宋体" w:cs="宋体"/>
          <w:color w:val="auto"/>
          <w:kern w:val="0"/>
          <w:sz w:val="22"/>
          <w:szCs w:val="22"/>
          <w:highlight w:val="none"/>
          <w:u w:val="single"/>
          <w:lang w:val="en-US" w:eastAsia="zh-CN" w:bidi="ar-SA"/>
        </w:rPr>
        <w:tab/>
      </w:r>
    </w:p>
    <w:p w14:paraId="732A2652">
      <w:pPr>
        <w:keepNext w:val="0"/>
        <w:keepLines w:val="0"/>
        <w:pageBreakBefore w:val="0"/>
        <w:widowControl w:val="0"/>
        <w:tabs>
          <w:tab w:val="left" w:pos="6130"/>
        </w:tabs>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spacing w:val="-1"/>
          <w:kern w:val="0"/>
          <w:sz w:val="22"/>
          <w:szCs w:val="22"/>
          <w:highlight w:val="none"/>
          <w:lang w:val="en-US" w:eastAsia="zh-CN" w:bidi="ar-SA"/>
        </w:rPr>
        <w:t>投</w:t>
      </w:r>
      <w:r>
        <w:rPr>
          <w:rFonts w:hint="eastAsia" w:ascii="宋体" w:hAnsi="宋体" w:eastAsia="宋体" w:cs="宋体"/>
          <w:color w:val="auto"/>
          <w:kern w:val="0"/>
          <w:sz w:val="22"/>
          <w:szCs w:val="22"/>
          <w:highlight w:val="none"/>
          <w:lang w:val="en-US" w:eastAsia="zh-CN" w:bidi="ar-SA"/>
        </w:rPr>
        <w:t>标人：</w:t>
      </w:r>
      <w:r>
        <w:rPr>
          <w:rFonts w:hint="eastAsia" w:ascii="宋体" w:hAnsi="宋体" w:eastAsia="宋体" w:cs="宋体"/>
          <w:color w:val="auto"/>
          <w:kern w:val="0"/>
          <w:sz w:val="22"/>
          <w:szCs w:val="22"/>
          <w:highlight w:val="none"/>
          <w:u w:val="single"/>
          <w:lang w:val="en-US" w:eastAsia="zh-CN" w:bidi="ar-SA"/>
        </w:rPr>
        <w:t xml:space="preserve"> </w:t>
      </w:r>
      <w:r>
        <w:rPr>
          <w:rFonts w:hint="eastAsia" w:ascii="宋体" w:hAnsi="宋体" w:eastAsia="宋体" w:cs="宋体"/>
          <w:color w:val="auto"/>
          <w:kern w:val="0"/>
          <w:sz w:val="22"/>
          <w:szCs w:val="22"/>
          <w:highlight w:val="none"/>
          <w:u w:val="single"/>
          <w:lang w:val="en-US" w:eastAsia="zh-CN" w:bidi="ar-SA"/>
        </w:rPr>
        <w:tab/>
      </w:r>
    </w:p>
    <w:p w14:paraId="07D1E3D7">
      <w:pPr>
        <w:keepNext w:val="0"/>
        <w:keepLines w:val="0"/>
        <w:pageBreakBefore w:val="0"/>
        <w:widowControl w:val="0"/>
        <w:tabs>
          <w:tab w:val="left" w:pos="6431"/>
          <w:tab w:val="left" w:pos="9454"/>
        </w:tabs>
        <w:kinsoku/>
        <w:wordWrap/>
        <w:overflowPunct/>
        <w:topLinePunct w:val="0"/>
        <w:autoSpaceDE/>
        <w:autoSpaceDN/>
        <w:bidi w:val="0"/>
        <w:adjustRightInd/>
        <w:snapToGrid/>
        <w:spacing w:before="0" w:after="0" w:line="360" w:lineRule="auto"/>
        <w:ind w:left="0" w:right="0"/>
        <w:jc w:val="both"/>
        <w:textAlignment w:val="auto"/>
        <w:rPr>
          <w:rFonts w:hint="default"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统一社会信用代码：</w:t>
      </w:r>
      <w:r>
        <w:rPr>
          <w:rFonts w:hint="eastAsia" w:ascii="宋体" w:hAnsi="宋体" w:eastAsia="宋体" w:cs="宋体"/>
          <w:color w:val="auto"/>
          <w:kern w:val="0"/>
          <w:sz w:val="22"/>
          <w:szCs w:val="22"/>
          <w:highlight w:val="none"/>
          <w:u w:val="single"/>
          <w:lang w:val="en-US" w:eastAsia="zh-CN" w:bidi="ar-SA"/>
        </w:rPr>
        <w:t xml:space="preserve"> </w:t>
      </w:r>
      <w:r>
        <w:rPr>
          <w:rFonts w:hint="eastAsia" w:ascii="宋体" w:hAnsi="宋体" w:cs="宋体"/>
          <w:color w:val="auto"/>
          <w:kern w:val="0"/>
          <w:sz w:val="22"/>
          <w:szCs w:val="22"/>
          <w:highlight w:val="none"/>
          <w:u w:val="single"/>
          <w:lang w:val="en-US" w:eastAsia="zh-CN" w:bidi="ar-SA"/>
        </w:rPr>
        <w:t xml:space="preserve">                     </w:t>
      </w:r>
      <w:r>
        <w:rPr>
          <w:rFonts w:hint="eastAsia" w:ascii="宋体" w:hAnsi="宋体" w:eastAsia="宋体" w:cs="宋体"/>
          <w:color w:val="auto"/>
          <w:spacing w:val="-1"/>
          <w:kern w:val="0"/>
          <w:sz w:val="22"/>
          <w:szCs w:val="22"/>
          <w:highlight w:val="none"/>
          <w:lang w:val="en-US" w:eastAsia="zh-CN" w:bidi="ar-SA"/>
        </w:rPr>
        <w:t>法</w:t>
      </w:r>
      <w:r>
        <w:rPr>
          <w:rFonts w:hint="eastAsia" w:ascii="宋体" w:hAnsi="宋体" w:eastAsia="宋体" w:cs="宋体"/>
          <w:color w:val="auto"/>
          <w:kern w:val="0"/>
          <w:sz w:val="22"/>
          <w:szCs w:val="22"/>
          <w:highlight w:val="none"/>
          <w:lang w:val="en-US" w:eastAsia="zh-CN" w:bidi="ar-SA"/>
        </w:rPr>
        <w:t>人代表：</w:t>
      </w:r>
      <w:r>
        <w:rPr>
          <w:rFonts w:hint="eastAsia" w:ascii="宋体" w:hAnsi="宋体" w:eastAsia="宋体" w:cs="宋体"/>
          <w:color w:val="auto"/>
          <w:kern w:val="0"/>
          <w:sz w:val="22"/>
          <w:szCs w:val="22"/>
          <w:highlight w:val="none"/>
          <w:u w:val="single"/>
          <w:lang w:val="en-US" w:eastAsia="zh-CN" w:bidi="ar-SA"/>
        </w:rPr>
        <w:t xml:space="preserve"> </w:t>
      </w:r>
      <w:r>
        <w:rPr>
          <w:rFonts w:hint="eastAsia" w:ascii="宋体" w:hAnsi="宋体" w:eastAsia="宋体" w:cs="宋体"/>
          <w:color w:val="auto"/>
          <w:kern w:val="0"/>
          <w:sz w:val="22"/>
          <w:szCs w:val="22"/>
          <w:highlight w:val="none"/>
          <w:u w:val="single"/>
          <w:lang w:val="en-US" w:eastAsia="zh-CN" w:bidi="ar-SA"/>
        </w:rPr>
        <w:tab/>
      </w:r>
      <w:r>
        <w:rPr>
          <w:rFonts w:hint="eastAsia" w:ascii="宋体" w:hAnsi="宋体" w:cs="宋体"/>
          <w:color w:val="auto"/>
          <w:kern w:val="0"/>
          <w:sz w:val="22"/>
          <w:szCs w:val="22"/>
          <w:highlight w:val="none"/>
          <w:u w:val="single"/>
          <w:lang w:val="en-US" w:eastAsia="zh-CN" w:bidi="ar-SA"/>
        </w:rPr>
        <w:t xml:space="preserve">   </w:t>
      </w:r>
    </w:p>
    <w:p w14:paraId="61D3B3EE">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40" w:firstLineChars="200"/>
        <w:jc w:val="both"/>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在本项目招投标活动中，我公司（单位）自愿作出以下投标信用承诺：</w:t>
      </w:r>
    </w:p>
    <w:p w14:paraId="428A6EBF">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40" w:firstLineChars="200"/>
        <w:jc w:val="both"/>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（一）能严格遵守法律法规、职业道德和行业规范。</w:t>
      </w:r>
    </w:p>
    <w:p w14:paraId="3D97C35C">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40" w:firstLineChars="200"/>
        <w:jc w:val="both"/>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（二</w:t>
      </w:r>
      <w:r>
        <w:rPr>
          <w:rFonts w:hint="eastAsia" w:ascii="宋体" w:hAnsi="宋体" w:eastAsia="宋体" w:cs="宋体"/>
          <w:color w:val="auto"/>
          <w:spacing w:val="-12"/>
          <w:kern w:val="0"/>
          <w:sz w:val="22"/>
          <w:szCs w:val="22"/>
          <w:highlight w:val="none"/>
          <w:lang w:val="en-US" w:eastAsia="zh-CN" w:bidi="ar-SA"/>
        </w:rPr>
        <w:t>）</w:t>
      </w:r>
      <w:r>
        <w:rPr>
          <w:rFonts w:hint="eastAsia" w:ascii="宋体" w:hAnsi="宋体" w:eastAsia="宋体" w:cs="宋体"/>
          <w:color w:val="auto"/>
          <w:spacing w:val="-1"/>
          <w:kern w:val="0"/>
          <w:sz w:val="22"/>
          <w:szCs w:val="22"/>
          <w:highlight w:val="none"/>
          <w:lang w:val="en-US" w:eastAsia="zh-CN" w:bidi="ar-SA"/>
        </w:rPr>
        <w:t>不得有以下违法违规行为：</w:t>
      </w:r>
      <w:r>
        <w:rPr>
          <w:rFonts w:hint="eastAsia" w:ascii="宋体" w:hAnsi="宋体" w:eastAsia="宋体" w:cs="宋体"/>
          <w:color w:val="auto"/>
          <w:spacing w:val="-4"/>
          <w:kern w:val="0"/>
          <w:sz w:val="22"/>
          <w:szCs w:val="22"/>
          <w:highlight w:val="none"/>
          <w:lang w:val="en-US" w:eastAsia="zh-CN" w:bidi="ar-SA"/>
        </w:rPr>
        <w:t>1.</w:t>
      </w:r>
      <w:r>
        <w:rPr>
          <w:rFonts w:hint="eastAsia" w:ascii="宋体" w:hAnsi="宋体" w:eastAsia="宋体" w:cs="宋体"/>
          <w:color w:val="auto"/>
          <w:spacing w:val="-3"/>
          <w:kern w:val="0"/>
          <w:sz w:val="22"/>
          <w:szCs w:val="22"/>
          <w:highlight w:val="none"/>
          <w:lang w:val="en-US" w:eastAsia="zh-CN" w:bidi="ar-SA"/>
        </w:rPr>
        <w:t>围标串标；以他人名义或者其他方式弄虚作</w:t>
      </w:r>
      <w:r>
        <w:rPr>
          <w:rFonts w:hint="eastAsia" w:ascii="宋体" w:hAnsi="宋体" w:eastAsia="宋体" w:cs="宋体"/>
          <w:color w:val="auto"/>
          <w:spacing w:val="-13"/>
          <w:kern w:val="0"/>
          <w:sz w:val="22"/>
          <w:szCs w:val="22"/>
          <w:highlight w:val="none"/>
          <w:lang w:val="en-US" w:eastAsia="zh-CN" w:bidi="ar-SA"/>
        </w:rPr>
        <w:t>假投标；出让出租资格、资质证书供他人投标；恶意竞标、强揽工程；以暴力、威胁、</w:t>
      </w:r>
      <w:r>
        <w:rPr>
          <w:rFonts w:hint="eastAsia" w:ascii="宋体" w:hAnsi="宋体" w:eastAsia="宋体" w:cs="宋体"/>
          <w:color w:val="auto"/>
          <w:spacing w:val="-1"/>
          <w:kern w:val="0"/>
          <w:sz w:val="22"/>
          <w:szCs w:val="22"/>
          <w:highlight w:val="none"/>
          <w:lang w:val="en-US" w:eastAsia="zh-CN" w:bidi="ar-SA"/>
        </w:rPr>
        <w:t>利诱等手段阻止或者控制其他潜在投标人参与招投标活动。</w:t>
      </w:r>
      <w:r>
        <w:rPr>
          <w:rFonts w:hint="eastAsia" w:ascii="宋体" w:hAnsi="宋体" w:eastAsia="宋体" w:cs="宋体"/>
          <w:color w:val="auto"/>
          <w:kern w:val="0"/>
          <w:sz w:val="22"/>
          <w:szCs w:val="22"/>
          <w:highlight w:val="none"/>
          <w:lang w:val="en-US" w:eastAsia="zh-CN" w:bidi="ar-SA"/>
        </w:rPr>
        <w:t>2.</w:t>
      </w:r>
      <w:r>
        <w:rPr>
          <w:rFonts w:hint="eastAsia" w:ascii="宋体" w:hAnsi="宋体" w:eastAsia="宋体" w:cs="宋体"/>
          <w:color w:val="auto"/>
          <w:spacing w:val="-2"/>
          <w:kern w:val="0"/>
          <w:sz w:val="22"/>
          <w:szCs w:val="22"/>
          <w:highlight w:val="none"/>
          <w:lang w:val="en-US" w:eastAsia="zh-CN" w:bidi="ar-SA"/>
        </w:rPr>
        <w:t>向招投标监督部门、交</w:t>
      </w:r>
      <w:r>
        <w:rPr>
          <w:rFonts w:hint="eastAsia" w:ascii="宋体" w:hAnsi="宋体" w:eastAsia="宋体" w:cs="宋体"/>
          <w:color w:val="auto"/>
          <w:spacing w:val="-7"/>
          <w:kern w:val="0"/>
          <w:sz w:val="22"/>
          <w:szCs w:val="22"/>
          <w:highlight w:val="none"/>
          <w:lang w:val="en-US" w:eastAsia="zh-CN" w:bidi="ar-SA"/>
        </w:rPr>
        <w:t>易中心、招标人、招标代理机构、评审委员会及其成员等当事主体赠送财物。</w:t>
      </w:r>
      <w:r>
        <w:rPr>
          <w:rFonts w:hint="eastAsia" w:ascii="宋体" w:hAnsi="宋体" w:eastAsia="宋体" w:cs="宋体"/>
          <w:color w:val="auto"/>
          <w:kern w:val="0"/>
          <w:sz w:val="22"/>
          <w:szCs w:val="22"/>
          <w:highlight w:val="none"/>
          <w:lang w:val="en-US" w:eastAsia="zh-CN" w:bidi="ar-SA"/>
        </w:rPr>
        <w:t>3.投标</w:t>
      </w:r>
      <w:r>
        <w:rPr>
          <w:rFonts w:hint="eastAsia" w:ascii="宋体" w:hAnsi="宋体" w:eastAsia="宋体" w:cs="宋体"/>
          <w:color w:val="auto"/>
          <w:spacing w:val="-12"/>
          <w:kern w:val="0"/>
          <w:sz w:val="22"/>
          <w:szCs w:val="22"/>
          <w:highlight w:val="none"/>
          <w:lang w:val="en-US" w:eastAsia="zh-CN" w:bidi="ar-SA"/>
        </w:rPr>
        <w:t>截止后至中标人确定前，修改或者撤销投标文件。</w:t>
      </w:r>
      <w:r>
        <w:rPr>
          <w:rFonts w:hint="eastAsia" w:ascii="宋体" w:hAnsi="宋体" w:eastAsia="宋体" w:cs="宋体"/>
          <w:color w:val="auto"/>
          <w:kern w:val="0"/>
          <w:sz w:val="22"/>
          <w:szCs w:val="22"/>
          <w:highlight w:val="none"/>
          <w:lang w:val="en-US" w:eastAsia="zh-CN" w:bidi="ar-SA"/>
        </w:rPr>
        <w:t>4.</w:t>
      </w:r>
      <w:r>
        <w:rPr>
          <w:rFonts w:hint="eastAsia" w:ascii="宋体" w:hAnsi="宋体" w:eastAsia="宋体" w:cs="宋体"/>
          <w:color w:val="auto"/>
          <w:spacing w:val="-2"/>
          <w:kern w:val="0"/>
          <w:sz w:val="22"/>
          <w:szCs w:val="22"/>
          <w:highlight w:val="none"/>
          <w:lang w:val="en-US" w:eastAsia="zh-CN" w:bidi="ar-SA"/>
        </w:rPr>
        <w:t>在被确定为中标人后无正当理由：</w:t>
      </w:r>
      <w:r>
        <w:rPr>
          <w:rFonts w:hint="eastAsia" w:ascii="宋体" w:hAnsi="宋体" w:eastAsia="宋体" w:cs="宋体"/>
          <w:color w:val="auto"/>
          <w:kern w:val="0"/>
          <w:sz w:val="22"/>
          <w:szCs w:val="22"/>
          <w:highlight w:val="none"/>
          <w:lang w:val="en-US" w:eastAsia="zh-CN" w:bidi="ar-SA"/>
        </w:rPr>
        <w:t>不按照招标文件和投标文件与招标人签订合同；在签订合同时向招标人提出附加条</w:t>
      </w:r>
      <w:r>
        <w:rPr>
          <w:rFonts w:hint="eastAsia" w:ascii="宋体" w:hAnsi="宋体" w:eastAsia="宋体" w:cs="宋体"/>
          <w:color w:val="auto"/>
          <w:spacing w:val="-5"/>
          <w:kern w:val="0"/>
          <w:sz w:val="22"/>
          <w:szCs w:val="22"/>
          <w:highlight w:val="none"/>
          <w:lang w:val="en-US" w:eastAsia="zh-CN" w:bidi="ar-SA"/>
        </w:rPr>
        <w:t>件、或者改变投标文件的实质性内容；放弃中标；不按照招标文件的规定提交履约保证金。5.招投标法规定的其它违法违规行为。</w:t>
      </w:r>
    </w:p>
    <w:p w14:paraId="320A88A4">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40" w:firstLineChars="200"/>
        <w:jc w:val="both"/>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（三）若我公司（单位）及相关参与人员违背以上承诺事项，即被视为失信企业</w:t>
      </w:r>
    </w:p>
    <w:p w14:paraId="476D89DE">
      <w:pPr>
        <w:keepNext w:val="0"/>
        <w:keepLines w:val="0"/>
        <w:pageBreakBefore w:val="0"/>
        <w:widowControl w:val="0"/>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（法人</w:t>
      </w:r>
      <w:r>
        <w:rPr>
          <w:rFonts w:hint="eastAsia" w:ascii="宋体" w:hAnsi="宋体" w:eastAsia="宋体" w:cs="宋体"/>
          <w:color w:val="auto"/>
          <w:spacing w:val="-57"/>
          <w:kern w:val="0"/>
          <w:sz w:val="22"/>
          <w:szCs w:val="22"/>
          <w:highlight w:val="none"/>
          <w:lang w:val="en-US" w:eastAsia="zh-CN" w:bidi="ar-SA"/>
        </w:rPr>
        <w:t>）</w:t>
      </w:r>
      <w:r>
        <w:rPr>
          <w:rFonts w:hint="eastAsia" w:ascii="宋体" w:hAnsi="宋体" w:eastAsia="宋体" w:cs="宋体"/>
          <w:color w:val="auto"/>
          <w:spacing w:val="-15"/>
          <w:kern w:val="0"/>
          <w:sz w:val="22"/>
          <w:szCs w:val="22"/>
          <w:highlight w:val="none"/>
          <w:lang w:val="en-US" w:eastAsia="zh-CN" w:bidi="ar-SA"/>
        </w:rPr>
        <w:t>，依据《关于对公共资源交易领域严重失信主体开展联合惩戒的备忘录》</w:t>
      </w:r>
      <w:r>
        <w:rPr>
          <w:rFonts w:hint="eastAsia" w:ascii="宋体" w:hAnsi="宋体" w:eastAsia="宋体" w:cs="宋体"/>
          <w:color w:val="auto"/>
          <w:kern w:val="0"/>
          <w:sz w:val="22"/>
          <w:szCs w:val="22"/>
          <w:highlight w:val="none"/>
          <w:lang w:val="en-US" w:eastAsia="zh-CN" w:bidi="ar-SA"/>
        </w:rPr>
        <w:t>（</w:t>
      </w:r>
      <w:r>
        <w:rPr>
          <w:rFonts w:hint="eastAsia" w:ascii="宋体" w:hAnsi="宋体" w:eastAsia="宋体" w:cs="宋体"/>
          <w:color w:val="auto"/>
          <w:spacing w:val="-15"/>
          <w:kern w:val="0"/>
          <w:sz w:val="22"/>
          <w:szCs w:val="22"/>
          <w:highlight w:val="none"/>
          <w:lang w:val="en-US" w:eastAsia="zh-CN" w:bidi="ar-SA"/>
        </w:rPr>
        <w:t>发</w:t>
      </w:r>
      <w:r>
        <w:rPr>
          <w:rFonts w:hint="eastAsia" w:ascii="宋体" w:hAnsi="宋体" w:eastAsia="宋体" w:cs="宋体"/>
          <w:color w:val="auto"/>
          <w:kern w:val="0"/>
          <w:sz w:val="22"/>
          <w:szCs w:val="22"/>
          <w:highlight w:val="none"/>
          <w:lang w:val="en-US" w:eastAsia="zh-CN" w:bidi="ar-SA"/>
        </w:rPr>
        <w:t>改法规[2018]457</w:t>
      </w:r>
      <w:r>
        <w:rPr>
          <w:rFonts w:hint="eastAsia" w:ascii="宋体" w:hAnsi="宋体" w:eastAsia="宋体" w:cs="宋体"/>
          <w:color w:val="auto"/>
          <w:spacing w:val="-30"/>
          <w:kern w:val="0"/>
          <w:sz w:val="22"/>
          <w:szCs w:val="22"/>
          <w:highlight w:val="none"/>
          <w:lang w:val="en-US" w:eastAsia="zh-CN" w:bidi="ar-SA"/>
        </w:rPr>
        <w:t xml:space="preserve"> 号</w:t>
      </w:r>
      <w:r>
        <w:rPr>
          <w:rFonts w:hint="eastAsia" w:ascii="宋体" w:hAnsi="宋体" w:eastAsia="宋体" w:cs="宋体"/>
          <w:color w:val="auto"/>
          <w:kern w:val="0"/>
          <w:sz w:val="22"/>
          <w:szCs w:val="22"/>
          <w:highlight w:val="none"/>
          <w:lang w:val="en-US" w:eastAsia="zh-CN" w:bidi="ar-SA"/>
        </w:rPr>
        <w:t>），</w:t>
      </w:r>
      <w:r>
        <w:rPr>
          <w:rFonts w:hint="eastAsia" w:ascii="宋体" w:hAnsi="宋体" w:eastAsia="宋体" w:cs="宋体"/>
          <w:color w:val="auto"/>
          <w:spacing w:val="-12"/>
          <w:kern w:val="0"/>
          <w:sz w:val="22"/>
          <w:szCs w:val="22"/>
          <w:highlight w:val="none"/>
          <w:lang w:val="en-US" w:eastAsia="zh-CN" w:bidi="ar-SA"/>
        </w:rPr>
        <w:t xml:space="preserve">自愿接受 </w:t>
      </w:r>
      <w:r>
        <w:rPr>
          <w:rFonts w:hint="eastAsia" w:ascii="宋体" w:hAnsi="宋体" w:eastAsia="宋体" w:cs="宋体"/>
          <w:color w:val="auto"/>
          <w:kern w:val="0"/>
          <w:sz w:val="22"/>
          <w:szCs w:val="22"/>
          <w:highlight w:val="none"/>
          <w:lang w:val="en-US" w:eastAsia="zh-CN" w:bidi="ar-SA"/>
        </w:rPr>
        <w:t>1</w:t>
      </w:r>
      <w:r>
        <w:rPr>
          <w:rFonts w:hint="eastAsia" w:ascii="宋体" w:hAnsi="宋体" w:eastAsia="宋体" w:cs="宋体"/>
          <w:color w:val="auto"/>
          <w:spacing w:val="-40"/>
          <w:kern w:val="0"/>
          <w:sz w:val="22"/>
          <w:szCs w:val="22"/>
          <w:highlight w:val="none"/>
          <w:lang w:val="en-US" w:eastAsia="zh-CN" w:bidi="ar-SA"/>
        </w:rPr>
        <w:t xml:space="preserve"> 至 </w:t>
      </w:r>
      <w:r>
        <w:rPr>
          <w:rFonts w:hint="eastAsia" w:ascii="宋体" w:hAnsi="宋体" w:eastAsia="宋体" w:cs="宋体"/>
          <w:color w:val="auto"/>
          <w:spacing w:val="-12"/>
          <w:kern w:val="0"/>
          <w:sz w:val="22"/>
          <w:szCs w:val="22"/>
          <w:highlight w:val="none"/>
          <w:lang w:val="en-US" w:eastAsia="zh-CN" w:bidi="ar-SA"/>
        </w:rPr>
        <w:t xml:space="preserve"> </w:t>
      </w:r>
      <w:r>
        <w:rPr>
          <w:rFonts w:hint="eastAsia" w:ascii="宋体" w:hAnsi="宋体" w:eastAsia="宋体" w:cs="宋体"/>
          <w:color w:val="auto"/>
          <w:kern w:val="0"/>
          <w:sz w:val="22"/>
          <w:szCs w:val="22"/>
          <w:highlight w:val="none"/>
          <w:lang w:val="en-US" w:eastAsia="zh-CN" w:bidi="ar-SA"/>
        </w:rPr>
        <w:t>3</w:t>
      </w:r>
      <w:r>
        <w:rPr>
          <w:rFonts w:hint="eastAsia" w:ascii="宋体" w:hAnsi="宋体" w:eastAsia="宋体" w:cs="宋体"/>
          <w:color w:val="auto"/>
          <w:spacing w:val="-40"/>
          <w:kern w:val="0"/>
          <w:sz w:val="22"/>
          <w:szCs w:val="22"/>
          <w:highlight w:val="none"/>
          <w:lang w:val="en-US" w:eastAsia="zh-CN" w:bidi="ar-SA"/>
        </w:rPr>
        <w:t xml:space="preserve"> </w:t>
      </w:r>
      <w:r>
        <w:rPr>
          <w:rFonts w:hint="eastAsia" w:ascii="宋体" w:hAnsi="宋体" w:eastAsia="宋体" w:cs="宋体"/>
          <w:color w:val="auto"/>
          <w:spacing w:val="-8"/>
          <w:kern w:val="0"/>
          <w:sz w:val="22"/>
          <w:szCs w:val="22"/>
          <w:highlight w:val="none"/>
          <w:lang w:val="en-US" w:eastAsia="zh-CN" w:bidi="ar-SA"/>
        </w:rPr>
        <w:t>年内限制参与公共资源交易活动。</w:t>
      </w:r>
    </w:p>
    <w:p w14:paraId="648E7BF3">
      <w:pPr>
        <w:keepNext w:val="0"/>
        <w:keepLines w:val="0"/>
        <w:pageBreakBefore w:val="0"/>
        <w:widowControl w:val="0"/>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color w:val="auto"/>
          <w:kern w:val="0"/>
          <w:sz w:val="22"/>
          <w:szCs w:val="22"/>
          <w:highlight w:val="none"/>
          <w:lang w:val="en-US" w:eastAsia="zh-CN" w:bidi="ar-SA"/>
        </w:rPr>
      </w:pPr>
    </w:p>
    <w:p w14:paraId="3B11B7F0">
      <w:pPr>
        <w:keepNext w:val="0"/>
        <w:keepLines w:val="0"/>
        <w:pageBreakBefore w:val="0"/>
        <w:widowControl w:val="0"/>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投标人（盖章）：                      法定代表人（签章）：</w:t>
      </w:r>
    </w:p>
    <w:p w14:paraId="30B14ADE">
      <w:pPr>
        <w:pStyle w:val="16"/>
        <w:keepNext w:val="0"/>
        <w:keepLines w:val="0"/>
        <w:pageBreakBefore w:val="0"/>
        <w:widowControl w:val="0"/>
        <w:kinsoku/>
        <w:wordWrap/>
        <w:overflowPunct/>
        <w:topLinePunct w:val="0"/>
        <w:autoSpaceDE/>
        <w:autoSpaceDN/>
        <w:bidi w:val="0"/>
        <w:adjustRightInd/>
        <w:snapToGrid/>
        <w:spacing w:line="480" w:lineRule="auto"/>
        <w:ind w:left="0" w:right="0" w:firstLine="4180" w:firstLineChars="19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承诺时间：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日</w:t>
      </w:r>
    </w:p>
    <w:p w14:paraId="3349A220">
      <w:pPr>
        <w:pStyle w:val="16"/>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说明：本承诺书效力和作用等同投标保证金，其有效期与投标有效期一致</w:t>
      </w:r>
      <w:r>
        <w:rPr>
          <w:rFonts w:hint="eastAsia" w:ascii="宋体" w:hAnsi="宋体" w:eastAsia="宋体" w:cs="宋体"/>
          <w:b/>
          <w:color w:val="auto"/>
          <w:spacing w:val="-13"/>
          <w:sz w:val="22"/>
          <w:szCs w:val="22"/>
          <w:highlight w:val="none"/>
        </w:rPr>
        <w:t>。</w:t>
      </w:r>
    </w:p>
    <w:p w14:paraId="29A1D1D8">
      <w:pPr>
        <w:widowControl w:val="0"/>
        <w:spacing w:before="0" w:after="120" w:line="480" w:lineRule="auto"/>
        <w:ind w:left="0" w:right="0"/>
        <w:jc w:val="center"/>
        <w:rPr>
          <w:rFonts w:hint="eastAsia" w:ascii="宋体" w:hAnsi="宋体" w:eastAsia="宋体" w:cs="宋体"/>
          <w:b/>
          <w:color w:val="auto"/>
          <w:kern w:val="0"/>
          <w:sz w:val="22"/>
          <w:szCs w:val="22"/>
          <w:highlight w:val="none"/>
          <w:lang w:val="en-US" w:eastAsia="zh-CN" w:bidi="ar-SA"/>
        </w:rPr>
      </w:pPr>
    </w:p>
    <w:p w14:paraId="57877053">
      <w:pPr>
        <w:widowControl w:val="0"/>
        <w:spacing w:before="0" w:after="120" w:line="480" w:lineRule="auto"/>
        <w:ind w:left="0" w:right="0"/>
        <w:jc w:val="center"/>
        <w:rPr>
          <w:rFonts w:hint="eastAsia" w:ascii="宋体" w:hAnsi="宋体" w:eastAsia="宋体" w:cs="宋体"/>
          <w:b/>
          <w:color w:val="auto"/>
          <w:kern w:val="0"/>
          <w:sz w:val="22"/>
          <w:szCs w:val="22"/>
          <w:highlight w:val="none"/>
          <w:lang w:val="en-US" w:eastAsia="zh-CN" w:bidi="ar-SA"/>
        </w:rPr>
      </w:pPr>
    </w:p>
    <w:p w14:paraId="2B213675">
      <w:pPr>
        <w:widowControl w:val="0"/>
        <w:spacing w:before="0" w:after="120" w:line="480" w:lineRule="auto"/>
        <w:ind w:left="0" w:right="0"/>
        <w:jc w:val="center"/>
        <w:rPr>
          <w:rFonts w:hint="eastAsia" w:ascii="宋体" w:hAnsi="宋体" w:eastAsia="宋体" w:cs="宋体"/>
          <w:b/>
          <w:color w:val="auto"/>
          <w:kern w:val="0"/>
          <w:sz w:val="22"/>
          <w:szCs w:val="22"/>
          <w:highlight w:val="none"/>
          <w:lang w:val="en-US" w:eastAsia="zh-CN" w:bidi="ar-SA"/>
        </w:rPr>
      </w:pPr>
    </w:p>
    <w:p w14:paraId="575077DA">
      <w:pPr>
        <w:widowControl w:val="0"/>
        <w:spacing w:before="0" w:after="120" w:line="480" w:lineRule="auto"/>
        <w:ind w:left="0" w:right="0"/>
        <w:jc w:val="center"/>
        <w:rPr>
          <w:rFonts w:hint="eastAsia" w:ascii="宋体" w:hAnsi="宋体" w:eastAsia="宋体" w:cs="宋体"/>
          <w:b/>
          <w:color w:val="auto"/>
          <w:kern w:val="0"/>
          <w:sz w:val="22"/>
          <w:szCs w:val="22"/>
          <w:highlight w:val="none"/>
          <w:lang w:val="en-US" w:eastAsia="zh-CN" w:bidi="ar-SA"/>
        </w:rPr>
      </w:pPr>
    </w:p>
    <w:p w14:paraId="0D3AABA4">
      <w:pPr>
        <w:widowControl w:val="0"/>
        <w:spacing w:before="0" w:after="120" w:line="480" w:lineRule="auto"/>
        <w:ind w:left="0" w:right="0"/>
        <w:jc w:val="center"/>
        <w:rPr>
          <w:rFonts w:hint="eastAsia" w:ascii="宋体" w:hAnsi="宋体" w:eastAsia="宋体" w:cs="宋体"/>
          <w:b/>
          <w:color w:val="auto"/>
          <w:kern w:val="0"/>
          <w:sz w:val="22"/>
          <w:szCs w:val="22"/>
          <w:highlight w:val="none"/>
          <w:lang w:val="en-US" w:eastAsia="zh-CN" w:bidi="ar-SA"/>
        </w:rPr>
      </w:pPr>
    </w:p>
    <w:p w14:paraId="165340D9">
      <w:pPr>
        <w:widowControl w:val="0"/>
        <w:spacing w:before="0" w:after="120" w:line="480" w:lineRule="auto"/>
        <w:ind w:left="0" w:right="0"/>
        <w:jc w:val="center"/>
        <w:rPr>
          <w:rFonts w:hint="eastAsia" w:ascii="宋体" w:hAnsi="宋体" w:eastAsia="宋体" w:cs="宋体"/>
          <w:b/>
          <w:color w:val="auto"/>
          <w:kern w:val="0"/>
          <w:sz w:val="22"/>
          <w:szCs w:val="22"/>
          <w:highlight w:val="none"/>
          <w:lang w:val="en-US" w:eastAsia="zh-CN" w:bidi="ar-SA"/>
        </w:rPr>
      </w:pPr>
    </w:p>
    <w:p w14:paraId="79BF8E74">
      <w:pPr>
        <w:widowControl w:val="0"/>
        <w:spacing w:before="0" w:after="120" w:line="480" w:lineRule="auto"/>
        <w:ind w:left="0" w:leftChars="0" w:right="0" w:rightChars="0"/>
        <w:jc w:val="center"/>
        <w:outlineLvl w:val="1"/>
        <w:rPr>
          <w:rFonts w:hint="eastAsia" w:ascii="宋体" w:hAnsi="宋体" w:eastAsia="宋体" w:cs="宋体"/>
          <w:b/>
          <w:color w:val="auto"/>
          <w:kern w:val="0"/>
          <w:sz w:val="22"/>
          <w:szCs w:val="22"/>
          <w:highlight w:val="none"/>
          <w:lang w:val="en-US" w:eastAsia="zh-CN" w:bidi="ar-SA"/>
        </w:rPr>
      </w:pPr>
      <w:bookmarkStart w:id="237" w:name="_Toc22684"/>
      <w:r>
        <w:rPr>
          <w:rFonts w:hint="eastAsia" w:ascii="宋体" w:hAnsi="宋体" w:eastAsia="宋体" w:cs="宋体"/>
          <w:b/>
          <w:color w:val="auto"/>
          <w:kern w:val="0"/>
          <w:sz w:val="22"/>
          <w:szCs w:val="22"/>
          <w:highlight w:val="none"/>
          <w:lang w:val="en-US" w:eastAsia="zh-CN" w:bidi="ar-SA"/>
        </w:rPr>
        <w:t>榆林市政府采购服务类项目供应商信用承诺书</w:t>
      </w:r>
      <w:bookmarkEnd w:id="237"/>
    </w:p>
    <w:p w14:paraId="43554113">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市场主体名称：</w:t>
      </w:r>
    </w:p>
    <w:p w14:paraId="1485946E">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证件类型：统一社会信用代码</w:t>
      </w:r>
    </w:p>
    <w:p w14:paraId="16FC862B">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证件号码：</w:t>
      </w:r>
    </w:p>
    <w:p w14:paraId="096AEBE5">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法人代表：</w:t>
      </w:r>
    </w:p>
    <w:p w14:paraId="45F805D4">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承诺有效期限：   年   月   日—    年    月    日（自开标之日起1年）</w:t>
      </w:r>
    </w:p>
    <w:p w14:paraId="00A60AD3">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承诺内容：</w:t>
      </w:r>
    </w:p>
    <w:p w14:paraId="30471E07">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为维护公开、公平、公正的政府采购市场秩序，树立诚实守信的政府采购供应商形象，本单位自愿做出以下承诺：</w:t>
      </w:r>
    </w:p>
    <w:p w14:paraId="5D2567AD">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一、承诺本单位严格遵守国家法律、法规和规章，全面履行应尽的责任和义务，全面做到履约守信，具备《政府采购法》第二十二条第一款规定的条件;</w:t>
      </w:r>
    </w:p>
    <w:p w14:paraId="6DC8F3D2">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二、承诺本单位提供给注册登记部门、行业管理部门、司法部门、行业组织以及在政府采购活动中提交的所有资料均合法、真实、有效，无任何伪造、修改、虚假成份，并对所提供资料的真实性负责；</w:t>
      </w:r>
    </w:p>
    <w:p w14:paraId="6536B697">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三、承诺本单位严格依法开展生产经营活动，主动接受行业监管，自愿接受依法开展的日常检查；违法失信经营后将自愿接受约束和惩戒，并依法承担相应责任；</w:t>
      </w:r>
    </w:p>
    <w:p w14:paraId="5396A2ED">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四、承诺本单位自觉接受行政管理部门、行业组织、社会公众、新闻舆论的监督；</w:t>
      </w:r>
    </w:p>
    <w:p w14:paraId="0E9BEB45">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五、承诺本单位自我约束、自我管理，重合同、守信用，不制假售假、商标侵权、虚假宣传、违约毁约、恶意逃债、偷税漏税、价格欺诈、垄断和不正当竞争，维护经营者、消费者的合法权益；</w:t>
      </w:r>
    </w:p>
    <w:p w14:paraId="41DD8A9C">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六、承诺本单位提出政府采购质疑和投诉坚持依法依规、诚实信用原则，在全国范围12个月内没有三次以上查无实据的政府采购投诉；</w:t>
      </w:r>
    </w:p>
    <w:p w14:paraId="22DC66F1">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七、根据政府采购相关法律法规的规定需要作出的其他承诺：</w:t>
      </w:r>
      <w:r>
        <w:rPr>
          <w:rFonts w:hint="eastAsia" w:ascii="宋体" w:hAnsi="宋体" w:eastAsia="宋体" w:cs="宋体"/>
          <w:color w:val="auto"/>
          <w:kern w:val="0"/>
          <w:sz w:val="22"/>
          <w:szCs w:val="22"/>
          <w:highlight w:val="none"/>
          <w:u w:val="single"/>
        </w:rPr>
        <w:t>      </w:t>
      </w:r>
      <w:r>
        <w:rPr>
          <w:rFonts w:hint="eastAsia" w:ascii="宋体" w:hAnsi="宋体" w:eastAsia="宋体" w:cs="宋体"/>
          <w:color w:val="auto"/>
          <w:kern w:val="0"/>
          <w:sz w:val="22"/>
          <w:szCs w:val="22"/>
          <w:highlight w:val="none"/>
        </w:rPr>
        <w:t>。</w:t>
      </w:r>
    </w:p>
    <w:p w14:paraId="54F0C616">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14:paraId="5D832F54">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承诺单位（盖章）：</w:t>
      </w:r>
    </w:p>
    <w:p w14:paraId="57C8FE0B">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法定代表人（负责人）：</w:t>
      </w:r>
    </w:p>
    <w:p w14:paraId="6810EA17">
      <w:pPr>
        <w:keepNext w:val="0"/>
        <w:keepLines w:val="0"/>
        <w:pageBreakBefore w:val="0"/>
        <w:widowControl/>
        <w:kinsoku/>
        <w:wordWrap/>
        <w:overflowPunct/>
        <w:topLinePunct w:val="0"/>
        <w:autoSpaceDE/>
        <w:autoSpaceDN/>
        <w:bidi w:val="0"/>
        <w:adjustRightInd/>
        <w:snapToGrid/>
        <w:spacing w:line="400" w:lineRule="exact"/>
        <w:ind w:firstLine="2640" w:firstLineChars="120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法定代表人（负责人）身份证号：</w:t>
      </w:r>
    </w:p>
    <w:p w14:paraId="750DE4C9">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承诺日期：</w:t>
      </w:r>
    </w:p>
    <w:p w14:paraId="72C872C3">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注：法定代表人或负责人、主体名称发生变更的应当重新做出承诺；承诺书标题按照工程类、货物类、服务类确定。</w:t>
      </w:r>
    </w:p>
    <w:p w14:paraId="32E9677F">
      <w:pPr>
        <w:keepNext w:val="0"/>
        <w:keepLines w:val="0"/>
        <w:pageBreakBefore w:val="0"/>
        <w:kinsoku/>
        <w:wordWrap/>
        <w:overflowPunct/>
        <w:topLinePunct w:val="0"/>
        <w:autoSpaceDE/>
        <w:autoSpaceDN/>
        <w:bidi w:val="0"/>
        <w:adjustRightInd/>
        <w:snapToGrid/>
        <w:spacing w:line="400" w:lineRule="exact"/>
        <w:ind w:firstLine="442"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b/>
          <w:color w:val="auto"/>
          <w:kern w:val="0"/>
          <w:sz w:val="22"/>
          <w:szCs w:val="22"/>
          <w:highlight w:val="none"/>
        </w:rPr>
        <w:t>注：</w:t>
      </w:r>
      <w:r>
        <w:rPr>
          <w:rFonts w:hint="eastAsia" w:ascii="宋体" w:hAnsi="宋体" w:eastAsia="宋体" w:cs="宋体"/>
          <w:b/>
          <w:color w:val="auto"/>
          <w:kern w:val="0"/>
          <w:sz w:val="22"/>
          <w:szCs w:val="22"/>
          <w:highlight w:val="none"/>
          <w:lang w:val="en-US" w:eastAsia="zh-CN"/>
        </w:rPr>
        <w:t>此附件作为在信用中国“陕西榆林”网站进行注册、登录，自主上报信用承诺书格式</w:t>
      </w:r>
      <w:r>
        <w:rPr>
          <w:rFonts w:hint="eastAsia" w:ascii="宋体" w:hAnsi="宋体" w:eastAsia="宋体" w:cs="宋体"/>
          <w:b/>
          <w:color w:val="auto"/>
          <w:kern w:val="0"/>
          <w:sz w:val="22"/>
          <w:szCs w:val="22"/>
          <w:highlight w:val="none"/>
        </w:rPr>
        <w:t>。（承诺时间有效期</w:t>
      </w:r>
      <w:r>
        <w:rPr>
          <w:rFonts w:hint="eastAsia" w:ascii="宋体" w:hAnsi="宋体" w:eastAsia="宋体" w:cs="宋体"/>
          <w:b/>
          <w:color w:val="auto"/>
          <w:kern w:val="0"/>
          <w:sz w:val="22"/>
          <w:szCs w:val="22"/>
          <w:highlight w:val="none"/>
          <w:lang w:eastAsia="zh-CN"/>
        </w:rPr>
        <w:t>为</w:t>
      </w:r>
      <w:r>
        <w:rPr>
          <w:rFonts w:hint="eastAsia" w:ascii="宋体" w:hAnsi="宋体" w:eastAsia="宋体" w:cs="宋体"/>
          <w:b/>
          <w:color w:val="auto"/>
          <w:kern w:val="0"/>
          <w:sz w:val="22"/>
          <w:szCs w:val="22"/>
          <w:highlight w:val="none"/>
        </w:rPr>
        <w:t>一年</w:t>
      </w:r>
      <w:r>
        <w:rPr>
          <w:rFonts w:hint="eastAsia" w:ascii="宋体" w:hAnsi="宋体" w:eastAsia="宋体" w:cs="宋体"/>
          <w:b/>
          <w:color w:val="auto"/>
          <w:kern w:val="0"/>
          <w:sz w:val="22"/>
          <w:szCs w:val="22"/>
          <w:highlight w:val="none"/>
          <w:lang w:eastAsia="zh-CN"/>
        </w:rPr>
        <w:t>，承诺起始时间为投标文件截止之日</w:t>
      </w:r>
      <w:r>
        <w:rPr>
          <w:rFonts w:hint="eastAsia" w:ascii="宋体" w:hAnsi="宋体" w:eastAsia="宋体" w:cs="宋体"/>
          <w:b/>
          <w:color w:val="auto"/>
          <w:kern w:val="0"/>
          <w:sz w:val="22"/>
          <w:szCs w:val="22"/>
          <w:highlight w:val="none"/>
        </w:rPr>
        <w:t>）</w:t>
      </w:r>
      <w:r>
        <w:rPr>
          <w:rFonts w:hint="eastAsia" w:ascii="宋体" w:hAnsi="宋体" w:eastAsia="宋体" w:cs="宋体"/>
          <w:b/>
          <w:bCs/>
          <w:color w:val="auto"/>
          <w:sz w:val="22"/>
          <w:szCs w:val="22"/>
          <w:highlight w:val="none"/>
          <w:lang w:val="en-US" w:eastAsia="zh-CN"/>
        </w:rPr>
        <w:t>后附信用榆林承诺截图</w:t>
      </w:r>
    </w:p>
    <w:p w14:paraId="68685CDE">
      <w:pPr>
        <w:widowControl/>
        <w:spacing w:line="360" w:lineRule="auto"/>
        <w:jc w:val="center"/>
        <w:rPr>
          <w:rFonts w:hint="eastAsia" w:ascii="宋体" w:hAnsi="宋体" w:eastAsia="宋体" w:cs="宋体"/>
          <w:b/>
          <w:bCs/>
          <w:color w:val="auto"/>
          <w:kern w:val="0"/>
          <w:sz w:val="22"/>
          <w:szCs w:val="22"/>
          <w:highlight w:val="none"/>
        </w:rPr>
      </w:pPr>
    </w:p>
    <w:p w14:paraId="5848E755">
      <w:pPr>
        <w:widowControl/>
        <w:spacing w:line="360" w:lineRule="auto"/>
        <w:jc w:val="center"/>
        <w:outlineLvl w:val="1"/>
        <w:rPr>
          <w:rFonts w:hint="eastAsia" w:ascii="宋体" w:hAnsi="宋体" w:eastAsia="宋体" w:cs="宋体"/>
          <w:color w:val="auto"/>
          <w:sz w:val="22"/>
          <w:szCs w:val="22"/>
          <w:highlight w:val="none"/>
        </w:rPr>
      </w:pPr>
      <w:bookmarkStart w:id="238" w:name="_Toc23296"/>
      <w:r>
        <w:rPr>
          <w:rFonts w:hint="eastAsia" w:ascii="宋体" w:hAnsi="宋体" w:eastAsia="宋体" w:cs="宋体"/>
          <w:b/>
          <w:bCs/>
          <w:color w:val="auto"/>
          <w:kern w:val="0"/>
          <w:sz w:val="22"/>
          <w:szCs w:val="22"/>
          <w:highlight w:val="none"/>
        </w:rPr>
        <w:t>非联合体投标声明</w:t>
      </w:r>
      <w:bookmarkEnd w:id="238"/>
    </w:p>
    <w:p w14:paraId="58782F94">
      <w:pPr>
        <w:widowControl/>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本单位郑重声明，参加</w:t>
      </w:r>
      <w:r>
        <w:rPr>
          <w:rFonts w:hint="eastAsia" w:ascii="宋体" w:hAnsi="宋体" w:cs="宋体"/>
          <w:color w:val="auto"/>
          <w:kern w:val="0"/>
          <w:sz w:val="22"/>
          <w:szCs w:val="22"/>
          <w:highlight w:val="none"/>
          <w:lang w:eastAsia="zh-CN"/>
        </w:rPr>
        <w:t>陕西秦丰源项目管理有限公司</w:t>
      </w:r>
      <w:r>
        <w:rPr>
          <w:rFonts w:hint="eastAsia" w:ascii="宋体" w:hAnsi="宋体" w:eastAsia="宋体" w:cs="宋体"/>
          <w:color w:val="auto"/>
          <w:kern w:val="0"/>
          <w:sz w:val="22"/>
          <w:szCs w:val="22"/>
          <w:highlight w:val="none"/>
        </w:rPr>
        <w:t>的项目名称:</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（项目编号：______）采购活动，为非联合体</w:t>
      </w:r>
      <w:r>
        <w:rPr>
          <w:rFonts w:hint="eastAsia" w:ascii="宋体" w:hAnsi="宋体" w:eastAsia="宋体" w:cs="宋体"/>
          <w:color w:val="auto"/>
          <w:kern w:val="0"/>
          <w:sz w:val="22"/>
          <w:szCs w:val="22"/>
          <w:highlight w:val="none"/>
          <w:lang w:val="en-US" w:eastAsia="zh-CN"/>
        </w:rPr>
        <w:t>投标</w:t>
      </w:r>
      <w:r>
        <w:rPr>
          <w:rFonts w:hint="eastAsia" w:ascii="宋体" w:hAnsi="宋体" w:eastAsia="宋体" w:cs="宋体"/>
          <w:color w:val="auto"/>
          <w:kern w:val="0"/>
          <w:sz w:val="22"/>
          <w:szCs w:val="22"/>
          <w:highlight w:val="none"/>
        </w:rPr>
        <w:t xml:space="preserve">，本项目实施过程由本单位独立承担。 </w:t>
      </w:r>
    </w:p>
    <w:p w14:paraId="4AFD55BF">
      <w:pPr>
        <w:widowControl/>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 xml:space="preserve">本单位对上述声明的真实性负责。如有虚假，将依法承担相应责任。 </w:t>
      </w:r>
    </w:p>
    <w:p w14:paraId="6DC8F9C9">
      <w:pPr>
        <w:widowControl/>
        <w:spacing w:line="240" w:lineRule="auto"/>
        <w:ind w:firstLine="440" w:firstLineChars="200"/>
        <w:jc w:val="left"/>
        <w:rPr>
          <w:rFonts w:hint="eastAsia" w:ascii="宋体" w:hAnsi="宋体" w:eastAsia="宋体" w:cs="宋体"/>
          <w:color w:val="auto"/>
          <w:kern w:val="0"/>
          <w:sz w:val="22"/>
          <w:szCs w:val="22"/>
          <w:highlight w:val="none"/>
        </w:rPr>
      </w:pPr>
    </w:p>
    <w:p w14:paraId="32765D2D">
      <w:pPr>
        <w:widowControl/>
        <w:spacing w:line="360" w:lineRule="auto"/>
        <w:ind w:firstLine="3520" w:firstLineChars="1600"/>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供应商名称：</w:t>
      </w:r>
      <w:r>
        <w:rPr>
          <w:rFonts w:hint="eastAsia" w:ascii="宋体" w:hAnsi="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 xml:space="preserve">（加盖公章） </w:t>
      </w:r>
    </w:p>
    <w:p w14:paraId="2944D265">
      <w:pPr>
        <w:widowControl/>
        <w:spacing w:line="360" w:lineRule="auto"/>
        <w:ind w:firstLine="3520" w:firstLineChars="1600"/>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 xml:space="preserve">日期： 年 月 日 </w:t>
      </w:r>
    </w:p>
    <w:p w14:paraId="29C870B6">
      <w:pPr>
        <w:numPr>
          <w:ilvl w:val="0"/>
          <w:numId w:val="0"/>
        </w:numPr>
        <w:spacing w:line="720" w:lineRule="auto"/>
        <w:jc w:val="both"/>
        <w:outlineLvl w:val="9"/>
        <w:rPr>
          <w:rFonts w:hint="eastAsia" w:ascii="宋体" w:hAnsi="宋体" w:eastAsia="宋体" w:cs="宋体"/>
          <w:b/>
          <w:color w:val="auto"/>
          <w:sz w:val="22"/>
          <w:szCs w:val="22"/>
          <w:highlight w:val="none"/>
        </w:rPr>
      </w:pPr>
    </w:p>
    <w:p w14:paraId="6DC7A03E">
      <w:pPr>
        <w:spacing w:line="720" w:lineRule="auto"/>
        <w:jc w:val="center"/>
        <w:outlineLvl w:val="9"/>
        <w:rPr>
          <w:rFonts w:hint="eastAsia" w:ascii="宋体" w:hAnsi="宋体" w:eastAsia="宋体" w:cs="宋体"/>
          <w:b/>
          <w:bCs/>
          <w:color w:val="auto"/>
          <w:sz w:val="32"/>
          <w:szCs w:val="32"/>
          <w:highlight w:val="none"/>
          <w:lang w:eastAsia="zh-CN"/>
        </w:rPr>
      </w:pPr>
    </w:p>
    <w:p w14:paraId="4BFABE54">
      <w:pPr>
        <w:spacing w:line="440" w:lineRule="exact"/>
        <w:jc w:val="center"/>
        <w:outlineLvl w:val="9"/>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br w:type="page"/>
      </w:r>
    </w:p>
    <w:p w14:paraId="0791CEFA">
      <w:pPr>
        <w:pStyle w:val="3"/>
        <w:numPr>
          <w:ilvl w:val="-1"/>
          <w:numId w:val="0"/>
        </w:numPr>
        <w:spacing w:before="0" w:beforeLines="0" w:beforeAutospacing="0" w:after="0" w:afterLines="0" w:afterAutospacing="0" w:line="360" w:lineRule="auto"/>
        <w:ind w:left="575" w:leftChars="0" w:hanging="575" w:firstLineChars="0"/>
        <w:jc w:val="center"/>
        <w:outlineLvl w:val="0"/>
        <w:rPr>
          <w:rFonts w:hint="eastAsia" w:ascii="宋体" w:hAnsi="宋体" w:eastAsia="宋体" w:cs="仿宋_GB2312"/>
          <w:bCs w:val="0"/>
          <w:color w:val="auto"/>
          <w:szCs w:val="32"/>
          <w:highlight w:val="none"/>
        </w:rPr>
      </w:pPr>
      <w:bookmarkStart w:id="239" w:name="_Toc26794"/>
      <w:r>
        <w:rPr>
          <w:rFonts w:hint="eastAsia" w:ascii="宋体" w:hAnsi="宋体" w:eastAsia="宋体" w:cs="宋体"/>
          <w:b/>
          <w:bCs/>
          <w:color w:val="auto"/>
          <w:sz w:val="32"/>
          <w:szCs w:val="32"/>
          <w:highlight w:val="none"/>
          <w:lang w:val="en-US" w:eastAsia="zh-CN"/>
        </w:rPr>
        <w:t>七</w:t>
      </w:r>
      <w:r>
        <w:rPr>
          <w:rFonts w:hint="eastAsia" w:ascii="宋体" w:hAnsi="宋体" w:eastAsia="宋体" w:cs="宋体"/>
          <w:b/>
          <w:bCs/>
          <w:color w:val="auto"/>
          <w:sz w:val="32"/>
          <w:szCs w:val="32"/>
          <w:highlight w:val="none"/>
        </w:rPr>
        <w:t>、</w:t>
      </w:r>
      <w:r>
        <w:rPr>
          <w:rFonts w:hint="eastAsia" w:ascii="宋体" w:hAnsi="宋体" w:cs="仿宋_GB2312"/>
          <w:bCs w:val="0"/>
          <w:color w:val="auto"/>
          <w:szCs w:val="32"/>
          <w:highlight w:val="none"/>
          <w:lang w:val="en-US" w:eastAsia="zh-CN"/>
        </w:rPr>
        <w:t>服务</w:t>
      </w:r>
      <w:r>
        <w:rPr>
          <w:rFonts w:hint="eastAsia" w:ascii="宋体" w:hAnsi="宋体" w:eastAsia="宋体" w:cs="仿宋_GB2312"/>
          <w:bCs w:val="0"/>
          <w:color w:val="auto"/>
          <w:szCs w:val="32"/>
          <w:highlight w:val="none"/>
        </w:rPr>
        <w:t>方案</w:t>
      </w:r>
      <w:bookmarkEnd w:id="239"/>
    </w:p>
    <w:p w14:paraId="03EE0DC9">
      <w:pPr>
        <w:tabs>
          <w:tab w:val="left" w:pos="4200"/>
        </w:tabs>
        <w:spacing w:line="0" w:lineRule="atLeast"/>
        <w:rPr>
          <w:rFonts w:ascii="宋体" w:hAnsi="宋体" w:eastAsia="宋体" w:cs="Times New Roman"/>
          <w:color w:val="auto"/>
          <w:sz w:val="24"/>
          <w:szCs w:val="20"/>
          <w:highlight w:val="none"/>
        </w:rPr>
      </w:pPr>
    </w:p>
    <w:p w14:paraId="552680E7">
      <w:pPr>
        <w:adjustRightInd w:val="0"/>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val="en-US" w:eastAsia="zh-CN"/>
        </w:rPr>
        <w:t>服务方案应结合</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中</w:t>
      </w:r>
      <w:r>
        <w:rPr>
          <w:rFonts w:hint="eastAsia" w:ascii="宋体" w:hAnsi="宋体" w:eastAsia="宋体" w:cs="宋体"/>
          <w:color w:val="auto"/>
          <w:sz w:val="24"/>
          <w:szCs w:val="24"/>
          <w:highlight w:val="none"/>
        </w:rPr>
        <w:t>综合评审</w:t>
      </w:r>
      <w:r>
        <w:rPr>
          <w:rFonts w:hint="eastAsia" w:ascii="宋体" w:hAnsi="宋体" w:eastAsia="宋体" w:cs="宋体"/>
          <w:color w:val="auto"/>
          <w:sz w:val="24"/>
          <w:szCs w:val="24"/>
          <w:highlight w:val="none"/>
          <w:lang w:eastAsia="zh-CN"/>
        </w:rPr>
        <w:t>中</w:t>
      </w:r>
      <w:r>
        <w:rPr>
          <w:rFonts w:hint="eastAsia" w:ascii="宋体" w:hAnsi="宋体" w:eastAsia="宋体" w:cs="宋体"/>
          <w:color w:val="auto"/>
          <w:sz w:val="24"/>
          <w:szCs w:val="24"/>
          <w:highlight w:val="none"/>
        </w:rPr>
        <w:t>要求的内容</w:t>
      </w:r>
      <w:r>
        <w:rPr>
          <w:rFonts w:hint="eastAsia" w:ascii="宋体" w:hAnsi="宋体" w:cs="宋体"/>
          <w:color w:val="auto"/>
          <w:sz w:val="24"/>
          <w:szCs w:val="24"/>
          <w:highlight w:val="none"/>
          <w:lang w:val="en-US" w:eastAsia="zh-CN"/>
        </w:rPr>
        <w:t>进行编制</w:t>
      </w:r>
      <w:r>
        <w:rPr>
          <w:rFonts w:hint="eastAsia" w:ascii="宋体" w:hAnsi="宋体" w:eastAsia="宋体" w:cs="宋体"/>
          <w:color w:val="auto"/>
          <w:sz w:val="24"/>
          <w:szCs w:val="24"/>
          <w:highlight w:val="none"/>
          <w:lang w:eastAsia="zh-CN"/>
        </w:rPr>
        <w:t>。</w:t>
      </w:r>
    </w:p>
    <w:p w14:paraId="563B215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p>
    <w:p w14:paraId="12974215">
      <w:pPr>
        <w:tabs>
          <w:tab w:val="left" w:pos="720"/>
          <w:tab w:val="left" w:pos="8364"/>
        </w:tabs>
        <w:adjustRightInd w:val="0"/>
        <w:snapToGrid w:val="0"/>
        <w:spacing w:line="720" w:lineRule="auto"/>
        <w:jc w:val="center"/>
        <w:rPr>
          <w:rFonts w:hint="eastAsia" w:ascii="宋体" w:hAnsi="宋体" w:eastAsia="宋体" w:cs="宋体"/>
          <w:b/>
          <w:bCs/>
          <w:color w:val="auto"/>
          <w:sz w:val="28"/>
          <w:szCs w:val="28"/>
          <w:highlight w:val="none"/>
          <w:lang w:eastAsia="zh-CN"/>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E0FCCFE">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color w:val="auto"/>
          <w:sz w:val="22"/>
          <w:szCs w:val="22"/>
          <w:highlight w:val="none"/>
        </w:rPr>
      </w:pPr>
      <w:bookmarkStart w:id="240" w:name="_Toc7681"/>
      <w:bookmarkStart w:id="241" w:name="_Toc18140"/>
      <w:bookmarkStart w:id="242" w:name="_Toc423025064"/>
      <w:bookmarkStart w:id="243" w:name="_Toc20802"/>
      <w:bookmarkStart w:id="244" w:name="_Toc22505"/>
      <w:r>
        <w:rPr>
          <w:rFonts w:hint="eastAsia"/>
          <w:b/>
          <w:bCs/>
          <w:color w:val="auto"/>
          <w:sz w:val="22"/>
          <w:szCs w:val="22"/>
          <w:highlight w:val="none"/>
          <w:lang w:eastAsia="zh-CN"/>
        </w:rPr>
        <w:t>附件</w:t>
      </w:r>
      <w:r>
        <w:rPr>
          <w:rFonts w:hint="eastAsia"/>
          <w:b/>
          <w:bCs/>
          <w:color w:val="auto"/>
          <w:sz w:val="22"/>
          <w:szCs w:val="22"/>
          <w:highlight w:val="none"/>
          <w:lang w:val="en-US" w:eastAsia="zh-CN"/>
        </w:rPr>
        <w:t xml:space="preserve">1 </w:t>
      </w:r>
      <w:r>
        <w:rPr>
          <w:rFonts w:hint="eastAsia"/>
          <w:b/>
          <w:bCs/>
          <w:color w:val="auto"/>
          <w:sz w:val="22"/>
          <w:szCs w:val="22"/>
          <w:highlight w:val="none"/>
        </w:rPr>
        <w:t>拟投入本项目人员汇总表</w:t>
      </w:r>
      <w:bookmarkEnd w:id="240"/>
      <w:bookmarkEnd w:id="241"/>
      <w:bookmarkEnd w:id="242"/>
    </w:p>
    <w:tbl>
      <w:tblPr>
        <w:tblStyle w:val="25"/>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089"/>
        <w:gridCol w:w="824"/>
        <w:gridCol w:w="1088"/>
        <w:gridCol w:w="1089"/>
        <w:gridCol w:w="1058"/>
        <w:gridCol w:w="1054"/>
        <w:gridCol w:w="1854"/>
      </w:tblGrid>
      <w:tr w14:paraId="7D85A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24" w:type="dxa"/>
            <w:noWrap w:val="0"/>
            <w:vAlign w:val="center"/>
          </w:tcPr>
          <w:p w14:paraId="02487DB9">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序号</w:t>
            </w:r>
          </w:p>
        </w:tc>
        <w:tc>
          <w:tcPr>
            <w:tcW w:w="1089" w:type="dxa"/>
            <w:noWrap w:val="0"/>
            <w:vAlign w:val="center"/>
          </w:tcPr>
          <w:p w14:paraId="5527C76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姓名</w:t>
            </w:r>
          </w:p>
        </w:tc>
        <w:tc>
          <w:tcPr>
            <w:tcW w:w="824" w:type="dxa"/>
            <w:noWrap w:val="0"/>
            <w:vAlign w:val="center"/>
          </w:tcPr>
          <w:p w14:paraId="0D9F21D8">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性别</w:t>
            </w:r>
          </w:p>
        </w:tc>
        <w:tc>
          <w:tcPr>
            <w:tcW w:w="1088" w:type="dxa"/>
            <w:noWrap w:val="0"/>
            <w:vAlign w:val="center"/>
          </w:tcPr>
          <w:p w14:paraId="11418F36">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年龄</w:t>
            </w:r>
          </w:p>
        </w:tc>
        <w:tc>
          <w:tcPr>
            <w:tcW w:w="1089" w:type="dxa"/>
            <w:noWrap w:val="0"/>
            <w:vAlign w:val="center"/>
          </w:tcPr>
          <w:p w14:paraId="542E41A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职务</w:t>
            </w:r>
          </w:p>
        </w:tc>
        <w:tc>
          <w:tcPr>
            <w:tcW w:w="1058" w:type="dxa"/>
            <w:noWrap w:val="0"/>
            <w:vAlign w:val="center"/>
          </w:tcPr>
          <w:p w14:paraId="3C823AE9">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职称</w:t>
            </w:r>
          </w:p>
        </w:tc>
        <w:tc>
          <w:tcPr>
            <w:tcW w:w="1054" w:type="dxa"/>
            <w:noWrap w:val="0"/>
            <w:vAlign w:val="center"/>
          </w:tcPr>
          <w:p w14:paraId="16094C4E">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学历</w:t>
            </w:r>
          </w:p>
        </w:tc>
        <w:tc>
          <w:tcPr>
            <w:tcW w:w="1854" w:type="dxa"/>
            <w:noWrap w:val="0"/>
            <w:vAlign w:val="center"/>
          </w:tcPr>
          <w:p w14:paraId="111C382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参加工作年限</w:t>
            </w:r>
          </w:p>
        </w:tc>
      </w:tr>
      <w:tr w14:paraId="2E6A9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4" w:type="dxa"/>
            <w:noWrap w:val="0"/>
            <w:vAlign w:val="center"/>
          </w:tcPr>
          <w:p w14:paraId="3FF40E95">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9" w:type="dxa"/>
            <w:noWrap w:val="0"/>
            <w:vAlign w:val="center"/>
          </w:tcPr>
          <w:p w14:paraId="17075B7E">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824" w:type="dxa"/>
            <w:noWrap w:val="0"/>
            <w:vAlign w:val="center"/>
          </w:tcPr>
          <w:p w14:paraId="14E710E4">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8" w:type="dxa"/>
            <w:noWrap w:val="0"/>
            <w:vAlign w:val="center"/>
          </w:tcPr>
          <w:p w14:paraId="0D765EAA">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9" w:type="dxa"/>
            <w:noWrap w:val="0"/>
            <w:vAlign w:val="center"/>
          </w:tcPr>
          <w:p w14:paraId="75135521">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58" w:type="dxa"/>
            <w:noWrap w:val="0"/>
            <w:vAlign w:val="center"/>
          </w:tcPr>
          <w:p w14:paraId="33BFFA7F">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54" w:type="dxa"/>
            <w:noWrap w:val="0"/>
            <w:vAlign w:val="center"/>
          </w:tcPr>
          <w:p w14:paraId="2D7AEBAE">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854" w:type="dxa"/>
            <w:noWrap w:val="0"/>
            <w:vAlign w:val="center"/>
          </w:tcPr>
          <w:p w14:paraId="011730A7">
            <w:pPr>
              <w:keepNext w:val="0"/>
              <w:keepLines w:val="0"/>
              <w:suppressLineNumbers w:val="0"/>
              <w:spacing w:before="0" w:beforeAutospacing="0" w:after="0" w:afterAutospacing="0"/>
              <w:ind w:left="0" w:right="0"/>
              <w:jc w:val="center"/>
              <w:rPr>
                <w:rFonts w:hint="eastAsia"/>
                <w:color w:val="auto"/>
                <w:sz w:val="22"/>
                <w:szCs w:val="22"/>
                <w:highlight w:val="none"/>
              </w:rPr>
            </w:pPr>
          </w:p>
        </w:tc>
      </w:tr>
      <w:tr w14:paraId="22417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4" w:type="dxa"/>
            <w:noWrap w:val="0"/>
            <w:vAlign w:val="center"/>
          </w:tcPr>
          <w:p w14:paraId="51EA7FE2">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9" w:type="dxa"/>
            <w:noWrap w:val="0"/>
            <w:vAlign w:val="center"/>
          </w:tcPr>
          <w:p w14:paraId="301001C9">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824" w:type="dxa"/>
            <w:noWrap w:val="0"/>
            <w:vAlign w:val="center"/>
          </w:tcPr>
          <w:p w14:paraId="0365B937">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8" w:type="dxa"/>
            <w:noWrap w:val="0"/>
            <w:vAlign w:val="center"/>
          </w:tcPr>
          <w:p w14:paraId="002D4B68">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9" w:type="dxa"/>
            <w:noWrap w:val="0"/>
            <w:vAlign w:val="center"/>
          </w:tcPr>
          <w:p w14:paraId="4AA2C18A">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58" w:type="dxa"/>
            <w:noWrap w:val="0"/>
            <w:vAlign w:val="center"/>
          </w:tcPr>
          <w:p w14:paraId="4BCC2422">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54" w:type="dxa"/>
            <w:noWrap w:val="0"/>
            <w:vAlign w:val="center"/>
          </w:tcPr>
          <w:p w14:paraId="2389B553">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854" w:type="dxa"/>
            <w:noWrap w:val="0"/>
            <w:vAlign w:val="center"/>
          </w:tcPr>
          <w:p w14:paraId="2E025A38">
            <w:pPr>
              <w:keepNext w:val="0"/>
              <w:keepLines w:val="0"/>
              <w:suppressLineNumbers w:val="0"/>
              <w:spacing w:before="0" w:beforeAutospacing="0" w:after="0" w:afterAutospacing="0"/>
              <w:ind w:left="0" w:right="0"/>
              <w:jc w:val="center"/>
              <w:rPr>
                <w:rFonts w:hint="eastAsia"/>
                <w:color w:val="auto"/>
                <w:sz w:val="22"/>
                <w:szCs w:val="22"/>
                <w:highlight w:val="none"/>
              </w:rPr>
            </w:pPr>
          </w:p>
        </w:tc>
      </w:tr>
      <w:tr w14:paraId="52DC3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4" w:type="dxa"/>
            <w:noWrap w:val="0"/>
            <w:vAlign w:val="center"/>
          </w:tcPr>
          <w:p w14:paraId="08BA6663">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9" w:type="dxa"/>
            <w:noWrap w:val="0"/>
            <w:vAlign w:val="center"/>
          </w:tcPr>
          <w:p w14:paraId="1A9C3CA8">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824" w:type="dxa"/>
            <w:noWrap w:val="0"/>
            <w:vAlign w:val="center"/>
          </w:tcPr>
          <w:p w14:paraId="6175387D">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8" w:type="dxa"/>
            <w:noWrap w:val="0"/>
            <w:vAlign w:val="center"/>
          </w:tcPr>
          <w:p w14:paraId="1B6A2127">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9" w:type="dxa"/>
            <w:noWrap w:val="0"/>
            <w:vAlign w:val="center"/>
          </w:tcPr>
          <w:p w14:paraId="5E733AC3">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58" w:type="dxa"/>
            <w:noWrap w:val="0"/>
            <w:vAlign w:val="center"/>
          </w:tcPr>
          <w:p w14:paraId="6A4FA96A">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54" w:type="dxa"/>
            <w:noWrap w:val="0"/>
            <w:vAlign w:val="center"/>
          </w:tcPr>
          <w:p w14:paraId="23E3BE65">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854" w:type="dxa"/>
            <w:noWrap w:val="0"/>
            <w:vAlign w:val="center"/>
          </w:tcPr>
          <w:p w14:paraId="4209ADAD">
            <w:pPr>
              <w:keepNext w:val="0"/>
              <w:keepLines w:val="0"/>
              <w:suppressLineNumbers w:val="0"/>
              <w:spacing w:before="0" w:beforeAutospacing="0" w:after="0" w:afterAutospacing="0"/>
              <w:ind w:left="0" w:right="0"/>
              <w:jc w:val="center"/>
              <w:rPr>
                <w:rFonts w:hint="eastAsia"/>
                <w:color w:val="auto"/>
                <w:sz w:val="22"/>
                <w:szCs w:val="22"/>
                <w:highlight w:val="none"/>
              </w:rPr>
            </w:pPr>
          </w:p>
        </w:tc>
      </w:tr>
      <w:tr w14:paraId="32B0F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4" w:type="dxa"/>
            <w:noWrap w:val="0"/>
            <w:vAlign w:val="center"/>
          </w:tcPr>
          <w:p w14:paraId="19A79F66">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9" w:type="dxa"/>
            <w:noWrap w:val="0"/>
            <w:vAlign w:val="center"/>
          </w:tcPr>
          <w:p w14:paraId="0E4BB5FF">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824" w:type="dxa"/>
            <w:noWrap w:val="0"/>
            <w:vAlign w:val="center"/>
          </w:tcPr>
          <w:p w14:paraId="5BB0EE23">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8" w:type="dxa"/>
            <w:noWrap w:val="0"/>
            <w:vAlign w:val="center"/>
          </w:tcPr>
          <w:p w14:paraId="4FBC0E51">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9" w:type="dxa"/>
            <w:noWrap w:val="0"/>
            <w:vAlign w:val="center"/>
          </w:tcPr>
          <w:p w14:paraId="453A6720">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58" w:type="dxa"/>
            <w:noWrap w:val="0"/>
            <w:vAlign w:val="center"/>
          </w:tcPr>
          <w:p w14:paraId="4AB91DE8">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54" w:type="dxa"/>
            <w:noWrap w:val="0"/>
            <w:vAlign w:val="center"/>
          </w:tcPr>
          <w:p w14:paraId="7D5DBD00">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854" w:type="dxa"/>
            <w:noWrap w:val="0"/>
            <w:vAlign w:val="center"/>
          </w:tcPr>
          <w:p w14:paraId="3C33508D">
            <w:pPr>
              <w:keepNext w:val="0"/>
              <w:keepLines w:val="0"/>
              <w:suppressLineNumbers w:val="0"/>
              <w:spacing w:before="0" w:beforeAutospacing="0" w:after="0" w:afterAutospacing="0"/>
              <w:ind w:left="0" w:right="0"/>
              <w:jc w:val="center"/>
              <w:rPr>
                <w:rFonts w:hint="eastAsia"/>
                <w:color w:val="auto"/>
                <w:sz w:val="22"/>
                <w:szCs w:val="22"/>
                <w:highlight w:val="none"/>
              </w:rPr>
            </w:pPr>
          </w:p>
        </w:tc>
      </w:tr>
      <w:tr w14:paraId="54BB9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4" w:type="dxa"/>
            <w:noWrap w:val="0"/>
            <w:vAlign w:val="center"/>
          </w:tcPr>
          <w:p w14:paraId="7A3772FA">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9" w:type="dxa"/>
            <w:noWrap w:val="0"/>
            <w:vAlign w:val="center"/>
          </w:tcPr>
          <w:p w14:paraId="095C7933">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824" w:type="dxa"/>
            <w:noWrap w:val="0"/>
            <w:vAlign w:val="center"/>
          </w:tcPr>
          <w:p w14:paraId="4582C3C4">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8" w:type="dxa"/>
            <w:noWrap w:val="0"/>
            <w:vAlign w:val="center"/>
          </w:tcPr>
          <w:p w14:paraId="3183C15B">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9" w:type="dxa"/>
            <w:noWrap w:val="0"/>
            <w:vAlign w:val="center"/>
          </w:tcPr>
          <w:p w14:paraId="54EF469A">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58" w:type="dxa"/>
            <w:noWrap w:val="0"/>
            <w:vAlign w:val="center"/>
          </w:tcPr>
          <w:p w14:paraId="268D207A">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54" w:type="dxa"/>
            <w:noWrap w:val="0"/>
            <w:vAlign w:val="center"/>
          </w:tcPr>
          <w:p w14:paraId="6BB4A935">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854" w:type="dxa"/>
            <w:noWrap w:val="0"/>
            <w:vAlign w:val="center"/>
          </w:tcPr>
          <w:p w14:paraId="4B233544">
            <w:pPr>
              <w:keepNext w:val="0"/>
              <w:keepLines w:val="0"/>
              <w:suppressLineNumbers w:val="0"/>
              <w:spacing w:before="0" w:beforeAutospacing="0" w:after="0" w:afterAutospacing="0"/>
              <w:ind w:left="0" w:right="0"/>
              <w:jc w:val="center"/>
              <w:rPr>
                <w:rFonts w:hint="eastAsia"/>
                <w:color w:val="auto"/>
                <w:sz w:val="22"/>
                <w:szCs w:val="22"/>
                <w:highlight w:val="none"/>
              </w:rPr>
            </w:pPr>
          </w:p>
        </w:tc>
      </w:tr>
      <w:tr w14:paraId="092C0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4" w:type="dxa"/>
            <w:noWrap w:val="0"/>
            <w:vAlign w:val="center"/>
          </w:tcPr>
          <w:p w14:paraId="1B3AA345">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9" w:type="dxa"/>
            <w:noWrap w:val="0"/>
            <w:vAlign w:val="center"/>
          </w:tcPr>
          <w:p w14:paraId="48458094">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824" w:type="dxa"/>
            <w:noWrap w:val="0"/>
            <w:vAlign w:val="center"/>
          </w:tcPr>
          <w:p w14:paraId="5DF4DC4C">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8" w:type="dxa"/>
            <w:noWrap w:val="0"/>
            <w:vAlign w:val="center"/>
          </w:tcPr>
          <w:p w14:paraId="1679419A">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9" w:type="dxa"/>
            <w:noWrap w:val="0"/>
            <w:vAlign w:val="center"/>
          </w:tcPr>
          <w:p w14:paraId="1073B51C">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58" w:type="dxa"/>
            <w:noWrap w:val="0"/>
            <w:vAlign w:val="center"/>
          </w:tcPr>
          <w:p w14:paraId="7458D8FD">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54" w:type="dxa"/>
            <w:noWrap w:val="0"/>
            <w:vAlign w:val="center"/>
          </w:tcPr>
          <w:p w14:paraId="0B10DC8B">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854" w:type="dxa"/>
            <w:noWrap w:val="0"/>
            <w:vAlign w:val="center"/>
          </w:tcPr>
          <w:p w14:paraId="2853A0E8">
            <w:pPr>
              <w:keepNext w:val="0"/>
              <w:keepLines w:val="0"/>
              <w:suppressLineNumbers w:val="0"/>
              <w:spacing w:before="0" w:beforeAutospacing="0" w:after="0" w:afterAutospacing="0"/>
              <w:ind w:left="0" w:right="0"/>
              <w:jc w:val="center"/>
              <w:rPr>
                <w:rFonts w:hint="eastAsia"/>
                <w:color w:val="auto"/>
                <w:sz w:val="22"/>
                <w:szCs w:val="22"/>
                <w:highlight w:val="none"/>
              </w:rPr>
            </w:pPr>
          </w:p>
        </w:tc>
      </w:tr>
      <w:tr w14:paraId="75235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4" w:type="dxa"/>
            <w:noWrap w:val="0"/>
            <w:vAlign w:val="center"/>
          </w:tcPr>
          <w:p w14:paraId="79722913">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9" w:type="dxa"/>
            <w:noWrap w:val="0"/>
            <w:vAlign w:val="center"/>
          </w:tcPr>
          <w:p w14:paraId="43600A90">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824" w:type="dxa"/>
            <w:noWrap w:val="0"/>
            <w:vAlign w:val="center"/>
          </w:tcPr>
          <w:p w14:paraId="1640A101">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8" w:type="dxa"/>
            <w:noWrap w:val="0"/>
            <w:vAlign w:val="center"/>
          </w:tcPr>
          <w:p w14:paraId="12A3398D">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9" w:type="dxa"/>
            <w:noWrap w:val="0"/>
            <w:vAlign w:val="center"/>
          </w:tcPr>
          <w:p w14:paraId="21D100D0">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58" w:type="dxa"/>
            <w:noWrap w:val="0"/>
            <w:vAlign w:val="center"/>
          </w:tcPr>
          <w:p w14:paraId="6D428789">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54" w:type="dxa"/>
            <w:noWrap w:val="0"/>
            <w:vAlign w:val="center"/>
          </w:tcPr>
          <w:p w14:paraId="3793E834">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854" w:type="dxa"/>
            <w:noWrap w:val="0"/>
            <w:vAlign w:val="center"/>
          </w:tcPr>
          <w:p w14:paraId="203D5D46">
            <w:pPr>
              <w:keepNext w:val="0"/>
              <w:keepLines w:val="0"/>
              <w:suppressLineNumbers w:val="0"/>
              <w:spacing w:before="0" w:beforeAutospacing="0" w:after="0" w:afterAutospacing="0"/>
              <w:ind w:left="0" w:right="0"/>
              <w:jc w:val="center"/>
              <w:rPr>
                <w:rFonts w:hint="eastAsia"/>
                <w:color w:val="auto"/>
                <w:sz w:val="22"/>
                <w:szCs w:val="22"/>
                <w:highlight w:val="none"/>
              </w:rPr>
            </w:pPr>
          </w:p>
        </w:tc>
      </w:tr>
      <w:tr w14:paraId="7C9A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4" w:type="dxa"/>
            <w:noWrap w:val="0"/>
            <w:vAlign w:val="center"/>
          </w:tcPr>
          <w:p w14:paraId="4EFD7952">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9" w:type="dxa"/>
            <w:noWrap w:val="0"/>
            <w:vAlign w:val="center"/>
          </w:tcPr>
          <w:p w14:paraId="31D29635">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824" w:type="dxa"/>
            <w:noWrap w:val="0"/>
            <w:vAlign w:val="center"/>
          </w:tcPr>
          <w:p w14:paraId="55713D79">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8" w:type="dxa"/>
            <w:noWrap w:val="0"/>
            <w:vAlign w:val="center"/>
          </w:tcPr>
          <w:p w14:paraId="442330BC">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9" w:type="dxa"/>
            <w:noWrap w:val="0"/>
            <w:vAlign w:val="center"/>
          </w:tcPr>
          <w:p w14:paraId="371F2034">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58" w:type="dxa"/>
            <w:noWrap w:val="0"/>
            <w:vAlign w:val="center"/>
          </w:tcPr>
          <w:p w14:paraId="4F78A9D9">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54" w:type="dxa"/>
            <w:noWrap w:val="0"/>
            <w:vAlign w:val="center"/>
          </w:tcPr>
          <w:p w14:paraId="7A52E385">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854" w:type="dxa"/>
            <w:noWrap w:val="0"/>
            <w:vAlign w:val="center"/>
          </w:tcPr>
          <w:p w14:paraId="4A977759">
            <w:pPr>
              <w:keepNext w:val="0"/>
              <w:keepLines w:val="0"/>
              <w:suppressLineNumbers w:val="0"/>
              <w:spacing w:before="0" w:beforeAutospacing="0" w:after="0" w:afterAutospacing="0"/>
              <w:ind w:left="0" w:right="0"/>
              <w:jc w:val="center"/>
              <w:rPr>
                <w:rFonts w:hint="eastAsia"/>
                <w:color w:val="auto"/>
                <w:sz w:val="22"/>
                <w:szCs w:val="22"/>
                <w:highlight w:val="none"/>
              </w:rPr>
            </w:pPr>
          </w:p>
        </w:tc>
      </w:tr>
      <w:tr w14:paraId="1EF14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4" w:type="dxa"/>
            <w:noWrap w:val="0"/>
            <w:vAlign w:val="center"/>
          </w:tcPr>
          <w:p w14:paraId="171883AB">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9" w:type="dxa"/>
            <w:noWrap w:val="0"/>
            <w:vAlign w:val="center"/>
          </w:tcPr>
          <w:p w14:paraId="44F3A949">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824" w:type="dxa"/>
            <w:noWrap w:val="0"/>
            <w:vAlign w:val="center"/>
          </w:tcPr>
          <w:p w14:paraId="6073B065">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8" w:type="dxa"/>
            <w:noWrap w:val="0"/>
            <w:vAlign w:val="center"/>
          </w:tcPr>
          <w:p w14:paraId="16DC5100">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9" w:type="dxa"/>
            <w:noWrap w:val="0"/>
            <w:vAlign w:val="center"/>
          </w:tcPr>
          <w:p w14:paraId="748632E3">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58" w:type="dxa"/>
            <w:noWrap w:val="0"/>
            <w:vAlign w:val="center"/>
          </w:tcPr>
          <w:p w14:paraId="0FD3A72B">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54" w:type="dxa"/>
            <w:noWrap w:val="0"/>
            <w:vAlign w:val="center"/>
          </w:tcPr>
          <w:p w14:paraId="0A9D135E">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854" w:type="dxa"/>
            <w:noWrap w:val="0"/>
            <w:vAlign w:val="center"/>
          </w:tcPr>
          <w:p w14:paraId="6FFE4DC4">
            <w:pPr>
              <w:keepNext w:val="0"/>
              <w:keepLines w:val="0"/>
              <w:suppressLineNumbers w:val="0"/>
              <w:spacing w:before="0" w:beforeAutospacing="0" w:after="0" w:afterAutospacing="0"/>
              <w:ind w:left="0" w:right="0"/>
              <w:jc w:val="center"/>
              <w:rPr>
                <w:rFonts w:hint="eastAsia"/>
                <w:color w:val="auto"/>
                <w:sz w:val="22"/>
                <w:szCs w:val="22"/>
                <w:highlight w:val="none"/>
              </w:rPr>
            </w:pPr>
          </w:p>
        </w:tc>
      </w:tr>
      <w:tr w14:paraId="12122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4" w:type="dxa"/>
            <w:noWrap w:val="0"/>
            <w:vAlign w:val="center"/>
          </w:tcPr>
          <w:p w14:paraId="6BCB56D1">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9" w:type="dxa"/>
            <w:noWrap w:val="0"/>
            <w:vAlign w:val="center"/>
          </w:tcPr>
          <w:p w14:paraId="221A4017">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824" w:type="dxa"/>
            <w:noWrap w:val="0"/>
            <w:vAlign w:val="center"/>
          </w:tcPr>
          <w:p w14:paraId="2FC75E2C">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8" w:type="dxa"/>
            <w:noWrap w:val="0"/>
            <w:vAlign w:val="center"/>
          </w:tcPr>
          <w:p w14:paraId="053D7538">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9" w:type="dxa"/>
            <w:noWrap w:val="0"/>
            <w:vAlign w:val="center"/>
          </w:tcPr>
          <w:p w14:paraId="6AA4B1F4">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58" w:type="dxa"/>
            <w:noWrap w:val="0"/>
            <w:vAlign w:val="center"/>
          </w:tcPr>
          <w:p w14:paraId="187AB168">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54" w:type="dxa"/>
            <w:noWrap w:val="0"/>
            <w:vAlign w:val="center"/>
          </w:tcPr>
          <w:p w14:paraId="0043B453">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854" w:type="dxa"/>
            <w:noWrap w:val="0"/>
            <w:vAlign w:val="center"/>
          </w:tcPr>
          <w:p w14:paraId="2D7139FE">
            <w:pPr>
              <w:keepNext w:val="0"/>
              <w:keepLines w:val="0"/>
              <w:suppressLineNumbers w:val="0"/>
              <w:spacing w:before="0" w:beforeAutospacing="0" w:after="0" w:afterAutospacing="0"/>
              <w:ind w:left="0" w:right="0"/>
              <w:jc w:val="center"/>
              <w:rPr>
                <w:rFonts w:hint="eastAsia"/>
                <w:color w:val="auto"/>
                <w:sz w:val="22"/>
                <w:szCs w:val="22"/>
                <w:highlight w:val="none"/>
              </w:rPr>
            </w:pPr>
          </w:p>
        </w:tc>
      </w:tr>
      <w:tr w14:paraId="158C3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4" w:type="dxa"/>
            <w:noWrap w:val="0"/>
            <w:vAlign w:val="center"/>
          </w:tcPr>
          <w:p w14:paraId="62F2AD66">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9" w:type="dxa"/>
            <w:noWrap w:val="0"/>
            <w:vAlign w:val="center"/>
          </w:tcPr>
          <w:p w14:paraId="56159186">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824" w:type="dxa"/>
            <w:noWrap w:val="0"/>
            <w:vAlign w:val="center"/>
          </w:tcPr>
          <w:p w14:paraId="4C043D7D">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8" w:type="dxa"/>
            <w:noWrap w:val="0"/>
            <w:vAlign w:val="center"/>
          </w:tcPr>
          <w:p w14:paraId="4701A4B8">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9" w:type="dxa"/>
            <w:noWrap w:val="0"/>
            <w:vAlign w:val="center"/>
          </w:tcPr>
          <w:p w14:paraId="20227FEA">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58" w:type="dxa"/>
            <w:noWrap w:val="0"/>
            <w:vAlign w:val="center"/>
          </w:tcPr>
          <w:p w14:paraId="2FFE0F9E">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54" w:type="dxa"/>
            <w:noWrap w:val="0"/>
            <w:vAlign w:val="center"/>
          </w:tcPr>
          <w:p w14:paraId="36184160">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854" w:type="dxa"/>
            <w:noWrap w:val="0"/>
            <w:vAlign w:val="center"/>
          </w:tcPr>
          <w:p w14:paraId="78DD3956">
            <w:pPr>
              <w:keepNext w:val="0"/>
              <w:keepLines w:val="0"/>
              <w:suppressLineNumbers w:val="0"/>
              <w:spacing w:before="0" w:beforeAutospacing="0" w:after="0" w:afterAutospacing="0"/>
              <w:ind w:left="0" w:right="0"/>
              <w:jc w:val="center"/>
              <w:rPr>
                <w:rFonts w:hint="eastAsia"/>
                <w:color w:val="auto"/>
                <w:sz w:val="22"/>
                <w:szCs w:val="22"/>
                <w:highlight w:val="none"/>
              </w:rPr>
            </w:pPr>
          </w:p>
        </w:tc>
      </w:tr>
      <w:tr w14:paraId="0F52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4" w:type="dxa"/>
            <w:noWrap w:val="0"/>
            <w:vAlign w:val="center"/>
          </w:tcPr>
          <w:p w14:paraId="0A52270B">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9" w:type="dxa"/>
            <w:noWrap w:val="0"/>
            <w:vAlign w:val="center"/>
          </w:tcPr>
          <w:p w14:paraId="76ACD1F8">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824" w:type="dxa"/>
            <w:noWrap w:val="0"/>
            <w:vAlign w:val="center"/>
          </w:tcPr>
          <w:p w14:paraId="71CBF980">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8" w:type="dxa"/>
            <w:noWrap w:val="0"/>
            <w:vAlign w:val="center"/>
          </w:tcPr>
          <w:p w14:paraId="62EDDCDB">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9" w:type="dxa"/>
            <w:noWrap w:val="0"/>
            <w:vAlign w:val="center"/>
          </w:tcPr>
          <w:p w14:paraId="7EB16CF0">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58" w:type="dxa"/>
            <w:noWrap w:val="0"/>
            <w:vAlign w:val="center"/>
          </w:tcPr>
          <w:p w14:paraId="21082E8D">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54" w:type="dxa"/>
            <w:noWrap w:val="0"/>
            <w:vAlign w:val="center"/>
          </w:tcPr>
          <w:p w14:paraId="515F00A2">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854" w:type="dxa"/>
            <w:noWrap w:val="0"/>
            <w:vAlign w:val="center"/>
          </w:tcPr>
          <w:p w14:paraId="3A84CB35">
            <w:pPr>
              <w:keepNext w:val="0"/>
              <w:keepLines w:val="0"/>
              <w:suppressLineNumbers w:val="0"/>
              <w:spacing w:before="0" w:beforeAutospacing="0" w:after="0" w:afterAutospacing="0"/>
              <w:ind w:left="0" w:right="0"/>
              <w:jc w:val="center"/>
              <w:rPr>
                <w:rFonts w:hint="eastAsia"/>
                <w:color w:val="auto"/>
                <w:sz w:val="22"/>
                <w:szCs w:val="22"/>
                <w:highlight w:val="none"/>
              </w:rPr>
            </w:pPr>
          </w:p>
        </w:tc>
      </w:tr>
      <w:tr w14:paraId="3EF9F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4" w:type="dxa"/>
            <w:noWrap w:val="0"/>
            <w:vAlign w:val="center"/>
          </w:tcPr>
          <w:p w14:paraId="6135C61D">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9" w:type="dxa"/>
            <w:noWrap w:val="0"/>
            <w:vAlign w:val="center"/>
          </w:tcPr>
          <w:p w14:paraId="22A1F078">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824" w:type="dxa"/>
            <w:noWrap w:val="0"/>
            <w:vAlign w:val="center"/>
          </w:tcPr>
          <w:p w14:paraId="1231D465">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8" w:type="dxa"/>
            <w:noWrap w:val="0"/>
            <w:vAlign w:val="center"/>
          </w:tcPr>
          <w:p w14:paraId="78E183F7">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9" w:type="dxa"/>
            <w:noWrap w:val="0"/>
            <w:vAlign w:val="center"/>
          </w:tcPr>
          <w:p w14:paraId="7720FE10">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58" w:type="dxa"/>
            <w:noWrap w:val="0"/>
            <w:vAlign w:val="center"/>
          </w:tcPr>
          <w:p w14:paraId="4E8AB586">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54" w:type="dxa"/>
            <w:noWrap w:val="0"/>
            <w:vAlign w:val="center"/>
          </w:tcPr>
          <w:p w14:paraId="4CF08248">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854" w:type="dxa"/>
            <w:noWrap w:val="0"/>
            <w:vAlign w:val="center"/>
          </w:tcPr>
          <w:p w14:paraId="24F955FA">
            <w:pPr>
              <w:keepNext w:val="0"/>
              <w:keepLines w:val="0"/>
              <w:suppressLineNumbers w:val="0"/>
              <w:spacing w:before="0" w:beforeAutospacing="0" w:after="0" w:afterAutospacing="0"/>
              <w:ind w:left="0" w:right="0"/>
              <w:jc w:val="center"/>
              <w:rPr>
                <w:rFonts w:hint="eastAsia"/>
                <w:color w:val="auto"/>
                <w:sz w:val="22"/>
                <w:szCs w:val="22"/>
                <w:highlight w:val="none"/>
              </w:rPr>
            </w:pPr>
          </w:p>
        </w:tc>
      </w:tr>
      <w:tr w14:paraId="6B70C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24" w:type="dxa"/>
            <w:noWrap w:val="0"/>
            <w:vAlign w:val="center"/>
          </w:tcPr>
          <w:p w14:paraId="089B58DC">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9" w:type="dxa"/>
            <w:noWrap w:val="0"/>
            <w:vAlign w:val="center"/>
          </w:tcPr>
          <w:p w14:paraId="790A772D">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824" w:type="dxa"/>
            <w:noWrap w:val="0"/>
            <w:vAlign w:val="center"/>
          </w:tcPr>
          <w:p w14:paraId="596B632E">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8" w:type="dxa"/>
            <w:noWrap w:val="0"/>
            <w:vAlign w:val="center"/>
          </w:tcPr>
          <w:p w14:paraId="34CAA94F">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9" w:type="dxa"/>
            <w:noWrap w:val="0"/>
            <w:vAlign w:val="center"/>
          </w:tcPr>
          <w:p w14:paraId="0C9EEEF4">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58" w:type="dxa"/>
            <w:noWrap w:val="0"/>
            <w:vAlign w:val="center"/>
          </w:tcPr>
          <w:p w14:paraId="73F17F5D">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54" w:type="dxa"/>
            <w:noWrap w:val="0"/>
            <w:vAlign w:val="center"/>
          </w:tcPr>
          <w:p w14:paraId="7FAEECEE">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854" w:type="dxa"/>
            <w:noWrap w:val="0"/>
            <w:vAlign w:val="center"/>
          </w:tcPr>
          <w:p w14:paraId="0F5890F3">
            <w:pPr>
              <w:keepNext w:val="0"/>
              <w:keepLines w:val="0"/>
              <w:suppressLineNumbers w:val="0"/>
              <w:spacing w:before="0" w:beforeAutospacing="0" w:after="0" w:afterAutospacing="0"/>
              <w:ind w:left="0" w:right="0"/>
              <w:jc w:val="center"/>
              <w:rPr>
                <w:rFonts w:hint="eastAsia"/>
                <w:color w:val="auto"/>
                <w:sz w:val="22"/>
                <w:szCs w:val="22"/>
                <w:highlight w:val="none"/>
              </w:rPr>
            </w:pPr>
          </w:p>
        </w:tc>
      </w:tr>
    </w:tbl>
    <w:p w14:paraId="62DF94D2">
      <w:pPr>
        <w:spacing w:line="360" w:lineRule="auto"/>
        <w:rPr>
          <w:rFonts w:hint="eastAsia" w:ascii="宋体" w:hAnsi="宋体" w:eastAsia="宋体" w:cs="宋体"/>
          <w:bCs/>
          <w:color w:val="auto"/>
          <w:sz w:val="22"/>
          <w:szCs w:val="22"/>
          <w:highlight w:val="none"/>
        </w:rPr>
      </w:pPr>
    </w:p>
    <w:p w14:paraId="263FF4A2">
      <w:pPr>
        <w:spacing w:line="360"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注：附项目组成人员</w:t>
      </w:r>
      <w:r>
        <w:rPr>
          <w:rFonts w:hint="eastAsia" w:ascii="宋体" w:hAnsi="宋体" w:eastAsia="宋体" w:cs="宋体"/>
          <w:bCs/>
          <w:color w:val="auto"/>
          <w:sz w:val="22"/>
          <w:szCs w:val="22"/>
          <w:highlight w:val="none"/>
          <w:lang w:eastAsia="zh-CN"/>
        </w:rPr>
        <w:t>身份证、职业资格或职称证书</w:t>
      </w:r>
      <w:r>
        <w:rPr>
          <w:rFonts w:hint="eastAsia" w:ascii="宋体" w:hAnsi="宋体" w:eastAsia="宋体" w:cs="宋体"/>
          <w:bCs/>
          <w:color w:val="auto"/>
          <w:sz w:val="22"/>
          <w:szCs w:val="22"/>
          <w:highlight w:val="none"/>
        </w:rPr>
        <w:t>复印件加盖公司印章。</w:t>
      </w:r>
    </w:p>
    <w:p w14:paraId="03DD9C34">
      <w:pPr>
        <w:spacing w:line="400" w:lineRule="atLeast"/>
        <w:rPr>
          <w:rFonts w:hint="eastAsia" w:ascii="宋体" w:hAnsi="宋体" w:eastAsia="宋体" w:cs="宋体"/>
          <w:color w:val="auto"/>
          <w:sz w:val="22"/>
          <w:szCs w:val="22"/>
          <w:highlight w:val="none"/>
        </w:rPr>
      </w:pPr>
    </w:p>
    <w:p w14:paraId="7A21D489">
      <w:pPr>
        <w:spacing w:line="400" w:lineRule="atLeast"/>
        <w:rPr>
          <w:rFonts w:hint="eastAsia" w:ascii="宋体" w:hAnsi="宋体" w:eastAsia="宋体" w:cs="宋体"/>
          <w:color w:val="auto"/>
          <w:sz w:val="22"/>
          <w:szCs w:val="22"/>
          <w:highlight w:val="none"/>
        </w:rPr>
      </w:pPr>
    </w:p>
    <w:p w14:paraId="682D7B28">
      <w:pPr>
        <w:spacing w:line="500" w:lineRule="exact"/>
        <w:ind w:right="-159" w:firstLine="2420" w:firstLineChars="1100"/>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投标人</w:t>
      </w:r>
      <w:r>
        <w:rPr>
          <w:rFonts w:hint="eastAsia" w:ascii="宋体" w:hAnsi="宋体" w:eastAsia="宋体" w:cs="宋体"/>
          <w:color w:val="auto"/>
          <w:sz w:val="22"/>
          <w:szCs w:val="22"/>
          <w:highlight w:val="none"/>
        </w:rPr>
        <w:t>名称：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（公章）</w:t>
      </w:r>
    </w:p>
    <w:p w14:paraId="3F1A4480">
      <w:pPr>
        <w:spacing w:line="500" w:lineRule="exact"/>
        <w:ind w:right="-159" w:firstLine="2420" w:firstLineChars="1100"/>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（盖章/签字）</w:t>
      </w:r>
    </w:p>
    <w:p w14:paraId="65F75935">
      <w:pPr>
        <w:spacing w:line="50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      期：</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b/>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b/>
          <w:color w:val="auto"/>
          <w:sz w:val="22"/>
          <w:szCs w:val="22"/>
          <w:highlight w:val="none"/>
          <w:u w:val="single"/>
        </w:rPr>
        <w:t xml:space="preserve">   </w:t>
      </w:r>
      <w:r>
        <w:rPr>
          <w:rFonts w:hint="eastAsia" w:ascii="宋体" w:hAnsi="宋体" w:eastAsia="宋体" w:cs="宋体"/>
          <w:color w:val="auto"/>
          <w:sz w:val="22"/>
          <w:szCs w:val="22"/>
          <w:highlight w:val="none"/>
        </w:rPr>
        <w:t>日</w:t>
      </w:r>
    </w:p>
    <w:p w14:paraId="29F3596E">
      <w:pPr>
        <w:rPr>
          <w:rFonts w:hint="eastAsia" w:ascii="宋体" w:hAnsi="宋体" w:eastAsia="宋体" w:cs="宋体"/>
          <w:color w:val="auto"/>
          <w:highlight w:val="none"/>
          <w:lang w:val="en-US" w:eastAsia="zh-CN"/>
        </w:rPr>
      </w:pPr>
    </w:p>
    <w:p w14:paraId="521D56F6">
      <w:pPr>
        <w:pStyle w:val="10"/>
        <w:rPr>
          <w:rFonts w:hint="eastAsia" w:ascii="宋体" w:hAnsi="宋体" w:eastAsia="宋体" w:cs="宋体"/>
          <w:color w:val="auto"/>
          <w:highlight w:val="none"/>
          <w:lang w:val="en-US" w:eastAsia="zh-CN"/>
        </w:rPr>
      </w:pPr>
    </w:p>
    <w:p w14:paraId="0773EAE0">
      <w:pPr>
        <w:rPr>
          <w:rFonts w:hint="eastAsia" w:ascii="宋体" w:hAnsi="宋体" w:eastAsia="宋体" w:cs="宋体"/>
          <w:color w:val="auto"/>
          <w:highlight w:val="none"/>
          <w:lang w:val="en-US" w:eastAsia="zh-CN"/>
        </w:rPr>
      </w:pPr>
    </w:p>
    <w:p w14:paraId="1559EB83">
      <w:pPr>
        <w:pStyle w:val="10"/>
        <w:rPr>
          <w:rFonts w:hint="eastAsia" w:ascii="宋体" w:hAnsi="宋体" w:eastAsia="宋体" w:cs="宋体"/>
          <w:color w:val="auto"/>
          <w:highlight w:val="none"/>
          <w:lang w:val="en-US" w:eastAsia="zh-CN"/>
        </w:rPr>
      </w:pPr>
    </w:p>
    <w:p w14:paraId="1CF6C2C6">
      <w:pPr>
        <w:rPr>
          <w:rFonts w:hint="eastAsia" w:ascii="宋体" w:hAnsi="宋体" w:eastAsia="宋体" w:cs="宋体"/>
          <w:color w:val="auto"/>
          <w:highlight w:val="none"/>
          <w:lang w:val="en-US" w:eastAsia="zh-CN"/>
        </w:rPr>
      </w:pPr>
    </w:p>
    <w:p w14:paraId="0A7B2FBA">
      <w:pPr>
        <w:pStyle w:val="10"/>
        <w:rPr>
          <w:rFonts w:hint="eastAsia" w:ascii="宋体" w:hAnsi="宋体" w:eastAsia="宋体" w:cs="宋体"/>
          <w:color w:val="auto"/>
          <w:highlight w:val="none"/>
          <w:lang w:val="en-US" w:eastAsia="zh-CN"/>
        </w:rPr>
      </w:pPr>
    </w:p>
    <w:p w14:paraId="07622B84">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ascii="宋体" w:hAnsi="宋体"/>
          <w:b/>
          <w:color w:val="auto"/>
          <w:sz w:val="22"/>
          <w:szCs w:val="22"/>
          <w:highlight w:val="none"/>
        </w:rPr>
      </w:pPr>
      <w:bookmarkStart w:id="245" w:name="_Toc1449"/>
      <w:r>
        <w:rPr>
          <w:rFonts w:hint="eastAsia"/>
          <w:b/>
          <w:bCs/>
          <w:color w:val="auto"/>
          <w:sz w:val="22"/>
          <w:szCs w:val="22"/>
          <w:highlight w:val="none"/>
          <w:lang w:eastAsia="zh-CN"/>
        </w:rPr>
        <w:t>附件</w:t>
      </w:r>
      <w:r>
        <w:rPr>
          <w:rFonts w:hint="eastAsia"/>
          <w:b/>
          <w:bCs/>
          <w:color w:val="auto"/>
          <w:sz w:val="22"/>
          <w:szCs w:val="22"/>
          <w:highlight w:val="none"/>
          <w:lang w:val="en-US" w:eastAsia="zh-CN"/>
        </w:rPr>
        <w:t xml:space="preserve">2 </w:t>
      </w:r>
      <w:r>
        <w:rPr>
          <w:rFonts w:hint="eastAsia"/>
          <w:b/>
          <w:bCs/>
          <w:color w:val="auto"/>
          <w:sz w:val="22"/>
          <w:szCs w:val="22"/>
          <w:highlight w:val="none"/>
        </w:rPr>
        <w:t>本项目的</w:t>
      </w:r>
      <w:r>
        <w:rPr>
          <w:rFonts w:hint="eastAsia"/>
          <w:b/>
          <w:bCs/>
          <w:color w:val="auto"/>
          <w:sz w:val="22"/>
          <w:szCs w:val="22"/>
          <w:highlight w:val="none"/>
          <w:lang w:val="en-US" w:eastAsia="zh-CN"/>
        </w:rPr>
        <w:t>项目负责人</w:t>
      </w:r>
      <w:r>
        <w:rPr>
          <w:rFonts w:hint="eastAsia"/>
          <w:b/>
          <w:bCs/>
          <w:color w:val="auto"/>
          <w:sz w:val="22"/>
          <w:szCs w:val="22"/>
          <w:highlight w:val="none"/>
        </w:rPr>
        <w:t>简历表</w:t>
      </w:r>
      <w:bookmarkEnd w:id="245"/>
    </w:p>
    <w:tbl>
      <w:tblPr>
        <w:tblStyle w:val="25"/>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37"/>
        <w:gridCol w:w="1252"/>
        <w:gridCol w:w="1127"/>
        <w:gridCol w:w="1094"/>
        <w:gridCol w:w="769"/>
        <w:gridCol w:w="580"/>
        <w:gridCol w:w="2428"/>
      </w:tblGrid>
      <w:tr w14:paraId="20E31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2037" w:type="dxa"/>
            <w:noWrap w:val="0"/>
            <w:tcMar>
              <w:top w:w="0" w:type="dxa"/>
              <w:left w:w="108" w:type="dxa"/>
              <w:bottom w:w="0" w:type="dxa"/>
              <w:right w:w="108" w:type="dxa"/>
            </w:tcMar>
            <w:vAlign w:val="center"/>
          </w:tcPr>
          <w:p w14:paraId="1CE685E2">
            <w:pPr>
              <w:keepNext w:val="0"/>
              <w:keepLines w:val="0"/>
              <w:widowControl/>
              <w:suppressLineNumbers w:val="0"/>
              <w:spacing w:before="0" w:beforeAutospacing="0" w:after="0" w:afterAutospacing="0"/>
              <w:ind w:left="0" w:right="0"/>
              <w:jc w:val="center"/>
              <w:rPr>
                <w:rFonts w:hint="default" w:ascii="宋体" w:hAnsi="宋体"/>
                <w:color w:val="auto"/>
                <w:kern w:val="0"/>
                <w:sz w:val="22"/>
                <w:szCs w:val="22"/>
                <w:highlight w:val="none"/>
              </w:rPr>
            </w:pPr>
            <w:r>
              <w:rPr>
                <w:rFonts w:hint="eastAsia" w:ascii="宋体" w:hAnsi="宋体"/>
                <w:color w:val="auto"/>
                <w:kern w:val="0"/>
                <w:sz w:val="22"/>
                <w:szCs w:val="22"/>
                <w:highlight w:val="none"/>
              </w:rPr>
              <w:t>姓 名</w:t>
            </w:r>
          </w:p>
        </w:tc>
        <w:tc>
          <w:tcPr>
            <w:tcW w:w="1252" w:type="dxa"/>
            <w:noWrap w:val="0"/>
            <w:tcMar>
              <w:top w:w="0" w:type="dxa"/>
              <w:left w:w="108" w:type="dxa"/>
              <w:bottom w:w="0" w:type="dxa"/>
              <w:right w:w="108" w:type="dxa"/>
            </w:tcMar>
            <w:vAlign w:val="center"/>
          </w:tcPr>
          <w:p w14:paraId="7A3EE3F8">
            <w:pPr>
              <w:keepNext w:val="0"/>
              <w:keepLines w:val="0"/>
              <w:widowControl/>
              <w:suppressLineNumbers w:val="0"/>
              <w:spacing w:before="0" w:beforeAutospacing="0" w:after="0" w:afterAutospacing="0"/>
              <w:ind w:left="0" w:right="0"/>
              <w:jc w:val="center"/>
              <w:rPr>
                <w:rFonts w:hint="default" w:ascii="宋体" w:hAnsi="宋体"/>
                <w:color w:val="auto"/>
                <w:kern w:val="0"/>
                <w:sz w:val="22"/>
                <w:szCs w:val="22"/>
                <w:highlight w:val="none"/>
              </w:rPr>
            </w:pPr>
          </w:p>
        </w:tc>
        <w:tc>
          <w:tcPr>
            <w:tcW w:w="1127" w:type="dxa"/>
            <w:noWrap w:val="0"/>
            <w:tcMar>
              <w:top w:w="0" w:type="dxa"/>
              <w:left w:w="108" w:type="dxa"/>
              <w:bottom w:w="0" w:type="dxa"/>
              <w:right w:w="108" w:type="dxa"/>
            </w:tcMar>
            <w:vAlign w:val="center"/>
          </w:tcPr>
          <w:p w14:paraId="563710FE">
            <w:pPr>
              <w:keepNext w:val="0"/>
              <w:keepLines w:val="0"/>
              <w:widowControl/>
              <w:suppressLineNumbers w:val="0"/>
              <w:spacing w:before="0" w:beforeAutospacing="0" w:after="0" w:afterAutospacing="0"/>
              <w:ind w:left="0" w:right="0"/>
              <w:jc w:val="center"/>
              <w:rPr>
                <w:rFonts w:hint="default" w:ascii="宋体" w:hAnsi="宋体"/>
                <w:color w:val="auto"/>
                <w:kern w:val="0"/>
                <w:sz w:val="22"/>
                <w:szCs w:val="22"/>
                <w:highlight w:val="none"/>
              </w:rPr>
            </w:pPr>
            <w:r>
              <w:rPr>
                <w:rFonts w:hint="eastAsia" w:ascii="宋体" w:hAnsi="宋体"/>
                <w:color w:val="auto"/>
                <w:kern w:val="0"/>
                <w:sz w:val="22"/>
                <w:szCs w:val="22"/>
                <w:highlight w:val="none"/>
              </w:rPr>
              <w:t>性别</w:t>
            </w:r>
          </w:p>
        </w:tc>
        <w:tc>
          <w:tcPr>
            <w:tcW w:w="1094" w:type="dxa"/>
            <w:noWrap w:val="0"/>
            <w:tcMar>
              <w:top w:w="0" w:type="dxa"/>
              <w:left w:w="108" w:type="dxa"/>
              <w:bottom w:w="0" w:type="dxa"/>
              <w:right w:w="108" w:type="dxa"/>
            </w:tcMar>
            <w:vAlign w:val="center"/>
          </w:tcPr>
          <w:p w14:paraId="205D971A">
            <w:pPr>
              <w:keepNext w:val="0"/>
              <w:keepLines w:val="0"/>
              <w:widowControl/>
              <w:suppressLineNumbers w:val="0"/>
              <w:spacing w:before="0" w:beforeAutospacing="0" w:after="0" w:afterAutospacing="0"/>
              <w:ind w:left="0" w:right="0"/>
              <w:jc w:val="center"/>
              <w:rPr>
                <w:rFonts w:hint="default" w:ascii="宋体" w:hAnsi="宋体"/>
                <w:color w:val="auto"/>
                <w:kern w:val="0"/>
                <w:sz w:val="22"/>
                <w:szCs w:val="22"/>
                <w:highlight w:val="none"/>
              </w:rPr>
            </w:pPr>
          </w:p>
        </w:tc>
        <w:tc>
          <w:tcPr>
            <w:tcW w:w="1349" w:type="dxa"/>
            <w:gridSpan w:val="2"/>
            <w:noWrap w:val="0"/>
            <w:tcMar>
              <w:top w:w="0" w:type="dxa"/>
              <w:left w:w="108" w:type="dxa"/>
              <w:bottom w:w="0" w:type="dxa"/>
              <w:right w:w="108" w:type="dxa"/>
            </w:tcMar>
            <w:vAlign w:val="center"/>
          </w:tcPr>
          <w:p w14:paraId="43AAF1AD">
            <w:pPr>
              <w:keepNext w:val="0"/>
              <w:keepLines w:val="0"/>
              <w:widowControl/>
              <w:suppressLineNumbers w:val="0"/>
              <w:spacing w:before="0" w:beforeAutospacing="0" w:after="0" w:afterAutospacing="0"/>
              <w:ind w:left="0" w:right="0"/>
              <w:jc w:val="center"/>
              <w:rPr>
                <w:rFonts w:hint="default" w:ascii="宋体" w:hAnsi="宋体"/>
                <w:color w:val="auto"/>
                <w:kern w:val="0"/>
                <w:sz w:val="22"/>
                <w:szCs w:val="22"/>
                <w:highlight w:val="none"/>
              </w:rPr>
            </w:pPr>
            <w:r>
              <w:rPr>
                <w:rFonts w:hint="eastAsia" w:ascii="宋体" w:hAnsi="宋体"/>
                <w:color w:val="auto"/>
                <w:kern w:val="0"/>
                <w:sz w:val="22"/>
                <w:szCs w:val="22"/>
                <w:highlight w:val="none"/>
              </w:rPr>
              <w:t>出生日期</w:t>
            </w:r>
          </w:p>
        </w:tc>
        <w:tc>
          <w:tcPr>
            <w:tcW w:w="2428" w:type="dxa"/>
            <w:noWrap w:val="0"/>
            <w:tcMar>
              <w:top w:w="0" w:type="dxa"/>
              <w:left w:w="108" w:type="dxa"/>
              <w:bottom w:w="0" w:type="dxa"/>
              <w:right w:w="108" w:type="dxa"/>
            </w:tcMar>
            <w:vAlign w:val="center"/>
          </w:tcPr>
          <w:p w14:paraId="2560F9F2">
            <w:pPr>
              <w:keepNext w:val="0"/>
              <w:keepLines w:val="0"/>
              <w:widowControl/>
              <w:suppressLineNumbers w:val="0"/>
              <w:spacing w:before="0" w:beforeAutospacing="0" w:after="0" w:afterAutospacing="0"/>
              <w:ind w:left="0" w:right="0"/>
              <w:jc w:val="center"/>
              <w:rPr>
                <w:rFonts w:hint="default" w:ascii="宋体" w:hAnsi="宋体"/>
                <w:color w:val="auto"/>
                <w:kern w:val="0"/>
                <w:sz w:val="22"/>
                <w:szCs w:val="22"/>
                <w:highlight w:val="none"/>
              </w:rPr>
            </w:pPr>
            <w:r>
              <w:rPr>
                <w:rFonts w:hint="eastAsia" w:ascii="宋体" w:hAnsi="宋体"/>
                <w:color w:val="auto"/>
                <w:kern w:val="0"/>
                <w:sz w:val="22"/>
                <w:szCs w:val="22"/>
                <w:highlight w:val="none"/>
              </w:rPr>
              <w:t>年 月 日</w:t>
            </w:r>
          </w:p>
        </w:tc>
      </w:tr>
      <w:tr w14:paraId="138BA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2037" w:type="dxa"/>
            <w:noWrap w:val="0"/>
            <w:tcMar>
              <w:top w:w="0" w:type="dxa"/>
              <w:left w:w="108" w:type="dxa"/>
              <w:bottom w:w="0" w:type="dxa"/>
              <w:right w:w="108" w:type="dxa"/>
            </w:tcMar>
            <w:vAlign w:val="center"/>
          </w:tcPr>
          <w:p w14:paraId="087A88C1">
            <w:pPr>
              <w:keepNext w:val="0"/>
              <w:keepLines w:val="0"/>
              <w:widowControl/>
              <w:suppressLineNumbers w:val="0"/>
              <w:spacing w:before="0" w:beforeAutospacing="0" w:after="0" w:afterAutospacing="0"/>
              <w:ind w:left="0" w:right="0"/>
              <w:jc w:val="center"/>
              <w:rPr>
                <w:rFonts w:hint="default" w:ascii="宋体" w:hAnsi="宋体"/>
                <w:color w:val="auto"/>
                <w:kern w:val="0"/>
                <w:sz w:val="22"/>
                <w:szCs w:val="22"/>
                <w:highlight w:val="none"/>
              </w:rPr>
            </w:pPr>
            <w:r>
              <w:rPr>
                <w:rFonts w:hint="eastAsia" w:ascii="宋体" w:hAnsi="宋体"/>
                <w:color w:val="auto"/>
                <w:kern w:val="0"/>
                <w:sz w:val="22"/>
                <w:szCs w:val="22"/>
                <w:highlight w:val="none"/>
              </w:rPr>
              <w:t>毕业院校专业</w:t>
            </w:r>
          </w:p>
        </w:tc>
        <w:tc>
          <w:tcPr>
            <w:tcW w:w="3473" w:type="dxa"/>
            <w:gridSpan w:val="3"/>
            <w:noWrap w:val="0"/>
            <w:tcMar>
              <w:top w:w="0" w:type="dxa"/>
              <w:left w:w="108" w:type="dxa"/>
              <w:bottom w:w="0" w:type="dxa"/>
              <w:right w:w="108" w:type="dxa"/>
            </w:tcMar>
            <w:vAlign w:val="center"/>
          </w:tcPr>
          <w:p w14:paraId="12ED6ECD">
            <w:pPr>
              <w:keepNext w:val="0"/>
              <w:keepLines w:val="0"/>
              <w:widowControl/>
              <w:suppressLineNumbers w:val="0"/>
              <w:spacing w:before="0" w:beforeAutospacing="0" w:after="0" w:afterAutospacing="0"/>
              <w:ind w:left="0" w:right="0"/>
              <w:jc w:val="center"/>
              <w:rPr>
                <w:rFonts w:hint="default" w:ascii="宋体" w:hAnsi="宋体"/>
                <w:color w:val="auto"/>
                <w:kern w:val="0"/>
                <w:sz w:val="22"/>
                <w:szCs w:val="22"/>
                <w:highlight w:val="none"/>
              </w:rPr>
            </w:pPr>
          </w:p>
        </w:tc>
        <w:tc>
          <w:tcPr>
            <w:tcW w:w="1349" w:type="dxa"/>
            <w:gridSpan w:val="2"/>
            <w:noWrap w:val="0"/>
            <w:tcMar>
              <w:top w:w="0" w:type="dxa"/>
              <w:left w:w="108" w:type="dxa"/>
              <w:bottom w:w="0" w:type="dxa"/>
              <w:right w:w="108" w:type="dxa"/>
            </w:tcMar>
            <w:vAlign w:val="center"/>
          </w:tcPr>
          <w:p w14:paraId="5BD78E6C">
            <w:pPr>
              <w:keepNext w:val="0"/>
              <w:keepLines w:val="0"/>
              <w:widowControl/>
              <w:suppressLineNumbers w:val="0"/>
              <w:spacing w:before="0" w:beforeAutospacing="0" w:after="0" w:afterAutospacing="0"/>
              <w:ind w:left="0" w:right="0"/>
              <w:jc w:val="center"/>
              <w:rPr>
                <w:rFonts w:hint="default" w:ascii="宋体" w:hAnsi="宋体"/>
                <w:color w:val="auto"/>
                <w:kern w:val="0"/>
                <w:sz w:val="22"/>
                <w:szCs w:val="22"/>
                <w:highlight w:val="none"/>
              </w:rPr>
            </w:pPr>
            <w:r>
              <w:rPr>
                <w:rFonts w:hint="eastAsia" w:ascii="宋体" w:hAnsi="宋体"/>
                <w:color w:val="auto"/>
                <w:kern w:val="0"/>
                <w:sz w:val="22"/>
                <w:szCs w:val="22"/>
                <w:highlight w:val="none"/>
              </w:rPr>
              <w:t>毕业时间</w:t>
            </w:r>
          </w:p>
        </w:tc>
        <w:tc>
          <w:tcPr>
            <w:tcW w:w="2428" w:type="dxa"/>
            <w:noWrap w:val="0"/>
            <w:tcMar>
              <w:top w:w="0" w:type="dxa"/>
              <w:left w:w="108" w:type="dxa"/>
              <w:bottom w:w="0" w:type="dxa"/>
              <w:right w:w="108" w:type="dxa"/>
            </w:tcMar>
            <w:vAlign w:val="center"/>
          </w:tcPr>
          <w:p w14:paraId="65971DDD">
            <w:pPr>
              <w:keepNext w:val="0"/>
              <w:keepLines w:val="0"/>
              <w:widowControl/>
              <w:suppressLineNumbers w:val="0"/>
              <w:spacing w:before="0" w:beforeAutospacing="0" w:after="0" w:afterAutospacing="0"/>
              <w:ind w:left="0" w:right="0" w:firstLine="420"/>
              <w:rPr>
                <w:rFonts w:hint="default" w:ascii="宋体" w:hAnsi="宋体"/>
                <w:color w:val="auto"/>
                <w:kern w:val="0"/>
                <w:sz w:val="22"/>
                <w:szCs w:val="22"/>
                <w:highlight w:val="none"/>
              </w:rPr>
            </w:pPr>
            <w:r>
              <w:rPr>
                <w:rFonts w:hint="eastAsia" w:ascii="宋体" w:hAnsi="宋体"/>
                <w:color w:val="auto"/>
                <w:kern w:val="0"/>
                <w:sz w:val="22"/>
                <w:szCs w:val="22"/>
                <w:highlight w:val="none"/>
              </w:rPr>
              <w:t>年 月 日</w:t>
            </w:r>
          </w:p>
        </w:tc>
      </w:tr>
      <w:tr w14:paraId="2AD15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2037" w:type="dxa"/>
            <w:noWrap w:val="0"/>
            <w:tcMar>
              <w:top w:w="0" w:type="dxa"/>
              <w:left w:w="108" w:type="dxa"/>
              <w:bottom w:w="0" w:type="dxa"/>
              <w:right w:w="108" w:type="dxa"/>
            </w:tcMar>
            <w:vAlign w:val="center"/>
          </w:tcPr>
          <w:p w14:paraId="23667707">
            <w:pPr>
              <w:keepNext w:val="0"/>
              <w:keepLines w:val="0"/>
              <w:widowControl/>
              <w:suppressLineNumbers w:val="0"/>
              <w:spacing w:before="0" w:beforeAutospacing="0" w:after="0" w:afterAutospacing="0"/>
              <w:ind w:left="0" w:right="0"/>
              <w:jc w:val="center"/>
              <w:rPr>
                <w:rFonts w:hint="default" w:ascii="宋体" w:hAnsi="宋体"/>
                <w:color w:val="auto"/>
                <w:kern w:val="0"/>
                <w:sz w:val="22"/>
                <w:szCs w:val="22"/>
                <w:highlight w:val="none"/>
              </w:rPr>
            </w:pPr>
            <w:r>
              <w:rPr>
                <w:rFonts w:hint="eastAsia" w:ascii="宋体" w:hAnsi="宋体"/>
                <w:color w:val="auto"/>
                <w:kern w:val="0"/>
                <w:sz w:val="22"/>
                <w:szCs w:val="22"/>
                <w:highlight w:val="none"/>
              </w:rPr>
              <w:t>从事本专业时间</w:t>
            </w:r>
          </w:p>
        </w:tc>
        <w:tc>
          <w:tcPr>
            <w:tcW w:w="2379" w:type="dxa"/>
            <w:gridSpan w:val="2"/>
            <w:noWrap w:val="0"/>
            <w:tcMar>
              <w:top w:w="0" w:type="dxa"/>
              <w:left w:w="108" w:type="dxa"/>
              <w:bottom w:w="0" w:type="dxa"/>
              <w:right w:w="108" w:type="dxa"/>
            </w:tcMar>
            <w:vAlign w:val="center"/>
          </w:tcPr>
          <w:p w14:paraId="6E9D00B0">
            <w:pPr>
              <w:keepNext w:val="0"/>
              <w:keepLines w:val="0"/>
              <w:widowControl/>
              <w:suppressLineNumbers w:val="0"/>
              <w:spacing w:before="0" w:beforeAutospacing="0" w:after="0" w:afterAutospacing="0"/>
              <w:ind w:left="0" w:right="0"/>
              <w:jc w:val="center"/>
              <w:rPr>
                <w:rFonts w:hint="default" w:ascii="宋体" w:hAnsi="宋体"/>
                <w:color w:val="auto"/>
                <w:kern w:val="0"/>
                <w:sz w:val="22"/>
                <w:szCs w:val="22"/>
                <w:highlight w:val="none"/>
              </w:rPr>
            </w:pPr>
          </w:p>
        </w:tc>
        <w:tc>
          <w:tcPr>
            <w:tcW w:w="2443" w:type="dxa"/>
            <w:gridSpan w:val="3"/>
            <w:noWrap w:val="0"/>
            <w:tcMar>
              <w:top w:w="0" w:type="dxa"/>
              <w:left w:w="108" w:type="dxa"/>
              <w:bottom w:w="0" w:type="dxa"/>
              <w:right w:w="108" w:type="dxa"/>
            </w:tcMar>
            <w:vAlign w:val="center"/>
          </w:tcPr>
          <w:p w14:paraId="72648D5A">
            <w:pPr>
              <w:keepNext w:val="0"/>
              <w:keepLines w:val="0"/>
              <w:widowControl/>
              <w:suppressLineNumbers w:val="0"/>
              <w:spacing w:before="0" w:beforeAutospacing="0" w:after="0" w:afterAutospacing="0"/>
              <w:ind w:left="0" w:right="0"/>
              <w:jc w:val="center"/>
              <w:rPr>
                <w:rFonts w:hint="default" w:ascii="宋体" w:hAnsi="宋体"/>
                <w:color w:val="auto"/>
                <w:kern w:val="0"/>
                <w:sz w:val="22"/>
                <w:szCs w:val="22"/>
                <w:highlight w:val="none"/>
              </w:rPr>
            </w:pPr>
            <w:r>
              <w:rPr>
                <w:rFonts w:hint="eastAsia" w:ascii="宋体" w:hAnsi="宋体"/>
                <w:color w:val="auto"/>
                <w:kern w:val="0"/>
                <w:sz w:val="22"/>
                <w:szCs w:val="22"/>
                <w:highlight w:val="none"/>
              </w:rPr>
              <w:t>为申请人服务时间</w:t>
            </w:r>
          </w:p>
        </w:tc>
        <w:tc>
          <w:tcPr>
            <w:tcW w:w="2428" w:type="dxa"/>
            <w:noWrap w:val="0"/>
            <w:tcMar>
              <w:top w:w="0" w:type="dxa"/>
              <w:left w:w="108" w:type="dxa"/>
              <w:bottom w:w="0" w:type="dxa"/>
              <w:right w:w="108" w:type="dxa"/>
            </w:tcMar>
            <w:vAlign w:val="center"/>
          </w:tcPr>
          <w:p w14:paraId="60CC4F62">
            <w:pPr>
              <w:keepNext w:val="0"/>
              <w:keepLines w:val="0"/>
              <w:widowControl/>
              <w:suppressLineNumbers w:val="0"/>
              <w:spacing w:before="0" w:beforeAutospacing="0" w:after="0" w:afterAutospacing="0"/>
              <w:ind w:left="0" w:right="0"/>
              <w:jc w:val="center"/>
              <w:rPr>
                <w:rFonts w:hint="default" w:ascii="宋体" w:hAnsi="宋体"/>
                <w:color w:val="auto"/>
                <w:kern w:val="0"/>
                <w:sz w:val="22"/>
                <w:szCs w:val="22"/>
                <w:highlight w:val="none"/>
              </w:rPr>
            </w:pPr>
          </w:p>
        </w:tc>
      </w:tr>
      <w:tr w14:paraId="58969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2037" w:type="dxa"/>
            <w:noWrap w:val="0"/>
            <w:tcMar>
              <w:top w:w="0" w:type="dxa"/>
              <w:left w:w="108" w:type="dxa"/>
              <w:bottom w:w="0" w:type="dxa"/>
              <w:right w:w="108" w:type="dxa"/>
            </w:tcMar>
            <w:vAlign w:val="center"/>
          </w:tcPr>
          <w:p w14:paraId="7A081A8B">
            <w:pPr>
              <w:keepNext w:val="0"/>
              <w:keepLines w:val="0"/>
              <w:widowControl/>
              <w:suppressLineNumbers w:val="0"/>
              <w:spacing w:before="0" w:beforeAutospacing="0" w:after="0" w:afterAutospacing="0"/>
              <w:ind w:left="0" w:right="0"/>
              <w:jc w:val="center"/>
              <w:rPr>
                <w:rFonts w:hint="default" w:ascii="宋体" w:hAnsi="宋体"/>
                <w:color w:val="auto"/>
                <w:kern w:val="0"/>
                <w:sz w:val="22"/>
                <w:szCs w:val="22"/>
                <w:highlight w:val="none"/>
              </w:rPr>
            </w:pPr>
            <w:r>
              <w:rPr>
                <w:rFonts w:hint="eastAsia" w:ascii="宋体" w:hAnsi="宋体"/>
                <w:color w:val="auto"/>
                <w:kern w:val="0"/>
                <w:sz w:val="22"/>
                <w:szCs w:val="22"/>
                <w:highlight w:val="none"/>
              </w:rPr>
              <w:t>执业注册</w:t>
            </w:r>
          </w:p>
        </w:tc>
        <w:tc>
          <w:tcPr>
            <w:tcW w:w="2379" w:type="dxa"/>
            <w:gridSpan w:val="2"/>
            <w:noWrap w:val="0"/>
            <w:tcMar>
              <w:top w:w="0" w:type="dxa"/>
              <w:left w:w="108" w:type="dxa"/>
              <w:bottom w:w="0" w:type="dxa"/>
              <w:right w:w="108" w:type="dxa"/>
            </w:tcMar>
            <w:vAlign w:val="center"/>
          </w:tcPr>
          <w:p w14:paraId="0DE57798">
            <w:pPr>
              <w:keepNext w:val="0"/>
              <w:keepLines w:val="0"/>
              <w:widowControl/>
              <w:suppressLineNumbers w:val="0"/>
              <w:spacing w:before="0" w:beforeAutospacing="0" w:after="0" w:afterAutospacing="0"/>
              <w:ind w:left="0" w:right="0"/>
              <w:jc w:val="center"/>
              <w:rPr>
                <w:rFonts w:hint="default" w:ascii="宋体" w:hAnsi="宋体"/>
                <w:color w:val="auto"/>
                <w:kern w:val="0"/>
                <w:sz w:val="22"/>
                <w:szCs w:val="22"/>
                <w:highlight w:val="none"/>
              </w:rPr>
            </w:pPr>
          </w:p>
        </w:tc>
        <w:tc>
          <w:tcPr>
            <w:tcW w:w="2443" w:type="dxa"/>
            <w:gridSpan w:val="3"/>
            <w:noWrap w:val="0"/>
            <w:tcMar>
              <w:top w:w="0" w:type="dxa"/>
              <w:left w:w="108" w:type="dxa"/>
              <w:bottom w:w="0" w:type="dxa"/>
              <w:right w:w="108" w:type="dxa"/>
            </w:tcMar>
            <w:vAlign w:val="center"/>
          </w:tcPr>
          <w:p w14:paraId="0D930A59">
            <w:pPr>
              <w:keepNext w:val="0"/>
              <w:keepLines w:val="0"/>
              <w:widowControl/>
              <w:suppressLineNumbers w:val="0"/>
              <w:spacing w:before="0" w:beforeAutospacing="0" w:after="0" w:afterAutospacing="0"/>
              <w:ind w:left="0" w:right="0"/>
              <w:jc w:val="center"/>
              <w:rPr>
                <w:rFonts w:hint="default" w:ascii="宋体" w:hAnsi="宋体"/>
                <w:color w:val="auto"/>
                <w:kern w:val="0"/>
                <w:sz w:val="22"/>
                <w:szCs w:val="22"/>
                <w:highlight w:val="none"/>
              </w:rPr>
            </w:pPr>
            <w:r>
              <w:rPr>
                <w:rFonts w:hint="eastAsia" w:ascii="宋体" w:hAnsi="宋体"/>
                <w:color w:val="auto"/>
                <w:kern w:val="0"/>
                <w:sz w:val="22"/>
                <w:szCs w:val="22"/>
                <w:highlight w:val="none"/>
              </w:rPr>
              <w:t>职   称</w:t>
            </w:r>
          </w:p>
        </w:tc>
        <w:tc>
          <w:tcPr>
            <w:tcW w:w="2428" w:type="dxa"/>
            <w:noWrap w:val="0"/>
            <w:tcMar>
              <w:top w:w="0" w:type="dxa"/>
              <w:left w:w="108" w:type="dxa"/>
              <w:bottom w:w="0" w:type="dxa"/>
              <w:right w:w="108" w:type="dxa"/>
            </w:tcMar>
            <w:vAlign w:val="center"/>
          </w:tcPr>
          <w:p w14:paraId="604C9913">
            <w:pPr>
              <w:keepNext w:val="0"/>
              <w:keepLines w:val="0"/>
              <w:widowControl/>
              <w:suppressLineNumbers w:val="0"/>
              <w:spacing w:before="0" w:beforeAutospacing="0" w:after="0" w:afterAutospacing="0"/>
              <w:ind w:left="0" w:right="0"/>
              <w:jc w:val="center"/>
              <w:rPr>
                <w:rFonts w:hint="default" w:ascii="宋体" w:hAnsi="宋体"/>
                <w:color w:val="auto"/>
                <w:kern w:val="0"/>
                <w:sz w:val="22"/>
                <w:szCs w:val="22"/>
                <w:highlight w:val="none"/>
              </w:rPr>
            </w:pPr>
          </w:p>
        </w:tc>
      </w:tr>
      <w:tr w14:paraId="2EE53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4416" w:type="dxa"/>
            <w:gridSpan w:val="3"/>
            <w:noWrap w:val="0"/>
            <w:tcMar>
              <w:top w:w="0" w:type="dxa"/>
              <w:left w:w="108" w:type="dxa"/>
              <w:bottom w:w="0" w:type="dxa"/>
              <w:right w:w="108" w:type="dxa"/>
            </w:tcMar>
            <w:vAlign w:val="center"/>
          </w:tcPr>
          <w:p w14:paraId="7ED51470">
            <w:pPr>
              <w:keepNext w:val="0"/>
              <w:keepLines w:val="0"/>
              <w:widowControl/>
              <w:suppressLineNumbers w:val="0"/>
              <w:spacing w:before="0" w:beforeAutospacing="0" w:after="0" w:afterAutospacing="0"/>
              <w:ind w:left="0" w:right="0"/>
              <w:jc w:val="center"/>
              <w:rPr>
                <w:rFonts w:hint="default" w:ascii="宋体" w:hAnsi="宋体"/>
                <w:color w:val="auto"/>
                <w:kern w:val="0"/>
                <w:sz w:val="22"/>
                <w:szCs w:val="22"/>
                <w:highlight w:val="none"/>
              </w:rPr>
            </w:pPr>
            <w:r>
              <w:rPr>
                <w:rFonts w:hint="eastAsia" w:ascii="宋体" w:hAnsi="宋体"/>
                <w:color w:val="auto"/>
                <w:kern w:val="0"/>
                <w:sz w:val="22"/>
                <w:szCs w:val="22"/>
                <w:highlight w:val="none"/>
              </w:rPr>
              <w:t>在本项目拟任职务</w:t>
            </w:r>
          </w:p>
        </w:tc>
        <w:tc>
          <w:tcPr>
            <w:tcW w:w="4871" w:type="dxa"/>
            <w:gridSpan w:val="4"/>
            <w:noWrap w:val="0"/>
            <w:tcMar>
              <w:top w:w="0" w:type="dxa"/>
              <w:left w:w="108" w:type="dxa"/>
              <w:bottom w:w="0" w:type="dxa"/>
              <w:right w:w="108" w:type="dxa"/>
            </w:tcMar>
            <w:vAlign w:val="center"/>
          </w:tcPr>
          <w:p w14:paraId="5652066A">
            <w:pPr>
              <w:keepNext w:val="0"/>
              <w:keepLines w:val="0"/>
              <w:widowControl/>
              <w:suppressLineNumbers w:val="0"/>
              <w:spacing w:before="0" w:beforeAutospacing="0" w:after="0" w:afterAutospacing="0"/>
              <w:ind w:left="0" w:right="0"/>
              <w:jc w:val="center"/>
              <w:rPr>
                <w:rFonts w:hint="default" w:ascii="宋体" w:hAnsi="宋体"/>
                <w:color w:val="auto"/>
                <w:kern w:val="0"/>
                <w:sz w:val="22"/>
                <w:szCs w:val="22"/>
                <w:highlight w:val="none"/>
              </w:rPr>
            </w:pPr>
          </w:p>
        </w:tc>
      </w:tr>
      <w:tr w14:paraId="423D1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9287" w:type="dxa"/>
            <w:gridSpan w:val="7"/>
            <w:noWrap w:val="0"/>
            <w:tcMar>
              <w:top w:w="0" w:type="dxa"/>
              <w:left w:w="108" w:type="dxa"/>
              <w:bottom w:w="0" w:type="dxa"/>
              <w:right w:w="108" w:type="dxa"/>
            </w:tcMar>
            <w:vAlign w:val="center"/>
          </w:tcPr>
          <w:p w14:paraId="1C77A51A">
            <w:pPr>
              <w:keepNext w:val="0"/>
              <w:keepLines w:val="0"/>
              <w:widowControl/>
              <w:suppressLineNumbers w:val="0"/>
              <w:spacing w:before="0" w:beforeAutospacing="0" w:after="0" w:afterAutospacing="0"/>
              <w:ind w:left="0" w:right="0"/>
              <w:jc w:val="center"/>
              <w:rPr>
                <w:rFonts w:hint="default" w:ascii="宋体" w:hAnsi="宋体"/>
                <w:color w:val="auto"/>
                <w:kern w:val="0"/>
                <w:sz w:val="22"/>
                <w:szCs w:val="22"/>
                <w:highlight w:val="none"/>
              </w:rPr>
            </w:pPr>
            <w:r>
              <w:rPr>
                <w:rFonts w:hint="eastAsia" w:ascii="宋体" w:hAnsi="宋体"/>
                <w:color w:val="auto"/>
                <w:kern w:val="0"/>
                <w:sz w:val="22"/>
                <w:szCs w:val="22"/>
                <w:highlight w:val="none"/>
              </w:rPr>
              <w:t>主 要 经 历</w:t>
            </w:r>
          </w:p>
        </w:tc>
      </w:tr>
      <w:tr w14:paraId="14803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2037" w:type="dxa"/>
            <w:noWrap w:val="0"/>
            <w:tcMar>
              <w:top w:w="0" w:type="dxa"/>
              <w:left w:w="108" w:type="dxa"/>
              <w:bottom w:w="0" w:type="dxa"/>
              <w:right w:w="108" w:type="dxa"/>
            </w:tcMar>
            <w:vAlign w:val="center"/>
          </w:tcPr>
          <w:p w14:paraId="5B8CFC33">
            <w:pPr>
              <w:keepNext w:val="0"/>
              <w:keepLines w:val="0"/>
              <w:widowControl/>
              <w:suppressLineNumbers w:val="0"/>
              <w:spacing w:before="0" w:beforeAutospacing="0" w:after="0" w:afterAutospacing="0"/>
              <w:ind w:left="0" w:right="0"/>
              <w:jc w:val="center"/>
              <w:rPr>
                <w:rFonts w:hint="default" w:ascii="宋体" w:hAnsi="宋体"/>
                <w:color w:val="auto"/>
                <w:kern w:val="0"/>
                <w:sz w:val="22"/>
                <w:szCs w:val="22"/>
                <w:highlight w:val="none"/>
              </w:rPr>
            </w:pPr>
            <w:r>
              <w:rPr>
                <w:rFonts w:hint="eastAsia" w:ascii="宋体" w:hAnsi="宋体"/>
                <w:color w:val="auto"/>
                <w:kern w:val="0"/>
                <w:sz w:val="22"/>
                <w:szCs w:val="22"/>
                <w:highlight w:val="none"/>
              </w:rPr>
              <w:t>时间</w:t>
            </w:r>
          </w:p>
        </w:tc>
        <w:tc>
          <w:tcPr>
            <w:tcW w:w="4242" w:type="dxa"/>
            <w:gridSpan w:val="4"/>
            <w:noWrap w:val="0"/>
            <w:tcMar>
              <w:top w:w="0" w:type="dxa"/>
              <w:left w:w="108" w:type="dxa"/>
              <w:bottom w:w="0" w:type="dxa"/>
              <w:right w:w="108" w:type="dxa"/>
            </w:tcMar>
            <w:vAlign w:val="center"/>
          </w:tcPr>
          <w:p w14:paraId="53A51916">
            <w:pPr>
              <w:keepNext w:val="0"/>
              <w:keepLines w:val="0"/>
              <w:widowControl/>
              <w:suppressLineNumbers w:val="0"/>
              <w:spacing w:before="0" w:beforeAutospacing="0" w:after="0" w:afterAutospacing="0"/>
              <w:ind w:left="0" w:right="0"/>
              <w:jc w:val="center"/>
              <w:rPr>
                <w:rFonts w:hint="default" w:ascii="宋体" w:hAnsi="宋体"/>
                <w:color w:val="auto"/>
                <w:kern w:val="0"/>
                <w:sz w:val="22"/>
                <w:szCs w:val="22"/>
                <w:highlight w:val="none"/>
              </w:rPr>
            </w:pPr>
            <w:r>
              <w:rPr>
                <w:rFonts w:hint="eastAsia" w:ascii="宋体" w:hAnsi="宋体"/>
                <w:color w:val="auto"/>
                <w:kern w:val="0"/>
                <w:sz w:val="22"/>
                <w:szCs w:val="22"/>
                <w:highlight w:val="none"/>
              </w:rPr>
              <w:t>参加过的项目名称及规模</w:t>
            </w:r>
          </w:p>
        </w:tc>
        <w:tc>
          <w:tcPr>
            <w:tcW w:w="3008" w:type="dxa"/>
            <w:gridSpan w:val="2"/>
            <w:noWrap w:val="0"/>
            <w:tcMar>
              <w:top w:w="0" w:type="dxa"/>
              <w:left w:w="108" w:type="dxa"/>
              <w:bottom w:w="0" w:type="dxa"/>
              <w:right w:w="108" w:type="dxa"/>
            </w:tcMar>
            <w:vAlign w:val="center"/>
          </w:tcPr>
          <w:p w14:paraId="18083ACC">
            <w:pPr>
              <w:keepNext w:val="0"/>
              <w:keepLines w:val="0"/>
              <w:widowControl/>
              <w:suppressLineNumbers w:val="0"/>
              <w:spacing w:before="0" w:beforeAutospacing="0" w:after="0" w:afterAutospacing="0"/>
              <w:ind w:left="0" w:right="0"/>
              <w:jc w:val="center"/>
              <w:rPr>
                <w:rFonts w:hint="default" w:ascii="宋体" w:hAnsi="宋体"/>
                <w:color w:val="auto"/>
                <w:kern w:val="0"/>
                <w:sz w:val="22"/>
                <w:szCs w:val="22"/>
                <w:highlight w:val="none"/>
              </w:rPr>
            </w:pPr>
            <w:r>
              <w:rPr>
                <w:rFonts w:hint="eastAsia" w:ascii="宋体" w:hAnsi="宋体"/>
                <w:color w:val="auto"/>
                <w:kern w:val="0"/>
                <w:sz w:val="22"/>
                <w:szCs w:val="22"/>
                <w:highlight w:val="none"/>
              </w:rPr>
              <w:t>该项目中担任职务</w:t>
            </w:r>
          </w:p>
        </w:tc>
      </w:tr>
      <w:tr w14:paraId="2FD56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trPr>
        <w:tc>
          <w:tcPr>
            <w:tcW w:w="2037" w:type="dxa"/>
            <w:noWrap w:val="0"/>
            <w:tcMar>
              <w:top w:w="0" w:type="dxa"/>
              <w:left w:w="108" w:type="dxa"/>
              <w:bottom w:w="0" w:type="dxa"/>
              <w:right w:w="108" w:type="dxa"/>
            </w:tcMar>
            <w:vAlign w:val="center"/>
          </w:tcPr>
          <w:p w14:paraId="6D24C85C">
            <w:pPr>
              <w:keepNext w:val="0"/>
              <w:keepLines w:val="0"/>
              <w:widowControl/>
              <w:suppressLineNumbers w:val="0"/>
              <w:spacing w:before="0" w:beforeAutospacing="0" w:after="0" w:afterAutospacing="0"/>
              <w:ind w:left="0" w:right="0"/>
              <w:jc w:val="center"/>
              <w:rPr>
                <w:rFonts w:hint="default" w:ascii="宋体" w:hAnsi="宋体"/>
                <w:color w:val="auto"/>
                <w:kern w:val="0"/>
                <w:sz w:val="22"/>
                <w:szCs w:val="22"/>
                <w:highlight w:val="none"/>
              </w:rPr>
            </w:pPr>
          </w:p>
        </w:tc>
        <w:tc>
          <w:tcPr>
            <w:tcW w:w="4242" w:type="dxa"/>
            <w:gridSpan w:val="4"/>
            <w:noWrap w:val="0"/>
            <w:tcMar>
              <w:top w:w="0" w:type="dxa"/>
              <w:left w:w="108" w:type="dxa"/>
              <w:bottom w:w="0" w:type="dxa"/>
              <w:right w:w="108" w:type="dxa"/>
            </w:tcMar>
            <w:vAlign w:val="center"/>
          </w:tcPr>
          <w:p w14:paraId="2128F4AB">
            <w:pPr>
              <w:keepNext w:val="0"/>
              <w:keepLines w:val="0"/>
              <w:widowControl/>
              <w:suppressLineNumbers w:val="0"/>
              <w:spacing w:before="0" w:beforeAutospacing="0" w:after="0" w:afterAutospacing="0"/>
              <w:ind w:left="0" w:right="0"/>
              <w:jc w:val="center"/>
              <w:rPr>
                <w:rFonts w:hint="default" w:ascii="宋体" w:hAnsi="宋体"/>
                <w:color w:val="auto"/>
                <w:kern w:val="0"/>
                <w:sz w:val="22"/>
                <w:szCs w:val="22"/>
                <w:highlight w:val="none"/>
              </w:rPr>
            </w:pPr>
          </w:p>
        </w:tc>
        <w:tc>
          <w:tcPr>
            <w:tcW w:w="3008" w:type="dxa"/>
            <w:gridSpan w:val="2"/>
            <w:noWrap w:val="0"/>
            <w:tcMar>
              <w:top w:w="0" w:type="dxa"/>
              <w:left w:w="108" w:type="dxa"/>
              <w:bottom w:w="0" w:type="dxa"/>
              <w:right w:w="108" w:type="dxa"/>
            </w:tcMar>
            <w:vAlign w:val="center"/>
          </w:tcPr>
          <w:p w14:paraId="0EBDF2EA">
            <w:pPr>
              <w:keepNext w:val="0"/>
              <w:keepLines w:val="0"/>
              <w:widowControl/>
              <w:suppressLineNumbers w:val="0"/>
              <w:spacing w:before="0" w:beforeAutospacing="0" w:after="0" w:afterAutospacing="0"/>
              <w:ind w:left="0" w:right="0"/>
              <w:jc w:val="center"/>
              <w:rPr>
                <w:rFonts w:hint="default" w:ascii="宋体" w:hAnsi="宋体"/>
                <w:color w:val="auto"/>
                <w:kern w:val="0"/>
                <w:sz w:val="22"/>
                <w:szCs w:val="22"/>
                <w:highlight w:val="none"/>
              </w:rPr>
            </w:pPr>
          </w:p>
        </w:tc>
      </w:tr>
      <w:tr w14:paraId="19A18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trPr>
        <w:tc>
          <w:tcPr>
            <w:tcW w:w="2037" w:type="dxa"/>
            <w:noWrap w:val="0"/>
            <w:tcMar>
              <w:top w:w="0" w:type="dxa"/>
              <w:left w:w="108" w:type="dxa"/>
              <w:bottom w:w="0" w:type="dxa"/>
              <w:right w:w="108" w:type="dxa"/>
            </w:tcMar>
            <w:vAlign w:val="center"/>
          </w:tcPr>
          <w:p w14:paraId="059D68DB">
            <w:pPr>
              <w:keepNext w:val="0"/>
              <w:keepLines w:val="0"/>
              <w:widowControl/>
              <w:suppressLineNumbers w:val="0"/>
              <w:spacing w:before="0" w:beforeAutospacing="0" w:after="0" w:afterAutospacing="0"/>
              <w:ind w:left="0" w:right="0"/>
              <w:jc w:val="center"/>
              <w:rPr>
                <w:rFonts w:hint="default" w:ascii="宋体" w:hAnsi="宋体"/>
                <w:color w:val="auto"/>
                <w:kern w:val="0"/>
                <w:sz w:val="22"/>
                <w:szCs w:val="22"/>
                <w:highlight w:val="none"/>
              </w:rPr>
            </w:pPr>
          </w:p>
        </w:tc>
        <w:tc>
          <w:tcPr>
            <w:tcW w:w="4242" w:type="dxa"/>
            <w:gridSpan w:val="4"/>
            <w:noWrap w:val="0"/>
            <w:tcMar>
              <w:top w:w="0" w:type="dxa"/>
              <w:left w:w="108" w:type="dxa"/>
              <w:bottom w:w="0" w:type="dxa"/>
              <w:right w:w="108" w:type="dxa"/>
            </w:tcMar>
            <w:vAlign w:val="center"/>
          </w:tcPr>
          <w:p w14:paraId="7F7C770C">
            <w:pPr>
              <w:keepNext w:val="0"/>
              <w:keepLines w:val="0"/>
              <w:widowControl/>
              <w:suppressLineNumbers w:val="0"/>
              <w:spacing w:before="0" w:beforeAutospacing="0" w:after="0" w:afterAutospacing="0"/>
              <w:ind w:left="0" w:right="0"/>
              <w:jc w:val="center"/>
              <w:rPr>
                <w:rFonts w:hint="default" w:ascii="宋体" w:hAnsi="宋体"/>
                <w:color w:val="auto"/>
                <w:kern w:val="0"/>
                <w:sz w:val="22"/>
                <w:szCs w:val="22"/>
                <w:highlight w:val="none"/>
              </w:rPr>
            </w:pPr>
          </w:p>
        </w:tc>
        <w:tc>
          <w:tcPr>
            <w:tcW w:w="3008" w:type="dxa"/>
            <w:gridSpan w:val="2"/>
            <w:noWrap w:val="0"/>
            <w:tcMar>
              <w:top w:w="0" w:type="dxa"/>
              <w:left w:w="108" w:type="dxa"/>
              <w:bottom w:w="0" w:type="dxa"/>
              <w:right w:w="108" w:type="dxa"/>
            </w:tcMar>
            <w:vAlign w:val="center"/>
          </w:tcPr>
          <w:p w14:paraId="2F5FBE80">
            <w:pPr>
              <w:keepNext w:val="0"/>
              <w:keepLines w:val="0"/>
              <w:widowControl/>
              <w:suppressLineNumbers w:val="0"/>
              <w:spacing w:before="0" w:beforeAutospacing="0" w:after="0" w:afterAutospacing="0"/>
              <w:ind w:left="0" w:right="0"/>
              <w:jc w:val="center"/>
              <w:rPr>
                <w:rFonts w:hint="default" w:ascii="宋体" w:hAnsi="宋体"/>
                <w:color w:val="auto"/>
                <w:kern w:val="0"/>
                <w:sz w:val="22"/>
                <w:szCs w:val="22"/>
                <w:highlight w:val="none"/>
              </w:rPr>
            </w:pPr>
          </w:p>
        </w:tc>
      </w:tr>
    </w:tbl>
    <w:p w14:paraId="7AC82447">
      <w:pPr>
        <w:adjustRightInd w:val="0"/>
        <w:snapToGrid w:val="0"/>
        <w:spacing w:line="560" w:lineRule="exact"/>
        <w:rPr>
          <w:rFonts w:ascii="宋体" w:hAnsi="宋体" w:cs="宋体"/>
          <w:b/>
          <w:color w:val="auto"/>
          <w:sz w:val="22"/>
          <w:szCs w:val="22"/>
          <w:highlight w:val="none"/>
        </w:rPr>
      </w:pPr>
      <w:r>
        <w:rPr>
          <w:rFonts w:hint="eastAsia" w:ascii="宋体" w:hAnsi="宋体" w:cs="宋体"/>
          <w:b/>
          <w:color w:val="auto"/>
          <w:sz w:val="22"/>
          <w:szCs w:val="22"/>
          <w:highlight w:val="none"/>
        </w:rPr>
        <w:t>备注：后附相关证书证件影印件加盖公章。</w:t>
      </w:r>
    </w:p>
    <w:p w14:paraId="6DD37610">
      <w:pPr>
        <w:rPr>
          <w:rFonts w:hint="eastAsia" w:ascii="宋体" w:hAnsi="宋体" w:eastAsia="宋体" w:cs="宋体"/>
          <w:color w:val="auto"/>
          <w:sz w:val="22"/>
          <w:szCs w:val="22"/>
          <w:highlight w:val="none"/>
          <w:lang w:val="en-US" w:eastAsia="zh-CN"/>
        </w:rPr>
      </w:pPr>
    </w:p>
    <w:p w14:paraId="13CFC3B7">
      <w:pPr>
        <w:pStyle w:val="10"/>
        <w:rPr>
          <w:rFonts w:hint="eastAsia" w:ascii="宋体" w:hAnsi="宋体" w:eastAsia="宋体" w:cs="宋体"/>
          <w:color w:val="auto"/>
          <w:sz w:val="22"/>
          <w:szCs w:val="22"/>
          <w:highlight w:val="none"/>
          <w:lang w:val="en-US" w:eastAsia="zh-CN"/>
        </w:rPr>
      </w:pPr>
    </w:p>
    <w:p w14:paraId="333007B8">
      <w:pPr>
        <w:rPr>
          <w:rFonts w:hint="eastAsia" w:ascii="宋体" w:hAnsi="宋体" w:eastAsia="宋体" w:cs="宋体"/>
          <w:color w:val="auto"/>
          <w:sz w:val="22"/>
          <w:szCs w:val="22"/>
          <w:highlight w:val="none"/>
          <w:lang w:val="en-US" w:eastAsia="zh-CN"/>
        </w:rPr>
      </w:pPr>
    </w:p>
    <w:p w14:paraId="69B2D9C1">
      <w:pPr>
        <w:spacing w:line="500" w:lineRule="exact"/>
        <w:ind w:right="-159" w:firstLine="2420" w:firstLineChars="110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投标人</w:t>
      </w:r>
      <w:r>
        <w:rPr>
          <w:rFonts w:hint="eastAsia" w:ascii="宋体" w:hAnsi="宋体" w:eastAsia="宋体" w:cs="宋体"/>
          <w:color w:val="auto"/>
          <w:sz w:val="22"/>
          <w:szCs w:val="22"/>
          <w:highlight w:val="none"/>
        </w:rPr>
        <w:t>名称：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（公章）</w:t>
      </w:r>
    </w:p>
    <w:p w14:paraId="0F4FD324">
      <w:pPr>
        <w:spacing w:line="500" w:lineRule="exact"/>
        <w:ind w:right="-159" w:firstLine="2420" w:firstLineChars="110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（盖章/签字）</w:t>
      </w:r>
    </w:p>
    <w:p w14:paraId="2549AC9F">
      <w:pPr>
        <w:spacing w:line="500" w:lineRule="exact"/>
        <w:ind w:firstLine="3300" w:firstLineChars="15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      期：</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b/>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b/>
          <w:color w:val="auto"/>
          <w:sz w:val="22"/>
          <w:szCs w:val="22"/>
          <w:highlight w:val="none"/>
          <w:u w:val="single"/>
        </w:rPr>
        <w:t xml:space="preserve">   </w:t>
      </w:r>
      <w:r>
        <w:rPr>
          <w:rFonts w:hint="eastAsia" w:ascii="宋体" w:hAnsi="宋体" w:eastAsia="宋体" w:cs="宋体"/>
          <w:color w:val="auto"/>
          <w:sz w:val="22"/>
          <w:szCs w:val="22"/>
          <w:highlight w:val="none"/>
        </w:rPr>
        <w:t>日</w:t>
      </w:r>
    </w:p>
    <w:p w14:paraId="66F85570">
      <w:pPr>
        <w:pStyle w:val="8"/>
        <w:rPr>
          <w:rFonts w:hint="eastAsia" w:ascii="宋体" w:hAnsi="宋体" w:eastAsia="宋体" w:cs="宋体"/>
          <w:color w:val="auto"/>
          <w:highlight w:val="none"/>
          <w:lang w:val="en-US" w:eastAsia="zh-CN"/>
        </w:rPr>
      </w:pPr>
    </w:p>
    <w:p w14:paraId="6575949D">
      <w:pPr>
        <w:tabs>
          <w:tab w:val="left" w:pos="4200"/>
        </w:tabs>
        <w:spacing w:line="0" w:lineRule="atLeast"/>
        <w:rPr>
          <w:rFonts w:ascii="宋体" w:hAnsi="宋体"/>
          <w:color w:val="auto"/>
          <w:sz w:val="24"/>
          <w:highlight w:val="none"/>
        </w:rPr>
        <w:sectPr>
          <w:pgSz w:w="11905" w:h="16838"/>
          <w:pgMar w:top="1417" w:right="1361" w:bottom="1134" w:left="1587" w:header="850" w:footer="992" w:gutter="0"/>
          <w:pgNumType w:fmt="decimal"/>
          <w:cols w:space="720" w:num="1"/>
          <w:docGrid w:type="lines" w:linePitch="317" w:charSpace="0"/>
        </w:sectPr>
      </w:pPr>
    </w:p>
    <w:p w14:paraId="7AC3BA12">
      <w:pPr>
        <w:pStyle w:val="3"/>
        <w:numPr>
          <w:ilvl w:val="1"/>
          <w:numId w:val="0"/>
        </w:numPr>
        <w:spacing w:before="0" w:after="0" w:line="360" w:lineRule="auto"/>
        <w:ind w:left="0" w:leftChars="0" w:firstLine="0" w:firstLineChars="0"/>
        <w:outlineLvl w:val="0"/>
        <w:rPr>
          <w:rStyle w:val="89"/>
          <w:rFonts w:hint="eastAsia" w:ascii="宋体" w:hAnsi="宋体" w:eastAsia="宋体" w:cs="宋体"/>
          <w:b/>
          <w:bCs/>
          <w:iCs/>
          <w:color w:val="auto"/>
          <w:sz w:val="22"/>
          <w:szCs w:val="22"/>
          <w:highlight w:val="none"/>
          <w:lang w:eastAsia="zh-CN"/>
        </w:rPr>
      </w:pPr>
      <w:bookmarkStart w:id="246" w:name="_Toc12361"/>
      <w:r>
        <w:rPr>
          <w:rStyle w:val="89"/>
          <w:rFonts w:hint="eastAsia" w:ascii="宋体" w:hAnsi="宋体" w:cs="宋体"/>
          <w:b/>
          <w:bCs/>
          <w:iCs/>
          <w:color w:val="auto"/>
          <w:sz w:val="22"/>
          <w:szCs w:val="22"/>
          <w:highlight w:val="none"/>
        </w:rPr>
        <w:t>附表</w:t>
      </w:r>
      <w:r>
        <w:rPr>
          <w:rStyle w:val="89"/>
          <w:rFonts w:hint="eastAsia" w:ascii="宋体" w:hAnsi="宋体" w:cs="宋体"/>
          <w:b/>
          <w:bCs/>
          <w:iCs/>
          <w:color w:val="auto"/>
          <w:sz w:val="22"/>
          <w:szCs w:val="22"/>
          <w:highlight w:val="none"/>
          <w:lang w:val="en-US" w:eastAsia="zh-CN"/>
        </w:rPr>
        <w:t>3</w:t>
      </w:r>
      <w:r>
        <w:rPr>
          <w:rStyle w:val="89"/>
          <w:rFonts w:hint="eastAsia" w:ascii="宋体" w:hAnsi="宋体" w:cs="宋体"/>
          <w:b/>
          <w:bCs/>
          <w:iCs/>
          <w:color w:val="auto"/>
          <w:sz w:val="22"/>
          <w:szCs w:val="22"/>
          <w:highlight w:val="none"/>
        </w:rPr>
        <w:t>：类似项目</w:t>
      </w:r>
      <w:bookmarkEnd w:id="243"/>
      <w:bookmarkEnd w:id="244"/>
      <w:r>
        <w:rPr>
          <w:rStyle w:val="89"/>
          <w:rFonts w:hint="eastAsia" w:ascii="宋体" w:hAnsi="宋体" w:cs="宋体"/>
          <w:b/>
          <w:bCs/>
          <w:iCs/>
          <w:color w:val="auto"/>
          <w:sz w:val="22"/>
          <w:szCs w:val="22"/>
          <w:highlight w:val="none"/>
          <w:lang w:eastAsia="zh-CN"/>
        </w:rPr>
        <w:t>业绩</w:t>
      </w:r>
      <w:bookmarkEnd w:id="246"/>
    </w:p>
    <w:p w14:paraId="7F7F4434">
      <w:pPr>
        <w:spacing w:line="400" w:lineRule="atLeast"/>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u w:val="single"/>
        </w:rPr>
        <w:t xml:space="preserve">                       </w:t>
      </w:r>
    </w:p>
    <w:p w14:paraId="7B0D6E2D">
      <w:pPr>
        <w:spacing w:line="400" w:lineRule="atLeast"/>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采购项目编号：</w:t>
      </w:r>
      <w:r>
        <w:rPr>
          <w:rFonts w:hint="eastAsia" w:ascii="宋体" w:hAnsi="宋体" w:cs="宋体"/>
          <w:color w:val="auto"/>
          <w:sz w:val="22"/>
          <w:szCs w:val="22"/>
          <w:highlight w:val="none"/>
          <w:u w:val="single"/>
        </w:rPr>
        <w:t xml:space="preserve">                       </w:t>
      </w:r>
    </w:p>
    <w:p w14:paraId="04E4582C">
      <w:pPr>
        <w:pStyle w:val="10"/>
        <w:rPr>
          <w:rFonts w:hint="eastAsia" w:ascii="宋体" w:hAnsi="宋体" w:cs="宋体"/>
          <w:color w:val="auto"/>
          <w:sz w:val="22"/>
          <w:szCs w:val="22"/>
          <w:highlight w:val="none"/>
        </w:rPr>
      </w:pPr>
    </w:p>
    <w:tbl>
      <w:tblPr>
        <w:tblStyle w:val="25"/>
        <w:tblW w:w="884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09"/>
        <w:gridCol w:w="1065"/>
        <w:gridCol w:w="1414"/>
        <w:gridCol w:w="1619"/>
        <w:gridCol w:w="1441"/>
        <w:gridCol w:w="2700"/>
      </w:tblGrid>
      <w:tr w14:paraId="267CE2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14:paraId="3DD72B23">
            <w:pPr>
              <w:keepNext w:val="0"/>
              <w:keepLines w:val="0"/>
              <w:suppressLineNumbers w:val="0"/>
              <w:spacing w:before="0" w:beforeAutospacing="0" w:after="0" w:afterAutospacing="0" w:line="360" w:lineRule="auto"/>
              <w:ind w:left="0" w:right="0"/>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序号</w:t>
            </w:r>
          </w:p>
        </w:tc>
        <w:tc>
          <w:tcPr>
            <w:tcW w:w="1065" w:type="dxa"/>
            <w:noWrap w:val="0"/>
            <w:vAlign w:val="center"/>
          </w:tcPr>
          <w:p w14:paraId="6F76901E">
            <w:pPr>
              <w:keepNext w:val="0"/>
              <w:keepLines w:val="0"/>
              <w:suppressLineNumbers w:val="0"/>
              <w:spacing w:before="0" w:beforeAutospacing="0" w:after="0" w:afterAutospacing="0" w:line="360" w:lineRule="auto"/>
              <w:ind w:left="0" w:right="0"/>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项目名称</w:t>
            </w:r>
          </w:p>
        </w:tc>
        <w:tc>
          <w:tcPr>
            <w:tcW w:w="1414" w:type="dxa"/>
            <w:noWrap w:val="0"/>
            <w:vAlign w:val="center"/>
          </w:tcPr>
          <w:p w14:paraId="511BF837">
            <w:pPr>
              <w:keepNext w:val="0"/>
              <w:keepLines w:val="0"/>
              <w:suppressLineNumbers w:val="0"/>
              <w:spacing w:before="0" w:beforeAutospacing="0" w:after="0" w:afterAutospacing="0" w:line="360" w:lineRule="auto"/>
              <w:ind w:left="0" w:right="0"/>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项目内容</w:t>
            </w:r>
          </w:p>
        </w:tc>
        <w:tc>
          <w:tcPr>
            <w:tcW w:w="1619" w:type="dxa"/>
            <w:tcBorders>
              <w:left w:val="single" w:color="auto" w:sz="4" w:space="0"/>
              <w:right w:val="single" w:color="auto" w:sz="4" w:space="0"/>
            </w:tcBorders>
            <w:noWrap w:val="0"/>
            <w:vAlign w:val="center"/>
          </w:tcPr>
          <w:p w14:paraId="73494F11">
            <w:pPr>
              <w:keepNext w:val="0"/>
              <w:keepLines w:val="0"/>
              <w:suppressLineNumbers w:val="0"/>
              <w:spacing w:before="0" w:beforeAutospacing="0" w:after="0" w:afterAutospacing="0" w:line="360" w:lineRule="auto"/>
              <w:ind w:left="0" w:right="0"/>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合同金额</w:t>
            </w:r>
          </w:p>
          <w:p w14:paraId="0918116B">
            <w:pPr>
              <w:keepNext w:val="0"/>
              <w:keepLines w:val="0"/>
              <w:suppressLineNumbers w:val="0"/>
              <w:spacing w:before="0" w:beforeAutospacing="0" w:after="0" w:afterAutospacing="0" w:line="360" w:lineRule="auto"/>
              <w:ind w:left="0" w:right="0"/>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（万元）</w:t>
            </w:r>
          </w:p>
        </w:tc>
        <w:tc>
          <w:tcPr>
            <w:tcW w:w="1441" w:type="dxa"/>
            <w:noWrap w:val="0"/>
            <w:vAlign w:val="center"/>
          </w:tcPr>
          <w:p w14:paraId="743D63FB">
            <w:pPr>
              <w:keepNext w:val="0"/>
              <w:keepLines w:val="0"/>
              <w:suppressLineNumbers w:val="0"/>
              <w:spacing w:before="0" w:beforeAutospacing="0" w:after="0" w:afterAutospacing="0" w:line="360" w:lineRule="auto"/>
              <w:ind w:left="0" w:right="0"/>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完成日期</w:t>
            </w:r>
          </w:p>
        </w:tc>
        <w:tc>
          <w:tcPr>
            <w:tcW w:w="2700" w:type="dxa"/>
            <w:noWrap w:val="0"/>
            <w:vAlign w:val="center"/>
          </w:tcPr>
          <w:p w14:paraId="6ADC9295">
            <w:pPr>
              <w:keepNext w:val="0"/>
              <w:keepLines w:val="0"/>
              <w:suppressLineNumbers w:val="0"/>
              <w:spacing w:before="0" w:beforeAutospacing="0" w:after="0" w:afterAutospacing="0" w:line="360" w:lineRule="auto"/>
              <w:ind w:left="0" w:right="0"/>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业主名称、联系人及电话</w:t>
            </w:r>
          </w:p>
        </w:tc>
      </w:tr>
      <w:tr w14:paraId="719556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14:paraId="26BE7555">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065" w:type="dxa"/>
            <w:noWrap w:val="0"/>
            <w:vAlign w:val="center"/>
          </w:tcPr>
          <w:p w14:paraId="64A71BBB">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c>
          <w:tcPr>
            <w:tcW w:w="1414" w:type="dxa"/>
            <w:noWrap w:val="0"/>
            <w:vAlign w:val="center"/>
          </w:tcPr>
          <w:p w14:paraId="3E91A6C3">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c>
          <w:tcPr>
            <w:tcW w:w="1619" w:type="dxa"/>
            <w:tcBorders>
              <w:left w:val="single" w:color="auto" w:sz="4" w:space="0"/>
              <w:right w:val="single" w:color="auto" w:sz="4" w:space="0"/>
            </w:tcBorders>
            <w:noWrap w:val="0"/>
            <w:vAlign w:val="center"/>
          </w:tcPr>
          <w:p w14:paraId="30B625BB">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c>
          <w:tcPr>
            <w:tcW w:w="1441" w:type="dxa"/>
            <w:noWrap w:val="0"/>
            <w:vAlign w:val="center"/>
          </w:tcPr>
          <w:p w14:paraId="1E2EB6D2">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c>
          <w:tcPr>
            <w:tcW w:w="2700" w:type="dxa"/>
            <w:noWrap w:val="0"/>
            <w:vAlign w:val="top"/>
          </w:tcPr>
          <w:p w14:paraId="7C40B0B5">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r>
      <w:tr w14:paraId="6212B8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14:paraId="02D5CBDA">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1065" w:type="dxa"/>
            <w:noWrap w:val="0"/>
            <w:vAlign w:val="center"/>
          </w:tcPr>
          <w:p w14:paraId="2A90EE27">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c>
          <w:tcPr>
            <w:tcW w:w="1414" w:type="dxa"/>
            <w:noWrap w:val="0"/>
            <w:vAlign w:val="center"/>
          </w:tcPr>
          <w:p w14:paraId="79F83E78">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c>
          <w:tcPr>
            <w:tcW w:w="1619" w:type="dxa"/>
            <w:tcBorders>
              <w:left w:val="single" w:color="auto" w:sz="4" w:space="0"/>
              <w:right w:val="single" w:color="auto" w:sz="4" w:space="0"/>
            </w:tcBorders>
            <w:noWrap w:val="0"/>
            <w:vAlign w:val="center"/>
          </w:tcPr>
          <w:p w14:paraId="628E9793">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c>
          <w:tcPr>
            <w:tcW w:w="1441" w:type="dxa"/>
            <w:noWrap w:val="0"/>
            <w:vAlign w:val="center"/>
          </w:tcPr>
          <w:p w14:paraId="4405355C">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c>
          <w:tcPr>
            <w:tcW w:w="2700" w:type="dxa"/>
            <w:noWrap w:val="0"/>
            <w:vAlign w:val="top"/>
          </w:tcPr>
          <w:p w14:paraId="1F10D441">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r>
      <w:tr w14:paraId="076653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14:paraId="38EA3FD5">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1065" w:type="dxa"/>
            <w:noWrap w:val="0"/>
            <w:vAlign w:val="center"/>
          </w:tcPr>
          <w:p w14:paraId="00BD61C4">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c>
          <w:tcPr>
            <w:tcW w:w="1414" w:type="dxa"/>
            <w:noWrap w:val="0"/>
            <w:vAlign w:val="center"/>
          </w:tcPr>
          <w:p w14:paraId="04689172">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c>
          <w:tcPr>
            <w:tcW w:w="1619" w:type="dxa"/>
            <w:tcBorders>
              <w:left w:val="single" w:color="auto" w:sz="4" w:space="0"/>
              <w:right w:val="single" w:color="auto" w:sz="4" w:space="0"/>
            </w:tcBorders>
            <w:noWrap w:val="0"/>
            <w:vAlign w:val="center"/>
          </w:tcPr>
          <w:p w14:paraId="7B86764C">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c>
          <w:tcPr>
            <w:tcW w:w="1441" w:type="dxa"/>
            <w:noWrap w:val="0"/>
            <w:vAlign w:val="center"/>
          </w:tcPr>
          <w:p w14:paraId="44674DC2">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c>
          <w:tcPr>
            <w:tcW w:w="2700" w:type="dxa"/>
            <w:noWrap w:val="0"/>
            <w:vAlign w:val="top"/>
          </w:tcPr>
          <w:p w14:paraId="464E1153">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r>
      <w:tr w14:paraId="38FAEC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14:paraId="085B7C1A">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1065" w:type="dxa"/>
            <w:noWrap w:val="0"/>
            <w:vAlign w:val="center"/>
          </w:tcPr>
          <w:p w14:paraId="6B2EF0A9">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c>
          <w:tcPr>
            <w:tcW w:w="1414" w:type="dxa"/>
            <w:noWrap w:val="0"/>
            <w:vAlign w:val="center"/>
          </w:tcPr>
          <w:p w14:paraId="2F23F96A">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c>
          <w:tcPr>
            <w:tcW w:w="1619" w:type="dxa"/>
            <w:tcBorders>
              <w:left w:val="single" w:color="auto" w:sz="4" w:space="0"/>
              <w:right w:val="single" w:color="auto" w:sz="4" w:space="0"/>
            </w:tcBorders>
            <w:noWrap w:val="0"/>
            <w:vAlign w:val="center"/>
          </w:tcPr>
          <w:p w14:paraId="70E23D88">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c>
          <w:tcPr>
            <w:tcW w:w="1441" w:type="dxa"/>
            <w:noWrap w:val="0"/>
            <w:vAlign w:val="center"/>
          </w:tcPr>
          <w:p w14:paraId="40BBEA50">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c>
          <w:tcPr>
            <w:tcW w:w="2700" w:type="dxa"/>
            <w:noWrap w:val="0"/>
            <w:vAlign w:val="top"/>
          </w:tcPr>
          <w:p w14:paraId="1B8D6263">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r>
      <w:tr w14:paraId="33CC85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14:paraId="5E1C23BF">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1065" w:type="dxa"/>
            <w:noWrap w:val="0"/>
            <w:vAlign w:val="center"/>
          </w:tcPr>
          <w:p w14:paraId="2C7B09DB">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c>
          <w:tcPr>
            <w:tcW w:w="1414" w:type="dxa"/>
            <w:noWrap w:val="0"/>
            <w:vAlign w:val="center"/>
          </w:tcPr>
          <w:p w14:paraId="2C2D48FA">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c>
          <w:tcPr>
            <w:tcW w:w="1619" w:type="dxa"/>
            <w:tcBorders>
              <w:left w:val="single" w:color="auto" w:sz="4" w:space="0"/>
              <w:right w:val="single" w:color="auto" w:sz="4" w:space="0"/>
            </w:tcBorders>
            <w:noWrap w:val="0"/>
            <w:vAlign w:val="center"/>
          </w:tcPr>
          <w:p w14:paraId="09D2CD78">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c>
          <w:tcPr>
            <w:tcW w:w="1441" w:type="dxa"/>
            <w:noWrap w:val="0"/>
            <w:vAlign w:val="center"/>
          </w:tcPr>
          <w:p w14:paraId="11BB42FC">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c>
          <w:tcPr>
            <w:tcW w:w="2700" w:type="dxa"/>
            <w:noWrap w:val="0"/>
            <w:vAlign w:val="top"/>
          </w:tcPr>
          <w:p w14:paraId="2EDE042A">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r>
      <w:tr w14:paraId="38374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14:paraId="069B4D7C">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065" w:type="dxa"/>
            <w:noWrap w:val="0"/>
            <w:vAlign w:val="center"/>
          </w:tcPr>
          <w:p w14:paraId="50FF5731">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c>
          <w:tcPr>
            <w:tcW w:w="1414" w:type="dxa"/>
            <w:noWrap w:val="0"/>
            <w:vAlign w:val="center"/>
          </w:tcPr>
          <w:p w14:paraId="052D8332">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c>
          <w:tcPr>
            <w:tcW w:w="1619" w:type="dxa"/>
            <w:tcBorders>
              <w:left w:val="single" w:color="auto" w:sz="4" w:space="0"/>
              <w:right w:val="single" w:color="auto" w:sz="4" w:space="0"/>
            </w:tcBorders>
            <w:noWrap w:val="0"/>
            <w:vAlign w:val="center"/>
          </w:tcPr>
          <w:p w14:paraId="132CB7DE">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c>
          <w:tcPr>
            <w:tcW w:w="1441" w:type="dxa"/>
            <w:noWrap w:val="0"/>
            <w:vAlign w:val="center"/>
          </w:tcPr>
          <w:p w14:paraId="59779B07">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c>
          <w:tcPr>
            <w:tcW w:w="2700" w:type="dxa"/>
            <w:noWrap w:val="0"/>
            <w:vAlign w:val="top"/>
          </w:tcPr>
          <w:p w14:paraId="0AE5F61E">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r>
      <w:tr w14:paraId="7D81DB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14:paraId="7BC6CEE4">
            <w:pPr>
              <w:keepNext w:val="0"/>
              <w:keepLines w:val="0"/>
              <w:suppressLineNumbers w:val="0"/>
              <w:spacing w:before="0" w:beforeAutospacing="0" w:after="0" w:afterAutospacing="0" w:line="360" w:lineRule="auto"/>
              <w:ind w:left="0" w:right="0"/>
              <w:jc w:val="center"/>
              <w:rPr>
                <w:rFonts w:hint="eastAsia" w:ascii="宋体" w:hAnsi="宋体" w:cs="宋体"/>
                <w:b/>
                <w:color w:val="auto"/>
                <w:sz w:val="22"/>
                <w:szCs w:val="22"/>
                <w:highlight w:val="none"/>
              </w:rPr>
            </w:pPr>
          </w:p>
        </w:tc>
        <w:tc>
          <w:tcPr>
            <w:tcW w:w="1065" w:type="dxa"/>
            <w:noWrap w:val="0"/>
            <w:vAlign w:val="center"/>
          </w:tcPr>
          <w:p w14:paraId="0208DF2F">
            <w:pPr>
              <w:keepNext w:val="0"/>
              <w:keepLines w:val="0"/>
              <w:suppressLineNumbers w:val="0"/>
              <w:spacing w:before="0" w:beforeAutospacing="0" w:after="0" w:afterAutospacing="0" w:line="360" w:lineRule="auto"/>
              <w:ind w:left="0" w:right="0"/>
              <w:jc w:val="center"/>
              <w:rPr>
                <w:rFonts w:hint="eastAsia" w:ascii="宋体" w:hAnsi="宋体" w:cs="宋体"/>
                <w:color w:val="auto"/>
                <w:sz w:val="22"/>
                <w:szCs w:val="22"/>
                <w:highlight w:val="none"/>
              </w:rPr>
            </w:pPr>
          </w:p>
        </w:tc>
        <w:tc>
          <w:tcPr>
            <w:tcW w:w="1414" w:type="dxa"/>
            <w:noWrap w:val="0"/>
            <w:vAlign w:val="center"/>
          </w:tcPr>
          <w:p w14:paraId="22A3433D">
            <w:pPr>
              <w:keepNext w:val="0"/>
              <w:keepLines w:val="0"/>
              <w:suppressLineNumbers w:val="0"/>
              <w:spacing w:before="0" w:beforeAutospacing="0" w:after="0" w:afterAutospacing="0" w:line="360" w:lineRule="auto"/>
              <w:ind w:left="0" w:right="0"/>
              <w:jc w:val="center"/>
              <w:rPr>
                <w:rFonts w:hint="eastAsia" w:ascii="宋体" w:hAnsi="宋体" w:cs="宋体"/>
                <w:color w:val="auto"/>
                <w:sz w:val="22"/>
                <w:szCs w:val="22"/>
                <w:highlight w:val="none"/>
              </w:rPr>
            </w:pPr>
          </w:p>
        </w:tc>
        <w:tc>
          <w:tcPr>
            <w:tcW w:w="1619" w:type="dxa"/>
            <w:tcBorders>
              <w:left w:val="single" w:color="auto" w:sz="4" w:space="0"/>
              <w:right w:val="single" w:color="auto" w:sz="4" w:space="0"/>
            </w:tcBorders>
            <w:noWrap w:val="0"/>
            <w:vAlign w:val="center"/>
          </w:tcPr>
          <w:p w14:paraId="6B0FDE8E">
            <w:pPr>
              <w:keepNext w:val="0"/>
              <w:keepLines w:val="0"/>
              <w:suppressLineNumbers w:val="0"/>
              <w:spacing w:before="0" w:beforeAutospacing="0" w:after="0" w:afterAutospacing="0" w:line="360" w:lineRule="auto"/>
              <w:ind w:left="0" w:right="0"/>
              <w:jc w:val="center"/>
              <w:rPr>
                <w:rFonts w:hint="eastAsia" w:ascii="宋体" w:hAnsi="宋体" w:cs="宋体"/>
                <w:color w:val="auto"/>
                <w:sz w:val="22"/>
                <w:szCs w:val="22"/>
                <w:highlight w:val="none"/>
              </w:rPr>
            </w:pPr>
          </w:p>
        </w:tc>
        <w:tc>
          <w:tcPr>
            <w:tcW w:w="1441" w:type="dxa"/>
            <w:noWrap w:val="0"/>
            <w:vAlign w:val="center"/>
          </w:tcPr>
          <w:p w14:paraId="62E496C8">
            <w:pPr>
              <w:keepNext w:val="0"/>
              <w:keepLines w:val="0"/>
              <w:suppressLineNumbers w:val="0"/>
              <w:spacing w:before="0" w:beforeAutospacing="0" w:after="0" w:afterAutospacing="0" w:line="360" w:lineRule="auto"/>
              <w:ind w:left="0" w:right="0"/>
              <w:jc w:val="center"/>
              <w:rPr>
                <w:rFonts w:hint="eastAsia" w:ascii="宋体" w:hAnsi="宋体" w:cs="宋体"/>
                <w:color w:val="auto"/>
                <w:sz w:val="22"/>
                <w:szCs w:val="22"/>
                <w:highlight w:val="none"/>
              </w:rPr>
            </w:pPr>
          </w:p>
        </w:tc>
        <w:tc>
          <w:tcPr>
            <w:tcW w:w="2700" w:type="dxa"/>
            <w:noWrap w:val="0"/>
            <w:vAlign w:val="top"/>
          </w:tcPr>
          <w:p w14:paraId="21BEA8DC">
            <w:pPr>
              <w:keepNext w:val="0"/>
              <w:keepLines w:val="0"/>
              <w:suppressLineNumbers w:val="0"/>
              <w:spacing w:before="0" w:beforeAutospacing="0" w:after="0" w:afterAutospacing="0" w:line="360" w:lineRule="auto"/>
              <w:ind w:left="0" w:right="0"/>
              <w:jc w:val="center"/>
              <w:rPr>
                <w:rFonts w:hint="eastAsia" w:ascii="宋体" w:hAnsi="宋体" w:cs="宋体"/>
                <w:color w:val="auto"/>
                <w:sz w:val="22"/>
                <w:szCs w:val="22"/>
                <w:highlight w:val="none"/>
              </w:rPr>
            </w:pPr>
          </w:p>
        </w:tc>
      </w:tr>
      <w:tr w14:paraId="66A7CF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14:paraId="3B259485">
            <w:pPr>
              <w:keepNext w:val="0"/>
              <w:keepLines w:val="0"/>
              <w:suppressLineNumbers w:val="0"/>
              <w:spacing w:before="0" w:beforeAutospacing="0" w:after="0" w:afterAutospacing="0" w:line="360" w:lineRule="auto"/>
              <w:ind w:left="0" w:right="0"/>
              <w:jc w:val="center"/>
              <w:rPr>
                <w:rFonts w:hint="eastAsia" w:ascii="宋体" w:hAnsi="宋体" w:cs="宋体"/>
                <w:b/>
                <w:color w:val="auto"/>
                <w:sz w:val="22"/>
                <w:szCs w:val="22"/>
                <w:highlight w:val="none"/>
              </w:rPr>
            </w:pPr>
          </w:p>
        </w:tc>
        <w:tc>
          <w:tcPr>
            <w:tcW w:w="1065" w:type="dxa"/>
            <w:noWrap w:val="0"/>
            <w:vAlign w:val="center"/>
          </w:tcPr>
          <w:p w14:paraId="29D42C4D">
            <w:pPr>
              <w:keepNext w:val="0"/>
              <w:keepLines w:val="0"/>
              <w:suppressLineNumbers w:val="0"/>
              <w:spacing w:before="0" w:beforeAutospacing="0" w:after="0" w:afterAutospacing="0" w:line="360" w:lineRule="auto"/>
              <w:ind w:left="0" w:right="0"/>
              <w:jc w:val="center"/>
              <w:rPr>
                <w:rFonts w:hint="eastAsia" w:ascii="宋体" w:hAnsi="宋体" w:cs="宋体"/>
                <w:color w:val="auto"/>
                <w:sz w:val="22"/>
                <w:szCs w:val="22"/>
                <w:highlight w:val="none"/>
              </w:rPr>
            </w:pPr>
          </w:p>
        </w:tc>
        <w:tc>
          <w:tcPr>
            <w:tcW w:w="1414" w:type="dxa"/>
            <w:noWrap w:val="0"/>
            <w:vAlign w:val="center"/>
          </w:tcPr>
          <w:p w14:paraId="78205D0F">
            <w:pPr>
              <w:keepNext w:val="0"/>
              <w:keepLines w:val="0"/>
              <w:suppressLineNumbers w:val="0"/>
              <w:spacing w:before="0" w:beforeAutospacing="0" w:after="0" w:afterAutospacing="0" w:line="360" w:lineRule="auto"/>
              <w:ind w:left="0" w:right="0"/>
              <w:jc w:val="center"/>
              <w:rPr>
                <w:rFonts w:hint="eastAsia" w:ascii="宋体" w:hAnsi="宋体" w:cs="宋体"/>
                <w:color w:val="auto"/>
                <w:sz w:val="22"/>
                <w:szCs w:val="22"/>
                <w:highlight w:val="none"/>
              </w:rPr>
            </w:pPr>
          </w:p>
        </w:tc>
        <w:tc>
          <w:tcPr>
            <w:tcW w:w="1619" w:type="dxa"/>
            <w:tcBorders>
              <w:left w:val="single" w:color="auto" w:sz="4" w:space="0"/>
              <w:right w:val="single" w:color="auto" w:sz="4" w:space="0"/>
            </w:tcBorders>
            <w:noWrap w:val="0"/>
            <w:vAlign w:val="center"/>
          </w:tcPr>
          <w:p w14:paraId="3C1BCF00">
            <w:pPr>
              <w:keepNext w:val="0"/>
              <w:keepLines w:val="0"/>
              <w:suppressLineNumbers w:val="0"/>
              <w:spacing w:before="0" w:beforeAutospacing="0" w:after="0" w:afterAutospacing="0" w:line="360" w:lineRule="auto"/>
              <w:ind w:left="0" w:right="0"/>
              <w:jc w:val="center"/>
              <w:rPr>
                <w:rFonts w:hint="eastAsia" w:ascii="宋体" w:hAnsi="宋体" w:cs="宋体"/>
                <w:color w:val="auto"/>
                <w:sz w:val="22"/>
                <w:szCs w:val="22"/>
                <w:highlight w:val="none"/>
              </w:rPr>
            </w:pPr>
          </w:p>
        </w:tc>
        <w:tc>
          <w:tcPr>
            <w:tcW w:w="1441" w:type="dxa"/>
            <w:noWrap w:val="0"/>
            <w:vAlign w:val="center"/>
          </w:tcPr>
          <w:p w14:paraId="04723EA7">
            <w:pPr>
              <w:keepNext w:val="0"/>
              <w:keepLines w:val="0"/>
              <w:suppressLineNumbers w:val="0"/>
              <w:spacing w:before="0" w:beforeAutospacing="0" w:after="0" w:afterAutospacing="0" w:line="360" w:lineRule="auto"/>
              <w:ind w:left="0" w:right="0"/>
              <w:jc w:val="center"/>
              <w:rPr>
                <w:rFonts w:hint="eastAsia" w:ascii="宋体" w:hAnsi="宋体" w:cs="宋体"/>
                <w:color w:val="auto"/>
                <w:sz w:val="22"/>
                <w:szCs w:val="22"/>
                <w:highlight w:val="none"/>
              </w:rPr>
            </w:pPr>
          </w:p>
        </w:tc>
        <w:tc>
          <w:tcPr>
            <w:tcW w:w="2700" w:type="dxa"/>
            <w:noWrap w:val="0"/>
            <w:vAlign w:val="top"/>
          </w:tcPr>
          <w:p w14:paraId="2DBBA086">
            <w:pPr>
              <w:keepNext w:val="0"/>
              <w:keepLines w:val="0"/>
              <w:suppressLineNumbers w:val="0"/>
              <w:spacing w:before="0" w:beforeAutospacing="0" w:after="0" w:afterAutospacing="0" w:line="360" w:lineRule="auto"/>
              <w:ind w:left="0" w:right="0"/>
              <w:jc w:val="center"/>
              <w:rPr>
                <w:rFonts w:hint="eastAsia" w:ascii="宋体" w:hAnsi="宋体" w:cs="宋体"/>
                <w:color w:val="auto"/>
                <w:sz w:val="22"/>
                <w:szCs w:val="22"/>
                <w:highlight w:val="none"/>
              </w:rPr>
            </w:pPr>
          </w:p>
        </w:tc>
      </w:tr>
    </w:tbl>
    <w:p w14:paraId="4B34B4D0">
      <w:pPr>
        <w:tabs>
          <w:tab w:val="left" w:pos="8782"/>
        </w:tabs>
        <w:snapToGrid w:val="0"/>
        <w:spacing w:before="120" w:line="360" w:lineRule="auto"/>
        <w:ind w:right="-38"/>
        <w:rPr>
          <w:rFonts w:hint="eastAsia" w:ascii="宋体" w:hAnsi="宋体" w:cs="宋体"/>
          <w:color w:val="auto"/>
          <w:sz w:val="22"/>
          <w:szCs w:val="22"/>
          <w:highlight w:val="none"/>
        </w:rPr>
      </w:pPr>
      <w:r>
        <w:rPr>
          <w:rFonts w:hint="eastAsia" w:ascii="宋体" w:hAnsi="宋体" w:cs="宋体"/>
          <w:color w:val="auto"/>
          <w:sz w:val="22"/>
          <w:szCs w:val="22"/>
          <w:highlight w:val="none"/>
        </w:rPr>
        <w:t>注：1. 供应商应如实列出以上情况，如有隐瞒，一经查实将导致其报价申请被拒绝。</w:t>
      </w:r>
    </w:p>
    <w:p w14:paraId="1A1D53EA">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2.供应商应提供双方签订的合同（合同复印件加盖公章）。</w:t>
      </w:r>
    </w:p>
    <w:p w14:paraId="12FC9867">
      <w:pPr>
        <w:spacing w:line="480" w:lineRule="auto"/>
        <w:ind w:right="-161"/>
        <w:rPr>
          <w:rFonts w:hint="eastAsia" w:ascii="宋体" w:hAnsi="宋体" w:cs="宋体"/>
          <w:color w:val="auto"/>
          <w:sz w:val="22"/>
          <w:szCs w:val="22"/>
          <w:highlight w:val="none"/>
        </w:rPr>
      </w:pPr>
    </w:p>
    <w:p w14:paraId="03A9C05D">
      <w:pPr>
        <w:spacing w:line="440" w:lineRule="exact"/>
        <w:ind w:left="3259" w:leftChars="1552"/>
        <w:rPr>
          <w:rFonts w:hint="eastAsia" w:ascii="宋体" w:hAnsi="宋体" w:cs="宋体"/>
          <w:color w:val="auto"/>
          <w:sz w:val="22"/>
          <w:szCs w:val="22"/>
          <w:highlight w:val="none"/>
        </w:rPr>
      </w:pPr>
      <w:r>
        <w:rPr>
          <w:rFonts w:hint="eastAsia" w:ascii="宋体" w:hAnsi="宋体" w:cs="宋体"/>
          <w:color w:val="auto"/>
          <w:sz w:val="22"/>
          <w:szCs w:val="22"/>
          <w:highlight w:val="none"/>
        </w:rPr>
        <w:t>法定代表人或被授权人签字：</w:t>
      </w:r>
    </w:p>
    <w:p w14:paraId="6D5D4BF7">
      <w:pPr>
        <w:spacing w:line="5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w:t>
      </w:r>
      <w:r>
        <w:rPr>
          <w:rFonts w:hint="eastAsia" w:ascii="宋体" w:hAnsi="宋体" w:cs="宋体"/>
          <w:color w:val="auto"/>
          <w:sz w:val="22"/>
          <w:szCs w:val="22"/>
          <w:highlight w:val="none"/>
          <w:lang w:val="en-US" w:eastAsia="zh-CN"/>
        </w:rPr>
        <w:t xml:space="preserve">   </w:t>
      </w:r>
      <w:r>
        <w:rPr>
          <w:rFonts w:hint="eastAsia" w:ascii="宋体" w:hAnsi="宋体" w:cs="宋体"/>
          <w:color w:val="auto"/>
          <w:sz w:val="22"/>
          <w:szCs w:val="22"/>
          <w:highlight w:val="none"/>
        </w:rPr>
        <w:t>投标人名称（公章）：</w:t>
      </w:r>
    </w:p>
    <w:p w14:paraId="5E590175">
      <w:pPr>
        <w:spacing w:line="440" w:lineRule="exact"/>
        <w:ind w:left="3259" w:leftChars="1552"/>
        <w:rPr>
          <w:rFonts w:hint="eastAsia" w:ascii="宋体" w:hAnsi="宋体" w:cs="宋体"/>
          <w:color w:val="auto"/>
          <w:sz w:val="22"/>
          <w:szCs w:val="22"/>
          <w:highlight w:val="none"/>
        </w:rPr>
      </w:pPr>
      <w:r>
        <w:rPr>
          <w:rFonts w:hint="eastAsia" w:ascii="宋体" w:hAnsi="宋体" w:cs="宋体"/>
          <w:color w:val="auto"/>
          <w:sz w:val="22"/>
          <w:szCs w:val="22"/>
          <w:highlight w:val="none"/>
        </w:rPr>
        <w:t>日      期：</w:t>
      </w:r>
    </w:p>
    <w:p w14:paraId="744FC059">
      <w:pPr>
        <w:keepNext/>
        <w:keepLines/>
        <w:widowControl w:val="0"/>
        <w:numPr>
          <w:ilvl w:val="1"/>
          <w:numId w:val="0"/>
        </w:numPr>
        <w:spacing w:before="260" w:after="260"/>
        <w:ind w:firstLine="0" w:firstLineChars="0"/>
        <w:jc w:val="center"/>
        <w:outlineLvl w:val="9"/>
        <w:rPr>
          <w:rFonts w:hint="eastAsia" w:ascii="宋体" w:hAnsi="宋体" w:eastAsia="宋体" w:cs="宋体"/>
          <w:b/>
          <w:bCs/>
          <w:color w:val="auto"/>
          <w:kern w:val="2"/>
          <w:sz w:val="32"/>
          <w:szCs w:val="32"/>
          <w:highlight w:val="none"/>
          <w:lang w:val="en-US" w:eastAsia="zh-CN" w:bidi="ar-SA"/>
        </w:rPr>
      </w:pPr>
    </w:p>
    <w:p w14:paraId="46A9EB0A">
      <w:pPr>
        <w:widowControl/>
        <w:spacing w:line="360" w:lineRule="auto"/>
        <w:ind w:firstLine="480" w:firstLineChars="200"/>
        <w:rPr>
          <w:rFonts w:hint="eastAsia" w:ascii="宋体" w:hAnsi="宋体" w:eastAsia="宋体" w:cs="宋体"/>
          <w:color w:val="auto"/>
          <w:sz w:val="24"/>
          <w:szCs w:val="24"/>
          <w:highlight w:val="none"/>
        </w:rPr>
      </w:pPr>
    </w:p>
    <w:p w14:paraId="62A8A9AF">
      <w:pPr>
        <w:keepNext/>
        <w:keepLines/>
        <w:pageBreakBefore w:val="0"/>
        <w:widowControl w:val="0"/>
        <w:numPr>
          <w:ilvl w:val="1"/>
          <w:numId w:val="0"/>
        </w:numPr>
        <w:kinsoku/>
        <w:wordWrap/>
        <w:overflowPunct/>
        <w:topLinePunct w:val="0"/>
        <w:autoSpaceDE/>
        <w:autoSpaceDN/>
        <w:bidi w:val="0"/>
        <w:adjustRightInd/>
        <w:snapToGrid/>
        <w:spacing w:before="200" w:after="200" w:line="360" w:lineRule="auto"/>
        <w:ind w:left="0" w:leftChars="0" w:firstLine="0" w:firstLineChars="0"/>
        <w:jc w:val="center"/>
        <w:textAlignment w:val="auto"/>
        <w:outlineLvl w:val="0"/>
        <w:rPr>
          <w:rFonts w:hint="eastAsia" w:ascii="宋体" w:hAnsi="宋体" w:eastAsia="宋体" w:cs="宋体"/>
          <w:b/>
          <w:bCs/>
          <w:color w:val="auto"/>
          <w:kern w:val="2"/>
          <w:sz w:val="32"/>
          <w:szCs w:val="32"/>
          <w:highlight w:val="none"/>
          <w:lang w:val="en-US" w:eastAsia="zh-CN" w:bidi="ar-SA"/>
        </w:rPr>
      </w:pPr>
      <w:bookmarkStart w:id="247" w:name="_Toc25028"/>
      <w:r>
        <w:rPr>
          <w:rFonts w:hint="eastAsia" w:ascii="宋体" w:hAnsi="宋体" w:eastAsia="宋体" w:cs="宋体"/>
          <w:b/>
          <w:bCs/>
          <w:color w:val="auto"/>
          <w:kern w:val="2"/>
          <w:sz w:val="32"/>
          <w:szCs w:val="32"/>
          <w:highlight w:val="none"/>
          <w:lang w:val="en-US" w:eastAsia="zh-CN" w:bidi="ar-SA"/>
        </w:rPr>
        <w:t>八、供应商承诺书</w:t>
      </w:r>
      <w:bookmarkEnd w:id="247"/>
    </w:p>
    <w:p w14:paraId="45409DF5">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1"/>
        <w:rPr>
          <w:rFonts w:hint="eastAsia" w:ascii="宋体" w:hAnsi="宋体" w:eastAsia="宋体" w:cs="宋体"/>
          <w:color w:val="auto"/>
          <w:sz w:val="28"/>
          <w:szCs w:val="28"/>
          <w:highlight w:val="none"/>
        </w:rPr>
      </w:pPr>
      <w:bookmarkStart w:id="248" w:name="_Toc19111"/>
      <w:bookmarkStart w:id="249" w:name="_Toc18088"/>
      <w:bookmarkStart w:id="250" w:name="_Toc17903"/>
      <w:bookmarkStart w:id="251" w:name="_Toc3655"/>
      <w:r>
        <w:rPr>
          <w:rFonts w:hint="eastAsia" w:ascii="宋体" w:hAnsi="宋体" w:eastAsia="宋体" w:cs="宋体"/>
          <w:color w:val="auto"/>
          <w:sz w:val="28"/>
          <w:szCs w:val="28"/>
          <w:highlight w:val="none"/>
        </w:rPr>
        <w:t>（一）质量安全责任承诺书</w:t>
      </w:r>
      <w:bookmarkEnd w:id="248"/>
      <w:bookmarkEnd w:id="249"/>
      <w:bookmarkEnd w:id="250"/>
      <w:bookmarkEnd w:id="251"/>
    </w:p>
    <w:p w14:paraId="76DD5CE2">
      <w:pPr>
        <w:widowControl/>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为保证本采购项目顺利进行，作为投标供应商，现郑重承诺：</w:t>
      </w:r>
    </w:p>
    <w:p w14:paraId="301C442F">
      <w:pPr>
        <w:widowControl/>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1、我方投标</w:t>
      </w:r>
      <w:r>
        <w:rPr>
          <w:rFonts w:hint="eastAsia" w:ascii="宋体" w:hAnsi="宋体" w:eastAsia="宋体" w:cs="宋体"/>
          <w:color w:val="auto"/>
          <w:sz w:val="22"/>
          <w:szCs w:val="22"/>
          <w:highlight w:val="none"/>
          <w:lang w:val="en-US" w:eastAsia="zh-CN"/>
        </w:rPr>
        <w:t>服务</w:t>
      </w:r>
      <w:r>
        <w:rPr>
          <w:rFonts w:hint="eastAsia" w:ascii="宋体" w:hAnsi="宋体" w:eastAsia="宋体" w:cs="宋体"/>
          <w:color w:val="auto"/>
          <w:sz w:val="22"/>
          <w:szCs w:val="22"/>
          <w:highlight w:val="none"/>
        </w:rPr>
        <w:t>等均完全符合国家现行质量、安全、环保标准和要求。</w:t>
      </w:r>
    </w:p>
    <w:p w14:paraId="1C052AE1">
      <w:pPr>
        <w:widowControl/>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2、我方将严格按照国家现行相关技术标准及规范、服务标准及规范及规范，在规定的时限内，保质、保量完成项目全部内容，并向采购人交付合格</w:t>
      </w:r>
      <w:r>
        <w:rPr>
          <w:rFonts w:hint="eastAsia" w:ascii="宋体" w:hAnsi="宋体" w:eastAsia="宋体" w:cs="宋体"/>
          <w:color w:val="auto"/>
          <w:sz w:val="22"/>
          <w:szCs w:val="22"/>
          <w:highlight w:val="none"/>
          <w:lang w:val="en-US" w:eastAsia="zh-CN"/>
        </w:rPr>
        <w:t>服务</w:t>
      </w:r>
      <w:r>
        <w:rPr>
          <w:rFonts w:hint="eastAsia" w:ascii="宋体" w:hAnsi="宋体" w:eastAsia="宋体" w:cs="宋体"/>
          <w:color w:val="auto"/>
          <w:sz w:val="22"/>
          <w:szCs w:val="22"/>
          <w:highlight w:val="none"/>
        </w:rPr>
        <w:t>。</w:t>
      </w:r>
    </w:p>
    <w:p w14:paraId="37ABCEEC">
      <w:pPr>
        <w:widowControl/>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3、对于因服务等过程中产生的任何安全事故，我方承担全部责任。</w:t>
      </w:r>
    </w:p>
    <w:p w14:paraId="741A968B">
      <w:pPr>
        <w:widowControl/>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4、我方提供的服务等符合现行的国家、行业、地区、企业标准及要求，标准不一致的，以更为严格的为准，我方对提供的服务等的质量、安全、环保等承担全部责任。</w:t>
      </w:r>
    </w:p>
    <w:p w14:paraId="21D2ECB1">
      <w:pPr>
        <w:widowControl/>
        <w:spacing w:line="360" w:lineRule="auto"/>
        <w:ind w:firstLine="440" w:firstLineChars="200"/>
        <w:rPr>
          <w:rFonts w:hint="eastAsia" w:ascii="宋体" w:hAnsi="宋体" w:eastAsia="宋体" w:cs="宋体"/>
          <w:color w:val="auto"/>
          <w:sz w:val="22"/>
          <w:szCs w:val="22"/>
          <w:highlight w:val="none"/>
        </w:rPr>
      </w:pPr>
    </w:p>
    <w:p w14:paraId="1D2E4622">
      <w:pPr>
        <w:widowControl/>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（加盖公章）</w:t>
      </w:r>
    </w:p>
    <w:p w14:paraId="3C757D22">
      <w:pPr>
        <w:widowControl/>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（签字或盖章）</w:t>
      </w:r>
    </w:p>
    <w:p w14:paraId="301DC2EA">
      <w:pPr>
        <w:widowControl/>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　　年　月　日</w:t>
      </w:r>
    </w:p>
    <w:p w14:paraId="1CD64179">
      <w:pPr>
        <w:keepNext/>
        <w:keepLines/>
        <w:widowControl w:val="0"/>
        <w:numPr>
          <w:ilvl w:val="1"/>
          <w:numId w:val="0"/>
        </w:numPr>
        <w:spacing w:before="260" w:after="260"/>
        <w:ind w:firstLine="0" w:firstLineChars="0"/>
        <w:jc w:val="both"/>
        <w:outlineLvl w:val="9"/>
        <w:rPr>
          <w:rFonts w:hint="eastAsia" w:ascii="宋体" w:hAnsi="宋体" w:eastAsia="宋体" w:cs="宋体"/>
          <w:b/>
          <w:bCs/>
          <w:color w:val="auto"/>
          <w:kern w:val="2"/>
          <w:sz w:val="28"/>
          <w:szCs w:val="28"/>
          <w:highlight w:val="none"/>
          <w:lang w:val="en-US" w:eastAsia="zh-CN" w:bidi="ar-SA"/>
        </w:rPr>
      </w:pPr>
    </w:p>
    <w:p w14:paraId="69E595E1">
      <w:pPr>
        <w:keepNext/>
        <w:keepLines/>
        <w:widowControl w:val="0"/>
        <w:numPr>
          <w:ilvl w:val="1"/>
          <w:numId w:val="0"/>
        </w:numPr>
        <w:spacing w:before="260" w:after="260"/>
        <w:ind w:firstLine="0" w:firstLineChars="0"/>
        <w:jc w:val="center"/>
        <w:outlineLvl w:val="9"/>
        <w:rPr>
          <w:rFonts w:hint="eastAsia" w:ascii="宋体" w:hAnsi="宋体" w:eastAsia="宋体" w:cs="宋体"/>
          <w:b/>
          <w:bCs/>
          <w:color w:val="auto"/>
          <w:kern w:val="2"/>
          <w:sz w:val="28"/>
          <w:szCs w:val="28"/>
          <w:highlight w:val="none"/>
          <w:lang w:val="en-US" w:eastAsia="zh-CN" w:bidi="ar-SA"/>
        </w:rPr>
      </w:pPr>
    </w:p>
    <w:p w14:paraId="3AE11BEE">
      <w:pPr>
        <w:keepNext/>
        <w:keepLines/>
        <w:widowControl w:val="0"/>
        <w:numPr>
          <w:ilvl w:val="1"/>
          <w:numId w:val="0"/>
        </w:numPr>
        <w:spacing w:before="260" w:after="260"/>
        <w:ind w:firstLine="0" w:firstLineChars="0"/>
        <w:jc w:val="center"/>
        <w:outlineLvl w:val="9"/>
        <w:rPr>
          <w:rFonts w:hint="eastAsia" w:ascii="宋体" w:hAnsi="宋体" w:eastAsia="宋体" w:cs="宋体"/>
          <w:b/>
          <w:bCs/>
          <w:color w:val="auto"/>
          <w:kern w:val="2"/>
          <w:sz w:val="28"/>
          <w:szCs w:val="28"/>
          <w:highlight w:val="none"/>
          <w:lang w:val="en-US" w:eastAsia="zh-CN" w:bidi="ar-SA"/>
        </w:rPr>
      </w:pPr>
    </w:p>
    <w:p w14:paraId="13F7FC33">
      <w:pPr>
        <w:keepNext/>
        <w:keepLines/>
        <w:widowControl w:val="0"/>
        <w:numPr>
          <w:ilvl w:val="1"/>
          <w:numId w:val="0"/>
        </w:numPr>
        <w:spacing w:before="260" w:after="260"/>
        <w:ind w:firstLine="0" w:firstLineChars="0"/>
        <w:jc w:val="center"/>
        <w:outlineLvl w:val="9"/>
        <w:rPr>
          <w:rFonts w:hint="eastAsia" w:ascii="宋体" w:hAnsi="宋体" w:eastAsia="宋体" w:cs="宋体"/>
          <w:b/>
          <w:bCs/>
          <w:color w:val="auto"/>
          <w:kern w:val="2"/>
          <w:sz w:val="28"/>
          <w:szCs w:val="28"/>
          <w:highlight w:val="none"/>
          <w:lang w:val="en-US" w:eastAsia="zh-CN" w:bidi="ar-SA"/>
        </w:rPr>
      </w:pPr>
    </w:p>
    <w:p w14:paraId="7AD307EA">
      <w:pPr>
        <w:rPr>
          <w:rFonts w:hint="eastAsia" w:ascii="宋体" w:hAnsi="宋体" w:cs="宋体"/>
          <w:b/>
          <w:bCs/>
          <w:color w:val="auto"/>
          <w:sz w:val="28"/>
          <w:szCs w:val="28"/>
          <w:highlight w:val="none"/>
          <w:lang w:eastAsia="zh-CN"/>
        </w:rPr>
      </w:pPr>
    </w:p>
    <w:p w14:paraId="06D6FA4D">
      <w:pPr>
        <w:rPr>
          <w:rFonts w:hint="eastAsia" w:ascii="宋体" w:hAnsi="宋体" w:cs="宋体"/>
          <w:b/>
          <w:bCs/>
          <w:color w:val="auto"/>
          <w:sz w:val="28"/>
          <w:szCs w:val="28"/>
          <w:highlight w:val="none"/>
          <w:lang w:eastAsia="zh-CN"/>
        </w:rPr>
      </w:pPr>
    </w:p>
    <w:p w14:paraId="23761FFA">
      <w:pPr>
        <w:rPr>
          <w:rFonts w:hint="eastAsia" w:ascii="宋体" w:hAnsi="宋体" w:cs="宋体"/>
          <w:b/>
          <w:bCs/>
          <w:color w:val="auto"/>
          <w:sz w:val="28"/>
          <w:szCs w:val="28"/>
          <w:highlight w:val="none"/>
          <w:lang w:eastAsia="zh-CN"/>
        </w:rPr>
      </w:pPr>
    </w:p>
    <w:p w14:paraId="3C51E034">
      <w:pPr>
        <w:rPr>
          <w:rFonts w:hint="eastAsia" w:ascii="宋体" w:hAnsi="宋体" w:cs="宋体"/>
          <w:b/>
          <w:bCs/>
          <w:color w:val="auto"/>
          <w:sz w:val="28"/>
          <w:szCs w:val="28"/>
          <w:highlight w:val="none"/>
          <w:lang w:eastAsia="zh-CN"/>
        </w:rPr>
      </w:pPr>
    </w:p>
    <w:p w14:paraId="4B9DB115">
      <w:pPr>
        <w:rPr>
          <w:rFonts w:hint="eastAsia" w:ascii="宋体" w:hAnsi="宋体" w:cs="宋体"/>
          <w:b/>
          <w:bCs/>
          <w:color w:val="auto"/>
          <w:sz w:val="28"/>
          <w:szCs w:val="28"/>
          <w:highlight w:val="none"/>
          <w:lang w:eastAsia="zh-CN"/>
        </w:rPr>
      </w:pPr>
    </w:p>
    <w:p w14:paraId="2B9DCF85">
      <w:pPr>
        <w:pStyle w:val="3"/>
        <w:numPr>
          <w:ilvl w:val="1"/>
          <w:numId w:val="0"/>
        </w:numPr>
        <w:jc w:val="center"/>
        <w:rPr>
          <w:rFonts w:hint="eastAsia" w:ascii="宋体" w:hAnsi="宋体" w:cs="宋体"/>
          <w:b/>
          <w:bCs/>
          <w:color w:val="auto"/>
          <w:sz w:val="28"/>
          <w:szCs w:val="28"/>
          <w:highlight w:val="none"/>
          <w:lang w:eastAsia="zh-CN"/>
        </w:rPr>
      </w:pPr>
      <w:bookmarkStart w:id="252" w:name="_Toc18822"/>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二</w:t>
      </w:r>
      <w:r>
        <w:rPr>
          <w:rFonts w:hint="eastAsia" w:ascii="宋体" w:hAnsi="宋体" w:cs="宋体"/>
          <w:b/>
          <w:bCs/>
          <w:color w:val="auto"/>
          <w:sz w:val="28"/>
          <w:szCs w:val="28"/>
          <w:highlight w:val="none"/>
          <w:lang w:eastAsia="zh-CN"/>
        </w:rPr>
        <w:t>）</w:t>
      </w:r>
      <w:r>
        <w:rPr>
          <w:rFonts w:hint="eastAsia" w:ascii="宋体" w:hAnsi="宋体" w:eastAsia="宋体" w:cs="宋体"/>
          <w:b/>
          <w:bCs/>
          <w:color w:val="auto"/>
          <w:sz w:val="28"/>
          <w:szCs w:val="28"/>
          <w:highlight w:val="none"/>
        </w:rPr>
        <w:t>投标人拒绝政府采购领域商业贿赂承诺书</w:t>
      </w:r>
      <w:r>
        <w:rPr>
          <w:rFonts w:hint="eastAsia" w:ascii="宋体" w:hAnsi="宋体" w:eastAsia="宋体" w:cs="宋体"/>
          <w:b/>
          <w:bCs/>
          <w:color w:val="auto"/>
          <w:kern w:val="0"/>
          <w:sz w:val="22"/>
          <w:szCs w:val="28"/>
          <w:highlight w:val="none"/>
        </w:rPr>
        <w:br w:type="textWrapping"/>
      </w:r>
      <w:r>
        <w:rPr>
          <w:rFonts w:hint="eastAsia" w:ascii="宋体" w:hAnsi="宋体" w:eastAsia="宋体" w:cs="宋体"/>
          <w:b/>
          <w:color w:val="auto"/>
          <w:sz w:val="28"/>
          <w:szCs w:val="28"/>
          <w:highlight w:val="none"/>
        </w:rPr>
        <w:t>承诺书</w:t>
      </w:r>
      <w:r>
        <w:rPr>
          <w:rFonts w:hint="eastAsia" w:ascii="宋体" w:hAnsi="宋体" w:cs="宋体"/>
          <w:b/>
          <w:color w:val="auto"/>
          <w:sz w:val="28"/>
          <w:szCs w:val="28"/>
          <w:highlight w:val="none"/>
          <w:lang w:val="en-US" w:eastAsia="zh-CN"/>
        </w:rPr>
        <w:t>（1）</w:t>
      </w:r>
      <w:bookmarkEnd w:id="252"/>
    </w:p>
    <w:p w14:paraId="67E43DD6">
      <w:pPr>
        <w:widowControl/>
        <w:spacing w:line="52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为响应党中央、国务院关于治理政府采购领域商业贿赂行为的号召，我单位在此庄严承诺： </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　　1、在参与政府采购活动中遵纪守法、诚信经营、公平竞标。 </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　　2、不向政府采购人、采购代理机构和政府采购评审专家进行任何形式的商业贿赂以谋取交易机会。 </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  3、不向政府采购代理机构和采购人提供虚假资质文件或采用虚假应标方式参与政府采购市场竞争并谋取中标、成交。 </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  4、不采取“围标、陪标”等商业欺诈手段获得政府采购定单。 </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  5、不采取不正当手段低毁、排挤其他供应商。 </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  6、不在提供商品和服务时“偷梁换柱、以次充好”损害采购人的合法权益。 </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  7、不与采购人、采购代理机构政府采购评审专家或其它供应商恶意串通，进行质疑和投诉，维护政府采购市场秩序。 </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  8、尊重和接受政府采购监督管理部门的监督和政府采购代理机构招标采购要求，承担因违约行为给采购人造成的损失。 </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　　9、不发生其他有悖于政府采购公开、公平、公正和诚信原则的行为。 </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w:t>
      </w:r>
    </w:p>
    <w:p w14:paraId="7C352CDD">
      <w:pPr>
        <w:widowControl/>
        <w:spacing w:line="520" w:lineRule="exact"/>
        <w:ind w:firstLine="660" w:firstLineChars="30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承诺单位（盖章）</w:t>
      </w:r>
    </w:p>
    <w:p w14:paraId="139D6B2E">
      <w:pPr>
        <w:widowControl/>
        <w:spacing w:line="520" w:lineRule="exact"/>
        <w:ind w:firstLine="660" w:firstLineChars="30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全权代表（签字）</w:t>
      </w:r>
      <w:r>
        <w:rPr>
          <w:rFonts w:hint="eastAsia" w:ascii="宋体" w:hAnsi="宋体" w:cs="宋体"/>
          <w:color w:val="auto"/>
          <w:kern w:val="0"/>
          <w:sz w:val="22"/>
          <w:szCs w:val="22"/>
          <w:highlight w:val="none"/>
          <w:lang w:eastAsia="zh-CN"/>
        </w:rPr>
        <w:t>：</w:t>
      </w:r>
    </w:p>
    <w:p w14:paraId="4D067D7F">
      <w:pPr>
        <w:widowControl/>
        <w:spacing w:line="520" w:lineRule="exact"/>
        <w:ind w:firstLine="660" w:firstLineChars="300"/>
        <w:jc w:val="left"/>
        <w:rPr>
          <w:rFonts w:hint="eastAsia"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rPr>
        <w:t>地　　址：</w:t>
      </w:r>
    </w:p>
    <w:p w14:paraId="559E439A">
      <w:pPr>
        <w:widowControl/>
        <w:spacing w:line="520" w:lineRule="exact"/>
        <w:ind w:firstLine="660" w:firstLineChars="300"/>
        <w:jc w:val="left"/>
        <w:rPr>
          <w:rFonts w:hint="eastAsia"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rPr>
        <w:t>邮    编：</w:t>
      </w:r>
    </w:p>
    <w:p w14:paraId="3729C021">
      <w:pPr>
        <w:widowControl/>
        <w:spacing w:line="520" w:lineRule="exact"/>
        <w:ind w:firstLine="660" w:firstLineChars="3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2"/>
          <w:szCs w:val="22"/>
          <w:highlight w:val="none"/>
        </w:rPr>
        <w:t>电　　话：</w:t>
      </w:r>
      <w:r>
        <w:rPr>
          <w:rFonts w:hint="eastAsia" w:ascii="宋体" w:hAnsi="宋体" w:eastAsia="宋体" w:cs="宋体"/>
          <w:color w:val="auto"/>
          <w:kern w:val="0"/>
          <w:sz w:val="24"/>
          <w:highlight w:val="none"/>
        </w:rPr>
        <w:t xml:space="preserve">　　　　                                    </w:t>
      </w:r>
    </w:p>
    <w:p w14:paraId="05B65E5E">
      <w:pPr>
        <w:widowControl/>
        <w:spacing w:line="520" w:lineRule="exact"/>
        <w:ind w:firstLine="720" w:firstLineChars="300"/>
        <w:jc w:val="righ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xml:space="preserve">  年　　月　　日   </w:t>
      </w:r>
      <w:r>
        <w:rPr>
          <w:rFonts w:hint="eastAsia" w:ascii="宋体" w:hAnsi="宋体" w:eastAsia="宋体" w:cs="宋体"/>
          <w:color w:val="auto"/>
          <w:kern w:val="0"/>
          <w:sz w:val="28"/>
          <w:szCs w:val="28"/>
          <w:highlight w:val="none"/>
        </w:rPr>
        <w:t xml:space="preserve">     </w:t>
      </w:r>
    </w:p>
    <w:p w14:paraId="69D16F9B">
      <w:pPr>
        <w:widowControl/>
        <w:spacing w:line="520" w:lineRule="exact"/>
        <w:jc w:val="center"/>
        <w:rPr>
          <w:rFonts w:hint="eastAsia" w:ascii="宋体" w:hAnsi="宋体" w:eastAsia="宋体" w:cs="宋体"/>
          <w:b/>
          <w:color w:val="auto"/>
          <w:sz w:val="28"/>
          <w:szCs w:val="28"/>
          <w:highlight w:val="none"/>
        </w:rPr>
      </w:pPr>
    </w:p>
    <w:p w14:paraId="60B1D364">
      <w:pPr>
        <w:widowControl/>
        <w:spacing w:line="520" w:lineRule="exact"/>
        <w:jc w:val="center"/>
        <w:rPr>
          <w:rFonts w:hint="eastAsia" w:ascii="宋体" w:hAnsi="宋体" w:eastAsia="宋体" w:cs="宋体"/>
          <w:b/>
          <w:color w:val="auto"/>
          <w:sz w:val="28"/>
          <w:szCs w:val="28"/>
          <w:highlight w:val="none"/>
        </w:rPr>
      </w:pPr>
    </w:p>
    <w:p w14:paraId="5754DC5D">
      <w:pPr>
        <w:widowControl/>
        <w:spacing w:line="520" w:lineRule="exact"/>
        <w:jc w:val="center"/>
        <w:rPr>
          <w:rFonts w:hint="eastAsia" w:ascii="宋体" w:hAnsi="宋体" w:eastAsia="宋体" w:cs="宋体"/>
          <w:b/>
          <w:color w:val="auto"/>
          <w:sz w:val="28"/>
          <w:szCs w:val="28"/>
          <w:highlight w:val="none"/>
        </w:rPr>
      </w:pPr>
    </w:p>
    <w:p w14:paraId="04F43B4F">
      <w:pPr>
        <w:widowControl/>
        <w:spacing w:line="520" w:lineRule="exact"/>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承诺书</w:t>
      </w:r>
      <w:r>
        <w:rPr>
          <w:rFonts w:hint="eastAsia" w:ascii="宋体" w:hAnsi="宋体" w:cs="宋体"/>
          <w:b/>
          <w:color w:val="auto"/>
          <w:sz w:val="28"/>
          <w:szCs w:val="28"/>
          <w:highlight w:val="none"/>
          <w:lang w:val="en-US" w:eastAsia="zh-CN"/>
        </w:rPr>
        <w:t>（2）</w:t>
      </w:r>
    </w:p>
    <w:p w14:paraId="57CF008B">
      <w:pPr>
        <w:spacing w:line="360" w:lineRule="atLeast"/>
        <w:jc w:val="center"/>
        <w:rPr>
          <w:rFonts w:hint="eastAsia" w:ascii="宋体" w:hAnsi="宋体" w:eastAsia="宋体" w:cs="宋体"/>
          <w:b/>
          <w:color w:val="auto"/>
          <w:sz w:val="24"/>
          <w:highlight w:val="none"/>
        </w:rPr>
      </w:pPr>
    </w:p>
    <w:tbl>
      <w:tblPr>
        <w:tblStyle w:val="25"/>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4F7A3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068FCBC5">
            <w:pPr>
              <w:keepNext w:val="0"/>
              <w:keepLines w:val="0"/>
              <w:suppressLineNumbers w:val="0"/>
              <w:spacing w:before="0" w:beforeAutospacing="0" w:after="0" w:afterAutospacing="0" w:line="360" w:lineRule="atLeast"/>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致：</w:t>
            </w:r>
            <w:r>
              <w:rPr>
                <w:rFonts w:hint="eastAsia" w:ascii="宋体" w:hAnsi="宋体" w:cs="宋体"/>
                <w:color w:val="auto"/>
                <w:sz w:val="22"/>
                <w:szCs w:val="22"/>
                <w:highlight w:val="none"/>
                <w:lang w:eastAsia="zh-CN"/>
              </w:rPr>
              <w:t>陕西秦丰源项目管理有限公司</w:t>
            </w:r>
          </w:p>
        </w:tc>
      </w:tr>
      <w:tr w14:paraId="592E9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3D085105">
            <w:pPr>
              <w:keepNext w:val="0"/>
              <w:keepLines w:val="0"/>
              <w:suppressLineNumbers w:val="0"/>
              <w:spacing w:before="0" w:beforeAutospacing="0" w:after="0" w:afterAutospacing="0" w:line="360" w:lineRule="atLeast"/>
              <w:ind w:left="0" w:righ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作为参加贵公司组织的本次招标项目的供应商，本公司承诺：在参加本项目招标之前不存在被依法禁止经营行为、财产被接管或冻结的情况，如有隐瞒实情，愿承担一切责任及后果。</w:t>
            </w:r>
          </w:p>
        </w:tc>
      </w:tr>
      <w:tr w14:paraId="74926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3240" w:type="dxa"/>
            <w:noWrap w:val="0"/>
            <w:vAlign w:val="center"/>
          </w:tcPr>
          <w:p w14:paraId="16C167BF">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w:t>
            </w:r>
          </w:p>
        </w:tc>
        <w:tc>
          <w:tcPr>
            <w:tcW w:w="3420" w:type="dxa"/>
            <w:noWrap w:val="0"/>
            <w:vAlign w:val="center"/>
          </w:tcPr>
          <w:p w14:paraId="096BC075">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w:t>
            </w:r>
          </w:p>
        </w:tc>
        <w:tc>
          <w:tcPr>
            <w:tcW w:w="2340" w:type="dxa"/>
            <w:noWrap w:val="0"/>
            <w:vAlign w:val="center"/>
          </w:tcPr>
          <w:p w14:paraId="552EC8D9">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  期</w:t>
            </w:r>
          </w:p>
        </w:tc>
      </w:tr>
      <w:tr w14:paraId="15E37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1D9F1971">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（公章）</w:t>
            </w:r>
          </w:p>
        </w:tc>
        <w:tc>
          <w:tcPr>
            <w:tcW w:w="3420" w:type="dxa"/>
            <w:noWrap w:val="0"/>
            <w:vAlign w:val="center"/>
          </w:tcPr>
          <w:p w14:paraId="37738954">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（签字或盖章）</w:t>
            </w:r>
          </w:p>
        </w:tc>
        <w:tc>
          <w:tcPr>
            <w:tcW w:w="2340" w:type="dxa"/>
            <w:noWrap w:val="0"/>
            <w:vAlign w:val="center"/>
          </w:tcPr>
          <w:p w14:paraId="72C11CED">
            <w:pPr>
              <w:keepNext w:val="0"/>
              <w:keepLines w:val="0"/>
              <w:suppressLineNumbers w:val="0"/>
              <w:spacing w:before="0" w:beforeAutospacing="0" w:after="0" w:afterAutospacing="0" w:line="360" w:lineRule="atLeast"/>
              <w:ind w:left="0" w:right="0" w:firstLine="220" w:firstLineChars="10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年  月  日</w:t>
            </w:r>
          </w:p>
        </w:tc>
      </w:tr>
    </w:tbl>
    <w:p w14:paraId="511D7F70">
      <w:pPr>
        <w:spacing w:line="360" w:lineRule="atLeast"/>
        <w:jc w:val="center"/>
        <w:rPr>
          <w:rFonts w:hint="eastAsia" w:ascii="宋体" w:hAnsi="宋体" w:eastAsia="宋体" w:cs="宋体"/>
          <w:b/>
          <w:color w:val="auto"/>
          <w:sz w:val="32"/>
          <w:szCs w:val="32"/>
          <w:highlight w:val="none"/>
        </w:rPr>
      </w:pPr>
    </w:p>
    <w:p w14:paraId="14149804">
      <w:pPr>
        <w:spacing w:line="360" w:lineRule="atLeast"/>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承诺书</w:t>
      </w:r>
      <w:r>
        <w:rPr>
          <w:rFonts w:hint="eastAsia" w:ascii="宋体" w:hAnsi="宋体" w:cs="宋体"/>
          <w:b/>
          <w:color w:val="auto"/>
          <w:sz w:val="28"/>
          <w:szCs w:val="28"/>
          <w:highlight w:val="none"/>
          <w:lang w:val="en-US" w:eastAsia="zh-CN"/>
        </w:rPr>
        <w:t>（3）</w:t>
      </w:r>
    </w:p>
    <w:p w14:paraId="510B8F05">
      <w:pPr>
        <w:spacing w:line="360" w:lineRule="atLeast"/>
        <w:jc w:val="center"/>
        <w:rPr>
          <w:rFonts w:hint="eastAsia" w:ascii="宋体" w:hAnsi="宋体" w:eastAsia="宋体" w:cs="宋体"/>
          <w:b/>
          <w:color w:val="auto"/>
          <w:sz w:val="24"/>
          <w:highlight w:val="none"/>
        </w:rPr>
      </w:pPr>
    </w:p>
    <w:tbl>
      <w:tblPr>
        <w:tblStyle w:val="25"/>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42C5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256736F9">
            <w:pPr>
              <w:keepNext w:val="0"/>
              <w:keepLines w:val="0"/>
              <w:suppressLineNumbers w:val="0"/>
              <w:spacing w:before="0" w:beforeAutospacing="0" w:after="0" w:afterAutospacing="0" w:line="360" w:lineRule="atLeast"/>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致：</w:t>
            </w:r>
            <w:r>
              <w:rPr>
                <w:rFonts w:hint="eastAsia" w:ascii="宋体" w:hAnsi="宋体" w:cs="宋体"/>
                <w:color w:val="auto"/>
                <w:sz w:val="22"/>
                <w:szCs w:val="22"/>
                <w:highlight w:val="none"/>
                <w:lang w:eastAsia="zh-CN"/>
              </w:rPr>
              <w:t>陕西秦丰源项目管理有限公司</w:t>
            </w:r>
          </w:p>
        </w:tc>
      </w:tr>
      <w:tr w14:paraId="634B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6304B116">
            <w:pPr>
              <w:keepNext w:val="0"/>
              <w:keepLines w:val="0"/>
              <w:suppressLineNumbers w:val="0"/>
              <w:spacing w:before="0" w:beforeAutospacing="0" w:after="0" w:afterAutospacing="0" w:line="360" w:lineRule="atLeast"/>
              <w:ind w:left="0" w:righ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作为参加贵公司组织的本次招标项目的供应商，本公司郑重申告并承诺：近三年受到有关行政主管部门的行政处理、不良行为记录为</w:t>
            </w:r>
            <w:r>
              <w:rPr>
                <w:rFonts w:hint="eastAsia" w:ascii="宋体" w:hAnsi="宋体" w:eastAsia="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次（没有填零），如有隐瞒实情，愿承担一切责任及后果。</w:t>
            </w:r>
          </w:p>
        </w:tc>
      </w:tr>
      <w:tr w14:paraId="557D5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3240" w:type="dxa"/>
            <w:noWrap w:val="0"/>
            <w:vAlign w:val="center"/>
          </w:tcPr>
          <w:p w14:paraId="624C366A">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w:t>
            </w:r>
          </w:p>
        </w:tc>
        <w:tc>
          <w:tcPr>
            <w:tcW w:w="3420" w:type="dxa"/>
            <w:noWrap w:val="0"/>
            <w:vAlign w:val="center"/>
          </w:tcPr>
          <w:p w14:paraId="30491A1A">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w:t>
            </w:r>
          </w:p>
        </w:tc>
        <w:tc>
          <w:tcPr>
            <w:tcW w:w="2340" w:type="dxa"/>
            <w:noWrap w:val="0"/>
            <w:vAlign w:val="center"/>
          </w:tcPr>
          <w:p w14:paraId="0B94458A">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  期</w:t>
            </w:r>
          </w:p>
        </w:tc>
      </w:tr>
      <w:tr w14:paraId="59574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2FC9563F">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（公章）</w:t>
            </w:r>
          </w:p>
        </w:tc>
        <w:tc>
          <w:tcPr>
            <w:tcW w:w="3420" w:type="dxa"/>
            <w:noWrap w:val="0"/>
            <w:vAlign w:val="center"/>
          </w:tcPr>
          <w:p w14:paraId="25CD9463">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（签字或盖章）</w:t>
            </w:r>
          </w:p>
        </w:tc>
        <w:tc>
          <w:tcPr>
            <w:tcW w:w="2340" w:type="dxa"/>
            <w:noWrap w:val="0"/>
            <w:vAlign w:val="center"/>
          </w:tcPr>
          <w:p w14:paraId="34891829">
            <w:pPr>
              <w:keepNext w:val="0"/>
              <w:keepLines w:val="0"/>
              <w:suppressLineNumbers w:val="0"/>
              <w:spacing w:before="0" w:beforeAutospacing="0" w:after="0" w:afterAutospacing="0" w:line="360" w:lineRule="atLeast"/>
              <w:ind w:left="0" w:right="0" w:firstLine="220" w:firstLineChars="10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年  月  日</w:t>
            </w:r>
          </w:p>
        </w:tc>
      </w:tr>
    </w:tbl>
    <w:p w14:paraId="65968858">
      <w:pPr>
        <w:spacing w:line="360" w:lineRule="atLeast"/>
        <w:jc w:val="center"/>
        <w:rPr>
          <w:rFonts w:hint="eastAsia" w:ascii="宋体" w:hAnsi="宋体" w:eastAsia="宋体" w:cs="宋体"/>
          <w:b/>
          <w:color w:val="auto"/>
          <w:sz w:val="32"/>
          <w:szCs w:val="32"/>
          <w:highlight w:val="none"/>
        </w:rPr>
        <w:sectPr>
          <w:pgSz w:w="11906" w:h="16838"/>
          <w:pgMar w:top="1417" w:right="1417" w:bottom="1417" w:left="1417" w:header="851" w:footer="992" w:gutter="0"/>
          <w:pgNumType w:fmt="decimal"/>
          <w:cols w:space="720" w:num="1"/>
          <w:docGrid w:type="lines" w:linePitch="312" w:charSpace="0"/>
        </w:sectPr>
      </w:pPr>
    </w:p>
    <w:p w14:paraId="5DFFD155">
      <w:pPr>
        <w:spacing w:line="360" w:lineRule="atLeast"/>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承诺书</w:t>
      </w:r>
      <w:r>
        <w:rPr>
          <w:rFonts w:hint="eastAsia" w:ascii="宋体" w:hAnsi="宋体" w:cs="宋体"/>
          <w:b/>
          <w:color w:val="auto"/>
          <w:sz w:val="28"/>
          <w:szCs w:val="28"/>
          <w:highlight w:val="none"/>
          <w:lang w:val="en-US" w:eastAsia="zh-CN"/>
        </w:rPr>
        <w:t>（4）</w:t>
      </w:r>
    </w:p>
    <w:p w14:paraId="768484FE">
      <w:pPr>
        <w:spacing w:line="360" w:lineRule="atLeast"/>
        <w:jc w:val="center"/>
        <w:rPr>
          <w:rFonts w:hint="eastAsia" w:ascii="宋体" w:hAnsi="宋体" w:eastAsia="宋体" w:cs="宋体"/>
          <w:b/>
          <w:color w:val="auto"/>
          <w:sz w:val="24"/>
          <w:highlight w:val="none"/>
        </w:rPr>
      </w:pPr>
    </w:p>
    <w:tbl>
      <w:tblPr>
        <w:tblStyle w:val="25"/>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32540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15912C22">
            <w:pPr>
              <w:keepNext w:val="0"/>
              <w:keepLines w:val="0"/>
              <w:suppressLineNumbers w:val="0"/>
              <w:spacing w:before="0" w:beforeAutospacing="0" w:after="0" w:afterAutospacing="0" w:line="360" w:lineRule="atLeast"/>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致：</w:t>
            </w:r>
            <w:r>
              <w:rPr>
                <w:rFonts w:hint="eastAsia" w:ascii="宋体" w:hAnsi="宋体" w:cs="宋体"/>
                <w:color w:val="auto"/>
                <w:sz w:val="22"/>
                <w:szCs w:val="22"/>
                <w:highlight w:val="none"/>
                <w:lang w:eastAsia="zh-CN"/>
              </w:rPr>
              <w:t>陕西秦丰源项目管理有限公司</w:t>
            </w:r>
          </w:p>
        </w:tc>
      </w:tr>
      <w:tr w14:paraId="2D060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41C5DD3A">
            <w:pPr>
              <w:keepNext w:val="0"/>
              <w:keepLines w:val="0"/>
              <w:suppressLineNumbers w:val="0"/>
              <w:spacing w:before="0" w:beforeAutospacing="0" w:after="0" w:afterAutospacing="0" w:line="360" w:lineRule="atLeast"/>
              <w:ind w:left="0" w:righ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作为参加贵公司组织的本次招标项目的供应商，本公司郑重申告：近三年因产品供货问题（水货、替代品、次品、翻新品等）的不法行为记录为</w:t>
            </w:r>
            <w:r>
              <w:rPr>
                <w:rFonts w:hint="eastAsia" w:ascii="宋体" w:hAnsi="宋体" w:eastAsia="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次（没有填零），如有隐瞒实情，愿承担一切责任及后果。</w:t>
            </w:r>
          </w:p>
          <w:p w14:paraId="5CFA4FB3">
            <w:pPr>
              <w:keepNext w:val="0"/>
              <w:keepLines w:val="0"/>
              <w:suppressLineNumbers w:val="0"/>
              <w:spacing w:before="0" w:beforeAutospacing="0" w:after="0" w:afterAutospacing="0" w:line="360" w:lineRule="atLeast"/>
              <w:ind w:left="0" w:righ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本公司承诺：本次招标标的物为正品行货。</w:t>
            </w:r>
          </w:p>
        </w:tc>
      </w:tr>
      <w:tr w14:paraId="328A2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499DE5D1">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w:t>
            </w:r>
          </w:p>
        </w:tc>
        <w:tc>
          <w:tcPr>
            <w:tcW w:w="3420" w:type="dxa"/>
            <w:noWrap w:val="0"/>
            <w:vAlign w:val="center"/>
          </w:tcPr>
          <w:p w14:paraId="4EEDB0C8">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w:t>
            </w:r>
          </w:p>
        </w:tc>
        <w:tc>
          <w:tcPr>
            <w:tcW w:w="2340" w:type="dxa"/>
            <w:noWrap w:val="0"/>
            <w:vAlign w:val="center"/>
          </w:tcPr>
          <w:p w14:paraId="0712E2DD">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   期</w:t>
            </w:r>
          </w:p>
        </w:tc>
      </w:tr>
      <w:tr w14:paraId="3F357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jc w:val="center"/>
        </w:trPr>
        <w:tc>
          <w:tcPr>
            <w:tcW w:w="3240" w:type="dxa"/>
            <w:noWrap w:val="0"/>
            <w:vAlign w:val="center"/>
          </w:tcPr>
          <w:p w14:paraId="15115ECD">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（公章）</w:t>
            </w:r>
          </w:p>
        </w:tc>
        <w:tc>
          <w:tcPr>
            <w:tcW w:w="3420" w:type="dxa"/>
            <w:noWrap w:val="0"/>
            <w:vAlign w:val="center"/>
          </w:tcPr>
          <w:p w14:paraId="0CC29FCB">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（签字或盖章）</w:t>
            </w:r>
          </w:p>
        </w:tc>
        <w:tc>
          <w:tcPr>
            <w:tcW w:w="2340" w:type="dxa"/>
            <w:noWrap w:val="0"/>
            <w:vAlign w:val="center"/>
          </w:tcPr>
          <w:p w14:paraId="12CE48C0">
            <w:pPr>
              <w:keepNext w:val="0"/>
              <w:keepLines w:val="0"/>
              <w:suppressLineNumbers w:val="0"/>
              <w:spacing w:before="0" w:beforeAutospacing="0" w:after="0" w:afterAutospacing="0" w:line="360" w:lineRule="atLeast"/>
              <w:ind w:left="0" w:right="0" w:firstLine="220" w:firstLineChars="10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年  月  日</w:t>
            </w:r>
          </w:p>
        </w:tc>
      </w:tr>
    </w:tbl>
    <w:p w14:paraId="39C395D3">
      <w:pPr>
        <w:spacing w:line="360" w:lineRule="atLeast"/>
        <w:jc w:val="center"/>
        <w:rPr>
          <w:rFonts w:hint="eastAsia" w:ascii="宋体" w:hAnsi="宋体" w:eastAsia="宋体" w:cs="宋体"/>
          <w:b/>
          <w:color w:val="auto"/>
          <w:sz w:val="32"/>
          <w:szCs w:val="32"/>
          <w:highlight w:val="none"/>
        </w:rPr>
      </w:pPr>
    </w:p>
    <w:p w14:paraId="4CEAE3AE">
      <w:pPr>
        <w:spacing w:line="360" w:lineRule="atLeas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承诺书（</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w:t>
      </w:r>
    </w:p>
    <w:p w14:paraId="5DFFAFAF">
      <w:pPr>
        <w:spacing w:line="360" w:lineRule="atLeast"/>
        <w:jc w:val="center"/>
        <w:rPr>
          <w:rFonts w:hint="eastAsia" w:ascii="宋体" w:hAnsi="宋体" w:eastAsia="宋体" w:cs="宋体"/>
          <w:b/>
          <w:color w:val="auto"/>
          <w:sz w:val="24"/>
          <w:highlight w:val="none"/>
        </w:rPr>
      </w:pPr>
    </w:p>
    <w:tbl>
      <w:tblPr>
        <w:tblStyle w:val="25"/>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6C2EB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44A1B5F6">
            <w:pPr>
              <w:keepNext w:val="0"/>
              <w:keepLines w:val="0"/>
              <w:suppressLineNumbers w:val="0"/>
              <w:spacing w:before="0" w:beforeAutospacing="0" w:after="0" w:afterAutospacing="0" w:line="360" w:lineRule="atLeast"/>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致：</w:t>
            </w:r>
            <w:r>
              <w:rPr>
                <w:rFonts w:hint="eastAsia" w:ascii="宋体" w:hAnsi="宋体" w:cs="宋体"/>
                <w:color w:val="auto"/>
                <w:sz w:val="22"/>
                <w:szCs w:val="22"/>
                <w:highlight w:val="none"/>
                <w:lang w:eastAsia="zh-CN"/>
              </w:rPr>
              <w:t>陕西秦丰源项目管理有限公司</w:t>
            </w:r>
          </w:p>
        </w:tc>
      </w:tr>
      <w:tr w14:paraId="64B3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1E5131C4">
            <w:pPr>
              <w:keepNext w:val="0"/>
              <w:keepLines w:val="0"/>
              <w:suppressLineNumbers w:val="0"/>
              <w:spacing w:before="0" w:beforeAutospacing="0" w:after="0" w:afterAutospacing="0" w:line="360" w:lineRule="atLeast"/>
              <w:ind w:left="0" w:righ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作为参加贵公司组织的本次招标项目的供应商，本公司承诺：参加本次招标提交的所有资质证明文件及业绩证明文件是真实的、有效的，如有隐瞒实情，愿承担一切责任及后果。</w:t>
            </w:r>
          </w:p>
        </w:tc>
      </w:tr>
      <w:tr w14:paraId="79B08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48E40D81">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w:t>
            </w:r>
          </w:p>
        </w:tc>
        <w:tc>
          <w:tcPr>
            <w:tcW w:w="3420" w:type="dxa"/>
            <w:noWrap w:val="0"/>
            <w:vAlign w:val="center"/>
          </w:tcPr>
          <w:p w14:paraId="147F7665">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w:t>
            </w:r>
          </w:p>
        </w:tc>
        <w:tc>
          <w:tcPr>
            <w:tcW w:w="2340" w:type="dxa"/>
            <w:noWrap w:val="0"/>
            <w:vAlign w:val="center"/>
          </w:tcPr>
          <w:p w14:paraId="7E4F6E9E">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   期</w:t>
            </w:r>
          </w:p>
        </w:tc>
      </w:tr>
      <w:tr w14:paraId="249A9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jc w:val="center"/>
        </w:trPr>
        <w:tc>
          <w:tcPr>
            <w:tcW w:w="3240" w:type="dxa"/>
            <w:noWrap w:val="0"/>
            <w:vAlign w:val="center"/>
          </w:tcPr>
          <w:p w14:paraId="040E4AAE">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（公章）</w:t>
            </w:r>
          </w:p>
        </w:tc>
        <w:tc>
          <w:tcPr>
            <w:tcW w:w="3420" w:type="dxa"/>
            <w:noWrap w:val="0"/>
            <w:vAlign w:val="center"/>
          </w:tcPr>
          <w:p w14:paraId="758538B1">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（签字或盖章）</w:t>
            </w:r>
          </w:p>
        </w:tc>
        <w:tc>
          <w:tcPr>
            <w:tcW w:w="2340" w:type="dxa"/>
            <w:noWrap w:val="0"/>
            <w:vAlign w:val="center"/>
          </w:tcPr>
          <w:p w14:paraId="73EB06AB">
            <w:pPr>
              <w:keepNext w:val="0"/>
              <w:keepLines w:val="0"/>
              <w:suppressLineNumbers w:val="0"/>
              <w:spacing w:before="0" w:beforeAutospacing="0" w:after="0" w:afterAutospacing="0" w:line="360" w:lineRule="atLeast"/>
              <w:ind w:left="0" w:right="0" w:firstLine="220" w:firstLineChars="10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年  月  日</w:t>
            </w:r>
          </w:p>
        </w:tc>
      </w:tr>
    </w:tbl>
    <w:p w14:paraId="5F8DF93B">
      <w:pPr>
        <w:rPr>
          <w:rFonts w:hint="eastAsia" w:ascii="宋体" w:hAnsi="宋体" w:eastAsia="宋体" w:cs="宋体"/>
          <w:color w:val="auto"/>
          <w:highlight w:val="none"/>
        </w:rPr>
        <w:sectPr>
          <w:pgSz w:w="11906" w:h="16838"/>
          <w:pgMar w:top="1417" w:right="1417" w:bottom="1417" w:left="1417" w:header="851" w:footer="992" w:gutter="0"/>
          <w:pgNumType w:fmt="decimal"/>
          <w:cols w:space="720" w:num="1"/>
          <w:docGrid w:type="lines" w:linePitch="312" w:charSpace="0"/>
        </w:sectPr>
      </w:pPr>
    </w:p>
    <w:p w14:paraId="122B1F15">
      <w:pPr>
        <w:pStyle w:val="4"/>
        <w:spacing w:line="360" w:lineRule="auto"/>
        <w:jc w:val="center"/>
        <w:outlineLvl w:val="1"/>
        <w:rPr>
          <w:rFonts w:hint="eastAsia" w:ascii="宋体" w:hAnsi="宋体" w:eastAsia="宋体" w:cs="宋体"/>
          <w:color w:val="auto"/>
          <w:sz w:val="28"/>
          <w:szCs w:val="28"/>
          <w:highlight w:val="none"/>
        </w:rPr>
      </w:pPr>
      <w:bookmarkStart w:id="253" w:name="_Toc14395"/>
      <w:bookmarkStart w:id="254" w:name="_Toc9054"/>
      <w:bookmarkStart w:id="255" w:name="_Toc8365"/>
      <w:bookmarkStart w:id="256" w:name="_Toc26427"/>
      <w:bookmarkStart w:id="257" w:name="_Toc22483"/>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投标人信用承诺书</w:t>
      </w:r>
      <w:bookmarkEnd w:id="253"/>
      <w:bookmarkEnd w:id="254"/>
      <w:bookmarkEnd w:id="255"/>
      <w:bookmarkEnd w:id="256"/>
    </w:p>
    <w:p w14:paraId="1020DD97">
      <w:pPr>
        <w:spacing w:line="440" w:lineRule="exac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投标人：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p>
    <w:p w14:paraId="7D01231A">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统一社会信用代码：</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法人代表：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p>
    <w:p w14:paraId="2E20B79C">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承诺有效期限：</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 至</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日（开标截止之日起1年）</w:t>
      </w:r>
    </w:p>
    <w:p w14:paraId="19BA0D2C">
      <w:pPr>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在</w:t>
      </w:r>
      <w:r>
        <w:rPr>
          <w:rFonts w:hint="eastAsia" w:ascii="宋体" w:hAnsi="宋体" w:eastAsia="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项目名称</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rPr>
        <w:t>招投标活动中，我公司（单位）郑重作出以下信用承诺：</w:t>
      </w:r>
    </w:p>
    <w:p w14:paraId="25531BD9">
      <w:pPr>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能严格遵守法律法规、职业道德和行业规范，具有独立承担民事责任的能力；符合依法依规应当具备的相关资质（资格）条件；具有独立承担中标项目的履约能力；具有良好的商业信誉和健全的财务会计制度；有依法缴纳税收和社会保障资金的良好记录；无法律法规规定禁止开展从业活动情形。所递交文件资料合法、真实、准确、完整、有效。</w:t>
      </w:r>
    </w:p>
    <w:p w14:paraId="2F6A0E5E">
      <w:pPr>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（二）不得有以下违法违规行为：1. 围标串标；以他人名义或者其他方式弄虚作假投标；出让出租资格、资质证书供他人投标；恶意竞标、强揽工程；以暴力、威胁、利诱等手段阻止或者控制其他潜在投标人参与招投标活动。2. 向招投标监督部门、交易中心、招标人、招标代理机构、评审委员会及其成员等当事主体赠送财物。3. 投标截止后至成交人确定前，修改或者撤销</w:t>
      </w:r>
      <w:r>
        <w:rPr>
          <w:rFonts w:hint="eastAsia" w:ascii="宋体" w:hAnsi="宋体" w:cs="宋体"/>
          <w:color w:val="auto"/>
          <w:sz w:val="22"/>
          <w:szCs w:val="22"/>
          <w:highlight w:val="none"/>
          <w:lang w:val="en-US" w:eastAsia="zh-CN"/>
        </w:rPr>
        <w:t>投标</w:t>
      </w:r>
      <w:r>
        <w:rPr>
          <w:rFonts w:hint="eastAsia" w:ascii="宋体" w:hAnsi="宋体" w:eastAsia="宋体" w:cs="宋体"/>
          <w:color w:val="auto"/>
          <w:sz w:val="22"/>
          <w:szCs w:val="22"/>
          <w:highlight w:val="none"/>
        </w:rPr>
        <w:t>文件。4. 在被确定为成交人后无正当理由：不按照招标文件和</w:t>
      </w:r>
      <w:r>
        <w:rPr>
          <w:rFonts w:hint="eastAsia" w:ascii="宋体" w:hAnsi="宋体" w:cs="宋体"/>
          <w:color w:val="auto"/>
          <w:sz w:val="22"/>
          <w:szCs w:val="22"/>
          <w:highlight w:val="none"/>
          <w:lang w:val="en-US" w:eastAsia="zh-CN"/>
        </w:rPr>
        <w:t>投标</w:t>
      </w:r>
      <w:r>
        <w:rPr>
          <w:rFonts w:hint="eastAsia" w:ascii="宋体" w:hAnsi="宋体" w:eastAsia="宋体" w:cs="宋体"/>
          <w:color w:val="auto"/>
          <w:sz w:val="22"/>
          <w:szCs w:val="22"/>
          <w:highlight w:val="none"/>
        </w:rPr>
        <w:t>文件与招标人签订合同；在签订合同时向招标人提出附加条件、或者改变</w:t>
      </w:r>
      <w:r>
        <w:rPr>
          <w:rFonts w:hint="eastAsia" w:ascii="宋体" w:hAnsi="宋体" w:cs="宋体"/>
          <w:color w:val="auto"/>
          <w:sz w:val="22"/>
          <w:szCs w:val="22"/>
          <w:highlight w:val="none"/>
          <w:lang w:val="en-US" w:eastAsia="zh-CN"/>
        </w:rPr>
        <w:t>投标</w:t>
      </w:r>
      <w:r>
        <w:rPr>
          <w:rFonts w:hint="eastAsia" w:ascii="宋体" w:hAnsi="宋体" w:eastAsia="宋体" w:cs="宋体"/>
          <w:color w:val="auto"/>
          <w:sz w:val="22"/>
          <w:szCs w:val="22"/>
          <w:highlight w:val="none"/>
        </w:rPr>
        <w:t>文件的实质性内容；放弃中标；不按照招标文件的规定提交履约保证金。5. 招投标法规定的其它违法违规行为。</w:t>
      </w:r>
    </w:p>
    <w:p w14:paraId="2D1D8AC8">
      <w:pPr>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（三）自愿接受招投标监督部门和有关行政监督部门的依法检查。</w:t>
      </w:r>
    </w:p>
    <w:p w14:paraId="1E69D4B1">
      <w:pPr>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（四）同意将此信用承诺纳入陕西省公共信用信息平台和榆林市公共信用信息共享平台，并上网公示，接受社会监督。</w:t>
      </w:r>
    </w:p>
    <w:p w14:paraId="357B7374">
      <w:pPr>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（五）若我公司（单位）及相关参与人员违背以上承诺事项，即被视为失信企（法人）， 依据《关于对公共资源交易领域严重失信主体开展联合惩戒的备忘录》 (发改法规［2018] 457号）， 自愿接受失信联合惩戒和依法给予的行政处罚（处理）， 并依法承担赔偿责任和刑事责任。</w:t>
      </w:r>
    </w:p>
    <w:p w14:paraId="40DE35E3">
      <w:pPr>
        <w:spacing w:line="440" w:lineRule="exact"/>
        <w:ind w:firstLine="440" w:firstLineChars="20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法定代表人（签章）：                   投标人（盖章）：</w:t>
      </w:r>
    </w:p>
    <w:p w14:paraId="5E6669AF">
      <w:pPr>
        <w:spacing w:line="440" w:lineRule="exact"/>
        <w:ind w:firstLine="3960" w:firstLineChars="18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承诺时间：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p w14:paraId="4C4C8B0A">
      <w:pPr>
        <w:pStyle w:val="16"/>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sz w:val="28"/>
          <w:szCs w:val="28"/>
          <w:highlight w:val="none"/>
        </w:rPr>
      </w:pPr>
      <w:r>
        <w:rPr>
          <w:rFonts w:hint="eastAsia" w:ascii="宋体" w:hAnsi="宋体" w:eastAsia="宋体" w:cs="宋体"/>
          <w:b/>
          <w:color w:val="auto"/>
          <w:kern w:val="0"/>
          <w:sz w:val="22"/>
          <w:szCs w:val="22"/>
          <w:highlight w:val="none"/>
        </w:rPr>
        <w:t>注：</w:t>
      </w:r>
      <w:r>
        <w:rPr>
          <w:rFonts w:hint="eastAsia" w:ascii="宋体" w:hAnsi="宋体" w:eastAsia="宋体" w:cs="宋体"/>
          <w:b/>
          <w:color w:val="auto"/>
          <w:kern w:val="0"/>
          <w:sz w:val="22"/>
          <w:szCs w:val="22"/>
          <w:highlight w:val="none"/>
          <w:lang w:val="en-US" w:eastAsia="zh-CN"/>
        </w:rPr>
        <w:t>此附件作为在信用中国“陕西榆林”网站进行注册、登录，自主上报信用承诺书格式</w:t>
      </w:r>
      <w:r>
        <w:rPr>
          <w:rFonts w:hint="eastAsia" w:ascii="宋体" w:hAnsi="宋体" w:cs="宋体"/>
          <w:b/>
          <w:color w:val="auto"/>
          <w:kern w:val="0"/>
          <w:sz w:val="22"/>
          <w:szCs w:val="22"/>
          <w:highlight w:val="none"/>
          <w:lang w:val="en-US" w:eastAsia="zh-CN"/>
        </w:rPr>
        <w:t>，</w:t>
      </w:r>
      <w:r>
        <w:rPr>
          <w:rFonts w:hint="eastAsia" w:ascii="宋体" w:hAnsi="宋体" w:eastAsia="宋体" w:cs="宋体"/>
          <w:b/>
          <w:color w:val="auto"/>
          <w:sz w:val="22"/>
          <w:szCs w:val="22"/>
          <w:highlight w:val="none"/>
        </w:rPr>
        <w:t>其有效期与投标有效期一致</w:t>
      </w:r>
      <w:r>
        <w:rPr>
          <w:rFonts w:hint="eastAsia" w:ascii="宋体" w:hAnsi="宋体" w:eastAsia="宋体" w:cs="宋体"/>
          <w:b/>
          <w:color w:val="auto"/>
          <w:kern w:val="0"/>
          <w:sz w:val="22"/>
          <w:szCs w:val="22"/>
          <w:highlight w:val="none"/>
        </w:rPr>
        <w:t>。</w:t>
      </w:r>
      <w:r>
        <w:rPr>
          <w:rFonts w:hint="eastAsia" w:ascii="宋体" w:hAnsi="宋体" w:eastAsia="宋体" w:cs="宋体"/>
          <w:b/>
          <w:bCs/>
          <w:color w:val="auto"/>
          <w:sz w:val="22"/>
          <w:szCs w:val="22"/>
          <w:highlight w:val="none"/>
          <w:lang w:val="en-US" w:eastAsia="zh-CN"/>
        </w:rPr>
        <w:t>后附信用榆林承诺截图</w:t>
      </w:r>
      <w:r>
        <w:rPr>
          <w:rFonts w:hint="eastAsia" w:ascii="宋体" w:hAnsi="宋体" w:eastAsia="宋体" w:cs="宋体"/>
          <w:b/>
          <w:bCs/>
          <w:color w:val="auto"/>
          <w:sz w:val="22"/>
          <w:szCs w:val="22"/>
          <w:highlight w:val="none"/>
        </w:rPr>
        <w:br w:type="page"/>
      </w:r>
      <w:bookmarkStart w:id="258" w:name="_Toc26221"/>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四</w:t>
      </w:r>
      <w:r>
        <w:rPr>
          <w:rFonts w:hint="eastAsia" w:ascii="宋体" w:hAnsi="宋体" w:eastAsia="宋体" w:cs="宋体"/>
          <w:b/>
          <w:bCs/>
          <w:color w:val="auto"/>
          <w:sz w:val="28"/>
          <w:szCs w:val="28"/>
          <w:highlight w:val="none"/>
          <w:lang w:eastAsia="zh-CN"/>
        </w:rPr>
        <w:t>）</w:t>
      </w:r>
      <w:r>
        <w:rPr>
          <w:rFonts w:hint="eastAsia" w:ascii="宋体" w:hAnsi="宋体" w:eastAsia="宋体" w:cs="宋体"/>
          <w:b/>
          <w:color w:val="auto"/>
          <w:sz w:val="28"/>
          <w:szCs w:val="28"/>
          <w:highlight w:val="none"/>
        </w:rPr>
        <w:t>投标人委托代理人员信用承诺书</w:t>
      </w:r>
    </w:p>
    <w:bookmarkEnd w:id="258"/>
    <w:p w14:paraId="68B6AE9A">
      <w:pPr>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在</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项目名称</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rPr>
        <w:t>招投标活动中，我公司（单位）郑重作出以下信用承诺：</w:t>
      </w:r>
    </w:p>
    <w:p w14:paraId="2F0B0C8E">
      <w:pPr>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能严格遵守法律法规、职业道德和行业规范，具有独立承担民事责任的能力；符合依法依规应当具备的相关资质（资格）条件；具有独立承担中标项目的履约能力；具有良好的商业信誉和健全的财务会计制度；有依法缴纳税收和社会保障资金的良好记录；无法律法规规定禁止开展从业活动情形。所递交文件资料合法、真实、准确、完整、有效。</w:t>
      </w:r>
    </w:p>
    <w:p w14:paraId="09A405FB">
      <w:pPr>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（二）不得有以下违法违规行为：1. 围标串标；以他人名义或者其他方式弄虚作假投标；出让出租资格、资质证书供他人投标；恶意竞标、强揽工程；以暴力、威胁、利诱等手段阻止或者控制其他潜在投标人参与招投标活动。2. 向招投标监督部门、交易中心、招标人、招标代理机构、评审委员会及其成员等当事主体赠送财物。3. 投标截止后至成交人确定前，修改或者撤销</w:t>
      </w:r>
      <w:r>
        <w:rPr>
          <w:rFonts w:hint="eastAsia" w:ascii="宋体" w:hAnsi="宋体" w:cs="宋体"/>
          <w:color w:val="auto"/>
          <w:sz w:val="22"/>
          <w:szCs w:val="22"/>
          <w:highlight w:val="none"/>
          <w:lang w:val="en-US" w:eastAsia="zh-CN"/>
        </w:rPr>
        <w:t>投标</w:t>
      </w:r>
      <w:r>
        <w:rPr>
          <w:rFonts w:hint="eastAsia" w:ascii="宋体" w:hAnsi="宋体" w:eastAsia="宋体" w:cs="宋体"/>
          <w:color w:val="auto"/>
          <w:sz w:val="22"/>
          <w:szCs w:val="22"/>
          <w:highlight w:val="none"/>
        </w:rPr>
        <w:t>文件。4. 在被确定为成交人后无正当理由：不按照招标文件和</w:t>
      </w:r>
      <w:r>
        <w:rPr>
          <w:rFonts w:hint="eastAsia" w:ascii="宋体" w:hAnsi="宋体" w:cs="宋体"/>
          <w:color w:val="auto"/>
          <w:sz w:val="22"/>
          <w:szCs w:val="22"/>
          <w:highlight w:val="none"/>
          <w:lang w:val="en-US" w:eastAsia="zh-CN"/>
        </w:rPr>
        <w:t>投标</w:t>
      </w:r>
      <w:r>
        <w:rPr>
          <w:rFonts w:hint="eastAsia" w:ascii="宋体" w:hAnsi="宋体" w:eastAsia="宋体" w:cs="宋体"/>
          <w:color w:val="auto"/>
          <w:sz w:val="22"/>
          <w:szCs w:val="22"/>
          <w:highlight w:val="none"/>
        </w:rPr>
        <w:t>文件与招标人签订合同；在签订合同时向招标人提出附加条件、或者改变</w:t>
      </w:r>
      <w:r>
        <w:rPr>
          <w:rFonts w:hint="eastAsia" w:ascii="宋体" w:hAnsi="宋体" w:cs="宋体"/>
          <w:color w:val="auto"/>
          <w:sz w:val="22"/>
          <w:szCs w:val="22"/>
          <w:highlight w:val="none"/>
          <w:lang w:val="en-US" w:eastAsia="zh-CN"/>
        </w:rPr>
        <w:t>投标</w:t>
      </w:r>
      <w:r>
        <w:rPr>
          <w:rFonts w:hint="eastAsia" w:ascii="宋体" w:hAnsi="宋体" w:eastAsia="宋体" w:cs="宋体"/>
          <w:color w:val="auto"/>
          <w:sz w:val="22"/>
          <w:szCs w:val="22"/>
          <w:highlight w:val="none"/>
        </w:rPr>
        <w:t>文件的实质性内容；放弃中标；不按照招标文件的规定提交履约保证金。5. 招投标法规定的其它违法违规行为。</w:t>
      </w:r>
    </w:p>
    <w:p w14:paraId="32C851DA">
      <w:pPr>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（三）自愿接受招投标监督部门和有关行政监督部门的依法检查。</w:t>
      </w:r>
    </w:p>
    <w:p w14:paraId="4BE8D0C1">
      <w:pPr>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（四）同意将此信用承诺纳入陕西省公共信用信息平台和榆林市公共信用信息共享平台，并上网公示，接受社会监督。</w:t>
      </w:r>
    </w:p>
    <w:p w14:paraId="2413F75B">
      <w:pPr>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（五）若我公司（单位）及相关参与人员违背以上承诺事项，即被视为失信企（法人），依据《关于对公共资源交易领域严重失信主体开展联合惩戒的备忘录》 (发改法规［2018] 457号），自愿接受失信联合惩戒和依法给予的行政处罚（处理），并依法承担赔偿责任和刑事责任。 </w:t>
      </w:r>
    </w:p>
    <w:p w14:paraId="4D03A333">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承诺有效期限：</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 至</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日。（开标截止之日起1年）</w:t>
      </w:r>
    </w:p>
    <w:p w14:paraId="3FCBB10E">
      <w:pPr>
        <w:pStyle w:val="10"/>
        <w:spacing w:line="360" w:lineRule="auto"/>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bCs/>
          <w:color w:val="auto"/>
          <w:sz w:val="22"/>
          <w:szCs w:val="22"/>
          <w:highlight w:val="none"/>
        </w:rPr>
        <w:t>投标人：</w:t>
      </w:r>
      <w:r>
        <w:rPr>
          <w:rFonts w:hint="eastAsia" w:ascii="宋体" w:hAnsi="宋体" w:eastAsia="宋体" w:cs="宋体"/>
          <w:color w:val="auto"/>
          <w:sz w:val="22"/>
          <w:szCs w:val="22"/>
          <w:highlight w:val="none"/>
          <w:u w:val="single"/>
        </w:rPr>
        <w:t xml:space="preserve">                               </w:t>
      </w:r>
    </w:p>
    <w:p w14:paraId="7B8D98D0">
      <w:pPr>
        <w:spacing w:line="360" w:lineRule="auto"/>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承诺人（签字</w:t>
      </w:r>
      <w:r>
        <w:rPr>
          <w:rFonts w:hint="eastAsia" w:ascii="宋体" w:hAnsi="宋体" w:eastAsia="宋体" w:cs="宋体"/>
          <w:color w:val="auto"/>
          <w:sz w:val="22"/>
          <w:szCs w:val="22"/>
          <w:highlight w:val="none"/>
          <w:lang w:val="en-US" w:eastAsia="zh-CN"/>
        </w:rPr>
        <w:t>或盖章</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u w:val="single"/>
        </w:rPr>
        <w:t xml:space="preserve">                    </w:t>
      </w:r>
    </w:p>
    <w:p w14:paraId="7944E25B">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承诺时间：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月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p w14:paraId="04E3D15F">
      <w:pPr>
        <w:bidi w:val="0"/>
        <w:jc w:val="center"/>
        <w:rPr>
          <w:rFonts w:hint="eastAsia" w:ascii="宋体" w:hAnsi="宋体" w:eastAsia="宋体" w:cs="宋体"/>
          <w:b/>
          <w:color w:val="auto"/>
          <w:kern w:val="0"/>
          <w:sz w:val="22"/>
          <w:szCs w:val="22"/>
          <w:highlight w:val="none"/>
        </w:rPr>
      </w:pPr>
    </w:p>
    <w:p w14:paraId="3EEC2596">
      <w:pPr>
        <w:pStyle w:val="16"/>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kern w:val="0"/>
          <w:sz w:val="22"/>
          <w:szCs w:val="22"/>
          <w:highlight w:val="none"/>
        </w:rPr>
        <w:t>注：</w:t>
      </w:r>
      <w:r>
        <w:rPr>
          <w:rFonts w:hint="eastAsia" w:ascii="宋体" w:hAnsi="宋体" w:eastAsia="宋体" w:cs="宋体"/>
          <w:b/>
          <w:color w:val="auto"/>
          <w:kern w:val="0"/>
          <w:sz w:val="22"/>
          <w:szCs w:val="22"/>
          <w:highlight w:val="none"/>
          <w:lang w:val="en-US" w:eastAsia="zh-CN"/>
        </w:rPr>
        <w:t>此附件作为在信用中国“陕西榆林”网站进行注册、登录，自主上报信用承诺书格式</w:t>
      </w:r>
      <w:r>
        <w:rPr>
          <w:rFonts w:hint="eastAsia" w:ascii="宋体" w:hAnsi="宋体" w:cs="宋体"/>
          <w:b/>
          <w:color w:val="auto"/>
          <w:kern w:val="0"/>
          <w:sz w:val="22"/>
          <w:szCs w:val="22"/>
          <w:highlight w:val="none"/>
          <w:lang w:val="en-US" w:eastAsia="zh-CN"/>
        </w:rPr>
        <w:t>，</w:t>
      </w:r>
      <w:r>
        <w:rPr>
          <w:rFonts w:hint="eastAsia" w:ascii="宋体" w:hAnsi="宋体" w:eastAsia="宋体" w:cs="宋体"/>
          <w:b/>
          <w:color w:val="auto"/>
          <w:sz w:val="22"/>
          <w:szCs w:val="22"/>
          <w:highlight w:val="none"/>
        </w:rPr>
        <w:t>其有效期与投标有效期一致</w:t>
      </w:r>
      <w:r>
        <w:rPr>
          <w:rFonts w:hint="eastAsia" w:ascii="宋体" w:hAnsi="宋体" w:eastAsia="宋体" w:cs="宋体"/>
          <w:b/>
          <w:color w:val="auto"/>
          <w:kern w:val="0"/>
          <w:sz w:val="22"/>
          <w:szCs w:val="22"/>
          <w:highlight w:val="none"/>
        </w:rPr>
        <w:t>。</w:t>
      </w:r>
      <w:r>
        <w:rPr>
          <w:rFonts w:hint="eastAsia" w:ascii="宋体" w:hAnsi="宋体" w:eastAsia="宋体" w:cs="宋体"/>
          <w:b/>
          <w:bCs/>
          <w:color w:val="auto"/>
          <w:sz w:val="22"/>
          <w:szCs w:val="22"/>
          <w:highlight w:val="none"/>
          <w:lang w:val="en-US" w:eastAsia="zh-CN"/>
        </w:rPr>
        <w:t>后附信用榆林承诺截图</w:t>
      </w:r>
    </w:p>
    <w:p w14:paraId="52E10559">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宋体"/>
          <w:b/>
          <w:bCs w:val="0"/>
          <w:color w:val="auto"/>
          <w:kern w:val="2"/>
          <w:sz w:val="32"/>
          <w:szCs w:val="32"/>
          <w:highlight w:val="none"/>
          <w:lang w:val="en-US" w:eastAsia="zh-CN" w:bidi="ar"/>
        </w:rPr>
      </w:pPr>
    </w:p>
    <w:p w14:paraId="311EA214">
      <w:pPr>
        <w:keepNext w:val="0"/>
        <w:keepLines w:val="0"/>
        <w:widowControl w:val="0"/>
        <w:suppressLineNumbers w:val="0"/>
        <w:spacing w:before="0" w:beforeAutospacing="0" w:after="0" w:afterAutospacing="0" w:line="360" w:lineRule="auto"/>
        <w:ind w:left="0" w:right="0"/>
        <w:jc w:val="both"/>
        <w:outlineLvl w:val="9"/>
        <w:rPr>
          <w:rFonts w:hint="eastAsia" w:ascii="宋体" w:hAnsi="宋体" w:eastAsia="宋体" w:cs="宋体"/>
          <w:bCs w:val="0"/>
          <w:color w:val="auto"/>
          <w:kern w:val="2"/>
          <w:sz w:val="21"/>
          <w:szCs w:val="32"/>
          <w:highlight w:val="none"/>
          <w:lang w:val="en-US" w:eastAsia="zh-CN" w:bidi="ar"/>
        </w:rPr>
      </w:pPr>
    </w:p>
    <w:p w14:paraId="46FAD8D8">
      <w:pPr>
        <w:keepNext w:val="0"/>
        <w:keepLines w:val="0"/>
        <w:widowControl w:val="0"/>
        <w:suppressLineNumbers w:val="0"/>
        <w:spacing w:before="0" w:beforeAutospacing="0" w:after="0" w:afterAutospacing="0" w:line="360" w:lineRule="auto"/>
        <w:ind w:left="0" w:right="0"/>
        <w:jc w:val="both"/>
        <w:outlineLvl w:val="9"/>
        <w:rPr>
          <w:rFonts w:hint="eastAsia" w:ascii="宋体" w:hAnsi="宋体" w:eastAsia="宋体" w:cs="宋体"/>
          <w:bCs w:val="0"/>
          <w:color w:val="auto"/>
          <w:kern w:val="2"/>
          <w:sz w:val="21"/>
          <w:szCs w:val="32"/>
          <w:highlight w:val="none"/>
          <w:lang w:val="en-US" w:eastAsia="zh-CN" w:bidi="ar"/>
        </w:rPr>
      </w:pPr>
    </w:p>
    <w:p w14:paraId="6EAC5188">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宋体"/>
          <w:bCs w:val="0"/>
          <w:color w:val="auto"/>
          <w:kern w:val="2"/>
          <w:sz w:val="21"/>
          <w:szCs w:val="32"/>
          <w:highlight w:val="none"/>
          <w:lang w:val="en-US" w:eastAsia="zh-CN" w:bidi="ar"/>
        </w:rPr>
      </w:pPr>
    </w:p>
    <w:p w14:paraId="51EDA19D">
      <w:pPr>
        <w:keepNext w:val="0"/>
        <w:keepLines w:val="0"/>
        <w:widowControl w:val="0"/>
        <w:numPr>
          <w:ilvl w:val="0"/>
          <w:numId w:val="18"/>
        </w:numPr>
        <w:suppressLineNumbers w:val="0"/>
        <w:spacing w:before="0" w:beforeAutospacing="0" w:after="0" w:afterAutospacing="0" w:line="360" w:lineRule="auto"/>
        <w:ind w:left="0" w:leftChars="0" w:right="0" w:rightChars="0"/>
        <w:jc w:val="center"/>
        <w:outlineLvl w:val="0"/>
        <w:rPr>
          <w:rFonts w:hint="eastAsia" w:ascii="宋体" w:hAnsi="宋体" w:eastAsia="宋体" w:cs="宋体"/>
          <w:b/>
          <w:bCs w:val="0"/>
          <w:color w:val="auto"/>
          <w:kern w:val="2"/>
          <w:sz w:val="32"/>
          <w:szCs w:val="32"/>
          <w:highlight w:val="none"/>
          <w:lang w:val="en-US" w:eastAsia="zh-CN" w:bidi="ar"/>
        </w:rPr>
      </w:pPr>
      <w:bookmarkStart w:id="259" w:name="_Toc24293"/>
      <w:r>
        <w:rPr>
          <w:rFonts w:hint="eastAsia" w:ascii="宋体" w:hAnsi="宋体" w:eastAsia="宋体" w:cs="宋体"/>
          <w:b/>
          <w:bCs w:val="0"/>
          <w:color w:val="auto"/>
          <w:kern w:val="2"/>
          <w:sz w:val="32"/>
          <w:szCs w:val="32"/>
          <w:highlight w:val="none"/>
          <w:lang w:val="en-US" w:eastAsia="zh-CN" w:bidi="ar"/>
        </w:rPr>
        <w:t>供应商性质及其概况</w:t>
      </w:r>
      <w:bookmarkEnd w:id="259"/>
    </w:p>
    <w:p w14:paraId="2710CC1C">
      <w:pPr>
        <w:widowControl/>
        <w:spacing w:beforeLines="50" w:line="500" w:lineRule="exact"/>
        <w:ind w:firstLine="442" w:firstLineChars="200"/>
        <w:outlineLvl w:val="1"/>
        <w:rPr>
          <w:rFonts w:hint="eastAsia" w:ascii="宋体" w:hAnsi="宋体" w:eastAsia="宋体" w:cs="宋体"/>
          <w:b/>
          <w:color w:val="auto"/>
          <w:sz w:val="22"/>
          <w:szCs w:val="22"/>
          <w:highlight w:val="none"/>
        </w:rPr>
      </w:pPr>
      <w:bookmarkStart w:id="260" w:name="_Toc23780"/>
      <w:r>
        <w:rPr>
          <w:rFonts w:hint="eastAsia" w:ascii="宋体" w:hAnsi="宋体" w:eastAsia="宋体" w:cs="宋体"/>
          <w:b/>
          <w:color w:val="auto"/>
          <w:sz w:val="22"/>
          <w:szCs w:val="22"/>
          <w:highlight w:val="none"/>
        </w:rPr>
        <w:t>（一）供应商基本信息</w:t>
      </w:r>
      <w:bookmarkEnd w:id="260"/>
    </w:p>
    <w:p w14:paraId="6C124F3A">
      <w:pPr>
        <w:widowControl/>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如设立时间、隶属关系、经营范围、资质等级</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上年度营业收入</w:t>
      </w:r>
      <w:r>
        <w:rPr>
          <w:rFonts w:hint="eastAsia" w:ascii="宋体" w:hAnsi="宋体" w:eastAsia="宋体" w:cs="宋体"/>
          <w:color w:val="auto"/>
          <w:sz w:val="22"/>
          <w:szCs w:val="22"/>
          <w:highlight w:val="none"/>
        </w:rPr>
        <w:t>及单位人员情况。</w:t>
      </w:r>
    </w:p>
    <w:p w14:paraId="392698E3">
      <w:pPr>
        <w:widowControl/>
        <w:spacing w:beforeLines="50" w:line="500" w:lineRule="exact"/>
        <w:ind w:firstLine="442" w:firstLineChars="200"/>
        <w:outlineLvl w:val="1"/>
        <w:rPr>
          <w:rFonts w:hint="eastAsia" w:ascii="宋体" w:hAnsi="宋体" w:eastAsia="宋体" w:cs="宋体"/>
          <w:b/>
          <w:color w:val="auto"/>
          <w:sz w:val="22"/>
          <w:szCs w:val="22"/>
          <w:highlight w:val="none"/>
        </w:rPr>
      </w:pPr>
      <w:bookmarkStart w:id="261" w:name="_Toc28127"/>
      <w:r>
        <w:rPr>
          <w:rFonts w:hint="eastAsia" w:ascii="宋体" w:hAnsi="宋体" w:eastAsia="宋体" w:cs="宋体"/>
          <w:b/>
          <w:color w:val="auto"/>
          <w:sz w:val="22"/>
          <w:szCs w:val="22"/>
          <w:highlight w:val="none"/>
        </w:rPr>
        <w:t>（二）供应商性质</w:t>
      </w:r>
      <w:bookmarkEnd w:id="261"/>
    </w:p>
    <w:p w14:paraId="23565058">
      <w:pPr>
        <w:widowControl/>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中小企业、残疾人福利性单位投标时，应提供声明函（按下文给定格式）。未提供或未按给定格式提供</w:t>
      </w:r>
      <w:r>
        <w:rPr>
          <w:rFonts w:hint="eastAsia" w:ascii="宋体" w:hAnsi="宋体" w:eastAsia="宋体" w:cs="宋体"/>
          <w:b/>
          <w:bCs/>
          <w:color w:val="auto"/>
          <w:sz w:val="22"/>
          <w:szCs w:val="22"/>
          <w:highlight w:val="none"/>
        </w:rPr>
        <w:t>声明函</w:t>
      </w:r>
      <w:r>
        <w:rPr>
          <w:rFonts w:hint="eastAsia" w:ascii="宋体" w:hAnsi="宋体" w:eastAsia="宋体" w:cs="宋体"/>
          <w:color w:val="auto"/>
          <w:sz w:val="22"/>
          <w:szCs w:val="22"/>
          <w:highlight w:val="none"/>
        </w:rPr>
        <w:t>的，其投标产品中的小型、微型企业产品、残疾人福利性单位生产的产品将不能享受</w:t>
      </w:r>
      <w:r>
        <w:rPr>
          <w:rFonts w:hint="eastAsia" w:ascii="宋体" w:hAnsi="宋体" w:cs="宋体"/>
          <w:color w:val="auto"/>
          <w:sz w:val="22"/>
          <w:szCs w:val="22"/>
          <w:highlight w:val="none"/>
          <w:lang w:val="en-US" w:eastAsia="zh-CN"/>
        </w:rPr>
        <w:t>招标</w:t>
      </w:r>
      <w:r>
        <w:rPr>
          <w:rFonts w:hint="eastAsia" w:ascii="宋体" w:hAnsi="宋体" w:eastAsia="宋体" w:cs="宋体"/>
          <w:color w:val="auto"/>
          <w:sz w:val="22"/>
          <w:szCs w:val="22"/>
          <w:highlight w:val="none"/>
        </w:rPr>
        <w:t>文件规定的价格扣除，但不影响</w:t>
      </w:r>
      <w:r>
        <w:rPr>
          <w:rFonts w:hint="eastAsia" w:ascii="宋体" w:hAnsi="宋体" w:cs="宋体"/>
          <w:color w:val="auto"/>
          <w:sz w:val="22"/>
          <w:szCs w:val="22"/>
          <w:highlight w:val="none"/>
          <w:lang w:val="en-US" w:eastAsia="zh-CN"/>
        </w:rPr>
        <w:t>投标</w:t>
      </w:r>
      <w:r>
        <w:rPr>
          <w:rFonts w:hint="eastAsia" w:ascii="宋体" w:hAnsi="宋体" w:eastAsia="宋体" w:cs="宋体"/>
          <w:color w:val="auto"/>
          <w:sz w:val="22"/>
          <w:szCs w:val="22"/>
          <w:highlight w:val="none"/>
        </w:rPr>
        <w:t>文件的有效性。</w:t>
      </w:r>
    </w:p>
    <w:p w14:paraId="153CF0D9">
      <w:pPr>
        <w:widowControl/>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监狱企业投标时，应当提供由省级以上监狱管理局、戒毒管理局（含新疆生产建设兵团）出具的属于监狱企业的</w:t>
      </w:r>
      <w:r>
        <w:rPr>
          <w:rFonts w:hint="eastAsia" w:ascii="宋体" w:hAnsi="宋体" w:eastAsia="宋体" w:cs="宋体"/>
          <w:b/>
          <w:bCs/>
          <w:color w:val="auto"/>
          <w:sz w:val="22"/>
          <w:szCs w:val="22"/>
          <w:highlight w:val="none"/>
        </w:rPr>
        <w:t>证明文件</w:t>
      </w:r>
      <w:r>
        <w:rPr>
          <w:rFonts w:hint="eastAsia" w:ascii="宋体" w:hAnsi="宋体" w:eastAsia="宋体" w:cs="宋体"/>
          <w:color w:val="auto"/>
          <w:sz w:val="22"/>
          <w:szCs w:val="22"/>
          <w:highlight w:val="none"/>
        </w:rPr>
        <w:t>（格式不做要求）。未提供证明文件的不能享受</w:t>
      </w:r>
      <w:r>
        <w:rPr>
          <w:rFonts w:hint="eastAsia" w:ascii="宋体" w:hAnsi="宋体" w:cs="宋体"/>
          <w:color w:val="auto"/>
          <w:sz w:val="22"/>
          <w:szCs w:val="22"/>
          <w:highlight w:val="none"/>
          <w:lang w:val="en-US" w:eastAsia="zh-CN"/>
        </w:rPr>
        <w:t>招标</w:t>
      </w:r>
      <w:r>
        <w:rPr>
          <w:rFonts w:hint="eastAsia" w:ascii="宋体" w:hAnsi="宋体" w:eastAsia="宋体" w:cs="宋体"/>
          <w:color w:val="auto"/>
          <w:sz w:val="22"/>
          <w:szCs w:val="22"/>
          <w:highlight w:val="none"/>
        </w:rPr>
        <w:t>文件规定的价格扣除，但不影响</w:t>
      </w:r>
      <w:r>
        <w:rPr>
          <w:rFonts w:hint="eastAsia" w:ascii="宋体" w:hAnsi="宋体" w:cs="宋体"/>
          <w:color w:val="auto"/>
          <w:sz w:val="22"/>
          <w:szCs w:val="22"/>
          <w:highlight w:val="none"/>
          <w:lang w:val="en-US" w:eastAsia="zh-CN"/>
        </w:rPr>
        <w:t>投标</w:t>
      </w:r>
      <w:r>
        <w:rPr>
          <w:rFonts w:hint="eastAsia" w:ascii="宋体" w:hAnsi="宋体" w:eastAsia="宋体" w:cs="宋体"/>
          <w:color w:val="auto"/>
          <w:sz w:val="22"/>
          <w:szCs w:val="22"/>
          <w:highlight w:val="none"/>
        </w:rPr>
        <w:t>文件的有效性。</w:t>
      </w:r>
    </w:p>
    <w:p w14:paraId="04E594BA">
      <w:pPr>
        <w:widowControl/>
        <w:spacing w:line="500" w:lineRule="exact"/>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投标</w:t>
      </w:r>
      <w:r>
        <w:rPr>
          <w:rFonts w:hint="eastAsia" w:ascii="宋体" w:hAnsi="宋体" w:eastAsia="宋体" w:cs="宋体"/>
          <w:color w:val="auto"/>
          <w:sz w:val="22"/>
          <w:szCs w:val="22"/>
          <w:highlight w:val="none"/>
        </w:rPr>
        <w:t>文件允许联合体投标的，联合体成员应分别提供上述声明函或证明文件，此外，还须按下文给定格式提供联合体协议书。投标联合体未提供联合体协议书的，其响应文件无效。</w:t>
      </w:r>
    </w:p>
    <w:p w14:paraId="425BD9DB">
      <w:pPr>
        <w:widowControl/>
        <w:spacing w:line="500" w:lineRule="exact"/>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特别提醒：供应商性质（声明函或证明文件）将随成交公告一同公布。</w:t>
      </w:r>
    </w:p>
    <w:p w14:paraId="79BE0446">
      <w:pPr>
        <w:widowControl/>
        <w:spacing w:beforeLines="50" w:line="500" w:lineRule="exact"/>
        <w:ind w:firstLine="442" w:firstLineChars="200"/>
        <w:outlineLvl w:val="1"/>
        <w:rPr>
          <w:rFonts w:hint="eastAsia" w:ascii="宋体" w:hAnsi="宋体" w:eastAsia="宋体" w:cs="宋体"/>
          <w:b/>
          <w:color w:val="auto"/>
          <w:sz w:val="22"/>
          <w:szCs w:val="22"/>
          <w:highlight w:val="none"/>
        </w:rPr>
      </w:pPr>
      <w:bookmarkStart w:id="262" w:name="_Toc15161"/>
      <w:r>
        <w:rPr>
          <w:rFonts w:hint="eastAsia" w:ascii="宋体" w:hAnsi="宋体" w:eastAsia="宋体" w:cs="宋体"/>
          <w:b/>
          <w:color w:val="auto"/>
          <w:sz w:val="22"/>
          <w:szCs w:val="22"/>
          <w:highlight w:val="none"/>
        </w:rPr>
        <w:t>（三）其他</w:t>
      </w:r>
      <w:bookmarkEnd w:id="262"/>
    </w:p>
    <w:p w14:paraId="403D08C6">
      <w:pPr>
        <w:widowControl/>
        <w:tabs>
          <w:tab w:val="right" w:pos="8364"/>
        </w:tabs>
        <w:spacing w:line="5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如：经营状况、相关</w:t>
      </w:r>
      <w:r>
        <w:rPr>
          <w:rFonts w:hint="eastAsia" w:ascii="宋体" w:hAnsi="宋体" w:eastAsia="宋体" w:cs="宋体"/>
          <w:color w:val="auto"/>
          <w:sz w:val="22"/>
          <w:szCs w:val="22"/>
          <w:highlight w:val="none"/>
          <w:lang w:val="en-US" w:eastAsia="zh-CN"/>
        </w:rPr>
        <w:t>服务</w:t>
      </w:r>
      <w:r>
        <w:rPr>
          <w:rFonts w:hint="eastAsia" w:ascii="宋体" w:hAnsi="宋体" w:eastAsia="宋体" w:cs="宋体"/>
          <w:color w:val="auto"/>
          <w:sz w:val="22"/>
          <w:szCs w:val="22"/>
          <w:highlight w:val="none"/>
        </w:rPr>
        <w:t>、用户评价等。</w:t>
      </w:r>
    </w:p>
    <w:p w14:paraId="1C3160A6">
      <w:pPr>
        <w:pStyle w:val="23"/>
        <w:numPr>
          <w:ilvl w:val="0"/>
          <w:numId w:val="0"/>
        </w:numPr>
        <w:rPr>
          <w:rFonts w:hint="eastAsia"/>
          <w:color w:val="auto"/>
          <w:highlight w:val="none"/>
          <w:lang w:val="en-US"/>
        </w:rPr>
      </w:pPr>
    </w:p>
    <w:p w14:paraId="35FEED60">
      <w:pPr>
        <w:shd w:val="clear" w:color="auto" w:fill="auto"/>
        <w:spacing w:line="480" w:lineRule="auto"/>
        <w:jc w:val="center"/>
        <w:outlineLvl w:val="9"/>
        <w:rPr>
          <w:rFonts w:hint="eastAsia" w:ascii="宋体" w:hAnsi="宋体" w:eastAsia="宋体" w:cs="宋体"/>
          <w:b/>
          <w:color w:val="auto"/>
          <w:spacing w:val="6"/>
          <w:sz w:val="28"/>
          <w:szCs w:val="28"/>
          <w:highlight w:val="none"/>
        </w:rPr>
      </w:pPr>
      <w:bookmarkStart w:id="263" w:name="_Toc25215"/>
    </w:p>
    <w:p w14:paraId="5FDB9CDF">
      <w:pPr>
        <w:shd w:val="clear" w:color="auto" w:fill="auto"/>
        <w:spacing w:line="480" w:lineRule="auto"/>
        <w:jc w:val="center"/>
        <w:outlineLvl w:val="9"/>
        <w:rPr>
          <w:rFonts w:hint="eastAsia" w:ascii="宋体" w:hAnsi="宋体" w:eastAsia="宋体" w:cs="宋体"/>
          <w:b/>
          <w:color w:val="auto"/>
          <w:spacing w:val="6"/>
          <w:sz w:val="28"/>
          <w:szCs w:val="28"/>
          <w:highlight w:val="none"/>
        </w:rPr>
      </w:pPr>
    </w:p>
    <w:p w14:paraId="68C5D64A">
      <w:pPr>
        <w:shd w:val="clear" w:color="auto" w:fill="auto"/>
        <w:spacing w:line="480" w:lineRule="auto"/>
        <w:jc w:val="center"/>
        <w:outlineLvl w:val="9"/>
        <w:rPr>
          <w:rFonts w:hint="eastAsia" w:ascii="宋体" w:hAnsi="宋体" w:eastAsia="宋体" w:cs="宋体"/>
          <w:b/>
          <w:color w:val="auto"/>
          <w:spacing w:val="6"/>
          <w:sz w:val="28"/>
          <w:szCs w:val="28"/>
          <w:highlight w:val="none"/>
        </w:rPr>
      </w:pPr>
    </w:p>
    <w:p w14:paraId="329F4823">
      <w:pPr>
        <w:shd w:val="clear" w:color="auto" w:fill="auto"/>
        <w:spacing w:line="480" w:lineRule="auto"/>
        <w:jc w:val="center"/>
        <w:outlineLvl w:val="9"/>
        <w:rPr>
          <w:rFonts w:hint="eastAsia" w:ascii="宋体" w:hAnsi="宋体" w:eastAsia="宋体" w:cs="宋体"/>
          <w:b/>
          <w:color w:val="auto"/>
          <w:spacing w:val="6"/>
          <w:sz w:val="28"/>
          <w:szCs w:val="28"/>
          <w:highlight w:val="none"/>
        </w:rPr>
      </w:pPr>
    </w:p>
    <w:p w14:paraId="7C30BCE8">
      <w:pPr>
        <w:shd w:val="clear" w:color="auto" w:fill="auto"/>
        <w:spacing w:line="480" w:lineRule="auto"/>
        <w:jc w:val="center"/>
        <w:outlineLvl w:val="9"/>
        <w:rPr>
          <w:rFonts w:hint="eastAsia" w:ascii="宋体" w:hAnsi="宋体" w:eastAsia="宋体" w:cs="宋体"/>
          <w:b/>
          <w:color w:val="auto"/>
          <w:spacing w:val="6"/>
          <w:sz w:val="28"/>
          <w:szCs w:val="28"/>
          <w:highlight w:val="none"/>
        </w:rPr>
      </w:pPr>
    </w:p>
    <w:p w14:paraId="28D79CFE">
      <w:pPr>
        <w:shd w:val="clear" w:color="auto" w:fill="auto"/>
        <w:spacing w:line="480" w:lineRule="auto"/>
        <w:jc w:val="center"/>
        <w:outlineLvl w:val="9"/>
        <w:rPr>
          <w:rFonts w:hint="eastAsia" w:ascii="宋体" w:hAnsi="宋体" w:eastAsia="宋体" w:cs="宋体"/>
          <w:b/>
          <w:color w:val="auto"/>
          <w:spacing w:val="6"/>
          <w:sz w:val="28"/>
          <w:szCs w:val="28"/>
          <w:highlight w:val="none"/>
        </w:rPr>
      </w:pPr>
    </w:p>
    <w:p w14:paraId="277D9BB6">
      <w:pPr>
        <w:shd w:val="clear" w:color="auto" w:fill="auto"/>
        <w:spacing w:line="480" w:lineRule="auto"/>
        <w:jc w:val="center"/>
        <w:outlineLvl w:val="9"/>
        <w:rPr>
          <w:rFonts w:hint="eastAsia" w:ascii="宋体" w:hAnsi="宋体" w:eastAsia="宋体" w:cs="宋体"/>
          <w:b/>
          <w:color w:val="auto"/>
          <w:spacing w:val="6"/>
          <w:sz w:val="28"/>
          <w:szCs w:val="28"/>
          <w:highlight w:val="none"/>
        </w:rPr>
      </w:pPr>
    </w:p>
    <w:p w14:paraId="098CCF6A">
      <w:pPr>
        <w:shd w:val="clear" w:color="auto" w:fill="auto"/>
        <w:spacing w:line="480" w:lineRule="auto"/>
        <w:jc w:val="center"/>
        <w:outlineLvl w:val="9"/>
        <w:rPr>
          <w:rFonts w:hint="eastAsia" w:ascii="宋体" w:hAnsi="宋体" w:eastAsia="宋体" w:cs="宋体"/>
          <w:b/>
          <w:color w:val="auto"/>
          <w:spacing w:val="6"/>
          <w:sz w:val="28"/>
          <w:szCs w:val="28"/>
          <w:highlight w:val="none"/>
        </w:rPr>
      </w:pPr>
    </w:p>
    <w:p w14:paraId="5C0C9993">
      <w:pPr>
        <w:widowControl/>
        <w:spacing w:line="480" w:lineRule="auto"/>
        <w:jc w:val="left"/>
        <w:rPr>
          <w:rFonts w:hint="eastAsia" w:ascii="宋体" w:hAnsi="宋体" w:eastAsia="宋体" w:cs="宋体"/>
          <w:b/>
          <w:bCs/>
          <w:color w:val="auto"/>
          <w:sz w:val="22"/>
          <w:szCs w:val="22"/>
          <w:highlight w:val="none"/>
        </w:rPr>
      </w:pPr>
    </w:p>
    <w:p w14:paraId="7D2F37D0">
      <w:pPr>
        <w:widowControl/>
        <w:spacing w:line="480" w:lineRule="auto"/>
        <w:jc w:val="left"/>
        <w:outlineLvl w:val="0"/>
        <w:rPr>
          <w:rFonts w:hint="eastAsia" w:ascii="宋体" w:hAnsi="宋体" w:eastAsia="宋体" w:cs="宋体"/>
          <w:b/>
          <w:color w:val="auto"/>
          <w:spacing w:val="6"/>
          <w:sz w:val="22"/>
          <w:szCs w:val="22"/>
          <w:highlight w:val="none"/>
        </w:rPr>
      </w:pPr>
      <w:bookmarkStart w:id="264" w:name="_Toc11959"/>
      <w:r>
        <w:rPr>
          <w:rFonts w:hint="eastAsia" w:ascii="宋体" w:hAnsi="宋体" w:eastAsia="宋体" w:cs="宋体"/>
          <w:b/>
          <w:bCs/>
          <w:color w:val="auto"/>
          <w:sz w:val="22"/>
          <w:szCs w:val="22"/>
          <w:highlight w:val="none"/>
        </w:rPr>
        <w:t>附件1：</w:t>
      </w:r>
      <w:r>
        <w:rPr>
          <w:rStyle w:val="95"/>
          <w:rFonts w:hint="eastAsia" w:ascii="宋体" w:hAnsi="宋体" w:eastAsia="宋体" w:cs="宋体"/>
          <w:color w:val="auto"/>
          <w:sz w:val="22"/>
          <w:szCs w:val="22"/>
          <w:highlight w:val="none"/>
        </w:rPr>
        <w:t>中小企业声明函（</w:t>
      </w:r>
      <w:r>
        <w:rPr>
          <w:rStyle w:val="95"/>
          <w:rFonts w:hint="eastAsia" w:ascii="宋体" w:hAnsi="宋体" w:cs="宋体"/>
          <w:color w:val="auto"/>
          <w:sz w:val="22"/>
          <w:szCs w:val="22"/>
          <w:highlight w:val="none"/>
          <w:lang w:val="en-US" w:eastAsia="zh-CN"/>
        </w:rPr>
        <w:t>服务</w:t>
      </w:r>
      <w:r>
        <w:rPr>
          <w:rStyle w:val="95"/>
          <w:rFonts w:hint="eastAsia" w:ascii="宋体" w:hAnsi="宋体" w:eastAsia="宋体" w:cs="宋体"/>
          <w:color w:val="auto"/>
          <w:sz w:val="22"/>
          <w:szCs w:val="22"/>
          <w:highlight w:val="none"/>
        </w:rPr>
        <w:t>）</w:t>
      </w:r>
      <w:bookmarkEnd w:id="264"/>
      <w:r>
        <w:rPr>
          <w:rStyle w:val="95"/>
          <w:rFonts w:hint="eastAsia" w:ascii="宋体" w:hAnsi="宋体" w:eastAsia="宋体" w:cs="宋体"/>
          <w:color w:val="auto"/>
          <w:sz w:val="22"/>
          <w:szCs w:val="22"/>
          <w:highlight w:val="none"/>
        </w:rPr>
        <w:t xml:space="preserve"> </w:t>
      </w:r>
    </w:p>
    <w:p w14:paraId="24F69C61">
      <w:pPr>
        <w:shd w:val="clear" w:color="auto" w:fill="auto"/>
        <w:spacing w:line="480" w:lineRule="auto"/>
        <w:jc w:val="center"/>
        <w:outlineLvl w:val="9"/>
        <w:rPr>
          <w:rFonts w:hint="eastAsia" w:ascii="宋体" w:hAnsi="宋体" w:eastAsia="宋体" w:cs="宋体"/>
          <w:b/>
          <w:color w:val="auto"/>
          <w:spacing w:val="6"/>
          <w:sz w:val="24"/>
          <w:szCs w:val="24"/>
          <w:highlight w:val="none"/>
        </w:rPr>
      </w:pPr>
      <w:r>
        <w:rPr>
          <w:rFonts w:hint="eastAsia" w:ascii="宋体" w:hAnsi="宋体" w:eastAsia="宋体" w:cs="宋体"/>
          <w:b/>
          <w:color w:val="auto"/>
          <w:spacing w:val="6"/>
          <w:sz w:val="24"/>
          <w:szCs w:val="24"/>
          <w:highlight w:val="none"/>
          <w:lang w:val="en-US" w:eastAsia="zh-CN"/>
        </w:rPr>
        <w:t>中小</w:t>
      </w:r>
      <w:r>
        <w:rPr>
          <w:rFonts w:hint="eastAsia" w:ascii="宋体" w:hAnsi="宋体" w:eastAsia="宋体" w:cs="宋体"/>
          <w:b/>
          <w:color w:val="auto"/>
          <w:spacing w:val="6"/>
          <w:sz w:val="24"/>
          <w:szCs w:val="24"/>
          <w:highlight w:val="none"/>
        </w:rPr>
        <w:t>企业声明函</w:t>
      </w:r>
      <w:bookmarkEnd w:id="263"/>
    </w:p>
    <w:p w14:paraId="62C9E769">
      <w:pPr>
        <w:pStyle w:val="77"/>
        <w:spacing w:line="360" w:lineRule="auto"/>
        <w:ind w:firstLine="6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w:t>
      </w:r>
      <w:r>
        <w:rPr>
          <w:rFonts w:hint="eastAsia" w:ascii="宋体" w:hAnsi="宋体" w:eastAsia="宋体" w:cs="宋体"/>
          <w:color w:val="auto"/>
          <w:sz w:val="22"/>
          <w:szCs w:val="22"/>
          <w:highlight w:val="none"/>
          <w:lang w:val="en-US" w:eastAsia="zh-CN"/>
        </w:rPr>
        <w:t>非</w:t>
      </w:r>
      <w:r>
        <w:rPr>
          <w:rFonts w:hint="eastAsia" w:ascii="宋体" w:hAnsi="宋体" w:eastAsia="宋体" w:cs="宋体"/>
          <w:color w:val="auto"/>
          <w:sz w:val="22"/>
          <w:szCs w:val="22"/>
          <w:highlight w:val="none"/>
        </w:rPr>
        <w:t>联合体）郑重声明，根据《政府采购促进中小 企业发展管理办法》（财库〔2020〕46号）的规定，本公司 （</w:t>
      </w:r>
      <w:r>
        <w:rPr>
          <w:rFonts w:hint="eastAsia" w:ascii="宋体" w:hAnsi="宋体" w:eastAsia="宋体" w:cs="宋体"/>
          <w:color w:val="auto"/>
          <w:sz w:val="22"/>
          <w:szCs w:val="22"/>
          <w:highlight w:val="none"/>
          <w:lang w:val="en-US" w:eastAsia="zh-CN"/>
        </w:rPr>
        <w:t>非</w:t>
      </w:r>
      <w:r>
        <w:rPr>
          <w:rFonts w:hint="eastAsia" w:ascii="宋体" w:hAnsi="宋体" w:eastAsia="宋体" w:cs="宋体"/>
          <w:color w:val="auto"/>
          <w:sz w:val="22"/>
          <w:szCs w:val="22"/>
          <w:highlight w:val="none"/>
        </w:rPr>
        <w:t>联合体）参加</w:t>
      </w:r>
      <w:r>
        <w:rPr>
          <w:rFonts w:hint="eastAsia" w:ascii="宋体" w:hAnsi="宋体" w:eastAsia="宋体" w:cs="宋体"/>
          <w:color w:val="auto"/>
          <w:sz w:val="22"/>
          <w:szCs w:val="22"/>
          <w:highlight w:val="none"/>
          <w:u w:val="single"/>
        </w:rPr>
        <w:t>（单位名称）</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采购活动,工程的施工单位全部为符合政策要求的中小企业（或者：服务 全部由符合政策要求的中小企业承接）。相关企业（含联合 体中的中小企业、签订分包意向协议的中小企业）的具体情 况如下：</w:t>
      </w:r>
    </w:p>
    <w:p w14:paraId="45C9283B">
      <w:pPr>
        <w:pStyle w:val="77"/>
        <w:numPr>
          <w:ilvl w:val="0"/>
          <w:numId w:val="19"/>
        </w:numPr>
        <w:tabs>
          <w:tab w:val="left" w:pos="1224"/>
          <w:tab w:val="left" w:pos="6989"/>
        </w:tabs>
        <w:spacing w:line="360" w:lineRule="auto"/>
        <w:ind w:firstLine="660"/>
        <w:rPr>
          <w:rFonts w:hint="eastAsia" w:ascii="宋体" w:hAnsi="宋体" w:eastAsia="宋体" w:cs="宋体"/>
          <w:color w:val="auto"/>
          <w:sz w:val="22"/>
          <w:szCs w:val="22"/>
          <w:highlight w:val="none"/>
        </w:rPr>
      </w:pPr>
      <w:bookmarkStart w:id="265" w:name="bookmark24"/>
      <w:bookmarkEnd w:id="265"/>
      <w:r>
        <w:rPr>
          <w:rFonts w:hint="eastAsia" w:ascii="宋体" w:hAnsi="宋体" w:eastAsia="宋体" w:cs="宋体"/>
          <w:color w:val="auto"/>
          <w:sz w:val="22"/>
          <w:szCs w:val="22"/>
          <w:highlight w:val="none"/>
          <w:u w:val="single"/>
        </w:rPr>
        <w:t>（标的名称）</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rPr>
        <w:t>（采购文件 中明确的所属行业</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人，营业 收入为</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万元</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"bookmark26" \o "Current Document"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lang w:val="en-US" w:eastAsia="zh-CN" w:bidi="en-US"/>
        </w:rPr>
        <w:t>'</w:t>
      </w:r>
      <w:r>
        <w:rPr>
          <w:rFonts w:hint="eastAsia" w:ascii="宋体" w:hAnsi="宋体" w:eastAsia="宋体" w:cs="宋体"/>
          <w:color w:val="auto"/>
          <w:sz w:val="22"/>
          <w:szCs w:val="22"/>
          <w:highlight w:val="none"/>
          <w:lang w:val="en-US" w:eastAsia="zh-CN" w:bidi="en-US"/>
        </w:rPr>
        <w:fldChar w:fldCharType="end"/>
      </w:r>
      <w:r>
        <w:rPr>
          <w:rFonts w:hint="eastAsia" w:ascii="宋体" w:hAnsi="宋体" w:eastAsia="宋体" w:cs="宋体"/>
          <w:color w:val="auto"/>
          <w:sz w:val="22"/>
          <w:szCs w:val="22"/>
          <w:highlight w:val="none"/>
          <w:lang w:val="en-US" w:eastAsia="zh-CN" w:bidi="en-US"/>
        </w:rPr>
        <w:t>，</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w:t>
      </w:r>
    </w:p>
    <w:p w14:paraId="3FC95B43">
      <w:pPr>
        <w:pStyle w:val="77"/>
        <w:numPr>
          <w:ilvl w:val="0"/>
          <w:numId w:val="19"/>
        </w:numPr>
        <w:tabs>
          <w:tab w:val="left" w:pos="1224"/>
          <w:tab w:val="left" w:pos="6989"/>
        </w:tabs>
        <w:spacing w:line="360" w:lineRule="auto"/>
        <w:ind w:firstLine="660"/>
        <w:rPr>
          <w:rFonts w:hint="eastAsia" w:ascii="宋体" w:hAnsi="宋体" w:eastAsia="宋体" w:cs="宋体"/>
          <w:color w:val="auto"/>
          <w:sz w:val="22"/>
          <w:szCs w:val="22"/>
          <w:highlight w:val="none"/>
        </w:rPr>
      </w:pPr>
      <w:bookmarkStart w:id="266" w:name="bookmark25"/>
      <w:bookmarkEnd w:id="266"/>
      <w:r>
        <w:rPr>
          <w:rFonts w:hint="eastAsia" w:ascii="宋体" w:hAnsi="宋体" w:eastAsia="宋体" w:cs="宋体"/>
          <w:color w:val="auto"/>
          <w:sz w:val="22"/>
          <w:szCs w:val="22"/>
          <w:highlight w:val="none"/>
          <w:u w:val="single"/>
        </w:rPr>
        <w:t>（标的名称）</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rPr>
        <w:t>（采购文件 中明确的所属行业</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人，营业 收入为</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万元</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"bookmark26" \o "Current Document"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lang w:val="en-US" w:eastAsia="zh-CN" w:bidi="en-US"/>
        </w:rPr>
        <w:t>'</w:t>
      </w:r>
      <w:r>
        <w:rPr>
          <w:rFonts w:hint="eastAsia" w:ascii="宋体" w:hAnsi="宋体" w:eastAsia="宋体" w:cs="宋体"/>
          <w:color w:val="auto"/>
          <w:sz w:val="22"/>
          <w:szCs w:val="22"/>
          <w:highlight w:val="none"/>
          <w:lang w:val="en-US" w:eastAsia="zh-CN" w:bidi="en-US"/>
        </w:rPr>
        <w:fldChar w:fldCharType="end"/>
      </w:r>
      <w:r>
        <w:rPr>
          <w:rFonts w:hint="eastAsia" w:ascii="宋体" w:hAnsi="宋体" w:eastAsia="宋体" w:cs="宋体"/>
          <w:color w:val="auto"/>
          <w:sz w:val="22"/>
          <w:szCs w:val="22"/>
          <w:highlight w:val="none"/>
          <w:lang w:val="en-US" w:eastAsia="zh-CN" w:bidi="en-US"/>
        </w:rPr>
        <w:t>，</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w:t>
      </w:r>
    </w:p>
    <w:p w14:paraId="4630AE30">
      <w:pPr>
        <w:pStyle w:val="77"/>
        <w:spacing w:line="360" w:lineRule="auto"/>
        <w:ind w:firstLine="6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以上企业，不属于大企业的分支机构，不存在控股股东 为大企业的情形，也不存在与大企业的负责人为同一人的情形。</w:t>
      </w:r>
    </w:p>
    <w:p w14:paraId="3F060FA6">
      <w:pPr>
        <w:pStyle w:val="77"/>
        <w:spacing w:line="360" w:lineRule="auto"/>
        <w:ind w:firstLine="6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本企业对上述声明内容的真实性负责。如有虚假，将依 法承担相应责任。</w:t>
      </w:r>
    </w:p>
    <w:p w14:paraId="2A8F7BF9">
      <w:pPr>
        <w:pStyle w:val="77"/>
        <w:spacing w:line="360" w:lineRule="auto"/>
        <w:ind w:left="0" w:leftChars="0" w:firstLine="0" w:firstLineChars="0"/>
        <w:jc w:val="left"/>
        <w:rPr>
          <w:rFonts w:hint="eastAsia" w:ascii="宋体" w:hAnsi="宋体" w:eastAsia="宋体" w:cs="宋体"/>
          <w:color w:val="auto"/>
          <w:sz w:val="22"/>
          <w:szCs w:val="22"/>
          <w:highlight w:val="none"/>
        </w:rPr>
      </w:pPr>
    </w:p>
    <w:p w14:paraId="458317B7">
      <w:pPr>
        <w:pStyle w:val="77"/>
        <w:spacing w:line="360" w:lineRule="auto"/>
        <w:ind w:left="3860" w:firstLine="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企业名称（盖章）：</w:t>
      </w:r>
    </w:p>
    <w:p w14:paraId="082D9873">
      <w:pPr>
        <w:pStyle w:val="77"/>
        <w:spacing w:line="360" w:lineRule="auto"/>
        <w:ind w:firstLine="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w:t>
      </w:r>
    </w:p>
    <w:p w14:paraId="5AF4DA24">
      <w:pPr>
        <w:spacing w:line="360" w:lineRule="auto"/>
        <w:ind w:firstLine="440" w:firstLineChars="200"/>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从业人员、营业收入、资产总额填报上一年度数据，无上一年度数据的新成立企业可不填报。</w:t>
      </w:r>
    </w:p>
    <w:p w14:paraId="6D07FC50">
      <w:pPr>
        <w:shd w:val="clear" w:color="auto" w:fill="auto"/>
        <w:spacing w:line="500" w:lineRule="exact"/>
        <w:ind w:firstLine="442" w:firstLineChars="200"/>
        <w:jc w:val="left"/>
        <w:outlineLvl w:val="9"/>
        <w:rPr>
          <w:rFonts w:hint="eastAsia" w:ascii="宋体" w:hAnsi="宋体" w:eastAsia="宋体" w:cs="宋体"/>
          <w:b/>
          <w:bCs/>
          <w:color w:val="auto"/>
          <w:sz w:val="22"/>
          <w:szCs w:val="22"/>
          <w:highlight w:val="none"/>
        </w:rPr>
      </w:pPr>
    </w:p>
    <w:p w14:paraId="15299797">
      <w:pPr>
        <w:keepNext w:val="0"/>
        <w:keepLines w:val="0"/>
        <w:widowControl w:val="0"/>
        <w:suppressLineNumbers w:val="0"/>
        <w:spacing w:before="0" w:beforeAutospacing="0" w:after="0" w:afterAutospacing="0" w:line="500" w:lineRule="exact"/>
        <w:ind w:left="0" w:leftChars="0" w:right="0" w:rightChars="0"/>
        <w:jc w:val="center"/>
        <w:outlineLvl w:val="9"/>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备注：投标人提供的《中小微企业声明函》必须真实有效，如果被举报经查实出具虚假声明函的，将被取消投标资格，并按有关规定予以处理。</w:t>
      </w:r>
      <w:r>
        <w:rPr>
          <w:rFonts w:hint="eastAsia" w:ascii="宋体" w:hAnsi="宋体" w:eastAsia="宋体" w:cs="宋体"/>
          <w:color w:val="auto"/>
          <w:sz w:val="22"/>
          <w:szCs w:val="22"/>
          <w:highlight w:val="none"/>
        </w:rPr>
        <w:br w:type="page"/>
      </w:r>
    </w:p>
    <w:p w14:paraId="0A8E02D7">
      <w:pPr>
        <w:keepNext w:val="0"/>
        <w:keepLines w:val="0"/>
        <w:widowControl w:val="0"/>
        <w:suppressLineNumbers w:val="0"/>
        <w:spacing w:before="0" w:beforeAutospacing="0" w:after="0" w:afterAutospacing="0" w:line="500" w:lineRule="exact"/>
        <w:ind w:left="0" w:leftChars="0" w:right="0" w:rightChars="0"/>
        <w:jc w:val="both"/>
        <w:outlineLvl w:val="0"/>
        <w:rPr>
          <w:rFonts w:hint="eastAsia" w:ascii="宋体" w:hAnsi="宋体" w:eastAsia="宋体" w:cs="宋体"/>
          <w:b/>
          <w:bCs/>
          <w:color w:val="auto"/>
          <w:sz w:val="22"/>
          <w:szCs w:val="22"/>
          <w:highlight w:val="none"/>
        </w:rPr>
      </w:pPr>
      <w:bookmarkStart w:id="267" w:name="_Toc27724"/>
      <w:r>
        <w:rPr>
          <w:rFonts w:hint="eastAsia" w:ascii="宋体" w:hAnsi="宋体" w:eastAsia="宋体" w:cs="宋体"/>
          <w:b/>
          <w:bCs/>
          <w:color w:val="auto"/>
          <w:sz w:val="22"/>
          <w:szCs w:val="22"/>
          <w:highlight w:val="none"/>
        </w:rPr>
        <w:t>附件2:残疾人福利性单位声明函</w:t>
      </w:r>
      <w:bookmarkEnd w:id="267"/>
    </w:p>
    <w:p w14:paraId="39F49473">
      <w:pPr>
        <w:keepNext w:val="0"/>
        <w:keepLines w:val="0"/>
        <w:widowControl w:val="0"/>
        <w:suppressLineNumbers w:val="0"/>
        <w:spacing w:before="0" w:beforeAutospacing="0" w:after="0" w:afterAutospacing="0" w:line="500" w:lineRule="exact"/>
        <w:ind w:left="0" w:right="0"/>
        <w:jc w:val="center"/>
        <w:outlineLvl w:val="9"/>
        <w:rPr>
          <w:rFonts w:hint="eastAsia" w:ascii="宋体" w:hAnsi="宋体" w:eastAsia="宋体" w:cs="宋体"/>
          <w:b/>
          <w:bCs w:val="0"/>
          <w:color w:val="auto"/>
          <w:spacing w:val="6"/>
          <w:kern w:val="2"/>
          <w:sz w:val="24"/>
          <w:szCs w:val="24"/>
          <w:highlight w:val="none"/>
          <w:lang w:val="en-US" w:eastAsia="zh-CN" w:bidi="ar"/>
        </w:rPr>
      </w:pPr>
    </w:p>
    <w:p w14:paraId="24C20B91">
      <w:pPr>
        <w:keepNext w:val="0"/>
        <w:keepLines w:val="0"/>
        <w:widowControl w:val="0"/>
        <w:suppressLineNumbers w:val="0"/>
        <w:spacing w:before="0" w:beforeAutospacing="0" w:after="0" w:afterAutospacing="0" w:line="500" w:lineRule="exact"/>
        <w:ind w:left="0" w:leftChars="0" w:right="0" w:rightChars="0"/>
        <w:jc w:val="center"/>
        <w:outlineLvl w:val="9"/>
        <w:rPr>
          <w:rFonts w:hint="eastAsia" w:ascii="宋体" w:hAnsi="宋体" w:eastAsia="宋体" w:cs="宋体"/>
          <w:b/>
          <w:bCs w:val="0"/>
          <w:color w:val="auto"/>
          <w:spacing w:val="6"/>
          <w:sz w:val="30"/>
          <w:szCs w:val="30"/>
          <w:highlight w:val="none"/>
          <w:lang w:val="en-US"/>
        </w:rPr>
      </w:pPr>
      <w:r>
        <w:rPr>
          <w:rFonts w:hint="eastAsia" w:ascii="宋体" w:hAnsi="宋体" w:eastAsia="宋体" w:cs="宋体"/>
          <w:b/>
          <w:bCs w:val="0"/>
          <w:color w:val="auto"/>
          <w:spacing w:val="6"/>
          <w:kern w:val="2"/>
          <w:sz w:val="24"/>
          <w:szCs w:val="24"/>
          <w:highlight w:val="none"/>
          <w:lang w:val="en-US" w:eastAsia="zh-CN" w:bidi="ar"/>
        </w:rPr>
        <w:t>残疾人福利性单位声明函（如有，不用可删除）</w:t>
      </w:r>
    </w:p>
    <w:p w14:paraId="1444F500">
      <w:pPr>
        <w:keepNext w:val="0"/>
        <w:keepLines w:val="0"/>
        <w:widowControl w:val="0"/>
        <w:suppressLineNumbers w:val="0"/>
        <w:spacing w:before="0" w:beforeAutospacing="0" w:after="0" w:afterAutospacing="0" w:line="500" w:lineRule="exact"/>
        <w:ind w:left="0" w:right="0" w:firstLine="464" w:firstLineChars="200"/>
        <w:jc w:val="both"/>
        <w:rPr>
          <w:rFonts w:hint="eastAsia" w:ascii="宋体" w:hAnsi="宋体" w:eastAsia="宋体" w:cs="宋体"/>
          <w:color w:val="auto"/>
          <w:spacing w:val="6"/>
          <w:sz w:val="22"/>
          <w:szCs w:val="22"/>
          <w:highlight w:val="none"/>
          <w:lang w:val="en-US"/>
        </w:rPr>
      </w:pPr>
      <w:r>
        <w:rPr>
          <w:rFonts w:hint="eastAsia" w:ascii="宋体" w:hAnsi="宋体" w:eastAsia="宋体" w:cs="宋体"/>
          <w:color w:val="auto"/>
          <w:spacing w:val="6"/>
          <w:kern w:val="2"/>
          <w:sz w:val="22"/>
          <w:szCs w:val="22"/>
          <w:highlight w:val="none"/>
          <w:lang w:val="en-US" w:eastAsia="zh-CN" w:bidi="ar"/>
        </w:rPr>
        <w:t>本单位郑重声明，根据《财政部 民政部 中国残疾人联合会关于促进残疾人就业政府采购政策的通知》（财库</w:t>
      </w:r>
      <w:r>
        <w:rPr>
          <w:rFonts w:hint="eastAsia" w:ascii="宋体" w:hAnsi="宋体" w:eastAsia="宋体" w:cs="宋体"/>
          <w:color w:val="auto"/>
          <w:kern w:val="2"/>
          <w:sz w:val="22"/>
          <w:szCs w:val="22"/>
          <w:highlight w:val="none"/>
          <w:lang w:val="en-US" w:eastAsia="zh-CN" w:bidi="ar"/>
        </w:rPr>
        <w:t>〔2017〕 141</w:t>
      </w:r>
      <w:r>
        <w:rPr>
          <w:rFonts w:hint="eastAsia" w:ascii="宋体" w:hAnsi="宋体" w:eastAsia="宋体" w:cs="宋体"/>
          <w:color w:val="auto"/>
          <w:spacing w:val="6"/>
          <w:kern w:val="2"/>
          <w:sz w:val="22"/>
          <w:szCs w:val="22"/>
          <w:highlight w:val="none"/>
          <w:lang w:val="en-US" w:eastAsia="zh-CN" w:bidi="ar"/>
        </w:rPr>
        <w:t>号）的规定，本单位为符合条件的残疾人福利性单位，且本单位参加</w:t>
      </w:r>
      <w:r>
        <w:rPr>
          <w:rFonts w:hint="eastAsia" w:ascii="宋体" w:hAnsi="宋体" w:eastAsia="宋体" w:cs="宋体"/>
          <w:color w:val="auto"/>
          <w:kern w:val="2"/>
          <w:sz w:val="22"/>
          <w:szCs w:val="22"/>
          <w:highlight w:val="none"/>
          <w:u w:val="single"/>
          <w:lang w:val="en-US" w:eastAsia="zh-CN" w:bidi="ar"/>
        </w:rPr>
        <w:t xml:space="preserve">            </w:t>
      </w:r>
      <w:r>
        <w:rPr>
          <w:rFonts w:hint="eastAsia" w:ascii="宋体" w:hAnsi="宋体" w:eastAsia="宋体" w:cs="宋体"/>
          <w:color w:val="auto"/>
          <w:spacing w:val="6"/>
          <w:kern w:val="2"/>
          <w:sz w:val="22"/>
          <w:szCs w:val="22"/>
          <w:highlight w:val="none"/>
          <w:lang w:val="en-US" w:eastAsia="zh-CN" w:bidi="ar"/>
        </w:rPr>
        <w:t>单位的</w:t>
      </w:r>
      <w:r>
        <w:rPr>
          <w:rFonts w:hint="eastAsia" w:ascii="宋体" w:hAnsi="宋体" w:eastAsia="宋体" w:cs="宋体"/>
          <w:b/>
          <w:bCs/>
          <w:color w:val="auto"/>
          <w:spacing w:val="6"/>
          <w:kern w:val="2"/>
          <w:sz w:val="22"/>
          <w:szCs w:val="22"/>
          <w:highlight w:val="none"/>
          <w:u w:val="single"/>
          <w:lang w:val="en-US" w:eastAsia="zh-CN" w:bidi="ar"/>
        </w:rPr>
        <w:t xml:space="preserve">         </w:t>
      </w:r>
      <w:r>
        <w:rPr>
          <w:rFonts w:hint="eastAsia" w:ascii="宋体" w:hAnsi="宋体" w:eastAsia="宋体" w:cs="宋体"/>
          <w:color w:val="auto"/>
          <w:spacing w:val="6"/>
          <w:kern w:val="2"/>
          <w:sz w:val="22"/>
          <w:szCs w:val="22"/>
          <w:highlight w:val="none"/>
          <w:lang w:val="en-US" w:eastAsia="zh-CN" w:bidi="ar"/>
        </w:rPr>
        <w:t>项目采购活动提供本单位制造的货物（由本单位承担工程/提供服务），或者提供其他残疾人福利性单位制造的货物（不包括使用非残疾人福利性单位注册商标的货物）。</w:t>
      </w:r>
    </w:p>
    <w:p w14:paraId="7E58FAA9">
      <w:pPr>
        <w:keepNext w:val="0"/>
        <w:keepLines w:val="0"/>
        <w:widowControl w:val="0"/>
        <w:suppressLineNumbers w:val="0"/>
        <w:spacing w:before="0" w:beforeAutospacing="0" w:after="0" w:afterAutospacing="0" w:line="500" w:lineRule="exact"/>
        <w:ind w:left="0" w:right="0" w:firstLine="464" w:firstLineChars="200"/>
        <w:jc w:val="both"/>
        <w:rPr>
          <w:rFonts w:hint="eastAsia" w:ascii="宋体" w:hAnsi="宋体" w:eastAsia="宋体" w:cs="宋体"/>
          <w:color w:val="auto"/>
          <w:spacing w:val="6"/>
          <w:sz w:val="22"/>
          <w:szCs w:val="22"/>
          <w:highlight w:val="none"/>
          <w:lang w:val="en-US"/>
        </w:rPr>
      </w:pPr>
      <w:r>
        <w:rPr>
          <w:rFonts w:hint="eastAsia" w:ascii="宋体" w:hAnsi="宋体" w:eastAsia="宋体" w:cs="宋体"/>
          <w:color w:val="auto"/>
          <w:spacing w:val="6"/>
          <w:kern w:val="2"/>
          <w:sz w:val="22"/>
          <w:szCs w:val="22"/>
          <w:highlight w:val="none"/>
          <w:lang w:val="en-US" w:eastAsia="zh-CN" w:bidi="ar"/>
        </w:rPr>
        <w:t>本单位对上述声明的真实性负责。如有虚假，将依法承担相应责任。</w:t>
      </w:r>
    </w:p>
    <w:p w14:paraId="43D65089">
      <w:pPr>
        <w:keepNext w:val="0"/>
        <w:keepLines w:val="0"/>
        <w:widowControl w:val="0"/>
        <w:suppressLineNumbers w:val="0"/>
        <w:spacing w:before="0" w:beforeAutospacing="0" w:after="0" w:afterAutospacing="0" w:line="500" w:lineRule="exact"/>
        <w:ind w:left="0" w:right="0"/>
        <w:jc w:val="both"/>
        <w:rPr>
          <w:rFonts w:hint="eastAsia" w:ascii="宋体" w:hAnsi="宋体" w:eastAsia="宋体" w:cs="宋体"/>
          <w:color w:val="auto"/>
          <w:spacing w:val="6"/>
          <w:sz w:val="22"/>
          <w:szCs w:val="22"/>
          <w:highlight w:val="none"/>
          <w:lang w:val="en-US"/>
        </w:rPr>
      </w:pPr>
      <w:r>
        <w:rPr>
          <w:rFonts w:hint="eastAsia" w:ascii="宋体" w:hAnsi="宋体" w:eastAsia="宋体" w:cs="宋体"/>
          <w:color w:val="auto"/>
          <w:spacing w:val="6"/>
          <w:kern w:val="2"/>
          <w:sz w:val="22"/>
          <w:szCs w:val="22"/>
          <w:highlight w:val="none"/>
          <w:lang w:val="en-US" w:eastAsia="zh-CN" w:bidi="ar"/>
        </w:rPr>
        <w:t xml:space="preserve"> </w:t>
      </w:r>
    </w:p>
    <w:p w14:paraId="5C0A5F40">
      <w:pPr>
        <w:keepNext w:val="0"/>
        <w:keepLines w:val="0"/>
        <w:widowControl w:val="0"/>
        <w:suppressLineNumbers w:val="0"/>
        <w:spacing w:before="0" w:beforeAutospacing="0" w:after="0" w:afterAutospacing="0" w:line="500" w:lineRule="exact"/>
        <w:ind w:left="0" w:right="1560" w:firstLine="464" w:firstLineChars="200"/>
        <w:jc w:val="center"/>
        <w:rPr>
          <w:rFonts w:hint="eastAsia" w:ascii="宋体" w:hAnsi="宋体" w:eastAsia="宋体" w:cs="宋体"/>
          <w:color w:val="auto"/>
          <w:spacing w:val="6"/>
          <w:sz w:val="22"/>
          <w:szCs w:val="22"/>
          <w:highlight w:val="none"/>
          <w:lang w:val="en-US"/>
        </w:rPr>
      </w:pPr>
      <w:r>
        <w:rPr>
          <w:rFonts w:hint="eastAsia" w:ascii="宋体" w:hAnsi="宋体" w:eastAsia="宋体" w:cs="宋体"/>
          <w:color w:val="auto"/>
          <w:spacing w:val="6"/>
          <w:kern w:val="2"/>
          <w:sz w:val="22"/>
          <w:szCs w:val="22"/>
          <w:highlight w:val="none"/>
          <w:lang w:val="en-US" w:eastAsia="zh-CN" w:bidi="ar"/>
        </w:rPr>
        <w:t xml:space="preserve">                                  单位名称（盖章）：</w:t>
      </w:r>
    </w:p>
    <w:p w14:paraId="6B70E1FD">
      <w:pPr>
        <w:keepNext w:val="0"/>
        <w:keepLines w:val="0"/>
        <w:widowControl w:val="0"/>
        <w:suppressLineNumbers w:val="0"/>
        <w:adjustRightInd w:val="0"/>
        <w:snapToGrid w:val="0"/>
        <w:spacing w:before="0" w:beforeAutospacing="0" w:after="0" w:afterAutospacing="0" w:line="500" w:lineRule="exact"/>
        <w:ind w:left="0" w:right="0" w:firstLine="580" w:firstLineChars="250"/>
        <w:jc w:val="both"/>
        <w:rPr>
          <w:rFonts w:hint="eastAsia" w:ascii="宋体" w:hAnsi="宋体" w:eastAsia="宋体" w:cs="宋体"/>
          <w:color w:val="auto"/>
          <w:sz w:val="22"/>
          <w:szCs w:val="22"/>
          <w:highlight w:val="none"/>
          <w:lang w:val="en-US"/>
        </w:rPr>
      </w:pPr>
      <w:r>
        <w:rPr>
          <w:rFonts w:hint="eastAsia" w:ascii="宋体" w:hAnsi="宋体" w:eastAsia="宋体" w:cs="宋体"/>
          <w:color w:val="auto"/>
          <w:spacing w:val="6"/>
          <w:kern w:val="2"/>
          <w:sz w:val="22"/>
          <w:szCs w:val="22"/>
          <w:highlight w:val="none"/>
          <w:lang w:val="en-US" w:eastAsia="zh-CN" w:bidi="ar"/>
        </w:rPr>
        <w:t xml:space="preserve">                                    </w:t>
      </w:r>
      <w:r>
        <w:rPr>
          <w:rFonts w:hint="eastAsia" w:ascii="宋体" w:hAnsi="宋体" w:cs="宋体"/>
          <w:color w:val="auto"/>
          <w:spacing w:val="6"/>
          <w:kern w:val="2"/>
          <w:sz w:val="22"/>
          <w:szCs w:val="22"/>
          <w:highlight w:val="none"/>
          <w:lang w:val="en-US" w:eastAsia="zh-CN" w:bidi="ar"/>
        </w:rPr>
        <w:t xml:space="preserve">  </w:t>
      </w:r>
      <w:r>
        <w:rPr>
          <w:rFonts w:hint="eastAsia" w:ascii="宋体" w:hAnsi="宋体" w:eastAsia="宋体" w:cs="宋体"/>
          <w:color w:val="auto"/>
          <w:spacing w:val="6"/>
          <w:kern w:val="2"/>
          <w:sz w:val="22"/>
          <w:szCs w:val="22"/>
          <w:highlight w:val="none"/>
          <w:lang w:val="en-US" w:eastAsia="zh-CN" w:bidi="ar"/>
        </w:rPr>
        <w:t xml:space="preserve"> 日  期：</w:t>
      </w:r>
    </w:p>
    <w:p w14:paraId="24A963D5">
      <w:pPr>
        <w:keepNext w:val="0"/>
        <w:keepLines w:val="0"/>
        <w:widowControl w:val="0"/>
        <w:suppressLineNumbers w:val="0"/>
        <w:adjustRightInd w:val="0"/>
        <w:snapToGrid w:val="0"/>
        <w:spacing w:before="0" w:beforeAutospacing="0" w:after="0" w:afterAutospacing="0" w:line="500" w:lineRule="exact"/>
        <w:ind w:left="0" w:right="0"/>
        <w:jc w:val="both"/>
        <w:rPr>
          <w:rFonts w:hint="eastAsia" w:ascii="宋体" w:hAnsi="宋体" w:eastAsia="宋体" w:cs="宋体"/>
          <w:color w:val="auto"/>
          <w:sz w:val="22"/>
          <w:szCs w:val="22"/>
          <w:highlight w:val="none"/>
          <w:lang w:val="en-US"/>
        </w:rPr>
      </w:pPr>
      <w:r>
        <w:rPr>
          <w:rFonts w:hint="eastAsia" w:ascii="宋体" w:hAnsi="宋体" w:eastAsia="宋体" w:cs="宋体"/>
          <w:color w:val="auto"/>
          <w:kern w:val="2"/>
          <w:sz w:val="22"/>
          <w:szCs w:val="22"/>
          <w:highlight w:val="none"/>
          <w:lang w:val="en-US" w:eastAsia="zh-CN" w:bidi="ar"/>
        </w:rPr>
        <w:t xml:space="preserve"> </w:t>
      </w:r>
    </w:p>
    <w:p w14:paraId="7E67E02C">
      <w:pPr>
        <w:keepNext w:val="0"/>
        <w:keepLines w:val="0"/>
        <w:widowControl w:val="0"/>
        <w:suppressLineNumbers w:val="0"/>
        <w:spacing w:before="0" w:beforeAutospacing="0" w:after="0" w:afterAutospacing="0"/>
        <w:ind w:left="0" w:right="0" w:firstLine="566"/>
        <w:jc w:val="both"/>
        <w:rPr>
          <w:rFonts w:hint="eastAsia" w:ascii="宋体" w:hAnsi="宋体" w:eastAsia="宋体" w:cs="宋体"/>
          <w:b/>
          <w:bCs/>
          <w:color w:val="auto"/>
          <w:sz w:val="22"/>
          <w:szCs w:val="22"/>
          <w:highlight w:val="none"/>
          <w:lang w:val="en-US"/>
        </w:rPr>
      </w:pPr>
      <w:r>
        <w:rPr>
          <w:rFonts w:hint="eastAsia" w:ascii="宋体" w:hAnsi="宋体" w:eastAsia="宋体" w:cs="宋体"/>
          <w:b/>
          <w:bCs/>
          <w:color w:val="auto"/>
          <w:kern w:val="2"/>
          <w:sz w:val="22"/>
          <w:szCs w:val="22"/>
          <w:highlight w:val="none"/>
          <w:lang w:val="en-US" w:eastAsia="zh-CN" w:bidi="ar"/>
        </w:rPr>
        <w:t xml:space="preserve"> </w:t>
      </w:r>
    </w:p>
    <w:p w14:paraId="57F786B2">
      <w:pPr>
        <w:keepNext w:val="0"/>
        <w:keepLines w:val="0"/>
        <w:widowControl w:val="0"/>
        <w:suppressLineNumbers w:val="0"/>
        <w:spacing w:before="0" w:beforeAutospacing="0" w:after="0" w:afterAutospacing="0"/>
        <w:ind w:left="0" w:right="0" w:firstLine="566"/>
        <w:jc w:val="both"/>
        <w:rPr>
          <w:rFonts w:hint="eastAsia" w:ascii="宋体" w:hAnsi="宋体" w:eastAsia="宋体" w:cs="宋体"/>
          <w:b/>
          <w:bCs/>
          <w:color w:val="auto"/>
          <w:sz w:val="22"/>
          <w:szCs w:val="22"/>
          <w:highlight w:val="none"/>
          <w:lang w:val="en-US"/>
        </w:rPr>
      </w:pPr>
      <w:r>
        <w:rPr>
          <w:rFonts w:hint="eastAsia" w:ascii="宋体" w:hAnsi="宋体" w:eastAsia="宋体" w:cs="宋体"/>
          <w:b/>
          <w:bCs/>
          <w:color w:val="auto"/>
          <w:kern w:val="2"/>
          <w:sz w:val="22"/>
          <w:szCs w:val="22"/>
          <w:highlight w:val="none"/>
          <w:lang w:val="en-US" w:eastAsia="zh-CN" w:bidi="ar"/>
        </w:rPr>
        <w:t xml:space="preserve"> </w:t>
      </w:r>
    </w:p>
    <w:p w14:paraId="484FDDCC">
      <w:pPr>
        <w:keepNext w:val="0"/>
        <w:keepLines w:val="0"/>
        <w:widowControl w:val="0"/>
        <w:suppressLineNumbers w:val="0"/>
        <w:spacing w:before="0" w:beforeAutospacing="0" w:after="0" w:afterAutospacing="0"/>
        <w:ind w:left="0" w:right="0" w:firstLine="566"/>
        <w:jc w:val="both"/>
        <w:rPr>
          <w:rFonts w:hint="eastAsia" w:ascii="宋体" w:hAnsi="宋体" w:eastAsia="宋体" w:cs="宋体"/>
          <w:color w:val="auto"/>
          <w:sz w:val="21"/>
          <w:szCs w:val="21"/>
          <w:highlight w:val="none"/>
          <w:lang w:val="en-US"/>
        </w:rPr>
      </w:pPr>
      <w:r>
        <w:rPr>
          <w:rFonts w:hint="eastAsia" w:ascii="宋体" w:hAnsi="宋体" w:eastAsia="宋体" w:cs="宋体"/>
          <w:b/>
          <w:bCs/>
          <w:color w:val="auto"/>
          <w:kern w:val="2"/>
          <w:sz w:val="21"/>
          <w:szCs w:val="21"/>
          <w:highlight w:val="none"/>
          <w:lang w:val="en-US" w:eastAsia="zh-CN" w:bidi="ar"/>
        </w:rPr>
        <w:t>备注：</w:t>
      </w:r>
      <w:r>
        <w:rPr>
          <w:rFonts w:hint="eastAsia" w:ascii="宋体" w:hAnsi="宋体" w:eastAsia="宋体" w:cs="宋体"/>
          <w:color w:val="auto"/>
          <w:kern w:val="2"/>
          <w:sz w:val="21"/>
          <w:szCs w:val="21"/>
          <w:highlight w:val="none"/>
          <w:lang w:val="en-US" w:eastAsia="zh-CN" w:bidi="ar"/>
        </w:rPr>
        <w:t>项目不分标段的，第___标段空白处填写“/”。</w:t>
      </w:r>
    </w:p>
    <w:p w14:paraId="69683A97">
      <w:pPr>
        <w:keepNext w:val="0"/>
        <w:keepLines w:val="0"/>
        <w:widowControl w:val="0"/>
        <w:suppressLineNumbers w:val="0"/>
        <w:spacing w:before="0" w:beforeAutospacing="0" w:after="0" w:afterAutospacing="0"/>
        <w:ind w:left="0" w:right="0" w:firstLine="566"/>
        <w:jc w:val="both"/>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根据《财政部 民政部 中国残疾人联合会关于促进残疾人就业政府采购政策的通知》（财库〔2017〕141号）的规定：</w:t>
      </w:r>
    </w:p>
    <w:p w14:paraId="16230483">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一、享受政府采购支持政策的残疾人福利性单位应当同时满足以下条件：</w:t>
      </w:r>
    </w:p>
    <w:p w14:paraId="36A0C324">
      <w:pPr>
        <w:keepNext w:val="0"/>
        <w:keepLines w:val="0"/>
        <w:widowControl w:val="0"/>
        <w:suppressLineNumbers w:val="0"/>
        <w:spacing w:before="0" w:beforeAutospacing="0" w:after="0" w:afterAutospacing="0"/>
        <w:ind w:left="0" w:right="0" w:firstLine="566"/>
        <w:jc w:val="both"/>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（一）安置的残疾人占本单位在职职工人数的比例不低于25%（含25%），并且安置的残疾人人数不少于10人（含10人）；</w:t>
      </w:r>
    </w:p>
    <w:p w14:paraId="355253DB">
      <w:pPr>
        <w:keepNext w:val="0"/>
        <w:keepLines w:val="0"/>
        <w:widowControl w:val="0"/>
        <w:suppressLineNumbers w:val="0"/>
        <w:spacing w:before="0" w:beforeAutospacing="0" w:after="0" w:afterAutospacing="0"/>
        <w:ind w:left="0" w:right="0" w:firstLine="566"/>
        <w:jc w:val="both"/>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（二）依法与安置的每位残疾人签订了一年以上（含一年）的劳动合同或服务协议；</w:t>
      </w:r>
    </w:p>
    <w:p w14:paraId="6DD30D67">
      <w:pPr>
        <w:keepNext w:val="0"/>
        <w:keepLines w:val="0"/>
        <w:widowControl w:val="0"/>
        <w:suppressLineNumbers w:val="0"/>
        <w:spacing w:before="0" w:beforeAutospacing="0" w:after="0" w:afterAutospacing="0"/>
        <w:ind w:left="0" w:right="0" w:firstLine="566"/>
        <w:jc w:val="both"/>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（三）为安置的每位残疾人按月足额缴纳了基本养老保险、基本医疗保险、失业保险、工伤保险和生育保险等社会保险费；</w:t>
      </w:r>
    </w:p>
    <w:p w14:paraId="19244776">
      <w:pPr>
        <w:keepNext w:val="0"/>
        <w:keepLines w:val="0"/>
        <w:widowControl w:val="0"/>
        <w:suppressLineNumbers w:val="0"/>
        <w:spacing w:before="0" w:beforeAutospacing="0" w:after="0" w:afterAutospacing="0"/>
        <w:ind w:left="0" w:right="0" w:firstLine="566"/>
        <w:jc w:val="both"/>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（四）通过银行等金融机构向安置的每位残疾人，按月支付了不低于单位所在区县适用的经省级人民政府批准的月最低工资标准的工资；</w:t>
      </w:r>
    </w:p>
    <w:p w14:paraId="3054A098">
      <w:pPr>
        <w:keepNext w:val="0"/>
        <w:keepLines w:val="0"/>
        <w:widowControl w:val="0"/>
        <w:suppressLineNumbers w:val="0"/>
        <w:spacing w:before="0" w:beforeAutospacing="0" w:after="0" w:afterAutospacing="0"/>
        <w:ind w:left="0" w:right="0" w:firstLine="566"/>
        <w:jc w:val="both"/>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（五）提供本单位承担的服务（以下简称产品），或者提供其他残疾人福利性单位提供的服。</w:t>
      </w:r>
    </w:p>
    <w:p w14:paraId="23AFC1A0">
      <w:pPr>
        <w:keepNext w:val="0"/>
        <w:keepLines w:val="0"/>
        <w:widowControl w:val="0"/>
        <w:suppressLineNumbers w:val="0"/>
        <w:spacing w:before="0" w:beforeAutospacing="0" w:after="0" w:afterAutospacing="0"/>
        <w:ind w:left="0" w:right="0" w:firstLine="566"/>
        <w:jc w:val="both"/>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6CD5096">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二、中标、成交供应商为残疾人福利性单位的，采购人或者其委托的采购代理机构应当随中标、成交结果同时公告其《残疾人福利性单位声明函》，接受社会监督。</w:t>
      </w:r>
    </w:p>
    <w:p w14:paraId="5B9A7052">
      <w:pPr>
        <w:keepNext w:val="0"/>
        <w:keepLines w:val="0"/>
        <w:widowControl w:val="0"/>
        <w:suppressLineNumbers w:val="0"/>
        <w:spacing w:before="0" w:beforeAutospacing="0" w:after="0" w:afterAutospacing="0"/>
        <w:ind w:left="0" w:leftChars="0" w:right="0" w:rightChars="0"/>
        <w:jc w:val="center"/>
        <w:outlineLvl w:val="9"/>
        <w:rPr>
          <w:rFonts w:hint="eastAsia" w:ascii="宋体" w:hAnsi="宋体" w:eastAsia="宋体" w:cs="Times New Roman"/>
          <w:b/>
          <w:bCs/>
          <w:color w:val="auto"/>
          <w:kern w:val="2"/>
          <w:sz w:val="36"/>
          <w:szCs w:val="36"/>
          <w:highlight w:val="none"/>
          <w:lang w:val="en-US" w:eastAsia="zh-CN" w:bidi="ar"/>
        </w:rPr>
      </w:pPr>
      <w:r>
        <w:rPr>
          <w:rFonts w:hint="eastAsia" w:ascii="宋体" w:hAnsi="宋体" w:eastAsia="宋体" w:cs="Times New Roman"/>
          <w:b/>
          <w:bCs/>
          <w:color w:val="auto"/>
          <w:kern w:val="2"/>
          <w:sz w:val="36"/>
          <w:szCs w:val="36"/>
          <w:highlight w:val="none"/>
          <w:lang w:val="en-US" w:eastAsia="zh-CN" w:bidi="ar"/>
        </w:rPr>
        <w:br w:type="page"/>
      </w:r>
    </w:p>
    <w:p w14:paraId="575F342C">
      <w:pPr>
        <w:keepNext w:val="0"/>
        <w:keepLines w:val="0"/>
        <w:widowControl w:val="0"/>
        <w:suppressLineNumbers w:val="0"/>
        <w:spacing w:before="0" w:beforeAutospacing="0" w:after="0" w:afterAutospacing="0"/>
        <w:ind w:left="0" w:leftChars="0" w:right="0" w:rightChars="0"/>
        <w:jc w:val="both"/>
        <w:outlineLvl w:val="0"/>
        <w:rPr>
          <w:rFonts w:hint="eastAsia" w:ascii="宋体" w:hAnsi="宋体" w:eastAsia="宋体" w:cs="Times New Roman"/>
          <w:b/>
          <w:bCs/>
          <w:color w:val="auto"/>
          <w:kern w:val="2"/>
          <w:sz w:val="22"/>
          <w:szCs w:val="22"/>
          <w:highlight w:val="none"/>
          <w:lang w:val="en-US" w:eastAsia="zh-CN" w:bidi="ar"/>
        </w:rPr>
      </w:pPr>
      <w:bookmarkStart w:id="268" w:name="_Toc11086"/>
      <w:r>
        <w:rPr>
          <w:rFonts w:hint="eastAsia" w:ascii="宋体" w:hAnsi="宋体" w:eastAsia="宋体" w:cs="Times New Roman"/>
          <w:b/>
          <w:bCs/>
          <w:color w:val="auto"/>
          <w:kern w:val="2"/>
          <w:sz w:val="22"/>
          <w:szCs w:val="22"/>
          <w:highlight w:val="none"/>
          <w:lang w:val="en-US" w:eastAsia="zh-CN" w:bidi="ar"/>
        </w:rPr>
        <w:t>附件</w:t>
      </w:r>
      <w:r>
        <w:rPr>
          <w:rFonts w:hint="eastAsia" w:ascii="宋体" w:hAnsi="宋体" w:cs="Times New Roman"/>
          <w:b/>
          <w:bCs/>
          <w:color w:val="auto"/>
          <w:kern w:val="2"/>
          <w:sz w:val="22"/>
          <w:szCs w:val="22"/>
          <w:highlight w:val="none"/>
          <w:lang w:val="en-US" w:eastAsia="zh-CN" w:bidi="ar"/>
        </w:rPr>
        <w:t>3：</w:t>
      </w:r>
      <w:r>
        <w:rPr>
          <w:rFonts w:hint="eastAsia" w:ascii="宋体" w:hAnsi="宋体" w:eastAsia="宋体" w:cs="Times New Roman"/>
          <w:b/>
          <w:bCs/>
          <w:color w:val="auto"/>
          <w:kern w:val="2"/>
          <w:sz w:val="22"/>
          <w:szCs w:val="22"/>
          <w:highlight w:val="none"/>
          <w:lang w:val="en-US" w:eastAsia="zh-CN" w:bidi="ar"/>
        </w:rPr>
        <w:t>监狱企业证明函</w:t>
      </w:r>
      <w:bookmarkEnd w:id="268"/>
    </w:p>
    <w:p w14:paraId="3B9ED936">
      <w:pPr>
        <w:keepNext w:val="0"/>
        <w:keepLines w:val="0"/>
        <w:widowControl w:val="0"/>
        <w:suppressLineNumbers w:val="0"/>
        <w:spacing w:before="0" w:beforeAutospacing="0" w:after="0" w:afterAutospacing="0"/>
        <w:ind w:left="0" w:right="0"/>
        <w:jc w:val="center"/>
        <w:outlineLvl w:val="9"/>
        <w:rPr>
          <w:rFonts w:hint="eastAsia" w:ascii="宋体" w:hAnsi="宋体" w:eastAsia="宋体" w:cs="Times New Roman"/>
          <w:b/>
          <w:bCs/>
          <w:color w:val="auto"/>
          <w:kern w:val="2"/>
          <w:sz w:val="36"/>
          <w:szCs w:val="36"/>
          <w:highlight w:val="none"/>
          <w:lang w:val="en-US" w:eastAsia="zh-CN" w:bidi="ar"/>
        </w:rPr>
      </w:pPr>
    </w:p>
    <w:p w14:paraId="4C243BF8">
      <w:pPr>
        <w:keepNext w:val="0"/>
        <w:keepLines w:val="0"/>
        <w:widowControl w:val="0"/>
        <w:suppressLineNumbers w:val="0"/>
        <w:spacing w:before="0" w:beforeAutospacing="0" w:after="0" w:afterAutospacing="0"/>
        <w:ind w:left="0" w:leftChars="0" w:right="0" w:rightChars="0"/>
        <w:jc w:val="center"/>
        <w:outlineLvl w:val="9"/>
        <w:rPr>
          <w:rFonts w:hint="eastAsia" w:ascii="宋体" w:hAnsi="宋体" w:eastAsia="宋体" w:cs="宋体"/>
          <w:color w:val="auto"/>
          <w:sz w:val="24"/>
          <w:szCs w:val="24"/>
          <w:highlight w:val="none"/>
          <w:lang w:val="en-US"/>
        </w:rPr>
      </w:pPr>
      <w:r>
        <w:rPr>
          <w:rFonts w:hint="eastAsia" w:ascii="宋体" w:hAnsi="宋体" w:eastAsia="宋体" w:cs="宋体"/>
          <w:b/>
          <w:bCs w:val="0"/>
          <w:color w:val="auto"/>
          <w:spacing w:val="6"/>
          <w:kern w:val="2"/>
          <w:sz w:val="24"/>
          <w:szCs w:val="24"/>
          <w:highlight w:val="none"/>
          <w:lang w:val="en-US" w:eastAsia="zh-CN" w:bidi="ar"/>
        </w:rPr>
        <w:t>监狱企业证明函（如有，不用可删除）</w:t>
      </w:r>
      <w:r>
        <w:rPr>
          <w:rFonts w:hint="eastAsia" w:ascii="宋体" w:hAnsi="宋体" w:eastAsia="宋体" w:cs="宋体"/>
          <w:color w:val="auto"/>
          <w:kern w:val="2"/>
          <w:sz w:val="24"/>
          <w:szCs w:val="24"/>
          <w:highlight w:val="none"/>
          <w:lang w:val="en-US" w:eastAsia="zh-CN" w:bidi="ar"/>
        </w:rPr>
        <w:t xml:space="preserve"> </w:t>
      </w:r>
    </w:p>
    <w:p w14:paraId="6A7D72D0">
      <w:pPr>
        <w:keepNext w:val="0"/>
        <w:keepLines w:val="0"/>
        <w:widowControl w:val="0"/>
        <w:suppressLineNumbers w:val="0"/>
        <w:spacing w:before="0" w:beforeAutospacing="0" w:after="0" w:afterAutospacing="0" w:line="500" w:lineRule="exact"/>
        <w:ind w:left="0" w:right="0" w:firstLine="440" w:firstLineChars="200"/>
        <w:jc w:val="both"/>
        <w:rPr>
          <w:rFonts w:hint="eastAsia" w:ascii="宋体" w:hAnsi="宋体" w:eastAsia="宋体" w:cs="宋体"/>
          <w:color w:val="auto"/>
          <w:sz w:val="22"/>
          <w:szCs w:val="22"/>
          <w:highlight w:val="none"/>
          <w:lang w:val="en-US"/>
        </w:rPr>
      </w:pPr>
      <w:r>
        <w:rPr>
          <w:rFonts w:hint="eastAsia" w:ascii="宋体" w:hAnsi="宋体" w:eastAsia="宋体" w:cs="宋体"/>
          <w:color w:val="auto"/>
          <w:kern w:val="2"/>
          <w:sz w:val="22"/>
          <w:szCs w:val="22"/>
          <w:highlight w:val="none"/>
          <w:lang w:val="en-US" w:eastAsia="zh-CN" w:bidi="ar"/>
        </w:rPr>
        <w:t>监狱企业参加政府采购活动，要求享受相关优惠政策的，应当提供由省级以上监狱管理局、戒毒管理局（含新疆生产建设兵团）出具的属于监狱企业的证明文件。</w:t>
      </w:r>
    </w:p>
    <w:p w14:paraId="5E4D99E6">
      <w:pPr>
        <w:keepNext w:val="0"/>
        <w:keepLines w:val="0"/>
        <w:widowControl w:val="0"/>
        <w:suppressLineNumbers w:val="0"/>
        <w:spacing w:before="0" w:beforeAutospacing="0" w:after="0" w:afterAutospacing="0" w:line="500" w:lineRule="exact"/>
        <w:ind w:left="0" w:right="0" w:firstLine="440" w:firstLineChars="200"/>
        <w:jc w:val="both"/>
        <w:rPr>
          <w:rFonts w:hint="eastAsia" w:ascii="宋体" w:hAnsi="宋体" w:eastAsia="宋体" w:cs="宋体"/>
          <w:color w:val="auto"/>
          <w:sz w:val="22"/>
          <w:szCs w:val="22"/>
          <w:highlight w:val="none"/>
          <w:lang w:val="en-US"/>
        </w:rPr>
      </w:pPr>
      <w:r>
        <w:rPr>
          <w:rFonts w:hint="eastAsia" w:ascii="宋体" w:hAnsi="宋体" w:eastAsia="宋体" w:cs="宋体"/>
          <w:color w:val="auto"/>
          <w:kern w:val="2"/>
          <w:sz w:val="22"/>
          <w:szCs w:val="22"/>
          <w:highlight w:val="none"/>
          <w:lang w:val="en-US" w:eastAsia="zh-CN" w:bidi="ar"/>
        </w:rPr>
        <w:t>备注：财政部 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25CDA74">
      <w:pPr>
        <w:keepNext w:val="0"/>
        <w:keepLines w:val="0"/>
        <w:widowControl w:val="0"/>
        <w:suppressLineNumbers w:val="0"/>
        <w:adjustRightInd w:val="0"/>
        <w:spacing w:before="0" w:beforeAutospacing="1" w:after="120" w:afterAutospacing="0"/>
        <w:ind w:left="0" w:right="0" w:firstLine="183"/>
        <w:jc w:val="left"/>
        <w:textAlignment w:val="baseline"/>
        <w:rPr>
          <w:rFonts w:hint="eastAsia" w:ascii="宋体" w:hAnsi="宋体" w:eastAsia="宋体" w:cs="宋体"/>
          <w:color w:val="auto"/>
          <w:sz w:val="22"/>
          <w:szCs w:val="22"/>
          <w:highlight w:val="none"/>
          <w:lang w:val="en-US"/>
        </w:rPr>
      </w:pPr>
      <w:r>
        <w:rPr>
          <w:rFonts w:hint="eastAsia" w:ascii="宋体" w:hAnsi="宋体" w:eastAsia="宋体" w:cs="宋体"/>
          <w:color w:val="auto"/>
          <w:kern w:val="0"/>
          <w:sz w:val="22"/>
          <w:szCs w:val="22"/>
          <w:highlight w:val="none"/>
          <w:vertAlign w:val="baseline"/>
          <w:lang w:val="en-US" w:eastAsia="zh-CN" w:bidi="ar"/>
        </w:rPr>
        <w:t xml:space="preserve"> </w:t>
      </w:r>
    </w:p>
    <w:p w14:paraId="2903FAA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2"/>
          <w:szCs w:val="22"/>
          <w:highlight w:val="none"/>
          <w:lang w:val="en-US"/>
        </w:rPr>
      </w:pPr>
      <w:r>
        <w:rPr>
          <w:rFonts w:hint="eastAsia" w:ascii="宋体" w:hAnsi="宋体" w:eastAsia="宋体" w:cs="宋体"/>
          <w:color w:val="auto"/>
          <w:kern w:val="2"/>
          <w:sz w:val="22"/>
          <w:szCs w:val="22"/>
          <w:highlight w:val="none"/>
          <w:lang w:val="en-US" w:eastAsia="zh-CN" w:bidi="ar"/>
        </w:rPr>
        <w:t xml:space="preserve"> </w:t>
      </w:r>
    </w:p>
    <w:p w14:paraId="08CCA92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2"/>
          <w:szCs w:val="22"/>
          <w:highlight w:val="none"/>
          <w:lang w:val="en-US"/>
        </w:rPr>
      </w:pPr>
    </w:p>
    <w:p w14:paraId="64AC5CA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2"/>
          <w:szCs w:val="22"/>
          <w:highlight w:val="none"/>
          <w:u w:val="single"/>
          <w:lang w:val="en-US"/>
        </w:rPr>
      </w:pPr>
      <w:r>
        <w:rPr>
          <w:rFonts w:hint="eastAsia" w:ascii="宋体" w:hAnsi="宋体" w:eastAsia="宋体" w:cs="宋体"/>
          <w:color w:val="auto"/>
          <w:kern w:val="2"/>
          <w:sz w:val="22"/>
          <w:szCs w:val="22"/>
          <w:highlight w:val="none"/>
          <w:lang w:val="en-US" w:eastAsia="zh-CN" w:bidi="ar"/>
        </w:rPr>
        <w:tab/>
      </w:r>
      <w:r>
        <w:rPr>
          <w:rFonts w:hint="eastAsia" w:ascii="宋体" w:hAnsi="宋体" w:eastAsia="宋体" w:cs="宋体"/>
          <w:color w:val="auto"/>
          <w:kern w:val="2"/>
          <w:sz w:val="22"/>
          <w:szCs w:val="22"/>
          <w:highlight w:val="none"/>
          <w:lang w:val="en-US" w:eastAsia="zh-CN" w:bidi="ar"/>
        </w:rPr>
        <w:t xml:space="preserve"> </w:t>
      </w:r>
      <w:r>
        <w:rPr>
          <w:rFonts w:hint="eastAsia" w:ascii="宋体" w:hAnsi="宋体" w:cs="宋体"/>
          <w:color w:val="auto"/>
          <w:kern w:val="2"/>
          <w:sz w:val="22"/>
          <w:szCs w:val="22"/>
          <w:highlight w:val="none"/>
          <w:lang w:val="en-US" w:eastAsia="zh-CN" w:bidi="ar"/>
        </w:rPr>
        <w:t xml:space="preserve"> </w:t>
      </w:r>
      <w:r>
        <w:rPr>
          <w:rFonts w:hint="eastAsia" w:ascii="宋体" w:hAnsi="宋体" w:eastAsia="宋体" w:cs="宋体"/>
          <w:color w:val="auto"/>
          <w:kern w:val="0"/>
          <w:sz w:val="22"/>
          <w:szCs w:val="22"/>
          <w:highlight w:val="none"/>
          <w:lang w:val="en-US" w:eastAsia="zh-CN" w:bidi="ar"/>
        </w:rPr>
        <w:t>供应商（盖章）：</w:t>
      </w:r>
      <w:r>
        <w:rPr>
          <w:rFonts w:hint="eastAsia" w:ascii="宋体" w:hAnsi="宋体" w:eastAsia="宋体" w:cs="宋体"/>
          <w:color w:val="auto"/>
          <w:kern w:val="0"/>
          <w:sz w:val="22"/>
          <w:szCs w:val="22"/>
          <w:highlight w:val="none"/>
          <w:u w:val="single"/>
          <w:lang w:val="en-US" w:eastAsia="zh-CN" w:bidi="ar"/>
        </w:rPr>
        <w:t xml:space="preserve">                       </w:t>
      </w:r>
    </w:p>
    <w:p w14:paraId="2D6562AA">
      <w:pPr>
        <w:keepNext w:val="0"/>
        <w:keepLines w:val="0"/>
        <w:widowControl/>
        <w:suppressLineNumbers w:val="0"/>
        <w:spacing w:before="0" w:beforeAutospacing="0" w:after="0" w:afterAutospacing="0"/>
        <w:ind w:left="0" w:right="0" w:firstLine="482"/>
        <w:jc w:val="left"/>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bidi="ar"/>
        </w:rPr>
        <w:t xml:space="preserve"> </w:t>
      </w:r>
    </w:p>
    <w:p w14:paraId="202FB8D0">
      <w:pPr>
        <w:keepNext w:val="0"/>
        <w:keepLines w:val="0"/>
        <w:widowControl/>
        <w:suppressLineNumbers w:val="0"/>
        <w:spacing w:before="0" w:beforeAutospacing="0" w:after="0" w:afterAutospacing="0"/>
        <w:ind w:left="0" w:right="0" w:firstLine="660" w:firstLineChars="300"/>
        <w:jc w:val="left"/>
        <w:rPr>
          <w:rFonts w:hint="eastAsia" w:ascii="宋体" w:hAnsi="宋体" w:eastAsia="宋体" w:cs="宋体"/>
          <w:color w:val="auto"/>
          <w:kern w:val="0"/>
          <w:sz w:val="22"/>
          <w:szCs w:val="22"/>
          <w:highlight w:val="none"/>
          <w:u w:val="single"/>
          <w:lang w:val="en-US"/>
        </w:rPr>
      </w:pPr>
      <w:r>
        <w:rPr>
          <w:rFonts w:hint="eastAsia" w:ascii="宋体" w:hAnsi="宋体" w:eastAsia="宋体" w:cs="宋体"/>
          <w:color w:val="auto"/>
          <w:kern w:val="0"/>
          <w:sz w:val="22"/>
          <w:szCs w:val="22"/>
          <w:highlight w:val="none"/>
          <w:lang w:val="en-US" w:eastAsia="zh-CN" w:bidi="ar"/>
        </w:rPr>
        <w:t>承诺人（签字）：</w:t>
      </w:r>
      <w:r>
        <w:rPr>
          <w:rFonts w:hint="eastAsia" w:ascii="宋体" w:hAnsi="宋体" w:eastAsia="宋体" w:cs="宋体"/>
          <w:color w:val="auto"/>
          <w:kern w:val="0"/>
          <w:sz w:val="22"/>
          <w:szCs w:val="22"/>
          <w:highlight w:val="none"/>
          <w:u w:val="single"/>
          <w:lang w:val="en-US" w:eastAsia="zh-CN" w:bidi="ar"/>
        </w:rPr>
        <w:t xml:space="preserve">                       </w:t>
      </w:r>
    </w:p>
    <w:p w14:paraId="2DE5BAAA">
      <w:pPr>
        <w:keepNext w:val="0"/>
        <w:keepLines w:val="0"/>
        <w:widowControl/>
        <w:suppressLineNumbers w:val="0"/>
        <w:spacing w:before="0" w:beforeAutospacing="0" w:after="0" w:afterAutospacing="0"/>
        <w:ind w:left="0" w:right="0" w:firstLine="482"/>
        <w:jc w:val="left"/>
        <w:rPr>
          <w:rFonts w:hint="eastAsia" w:ascii="宋体" w:hAnsi="宋体" w:eastAsia="宋体" w:cs="宋体"/>
          <w:color w:val="auto"/>
          <w:kern w:val="0"/>
          <w:sz w:val="22"/>
          <w:szCs w:val="22"/>
          <w:highlight w:val="none"/>
          <w:u w:val="single"/>
          <w:lang w:val="en-US"/>
        </w:rPr>
      </w:pPr>
    </w:p>
    <w:p w14:paraId="35FD7CEC">
      <w:pPr>
        <w:keepNext w:val="0"/>
        <w:keepLines w:val="0"/>
        <w:widowControl/>
        <w:suppressLineNumbers w:val="0"/>
        <w:spacing w:before="0" w:beforeAutospacing="0" w:after="0" w:afterAutospacing="0"/>
        <w:ind w:left="0" w:right="0" w:firstLine="660" w:firstLineChars="300"/>
        <w:jc w:val="left"/>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bidi="ar"/>
        </w:rPr>
        <w:t>承  诺  时  间：</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eastAsia="宋体" w:cs="宋体"/>
          <w:color w:val="auto"/>
          <w:kern w:val="0"/>
          <w:sz w:val="22"/>
          <w:szCs w:val="22"/>
          <w:highlight w:val="none"/>
          <w:lang w:val="en-US" w:eastAsia="zh-CN" w:bidi="ar"/>
        </w:rPr>
        <w:t>年</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eastAsia="宋体" w:cs="宋体"/>
          <w:color w:val="auto"/>
          <w:kern w:val="0"/>
          <w:sz w:val="22"/>
          <w:szCs w:val="22"/>
          <w:highlight w:val="none"/>
          <w:lang w:val="en-US" w:eastAsia="zh-CN" w:bidi="ar"/>
        </w:rPr>
        <w:t>月</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eastAsia="宋体" w:cs="宋体"/>
          <w:color w:val="auto"/>
          <w:kern w:val="0"/>
          <w:sz w:val="22"/>
          <w:szCs w:val="22"/>
          <w:highlight w:val="none"/>
          <w:lang w:val="en-US" w:eastAsia="zh-CN" w:bidi="ar"/>
        </w:rPr>
        <w:t>日</w:t>
      </w:r>
    </w:p>
    <w:p w14:paraId="58807A87">
      <w:pPr>
        <w:pageBreakBefore w:val="0"/>
        <w:numPr>
          <w:ilvl w:val="0"/>
          <w:numId w:val="0"/>
        </w:numPr>
        <w:overflowPunct/>
        <w:topLinePunct w:val="0"/>
        <w:bidi w:val="0"/>
        <w:spacing w:line="360" w:lineRule="auto"/>
        <w:jc w:val="center"/>
        <w:outlineLvl w:val="9"/>
        <w:rPr>
          <w:rFonts w:hint="eastAsia" w:ascii="宋体" w:hAnsi="宋体" w:eastAsia="宋体" w:cs="宋体"/>
          <w:b/>
          <w:bCs/>
          <w:color w:val="auto"/>
          <w:kern w:val="2"/>
          <w:sz w:val="28"/>
          <w:szCs w:val="28"/>
          <w:highlight w:val="none"/>
          <w:lang w:val="en-US" w:eastAsia="zh-CN" w:bidi="ar-SA"/>
        </w:rPr>
      </w:pPr>
    </w:p>
    <w:p w14:paraId="223927C3">
      <w:pPr>
        <w:pageBreakBefore w:val="0"/>
        <w:numPr>
          <w:ilvl w:val="0"/>
          <w:numId w:val="0"/>
        </w:numPr>
        <w:overflowPunct/>
        <w:topLinePunct w:val="0"/>
        <w:bidi w:val="0"/>
        <w:spacing w:line="360" w:lineRule="auto"/>
        <w:jc w:val="center"/>
        <w:outlineLvl w:val="9"/>
        <w:rPr>
          <w:rFonts w:hint="eastAsia" w:ascii="宋体" w:hAnsi="宋体" w:eastAsia="宋体" w:cs="宋体"/>
          <w:b/>
          <w:bCs/>
          <w:color w:val="auto"/>
          <w:kern w:val="2"/>
          <w:sz w:val="32"/>
          <w:szCs w:val="32"/>
          <w:highlight w:val="none"/>
          <w:lang w:val="en-US" w:eastAsia="zh-CN" w:bidi="ar-SA"/>
        </w:rPr>
      </w:pPr>
    </w:p>
    <w:p w14:paraId="0D57A633">
      <w:pPr>
        <w:pageBreakBefore w:val="0"/>
        <w:numPr>
          <w:ilvl w:val="0"/>
          <w:numId w:val="0"/>
        </w:numPr>
        <w:overflowPunct/>
        <w:topLinePunct w:val="0"/>
        <w:bidi w:val="0"/>
        <w:spacing w:line="360" w:lineRule="auto"/>
        <w:jc w:val="center"/>
        <w:outlineLvl w:val="9"/>
        <w:rPr>
          <w:rFonts w:hint="eastAsia" w:ascii="宋体" w:hAnsi="宋体" w:eastAsia="宋体" w:cs="宋体"/>
          <w:b/>
          <w:bCs/>
          <w:color w:val="auto"/>
          <w:kern w:val="2"/>
          <w:sz w:val="32"/>
          <w:szCs w:val="32"/>
          <w:highlight w:val="none"/>
          <w:lang w:val="en-US" w:eastAsia="zh-CN" w:bidi="ar-SA"/>
        </w:rPr>
      </w:pPr>
    </w:p>
    <w:p w14:paraId="411C3552">
      <w:pPr>
        <w:pageBreakBefore w:val="0"/>
        <w:numPr>
          <w:ilvl w:val="0"/>
          <w:numId w:val="0"/>
        </w:numPr>
        <w:overflowPunct/>
        <w:topLinePunct w:val="0"/>
        <w:bidi w:val="0"/>
        <w:spacing w:line="360" w:lineRule="auto"/>
        <w:jc w:val="center"/>
        <w:outlineLvl w:val="9"/>
        <w:rPr>
          <w:rFonts w:hint="eastAsia" w:ascii="宋体" w:hAnsi="宋体" w:eastAsia="宋体" w:cs="宋体"/>
          <w:b/>
          <w:bCs/>
          <w:color w:val="auto"/>
          <w:kern w:val="2"/>
          <w:sz w:val="32"/>
          <w:szCs w:val="32"/>
          <w:highlight w:val="none"/>
          <w:lang w:val="en-US" w:eastAsia="zh-CN" w:bidi="ar-SA"/>
        </w:rPr>
      </w:pPr>
    </w:p>
    <w:p w14:paraId="1EABB7A8">
      <w:pPr>
        <w:pageBreakBefore w:val="0"/>
        <w:numPr>
          <w:ilvl w:val="0"/>
          <w:numId w:val="0"/>
        </w:numPr>
        <w:overflowPunct/>
        <w:topLinePunct w:val="0"/>
        <w:bidi w:val="0"/>
        <w:spacing w:line="360" w:lineRule="auto"/>
        <w:jc w:val="center"/>
        <w:outlineLvl w:val="9"/>
        <w:rPr>
          <w:rFonts w:hint="eastAsia" w:ascii="宋体" w:hAnsi="宋体" w:eastAsia="宋体" w:cs="宋体"/>
          <w:b/>
          <w:bCs/>
          <w:color w:val="auto"/>
          <w:kern w:val="2"/>
          <w:sz w:val="32"/>
          <w:szCs w:val="32"/>
          <w:highlight w:val="none"/>
          <w:lang w:val="en-US" w:eastAsia="zh-CN" w:bidi="ar-SA"/>
        </w:rPr>
      </w:pPr>
    </w:p>
    <w:p w14:paraId="744B75B4">
      <w:pPr>
        <w:pageBreakBefore w:val="0"/>
        <w:numPr>
          <w:ilvl w:val="0"/>
          <w:numId w:val="0"/>
        </w:numPr>
        <w:overflowPunct/>
        <w:topLinePunct w:val="0"/>
        <w:bidi w:val="0"/>
        <w:spacing w:line="360" w:lineRule="auto"/>
        <w:jc w:val="center"/>
        <w:outlineLvl w:val="9"/>
        <w:rPr>
          <w:rFonts w:hint="eastAsia" w:ascii="宋体" w:hAnsi="宋体" w:eastAsia="宋体" w:cs="宋体"/>
          <w:b/>
          <w:bCs/>
          <w:color w:val="auto"/>
          <w:kern w:val="2"/>
          <w:sz w:val="32"/>
          <w:szCs w:val="32"/>
          <w:highlight w:val="none"/>
          <w:lang w:val="en-US" w:eastAsia="zh-CN" w:bidi="ar-SA"/>
        </w:rPr>
      </w:pPr>
    </w:p>
    <w:p w14:paraId="44168463">
      <w:pPr>
        <w:pageBreakBefore w:val="0"/>
        <w:numPr>
          <w:ilvl w:val="0"/>
          <w:numId w:val="0"/>
        </w:numPr>
        <w:overflowPunct/>
        <w:topLinePunct w:val="0"/>
        <w:bidi w:val="0"/>
        <w:spacing w:line="360" w:lineRule="auto"/>
        <w:jc w:val="center"/>
        <w:outlineLvl w:val="9"/>
        <w:rPr>
          <w:rFonts w:hint="eastAsia" w:ascii="宋体" w:hAnsi="宋体" w:eastAsia="宋体" w:cs="宋体"/>
          <w:b/>
          <w:bCs/>
          <w:color w:val="auto"/>
          <w:kern w:val="2"/>
          <w:sz w:val="32"/>
          <w:szCs w:val="32"/>
          <w:highlight w:val="none"/>
          <w:lang w:val="en-US" w:eastAsia="zh-CN" w:bidi="ar-SA"/>
        </w:rPr>
      </w:pPr>
    </w:p>
    <w:p w14:paraId="491E4004">
      <w:pPr>
        <w:pStyle w:val="23"/>
        <w:rPr>
          <w:rFonts w:hint="eastAsia" w:ascii="宋体" w:hAnsi="宋体" w:eastAsia="宋体" w:cs="宋体"/>
          <w:b/>
          <w:bCs/>
          <w:color w:val="auto"/>
          <w:kern w:val="2"/>
          <w:sz w:val="32"/>
          <w:szCs w:val="32"/>
          <w:highlight w:val="none"/>
          <w:lang w:val="en-US" w:eastAsia="zh-CN" w:bidi="ar-SA"/>
        </w:rPr>
      </w:pPr>
    </w:p>
    <w:p w14:paraId="703C8D16">
      <w:pPr>
        <w:pStyle w:val="24"/>
        <w:rPr>
          <w:rFonts w:hint="eastAsia" w:ascii="宋体" w:hAnsi="宋体" w:eastAsia="宋体" w:cs="宋体"/>
          <w:b/>
          <w:bCs/>
          <w:color w:val="auto"/>
          <w:kern w:val="2"/>
          <w:sz w:val="32"/>
          <w:szCs w:val="32"/>
          <w:highlight w:val="none"/>
          <w:lang w:val="en-US" w:eastAsia="zh-CN" w:bidi="ar-SA"/>
        </w:rPr>
      </w:pPr>
    </w:p>
    <w:p w14:paraId="0104671B">
      <w:pPr>
        <w:rPr>
          <w:rFonts w:hint="eastAsia"/>
          <w:color w:val="auto"/>
          <w:highlight w:val="none"/>
          <w:lang w:val="en-US" w:eastAsia="zh-CN"/>
        </w:rPr>
      </w:pPr>
    </w:p>
    <w:p w14:paraId="319BFF4F">
      <w:pPr>
        <w:pageBreakBefore w:val="0"/>
        <w:numPr>
          <w:ilvl w:val="0"/>
          <w:numId w:val="0"/>
        </w:numPr>
        <w:overflowPunct/>
        <w:topLinePunct w:val="0"/>
        <w:bidi w:val="0"/>
        <w:spacing w:line="360" w:lineRule="auto"/>
        <w:jc w:val="center"/>
        <w:outlineLvl w:val="0"/>
        <w:rPr>
          <w:rFonts w:hint="eastAsia" w:ascii="宋体" w:hAnsi="宋体" w:eastAsia="宋体" w:cs="宋体"/>
          <w:b/>
          <w:bCs/>
          <w:color w:val="auto"/>
          <w:kern w:val="2"/>
          <w:sz w:val="28"/>
          <w:szCs w:val="28"/>
          <w:highlight w:val="none"/>
          <w:lang w:val="en-US" w:eastAsia="zh-CN" w:bidi="ar-SA"/>
        </w:rPr>
      </w:pPr>
      <w:bookmarkStart w:id="269" w:name="_Toc1842"/>
      <w:r>
        <w:rPr>
          <w:rFonts w:hint="eastAsia" w:ascii="宋体" w:hAnsi="宋体" w:eastAsia="宋体" w:cs="宋体"/>
          <w:b/>
          <w:bCs/>
          <w:color w:val="auto"/>
          <w:kern w:val="2"/>
          <w:sz w:val="32"/>
          <w:szCs w:val="32"/>
          <w:highlight w:val="none"/>
          <w:lang w:val="en-US" w:eastAsia="zh-CN" w:bidi="ar-SA"/>
        </w:rPr>
        <w:t xml:space="preserve">第八章 </w:t>
      </w:r>
      <w:r>
        <w:rPr>
          <w:rFonts w:hint="eastAsia" w:ascii="宋体" w:hAnsi="宋体" w:eastAsia="宋体" w:cs="宋体"/>
          <w:b/>
          <w:bCs/>
          <w:color w:val="auto"/>
          <w:w w:val="95"/>
          <w:kern w:val="2"/>
          <w:sz w:val="32"/>
          <w:szCs w:val="32"/>
          <w:highlight w:val="none"/>
          <w:lang w:val="en-US" w:eastAsia="zh-CN" w:bidi="ar-SA"/>
        </w:rPr>
        <w:t xml:space="preserve"> 榆林市公共资源交易平台全流程电子化</w:t>
      </w:r>
      <w:bookmarkStart w:id="270" w:name="_Toc23465"/>
      <w:r>
        <w:rPr>
          <w:rFonts w:hint="eastAsia" w:ascii="宋体" w:hAnsi="宋体" w:eastAsia="宋体" w:cs="宋体"/>
          <w:b/>
          <w:bCs/>
          <w:color w:val="auto"/>
          <w:w w:val="95"/>
          <w:kern w:val="2"/>
          <w:sz w:val="32"/>
          <w:szCs w:val="32"/>
          <w:highlight w:val="none"/>
          <w:lang w:val="en-US" w:eastAsia="zh-CN" w:bidi="ar-SA"/>
        </w:rPr>
        <w:t>政府采购项目内容</w:t>
      </w:r>
      <w:bookmarkEnd w:id="257"/>
      <w:bookmarkEnd w:id="269"/>
      <w:bookmarkEnd w:id="270"/>
    </w:p>
    <w:p w14:paraId="6D168EDC">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cs="宋体"/>
          <w:bCs/>
          <w:color w:val="auto"/>
          <w:sz w:val="22"/>
          <w:szCs w:val="22"/>
          <w:highlight w:val="none"/>
        </w:rPr>
      </w:pPr>
      <w:bookmarkStart w:id="271" w:name="_Toc17329"/>
      <w:bookmarkStart w:id="272" w:name="_Toc7893"/>
      <w:bookmarkStart w:id="273" w:name="_Toc21174"/>
      <w:bookmarkStart w:id="274" w:name="_Toc29408"/>
      <w:bookmarkStart w:id="275" w:name="_Toc5026"/>
      <w:bookmarkStart w:id="276" w:name="_Toc19434"/>
      <w:bookmarkStart w:id="277" w:name="_Toc13044"/>
      <w:r>
        <w:rPr>
          <w:rFonts w:hint="eastAsia" w:ascii="宋体" w:hAnsi="宋体" w:cs="宋体"/>
          <w:bCs/>
          <w:color w:val="auto"/>
          <w:sz w:val="22"/>
          <w:szCs w:val="22"/>
          <w:highlight w:val="none"/>
        </w:rPr>
        <w:t>一、关于需要特别提醒供应商的内容</w:t>
      </w:r>
      <w:bookmarkEnd w:id="271"/>
      <w:bookmarkEnd w:id="272"/>
      <w:bookmarkEnd w:id="273"/>
      <w:bookmarkEnd w:id="274"/>
      <w:bookmarkEnd w:id="275"/>
      <w:bookmarkEnd w:id="276"/>
      <w:bookmarkEnd w:id="277"/>
    </w:p>
    <w:p w14:paraId="45E6D903">
      <w:pPr>
        <w:keepNext w:val="0"/>
        <w:keepLines w:val="0"/>
        <w:pageBreakBefore w:val="0"/>
        <w:widowControl w:val="0"/>
        <w:kinsoku/>
        <w:wordWrap/>
        <w:overflowPunct/>
        <w:topLinePunct w:val="0"/>
        <w:autoSpaceDE/>
        <w:autoSpaceDN/>
        <w:bidi w:val="0"/>
        <w:adjustRightInd/>
        <w:snapToGrid/>
        <w:spacing w:line="312" w:lineRule="auto"/>
        <w:ind w:firstLine="440" w:firstLineChars="200"/>
        <w:textAlignment w:val="auto"/>
        <w:outlineLvl w:val="9"/>
        <w:rPr>
          <w:rFonts w:hint="eastAsia" w:ascii="宋体" w:hAnsi="宋体" w:cs="宋体"/>
          <w:bCs/>
          <w:color w:val="auto"/>
          <w:sz w:val="22"/>
          <w:szCs w:val="22"/>
          <w:highlight w:val="none"/>
        </w:rPr>
      </w:pPr>
      <w:bookmarkStart w:id="278" w:name="_Toc21400"/>
      <w:bookmarkStart w:id="279" w:name="_Toc21468"/>
      <w:bookmarkStart w:id="280" w:name="_Toc2281"/>
      <w:bookmarkStart w:id="281" w:name="_Toc28365"/>
      <w:bookmarkStart w:id="282" w:name="_Toc22444"/>
      <w:bookmarkStart w:id="283" w:name="_Toc9072"/>
      <w:bookmarkStart w:id="284" w:name="_Toc11575"/>
      <w:r>
        <w:rPr>
          <w:rFonts w:hint="eastAsia" w:ascii="宋体" w:hAnsi="宋体" w:cs="宋体"/>
          <w:bCs/>
          <w:color w:val="auto"/>
          <w:sz w:val="22"/>
          <w:szCs w:val="22"/>
          <w:highlight w:val="none"/>
        </w:rPr>
        <w:t>1、本项目采用电子化投标的方式投标，投标人须使用数字认证证书（CA锁）对电子投标文件进行签章、加密、递交及开标时解密等相关招投标事宜。</w:t>
      </w:r>
      <w:bookmarkEnd w:id="278"/>
      <w:bookmarkEnd w:id="279"/>
      <w:bookmarkEnd w:id="280"/>
    </w:p>
    <w:p w14:paraId="0F3A533F">
      <w:pPr>
        <w:keepNext w:val="0"/>
        <w:keepLines w:val="0"/>
        <w:pageBreakBefore w:val="0"/>
        <w:widowControl w:val="0"/>
        <w:kinsoku/>
        <w:wordWrap/>
        <w:overflowPunct/>
        <w:topLinePunct w:val="0"/>
        <w:autoSpaceDE/>
        <w:autoSpaceDN/>
        <w:bidi w:val="0"/>
        <w:adjustRightInd/>
        <w:snapToGrid/>
        <w:spacing w:line="312" w:lineRule="auto"/>
        <w:ind w:firstLine="440" w:firstLineChars="200"/>
        <w:textAlignment w:val="auto"/>
        <w:outlineLvl w:val="9"/>
        <w:rPr>
          <w:rFonts w:hint="eastAsia" w:ascii="宋体" w:hAnsi="宋体" w:cs="宋体"/>
          <w:bCs/>
          <w:color w:val="auto"/>
          <w:sz w:val="22"/>
          <w:szCs w:val="22"/>
          <w:highlight w:val="none"/>
        </w:rPr>
      </w:pPr>
      <w:bookmarkStart w:id="285" w:name="_Toc26209"/>
      <w:bookmarkStart w:id="286" w:name="_Toc1127"/>
      <w:bookmarkStart w:id="287" w:name="_Toc21967"/>
      <w:r>
        <w:rPr>
          <w:rFonts w:hint="eastAsia" w:ascii="宋体" w:hAnsi="宋体" w:cs="宋体"/>
          <w:bCs/>
          <w:color w:val="auto"/>
          <w:sz w:val="22"/>
          <w:szCs w:val="22"/>
          <w:highlight w:val="none"/>
        </w:rPr>
        <w:t>2、制作电子投标文件</w:t>
      </w:r>
      <w:bookmarkEnd w:id="285"/>
      <w:bookmarkEnd w:id="286"/>
      <w:bookmarkEnd w:id="287"/>
    </w:p>
    <w:p w14:paraId="4E72EDAE">
      <w:pPr>
        <w:keepNext w:val="0"/>
        <w:keepLines w:val="0"/>
        <w:pageBreakBefore w:val="0"/>
        <w:widowControl w:val="0"/>
        <w:kinsoku/>
        <w:wordWrap/>
        <w:overflowPunct/>
        <w:topLinePunct w:val="0"/>
        <w:autoSpaceDE/>
        <w:autoSpaceDN/>
        <w:bidi w:val="0"/>
        <w:adjustRightInd/>
        <w:snapToGrid/>
        <w:spacing w:line="312" w:lineRule="auto"/>
        <w:ind w:firstLine="440" w:firstLineChars="200"/>
        <w:textAlignment w:val="auto"/>
        <w:outlineLvl w:val="9"/>
        <w:rPr>
          <w:rFonts w:hint="eastAsia" w:ascii="宋体" w:hAnsi="宋体" w:cs="宋体"/>
          <w:bCs/>
          <w:color w:val="auto"/>
          <w:sz w:val="22"/>
          <w:szCs w:val="22"/>
          <w:highlight w:val="none"/>
        </w:rPr>
      </w:pPr>
      <w:bookmarkStart w:id="288" w:name="_Toc20309"/>
      <w:bookmarkStart w:id="289" w:name="_Toc22290"/>
      <w:bookmarkStart w:id="290" w:name="_Toc5341"/>
      <w:r>
        <w:rPr>
          <w:rFonts w:hint="eastAsia" w:ascii="宋体" w:hAnsi="宋体" w:cs="宋体"/>
          <w:bCs/>
          <w:color w:val="auto"/>
          <w:sz w:val="22"/>
          <w:szCs w:val="22"/>
          <w:highlight w:val="none"/>
        </w:rPr>
        <w:t>投标供应商须在“全国公共资源交易中心平台（陕西省）（http://www.sxggzyjy.cn/）”的“服务指南”栏目“下载专区”中，免费下载“陕西省公共资源交易平台政府采购电子标书制作工具”，并升级至最新版本，使用该客户端制作电子投标文件，制作扩展名为“.SXSTF”的电子投标文件。”</w:t>
      </w:r>
      <w:bookmarkEnd w:id="288"/>
      <w:bookmarkEnd w:id="289"/>
      <w:bookmarkEnd w:id="290"/>
    </w:p>
    <w:p w14:paraId="498A7BE3">
      <w:pPr>
        <w:keepNext w:val="0"/>
        <w:keepLines w:val="0"/>
        <w:pageBreakBefore w:val="0"/>
        <w:widowControl w:val="0"/>
        <w:kinsoku/>
        <w:wordWrap/>
        <w:overflowPunct/>
        <w:topLinePunct w:val="0"/>
        <w:autoSpaceDE/>
        <w:autoSpaceDN/>
        <w:bidi w:val="0"/>
        <w:adjustRightInd/>
        <w:snapToGrid/>
        <w:spacing w:line="312" w:lineRule="auto"/>
        <w:ind w:firstLine="440" w:firstLineChars="200"/>
        <w:textAlignment w:val="auto"/>
        <w:outlineLvl w:val="9"/>
        <w:rPr>
          <w:rFonts w:hint="eastAsia" w:ascii="宋体" w:hAnsi="宋体" w:cs="宋体"/>
          <w:bCs/>
          <w:color w:val="auto"/>
          <w:sz w:val="22"/>
          <w:szCs w:val="22"/>
          <w:highlight w:val="none"/>
        </w:rPr>
      </w:pPr>
      <w:bookmarkStart w:id="291" w:name="_Toc29229"/>
      <w:bookmarkStart w:id="292" w:name="_Toc15991"/>
      <w:bookmarkStart w:id="293" w:name="_Toc797"/>
      <w:r>
        <w:rPr>
          <w:rFonts w:hint="eastAsia" w:ascii="宋体" w:hAnsi="宋体" w:cs="宋体"/>
          <w:bCs/>
          <w:color w:val="auto"/>
          <w:sz w:val="22"/>
          <w:szCs w:val="22"/>
          <w:highlight w:val="none"/>
        </w:rPr>
        <w:t>3、递交电子投标文件</w:t>
      </w:r>
      <w:bookmarkEnd w:id="291"/>
      <w:bookmarkEnd w:id="292"/>
      <w:bookmarkEnd w:id="293"/>
    </w:p>
    <w:p w14:paraId="0FADC010">
      <w:pPr>
        <w:keepNext w:val="0"/>
        <w:keepLines w:val="0"/>
        <w:pageBreakBefore w:val="0"/>
        <w:widowControl w:val="0"/>
        <w:kinsoku/>
        <w:wordWrap/>
        <w:overflowPunct/>
        <w:topLinePunct w:val="0"/>
        <w:autoSpaceDE/>
        <w:autoSpaceDN/>
        <w:bidi w:val="0"/>
        <w:adjustRightInd/>
        <w:snapToGrid/>
        <w:spacing w:line="312" w:lineRule="auto"/>
        <w:ind w:firstLine="440" w:firstLineChars="200"/>
        <w:textAlignment w:val="auto"/>
        <w:outlineLvl w:val="9"/>
        <w:rPr>
          <w:rFonts w:hint="eastAsia" w:ascii="宋体" w:hAnsi="宋体" w:cs="宋体"/>
          <w:bCs/>
          <w:color w:val="auto"/>
          <w:sz w:val="22"/>
          <w:szCs w:val="22"/>
          <w:highlight w:val="none"/>
        </w:rPr>
      </w:pPr>
      <w:bookmarkStart w:id="294" w:name="_Toc2403"/>
      <w:bookmarkStart w:id="295" w:name="_Toc8230"/>
      <w:bookmarkStart w:id="296" w:name="_Toc26499"/>
      <w:r>
        <w:rPr>
          <w:rFonts w:hint="eastAsia" w:ascii="宋体" w:hAnsi="宋体" w:cs="宋体"/>
          <w:bCs/>
          <w:color w:val="auto"/>
          <w:sz w:val="22"/>
          <w:szCs w:val="22"/>
          <w:highlight w:val="none"/>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bookmarkEnd w:id="294"/>
      <w:bookmarkEnd w:id="295"/>
      <w:bookmarkEnd w:id="296"/>
    </w:p>
    <w:bookmarkEnd w:id="281"/>
    <w:bookmarkEnd w:id="282"/>
    <w:bookmarkEnd w:id="283"/>
    <w:bookmarkEnd w:id="284"/>
    <w:p w14:paraId="184DA6BC">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cs="宋体"/>
          <w:bCs/>
          <w:color w:val="auto"/>
          <w:sz w:val="22"/>
          <w:szCs w:val="22"/>
          <w:highlight w:val="none"/>
        </w:rPr>
      </w:pPr>
      <w:bookmarkStart w:id="297" w:name="_Toc2638"/>
      <w:bookmarkStart w:id="298" w:name="_Toc23397"/>
      <w:bookmarkStart w:id="299" w:name="_Toc18685"/>
      <w:bookmarkStart w:id="300" w:name="_Toc14917"/>
      <w:bookmarkStart w:id="301" w:name="_Toc32158"/>
      <w:bookmarkStart w:id="302" w:name="_Toc6717"/>
      <w:bookmarkStart w:id="303" w:name="_Toc31754"/>
      <w:r>
        <w:rPr>
          <w:rFonts w:hint="eastAsia" w:ascii="宋体" w:hAnsi="宋体" w:cs="宋体"/>
          <w:bCs/>
          <w:color w:val="auto"/>
          <w:sz w:val="22"/>
          <w:szCs w:val="22"/>
          <w:highlight w:val="none"/>
          <w:lang w:val="en-US" w:eastAsia="zh-CN"/>
        </w:rPr>
        <w:t>二</w:t>
      </w:r>
      <w:r>
        <w:rPr>
          <w:rFonts w:hint="eastAsia" w:ascii="宋体" w:hAnsi="宋体" w:cs="宋体"/>
          <w:bCs/>
          <w:color w:val="auto"/>
          <w:sz w:val="22"/>
          <w:szCs w:val="22"/>
          <w:highlight w:val="none"/>
        </w:rPr>
        <w:t>、关于文件的制作和签名</w:t>
      </w:r>
      <w:bookmarkEnd w:id="297"/>
      <w:bookmarkEnd w:id="298"/>
      <w:bookmarkEnd w:id="299"/>
      <w:bookmarkEnd w:id="300"/>
      <w:bookmarkEnd w:id="301"/>
      <w:bookmarkEnd w:id="302"/>
      <w:bookmarkEnd w:id="303"/>
    </w:p>
    <w:p w14:paraId="6C525F65">
      <w:pPr>
        <w:keepNext w:val="0"/>
        <w:keepLines w:val="0"/>
        <w:pageBreakBefore w:val="0"/>
        <w:widowControl w:val="0"/>
        <w:kinsoku/>
        <w:wordWrap/>
        <w:overflowPunct/>
        <w:topLinePunct w:val="0"/>
        <w:autoSpaceDE/>
        <w:autoSpaceDN/>
        <w:bidi w:val="0"/>
        <w:adjustRightInd/>
        <w:snapToGrid/>
        <w:spacing w:line="312" w:lineRule="auto"/>
        <w:ind w:firstLine="440" w:firstLineChars="200"/>
        <w:textAlignment w:val="auto"/>
        <w:outlineLvl w:val="9"/>
        <w:rPr>
          <w:rFonts w:hint="eastAsia" w:ascii="宋体" w:hAnsi="宋体" w:cs="宋体"/>
          <w:bCs/>
          <w:color w:val="auto"/>
          <w:sz w:val="22"/>
          <w:szCs w:val="22"/>
          <w:highlight w:val="none"/>
        </w:rPr>
      </w:pPr>
      <w:bookmarkStart w:id="304" w:name="_Toc22512"/>
      <w:r>
        <w:rPr>
          <w:rFonts w:hint="eastAsia" w:ascii="宋体" w:hAnsi="宋体" w:cs="宋体"/>
          <w:bCs/>
          <w:color w:val="auto"/>
          <w:sz w:val="22"/>
          <w:szCs w:val="22"/>
          <w:highlight w:val="none"/>
        </w:rPr>
        <w:t>1.</w:t>
      </w:r>
      <w:bookmarkEnd w:id="304"/>
      <w:bookmarkStart w:id="305" w:name="_Toc30680"/>
      <w:r>
        <w:rPr>
          <w:rFonts w:hint="eastAsia" w:ascii="宋体" w:hAnsi="宋体" w:cs="宋体"/>
          <w:bCs/>
          <w:color w:val="auto"/>
          <w:sz w:val="22"/>
          <w:szCs w:val="22"/>
          <w:highlight w:val="none"/>
        </w:rPr>
        <w:t xml:space="preserve"> 编制电子投标文件时，应使用最新发布的电子招标文件及专用制作工具进行编制。并使用数字认证证书（CA）对电子投标文件进行签署、加密、递交及开标时解密等相关操作。</w:t>
      </w:r>
      <w:bookmarkEnd w:id="305"/>
    </w:p>
    <w:p w14:paraId="3A485074">
      <w:pPr>
        <w:keepNext w:val="0"/>
        <w:keepLines w:val="0"/>
        <w:pageBreakBefore w:val="0"/>
        <w:widowControl w:val="0"/>
        <w:kinsoku/>
        <w:wordWrap/>
        <w:overflowPunct/>
        <w:topLinePunct w:val="0"/>
        <w:autoSpaceDE/>
        <w:autoSpaceDN/>
        <w:bidi w:val="0"/>
        <w:adjustRightInd/>
        <w:snapToGrid/>
        <w:spacing w:line="312" w:lineRule="auto"/>
        <w:ind w:firstLine="220" w:firstLineChars="100"/>
        <w:textAlignment w:val="auto"/>
        <w:outlineLvl w:val="9"/>
        <w:rPr>
          <w:rFonts w:hint="eastAsia" w:ascii="宋体" w:hAnsi="宋体" w:cs="宋体"/>
          <w:bCs/>
          <w:color w:val="auto"/>
          <w:sz w:val="22"/>
          <w:szCs w:val="22"/>
          <w:highlight w:val="none"/>
        </w:rPr>
      </w:pPr>
      <w:bookmarkStart w:id="306" w:name="_Toc5190"/>
      <w:r>
        <w:rPr>
          <w:rFonts w:hint="eastAsia" w:ascii="宋体" w:hAnsi="宋体" w:cs="宋体"/>
          <w:bCs/>
          <w:color w:val="auto"/>
          <w:sz w:val="22"/>
          <w:szCs w:val="22"/>
          <w:highlight w:val="none"/>
        </w:rPr>
        <w:t>（1）电子招标文件下载</w:t>
      </w:r>
      <w:bookmarkEnd w:id="306"/>
    </w:p>
    <w:p w14:paraId="37C4AF00">
      <w:pPr>
        <w:keepNext w:val="0"/>
        <w:keepLines w:val="0"/>
        <w:pageBreakBefore w:val="0"/>
        <w:widowControl w:val="0"/>
        <w:kinsoku/>
        <w:wordWrap/>
        <w:overflowPunct/>
        <w:topLinePunct w:val="0"/>
        <w:autoSpaceDE/>
        <w:autoSpaceDN/>
        <w:bidi w:val="0"/>
        <w:adjustRightInd/>
        <w:snapToGrid/>
        <w:spacing w:line="312" w:lineRule="auto"/>
        <w:ind w:firstLine="440" w:firstLineChars="200"/>
        <w:textAlignment w:val="auto"/>
        <w:outlineLvl w:val="9"/>
        <w:rPr>
          <w:rFonts w:hint="eastAsia" w:ascii="宋体" w:hAnsi="宋体" w:cs="宋体"/>
          <w:bCs/>
          <w:color w:val="auto"/>
          <w:sz w:val="22"/>
          <w:szCs w:val="22"/>
          <w:highlight w:val="none"/>
        </w:rPr>
      </w:pPr>
      <w:bookmarkStart w:id="307" w:name="_Toc17854"/>
      <w:r>
        <w:rPr>
          <w:rFonts w:hint="eastAsia" w:ascii="宋体" w:hAnsi="宋体" w:cs="宋体"/>
          <w:bCs/>
          <w:color w:val="auto"/>
          <w:sz w:val="22"/>
          <w:szCs w:val="22"/>
          <w:highlight w:val="none"/>
        </w:rPr>
        <w:t>供应商登录全国公共资源交易平台（陕西省）网站[电子交易平台-企业端]后，在[我的项目]中点击“项目流程-交易文件下载”下载电子招标文件（*.SXSZF）;</w:t>
      </w:r>
      <w:bookmarkEnd w:id="307"/>
    </w:p>
    <w:p w14:paraId="5601620B">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cs="宋体"/>
          <w:bCs/>
          <w:color w:val="auto"/>
          <w:sz w:val="22"/>
          <w:szCs w:val="22"/>
          <w:highlight w:val="none"/>
        </w:rPr>
      </w:pPr>
      <w:bookmarkStart w:id="308" w:name="_Toc27523"/>
      <w:r>
        <w:rPr>
          <w:rFonts w:hint="eastAsia" w:ascii="宋体" w:hAnsi="宋体" w:cs="宋体"/>
          <w:bCs/>
          <w:color w:val="auto"/>
          <w:sz w:val="22"/>
          <w:szCs w:val="22"/>
          <w:highlight w:val="none"/>
        </w:rPr>
        <w:t>注意：该项目如有变更文件，则应点击“项目流程&gt;答疑文件下载”下载更新后的电子招标文件（*.SXSCF），使用旧版电子招标文件制作的电子投标文件，系统将拒绝接收。</w:t>
      </w:r>
      <w:bookmarkEnd w:id="308"/>
    </w:p>
    <w:p w14:paraId="18B82B78">
      <w:pPr>
        <w:keepNext w:val="0"/>
        <w:keepLines w:val="0"/>
        <w:pageBreakBefore w:val="0"/>
        <w:widowControl w:val="0"/>
        <w:kinsoku/>
        <w:wordWrap/>
        <w:overflowPunct/>
        <w:topLinePunct w:val="0"/>
        <w:autoSpaceDE/>
        <w:autoSpaceDN/>
        <w:bidi w:val="0"/>
        <w:adjustRightInd/>
        <w:snapToGrid/>
        <w:spacing w:line="312" w:lineRule="auto"/>
        <w:ind w:firstLine="220" w:firstLineChars="100"/>
        <w:textAlignment w:val="auto"/>
        <w:outlineLvl w:val="9"/>
        <w:rPr>
          <w:rFonts w:hint="eastAsia" w:ascii="宋体" w:hAnsi="宋体" w:cs="宋体"/>
          <w:bCs/>
          <w:color w:val="auto"/>
          <w:sz w:val="22"/>
          <w:szCs w:val="22"/>
          <w:highlight w:val="none"/>
        </w:rPr>
      </w:pPr>
      <w:bookmarkStart w:id="309" w:name="_Toc8282"/>
      <w:r>
        <w:rPr>
          <w:rFonts w:hint="eastAsia" w:ascii="宋体" w:hAnsi="宋体" w:cs="宋体"/>
          <w:bCs/>
          <w:color w:val="auto"/>
          <w:sz w:val="22"/>
          <w:szCs w:val="22"/>
          <w:highlight w:val="none"/>
        </w:rPr>
        <w:t>（2）电子招标文件需要使用专用软件打开、浏览</w:t>
      </w:r>
      <w:bookmarkEnd w:id="309"/>
    </w:p>
    <w:p w14:paraId="4DBAE8BC">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cs="宋体"/>
          <w:bCs/>
          <w:color w:val="auto"/>
          <w:sz w:val="22"/>
          <w:szCs w:val="22"/>
          <w:highlight w:val="none"/>
        </w:rPr>
      </w:pPr>
      <w:bookmarkStart w:id="310" w:name="_Toc20814"/>
      <w:r>
        <w:rPr>
          <w:rFonts w:hint="eastAsia" w:ascii="宋体" w:hAnsi="宋体" w:cs="宋体"/>
          <w:bCs/>
          <w:color w:val="auto"/>
          <w:sz w:val="22"/>
          <w:szCs w:val="22"/>
          <w:highlight w:val="none"/>
        </w:rPr>
        <w:t>供应商登录全国公共资源交易平台（陕西省）网站[服务指南-下载专区]免费下载《陕西省公共资源交易平台政府采购电子标书制作工具》，下载网址：http://www.sxggzyjy.cn/fwzn/004003/20180827/c8c8fb15-a7cc-4011-a244-806289d7cf3b.html，并升级至最新版本，使用该客户端可以打开电子招标文件。软件操作手册详见全国公共资源交易平台（陕西省）网站[服务指南-下载专区]中的《陕西省公共资源交易（政府采购类）投标文件制作软件操作手册》,下载网址：</w:t>
      </w:r>
      <w:bookmarkEnd w:id="310"/>
    </w:p>
    <w:p w14:paraId="481770EE">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cs="宋体"/>
          <w:bCs/>
          <w:color w:val="auto"/>
          <w:sz w:val="22"/>
          <w:szCs w:val="22"/>
          <w:highlight w:val="none"/>
        </w:rPr>
      </w:pPr>
      <w:bookmarkStart w:id="311" w:name="_Toc19001"/>
      <w:r>
        <w:rPr>
          <w:rFonts w:hint="eastAsia" w:ascii="宋体" w:hAnsi="宋体" w:cs="宋体"/>
          <w:bCs/>
          <w:color w:val="auto"/>
          <w:sz w:val="22"/>
          <w:szCs w:val="22"/>
          <w:highlight w:val="none"/>
        </w:rPr>
        <w:t>http://www.sxggzyjy.cn/fwzn/004003/20170821/c3afa05b-f5e6-4e64-9fb0-e397ef73413d.html；</w:t>
      </w:r>
      <w:bookmarkEnd w:id="311"/>
    </w:p>
    <w:p w14:paraId="3A32F03F">
      <w:pPr>
        <w:keepNext w:val="0"/>
        <w:keepLines w:val="0"/>
        <w:pageBreakBefore w:val="0"/>
        <w:widowControl w:val="0"/>
        <w:kinsoku/>
        <w:wordWrap/>
        <w:overflowPunct/>
        <w:topLinePunct w:val="0"/>
        <w:autoSpaceDE/>
        <w:autoSpaceDN/>
        <w:bidi w:val="0"/>
        <w:adjustRightInd/>
        <w:snapToGrid/>
        <w:spacing w:line="312" w:lineRule="auto"/>
        <w:ind w:firstLine="220" w:firstLineChars="100"/>
        <w:textAlignment w:val="auto"/>
        <w:outlineLvl w:val="9"/>
        <w:rPr>
          <w:rFonts w:hint="eastAsia" w:ascii="宋体" w:hAnsi="宋体" w:cs="宋体"/>
          <w:bCs/>
          <w:color w:val="auto"/>
          <w:sz w:val="22"/>
          <w:szCs w:val="22"/>
          <w:highlight w:val="none"/>
        </w:rPr>
      </w:pPr>
      <w:bookmarkStart w:id="312" w:name="_Toc3479"/>
      <w:r>
        <w:rPr>
          <w:rFonts w:hint="eastAsia" w:ascii="宋体" w:hAnsi="宋体" w:cs="宋体"/>
          <w:bCs/>
          <w:color w:val="auto"/>
          <w:sz w:val="22"/>
          <w:szCs w:val="22"/>
          <w:highlight w:val="none"/>
        </w:rPr>
        <w:t>（3）制作电子投标文件</w:t>
      </w:r>
      <w:bookmarkEnd w:id="312"/>
    </w:p>
    <w:p w14:paraId="0D697CF0">
      <w:pPr>
        <w:keepNext w:val="0"/>
        <w:keepLines w:val="0"/>
        <w:pageBreakBefore w:val="0"/>
        <w:widowControl w:val="0"/>
        <w:kinsoku/>
        <w:wordWrap/>
        <w:overflowPunct/>
        <w:topLinePunct w:val="0"/>
        <w:autoSpaceDE/>
        <w:autoSpaceDN/>
        <w:bidi w:val="0"/>
        <w:adjustRightInd/>
        <w:snapToGrid/>
        <w:spacing w:line="312" w:lineRule="auto"/>
        <w:ind w:firstLine="440" w:firstLineChars="200"/>
        <w:textAlignment w:val="auto"/>
        <w:outlineLvl w:val="9"/>
        <w:rPr>
          <w:rFonts w:hint="eastAsia" w:ascii="宋体" w:hAnsi="宋体" w:cs="宋体"/>
          <w:bCs/>
          <w:color w:val="auto"/>
          <w:sz w:val="22"/>
          <w:szCs w:val="22"/>
          <w:highlight w:val="none"/>
        </w:rPr>
      </w:pPr>
      <w:bookmarkStart w:id="313" w:name="_Toc1229"/>
      <w:r>
        <w:rPr>
          <w:rFonts w:hint="eastAsia" w:ascii="宋体" w:hAnsi="宋体" w:cs="宋体"/>
          <w:bCs/>
          <w:color w:val="auto"/>
          <w:sz w:val="22"/>
          <w:szCs w:val="22"/>
          <w:highlight w:val="none"/>
        </w:rPr>
        <w:t>电子投标文件同样需要使用上述软件进行编制。在编制过程中，如有技术性问题，请先翻阅操作手册或致电软件开发商，技术支持热线：4009280095、4009980000。</w:t>
      </w:r>
      <w:bookmarkEnd w:id="313"/>
    </w:p>
    <w:p w14:paraId="5213FE0B">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cs="宋体"/>
          <w:bCs/>
          <w:color w:val="auto"/>
          <w:sz w:val="22"/>
          <w:szCs w:val="22"/>
          <w:highlight w:val="none"/>
        </w:rPr>
      </w:pPr>
      <w:bookmarkStart w:id="314" w:name="_Toc17330"/>
      <w:bookmarkStart w:id="315" w:name="_Toc24522"/>
      <w:bookmarkStart w:id="316" w:name="_Toc29731"/>
      <w:r>
        <w:rPr>
          <w:rFonts w:hint="eastAsia" w:ascii="宋体" w:hAnsi="宋体" w:cs="宋体"/>
          <w:bCs/>
          <w:color w:val="auto"/>
          <w:sz w:val="22"/>
          <w:szCs w:val="22"/>
          <w:highlight w:val="none"/>
        </w:rPr>
        <w:t>四、该项目将采取“不见面”开标的形式，供应商无须到达开标现场，即可在网上直接参与开标活动。相关注意事项如下：</w:t>
      </w:r>
      <w:bookmarkEnd w:id="314"/>
      <w:bookmarkEnd w:id="315"/>
      <w:bookmarkEnd w:id="316"/>
    </w:p>
    <w:p w14:paraId="6E3A2344">
      <w:pPr>
        <w:keepNext w:val="0"/>
        <w:keepLines w:val="0"/>
        <w:pageBreakBefore w:val="0"/>
        <w:widowControl w:val="0"/>
        <w:kinsoku/>
        <w:wordWrap/>
        <w:overflowPunct/>
        <w:topLinePunct w:val="0"/>
        <w:autoSpaceDE/>
        <w:autoSpaceDN/>
        <w:bidi w:val="0"/>
        <w:adjustRightInd/>
        <w:snapToGrid/>
        <w:spacing w:line="312" w:lineRule="auto"/>
        <w:ind w:firstLine="440" w:firstLineChars="200"/>
        <w:textAlignment w:val="auto"/>
        <w:outlineLvl w:val="9"/>
        <w:rPr>
          <w:rFonts w:hint="eastAsia" w:ascii="宋体" w:hAnsi="宋体" w:cs="宋体"/>
          <w:bCs/>
          <w:color w:val="auto"/>
          <w:sz w:val="22"/>
          <w:szCs w:val="22"/>
          <w:highlight w:val="none"/>
        </w:rPr>
      </w:pPr>
      <w:bookmarkStart w:id="317" w:name="_Toc10914"/>
      <w:bookmarkStart w:id="318" w:name="_Toc8560"/>
      <w:bookmarkStart w:id="319" w:name="_Toc25309"/>
      <w:r>
        <w:rPr>
          <w:rFonts w:hint="eastAsia" w:ascii="宋体" w:hAnsi="宋体" w:cs="宋体"/>
          <w:bCs/>
          <w:color w:val="auto"/>
          <w:sz w:val="22"/>
          <w:szCs w:val="22"/>
          <w:highlight w:val="none"/>
        </w:rPr>
        <w:t>（1）开标当日，请各供应商在开标截止时间前至少提前半小时登录“不见面”开标系统登录方式有以下几种：</w:t>
      </w:r>
      <w:bookmarkEnd w:id="317"/>
      <w:bookmarkEnd w:id="318"/>
      <w:bookmarkEnd w:id="319"/>
    </w:p>
    <w:p w14:paraId="341021AD">
      <w:pPr>
        <w:keepNext w:val="0"/>
        <w:keepLines w:val="0"/>
        <w:pageBreakBefore w:val="0"/>
        <w:widowControl w:val="0"/>
        <w:kinsoku/>
        <w:wordWrap/>
        <w:overflowPunct/>
        <w:topLinePunct w:val="0"/>
        <w:autoSpaceDE/>
        <w:autoSpaceDN/>
        <w:bidi w:val="0"/>
        <w:adjustRightInd/>
        <w:snapToGrid/>
        <w:spacing w:line="312" w:lineRule="auto"/>
        <w:ind w:firstLine="440" w:firstLineChars="200"/>
        <w:textAlignment w:val="auto"/>
        <w:outlineLvl w:val="9"/>
        <w:rPr>
          <w:rFonts w:hint="eastAsia" w:ascii="宋体" w:hAnsi="宋体" w:cs="宋体"/>
          <w:bCs/>
          <w:color w:val="auto"/>
          <w:sz w:val="22"/>
          <w:szCs w:val="22"/>
          <w:highlight w:val="none"/>
        </w:rPr>
      </w:pPr>
      <w:bookmarkStart w:id="320" w:name="_Toc6547"/>
      <w:bookmarkStart w:id="321" w:name="_Toc22003"/>
      <w:bookmarkStart w:id="322" w:name="_Toc5810"/>
      <w:r>
        <w:rPr>
          <w:rFonts w:hint="eastAsia" w:ascii="宋体" w:hAnsi="宋体" w:cs="宋体"/>
          <w:bCs/>
          <w:color w:val="auto"/>
          <w:sz w:val="22"/>
          <w:szCs w:val="22"/>
          <w:highlight w:val="none"/>
        </w:rPr>
        <w:t>IE浏览器输入网址：</w:t>
      </w:r>
      <w:bookmarkEnd w:id="320"/>
      <w:bookmarkEnd w:id="321"/>
      <w:bookmarkEnd w:id="322"/>
    </w:p>
    <w:p w14:paraId="587B0740">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cs="宋体"/>
          <w:bCs/>
          <w:color w:val="auto"/>
          <w:sz w:val="22"/>
          <w:szCs w:val="22"/>
          <w:highlight w:val="none"/>
        </w:rPr>
      </w:pPr>
      <w:bookmarkStart w:id="323" w:name="_Toc30243"/>
      <w:bookmarkStart w:id="324" w:name="_Toc11544"/>
      <w:bookmarkStart w:id="325" w:name="_Toc9929"/>
      <w:r>
        <w:rPr>
          <w:rFonts w:hint="eastAsia" w:ascii="宋体" w:hAnsi="宋体" w:cs="宋体"/>
          <w:bCs/>
          <w:color w:val="auto"/>
          <w:sz w:val="22"/>
          <w:szCs w:val="22"/>
          <w:highlight w:val="none"/>
        </w:rPr>
        <w:fldChar w:fldCharType="begin"/>
      </w:r>
      <w:r>
        <w:rPr>
          <w:rFonts w:hint="eastAsia" w:ascii="宋体" w:hAnsi="宋体" w:cs="宋体"/>
          <w:bCs/>
          <w:color w:val="auto"/>
          <w:sz w:val="22"/>
          <w:szCs w:val="22"/>
          <w:highlight w:val="none"/>
        </w:rPr>
        <w:instrText xml:space="preserve"> HYPERLINK "http://219.145.120.168:8082/BidOpeningHall/bidhall/default/login），" </w:instrText>
      </w:r>
      <w:r>
        <w:rPr>
          <w:rFonts w:hint="eastAsia" w:ascii="宋体" w:hAnsi="宋体" w:cs="宋体"/>
          <w:bCs/>
          <w:color w:val="auto"/>
          <w:sz w:val="22"/>
          <w:szCs w:val="22"/>
          <w:highlight w:val="none"/>
        </w:rPr>
        <w:fldChar w:fldCharType="separate"/>
      </w:r>
      <w:r>
        <w:rPr>
          <w:rFonts w:hint="eastAsia" w:ascii="宋体" w:hAnsi="宋体" w:cs="宋体"/>
          <w:bCs/>
          <w:color w:val="auto"/>
          <w:sz w:val="22"/>
          <w:szCs w:val="22"/>
          <w:highlight w:val="none"/>
        </w:rPr>
        <w:t>http://111.20.184.126:8081/BidOpeningHallCS/bidhall/default/login；</w:t>
      </w:r>
      <w:r>
        <w:rPr>
          <w:rFonts w:hint="eastAsia" w:ascii="宋体" w:hAnsi="宋体" w:cs="宋体"/>
          <w:bCs/>
          <w:color w:val="auto"/>
          <w:sz w:val="22"/>
          <w:szCs w:val="22"/>
          <w:highlight w:val="none"/>
        </w:rPr>
        <w:fldChar w:fldCharType="end"/>
      </w:r>
      <w:bookmarkEnd w:id="323"/>
      <w:bookmarkEnd w:id="324"/>
      <w:bookmarkEnd w:id="325"/>
    </w:p>
    <w:p w14:paraId="20AE084B">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cs="宋体"/>
          <w:bCs/>
          <w:color w:val="auto"/>
          <w:sz w:val="22"/>
          <w:szCs w:val="22"/>
          <w:highlight w:val="none"/>
        </w:rPr>
      </w:pPr>
      <w:bookmarkStart w:id="326" w:name="_Toc22457"/>
      <w:bookmarkStart w:id="327" w:name="_Toc32358"/>
      <w:bookmarkStart w:id="328" w:name="_Toc10137"/>
      <w:r>
        <w:rPr>
          <w:rFonts w:hint="eastAsia" w:ascii="宋体" w:hAnsi="宋体" w:cs="宋体"/>
          <w:bCs/>
          <w:color w:val="auto"/>
          <w:sz w:val="22"/>
          <w:szCs w:val="22"/>
          <w:highlight w:val="none"/>
        </w:rPr>
        <w:t>在【全国公共资源交易平台（陕西省·榆林市）】网站首页点击不见面开标模块进入；</w:t>
      </w:r>
      <w:bookmarkEnd w:id="326"/>
      <w:bookmarkEnd w:id="327"/>
      <w:bookmarkEnd w:id="328"/>
    </w:p>
    <w:p w14:paraId="5FFCB5D5">
      <w:pPr>
        <w:keepNext w:val="0"/>
        <w:keepLines w:val="0"/>
        <w:pageBreakBefore w:val="0"/>
        <w:widowControl w:val="0"/>
        <w:kinsoku/>
        <w:wordWrap/>
        <w:overflowPunct/>
        <w:topLinePunct w:val="0"/>
        <w:autoSpaceDE/>
        <w:autoSpaceDN/>
        <w:bidi w:val="0"/>
        <w:adjustRightInd/>
        <w:snapToGrid/>
        <w:spacing w:line="312" w:lineRule="auto"/>
        <w:ind w:firstLine="440" w:firstLineChars="200"/>
        <w:textAlignment w:val="auto"/>
        <w:outlineLvl w:val="9"/>
        <w:rPr>
          <w:rFonts w:hint="eastAsia" w:ascii="宋体" w:hAnsi="宋体" w:cs="宋体"/>
          <w:bCs/>
          <w:color w:val="auto"/>
          <w:sz w:val="22"/>
          <w:szCs w:val="22"/>
          <w:highlight w:val="none"/>
        </w:rPr>
      </w:pPr>
      <w:bookmarkStart w:id="329" w:name="_Toc18211"/>
      <w:bookmarkStart w:id="330" w:name="_Toc3688"/>
      <w:bookmarkStart w:id="331" w:name="_Toc15256"/>
      <w:r>
        <w:rPr>
          <w:rFonts w:hint="eastAsia" w:ascii="宋体" w:hAnsi="宋体" w:cs="宋体"/>
          <w:bCs/>
          <w:color w:val="auto"/>
          <w:sz w:val="22"/>
          <w:szCs w:val="22"/>
          <w:highlight w:val="none"/>
        </w:rPr>
        <w:t>在【全国公共资源交易平台（陕西省）】网站首页点击不见面开标模块选择榆林市进入。</w:t>
      </w:r>
      <w:bookmarkEnd w:id="329"/>
      <w:bookmarkEnd w:id="330"/>
      <w:bookmarkEnd w:id="331"/>
    </w:p>
    <w:p w14:paraId="6AA1239A">
      <w:pPr>
        <w:keepNext w:val="0"/>
        <w:keepLines w:val="0"/>
        <w:pageBreakBefore w:val="0"/>
        <w:widowControl w:val="0"/>
        <w:kinsoku/>
        <w:wordWrap/>
        <w:overflowPunct/>
        <w:topLinePunct w:val="0"/>
        <w:autoSpaceDE/>
        <w:autoSpaceDN/>
        <w:bidi w:val="0"/>
        <w:adjustRightInd/>
        <w:snapToGrid/>
        <w:spacing w:line="312" w:lineRule="auto"/>
        <w:ind w:firstLine="440" w:firstLineChars="200"/>
        <w:textAlignment w:val="auto"/>
        <w:outlineLvl w:val="9"/>
        <w:rPr>
          <w:rFonts w:hint="eastAsia" w:ascii="宋体" w:hAnsi="宋体" w:cs="宋体"/>
          <w:bCs/>
          <w:color w:val="auto"/>
          <w:sz w:val="22"/>
          <w:szCs w:val="22"/>
          <w:highlight w:val="none"/>
        </w:rPr>
      </w:pPr>
      <w:bookmarkStart w:id="332" w:name="_Toc11045"/>
      <w:bookmarkStart w:id="333" w:name="_Toc20049"/>
      <w:bookmarkStart w:id="334" w:name="_Toc3689"/>
      <w:r>
        <w:rPr>
          <w:rFonts w:hint="eastAsia" w:ascii="宋体" w:hAnsi="宋体" w:cs="宋体"/>
          <w:bCs/>
          <w:color w:val="auto"/>
          <w:sz w:val="22"/>
          <w:szCs w:val="22"/>
          <w:highlight w:val="none"/>
        </w:rPr>
        <w:t>注：登录不见面开标系统请选择IE11浏览器</w:t>
      </w:r>
      <w:bookmarkEnd w:id="332"/>
      <w:bookmarkEnd w:id="333"/>
      <w:bookmarkEnd w:id="334"/>
    </w:p>
    <w:p w14:paraId="49A76E20">
      <w:pPr>
        <w:keepNext w:val="0"/>
        <w:keepLines w:val="0"/>
        <w:pageBreakBefore w:val="0"/>
        <w:widowControl w:val="0"/>
        <w:kinsoku/>
        <w:wordWrap/>
        <w:overflowPunct/>
        <w:topLinePunct w:val="0"/>
        <w:autoSpaceDE/>
        <w:autoSpaceDN/>
        <w:bidi w:val="0"/>
        <w:adjustRightInd/>
        <w:snapToGrid/>
        <w:spacing w:line="312" w:lineRule="auto"/>
        <w:ind w:firstLine="440" w:firstLineChars="200"/>
        <w:textAlignment w:val="auto"/>
        <w:outlineLvl w:val="9"/>
        <w:rPr>
          <w:rFonts w:hint="eastAsia" w:ascii="宋体" w:hAnsi="宋体" w:cs="宋体"/>
          <w:bCs/>
          <w:color w:val="auto"/>
          <w:sz w:val="22"/>
          <w:szCs w:val="22"/>
          <w:highlight w:val="none"/>
        </w:rPr>
      </w:pPr>
      <w:bookmarkStart w:id="335" w:name="_Toc11211"/>
      <w:bookmarkStart w:id="336" w:name="_Toc25466"/>
      <w:bookmarkStart w:id="337" w:name="_Toc3002"/>
      <w:r>
        <w:rPr>
          <w:rFonts w:hint="eastAsia" w:ascii="宋体" w:hAnsi="宋体" w:cs="宋体"/>
          <w:bCs/>
          <w:color w:val="auto"/>
          <w:sz w:val="22"/>
          <w:szCs w:val="22"/>
          <w:highlight w:val="none"/>
        </w:rPr>
        <w:t>（2）供应商应按要求及时签到（签到时间为投标截止时间前1小时内，如果未签到将视为放弃投标资格），评审过程中，评标委员会可能会就某些问题要求供应商进行在线澄清，请供应商保持在线直到评审结束；</w:t>
      </w:r>
      <w:bookmarkEnd w:id="335"/>
      <w:bookmarkEnd w:id="336"/>
      <w:bookmarkEnd w:id="337"/>
    </w:p>
    <w:p w14:paraId="250B0163">
      <w:pPr>
        <w:keepNext w:val="0"/>
        <w:keepLines w:val="0"/>
        <w:pageBreakBefore w:val="0"/>
        <w:widowControl w:val="0"/>
        <w:kinsoku/>
        <w:wordWrap/>
        <w:overflowPunct/>
        <w:topLinePunct w:val="0"/>
        <w:autoSpaceDE/>
        <w:autoSpaceDN/>
        <w:bidi w:val="0"/>
        <w:adjustRightInd/>
        <w:snapToGrid/>
        <w:spacing w:line="312" w:lineRule="auto"/>
        <w:ind w:firstLine="440" w:firstLineChars="200"/>
        <w:textAlignment w:val="auto"/>
        <w:outlineLvl w:val="9"/>
        <w:rPr>
          <w:rFonts w:hint="eastAsia" w:ascii="宋体" w:hAnsi="宋体" w:cs="宋体"/>
          <w:bCs/>
          <w:color w:val="auto"/>
          <w:sz w:val="22"/>
          <w:szCs w:val="22"/>
          <w:highlight w:val="none"/>
        </w:rPr>
      </w:pPr>
      <w:bookmarkStart w:id="338" w:name="_Toc13632"/>
      <w:bookmarkStart w:id="339" w:name="_Toc1571"/>
      <w:bookmarkStart w:id="340" w:name="_Toc24908"/>
      <w:r>
        <w:rPr>
          <w:rFonts w:hint="eastAsia" w:ascii="宋体" w:hAnsi="宋体" w:cs="宋体"/>
          <w:bCs/>
          <w:color w:val="auto"/>
          <w:sz w:val="22"/>
          <w:szCs w:val="22"/>
          <w:highlight w:val="none"/>
        </w:rPr>
        <w:t>（3）</w:t>
      </w:r>
      <w:bookmarkEnd w:id="338"/>
      <w:r>
        <w:rPr>
          <w:rFonts w:hint="eastAsia" w:ascii="宋体" w:hAnsi="宋体" w:cs="宋体"/>
          <w:bCs/>
          <w:color w:val="auto"/>
          <w:sz w:val="22"/>
          <w:szCs w:val="22"/>
          <w:highlight w:val="none"/>
        </w:rPr>
        <w:t>投标供应商无需提交纸质</w:t>
      </w:r>
      <w:r>
        <w:rPr>
          <w:rFonts w:hint="eastAsia" w:ascii="宋体" w:hAnsi="宋体" w:cs="宋体"/>
          <w:bCs/>
          <w:color w:val="auto"/>
          <w:sz w:val="22"/>
          <w:szCs w:val="22"/>
          <w:highlight w:val="none"/>
          <w:lang w:eastAsia="zh-CN"/>
        </w:rPr>
        <w:t>响应</w:t>
      </w:r>
      <w:r>
        <w:rPr>
          <w:rFonts w:hint="eastAsia" w:ascii="宋体" w:hAnsi="宋体" w:cs="宋体"/>
          <w:bCs/>
          <w:color w:val="auto"/>
          <w:sz w:val="22"/>
          <w:szCs w:val="22"/>
          <w:highlight w:val="none"/>
        </w:rPr>
        <w:t>文件，待采购结果公告后，由</w:t>
      </w:r>
      <w:r>
        <w:rPr>
          <w:rFonts w:hint="eastAsia" w:ascii="宋体" w:hAnsi="宋体" w:cs="宋体"/>
          <w:bCs/>
          <w:color w:val="auto"/>
          <w:sz w:val="22"/>
          <w:szCs w:val="22"/>
          <w:highlight w:val="none"/>
          <w:lang w:eastAsia="zh-CN"/>
        </w:rPr>
        <w:t>成交</w:t>
      </w:r>
      <w:r>
        <w:rPr>
          <w:rFonts w:hint="eastAsia" w:ascii="宋体" w:hAnsi="宋体" w:cs="宋体"/>
          <w:bCs/>
          <w:color w:val="auto"/>
          <w:sz w:val="22"/>
          <w:szCs w:val="22"/>
          <w:highlight w:val="none"/>
        </w:rPr>
        <w:t>供应商补交</w:t>
      </w:r>
      <w:r>
        <w:rPr>
          <w:rFonts w:hint="eastAsia" w:ascii="宋体" w:hAnsi="宋体" w:cs="宋体"/>
          <w:bCs/>
          <w:color w:val="auto"/>
          <w:sz w:val="22"/>
          <w:szCs w:val="22"/>
          <w:highlight w:val="none"/>
          <w:lang w:eastAsia="zh-CN"/>
        </w:rPr>
        <w:t xml:space="preserve">一正二副 </w:t>
      </w:r>
      <w:r>
        <w:rPr>
          <w:rFonts w:hint="eastAsia" w:ascii="宋体" w:hAnsi="宋体" w:cs="宋体"/>
          <w:bCs/>
          <w:color w:val="auto"/>
          <w:sz w:val="22"/>
          <w:szCs w:val="22"/>
          <w:highlight w:val="none"/>
        </w:rPr>
        <w:t>纸质</w:t>
      </w:r>
      <w:r>
        <w:rPr>
          <w:rFonts w:hint="eastAsia" w:ascii="宋体" w:hAnsi="宋体" w:cs="宋体"/>
          <w:bCs/>
          <w:color w:val="auto"/>
          <w:sz w:val="22"/>
          <w:szCs w:val="22"/>
          <w:highlight w:val="none"/>
          <w:lang w:eastAsia="zh-CN"/>
        </w:rPr>
        <w:t>响应</w:t>
      </w:r>
      <w:r>
        <w:rPr>
          <w:rFonts w:hint="eastAsia" w:ascii="宋体" w:hAnsi="宋体" w:cs="宋体"/>
          <w:bCs/>
          <w:color w:val="auto"/>
          <w:sz w:val="22"/>
          <w:szCs w:val="22"/>
          <w:highlight w:val="none"/>
        </w:rPr>
        <w:t>文件</w:t>
      </w:r>
      <w:r>
        <w:rPr>
          <w:rFonts w:hint="eastAsia" w:ascii="宋体" w:hAnsi="宋体" w:cs="宋体"/>
          <w:bCs/>
          <w:color w:val="auto"/>
          <w:sz w:val="22"/>
          <w:szCs w:val="22"/>
          <w:highlight w:val="none"/>
          <w:lang w:eastAsia="zh-CN"/>
        </w:rPr>
        <w:t>及电子版</w:t>
      </w:r>
      <w:r>
        <w:rPr>
          <w:rFonts w:hint="eastAsia" w:ascii="宋体" w:hAnsi="宋体" w:cs="宋体"/>
          <w:bCs/>
          <w:color w:val="auto"/>
          <w:sz w:val="22"/>
          <w:szCs w:val="22"/>
          <w:highlight w:val="none"/>
        </w:rPr>
        <w:t>（光盘或 U 盘</w:t>
      </w:r>
      <w:r>
        <w:rPr>
          <w:rFonts w:hint="eastAsia" w:ascii="宋体" w:hAnsi="宋体" w:cs="宋体"/>
          <w:bCs/>
          <w:color w:val="auto"/>
          <w:sz w:val="22"/>
          <w:szCs w:val="22"/>
          <w:highlight w:val="none"/>
          <w:lang w:eastAsia="zh-CN"/>
        </w:rPr>
        <w:t>，包含可编辑 word 版，签字盖章后的扫描件 1 份</w:t>
      </w:r>
      <w:r>
        <w:rPr>
          <w:rFonts w:hint="eastAsia" w:ascii="宋体" w:hAnsi="宋体" w:cs="宋体"/>
          <w:bCs/>
          <w:color w:val="auto"/>
          <w:sz w:val="22"/>
          <w:szCs w:val="22"/>
          <w:highlight w:val="none"/>
        </w:rPr>
        <w:t>）</w:t>
      </w:r>
      <w:r>
        <w:rPr>
          <w:rFonts w:hint="eastAsia" w:ascii="宋体" w:hAnsi="宋体" w:cs="宋体"/>
          <w:bCs/>
          <w:color w:val="auto"/>
          <w:sz w:val="22"/>
          <w:szCs w:val="22"/>
          <w:highlight w:val="none"/>
          <w:lang w:eastAsia="zh-CN"/>
        </w:rPr>
        <w:t>响应文件一份</w:t>
      </w:r>
      <w:r>
        <w:rPr>
          <w:rFonts w:hint="eastAsia" w:ascii="宋体" w:hAnsi="宋体" w:cs="宋体"/>
          <w:bCs/>
          <w:color w:val="auto"/>
          <w:sz w:val="22"/>
          <w:szCs w:val="22"/>
          <w:highlight w:val="none"/>
        </w:rPr>
        <w:t>（备案用）</w:t>
      </w:r>
      <w:bookmarkEnd w:id="339"/>
      <w:bookmarkEnd w:id="340"/>
    </w:p>
    <w:p w14:paraId="033469A9">
      <w:pPr>
        <w:keepNext w:val="0"/>
        <w:keepLines w:val="0"/>
        <w:pageBreakBefore w:val="0"/>
        <w:widowControl w:val="0"/>
        <w:kinsoku/>
        <w:wordWrap/>
        <w:overflowPunct/>
        <w:topLinePunct w:val="0"/>
        <w:autoSpaceDE/>
        <w:autoSpaceDN/>
        <w:bidi w:val="0"/>
        <w:adjustRightInd/>
        <w:snapToGrid/>
        <w:spacing w:line="312" w:lineRule="auto"/>
        <w:ind w:firstLine="440" w:firstLineChars="200"/>
        <w:textAlignment w:val="auto"/>
        <w:outlineLvl w:val="9"/>
        <w:rPr>
          <w:rFonts w:hint="eastAsia" w:ascii="宋体" w:hAnsi="宋体" w:cs="宋体"/>
          <w:bCs/>
          <w:color w:val="auto"/>
          <w:sz w:val="22"/>
          <w:szCs w:val="22"/>
          <w:highlight w:val="none"/>
        </w:rPr>
      </w:pPr>
      <w:bookmarkStart w:id="341" w:name="_Toc17327"/>
      <w:bookmarkStart w:id="342" w:name="_Toc18391"/>
      <w:bookmarkStart w:id="343" w:name="_Toc14264"/>
      <w:r>
        <w:rPr>
          <w:rFonts w:hint="eastAsia" w:ascii="宋体" w:hAnsi="宋体" w:cs="宋体"/>
          <w:bCs/>
          <w:color w:val="auto"/>
          <w:sz w:val="22"/>
          <w:szCs w:val="22"/>
          <w:highlight w:val="none"/>
        </w:rPr>
        <w:t>（4）开标过程中，供应商在收到工作人员“开始解密”指令后，请及时使用CA对电子投标文件进行解密。解密时所用CA应与加密投标文件时所用CA相同；注：竞谈、磋商招标方式解密时间为30分钟，公开招标解密时间为60分钟，在解密时间内供应商全部解密完成后，可提前进入开标下一阶段。</w:t>
      </w:r>
      <w:bookmarkEnd w:id="341"/>
      <w:bookmarkEnd w:id="342"/>
      <w:bookmarkEnd w:id="343"/>
    </w:p>
    <w:p w14:paraId="44FA4FA3">
      <w:pPr>
        <w:keepNext w:val="0"/>
        <w:keepLines w:val="0"/>
        <w:pageBreakBefore w:val="0"/>
        <w:widowControl w:val="0"/>
        <w:kinsoku/>
        <w:wordWrap/>
        <w:overflowPunct/>
        <w:topLinePunct w:val="0"/>
        <w:autoSpaceDE/>
        <w:autoSpaceDN/>
        <w:bidi w:val="0"/>
        <w:adjustRightInd/>
        <w:snapToGrid/>
        <w:spacing w:line="312" w:lineRule="auto"/>
        <w:ind w:firstLine="440" w:firstLineChars="200"/>
        <w:textAlignment w:val="auto"/>
        <w:outlineLvl w:val="9"/>
        <w:rPr>
          <w:rFonts w:hint="eastAsia" w:ascii="宋体" w:hAnsi="宋体" w:cs="宋体"/>
          <w:bCs/>
          <w:color w:val="auto"/>
          <w:sz w:val="22"/>
          <w:szCs w:val="22"/>
          <w:highlight w:val="none"/>
        </w:rPr>
      </w:pPr>
      <w:bookmarkStart w:id="344" w:name="_Toc1352"/>
      <w:bookmarkStart w:id="345" w:name="_Toc16642"/>
      <w:bookmarkStart w:id="346" w:name="_Toc12288"/>
      <w:r>
        <w:rPr>
          <w:rFonts w:hint="eastAsia" w:ascii="宋体" w:hAnsi="宋体" w:cs="宋体"/>
          <w:bCs/>
          <w:color w:val="auto"/>
          <w:sz w:val="22"/>
          <w:szCs w:val="22"/>
          <w:highlight w:val="none"/>
        </w:rPr>
        <w:t>（5）相关技术问题，请咨询软件开发商：</w:t>
      </w:r>
      <w:bookmarkEnd w:id="344"/>
      <w:bookmarkEnd w:id="345"/>
      <w:bookmarkEnd w:id="346"/>
    </w:p>
    <w:p w14:paraId="7E1B54C5">
      <w:pPr>
        <w:keepNext w:val="0"/>
        <w:keepLines w:val="0"/>
        <w:pageBreakBefore w:val="0"/>
        <w:widowControl w:val="0"/>
        <w:kinsoku/>
        <w:wordWrap/>
        <w:overflowPunct/>
        <w:topLinePunct w:val="0"/>
        <w:autoSpaceDE/>
        <w:autoSpaceDN/>
        <w:bidi w:val="0"/>
        <w:adjustRightInd/>
        <w:snapToGrid/>
        <w:spacing w:line="312" w:lineRule="auto"/>
        <w:ind w:firstLine="440" w:firstLineChars="200"/>
        <w:textAlignment w:val="auto"/>
        <w:outlineLvl w:val="9"/>
        <w:rPr>
          <w:rFonts w:hint="eastAsia" w:ascii="宋体" w:hAnsi="宋体" w:cs="宋体"/>
          <w:bCs/>
          <w:color w:val="auto"/>
          <w:sz w:val="22"/>
          <w:szCs w:val="22"/>
          <w:highlight w:val="none"/>
        </w:rPr>
      </w:pPr>
      <w:bookmarkStart w:id="347" w:name="_Toc5141"/>
      <w:bookmarkStart w:id="348" w:name="_Toc21234"/>
      <w:bookmarkStart w:id="349" w:name="_Toc17735"/>
      <w:r>
        <w:rPr>
          <w:rFonts w:hint="eastAsia" w:ascii="宋体" w:hAnsi="宋体" w:cs="宋体"/>
          <w:bCs/>
          <w:color w:val="auto"/>
          <w:sz w:val="22"/>
          <w:szCs w:val="22"/>
          <w:highlight w:val="none"/>
        </w:rPr>
        <w:t>技术支持热线：400-998-0000/400-928-0095</w:t>
      </w:r>
      <w:bookmarkEnd w:id="347"/>
      <w:bookmarkEnd w:id="348"/>
      <w:bookmarkEnd w:id="349"/>
    </w:p>
    <w:p w14:paraId="5F100CB3">
      <w:pPr>
        <w:keepNext w:val="0"/>
        <w:keepLines w:val="0"/>
        <w:pageBreakBefore w:val="0"/>
        <w:widowControl w:val="0"/>
        <w:kinsoku/>
        <w:wordWrap/>
        <w:overflowPunct/>
        <w:topLinePunct w:val="0"/>
        <w:autoSpaceDE/>
        <w:autoSpaceDN/>
        <w:bidi w:val="0"/>
        <w:adjustRightInd/>
        <w:snapToGrid/>
        <w:spacing w:line="312" w:lineRule="auto"/>
        <w:ind w:firstLine="440" w:firstLineChars="200"/>
        <w:textAlignment w:val="auto"/>
        <w:outlineLvl w:val="9"/>
        <w:rPr>
          <w:color w:val="auto"/>
          <w:sz w:val="20"/>
          <w:szCs w:val="22"/>
          <w:highlight w:val="none"/>
        </w:rPr>
      </w:pPr>
      <w:bookmarkStart w:id="350" w:name="_Toc13032"/>
      <w:bookmarkStart w:id="351" w:name="_Toc2927"/>
      <w:bookmarkStart w:id="352" w:name="_Toc21640"/>
      <w:r>
        <w:rPr>
          <w:rFonts w:hint="eastAsia" w:ascii="宋体" w:hAnsi="宋体" w:cs="宋体"/>
          <w:bCs/>
          <w:color w:val="auto"/>
          <w:sz w:val="22"/>
          <w:szCs w:val="22"/>
          <w:highlight w:val="none"/>
        </w:rPr>
        <w:t>（6）榆林不见面开标系统操作手册下载方式：登录【全国公共资源交易平台（陕西省·榆林市）】网站首页选择【服务指南】-【下载专区】-点击【</w:t>
      </w:r>
      <w:r>
        <w:rPr>
          <w:rFonts w:hint="eastAsia" w:ascii="宋体" w:hAnsi="宋体" w:cs="宋体"/>
          <w:bCs/>
          <w:color w:val="auto"/>
          <w:sz w:val="22"/>
          <w:szCs w:val="22"/>
          <w:highlight w:val="none"/>
        </w:rPr>
        <w:fldChar w:fldCharType="begin"/>
      </w:r>
      <w:r>
        <w:rPr>
          <w:rFonts w:hint="eastAsia" w:ascii="宋体" w:hAnsi="宋体" w:cs="宋体"/>
          <w:bCs/>
          <w:color w:val="auto"/>
          <w:sz w:val="22"/>
          <w:szCs w:val="22"/>
          <w:highlight w:val="none"/>
        </w:rPr>
        <w:instrText xml:space="preserve"> HYPERLINK "http://yl.sxggzyjy.cn/BigFileUpLoadStorage/temp/2021-12-10/2583610f-1c5d-49b2-a314-0c1c4faeec6a/%E6%A6%86%E6%9E%97%E4%B8%8D%E8%A7%81%E9%9D%A2%E5%BC%80%E6%A0%87%E5%A4%A7%E5%8E%85%E6%93%8D%E4%BD%9C%E6%89%8B%E5%86%8C%EF%BC%88%E6%8A%95%E6%A0%87%E4%BA%BA%EF%BC%89.docx" \o "榆林不见面开标系统操作手册（投标人）" \t "http://yl.sxggzyjy.cn/fwzn/_blank" </w:instrText>
      </w:r>
      <w:r>
        <w:rPr>
          <w:rFonts w:hint="eastAsia" w:ascii="宋体" w:hAnsi="宋体" w:cs="宋体"/>
          <w:bCs/>
          <w:color w:val="auto"/>
          <w:sz w:val="22"/>
          <w:szCs w:val="22"/>
          <w:highlight w:val="none"/>
        </w:rPr>
        <w:fldChar w:fldCharType="separate"/>
      </w:r>
      <w:r>
        <w:rPr>
          <w:rFonts w:hint="eastAsia" w:ascii="宋体" w:hAnsi="宋体" w:cs="宋体"/>
          <w:bCs/>
          <w:color w:val="auto"/>
          <w:sz w:val="22"/>
          <w:szCs w:val="22"/>
          <w:highlight w:val="none"/>
        </w:rPr>
        <w:t>榆林不见面开标系统操作手册（投标人）</w:t>
      </w:r>
      <w:r>
        <w:rPr>
          <w:rFonts w:hint="eastAsia" w:ascii="宋体" w:hAnsi="宋体" w:cs="宋体"/>
          <w:bCs/>
          <w:color w:val="auto"/>
          <w:sz w:val="22"/>
          <w:szCs w:val="22"/>
          <w:highlight w:val="none"/>
        </w:rPr>
        <w:fldChar w:fldCharType="end"/>
      </w:r>
      <w:r>
        <w:rPr>
          <w:rFonts w:hint="eastAsia" w:ascii="宋体" w:hAnsi="宋体" w:cs="宋体"/>
          <w:bCs/>
          <w:color w:val="auto"/>
          <w:sz w:val="22"/>
          <w:szCs w:val="22"/>
          <w:highlight w:val="none"/>
        </w:rPr>
        <w:t>】进行下载。</w:t>
      </w:r>
      <w:bookmarkEnd w:id="350"/>
      <w:bookmarkEnd w:id="351"/>
      <w:bookmarkEnd w:id="352"/>
    </w:p>
    <w:p w14:paraId="66ECF981">
      <w:pPr>
        <w:pStyle w:val="8"/>
        <w:outlineLvl w:val="9"/>
        <w:rPr>
          <w:rFonts w:hint="default" w:eastAsia="宋体"/>
          <w:color w:val="auto"/>
          <w:highlight w:val="none"/>
          <w:lang w:val="en-US" w:eastAsia="zh-CN"/>
        </w:rPr>
      </w:pPr>
    </w:p>
    <w:p w14:paraId="7461DD77">
      <w:pPr>
        <w:pStyle w:val="17"/>
        <w:rPr>
          <w:rFonts w:hint="eastAsia" w:ascii="宋体" w:hAnsi="宋体" w:eastAsia="宋体" w:cs="宋体"/>
          <w:bCs/>
          <w:color w:val="auto"/>
          <w:sz w:val="24"/>
          <w:highlight w:val="none"/>
        </w:rPr>
      </w:pPr>
    </w:p>
    <w:p w14:paraId="1DEDF3DD">
      <w:pPr>
        <w:pStyle w:val="17"/>
        <w:rPr>
          <w:rFonts w:hint="eastAsia" w:ascii="宋体" w:hAnsi="宋体" w:eastAsia="宋体" w:cs="宋体"/>
          <w:bCs/>
          <w:color w:val="auto"/>
          <w:sz w:val="24"/>
          <w:highlight w:val="none"/>
        </w:rPr>
      </w:pPr>
      <w:bookmarkStart w:id="353" w:name="_GoBack"/>
      <w:r>
        <w:drawing>
          <wp:inline distT="0" distB="0" distL="114300" distR="114300">
            <wp:extent cx="6095365" cy="8860155"/>
            <wp:effectExtent l="0" t="0" r="635" b="1714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a:stretch>
                      <a:fillRect/>
                    </a:stretch>
                  </pic:blipFill>
                  <pic:spPr>
                    <a:xfrm>
                      <a:off x="0" y="0"/>
                      <a:ext cx="6095365" cy="8860155"/>
                    </a:xfrm>
                    <a:prstGeom prst="rect">
                      <a:avLst/>
                    </a:prstGeom>
                    <a:noFill/>
                    <a:ln>
                      <a:noFill/>
                    </a:ln>
                  </pic:spPr>
                </pic:pic>
              </a:graphicData>
            </a:graphic>
          </wp:inline>
        </w:drawing>
      </w:r>
      <w:bookmarkEnd w:id="353"/>
    </w:p>
    <w:sectPr>
      <w:footerReference r:id="rId11" w:type="default"/>
      <w:pgSz w:w="11906" w:h="16838"/>
      <w:pgMar w:top="1417" w:right="1417" w:bottom="1417"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D73D2">
    <w:pPr>
      <w:pStyle w:val="1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E0CE3">
    <w:pPr>
      <w:pStyle w:val="17"/>
      <w:framePr w:wrap="around" w:vAnchor="text" w:hAnchor="margin" w:xAlign="center" w:y="1"/>
      <w:rPr>
        <w:rStyle w:val="29"/>
      </w:rPr>
    </w:pPr>
    <w:r>
      <w:fldChar w:fldCharType="begin"/>
    </w:r>
    <w:r>
      <w:rPr>
        <w:rStyle w:val="29"/>
      </w:rPr>
      <w:instrText xml:space="preserve">PAGE  </w:instrText>
    </w:r>
    <w:r>
      <w:fldChar w:fldCharType="separate"/>
    </w:r>
    <w:r>
      <w:rPr>
        <w:rStyle w:val="29"/>
      </w:rPr>
      <w:t>2</w:t>
    </w:r>
    <w:r>
      <w:fldChar w:fldCharType="end"/>
    </w:r>
  </w:p>
  <w:p w14:paraId="41FEC815">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3DDEC">
    <w:pPr>
      <w:pStyle w:val="17"/>
      <w:ind w:right="360"/>
      <w:jc w:val="center"/>
      <w:rPr>
        <w:rFonts w:ascii="宋体" w:hAnsi="宋体"/>
      </w:rPr>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EA27C">
    <w:pPr>
      <w:pStyle w:val="17"/>
      <w:jc w:val="center"/>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64845" cy="4540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64845" cy="454025"/>
                      </a:xfrm>
                      <a:prstGeom prst="rect">
                        <a:avLst/>
                      </a:prstGeom>
                      <a:noFill/>
                      <a:ln>
                        <a:noFill/>
                      </a:ln>
                    </wps:spPr>
                    <wps:txbx>
                      <w:txbxContent>
                        <w:p w14:paraId="08D7E1D6">
                          <w:pPr>
                            <w:snapToGrid w:val="0"/>
                            <w:rPr>
                              <w:rFonts w:hint="eastAsia"/>
                              <w:sz w:val="18"/>
                            </w:rPr>
                          </w:pPr>
                          <w:r>
                            <w:rPr>
                              <w:rFonts w:hint="eastAsia"/>
                              <w:sz w:val="18"/>
                            </w:rPr>
                            <w:t xml:space="preserve"> </w:t>
                          </w:r>
                        </w:p>
                      </w:txbxContent>
                    </wps:txbx>
                    <wps:bodyPr lIns="0" tIns="0" rIns="0" bIns="0" upright="0"/>
                  </wps:wsp>
                </a:graphicData>
              </a:graphic>
            </wp:anchor>
          </w:drawing>
        </mc:Choice>
        <mc:Fallback>
          <w:pict>
            <v:shape id="_x0000_s1026" o:spid="_x0000_s1026" o:spt="202" type="#_x0000_t202" style="position:absolute;left:0pt;margin-top:0pt;height:35.75pt;width:52.35pt;mso-position-horizontal:center;mso-position-horizontal-relative:margin;z-index:251659264;mso-width-relative:page;mso-height-relative:page;" filled="f" stroked="f" coordsize="21600,21600" o:gfxdata="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4p+sNQAAAAEAQAADwAAAAAAAAABACAAAAAiAAAAZHJzL2Rvd25yZXYueG1sUEsBAhQAFAAA&#10;AAgAh07iQIq9aYS6AQAAcQMAAA4AAAAAAAAAAQAgAAAAIwEAAGRycy9lMm9Eb2MueG1sUEsFBgAA&#10;AAAGAAYAWQEAAE8FAAAAAA==&#10;">
              <v:fill on="f" focussize="0,0"/>
              <v:stroke on="f"/>
              <v:imagedata o:title=""/>
              <o:lock v:ext="edit" aspectratio="f"/>
              <v:textbox inset="0mm,0mm,0mm,0mm">
                <w:txbxContent>
                  <w:p w14:paraId="08D7E1D6">
                    <w:pPr>
                      <w:snapToGrid w:val="0"/>
                      <w:rPr>
                        <w:rFonts w:hint="eastAsia"/>
                        <w:sz w:val="18"/>
                      </w:rPr>
                    </w:pPr>
                    <w:r>
                      <w:rPr>
                        <w:rFonts w:hint="eastAsia"/>
                        <w:sz w:val="1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BF391">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B30253">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2B30253">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591AB">
    <w:pPr>
      <w:pStyle w:val="17"/>
      <w:ind w:right="360"/>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F9B904">
                          <w:pPr>
                            <w:pStyle w:val="17"/>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DF9B904">
                    <w:pPr>
                      <w:pStyle w:val="17"/>
                    </w:pPr>
                    <w:r>
                      <w:fldChar w:fldCharType="begin"/>
                    </w:r>
                    <w:r>
                      <w:instrText xml:space="preserve"> PAGE  \* MERGEFORMAT </w:instrText>
                    </w:r>
                    <w:r>
                      <w:fldChar w:fldCharType="separate"/>
                    </w:r>
                    <w:r>
                      <w:t>52</w:t>
                    </w:r>
                    <w:r>
                      <w:fldChar w:fldCharType="end"/>
                    </w: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144FA">
    <w:pPr>
      <w:pStyle w:val="19"/>
      <w:pBdr>
        <w:bottom w:val="single" w:color="auto" w:sz="4" w:space="1"/>
      </w:pBdr>
      <w:jc w:val="left"/>
      <w:rPr>
        <w:rFonts w:hint="eastAsia" w:ascii="宋体" w:hAnsi="宋体" w:cs="宋体"/>
        <w:sz w:val="21"/>
        <w:szCs w:val="21"/>
      </w:rPr>
    </w:pPr>
    <w:r>
      <w:rPr>
        <w:rFonts w:hint="eastAsia" w:ascii="宋体" w:hAnsi="宋体" w:cs="宋体"/>
        <w:sz w:val="21"/>
        <w:szCs w:val="21"/>
        <w:lang w:eastAsia="zh-CN"/>
      </w:rPr>
      <w:t>佳县2025年冬季清洁取暖项目公共机构改造设备采购</w:t>
    </w:r>
    <w:r>
      <w:rPr>
        <w:rFonts w:hint="eastAsia" w:ascii="宋体" w:hAnsi="宋体" w:cs="宋体"/>
        <w:bCs/>
        <w:sz w:val="21"/>
        <w:szCs w:val="21"/>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600E0">
    <w:pPr>
      <w:rPr>
        <w:rFonts w:hint="eastAsia"/>
      </w:rPr>
    </w:pPr>
  </w:p>
  <w:p w14:paraId="21B7A907">
    <w:pPr>
      <w:pStyle w:val="19"/>
      <w:pBdr>
        <w:bottom w:val="none" w:color="auto" w:sz="0" w:space="0"/>
      </w:pBdr>
      <w:jc w:val="both"/>
      <w:rPr>
        <w:rFonts w:hint="eastAsia" w:ascii="仿宋_GB2312" w:hAnsi="仿宋_GB2312" w:eastAsia="仿宋_GB2312"/>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D990D">
    <w:pPr>
      <w:pStyle w:val="19"/>
      <w:pBdr>
        <w:bottom w:val="none" w:color="auto" w:sz="0" w:space="1"/>
      </w:pBdr>
      <w:ind w:left="-43" w:leftChars="-106" w:right="-178" w:rightChars="-85" w:hanging="180" w:hangingChars="75"/>
      <w:jc w:val="right"/>
      <w:rPr>
        <w:bCs/>
        <w:i/>
      </w:rPr>
    </w:pPr>
    <w:r>
      <w:rPr>
        <w:rFonts w:hint="eastAsia" w:ascii="宋体" w:hAnsi="宋体" w:cs="Helvetica"/>
        <w:color w:val="333333"/>
        <w:sz w:val="24"/>
      </w:rPr>
      <w:t xml:space="preserve">              </w:t>
    </w:r>
  </w:p>
  <w:p w14:paraId="0890F68A">
    <w:pPr>
      <w:pStyle w:val="19"/>
      <w:pBdr>
        <w:top w:val="none" w:color="auto" w:sz="0" w:space="1"/>
        <w:left w:val="none" w:color="auto" w:sz="0" w:space="4"/>
        <w:bottom w:val="none" w:color="auto" w:sz="0" w:space="1"/>
        <w:right w:val="none" w:color="auto" w:sz="0" w:space="4"/>
      </w:pBdr>
      <w:ind w:left="-88" w:leftChars="-106" w:right="-178" w:rightChars="-85" w:hanging="135" w:hangingChars="7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A9352"/>
    <w:multiLevelType w:val="singleLevel"/>
    <w:tmpl w:val="89EA9352"/>
    <w:lvl w:ilvl="0" w:tentative="0">
      <w:start w:val="4"/>
      <w:numFmt w:val="chineseCounting"/>
      <w:suff w:val="space"/>
      <w:lvlText w:val="第%1章"/>
      <w:lvlJc w:val="left"/>
      <w:rPr>
        <w:rFonts w:hint="eastAsia"/>
        <w:sz w:val="32"/>
        <w:szCs w:val="32"/>
      </w:rPr>
    </w:lvl>
  </w:abstractNum>
  <w:abstractNum w:abstractNumId="1">
    <w:nsid w:val="8DEB5FD5"/>
    <w:multiLevelType w:val="singleLevel"/>
    <w:tmpl w:val="8DEB5FD5"/>
    <w:lvl w:ilvl="0" w:tentative="0">
      <w:start w:val="1"/>
      <w:numFmt w:val="chineseCounting"/>
      <w:suff w:val="nothing"/>
      <w:lvlText w:val="%1、"/>
      <w:lvlJc w:val="left"/>
      <w:pPr>
        <w:ind w:left="0" w:firstLine="420"/>
      </w:pPr>
      <w:rPr>
        <w:rFonts w:hint="eastAsia"/>
      </w:rPr>
    </w:lvl>
  </w:abstractNum>
  <w:abstractNum w:abstractNumId="2">
    <w:nsid w:val="8F7D8948"/>
    <w:multiLevelType w:val="singleLevel"/>
    <w:tmpl w:val="8F7D8948"/>
    <w:lvl w:ilvl="0" w:tentative="0">
      <w:start w:val="1"/>
      <w:numFmt w:val="decimal"/>
      <w:lvlText w:val="(%1)"/>
      <w:lvlJc w:val="left"/>
      <w:pPr>
        <w:ind w:left="425" w:hanging="425"/>
      </w:pPr>
      <w:rPr>
        <w:rFonts w:hint="default"/>
      </w:rPr>
    </w:lvl>
  </w:abstractNum>
  <w:abstractNum w:abstractNumId="3">
    <w:nsid w:val="98F53020"/>
    <w:multiLevelType w:val="singleLevel"/>
    <w:tmpl w:val="98F53020"/>
    <w:lvl w:ilvl="0" w:tentative="0">
      <w:start w:val="1"/>
      <w:numFmt w:val="decimalEnclosedCircleChinese"/>
      <w:suff w:val="nothing"/>
      <w:lvlText w:val="%1　"/>
      <w:lvlJc w:val="left"/>
      <w:pPr>
        <w:ind w:left="0" w:firstLine="400"/>
      </w:pPr>
      <w:rPr>
        <w:rFonts w:hint="eastAsia"/>
      </w:rPr>
    </w:lvl>
  </w:abstractNum>
  <w:abstractNum w:abstractNumId="4">
    <w:nsid w:val="C79C068E"/>
    <w:multiLevelType w:val="singleLevel"/>
    <w:tmpl w:val="C79C068E"/>
    <w:lvl w:ilvl="0" w:tentative="0">
      <w:start w:val="1"/>
      <w:numFmt w:val="decimal"/>
      <w:lvlText w:val="%1."/>
      <w:lvlJc w:val="left"/>
      <w:pPr>
        <w:ind w:left="425" w:hanging="425"/>
      </w:pPr>
      <w:rPr>
        <w:rFonts w:hint="default"/>
      </w:rPr>
    </w:lvl>
  </w:abstractNum>
  <w:abstractNum w:abstractNumId="5">
    <w:nsid w:val="CF092B84"/>
    <w:multiLevelType w:val="singleLevel"/>
    <w:tmpl w:val="CF092B84"/>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32"/>
        <w:szCs w:val="32"/>
        <w:u w:val="none"/>
        <w:shd w:val="clear" w:color="auto" w:fill="auto"/>
        <w:lang w:val="en-US" w:eastAsia="en-US" w:bidi="en-US"/>
      </w:rPr>
    </w:lvl>
  </w:abstractNum>
  <w:abstractNum w:abstractNumId="6">
    <w:nsid w:val="EA1D1D79"/>
    <w:multiLevelType w:val="singleLevel"/>
    <w:tmpl w:val="EA1D1D79"/>
    <w:lvl w:ilvl="0" w:tentative="0">
      <w:start w:val="24"/>
      <w:numFmt w:val="decimal"/>
      <w:suff w:val="space"/>
      <w:lvlText w:val="第%1条"/>
      <w:lvlJc w:val="left"/>
    </w:lvl>
  </w:abstractNum>
  <w:abstractNum w:abstractNumId="7">
    <w:nsid w:val="F72A7B11"/>
    <w:multiLevelType w:val="multilevel"/>
    <w:tmpl w:val="F72A7B11"/>
    <w:lvl w:ilvl="0" w:tentative="0">
      <w:start w:val="1"/>
      <w:numFmt w:val="decimal"/>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8">
    <w:nsid w:val="0000000D"/>
    <w:multiLevelType w:val="singleLevel"/>
    <w:tmpl w:val="0000000D"/>
    <w:lvl w:ilvl="0" w:tentative="0">
      <w:start w:val="1"/>
      <w:numFmt w:val="bullet"/>
      <w:lvlText w:val=""/>
      <w:lvlJc w:val="left"/>
      <w:pPr>
        <w:tabs>
          <w:tab w:val="left" w:pos="1200"/>
        </w:tabs>
        <w:ind w:left="1200" w:hanging="360"/>
      </w:pPr>
      <w:rPr>
        <w:rFonts w:hint="default" w:ascii="Wingdings" w:hAnsi="Wingdings"/>
      </w:rPr>
    </w:lvl>
  </w:abstractNum>
  <w:abstractNum w:abstractNumId="9">
    <w:nsid w:val="00000022"/>
    <w:multiLevelType w:val="multilevel"/>
    <w:tmpl w:val="00000022"/>
    <w:lvl w:ilvl="0" w:tentative="0">
      <w:start w:val="1"/>
      <w:numFmt w:val="decimal"/>
      <w:lvlText w:val="%1."/>
      <w:lvlJc w:val="left"/>
      <w:pPr>
        <w:tabs>
          <w:tab w:val="left" w:pos="360"/>
        </w:tabs>
        <w:ind w:left="360" w:hanging="360"/>
      </w:pPr>
      <w:rPr>
        <w:rFonts w:hint="default"/>
        <w:sz w:val="21"/>
        <w:szCs w:val="21"/>
      </w:r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0"/>
        </w:tabs>
        <w:ind w:left="0" w:hanging="420"/>
      </w:pPr>
    </w:lvl>
    <w:lvl w:ilvl="3" w:tentative="0">
      <w:start w:val="1"/>
      <w:numFmt w:val="decimal"/>
      <w:lvlText w:val="%4."/>
      <w:lvlJc w:val="left"/>
      <w:pPr>
        <w:tabs>
          <w:tab w:val="left" w:pos="420"/>
        </w:tabs>
        <w:ind w:left="420" w:hanging="420"/>
      </w:pPr>
    </w:lvl>
    <w:lvl w:ilvl="4" w:tentative="0">
      <w:start w:val="1"/>
      <w:numFmt w:val="lowerLetter"/>
      <w:lvlText w:val="%5)"/>
      <w:lvlJc w:val="left"/>
      <w:pPr>
        <w:tabs>
          <w:tab w:val="left" w:pos="840"/>
        </w:tabs>
        <w:ind w:left="840" w:hanging="420"/>
      </w:pPr>
    </w:lvl>
    <w:lvl w:ilvl="5" w:tentative="0">
      <w:start w:val="1"/>
      <w:numFmt w:val="lowerRoman"/>
      <w:lvlText w:val="%6."/>
      <w:lvlJc w:val="right"/>
      <w:pPr>
        <w:tabs>
          <w:tab w:val="left" w:pos="1260"/>
        </w:tabs>
        <w:ind w:left="1260" w:hanging="420"/>
      </w:pPr>
    </w:lvl>
    <w:lvl w:ilvl="6" w:tentative="0">
      <w:start w:val="1"/>
      <w:numFmt w:val="decimal"/>
      <w:lvlText w:val="%7."/>
      <w:lvlJc w:val="left"/>
      <w:pPr>
        <w:tabs>
          <w:tab w:val="left" w:pos="1680"/>
        </w:tabs>
        <w:ind w:left="1680" w:hanging="420"/>
      </w:pPr>
    </w:lvl>
    <w:lvl w:ilvl="7" w:tentative="0">
      <w:start w:val="1"/>
      <w:numFmt w:val="lowerLetter"/>
      <w:lvlText w:val="%8)"/>
      <w:lvlJc w:val="left"/>
      <w:pPr>
        <w:tabs>
          <w:tab w:val="left" w:pos="2100"/>
        </w:tabs>
        <w:ind w:left="2100" w:hanging="420"/>
      </w:pPr>
    </w:lvl>
    <w:lvl w:ilvl="8" w:tentative="0">
      <w:start w:val="1"/>
      <w:numFmt w:val="lowerRoman"/>
      <w:lvlText w:val="%9."/>
      <w:lvlJc w:val="right"/>
      <w:pPr>
        <w:tabs>
          <w:tab w:val="left" w:pos="2520"/>
        </w:tabs>
        <w:ind w:left="2520" w:hanging="420"/>
      </w:pPr>
    </w:lvl>
  </w:abstractNum>
  <w:abstractNum w:abstractNumId="10">
    <w:nsid w:val="08E6B49D"/>
    <w:multiLevelType w:val="singleLevel"/>
    <w:tmpl w:val="08E6B49D"/>
    <w:lvl w:ilvl="0" w:tentative="0">
      <w:start w:val="1"/>
      <w:numFmt w:val="decimalEnclosedCircleChinese"/>
      <w:suff w:val="nothing"/>
      <w:lvlText w:val="%1　"/>
      <w:lvlJc w:val="left"/>
      <w:pPr>
        <w:ind w:left="0" w:firstLine="400"/>
      </w:pPr>
      <w:rPr>
        <w:rFonts w:hint="eastAsia"/>
      </w:rPr>
    </w:lvl>
  </w:abstractNum>
  <w:abstractNum w:abstractNumId="11">
    <w:nsid w:val="2E20E187"/>
    <w:multiLevelType w:val="singleLevel"/>
    <w:tmpl w:val="2E20E187"/>
    <w:lvl w:ilvl="0" w:tentative="0">
      <w:start w:val="1"/>
      <w:numFmt w:val="decimal"/>
      <w:lvlText w:val="%1."/>
      <w:lvlJc w:val="left"/>
      <w:pPr>
        <w:ind w:left="425" w:hanging="425"/>
      </w:pPr>
      <w:rPr>
        <w:rFonts w:hint="default"/>
      </w:rPr>
    </w:lvl>
  </w:abstractNum>
  <w:abstractNum w:abstractNumId="12">
    <w:nsid w:val="46EE2D4D"/>
    <w:multiLevelType w:val="singleLevel"/>
    <w:tmpl w:val="46EE2D4D"/>
    <w:lvl w:ilvl="0" w:tentative="0">
      <w:start w:val="1"/>
      <w:numFmt w:val="decimalEnclosedCircleChinese"/>
      <w:suff w:val="nothing"/>
      <w:lvlText w:val="%1　"/>
      <w:lvlJc w:val="left"/>
      <w:pPr>
        <w:ind w:left="0" w:firstLine="400"/>
      </w:pPr>
      <w:rPr>
        <w:rFonts w:hint="eastAsia"/>
      </w:rPr>
    </w:lvl>
  </w:abstractNum>
  <w:abstractNum w:abstractNumId="13">
    <w:nsid w:val="4AAEE488"/>
    <w:multiLevelType w:val="singleLevel"/>
    <w:tmpl w:val="4AAEE488"/>
    <w:lvl w:ilvl="0" w:tentative="0">
      <w:start w:val="1"/>
      <w:numFmt w:val="decimal"/>
      <w:lvlText w:val="%1."/>
      <w:lvlJc w:val="left"/>
      <w:pPr>
        <w:ind w:left="425" w:hanging="425"/>
      </w:pPr>
      <w:rPr>
        <w:rFonts w:hint="default"/>
      </w:rPr>
    </w:lvl>
  </w:abstractNum>
  <w:abstractNum w:abstractNumId="14">
    <w:nsid w:val="50ABDBC8"/>
    <w:multiLevelType w:val="singleLevel"/>
    <w:tmpl w:val="50ABDBC8"/>
    <w:lvl w:ilvl="0" w:tentative="0">
      <w:start w:val="1"/>
      <w:numFmt w:val="chineseCounting"/>
      <w:suff w:val="space"/>
      <w:lvlText w:val="第%1章"/>
      <w:lvlJc w:val="left"/>
      <w:pPr>
        <w:ind w:left="580"/>
      </w:pPr>
      <w:rPr>
        <w:rFonts w:hint="eastAsia"/>
      </w:rPr>
    </w:lvl>
  </w:abstractNum>
  <w:abstractNum w:abstractNumId="15">
    <w:nsid w:val="5A70A1A7"/>
    <w:multiLevelType w:val="singleLevel"/>
    <w:tmpl w:val="5A70A1A7"/>
    <w:lvl w:ilvl="0" w:tentative="0">
      <w:start w:val="6"/>
      <w:numFmt w:val="chineseCounting"/>
      <w:suff w:val="nothing"/>
      <w:lvlText w:val="%1、"/>
      <w:lvlJc w:val="left"/>
      <w:rPr>
        <w:rFonts w:hint="eastAsia"/>
      </w:rPr>
    </w:lvl>
  </w:abstractNum>
  <w:abstractNum w:abstractNumId="16">
    <w:nsid w:val="5D5AC60B"/>
    <w:multiLevelType w:val="singleLevel"/>
    <w:tmpl w:val="5D5AC60B"/>
    <w:lvl w:ilvl="0" w:tentative="0">
      <w:start w:val="1"/>
      <w:numFmt w:val="decimalEnclosedCircleChinese"/>
      <w:suff w:val="nothing"/>
      <w:lvlText w:val="%1　"/>
      <w:lvlJc w:val="left"/>
      <w:pPr>
        <w:ind w:left="0" w:firstLine="400"/>
      </w:pPr>
      <w:rPr>
        <w:rFonts w:hint="eastAsia"/>
      </w:rPr>
    </w:lvl>
  </w:abstractNum>
  <w:abstractNum w:abstractNumId="17">
    <w:nsid w:val="66AEC436"/>
    <w:multiLevelType w:val="singleLevel"/>
    <w:tmpl w:val="66AEC436"/>
    <w:lvl w:ilvl="0" w:tentative="0">
      <w:start w:val="9"/>
      <w:numFmt w:val="chineseCounting"/>
      <w:suff w:val="nothing"/>
      <w:lvlText w:val="%1、"/>
      <w:lvlJc w:val="left"/>
      <w:rPr>
        <w:rFonts w:hint="eastAsia"/>
      </w:rPr>
    </w:lvl>
  </w:abstractNum>
  <w:abstractNum w:abstractNumId="18">
    <w:nsid w:val="7E093695"/>
    <w:multiLevelType w:val="singleLevel"/>
    <w:tmpl w:val="7E093695"/>
    <w:lvl w:ilvl="0" w:tentative="0">
      <w:start w:val="1"/>
      <w:numFmt w:val="decimal"/>
      <w:lvlText w:val="%1."/>
      <w:lvlJc w:val="left"/>
      <w:pPr>
        <w:ind w:left="425" w:hanging="425"/>
      </w:pPr>
      <w:rPr>
        <w:rFonts w:hint="default"/>
      </w:rPr>
    </w:lvl>
  </w:abstractNum>
  <w:num w:numId="1">
    <w:abstractNumId w:val="7"/>
  </w:num>
  <w:num w:numId="2">
    <w:abstractNumId w:val="8"/>
  </w:num>
  <w:num w:numId="3">
    <w:abstractNumId w:val="14"/>
  </w:num>
  <w:num w:numId="4">
    <w:abstractNumId w:val="2"/>
  </w:num>
  <w:num w:numId="5">
    <w:abstractNumId w:val="0"/>
  </w:num>
  <w:num w:numId="6">
    <w:abstractNumId w:val="1"/>
  </w:num>
  <w:num w:numId="7">
    <w:abstractNumId w:val="11"/>
  </w:num>
  <w:num w:numId="8">
    <w:abstractNumId w:val="13"/>
  </w:num>
  <w:num w:numId="9">
    <w:abstractNumId w:val="4"/>
  </w:num>
  <w:num w:numId="10">
    <w:abstractNumId w:val="16"/>
  </w:num>
  <w:num w:numId="11">
    <w:abstractNumId w:val="3"/>
  </w:num>
  <w:num w:numId="12">
    <w:abstractNumId w:val="10"/>
  </w:num>
  <w:num w:numId="13">
    <w:abstractNumId w:val="12"/>
  </w:num>
  <w:num w:numId="14">
    <w:abstractNumId w:val="18"/>
  </w:num>
  <w:num w:numId="15">
    <w:abstractNumId w:val="6"/>
  </w:num>
  <w:num w:numId="16">
    <w:abstractNumId w:val="9"/>
  </w:num>
  <w:num w:numId="17">
    <w:abstractNumId w:val="15"/>
  </w:num>
  <w:num w:numId="18">
    <w:abstractNumId w:val="17"/>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pos w:val="beneathText"/>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5ZmFjNmRlM2U0NGQyZWM5MzNkMjFlMzBjYmEwN2QifQ=="/>
  </w:docVars>
  <w:rsids>
    <w:rsidRoot w:val="6D237F65"/>
    <w:rsid w:val="0011760F"/>
    <w:rsid w:val="00307A95"/>
    <w:rsid w:val="00332509"/>
    <w:rsid w:val="005143E4"/>
    <w:rsid w:val="005319D6"/>
    <w:rsid w:val="006463BB"/>
    <w:rsid w:val="006D0CE9"/>
    <w:rsid w:val="006E6810"/>
    <w:rsid w:val="007007DA"/>
    <w:rsid w:val="0078768E"/>
    <w:rsid w:val="0089189B"/>
    <w:rsid w:val="008D7996"/>
    <w:rsid w:val="009D0EA3"/>
    <w:rsid w:val="00BA1A55"/>
    <w:rsid w:val="00BC57CD"/>
    <w:rsid w:val="00C3254F"/>
    <w:rsid w:val="00C831C9"/>
    <w:rsid w:val="00D24FF0"/>
    <w:rsid w:val="00D50D10"/>
    <w:rsid w:val="00D86331"/>
    <w:rsid w:val="00DF3269"/>
    <w:rsid w:val="00F66F31"/>
    <w:rsid w:val="01057174"/>
    <w:rsid w:val="011E7635"/>
    <w:rsid w:val="01253372"/>
    <w:rsid w:val="012F2443"/>
    <w:rsid w:val="013C246A"/>
    <w:rsid w:val="01464578"/>
    <w:rsid w:val="018E7169"/>
    <w:rsid w:val="0192652E"/>
    <w:rsid w:val="019F1377"/>
    <w:rsid w:val="01B82438"/>
    <w:rsid w:val="01BD17FD"/>
    <w:rsid w:val="01CA3F1A"/>
    <w:rsid w:val="020016E9"/>
    <w:rsid w:val="0204742C"/>
    <w:rsid w:val="02094A42"/>
    <w:rsid w:val="02105DD0"/>
    <w:rsid w:val="02181129"/>
    <w:rsid w:val="0224187C"/>
    <w:rsid w:val="022F58C6"/>
    <w:rsid w:val="023D0B8F"/>
    <w:rsid w:val="023D46EC"/>
    <w:rsid w:val="025739FF"/>
    <w:rsid w:val="02704AC1"/>
    <w:rsid w:val="02750329"/>
    <w:rsid w:val="02753E85"/>
    <w:rsid w:val="02816CCE"/>
    <w:rsid w:val="02AD361F"/>
    <w:rsid w:val="02AF383B"/>
    <w:rsid w:val="02B04EBD"/>
    <w:rsid w:val="02C32E43"/>
    <w:rsid w:val="02D45050"/>
    <w:rsid w:val="02FF1CF4"/>
    <w:rsid w:val="031C2553"/>
    <w:rsid w:val="031F230C"/>
    <w:rsid w:val="03253AFD"/>
    <w:rsid w:val="0329473F"/>
    <w:rsid w:val="03304250"/>
    <w:rsid w:val="033D1060"/>
    <w:rsid w:val="034026E5"/>
    <w:rsid w:val="03446385"/>
    <w:rsid w:val="034C04C5"/>
    <w:rsid w:val="0365214C"/>
    <w:rsid w:val="036F6B27"/>
    <w:rsid w:val="03710AF1"/>
    <w:rsid w:val="03762364"/>
    <w:rsid w:val="03764359"/>
    <w:rsid w:val="0388408C"/>
    <w:rsid w:val="039447DF"/>
    <w:rsid w:val="03960557"/>
    <w:rsid w:val="03A8028B"/>
    <w:rsid w:val="03B95FF4"/>
    <w:rsid w:val="03C70711"/>
    <w:rsid w:val="03C926DB"/>
    <w:rsid w:val="03CA0201"/>
    <w:rsid w:val="03D60954"/>
    <w:rsid w:val="03D746CC"/>
    <w:rsid w:val="03E80687"/>
    <w:rsid w:val="042F4508"/>
    <w:rsid w:val="0438160E"/>
    <w:rsid w:val="0447561F"/>
    <w:rsid w:val="04536448"/>
    <w:rsid w:val="0460018D"/>
    <w:rsid w:val="047D5898"/>
    <w:rsid w:val="04874344"/>
    <w:rsid w:val="04935304"/>
    <w:rsid w:val="04936845"/>
    <w:rsid w:val="049F168E"/>
    <w:rsid w:val="049F6D63"/>
    <w:rsid w:val="04BC223F"/>
    <w:rsid w:val="04D54377"/>
    <w:rsid w:val="04E15802"/>
    <w:rsid w:val="04F05A45"/>
    <w:rsid w:val="05090882"/>
    <w:rsid w:val="0516342C"/>
    <w:rsid w:val="053022E6"/>
    <w:rsid w:val="05524952"/>
    <w:rsid w:val="05557F9E"/>
    <w:rsid w:val="05747691"/>
    <w:rsid w:val="057E74F5"/>
    <w:rsid w:val="059705B7"/>
    <w:rsid w:val="059960DD"/>
    <w:rsid w:val="059B00A7"/>
    <w:rsid w:val="05A607FA"/>
    <w:rsid w:val="05A9538D"/>
    <w:rsid w:val="05AB7BBE"/>
    <w:rsid w:val="05BD626F"/>
    <w:rsid w:val="05BE3D95"/>
    <w:rsid w:val="05EA4B8A"/>
    <w:rsid w:val="05F96B7B"/>
    <w:rsid w:val="05FB28F4"/>
    <w:rsid w:val="06053772"/>
    <w:rsid w:val="060D53F2"/>
    <w:rsid w:val="061340E1"/>
    <w:rsid w:val="062005AC"/>
    <w:rsid w:val="06255BC2"/>
    <w:rsid w:val="06261EED"/>
    <w:rsid w:val="062E2CC9"/>
    <w:rsid w:val="062F259D"/>
    <w:rsid w:val="063E518E"/>
    <w:rsid w:val="06426774"/>
    <w:rsid w:val="06AB431A"/>
    <w:rsid w:val="06B512AC"/>
    <w:rsid w:val="06B94326"/>
    <w:rsid w:val="06C23411"/>
    <w:rsid w:val="06E0127B"/>
    <w:rsid w:val="06EB2968"/>
    <w:rsid w:val="06F85085"/>
    <w:rsid w:val="071C0D73"/>
    <w:rsid w:val="072365A6"/>
    <w:rsid w:val="07341E6A"/>
    <w:rsid w:val="073A38EF"/>
    <w:rsid w:val="076170CE"/>
    <w:rsid w:val="076369A2"/>
    <w:rsid w:val="076F3599"/>
    <w:rsid w:val="077C7A64"/>
    <w:rsid w:val="078F3DF4"/>
    <w:rsid w:val="07AD392C"/>
    <w:rsid w:val="07B05960"/>
    <w:rsid w:val="07D21D7A"/>
    <w:rsid w:val="07DB29DD"/>
    <w:rsid w:val="07DE67B6"/>
    <w:rsid w:val="07E55609"/>
    <w:rsid w:val="080F2686"/>
    <w:rsid w:val="08167EB9"/>
    <w:rsid w:val="081D1247"/>
    <w:rsid w:val="082779D0"/>
    <w:rsid w:val="08395955"/>
    <w:rsid w:val="08422A5C"/>
    <w:rsid w:val="084E7652"/>
    <w:rsid w:val="085C3CE3"/>
    <w:rsid w:val="086230FE"/>
    <w:rsid w:val="087B73EE"/>
    <w:rsid w:val="088347D0"/>
    <w:rsid w:val="088E7A4F"/>
    <w:rsid w:val="08A2799E"/>
    <w:rsid w:val="08A54D99"/>
    <w:rsid w:val="08B374B6"/>
    <w:rsid w:val="08B82D1E"/>
    <w:rsid w:val="08D613F6"/>
    <w:rsid w:val="08D833C0"/>
    <w:rsid w:val="08FA1588"/>
    <w:rsid w:val="08FA3336"/>
    <w:rsid w:val="08FD6983"/>
    <w:rsid w:val="09061CDB"/>
    <w:rsid w:val="0911125B"/>
    <w:rsid w:val="092403B3"/>
    <w:rsid w:val="09313A95"/>
    <w:rsid w:val="09404AE5"/>
    <w:rsid w:val="09570789"/>
    <w:rsid w:val="09652EA6"/>
    <w:rsid w:val="096B1B3E"/>
    <w:rsid w:val="097053A7"/>
    <w:rsid w:val="099472E7"/>
    <w:rsid w:val="099866AB"/>
    <w:rsid w:val="09B80B68"/>
    <w:rsid w:val="09C120A6"/>
    <w:rsid w:val="09D27DE2"/>
    <w:rsid w:val="09DA6CC4"/>
    <w:rsid w:val="09F63AFE"/>
    <w:rsid w:val="0A0501E5"/>
    <w:rsid w:val="0A2148F3"/>
    <w:rsid w:val="0A2A19F9"/>
    <w:rsid w:val="0A2D5046"/>
    <w:rsid w:val="0A314B36"/>
    <w:rsid w:val="0A3B7763"/>
    <w:rsid w:val="0A3D172D"/>
    <w:rsid w:val="0A555633"/>
    <w:rsid w:val="0A586566"/>
    <w:rsid w:val="0A9D21CB"/>
    <w:rsid w:val="0AB13EC9"/>
    <w:rsid w:val="0AB614DF"/>
    <w:rsid w:val="0ABD461B"/>
    <w:rsid w:val="0AC43BFC"/>
    <w:rsid w:val="0AD55E09"/>
    <w:rsid w:val="0AE778EA"/>
    <w:rsid w:val="0AEA2F37"/>
    <w:rsid w:val="0AF049F1"/>
    <w:rsid w:val="0AF10769"/>
    <w:rsid w:val="0AF3003D"/>
    <w:rsid w:val="0B0C55A3"/>
    <w:rsid w:val="0B0F0CF0"/>
    <w:rsid w:val="0B275F39"/>
    <w:rsid w:val="0B2B5A29"/>
    <w:rsid w:val="0B2E5519"/>
    <w:rsid w:val="0B4765DB"/>
    <w:rsid w:val="0B4D3BF1"/>
    <w:rsid w:val="0B521208"/>
    <w:rsid w:val="0B5D7BAD"/>
    <w:rsid w:val="0B5E5DFE"/>
    <w:rsid w:val="0B640F3B"/>
    <w:rsid w:val="0B664CB3"/>
    <w:rsid w:val="0B723658"/>
    <w:rsid w:val="0B7E6FD7"/>
    <w:rsid w:val="0B7F3FC7"/>
    <w:rsid w:val="0B814283"/>
    <w:rsid w:val="0B8D66E4"/>
    <w:rsid w:val="0B907F82"/>
    <w:rsid w:val="0BA42279"/>
    <w:rsid w:val="0BAE21B6"/>
    <w:rsid w:val="0BB023D2"/>
    <w:rsid w:val="0BBC2B25"/>
    <w:rsid w:val="0BCB0FBA"/>
    <w:rsid w:val="0BD51E39"/>
    <w:rsid w:val="0BDA2FAB"/>
    <w:rsid w:val="0BDD0C78"/>
    <w:rsid w:val="0BDE2A9B"/>
    <w:rsid w:val="0BE856C8"/>
    <w:rsid w:val="0BF00A21"/>
    <w:rsid w:val="0BF73767"/>
    <w:rsid w:val="0C084E64"/>
    <w:rsid w:val="0C1110C3"/>
    <w:rsid w:val="0C1C35C4"/>
    <w:rsid w:val="0C272694"/>
    <w:rsid w:val="0C360B29"/>
    <w:rsid w:val="0C3C3C66"/>
    <w:rsid w:val="0C4F74F5"/>
    <w:rsid w:val="0C676F35"/>
    <w:rsid w:val="0CC51EAD"/>
    <w:rsid w:val="0CCD48BE"/>
    <w:rsid w:val="0CD93263"/>
    <w:rsid w:val="0CEA36C2"/>
    <w:rsid w:val="0CF4009D"/>
    <w:rsid w:val="0CF52F9A"/>
    <w:rsid w:val="0CFB767D"/>
    <w:rsid w:val="0CFD1647"/>
    <w:rsid w:val="0D046532"/>
    <w:rsid w:val="0D0B5B12"/>
    <w:rsid w:val="0D162709"/>
    <w:rsid w:val="0D1644B7"/>
    <w:rsid w:val="0D1D4725"/>
    <w:rsid w:val="0D222E5C"/>
    <w:rsid w:val="0D2E7A52"/>
    <w:rsid w:val="0D440799"/>
    <w:rsid w:val="0D441024"/>
    <w:rsid w:val="0D462D5E"/>
    <w:rsid w:val="0D613984"/>
    <w:rsid w:val="0D6E7E4F"/>
    <w:rsid w:val="0D7D4536"/>
    <w:rsid w:val="0D814026"/>
    <w:rsid w:val="0D870F11"/>
    <w:rsid w:val="0D8728A6"/>
    <w:rsid w:val="0D8C6527"/>
    <w:rsid w:val="0D8F5098"/>
    <w:rsid w:val="0DA177C1"/>
    <w:rsid w:val="0DB66733"/>
    <w:rsid w:val="0DC42165"/>
    <w:rsid w:val="0DC83A03"/>
    <w:rsid w:val="0DC932D7"/>
    <w:rsid w:val="0DD201F4"/>
    <w:rsid w:val="0DE16873"/>
    <w:rsid w:val="0DFF319D"/>
    <w:rsid w:val="0E034A3B"/>
    <w:rsid w:val="0E056A05"/>
    <w:rsid w:val="0E056B99"/>
    <w:rsid w:val="0E1158A6"/>
    <w:rsid w:val="0E2826F4"/>
    <w:rsid w:val="0E2A2EB5"/>
    <w:rsid w:val="0E372937"/>
    <w:rsid w:val="0E431650"/>
    <w:rsid w:val="0E4A08BC"/>
    <w:rsid w:val="0E5139F9"/>
    <w:rsid w:val="0E53628F"/>
    <w:rsid w:val="0E653000"/>
    <w:rsid w:val="0E80608C"/>
    <w:rsid w:val="0E835B7C"/>
    <w:rsid w:val="0E8B67DF"/>
    <w:rsid w:val="0E912047"/>
    <w:rsid w:val="0E990EFC"/>
    <w:rsid w:val="0E9953A0"/>
    <w:rsid w:val="0EAA11C0"/>
    <w:rsid w:val="0EB21FBD"/>
    <w:rsid w:val="0EC266A4"/>
    <w:rsid w:val="0EE7435D"/>
    <w:rsid w:val="0EEC54CF"/>
    <w:rsid w:val="0EF34AB0"/>
    <w:rsid w:val="0EF820C6"/>
    <w:rsid w:val="0F0071CD"/>
    <w:rsid w:val="0F087E2F"/>
    <w:rsid w:val="0F0A004B"/>
    <w:rsid w:val="0F1D7D7F"/>
    <w:rsid w:val="0F20161D"/>
    <w:rsid w:val="0F220EF1"/>
    <w:rsid w:val="0F2A5FF8"/>
    <w:rsid w:val="0F4E1CE6"/>
    <w:rsid w:val="0F4E7F38"/>
    <w:rsid w:val="0F607C6B"/>
    <w:rsid w:val="0F852E7C"/>
    <w:rsid w:val="0F890F70"/>
    <w:rsid w:val="0F9B0CA3"/>
    <w:rsid w:val="0F9E52D1"/>
    <w:rsid w:val="0FB12275"/>
    <w:rsid w:val="0FBF2BE4"/>
    <w:rsid w:val="0FDD306A"/>
    <w:rsid w:val="0FE268D2"/>
    <w:rsid w:val="10246EEB"/>
    <w:rsid w:val="102F509E"/>
    <w:rsid w:val="10345380"/>
    <w:rsid w:val="10354C54"/>
    <w:rsid w:val="103A670E"/>
    <w:rsid w:val="10417A9D"/>
    <w:rsid w:val="104B4477"/>
    <w:rsid w:val="105A7182"/>
    <w:rsid w:val="10723DDF"/>
    <w:rsid w:val="108B0D18"/>
    <w:rsid w:val="10BF1A3A"/>
    <w:rsid w:val="10C20BDE"/>
    <w:rsid w:val="10D206F5"/>
    <w:rsid w:val="10F72B31"/>
    <w:rsid w:val="10F863AD"/>
    <w:rsid w:val="10FD1C16"/>
    <w:rsid w:val="1111121D"/>
    <w:rsid w:val="11274EE5"/>
    <w:rsid w:val="114F1D45"/>
    <w:rsid w:val="114F7F97"/>
    <w:rsid w:val="11671785"/>
    <w:rsid w:val="117B2B3A"/>
    <w:rsid w:val="1182211B"/>
    <w:rsid w:val="119A56B6"/>
    <w:rsid w:val="11B04EDA"/>
    <w:rsid w:val="11C40985"/>
    <w:rsid w:val="11C7122A"/>
    <w:rsid w:val="11DF108E"/>
    <w:rsid w:val="11ED1C8A"/>
    <w:rsid w:val="11F33019"/>
    <w:rsid w:val="11FD5C45"/>
    <w:rsid w:val="120130B2"/>
    <w:rsid w:val="122203E6"/>
    <w:rsid w:val="123B11E6"/>
    <w:rsid w:val="123D6042"/>
    <w:rsid w:val="12415308"/>
    <w:rsid w:val="1259312D"/>
    <w:rsid w:val="127001C5"/>
    <w:rsid w:val="127F1CFD"/>
    <w:rsid w:val="128679E9"/>
    <w:rsid w:val="12A04F4F"/>
    <w:rsid w:val="12A362D2"/>
    <w:rsid w:val="12B02CB8"/>
    <w:rsid w:val="12B427A8"/>
    <w:rsid w:val="12B54943"/>
    <w:rsid w:val="12B83E11"/>
    <w:rsid w:val="12C10A21"/>
    <w:rsid w:val="12DE15D3"/>
    <w:rsid w:val="12E56E05"/>
    <w:rsid w:val="12EA7F78"/>
    <w:rsid w:val="12ED7A68"/>
    <w:rsid w:val="12FB3F33"/>
    <w:rsid w:val="130804C5"/>
    <w:rsid w:val="13117BFA"/>
    <w:rsid w:val="1312127D"/>
    <w:rsid w:val="131E2317"/>
    <w:rsid w:val="132A2A6A"/>
    <w:rsid w:val="132F1E2E"/>
    <w:rsid w:val="134578A4"/>
    <w:rsid w:val="13573133"/>
    <w:rsid w:val="135B2C24"/>
    <w:rsid w:val="13693592"/>
    <w:rsid w:val="13716203"/>
    <w:rsid w:val="137D2B9A"/>
    <w:rsid w:val="13A24CF6"/>
    <w:rsid w:val="13A9398F"/>
    <w:rsid w:val="13AF4D1D"/>
    <w:rsid w:val="13D50C28"/>
    <w:rsid w:val="13DC1FB6"/>
    <w:rsid w:val="13E40E6B"/>
    <w:rsid w:val="13E9022F"/>
    <w:rsid w:val="13E9390C"/>
    <w:rsid w:val="13F07810"/>
    <w:rsid w:val="141259D8"/>
    <w:rsid w:val="141D437D"/>
    <w:rsid w:val="1437543F"/>
    <w:rsid w:val="14425B91"/>
    <w:rsid w:val="145078D9"/>
    <w:rsid w:val="14551282"/>
    <w:rsid w:val="1461426A"/>
    <w:rsid w:val="1466786F"/>
    <w:rsid w:val="1468384A"/>
    <w:rsid w:val="14A423A8"/>
    <w:rsid w:val="14B338CD"/>
    <w:rsid w:val="14C24D12"/>
    <w:rsid w:val="14D5484F"/>
    <w:rsid w:val="14D902A4"/>
    <w:rsid w:val="14DB7F08"/>
    <w:rsid w:val="14E05AD6"/>
    <w:rsid w:val="150572EB"/>
    <w:rsid w:val="15075A95"/>
    <w:rsid w:val="150939EE"/>
    <w:rsid w:val="150A66AF"/>
    <w:rsid w:val="150B2427"/>
    <w:rsid w:val="152515EA"/>
    <w:rsid w:val="15325C06"/>
    <w:rsid w:val="15374ED2"/>
    <w:rsid w:val="153B4ABB"/>
    <w:rsid w:val="153C0833"/>
    <w:rsid w:val="155838BF"/>
    <w:rsid w:val="155C2C83"/>
    <w:rsid w:val="15637B70"/>
    <w:rsid w:val="15735DD9"/>
    <w:rsid w:val="1573694A"/>
    <w:rsid w:val="157A1DFA"/>
    <w:rsid w:val="15836462"/>
    <w:rsid w:val="15A22D8C"/>
    <w:rsid w:val="15C50828"/>
    <w:rsid w:val="15DD2016"/>
    <w:rsid w:val="15E15F0C"/>
    <w:rsid w:val="15EE5FD1"/>
    <w:rsid w:val="16111CBF"/>
    <w:rsid w:val="164976AB"/>
    <w:rsid w:val="165878EE"/>
    <w:rsid w:val="1674297A"/>
    <w:rsid w:val="16AA299B"/>
    <w:rsid w:val="16BB1925"/>
    <w:rsid w:val="16BF796D"/>
    <w:rsid w:val="16D07CAD"/>
    <w:rsid w:val="16D74CB7"/>
    <w:rsid w:val="16DA0303"/>
    <w:rsid w:val="16DE6045"/>
    <w:rsid w:val="16E47C09"/>
    <w:rsid w:val="16FE4510"/>
    <w:rsid w:val="170B670F"/>
    <w:rsid w:val="171E4694"/>
    <w:rsid w:val="1720040C"/>
    <w:rsid w:val="172266C2"/>
    <w:rsid w:val="17283764"/>
    <w:rsid w:val="173B5246"/>
    <w:rsid w:val="17462BAF"/>
    <w:rsid w:val="174F6F43"/>
    <w:rsid w:val="175400B6"/>
    <w:rsid w:val="175B7696"/>
    <w:rsid w:val="175E421D"/>
    <w:rsid w:val="177C760C"/>
    <w:rsid w:val="177E5132"/>
    <w:rsid w:val="1780534F"/>
    <w:rsid w:val="178A5552"/>
    <w:rsid w:val="17A00489"/>
    <w:rsid w:val="17AC7EF2"/>
    <w:rsid w:val="17B648CC"/>
    <w:rsid w:val="17C36FE9"/>
    <w:rsid w:val="17CA0378"/>
    <w:rsid w:val="17CD5FB9"/>
    <w:rsid w:val="17D82A95"/>
    <w:rsid w:val="17E21B65"/>
    <w:rsid w:val="17EE22B8"/>
    <w:rsid w:val="17FF6273"/>
    <w:rsid w:val="18047D2E"/>
    <w:rsid w:val="180E4708"/>
    <w:rsid w:val="180F222F"/>
    <w:rsid w:val="18297794"/>
    <w:rsid w:val="182C2DE0"/>
    <w:rsid w:val="182C4B8E"/>
    <w:rsid w:val="183A44FD"/>
    <w:rsid w:val="18583BD5"/>
    <w:rsid w:val="186B3189"/>
    <w:rsid w:val="18714C97"/>
    <w:rsid w:val="18736C61"/>
    <w:rsid w:val="18784278"/>
    <w:rsid w:val="188744BB"/>
    <w:rsid w:val="1888270D"/>
    <w:rsid w:val="188B5D59"/>
    <w:rsid w:val="189A5F9C"/>
    <w:rsid w:val="18A8690B"/>
    <w:rsid w:val="18B52DD6"/>
    <w:rsid w:val="18D25736"/>
    <w:rsid w:val="18EB2C9C"/>
    <w:rsid w:val="18F7645E"/>
    <w:rsid w:val="18FF22A3"/>
    <w:rsid w:val="19191C06"/>
    <w:rsid w:val="193A32DB"/>
    <w:rsid w:val="193C34F7"/>
    <w:rsid w:val="193F08F1"/>
    <w:rsid w:val="19516FA3"/>
    <w:rsid w:val="195E346D"/>
    <w:rsid w:val="195F2D42"/>
    <w:rsid w:val="196433D5"/>
    <w:rsid w:val="198804EA"/>
    <w:rsid w:val="19923117"/>
    <w:rsid w:val="19940C3D"/>
    <w:rsid w:val="19962C07"/>
    <w:rsid w:val="19AD36DF"/>
    <w:rsid w:val="19C31523"/>
    <w:rsid w:val="19C9248B"/>
    <w:rsid w:val="19CC6629"/>
    <w:rsid w:val="19DC5251"/>
    <w:rsid w:val="19FD6B04"/>
    <w:rsid w:val="1A197394"/>
    <w:rsid w:val="1A3F329F"/>
    <w:rsid w:val="1A472154"/>
    <w:rsid w:val="1A655C77"/>
    <w:rsid w:val="1A6C639B"/>
    <w:rsid w:val="1A762632"/>
    <w:rsid w:val="1A902BAD"/>
    <w:rsid w:val="1A930EF5"/>
    <w:rsid w:val="1AB0017F"/>
    <w:rsid w:val="1ABC044C"/>
    <w:rsid w:val="1ADF05DE"/>
    <w:rsid w:val="1AFC0863"/>
    <w:rsid w:val="1B097409"/>
    <w:rsid w:val="1B132036"/>
    <w:rsid w:val="1B3619DA"/>
    <w:rsid w:val="1B373F76"/>
    <w:rsid w:val="1B8076CB"/>
    <w:rsid w:val="1B903686"/>
    <w:rsid w:val="1B9273FE"/>
    <w:rsid w:val="1B9E3FF5"/>
    <w:rsid w:val="1BAA299A"/>
    <w:rsid w:val="1BB12FEE"/>
    <w:rsid w:val="1BC670A8"/>
    <w:rsid w:val="1BD04127"/>
    <w:rsid w:val="1BE539D2"/>
    <w:rsid w:val="1BEB43DA"/>
    <w:rsid w:val="1C054074"/>
    <w:rsid w:val="1C077DEC"/>
    <w:rsid w:val="1C0876C1"/>
    <w:rsid w:val="1C095D01"/>
    <w:rsid w:val="1C136791"/>
    <w:rsid w:val="1C1867ED"/>
    <w:rsid w:val="1C275D99"/>
    <w:rsid w:val="1C2E35CB"/>
    <w:rsid w:val="1C4416D3"/>
    <w:rsid w:val="1C4E77C9"/>
    <w:rsid w:val="1C5823F6"/>
    <w:rsid w:val="1C597F1C"/>
    <w:rsid w:val="1C6A3ED7"/>
    <w:rsid w:val="1C730FDE"/>
    <w:rsid w:val="1C8B457A"/>
    <w:rsid w:val="1C984EE8"/>
    <w:rsid w:val="1C9F0025"/>
    <w:rsid w:val="1CA23671"/>
    <w:rsid w:val="1CA90EA4"/>
    <w:rsid w:val="1CB11B06"/>
    <w:rsid w:val="1CBF4E2F"/>
    <w:rsid w:val="1CE75C51"/>
    <w:rsid w:val="1CF245F9"/>
    <w:rsid w:val="1D102896"/>
    <w:rsid w:val="1D102CD1"/>
    <w:rsid w:val="1D1722B1"/>
    <w:rsid w:val="1D1A58FD"/>
    <w:rsid w:val="1D350989"/>
    <w:rsid w:val="1D37200B"/>
    <w:rsid w:val="1D464944"/>
    <w:rsid w:val="1D5232E9"/>
    <w:rsid w:val="1D5A3F4C"/>
    <w:rsid w:val="1D61352C"/>
    <w:rsid w:val="1D6769E3"/>
    <w:rsid w:val="1D6B164F"/>
    <w:rsid w:val="1D743260"/>
    <w:rsid w:val="1D7A639C"/>
    <w:rsid w:val="1D954F84"/>
    <w:rsid w:val="1D990F18"/>
    <w:rsid w:val="1DA82F09"/>
    <w:rsid w:val="1DB93368"/>
    <w:rsid w:val="1DCD2970"/>
    <w:rsid w:val="1DD06DDE"/>
    <w:rsid w:val="1DE66D1D"/>
    <w:rsid w:val="1DEA192B"/>
    <w:rsid w:val="1E081BFA"/>
    <w:rsid w:val="1E195BB5"/>
    <w:rsid w:val="1E2702D2"/>
    <w:rsid w:val="1E2F7187"/>
    <w:rsid w:val="1E454BFC"/>
    <w:rsid w:val="1E6432D4"/>
    <w:rsid w:val="1E783ECB"/>
    <w:rsid w:val="1E8C45D9"/>
    <w:rsid w:val="1E90231B"/>
    <w:rsid w:val="1E921566"/>
    <w:rsid w:val="1EA23DFC"/>
    <w:rsid w:val="1EA77665"/>
    <w:rsid w:val="1EAE454F"/>
    <w:rsid w:val="1EC27FFB"/>
    <w:rsid w:val="1ECC08B2"/>
    <w:rsid w:val="1EDD3086"/>
    <w:rsid w:val="1F1545CE"/>
    <w:rsid w:val="1F462190"/>
    <w:rsid w:val="1F5A6485"/>
    <w:rsid w:val="1F9000F9"/>
    <w:rsid w:val="1F9C6A9E"/>
    <w:rsid w:val="1FA47700"/>
    <w:rsid w:val="1FB12D8B"/>
    <w:rsid w:val="1FBB2C04"/>
    <w:rsid w:val="1FC61D6D"/>
    <w:rsid w:val="1FC80DE6"/>
    <w:rsid w:val="1FD20711"/>
    <w:rsid w:val="1FEA7809"/>
    <w:rsid w:val="1FF15D5D"/>
    <w:rsid w:val="1FFE32B4"/>
    <w:rsid w:val="20012DA5"/>
    <w:rsid w:val="20014A97"/>
    <w:rsid w:val="20017303"/>
    <w:rsid w:val="201A503F"/>
    <w:rsid w:val="20256A93"/>
    <w:rsid w:val="2039743E"/>
    <w:rsid w:val="20457135"/>
    <w:rsid w:val="20542ED4"/>
    <w:rsid w:val="206F41B2"/>
    <w:rsid w:val="20735A50"/>
    <w:rsid w:val="207D68CF"/>
    <w:rsid w:val="208C494A"/>
    <w:rsid w:val="20931C4F"/>
    <w:rsid w:val="20A83220"/>
    <w:rsid w:val="20A972E2"/>
    <w:rsid w:val="20AC2D10"/>
    <w:rsid w:val="20BE47F2"/>
    <w:rsid w:val="20C757F3"/>
    <w:rsid w:val="20C75D9C"/>
    <w:rsid w:val="20CF4C51"/>
    <w:rsid w:val="20EB1A8B"/>
    <w:rsid w:val="20EE157B"/>
    <w:rsid w:val="20F3093F"/>
    <w:rsid w:val="20FA1CCE"/>
    <w:rsid w:val="20FF5536"/>
    <w:rsid w:val="21090163"/>
    <w:rsid w:val="210A7A37"/>
    <w:rsid w:val="212136FE"/>
    <w:rsid w:val="212705E9"/>
    <w:rsid w:val="212C3511"/>
    <w:rsid w:val="21333432"/>
    <w:rsid w:val="21415B4F"/>
    <w:rsid w:val="214271D1"/>
    <w:rsid w:val="21515666"/>
    <w:rsid w:val="215313DE"/>
    <w:rsid w:val="21592981"/>
    <w:rsid w:val="215A09BE"/>
    <w:rsid w:val="21656616"/>
    <w:rsid w:val="21B225A8"/>
    <w:rsid w:val="21C10A3D"/>
    <w:rsid w:val="21C4408A"/>
    <w:rsid w:val="21E62252"/>
    <w:rsid w:val="21FC7CC7"/>
    <w:rsid w:val="2201708C"/>
    <w:rsid w:val="22121AC0"/>
    <w:rsid w:val="221D4119"/>
    <w:rsid w:val="223B07F0"/>
    <w:rsid w:val="223C6316"/>
    <w:rsid w:val="224F4614"/>
    <w:rsid w:val="226D64CF"/>
    <w:rsid w:val="227B6E3E"/>
    <w:rsid w:val="228577BA"/>
    <w:rsid w:val="228A0E2F"/>
    <w:rsid w:val="22947F00"/>
    <w:rsid w:val="22A30143"/>
    <w:rsid w:val="22AC27F1"/>
    <w:rsid w:val="22D447A0"/>
    <w:rsid w:val="22D95913"/>
    <w:rsid w:val="22EA7B20"/>
    <w:rsid w:val="22F97D63"/>
    <w:rsid w:val="23256DAA"/>
    <w:rsid w:val="232A616E"/>
    <w:rsid w:val="23356FED"/>
    <w:rsid w:val="23360FB7"/>
    <w:rsid w:val="233D5EA2"/>
    <w:rsid w:val="23480E6E"/>
    <w:rsid w:val="237B69CA"/>
    <w:rsid w:val="23927AAD"/>
    <w:rsid w:val="23BC770E"/>
    <w:rsid w:val="23BF71FF"/>
    <w:rsid w:val="23CB16FF"/>
    <w:rsid w:val="23D700A4"/>
    <w:rsid w:val="23E40A13"/>
    <w:rsid w:val="24066BDB"/>
    <w:rsid w:val="24125580"/>
    <w:rsid w:val="24127735"/>
    <w:rsid w:val="24247062"/>
    <w:rsid w:val="24294678"/>
    <w:rsid w:val="243674C1"/>
    <w:rsid w:val="243C25FD"/>
    <w:rsid w:val="244A2F6C"/>
    <w:rsid w:val="244E1089"/>
    <w:rsid w:val="24521E21"/>
    <w:rsid w:val="246851A0"/>
    <w:rsid w:val="24765B0F"/>
    <w:rsid w:val="248144B4"/>
    <w:rsid w:val="24827D4C"/>
    <w:rsid w:val="249B5576"/>
    <w:rsid w:val="24A73F1B"/>
    <w:rsid w:val="24BC729A"/>
    <w:rsid w:val="24D55548"/>
    <w:rsid w:val="24D665AE"/>
    <w:rsid w:val="2503642C"/>
    <w:rsid w:val="25056E93"/>
    <w:rsid w:val="25115838"/>
    <w:rsid w:val="252A2238"/>
    <w:rsid w:val="2531619F"/>
    <w:rsid w:val="2536529E"/>
    <w:rsid w:val="254B091F"/>
    <w:rsid w:val="255120D8"/>
    <w:rsid w:val="25583467"/>
    <w:rsid w:val="256736AA"/>
    <w:rsid w:val="256C2A6E"/>
    <w:rsid w:val="25704025"/>
    <w:rsid w:val="25761B3F"/>
    <w:rsid w:val="259A3A7F"/>
    <w:rsid w:val="259F35EC"/>
    <w:rsid w:val="25A251C6"/>
    <w:rsid w:val="25A768CA"/>
    <w:rsid w:val="25C603D0"/>
    <w:rsid w:val="25CD7611"/>
    <w:rsid w:val="25D23219"/>
    <w:rsid w:val="25D24FC7"/>
    <w:rsid w:val="25D85D6A"/>
    <w:rsid w:val="25E1345C"/>
    <w:rsid w:val="25E22D30"/>
    <w:rsid w:val="25F25669"/>
    <w:rsid w:val="260A1217"/>
    <w:rsid w:val="26121868"/>
    <w:rsid w:val="26176E7E"/>
    <w:rsid w:val="261C6242"/>
    <w:rsid w:val="263E265D"/>
    <w:rsid w:val="2650413E"/>
    <w:rsid w:val="26753BA5"/>
    <w:rsid w:val="26BC17D3"/>
    <w:rsid w:val="26D15636"/>
    <w:rsid w:val="26DB7FC4"/>
    <w:rsid w:val="26EA4592"/>
    <w:rsid w:val="26EC20B9"/>
    <w:rsid w:val="26FD42C6"/>
    <w:rsid w:val="27027062"/>
    <w:rsid w:val="2705317A"/>
    <w:rsid w:val="2714160F"/>
    <w:rsid w:val="271B0BF0"/>
    <w:rsid w:val="272950BB"/>
    <w:rsid w:val="274948ED"/>
    <w:rsid w:val="27533EE6"/>
    <w:rsid w:val="27603809"/>
    <w:rsid w:val="276C0884"/>
    <w:rsid w:val="277B168E"/>
    <w:rsid w:val="278B2C87"/>
    <w:rsid w:val="2790513A"/>
    <w:rsid w:val="27A24E6D"/>
    <w:rsid w:val="27AE736E"/>
    <w:rsid w:val="27F05BD9"/>
    <w:rsid w:val="28083EE9"/>
    <w:rsid w:val="280E2503"/>
    <w:rsid w:val="2815563F"/>
    <w:rsid w:val="281573ED"/>
    <w:rsid w:val="28446AB6"/>
    <w:rsid w:val="284D1B0A"/>
    <w:rsid w:val="28676A4F"/>
    <w:rsid w:val="288A2FA5"/>
    <w:rsid w:val="288B76AF"/>
    <w:rsid w:val="2899001E"/>
    <w:rsid w:val="28BE1833"/>
    <w:rsid w:val="28C72DDD"/>
    <w:rsid w:val="28D41056"/>
    <w:rsid w:val="290336EA"/>
    <w:rsid w:val="29140358"/>
    <w:rsid w:val="291458F7"/>
    <w:rsid w:val="29231FDE"/>
    <w:rsid w:val="294A57BC"/>
    <w:rsid w:val="296028EA"/>
    <w:rsid w:val="29657F00"/>
    <w:rsid w:val="29982084"/>
    <w:rsid w:val="299E3412"/>
    <w:rsid w:val="29A17FBE"/>
    <w:rsid w:val="29A21154"/>
    <w:rsid w:val="29B11398"/>
    <w:rsid w:val="29B175E9"/>
    <w:rsid w:val="29BA46F0"/>
    <w:rsid w:val="2A070FB7"/>
    <w:rsid w:val="2A1262DA"/>
    <w:rsid w:val="2A24600D"/>
    <w:rsid w:val="2A30050E"/>
    <w:rsid w:val="2A3B2255"/>
    <w:rsid w:val="2A41271B"/>
    <w:rsid w:val="2A565A83"/>
    <w:rsid w:val="2A677CA8"/>
    <w:rsid w:val="2A6B59EA"/>
    <w:rsid w:val="2A837500"/>
    <w:rsid w:val="2A8A47F9"/>
    <w:rsid w:val="2ABC7FF4"/>
    <w:rsid w:val="2AC46EA9"/>
    <w:rsid w:val="2AC86999"/>
    <w:rsid w:val="2AC942AD"/>
    <w:rsid w:val="2AD733A6"/>
    <w:rsid w:val="2AD74E2E"/>
    <w:rsid w:val="2AEF03C9"/>
    <w:rsid w:val="2B061C86"/>
    <w:rsid w:val="2B282136"/>
    <w:rsid w:val="2B2D4167"/>
    <w:rsid w:val="2B326508"/>
    <w:rsid w:val="2B3E4EAD"/>
    <w:rsid w:val="2B4F0E68"/>
    <w:rsid w:val="2B5E72FD"/>
    <w:rsid w:val="2B7630FD"/>
    <w:rsid w:val="2B7B7EAF"/>
    <w:rsid w:val="2B8A1EA0"/>
    <w:rsid w:val="2B956FBE"/>
    <w:rsid w:val="2B98280F"/>
    <w:rsid w:val="2BAF1907"/>
    <w:rsid w:val="2BC01D66"/>
    <w:rsid w:val="2BC76C50"/>
    <w:rsid w:val="2BD63337"/>
    <w:rsid w:val="2BFD0098"/>
    <w:rsid w:val="2C1D2D14"/>
    <w:rsid w:val="2C31056E"/>
    <w:rsid w:val="2C5801F0"/>
    <w:rsid w:val="2C5D75D2"/>
    <w:rsid w:val="2C7A72CF"/>
    <w:rsid w:val="2C884632"/>
    <w:rsid w:val="2C8B5ED0"/>
    <w:rsid w:val="2C8F686D"/>
    <w:rsid w:val="2C923702"/>
    <w:rsid w:val="2CA451E4"/>
    <w:rsid w:val="2CAB6572"/>
    <w:rsid w:val="2CB95E3F"/>
    <w:rsid w:val="2CC80ED2"/>
    <w:rsid w:val="2CCD0296"/>
    <w:rsid w:val="2CD1677C"/>
    <w:rsid w:val="2CDD4252"/>
    <w:rsid w:val="2CF717B7"/>
    <w:rsid w:val="2D355E3C"/>
    <w:rsid w:val="2D616C31"/>
    <w:rsid w:val="2D656721"/>
    <w:rsid w:val="2D665296"/>
    <w:rsid w:val="2D686211"/>
    <w:rsid w:val="2D6D148A"/>
    <w:rsid w:val="2D7E065D"/>
    <w:rsid w:val="2D937732"/>
    <w:rsid w:val="2D99461C"/>
    <w:rsid w:val="2DA57465"/>
    <w:rsid w:val="2DB80F46"/>
    <w:rsid w:val="2DBA2F11"/>
    <w:rsid w:val="2DC44BBF"/>
    <w:rsid w:val="2DDF48D4"/>
    <w:rsid w:val="2DE24215"/>
    <w:rsid w:val="2DFE26D1"/>
    <w:rsid w:val="2E051CB2"/>
    <w:rsid w:val="2E186DB6"/>
    <w:rsid w:val="2E2445EA"/>
    <w:rsid w:val="2E245F4A"/>
    <w:rsid w:val="2E254102"/>
    <w:rsid w:val="2E2C723F"/>
    <w:rsid w:val="2E2E1209"/>
    <w:rsid w:val="2E383E35"/>
    <w:rsid w:val="2E3D5A2A"/>
    <w:rsid w:val="2E463A87"/>
    <w:rsid w:val="2E586286"/>
    <w:rsid w:val="2E6966E5"/>
    <w:rsid w:val="2E8E614B"/>
    <w:rsid w:val="2E9D013C"/>
    <w:rsid w:val="2EC102CF"/>
    <w:rsid w:val="2ED3590C"/>
    <w:rsid w:val="2ED578D6"/>
    <w:rsid w:val="2EDF0755"/>
    <w:rsid w:val="2EE302CB"/>
    <w:rsid w:val="2EE47B19"/>
    <w:rsid w:val="2EF835C5"/>
    <w:rsid w:val="2F0A09C2"/>
    <w:rsid w:val="2F1125F2"/>
    <w:rsid w:val="2F1B08DB"/>
    <w:rsid w:val="2F25260C"/>
    <w:rsid w:val="2F261EE0"/>
    <w:rsid w:val="2F2A5E74"/>
    <w:rsid w:val="2F511653"/>
    <w:rsid w:val="2F566C69"/>
    <w:rsid w:val="2F5A7DDB"/>
    <w:rsid w:val="2F6D3FB3"/>
    <w:rsid w:val="2F8D1F5F"/>
    <w:rsid w:val="2FB27C17"/>
    <w:rsid w:val="2FB35E69"/>
    <w:rsid w:val="2FBB6ACC"/>
    <w:rsid w:val="2FD47B8E"/>
    <w:rsid w:val="300264A9"/>
    <w:rsid w:val="30085A89"/>
    <w:rsid w:val="301F52AD"/>
    <w:rsid w:val="30313232"/>
    <w:rsid w:val="3038636F"/>
    <w:rsid w:val="303B7C0D"/>
    <w:rsid w:val="30406FD1"/>
    <w:rsid w:val="304427AC"/>
    <w:rsid w:val="304C3BC8"/>
    <w:rsid w:val="306B16EA"/>
    <w:rsid w:val="306C7DC6"/>
    <w:rsid w:val="307D1FD3"/>
    <w:rsid w:val="308C29B1"/>
    <w:rsid w:val="308E2433"/>
    <w:rsid w:val="30977539"/>
    <w:rsid w:val="309F1F4A"/>
    <w:rsid w:val="30B45A03"/>
    <w:rsid w:val="30B84D39"/>
    <w:rsid w:val="30C10112"/>
    <w:rsid w:val="30C85944"/>
    <w:rsid w:val="310224D9"/>
    <w:rsid w:val="310426F5"/>
    <w:rsid w:val="31061FC9"/>
    <w:rsid w:val="310D15A9"/>
    <w:rsid w:val="311C7A3E"/>
    <w:rsid w:val="31456F95"/>
    <w:rsid w:val="315E0057"/>
    <w:rsid w:val="31745184"/>
    <w:rsid w:val="31A11CF2"/>
    <w:rsid w:val="31A57A34"/>
    <w:rsid w:val="31A67308"/>
    <w:rsid w:val="31B77767"/>
    <w:rsid w:val="31CA56EC"/>
    <w:rsid w:val="31CC5535"/>
    <w:rsid w:val="31E16592"/>
    <w:rsid w:val="31E63BA8"/>
    <w:rsid w:val="31EA18EB"/>
    <w:rsid w:val="32110C25"/>
    <w:rsid w:val="32116E77"/>
    <w:rsid w:val="32216AE3"/>
    <w:rsid w:val="32496328"/>
    <w:rsid w:val="32621481"/>
    <w:rsid w:val="327A2C6E"/>
    <w:rsid w:val="3284589B"/>
    <w:rsid w:val="32A55811"/>
    <w:rsid w:val="32B53CA7"/>
    <w:rsid w:val="32D36001"/>
    <w:rsid w:val="32EB240B"/>
    <w:rsid w:val="32FD73FC"/>
    <w:rsid w:val="332826CA"/>
    <w:rsid w:val="33576B0C"/>
    <w:rsid w:val="33613E2E"/>
    <w:rsid w:val="337068B0"/>
    <w:rsid w:val="337C6572"/>
    <w:rsid w:val="33835B53"/>
    <w:rsid w:val="338D4DAE"/>
    <w:rsid w:val="339E0DDD"/>
    <w:rsid w:val="33A04957"/>
    <w:rsid w:val="33A533F0"/>
    <w:rsid w:val="33AF19FD"/>
    <w:rsid w:val="33B977C6"/>
    <w:rsid w:val="33CF0D98"/>
    <w:rsid w:val="33D4015C"/>
    <w:rsid w:val="33F425AD"/>
    <w:rsid w:val="340B78F6"/>
    <w:rsid w:val="340D7B12"/>
    <w:rsid w:val="341D7D55"/>
    <w:rsid w:val="341E3ACD"/>
    <w:rsid w:val="342F0BF2"/>
    <w:rsid w:val="34311A53"/>
    <w:rsid w:val="34477951"/>
    <w:rsid w:val="344A041F"/>
    <w:rsid w:val="344A48C2"/>
    <w:rsid w:val="348576A9"/>
    <w:rsid w:val="34873421"/>
    <w:rsid w:val="348D4205"/>
    <w:rsid w:val="348F0527"/>
    <w:rsid w:val="349B511E"/>
    <w:rsid w:val="34BD5094"/>
    <w:rsid w:val="34CC3529"/>
    <w:rsid w:val="34E6557C"/>
    <w:rsid w:val="34F8431E"/>
    <w:rsid w:val="34FA0FF4"/>
    <w:rsid w:val="351759D1"/>
    <w:rsid w:val="35245113"/>
    <w:rsid w:val="35380BBF"/>
    <w:rsid w:val="3546508A"/>
    <w:rsid w:val="354C01C6"/>
    <w:rsid w:val="355B7775"/>
    <w:rsid w:val="355C48AD"/>
    <w:rsid w:val="35904557"/>
    <w:rsid w:val="35973B37"/>
    <w:rsid w:val="35B244CD"/>
    <w:rsid w:val="35D97CAC"/>
    <w:rsid w:val="35E328D9"/>
    <w:rsid w:val="35E36D7D"/>
    <w:rsid w:val="35ED3757"/>
    <w:rsid w:val="35F06ACA"/>
    <w:rsid w:val="360D3DFA"/>
    <w:rsid w:val="36211653"/>
    <w:rsid w:val="36455341"/>
    <w:rsid w:val="36486BE0"/>
    <w:rsid w:val="364F61C0"/>
    <w:rsid w:val="36595FB5"/>
    <w:rsid w:val="36625EF3"/>
    <w:rsid w:val="366D6646"/>
    <w:rsid w:val="368B5815"/>
    <w:rsid w:val="36A22794"/>
    <w:rsid w:val="36B64491"/>
    <w:rsid w:val="36B97ADD"/>
    <w:rsid w:val="36BB3856"/>
    <w:rsid w:val="36CA3A99"/>
    <w:rsid w:val="36DF5796"/>
    <w:rsid w:val="36E508D2"/>
    <w:rsid w:val="36FF7BE6"/>
    <w:rsid w:val="37461371"/>
    <w:rsid w:val="374C2700"/>
    <w:rsid w:val="378105FB"/>
    <w:rsid w:val="378123A9"/>
    <w:rsid w:val="37863E63"/>
    <w:rsid w:val="379A346B"/>
    <w:rsid w:val="37AD7642"/>
    <w:rsid w:val="37B95FE7"/>
    <w:rsid w:val="37C4498C"/>
    <w:rsid w:val="37C87FD8"/>
    <w:rsid w:val="37DA5F5D"/>
    <w:rsid w:val="37DC3A83"/>
    <w:rsid w:val="37DE3C9F"/>
    <w:rsid w:val="37E42938"/>
    <w:rsid w:val="37EF1A09"/>
    <w:rsid w:val="37F76B0F"/>
    <w:rsid w:val="38127F66"/>
    <w:rsid w:val="381C6576"/>
    <w:rsid w:val="38303DCF"/>
    <w:rsid w:val="383C1E76"/>
    <w:rsid w:val="3857135C"/>
    <w:rsid w:val="385E26EA"/>
    <w:rsid w:val="38673C95"/>
    <w:rsid w:val="388008B3"/>
    <w:rsid w:val="388D2FD0"/>
    <w:rsid w:val="38966281"/>
    <w:rsid w:val="38986509"/>
    <w:rsid w:val="38AA1DD4"/>
    <w:rsid w:val="38CF5396"/>
    <w:rsid w:val="38D1110E"/>
    <w:rsid w:val="38DB01DF"/>
    <w:rsid w:val="38DB1F8D"/>
    <w:rsid w:val="38EA0422"/>
    <w:rsid w:val="38F0079A"/>
    <w:rsid w:val="390908A8"/>
    <w:rsid w:val="392456E2"/>
    <w:rsid w:val="39331DC9"/>
    <w:rsid w:val="39333B77"/>
    <w:rsid w:val="39373A36"/>
    <w:rsid w:val="394A0EC1"/>
    <w:rsid w:val="394A3684"/>
    <w:rsid w:val="39557F91"/>
    <w:rsid w:val="39610257"/>
    <w:rsid w:val="3971469F"/>
    <w:rsid w:val="39720087"/>
    <w:rsid w:val="398443D3"/>
    <w:rsid w:val="399860D0"/>
    <w:rsid w:val="39AD3929"/>
    <w:rsid w:val="39B822CE"/>
    <w:rsid w:val="39BF18AF"/>
    <w:rsid w:val="39C90037"/>
    <w:rsid w:val="39D864CC"/>
    <w:rsid w:val="3A0A0D7C"/>
    <w:rsid w:val="3A10210A"/>
    <w:rsid w:val="3A1C0AAF"/>
    <w:rsid w:val="3A331955"/>
    <w:rsid w:val="3A3E0A25"/>
    <w:rsid w:val="3A4A1178"/>
    <w:rsid w:val="3A5F30CB"/>
    <w:rsid w:val="3A606BEE"/>
    <w:rsid w:val="3A6D130B"/>
    <w:rsid w:val="3A791A5E"/>
    <w:rsid w:val="3A810912"/>
    <w:rsid w:val="3A824DB6"/>
    <w:rsid w:val="3A9248CD"/>
    <w:rsid w:val="3A96260F"/>
    <w:rsid w:val="3A995C5C"/>
    <w:rsid w:val="3AB42A96"/>
    <w:rsid w:val="3AC476F0"/>
    <w:rsid w:val="3ACC7DDF"/>
    <w:rsid w:val="3ACF3835"/>
    <w:rsid w:val="3AEA64B7"/>
    <w:rsid w:val="3AEE41FA"/>
    <w:rsid w:val="3AEF3ACE"/>
    <w:rsid w:val="3AF31810"/>
    <w:rsid w:val="3B0E587F"/>
    <w:rsid w:val="3B39734D"/>
    <w:rsid w:val="3B424545"/>
    <w:rsid w:val="3B4A2994"/>
    <w:rsid w:val="3B4A51A8"/>
    <w:rsid w:val="3B4F27BE"/>
    <w:rsid w:val="3B567FF1"/>
    <w:rsid w:val="3B6C3370"/>
    <w:rsid w:val="3B800BCA"/>
    <w:rsid w:val="3B822B94"/>
    <w:rsid w:val="3B84690C"/>
    <w:rsid w:val="3B871F58"/>
    <w:rsid w:val="3B8C57C0"/>
    <w:rsid w:val="3B8F17BD"/>
    <w:rsid w:val="3B9528C7"/>
    <w:rsid w:val="3BA7084C"/>
    <w:rsid w:val="3BAE5737"/>
    <w:rsid w:val="3BB1145F"/>
    <w:rsid w:val="3BB15227"/>
    <w:rsid w:val="3BBD597A"/>
    <w:rsid w:val="3BBF5B96"/>
    <w:rsid w:val="3BF33A92"/>
    <w:rsid w:val="3BFF5F92"/>
    <w:rsid w:val="3C05182A"/>
    <w:rsid w:val="3C174336"/>
    <w:rsid w:val="3C2123AD"/>
    <w:rsid w:val="3C2A7E9E"/>
    <w:rsid w:val="3C3420E0"/>
    <w:rsid w:val="3C4426C9"/>
    <w:rsid w:val="3C5462DE"/>
    <w:rsid w:val="3C5A141B"/>
    <w:rsid w:val="3C6A5B02"/>
    <w:rsid w:val="3C8E07FA"/>
    <w:rsid w:val="3C9012E0"/>
    <w:rsid w:val="3C905B82"/>
    <w:rsid w:val="3C917532"/>
    <w:rsid w:val="3C94492D"/>
    <w:rsid w:val="3C94637E"/>
    <w:rsid w:val="3C957F32"/>
    <w:rsid w:val="3C976E9D"/>
    <w:rsid w:val="3C9B215F"/>
    <w:rsid w:val="3CA01523"/>
    <w:rsid w:val="3CA02772"/>
    <w:rsid w:val="3CB054DF"/>
    <w:rsid w:val="3CBF5732"/>
    <w:rsid w:val="3CD45671"/>
    <w:rsid w:val="3CD70CBD"/>
    <w:rsid w:val="3CE37DE1"/>
    <w:rsid w:val="3CE60F00"/>
    <w:rsid w:val="3CEA065D"/>
    <w:rsid w:val="3CF51683"/>
    <w:rsid w:val="3D0A4BEF"/>
    <w:rsid w:val="3D197528"/>
    <w:rsid w:val="3D1D2B74"/>
    <w:rsid w:val="3D4E71D1"/>
    <w:rsid w:val="3D54230E"/>
    <w:rsid w:val="3D581DFE"/>
    <w:rsid w:val="3D593066"/>
    <w:rsid w:val="3D826E7B"/>
    <w:rsid w:val="3DA2556F"/>
    <w:rsid w:val="3DAC3EF8"/>
    <w:rsid w:val="3DCE0312"/>
    <w:rsid w:val="3DD516A1"/>
    <w:rsid w:val="3DDF7E2A"/>
    <w:rsid w:val="3DE24A57"/>
    <w:rsid w:val="3DE43692"/>
    <w:rsid w:val="3DE6565C"/>
    <w:rsid w:val="3DE9514C"/>
    <w:rsid w:val="3DF34DBD"/>
    <w:rsid w:val="3DF80EEB"/>
    <w:rsid w:val="3DFC4E7F"/>
    <w:rsid w:val="3E151A9D"/>
    <w:rsid w:val="3E1B62F3"/>
    <w:rsid w:val="3E203475"/>
    <w:rsid w:val="3E3073B8"/>
    <w:rsid w:val="3E353EED"/>
    <w:rsid w:val="3E3F009D"/>
    <w:rsid w:val="3E502AD5"/>
    <w:rsid w:val="3E5720B6"/>
    <w:rsid w:val="3E7964D0"/>
    <w:rsid w:val="3E7C38CA"/>
    <w:rsid w:val="3E865849"/>
    <w:rsid w:val="3E8E35FE"/>
    <w:rsid w:val="3EA206BB"/>
    <w:rsid w:val="3EC55271"/>
    <w:rsid w:val="3ED454B4"/>
    <w:rsid w:val="3ED509C0"/>
    <w:rsid w:val="3ED96F6F"/>
    <w:rsid w:val="3EDE27D7"/>
    <w:rsid w:val="3EF1250A"/>
    <w:rsid w:val="3F0C10F2"/>
    <w:rsid w:val="3F23643C"/>
    <w:rsid w:val="3F2A5A1C"/>
    <w:rsid w:val="3F2A77CA"/>
    <w:rsid w:val="3F450160"/>
    <w:rsid w:val="3F4C7741"/>
    <w:rsid w:val="3F6A7BC7"/>
    <w:rsid w:val="3F8E7D59"/>
    <w:rsid w:val="3F9609BC"/>
    <w:rsid w:val="3FA4132B"/>
    <w:rsid w:val="3FAF1A7E"/>
    <w:rsid w:val="3FBD419A"/>
    <w:rsid w:val="3FCC6AD3"/>
    <w:rsid w:val="3FE5028A"/>
    <w:rsid w:val="3FF43934"/>
    <w:rsid w:val="4005624C"/>
    <w:rsid w:val="40077B0C"/>
    <w:rsid w:val="400A1B94"/>
    <w:rsid w:val="402266F3"/>
    <w:rsid w:val="4024246B"/>
    <w:rsid w:val="402661E4"/>
    <w:rsid w:val="402E048B"/>
    <w:rsid w:val="40307062"/>
    <w:rsid w:val="4050500F"/>
    <w:rsid w:val="40547A6C"/>
    <w:rsid w:val="40702EC8"/>
    <w:rsid w:val="40714F85"/>
    <w:rsid w:val="407451A1"/>
    <w:rsid w:val="40C4079D"/>
    <w:rsid w:val="40C63523"/>
    <w:rsid w:val="40E63BC5"/>
    <w:rsid w:val="410D1152"/>
    <w:rsid w:val="410F7001"/>
    <w:rsid w:val="411F5E68"/>
    <w:rsid w:val="41210759"/>
    <w:rsid w:val="41411495"/>
    <w:rsid w:val="414508EB"/>
    <w:rsid w:val="41483F38"/>
    <w:rsid w:val="41790595"/>
    <w:rsid w:val="41935E4C"/>
    <w:rsid w:val="41990C37"/>
    <w:rsid w:val="41A73354"/>
    <w:rsid w:val="41F145CF"/>
    <w:rsid w:val="41F31166"/>
    <w:rsid w:val="42312C1E"/>
    <w:rsid w:val="423A7D24"/>
    <w:rsid w:val="424566C9"/>
    <w:rsid w:val="42537038"/>
    <w:rsid w:val="42723962"/>
    <w:rsid w:val="427D5E63"/>
    <w:rsid w:val="428E62C2"/>
    <w:rsid w:val="42C341BE"/>
    <w:rsid w:val="42C83582"/>
    <w:rsid w:val="42CD6DEA"/>
    <w:rsid w:val="42DC0DDB"/>
    <w:rsid w:val="42DE2DA6"/>
    <w:rsid w:val="42EA636C"/>
    <w:rsid w:val="42F0076D"/>
    <w:rsid w:val="42F32FC4"/>
    <w:rsid w:val="42F500EF"/>
    <w:rsid w:val="430D5439"/>
    <w:rsid w:val="431467C7"/>
    <w:rsid w:val="43186DC9"/>
    <w:rsid w:val="431C1B20"/>
    <w:rsid w:val="43212240"/>
    <w:rsid w:val="4323183B"/>
    <w:rsid w:val="432D1637"/>
    <w:rsid w:val="43413334"/>
    <w:rsid w:val="436314FD"/>
    <w:rsid w:val="436F7EA2"/>
    <w:rsid w:val="437D3970"/>
    <w:rsid w:val="43803E10"/>
    <w:rsid w:val="43822E12"/>
    <w:rsid w:val="43866F99"/>
    <w:rsid w:val="439F5D61"/>
    <w:rsid w:val="43A80FC5"/>
    <w:rsid w:val="43B43B06"/>
    <w:rsid w:val="43E75C8A"/>
    <w:rsid w:val="440A7BCA"/>
    <w:rsid w:val="44150A49"/>
    <w:rsid w:val="44151FF9"/>
    <w:rsid w:val="44444E8A"/>
    <w:rsid w:val="444A6219"/>
    <w:rsid w:val="445350CD"/>
    <w:rsid w:val="445A46AE"/>
    <w:rsid w:val="4469669F"/>
    <w:rsid w:val="446C618F"/>
    <w:rsid w:val="44765756"/>
    <w:rsid w:val="449833E9"/>
    <w:rsid w:val="44A771C7"/>
    <w:rsid w:val="44A91191"/>
    <w:rsid w:val="44C22253"/>
    <w:rsid w:val="44C85ABB"/>
    <w:rsid w:val="44E421C9"/>
    <w:rsid w:val="44E623E5"/>
    <w:rsid w:val="45034D45"/>
    <w:rsid w:val="450D1720"/>
    <w:rsid w:val="452125AC"/>
    <w:rsid w:val="454A4722"/>
    <w:rsid w:val="455A248C"/>
    <w:rsid w:val="457277D5"/>
    <w:rsid w:val="45A325D1"/>
    <w:rsid w:val="45A35BE1"/>
    <w:rsid w:val="45A81449"/>
    <w:rsid w:val="45A858ED"/>
    <w:rsid w:val="45D71D2E"/>
    <w:rsid w:val="45D73ADC"/>
    <w:rsid w:val="45F4468E"/>
    <w:rsid w:val="460E3174"/>
    <w:rsid w:val="46340F2E"/>
    <w:rsid w:val="46396545"/>
    <w:rsid w:val="46535859"/>
    <w:rsid w:val="4654337F"/>
    <w:rsid w:val="46623CEE"/>
    <w:rsid w:val="46731A57"/>
    <w:rsid w:val="46893028"/>
    <w:rsid w:val="468C0D6B"/>
    <w:rsid w:val="4696559F"/>
    <w:rsid w:val="469F45FA"/>
    <w:rsid w:val="46A63BDA"/>
    <w:rsid w:val="46B300A5"/>
    <w:rsid w:val="46C027C2"/>
    <w:rsid w:val="46C44060"/>
    <w:rsid w:val="46D149CF"/>
    <w:rsid w:val="46D85D5E"/>
    <w:rsid w:val="46EB3CE3"/>
    <w:rsid w:val="46F012F9"/>
    <w:rsid w:val="46F30DEA"/>
    <w:rsid w:val="46F81F5C"/>
    <w:rsid w:val="4703102D"/>
    <w:rsid w:val="471843AC"/>
    <w:rsid w:val="47213261"/>
    <w:rsid w:val="472B04E0"/>
    <w:rsid w:val="473016F6"/>
    <w:rsid w:val="473311E6"/>
    <w:rsid w:val="473867FC"/>
    <w:rsid w:val="475C24EB"/>
    <w:rsid w:val="47774056"/>
    <w:rsid w:val="47877D56"/>
    <w:rsid w:val="47AD0F98"/>
    <w:rsid w:val="47BC742D"/>
    <w:rsid w:val="47C307BC"/>
    <w:rsid w:val="47CF7161"/>
    <w:rsid w:val="47D66741"/>
    <w:rsid w:val="47D74611"/>
    <w:rsid w:val="47ED1B79"/>
    <w:rsid w:val="48051D9C"/>
    <w:rsid w:val="481132D5"/>
    <w:rsid w:val="481E59F2"/>
    <w:rsid w:val="48297EBD"/>
    <w:rsid w:val="48376AB4"/>
    <w:rsid w:val="483B47F6"/>
    <w:rsid w:val="48474F49"/>
    <w:rsid w:val="486147E8"/>
    <w:rsid w:val="48677399"/>
    <w:rsid w:val="487877F8"/>
    <w:rsid w:val="488713AC"/>
    <w:rsid w:val="48A47D51"/>
    <w:rsid w:val="48A56114"/>
    <w:rsid w:val="48A979B2"/>
    <w:rsid w:val="48AE4FC8"/>
    <w:rsid w:val="48E94252"/>
    <w:rsid w:val="48FC3F85"/>
    <w:rsid w:val="490270C2"/>
    <w:rsid w:val="49044BE8"/>
    <w:rsid w:val="49172B6D"/>
    <w:rsid w:val="491F7C74"/>
    <w:rsid w:val="4921579A"/>
    <w:rsid w:val="49262DB0"/>
    <w:rsid w:val="492C413F"/>
    <w:rsid w:val="4944382A"/>
    <w:rsid w:val="49462806"/>
    <w:rsid w:val="495D254A"/>
    <w:rsid w:val="497C34B7"/>
    <w:rsid w:val="49D2118A"/>
    <w:rsid w:val="49D22F38"/>
    <w:rsid w:val="49FE0262"/>
    <w:rsid w:val="4A02381D"/>
    <w:rsid w:val="4A162E25"/>
    <w:rsid w:val="4A1C2405"/>
    <w:rsid w:val="4A383387"/>
    <w:rsid w:val="4A3E05CE"/>
    <w:rsid w:val="4A4900AA"/>
    <w:rsid w:val="4A581AD8"/>
    <w:rsid w:val="4A5E47CC"/>
    <w:rsid w:val="4A633B90"/>
    <w:rsid w:val="4A6A3171"/>
    <w:rsid w:val="4A7933B4"/>
    <w:rsid w:val="4A875AD1"/>
    <w:rsid w:val="4A8F2BD7"/>
    <w:rsid w:val="4AA04DE4"/>
    <w:rsid w:val="4AB663B6"/>
    <w:rsid w:val="4AF173EE"/>
    <w:rsid w:val="4B0C4228"/>
    <w:rsid w:val="4B1A6945"/>
    <w:rsid w:val="4B2477C4"/>
    <w:rsid w:val="4B2D29F5"/>
    <w:rsid w:val="4B3043BA"/>
    <w:rsid w:val="4B4B2FA2"/>
    <w:rsid w:val="4B6127C6"/>
    <w:rsid w:val="4B64659B"/>
    <w:rsid w:val="4B7324F9"/>
    <w:rsid w:val="4B7A5635"/>
    <w:rsid w:val="4B7D0C82"/>
    <w:rsid w:val="4B8E2DC1"/>
    <w:rsid w:val="4BBD1469"/>
    <w:rsid w:val="4BD016F9"/>
    <w:rsid w:val="4BD411EA"/>
    <w:rsid w:val="4BD44D46"/>
    <w:rsid w:val="4BE40D01"/>
    <w:rsid w:val="4BFE6267"/>
    <w:rsid w:val="4C043151"/>
    <w:rsid w:val="4C053930"/>
    <w:rsid w:val="4C541CB4"/>
    <w:rsid w:val="4C650094"/>
    <w:rsid w:val="4C7151DA"/>
    <w:rsid w:val="4C7E1155"/>
    <w:rsid w:val="4C886443"/>
    <w:rsid w:val="4C8C3872"/>
    <w:rsid w:val="4C8E0D6B"/>
    <w:rsid w:val="4CA566E2"/>
    <w:rsid w:val="4CBA03DF"/>
    <w:rsid w:val="4CC254E6"/>
    <w:rsid w:val="4CC50B32"/>
    <w:rsid w:val="4CCF375F"/>
    <w:rsid w:val="4CD55219"/>
    <w:rsid w:val="4CE70AA9"/>
    <w:rsid w:val="4CEA0599"/>
    <w:rsid w:val="4CEE0089"/>
    <w:rsid w:val="4CF51418"/>
    <w:rsid w:val="4CF60CEC"/>
    <w:rsid w:val="4CFA4C80"/>
    <w:rsid w:val="4D2C0BB1"/>
    <w:rsid w:val="4D502AF2"/>
    <w:rsid w:val="4D693BB4"/>
    <w:rsid w:val="4D73058E"/>
    <w:rsid w:val="4D7367E0"/>
    <w:rsid w:val="4D8207D1"/>
    <w:rsid w:val="4D826A23"/>
    <w:rsid w:val="4D942E5A"/>
    <w:rsid w:val="4DAA0150"/>
    <w:rsid w:val="4DBA7F6B"/>
    <w:rsid w:val="4DBE3EFF"/>
    <w:rsid w:val="4DC6145E"/>
    <w:rsid w:val="4DC93363"/>
    <w:rsid w:val="4DE13ABD"/>
    <w:rsid w:val="4DF25957"/>
    <w:rsid w:val="4E037B64"/>
    <w:rsid w:val="4E3D4626"/>
    <w:rsid w:val="4E481A1B"/>
    <w:rsid w:val="4E4C36D5"/>
    <w:rsid w:val="4E4D7031"/>
    <w:rsid w:val="4E661EA1"/>
    <w:rsid w:val="4E685C19"/>
    <w:rsid w:val="4E796078"/>
    <w:rsid w:val="4E7D7917"/>
    <w:rsid w:val="4E922C96"/>
    <w:rsid w:val="4E9E788D"/>
    <w:rsid w:val="4EA2112B"/>
    <w:rsid w:val="4EB1136E"/>
    <w:rsid w:val="4EB86BA1"/>
    <w:rsid w:val="4ED27537"/>
    <w:rsid w:val="4ED96B17"/>
    <w:rsid w:val="4EDE412D"/>
    <w:rsid w:val="4EEA0D24"/>
    <w:rsid w:val="4EEA4880"/>
    <w:rsid w:val="4EF21788"/>
    <w:rsid w:val="4EF61477"/>
    <w:rsid w:val="4F073684"/>
    <w:rsid w:val="4F10078B"/>
    <w:rsid w:val="4F343521"/>
    <w:rsid w:val="4F351F9F"/>
    <w:rsid w:val="4F4641AC"/>
    <w:rsid w:val="4F51098A"/>
    <w:rsid w:val="4F583EE0"/>
    <w:rsid w:val="4F5E1F3A"/>
    <w:rsid w:val="4F6463E1"/>
    <w:rsid w:val="4F895E47"/>
    <w:rsid w:val="4FB31116"/>
    <w:rsid w:val="4FBA6948"/>
    <w:rsid w:val="4FC13833"/>
    <w:rsid w:val="4FC926E8"/>
    <w:rsid w:val="4FD35314"/>
    <w:rsid w:val="4FDC68BF"/>
    <w:rsid w:val="4FDD43E5"/>
    <w:rsid w:val="4FFC7032"/>
    <w:rsid w:val="50016325"/>
    <w:rsid w:val="500304DD"/>
    <w:rsid w:val="50146059"/>
    <w:rsid w:val="501778F7"/>
    <w:rsid w:val="50242014"/>
    <w:rsid w:val="5032028D"/>
    <w:rsid w:val="504D50C7"/>
    <w:rsid w:val="504F0E3F"/>
    <w:rsid w:val="50903205"/>
    <w:rsid w:val="509B22D6"/>
    <w:rsid w:val="50B138A7"/>
    <w:rsid w:val="50C820FD"/>
    <w:rsid w:val="50DF67A8"/>
    <w:rsid w:val="50EA282F"/>
    <w:rsid w:val="50F26DA7"/>
    <w:rsid w:val="50F96FFC"/>
    <w:rsid w:val="50FD59A5"/>
    <w:rsid w:val="51281690"/>
    <w:rsid w:val="51453FF0"/>
    <w:rsid w:val="5153495F"/>
    <w:rsid w:val="518A40F8"/>
    <w:rsid w:val="51A53389"/>
    <w:rsid w:val="51A74CAA"/>
    <w:rsid w:val="51A76A58"/>
    <w:rsid w:val="51A90A23"/>
    <w:rsid w:val="51AE428B"/>
    <w:rsid w:val="51C13FBE"/>
    <w:rsid w:val="51C413B8"/>
    <w:rsid w:val="51CF5B1D"/>
    <w:rsid w:val="51D610EC"/>
    <w:rsid w:val="51D659A7"/>
    <w:rsid w:val="51E1640E"/>
    <w:rsid w:val="51FD2B1C"/>
    <w:rsid w:val="51FF0643"/>
    <w:rsid w:val="520619D1"/>
    <w:rsid w:val="52157E66"/>
    <w:rsid w:val="522B1438"/>
    <w:rsid w:val="522D1654"/>
    <w:rsid w:val="523E560F"/>
    <w:rsid w:val="523F3135"/>
    <w:rsid w:val="524A3FB4"/>
    <w:rsid w:val="525F49CC"/>
    <w:rsid w:val="52831457"/>
    <w:rsid w:val="52C8312A"/>
    <w:rsid w:val="52CC2C1B"/>
    <w:rsid w:val="52F67C97"/>
    <w:rsid w:val="530F0D59"/>
    <w:rsid w:val="531D3476"/>
    <w:rsid w:val="532C36B9"/>
    <w:rsid w:val="535E75EB"/>
    <w:rsid w:val="53686C75"/>
    <w:rsid w:val="537E4378"/>
    <w:rsid w:val="5388132B"/>
    <w:rsid w:val="53890B0C"/>
    <w:rsid w:val="538B6566"/>
    <w:rsid w:val="539B2A9E"/>
    <w:rsid w:val="53A476F3"/>
    <w:rsid w:val="53A5346C"/>
    <w:rsid w:val="53B37937"/>
    <w:rsid w:val="53BA0CC5"/>
    <w:rsid w:val="53BF452D"/>
    <w:rsid w:val="53C30050"/>
    <w:rsid w:val="540208BE"/>
    <w:rsid w:val="541008E5"/>
    <w:rsid w:val="543D26D3"/>
    <w:rsid w:val="543D5452"/>
    <w:rsid w:val="54491CB5"/>
    <w:rsid w:val="54493DF7"/>
    <w:rsid w:val="54686973"/>
    <w:rsid w:val="54815C87"/>
    <w:rsid w:val="54A43723"/>
    <w:rsid w:val="54BA6E91"/>
    <w:rsid w:val="54CF254E"/>
    <w:rsid w:val="55006BAB"/>
    <w:rsid w:val="55043DDE"/>
    <w:rsid w:val="551B5793"/>
    <w:rsid w:val="5527238A"/>
    <w:rsid w:val="55287EB0"/>
    <w:rsid w:val="552F7491"/>
    <w:rsid w:val="553063A6"/>
    <w:rsid w:val="55320D2F"/>
    <w:rsid w:val="553E26F4"/>
    <w:rsid w:val="5540169E"/>
    <w:rsid w:val="55514FE5"/>
    <w:rsid w:val="55611AFF"/>
    <w:rsid w:val="55646DD0"/>
    <w:rsid w:val="55652EB2"/>
    <w:rsid w:val="556829A3"/>
    <w:rsid w:val="557D01FC"/>
    <w:rsid w:val="55823A64"/>
    <w:rsid w:val="558C0229"/>
    <w:rsid w:val="55983288"/>
    <w:rsid w:val="55AA6B17"/>
    <w:rsid w:val="55B61960"/>
    <w:rsid w:val="55B73D7B"/>
    <w:rsid w:val="55BB2AD2"/>
    <w:rsid w:val="55C45E2B"/>
    <w:rsid w:val="56062295"/>
    <w:rsid w:val="561072C2"/>
    <w:rsid w:val="5613290E"/>
    <w:rsid w:val="561A5A4B"/>
    <w:rsid w:val="562C1C22"/>
    <w:rsid w:val="563034C0"/>
    <w:rsid w:val="563A7E9B"/>
    <w:rsid w:val="56430B00"/>
    <w:rsid w:val="56682C5A"/>
    <w:rsid w:val="56757125"/>
    <w:rsid w:val="569C0B56"/>
    <w:rsid w:val="56E2583C"/>
    <w:rsid w:val="56E9366F"/>
    <w:rsid w:val="56F95FA8"/>
    <w:rsid w:val="56FA587C"/>
    <w:rsid w:val="571132F2"/>
    <w:rsid w:val="5719022B"/>
    <w:rsid w:val="572F3778"/>
    <w:rsid w:val="57430FD1"/>
    <w:rsid w:val="5748483A"/>
    <w:rsid w:val="574865E8"/>
    <w:rsid w:val="575136EE"/>
    <w:rsid w:val="575E6334"/>
    <w:rsid w:val="576A2A02"/>
    <w:rsid w:val="57763155"/>
    <w:rsid w:val="5789732C"/>
    <w:rsid w:val="579335C9"/>
    <w:rsid w:val="57B43C7D"/>
    <w:rsid w:val="57DE6F4C"/>
    <w:rsid w:val="57E427B4"/>
    <w:rsid w:val="57EA58F1"/>
    <w:rsid w:val="581A61D6"/>
    <w:rsid w:val="582C415B"/>
    <w:rsid w:val="583354EA"/>
    <w:rsid w:val="584A6390"/>
    <w:rsid w:val="585039A6"/>
    <w:rsid w:val="586E6522"/>
    <w:rsid w:val="58913FBE"/>
    <w:rsid w:val="58A324C8"/>
    <w:rsid w:val="58A67A6A"/>
    <w:rsid w:val="58BA3515"/>
    <w:rsid w:val="58C85C32"/>
    <w:rsid w:val="58DC16DE"/>
    <w:rsid w:val="58DD312F"/>
    <w:rsid w:val="58DE5456"/>
    <w:rsid w:val="58E862D4"/>
    <w:rsid w:val="58EB7B73"/>
    <w:rsid w:val="58F9403E"/>
    <w:rsid w:val="5900361E"/>
    <w:rsid w:val="59022097"/>
    <w:rsid w:val="59097FF9"/>
    <w:rsid w:val="59101387"/>
    <w:rsid w:val="59154BEF"/>
    <w:rsid w:val="59441031"/>
    <w:rsid w:val="595D781C"/>
    <w:rsid w:val="59640539"/>
    <w:rsid w:val="596C0CB3"/>
    <w:rsid w:val="59725B9E"/>
    <w:rsid w:val="5987754C"/>
    <w:rsid w:val="599C2C1B"/>
    <w:rsid w:val="59A0095D"/>
    <w:rsid w:val="59BC506B"/>
    <w:rsid w:val="59BD32BD"/>
    <w:rsid w:val="59C83A10"/>
    <w:rsid w:val="59CD1026"/>
    <w:rsid w:val="59CF1242"/>
    <w:rsid w:val="59D14FBA"/>
    <w:rsid w:val="59E52814"/>
    <w:rsid w:val="5A025174"/>
    <w:rsid w:val="5A096502"/>
    <w:rsid w:val="5A0A227A"/>
    <w:rsid w:val="5A2A0227"/>
    <w:rsid w:val="5A2C0443"/>
    <w:rsid w:val="5A3B2434"/>
    <w:rsid w:val="5A4E2167"/>
    <w:rsid w:val="5A7140A7"/>
    <w:rsid w:val="5A753B98"/>
    <w:rsid w:val="5A755BEA"/>
    <w:rsid w:val="5A8B6F17"/>
    <w:rsid w:val="5A90452E"/>
    <w:rsid w:val="5A9F29C3"/>
    <w:rsid w:val="5AA224B3"/>
    <w:rsid w:val="5AA601F5"/>
    <w:rsid w:val="5AB8011C"/>
    <w:rsid w:val="5AC14616"/>
    <w:rsid w:val="5B0171D9"/>
    <w:rsid w:val="5B084A0C"/>
    <w:rsid w:val="5B10566E"/>
    <w:rsid w:val="5B2829B8"/>
    <w:rsid w:val="5B36437D"/>
    <w:rsid w:val="5B445318"/>
    <w:rsid w:val="5B4B2B4A"/>
    <w:rsid w:val="5B5E462C"/>
    <w:rsid w:val="5B60733C"/>
    <w:rsid w:val="5B6D0D13"/>
    <w:rsid w:val="5B90055D"/>
    <w:rsid w:val="5B9B13DC"/>
    <w:rsid w:val="5B9C5154"/>
    <w:rsid w:val="5BC528FD"/>
    <w:rsid w:val="5BD3501A"/>
    <w:rsid w:val="5BD7618C"/>
    <w:rsid w:val="5BD91F04"/>
    <w:rsid w:val="5BDB3ECE"/>
    <w:rsid w:val="5BE2700B"/>
    <w:rsid w:val="5BFC5BF3"/>
    <w:rsid w:val="5BFD3E45"/>
    <w:rsid w:val="5C003935"/>
    <w:rsid w:val="5C0171DF"/>
    <w:rsid w:val="5C2018E1"/>
    <w:rsid w:val="5C294C3A"/>
    <w:rsid w:val="5C3830CF"/>
    <w:rsid w:val="5C4C6B7A"/>
    <w:rsid w:val="5C5F065B"/>
    <w:rsid w:val="5C7F2AAC"/>
    <w:rsid w:val="5C8A1451"/>
    <w:rsid w:val="5C963276"/>
    <w:rsid w:val="5CA442C0"/>
    <w:rsid w:val="5CAC7619"/>
    <w:rsid w:val="5CB564CD"/>
    <w:rsid w:val="5CB639C4"/>
    <w:rsid w:val="5CC26E3C"/>
    <w:rsid w:val="5CC86D4E"/>
    <w:rsid w:val="5CF3349A"/>
    <w:rsid w:val="5D0C00B7"/>
    <w:rsid w:val="5D0E547A"/>
    <w:rsid w:val="5D101956"/>
    <w:rsid w:val="5D215911"/>
    <w:rsid w:val="5D3C274B"/>
    <w:rsid w:val="5D3F223B"/>
    <w:rsid w:val="5D4D6706"/>
    <w:rsid w:val="5D5F28DD"/>
    <w:rsid w:val="5D6F7530"/>
    <w:rsid w:val="5D964551"/>
    <w:rsid w:val="5DAB167E"/>
    <w:rsid w:val="5DAE78AC"/>
    <w:rsid w:val="5DC80482"/>
    <w:rsid w:val="5DCA41FA"/>
    <w:rsid w:val="5DCB3ACF"/>
    <w:rsid w:val="5DCF1811"/>
    <w:rsid w:val="5E023F44"/>
    <w:rsid w:val="5E082F75"/>
    <w:rsid w:val="5E196F30"/>
    <w:rsid w:val="5E36363E"/>
    <w:rsid w:val="5E4C2E61"/>
    <w:rsid w:val="5E766130"/>
    <w:rsid w:val="5E82439A"/>
    <w:rsid w:val="5E835B32"/>
    <w:rsid w:val="5E8C0345"/>
    <w:rsid w:val="5E8F0FA0"/>
    <w:rsid w:val="5E914D18"/>
    <w:rsid w:val="5E930A90"/>
    <w:rsid w:val="5EA26F25"/>
    <w:rsid w:val="5EC7698C"/>
    <w:rsid w:val="5EC925A8"/>
    <w:rsid w:val="5EDE292E"/>
    <w:rsid w:val="5EE02561"/>
    <w:rsid w:val="5F042D31"/>
    <w:rsid w:val="5F113DDB"/>
    <w:rsid w:val="5F265461"/>
    <w:rsid w:val="5F3062DF"/>
    <w:rsid w:val="5F526256"/>
    <w:rsid w:val="5F557AF4"/>
    <w:rsid w:val="5F5875E4"/>
    <w:rsid w:val="5F6B11CF"/>
    <w:rsid w:val="5F772160"/>
    <w:rsid w:val="5F93061C"/>
    <w:rsid w:val="5FA32F55"/>
    <w:rsid w:val="5FB32A6C"/>
    <w:rsid w:val="5FC5111D"/>
    <w:rsid w:val="600A4D82"/>
    <w:rsid w:val="601C6864"/>
    <w:rsid w:val="60253286"/>
    <w:rsid w:val="602B56C4"/>
    <w:rsid w:val="604007A4"/>
    <w:rsid w:val="60405398"/>
    <w:rsid w:val="604A33D1"/>
    <w:rsid w:val="606E3563"/>
    <w:rsid w:val="608C5797"/>
    <w:rsid w:val="60932FCA"/>
    <w:rsid w:val="609B1E7E"/>
    <w:rsid w:val="60B116A2"/>
    <w:rsid w:val="60B847DE"/>
    <w:rsid w:val="60CC028A"/>
    <w:rsid w:val="60D37589"/>
    <w:rsid w:val="60D91043"/>
    <w:rsid w:val="60F168B2"/>
    <w:rsid w:val="60F45C26"/>
    <w:rsid w:val="60FF1A5F"/>
    <w:rsid w:val="610D49BE"/>
    <w:rsid w:val="61131A15"/>
    <w:rsid w:val="61167757"/>
    <w:rsid w:val="613307BE"/>
    <w:rsid w:val="61497B2C"/>
    <w:rsid w:val="614B5652"/>
    <w:rsid w:val="616109D2"/>
    <w:rsid w:val="61684637"/>
    <w:rsid w:val="616E30EF"/>
    <w:rsid w:val="61972646"/>
    <w:rsid w:val="61B01959"/>
    <w:rsid w:val="61BE5E24"/>
    <w:rsid w:val="61F335F4"/>
    <w:rsid w:val="62285994"/>
    <w:rsid w:val="623600B0"/>
    <w:rsid w:val="6256605D"/>
    <w:rsid w:val="62683FE2"/>
    <w:rsid w:val="627110E9"/>
    <w:rsid w:val="6271733B"/>
    <w:rsid w:val="62740BD9"/>
    <w:rsid w:val="62797F9D"/>
    <w:rsid w:val="6280132C"/>
    <w:rsid w:val="628D3A49"/>
    <w:rsid w:val="62A52B40"/>
    <w:rsid w:val="62E319F2"/>
    <w:rsid w:val="62EE098B"/>
    <w:rsid w:val="62F13FD7"/>
    <w:rsid w:val="6329551F"/>
    <w:rsid w:val="633640E0"/>
    <w:rsid w:val="634A1EF3"/>
    <w:rsid w:val="63660521"/>
    <w:rsid w:val="6367429A"/>
    <w:rsid w:val="636C7B02"/>
    <w:rsid w:val="636E387A"/>
    <w:rsid w:val="6377272F"/>
    <w:rsid w:val="637F01D0"/>
    <w:rsid w:val="638E5CCA"/>
    <w:rsid w:val="63A23524"/>
    <w:rsid w:val="63BF7C32"/>
    <w:rsid w:val="63C14FF6"/>
    <w:rsid w:val="63DF6B94"/>
    <w:rsid w:val="63DF7580"/>
    <w:rsid w:val="63ED29F1"/>
    <w:rsid w:val="63FF44D2"/>
    <w:rsid w:val="640D4E41"/>
    <w:rsid w:val="6425634C"/>
    <w:rsid w:val="64281C7B"/>
    <w:rsid w:val="643C1282"/>
    <w:rsid w:val="643E149E"/>
    <w:rsid w:val="64406FC4"/>
    <w:rsid w:val="64517AF8"/>
    <w:rsid w:val="646217C6"/>
    <w:rsid w:val="649E018F"/>
    <w:rsid w:val="64A05CB5"/>
    <w:rsid w:val="64A532CB"/>
    <w:rsid w:val="64AD03D2"/>
    <w:rsid w:val="64B11C70"/>
    <w:rsid w:val="64B85A8B"/>
    <w:rsid w:val="64B966F4"/>
    <w:rsid w:val="64C00105"/>
    <w:rsid w:val="64C41964"/>
    <w:rsid w:val="64CC2606"/>
    <w:rsid w:val="64D70FAB"/>
    <w:rsid w:val="64FE7AA7"/>
    <w:rsid w:val="65130235"/>
    <w:rsid w:val="654B3E73"/>
    <w:rsid w:val="6587477F"/>
    <w:rsid w:val="65896749"/>
    <w:rsid w:val="65A96DEB"/>
    <w:rsid w:val="65AE7F2C"/>
    <w:rsid w:val="65BA6903"/>
    <w:rsid w:val="65CF03A3"/>
    <w:rsid w:val="65D200F0"/>
    <w:rsid w:val="65E322FD"/>
    <w:rsid w:val="65F31E15"/>
    <w:rsid w:val="6618187B"/>
    <w:rsid w:val="662326FA"/>
    <w:rsid w:val="6637440E"/>
    <w:rsid w:val="663A5C95"/>
    <w:rsid w:val="66432D9C"/>
    <w:rsid w:val="666351EC"/>
    <w:rsid w:val="6667398D"/>
    <w:rsid w:val="666B22F3"/>
    <w:rsid w:val="667271DD"/>
    <w:rsid w:val="6679056C"/>
    <w:rsid w:val="667B2536"/>
    <w:rsid w:val="669453A6"/>
    <w:rsid w:val="66953BA1"/>
    <w:rsid w:val="669E4476"/>
    <w:rsid w:val="66B617C0"/>
    <w:rsid w:val="66D460EA"/>
    <w:rsid w:val="66E31E89"/>
    <w:rsid w:val="671464E6"/>
    <w:rsid w:val="671A5B7D"/>
    <w:rsid w:val="672524A2"/>
    <w:rsid w:val="672F50CE"/>
    <w:rsid w:val="673646AF"/>
    <w:rsid w:val="67564D51"/>
    <w:rsid w:val="675B5EC3"/>
    <w:rsid w:val="676C1E7F"/>
    <w:rsid w:val="678D4BD4"/>
    <w:rsid w:val="679715F1"/>
    <w:rsid w:val="67B37AAD"/>
    <w:rsid w:val="67BF6452"/>
    <w:rsid w:val="67C577E1"/>
    <w:rsid w:val="67D619EE"/>
    <w:rsid w:val="67E70D23"/>
    <w:rsid w:val="67E91721"/>
    <w:rsid w:val="680B5B3B"/>
    <w:rsid w:val="68182006"/>
    <w:rsid w:val="6864524C"/>
    <w:rsid w:val="68684D3C"/>
    <w:rsid w:val="68694610"/>
    <w:rsid w:val="688B4586"/>
    <w:rsid w:val="689A2A1B"/>
    <w:rsid w:val="689B6EBF"/>
    <w:rsid w:val="689F0032"/>
    <w:rsid w:val="68AB2E7A"/>
    <w:rsid w:val="68B7181F"/>
    <w:rsid w:val="68B72ABD"/>
    <w:rsid w:val="68D0643D"/>
    <w:rsid w:val="68F26FBC"/>
    <w:rsid w:val="69230C63"/>
    <w:rsid w:val="692A1FF1"/>
    <w:rsid w:val="693370F8"/>
    <w:rsid w:val="693D7722"/>
    <w:rsid w:val="693E3CEF"/>
    <w:rsid w:val="69450BD9"/>
    <w:rsid w:val="69513A22"/>
    <w:rsid w:val="69544019"/>
    <w:rsid w:val="696B5258"/>
    <w:rsid w:val="697B45FB"/>
    <w:rsid w:val="69823BDB"/>
    <w:rsid w:val="69B61AD7"/>
    <w:rsid w:val="69CE6E20"/>
    <w:rsid w:val="69CF4A43"/>
    <w:rsid w:val="69E5416A"/>
    <w:rsid w:val="69EC54F9"/>
    <w:rsid w:val="69F95045"/>
    <w:rsid w:val="6A001E8D"/>
    <w:rsid w:val="6A2151A2"/>
    <w:rsid w:val="6A2829D5"/>
    <w:rsid w:val="6A2B7DCF"/>
    <w:rsid w:val="6A372C18"/>
    <w:rsid w:val="6A6257BB"/>
    <w:rsid w:val="6A696B49"/>
    <w:rsid w:val="6A913C31"/>
    <w:rsid w:val="6AB57FE0"/>
    <w:rsid w:val="6ABA55F7"/>
    <w:rsid w:val="6ABF49BB"/>
    <w:rsid w:val="6AC36259"/>
    <w:rsid w:val="6ACF2E50"/>
    <w:rsid w:val="6ADC37BF"/>
    <w:rsid w:val="6AF26B3F"/>
    <w:rsid w:val="6AF7274E"/>
    <w:rsid w:val="6B00125C"/>
    <w:rsid w:val="6B030D4C"/>
    <w:rsid w:val="6B264A3A"/>
    <w:rsid w:val="6B2A452A"/>
    <w:rsid w:val="6B2C2051"/>
    <w:rsid w:val="6B4849B1"/>
    <w:rsid w:val="6B4A24D7"/>
    <w:rsid w:val="6B6C069F"/>
    <w:rsid w:val="6B797260"/>
    <w:rsid w:val="6B8754D9"/>
    <w:rsid w:val="6B881BB6"/>
    <w:rsid w:val="6BA53BB1"/>
    <w:rsid w:val="6BAA7419"/>
    <w:rsid w:val="6BAF67DE"/>
    <w:rsid w:val="6BE82B02"/>
    <w:rsid w:val="6C354F35"/>
    <w:rsid w:val="6C423AF6"/>
    <w:rsid w:val="6C44161C"/>
    <w:rsid w:val="6C474C68"/>
    <w:rsid w:val="6C5A467B"/>
    <w:rsid w:val="6C6121CE"/>
    <w:rsid w:val="6C67530A"/>
    <w:rsid w:val="6C7227EB"/>
    <w:rsid w:val="6C7C0DB6"/>
    <w:rsid w:val="6C90660F"/>
    <w:rsid w:val="6C9F6852"/>
    <w:rsid w:val="6CAB51F7"/>
    <w:rsid w:val="6CAD5413"/>
    <w:rsid w:val="6CB30550"/>
    <w:rsid w:val="6CB56076"/>
    <w:rsid w:val="6CC664D5"/>
    <w:rsid w:val="6CD7699C"/>
    <w:rsid w:val="6CED1CB3"/>
    <w:rsid w:val="6CF941B4"/>
    <w:rsid w:val="6CFE7A1D"/>
    <w:rsid w:val="6D064B23"/>
    <w:rsid w:val="6D237F65"/>
    <w:rsid w:val="6D2B458A"/>
    <w:rsid w:val="6D2E6A90"/>
    <w:rsid w:val="6D317DF2"/>
    <w:rsid w:val="6D3B2A1F"/>
    <w:rsid w:val="6D3E250F"/>
    <w:rsid w:val="6D401DE3"/>
    <w:rsid w:val="6D5B6E2D"/>
    <w:rsid w:val="6D602485"/>
    <w:rsid w:val="6D6261FE"/>
    <w:rsid w:val="6D633D24"/>
    <w:rsid w:val="6D6830E8"/>
    <w:rsid w:val="6DA00AD4"/>
    <w:rsid w:val="6DAC7479"/>
    <w:rsid w:val="6DB15765"/>
    <w:rsid w:val="6DB4457F"/>
    <w:rsid w:val="6DB77BCC"/>
    <w:rsid w:val="6DD35848"/>
    <w:rsid w:val="6DD62748"/>
    <w:rsid w:val="6DEE5CE3"/>
    <w:rsid w:val="6DFE2EA0"/>
    <w:rsid w:val="6E122738"/>
    <w:rsid w:val="6E1374F8"/>
    <w:rsid w:val="6E245261"/>
    <w:rsid w:val="6E2A4841"/>
    <w:rsid w:val="6E5813AF"/>
    <w:rsid w:val="6E7C509D"/>
    <w:rsid w:val="6E970129"/>
    <w:rsid w:val="6E9F2B3A"/>
    <w:rsid w:val="6EB02F99"/>
    <w:rsid w:val="6EDC1FE0"/>
    <w:rsid w:val="6EE605EA"/>
    <w:rsid w:val="6EFC61DE"/>
    <w:rsid w:val="6EFC7F8C"/>
    <w:rsid w:val="6F205F82"/>
    <w:rsid w:val="6F3A0AB4"/>
    <w:rsid w:val="6F410095"/>
    <w:rsid w:val="6F435BBB"/>
    <w:rsid w:val="6F6124E5"/>
    <w:rsid w:val="6F672DD1"/>
    <w:rsid w:val="6F6A0B6A"/>
    <w:rsid w:val="6F885CC3"/>
    <w:rsid w:val="6F933F14"/>
    <w:rsid w:val="6FA61EDA"/>
    <w:rsid w:val="6FB6638D"/>
    <w:rsid w:val="6FCF744E"/>
    <w:rsid w:val="6FD045D6"/>
    <w:rsid w:val="6FE27182"/>
    <w:rsid w:val="6FE70C3C"/>
    <w:rsid w:val="700473D4"/>
    <w:rsid w:val="700D7F77"/>
    <w:rsid w:val="70194B6E"/>
    <w:rsid w:val="70453BB5"/>
    <w:rsid w:val="704E2A69"/>
    <w:rsid w:val="705562BA"/>
    <w:rsid w:val="70651B61"/>
    <w:rsid w:val="706E4EB9"/>
    <w:rsid w:val="70716758"/>
    <w:rsid w:val="709F1517"/>
    <w:rsid w:val="70A24B63"/>
    <w:rsid w:val="70BE284D"/>
    <w:rsid w:val="70C920F0"/>
    <w:rsid w:val="70CB230C"/>
    <w:rsid w:val="70EB650A"/>
    <w:rsid w:val="70F03B20"/>
    <w:rsid w:val="711A3883"/>
    <w:rsid w:val="71353C29"/>
    <w:rsid w:val="713663B4"/>
    <w:rsid w:val="714804F4"/>
    <w:rsid w:val="714D2D21"/>
    <w:rsid w:val="714F4CEB"/>
    <w:rsid w:val="71530A1B"/>
    <w:rsid w:val="715C2F64"/>
    <w:rsid w:val="715F2A54"/>
    <w:rsid w:val="71665B90"/>
    <w:rsid w:val="71752277"/>
    <w:rsid w:val="718D7F48"/>
    <w:rsid w:val="71A1306D"/>
    <w:rsid w:val="71AB7A47"/>
    <w:rsid w:val="71CF7BDA"/>
    <w:rsid w:val="71DF3BF0"/>
    <w:rsid w:val="72143FCE"/>
    <w:rsid w:val="721B6FB3"/>
    <w:rsid w:val="72247F25"/>
    <w:rsid w:val="72255A4C"/>
    <w:rsid w:val="72314B12"/>
    <w:rsid w:val="72323CC5"/>
    <w:rsid w:val="72361A07"/>
    <w:rsid w:val="723D0FE7"/>
    <w:rsid w:val="72655E48"/>
    <w:rsid w:val="72693B8A"/>
    <w:rsid w:val="726A7902"/>
    <w:rsid w:val="72730565"/>
    <w:rsid w:val="72AB1B27"/>
    <w:rsid w:val="72BA43E6"/>
    <w:rsid w:val="72CC5EC7"/>
    <w:rsid w:val="72E00753"/>
    <w:rsid w:val="72EC0317"/>
    <w:rsid w:val="730833A3"/>
    <w:rsid w:val="7319019D"/>
    <w:rsid w:val="731A1328"/>
    <w:rsid w:val="732E26DE"/>
    <w:rsid w:val="73487C44"/>
    <w:rsid w:val="73593BFF"/>
    <w:rsid w:val="73752596"/>
    <w:rsid w:val="739F7BC1"/>
    <w:rsid w:val="73B07597"/>
    <w:rsid w:val="73B2330F"/>
    <w:rsid w:val="73BE7F06"/>
    <w:rsid w:val="73C05A2C"/>
    <w:rsid w:val="73CD639B"/>
    <w:rsid w:val="73E22138"/>
    <w:rsid w:val="73EC4A73"/>
    <w:rsid w:val="742D0BE7"/>
    <w:rsid w:val="742D6E39"/>
    <w:rsid w:val="7434641A"/>
    <w:rsid w:val="744D4DE6"/>
    <w:rsid w:val="744F5002"/>
    <w:rsid w:val="74713C1D"/>
    <w:rsid w:val="748903B7"/>
    <w:rsid w:val="748A603A"/>
    <w:rsid w:val="7499002B"/>
    <w:rsid w:val="749F1AE5"/>
    <w:rsid w:val="74A23383"/>
    <w:rsid w:val="74B35591"/>
    <w:rsid w:val="74BD640F"/>
    <w:rsid w:val="74C4154C"/>
    <w:rsid w:val="74DD1795"/>
    <w:rsid w:val="74E8439B"/>
    <w:rsid w:val="74EB4D2A"/>
    <w:rsid w:val="750202C6"/>
    <w:rsid w:val="750B0F29"/>
    <w:rsid w:val="750E6C6B"/>
    <w:rsid w:val="753B1A4C"/>
    <w:rsid w:val="75502DDF"/>
    <w:rsid w:val="75683AAA"/>
    <w:rsid w:val="756B5E6B"/>
    <w:rsid w:val="756C68C3"/>
    <w:rsid w:val="757765BE"/>
    <w:rsid w:val="75910CAC"/>
    <w:rsid w:val="759233F8"/>
    <w:rsid w:val="75947453"/>
    <w:rsid w:val="75BC0475"/>
    <w:rsid w:val="75DF5F11"/>
    <w:rsid w:val="75EA3234"/>
    <w:rsid w:val="75ED6880"/>
    <w:rsid w:val="75F47C0F"/>
    <w:rsid w:val="75FA2D4B"/>
    <w:rsid w:val="760140DA"/>
    <w:rsid w:val="7621652A"/>
    <w:rsid w:val="762A3631"/>
    <w:rsid w:val="762C0180"/>
    <w:rsid w:val="76393874"/>
    <w:rsid w:val="76515061"/>
    <w:rsid w:val="76564426"/>
    <w:rsid w:val="76595CC4"/>
    <w:rsid w:val="76642A48"/>
    <w:rsid w:val="767174B1"/>
    <w:rsid w:val="76937428"/>
    <w:rsid w:val="769907B6"/>
    <w:rsid w:val="76A809F9"/>
    <w:rsid w:val="76AB5931"/>
    <w:rsid w:val="76C21ABB"/>
    <w:rsid w:val="76D11CFE"/>
    <w:rsid w:val="76D31F1A"/>
    <w:rsid w:val="76D4359C"/>
    <w:rsid w:val="76D8308D"/>
    <w:rsid w:val="76DD06A3"/>
    <w:rsid w:val="76E77774"/>
    <w:rsid w:val="76E949D9"/>
    <w:rsid w:val="76EC4D8A"/>
    <w:rsid w:val="76ED4AC8"/>
    <w:rsid w:val="77075720"/>
    <w:rsid w:val="770A5210"/>
    <w:rsid w:val="77251360"/>
    <w:rsid w:val="773D4CE7"/>
    <w:rsid w:val="77493F8A"/>
    <w:rsid w:val="77505319"/>
    <w:rsid w:val="775D3592"/>
    <w:rsid w:val="77756B2D"/>
    <w:rsid w:val="777C610E"/>
    <w:rsid w:val="77811976"/>
    <w:rsid w:val="779571D0"/>
    <w:rsid w:val="779942B7"/>
    <w:rsid w:val="779C36AB"/>
    <w:rsid w:val="77A15B74"/>
    <w:rsid w:val="77B37656"/>
    <w:rsid w:val="77DF044B"/>
    <w:rsid w:val="77ED0DBA"/>
    <w:rsid w:val="77FC2DAB"/>
    <w:rsid w:val="77FE4D75"/>
    <w:rsid w:val="780305DD"/>
    <w:rsid w:val="780954C8"/>
    <w:rsid w:val="78175E36"/>
    <w:rsid w:val="783E7867"/>
    <w:rsid w:val="787634F3"/>
    <w:rsid w:val="78811502"/>
    <w:rsid w:val="78845A98"/>
    <w:rsid w:val="78874D6A"/>
    <w:rsid w:val="788F3C1F"/>
    <w:rsid w:val="78905891"/>
    <w:rsid w:val="78B11DE7"/>
    <w:rsid w:val="78FD6DDA"/>
    <w:rsid w:val="7904460D"/>
    <w:rsid w:val="7931117A"/>
    <w:rsid w:val="793F5446"/>
    <w:rsid w:val="799314ED"/>
    <w:rsid w:val="7993773F"/>
    <w:rsid w:val="799F60E4"/>
    <w:rsid w:val="79BC0A44"/>
    <w:rsid w:val="79BD2A0E"/>
    <w:rsid w:val="79C70FED"/>
    <w:rsid w:val="79D264B9"/>
    <w:rsid w:val="79D73ACF"/>
    <w:rsid w:val="79DF2984"/>
    <w:rsid w:val="79EF6DFA"/>
    <w:rsid w:val="79F77CCE"/>
    <w:rsid w:val="79FB642B"/>
    <w:rsid w:val="7A015C5B"/>
    <w:rsid w:val="7A0348C4"/>
    <w:rsid w:val="7A1268B5"/>
    <w:rsid w:val="7A134B08"/>
    <w:rsid w:val="7A2D36EF"/>
    <w:rsid w:val="7A3C1B84"/>
    <w:rsid w:val="7A3F3423"/>
    <w:rsid w:val="7A4F18B8"/>
    <w:rsid w:val="7A5549F4"/>
    <w:rsid w:val="7A5E1AFB"/>
    <w:rsid w:val="7A613399"/>
    <w:rsid w:val="7A70182E"/>
    <w:rsid w:val="7A763B8C"/>
    <w:rsid w:val="7A782287"/>
    <w:rsid w:val="7A8A28F0"/>
    <w:rsid w:val="7AAD4830"/>
    <w:rsid w:val="7AB65467"/>
    <w:rsid w:val="7AC202DC"/>
    <w:rsid w:val="7AC5601E"/>
    <w:rsid w:val="7ADC5707"/>
    <w:rsid w:val="7AED10D1"/>
    <w:rsid w:val="7B095F0A"/>
    <w:rsid w:val="7B0D52CF"/>
    <w:rsid w:val="7B22521E"/>
    <w:rsid w:val="7B276391"/>
    <w:rsid w:val="7B40024A"/>
    <w:rsid w:val="7B4A02D1"/>
    <w:rsid w:val="7B4C229B"/>
    <w:rsid w:val="7B4E1B6F"/>
    <w:rsid w:val="7B5063B8"/>
    <w:rsid w:val="7B6B0973"/>
    <w:rsid w:val="7B8A691F"/>
    <w:rsid w:val="7B8F3F36"/>
    <w:rsid w:val="7B95154C"/>
    <w:rsid w:val="7B971768"/>
    <w:rsid w:val="7BA1185E"/>
    <w:rsid w:val="7BAF6D37"/>
    <w:rsid w:val="7BB36D43"/>
    <w:rsid w:val="7BB816DF"/>
    <w:rsid w:val="7BD77DB7"/>
    <w:rsid w:val="7BE14791"/>
    <w:rsid w:val="7BE44282"/>
    <w:rsid w:val="7BEB3862"/>
    <w:rsid w:val="7BEC5486"/>
    <w:rsid w:val="7BFC15CB"/>
    <w:rsid w:val="7BFF10BB"/>
    <w:rsid w:val="7C2F2987"/>
    <w:rsid w:val="7C605B66"/>
    <w:rsid w:val="7C647170"/>
    <w:rsid w:val="7C6B6751"/>
    <w:rsid w:val="7C6C24D1"/>
    <w:rsid w:val="7C6D4277"/>
    <w:rsid w:val="7C745605"/>
    <w:rsid w:val="7C9B7036"/>
    <w:rsid w:val="7CCC3693"/>
    <w:rsid w:val="7CDE5175"/>
    <w:rsid w:val="7CEA1D6C"/>
    <w:rsid w:val="7CEC05BF"/>
    <w:rsid w:val="7D1110A6"/>
    <w:rsid w:val="7D172435"/>
    <w:rsid w:val="7D31710E"/>
    <w:rsid w:val="7D366D5F"/>
    <w:rsid w:val="7D562F5D"/>
    <w:rsid w:val="7D565E79"/>
    <w:rsid w:val="7D621902"/>
    <w:rsid w:val="7D6438CC"/>
    <w:rsid w:val="7D7358BD"/>
    <w:rsid w:val="7DAE2D99"/>
    <w:rsid w:val="7DB54128"/>
    <w:rsid w:val="7DBC3708"/>
    <w:rsid w:val="7DD24CD9"/>
    <w:rsid w:val="7DE247F1"/>
    <w:rsid w:val="7DE40569"/>
    <w:rsid w:val="7DEB5D9B"/>
    <w:rsid w:val="7DF369FE"/>
    <w:rsid w:val="7E0C7AC0"/>
    <w:rsid w:val="7E0D66E5"/>
    <w:rsid w:val="7E1A042F"/>
    <w:rsid w:val="7E2E7A36"/>
    <w:rsid w:val="7E417769"/>
    <w:rsid w:val="7E5751DF"/>
    <w:rsid w:val="7E5A4CCF"/>
    <w:rsid w:val="7E5A6A7D"/>
    <w:rsid w:val="7EA36676"/>
    <w:rsid w:val="7EB02B41"/>
    <w:rsid w:val="7EB20667"/>
    <w:rsid w:val="7EBE525E"/>
    <w:rsid w:val="7ED93E46"/>
    <w:rsid w:val="7ED95BF4"/>
    <w:rsid w:val="7EDC7492"/>
    <w:rsid w:val="7EEC7CB0"/>
    <w:rsid w:val="7EF649F8"/>
    <w:rsid w:val="7EF96296"/>
    <w:rsid w:val="7F17671C"/>
    <w:rsid w:val="7F2F3A66"/>
    <w:rsid w:val="7F3948E4"/>
    <w:rsid w:val="7F413799"/>
    <w:rsid w:val="7F5931D8"/>
    <w:rsid w:val="7F5D6825"/>
    <w:rsid w:val="7F6C103E"/>
    <w:rsid w:val="7F74591C"/>
    <w:rsid w:val="7F7818B1"/>
    <w:rsid w:val="7F7B6CAB"/>
    <w:rsid w:val="7F7E49ED"/>
    <w:rsid w:val="7F842003"/>
    <w:rsid w:val="7F8F6BFA"/>
    <w:rsid w:val="7F9009BC"/>
    <w:rsid w:val="7F9B734D"/>
    <w:rsid w:val="7FB4040F"/>
    <w:rsid w:val="7FB43F51"/>
    <w:rsid w:val="7FBB354B"/>
    <w:rsid w:val="7FD30895"/>
    <w:rsid w:val="7FE17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99"/>
    <w:qFormat/>
    <w:uiPriority w:val="0"/>
    <w:pPr>
      <w:keepNext/>
      <w:keepLines/>
      <w:numPr>
        <w:ilvl w:val="1"/>
        <w:numId w:val="1"/>
      </w:numPr>
      <w:spacing w:before="260" w:after="260"/>
      <w:ind w:hanging="575" w:firstLineChars="0"/>
      <w:outlineLvl w:val="1"/>
    </w:pPr>
    <w:rPr>
      <w:rFonts w:cs="Times New Roman"/>
      <w:b/>
      <w:bCs/>
      <w:sz w:val="32"/>
      <w:szCs w:val="32"/>
    </w:rPr>
  </w:style>
  <w:style w:type="paragraph" w:styleId="4">
    <w:name w:val="heading 3"/>
    <w:basedOn w:val="1"/>
    <w:next w:val="1"/>
    <w:link w:val="95"/>
    <w:qFormat/>
    <w:uiPriority w:val="0"/>
    <w:pPr>
      <w:keepNext/>
      <w:keepLines/>
      <w:spacing w:before="260" w:beforeLines="0" w:after="260" w:afterLines="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next w:val="1"/>
    <w:qFormat/>
    <w:uiPriority w:val="1"/>
    <w:pPr>
      <w:keepNext/>
      <w:keepLines/>
      <w:widowControl w:val="0"/>
      <w:spacing w:before="280" w:after="290" w:line="376" w:lineRule="auto"/>
      <w:jc w:val="both"/>
      <w:outlineLvl w:val="4"/>
    </w:pPr>
    <w:rPr>
      <w:rFonts w:ascii="Times New Roman" w:hAnsi="Times New Roman" w:eastAsia="宋体" w:cs="Times New Roman"/>
      <w:b/>
      <w:bCs/>
      <w:kern w:val="2"/>
      <w:sz w:val="28"/>
      <w:szCs w:val="28"/>
      <w:lang w:val="en-US" w:eastAsia="zh-CN" w:bidi="ar-SA"/>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7">
    <w:name w:val="Default Paragraph Font"/>
    <w:semiHidden/>
    <w:qFormat/>
    <w:uiPriority w:val="0"/>
  </w:style>
  <w:style w:type="table" w:default="1" w:styleId="25">
    <w:name w:val="Normal Table"/>
    <w:autoRedefine/>
    <w:semiHidden/>
    <w:qFormat/>
    <w:uiPriority w:val="0"/>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8">
    <w:name w:val="Normal Indent"/>
    <w:basedOn w:val="1"/>
    <w:qFormat/>
    <w:uiPriority w:val="0"/>
    <w:pPr>
      <w:ind w:firstLine="420" w:firstLineChars="200"/>
    </w:pPr>
    <w:rPr>
      <w:kern w:val="0"/>
      <w:sz w:val="20"/>
      <w:szCs w:val="20"/>
    </w:rPr>
  </w:style>
  <w:style w:type="paragraph" w:styleId="9">
    <w:name w:val="annotation text"/>
    <w:basedOn w:val="1"/>
    <w:qFormat/>
    <w:uiPriority w:val="99"/>
    <w:pPr>
      <w:adjustRightInd w:val="0"/>
      <w:spacing w:line="360" w:lineRule="atLeast"/>
      <w:jc w:val="left"/>
    </w:pPr>
    <w:rPr>
      <w:kern w:val="0"/>
      <w:sz w:val="24"/>
      <w:szCs w:val="20"/>
    </w:rPr>
  </w:style>
  <w:style w:type="paragraph" w:styleId="10">
    <w:name w:val="Body Text"/>
    <w:basedOn w:val="1"/>
    <w:next w:val="1"/>
    <w:qFormat/>
    <w:uiPriority w:val="0"/>
    <w:pPr>
      <w:spacing w:after="120"/>
    </w:pPr>
    <w:rPr>
      <w:kern w:val="0"/>
      <w:sz w:val="20"/>
    </w:rPr>
  </w:style>
  <w:style w:type="paragraph" w:styleId="11">
    <w:name w:val="Body Text Indent"/>
    <w:basedOn w:val="1"/>
    <w:next w:val="1"/>
    <w:unhideWhenUsed/>
    <w:qFormat/>
    <w:uiPriority w:val="99"/>
    <w:pPr>
      <w:spacing w:after="120"/>
      <w:ind w:left="420"/>
    </w:pPr>
  </w:style>
  <w:style w:type="paragraph" w:styleId="12">
    <w:name w:val="Block Text"/>
    <w:basedOn w:val="1"/>
    <w:next w:val="1"/>
    <w:qFormat/>
    <w:uiPriority w:val="0"/>
    <w:pPr>
      <w:autoSpaceDE w:val="0"/>
      <w:autoSpaceDN w:val="0"/>
      <w:adjustRightInd w:val="0"/>
      <w:spacing w:line="360" w:lineRule="auto"/>
      <w:ind w:left="237" w:right="216" w:firstLine="420"/>
    </w:pPr>
    <w:rPr>
      <w:rFonts w:ascii="宋体" w:hAnsi="宋体"/>
      <w:kern w:val="0"/>
      <w:sz w:val="24"/>
      <w:szCs w:val="21"/>
    </w:rPr>
  </w:style>
  <w:style w:type="paragraph" w:styleId="13">
    <w:name w:val="toc 3"/>
    <w:next w:val="1"/>
    <w:autoRedefine/>
    <w:qFormat/>
    <w:uiPriority w:val="39"/>
    <w:pPr>
      <w:widowControl w:val="0"/>
      <w:spacing w:line="360" w:lineRule="auto"/>
      <w:ind w:left="840" w:leftChars="400"/>
      <w:jc w:val="both"/>
      <w:textAlignment w:val="auto"/>
    </w:pPr>
    <w:rPr>
      <w:rFonts w:ascii="Times New Roman" w:hAnsi="Times New Roman" w:eastAsia="宋体" w:cs="Times New Roman"/>
      <w:kern w:val="0"/>
      <w:sz w:val="21"/>
      <w:szCs w:val="22"/>
      <w:lang w:val="en-US" w:eastAsia="zh-CN" w:bidi="ar-SA"/>
    </w:rPr>
  </w:style>
  <w:style w:type="paragraph" w:styleId="14">
    <w:name w:val="Plain Text"/>
    <w:basedOn w:val="1"/>
    <w:autoRedefine/>
    <w:qFormat/>
    <w:uiPriority w:val="0"/>
    <w:rPr>
      <w:rFonts w:ascii="宋体" w:hAnsi="Courier New"/>
    </w:rPr>
  </w:style>
  <w:style w:type="paragraph" w:styleId="15">
    <w:name w:val="Body Text Indent 2"/>
    <w:basedOn w:val="1"/>
    <w:qFormat/>
    <w:uiPriority w:val="0"/>
    <w:pPr>
      <w:spacing w:after="120" w:afterLines="0" w:line="480" w:lineRule="auto"/>
      <w:ind w:left="420" w:leftChars="200"/>
    </w:pPr>
  </w:style>
  <w:style w:type="paragraph" w:styleId="16">
    <w:name w:val="Balloon Text"/>
    <w:next w:val="13"/>
    <w:qFormat/>
    <w:uiPriority w:val="0"/>
    <w:pPr>
      <w:widowControl w:val="0"/>
      <w:jc w:val="both"/>
    </w:pPr>
    <w:rPr>
      <w:rFonts w:ascii="Times New Roman" w:hAnsi="Times New Roman" w:eastAsia="宋体" w:cs="Times New Roman"/>
      <w:kern w:val="2"/>
      <w:sz w:val="18"/>
      <w:szCs w:val="18"/>
      <w:lang w:val="en-US" w:eastAsia="zh-CN" w:bidi="ar-SA"/>
    </w:rPr>
  </w:style>
  <w:style w:type="paragraph" w:styleId="17">
    <w:name w:val="footer"/>
    <w:basedOn w:val="1"/>
    <w:unhideWhenUsed/>
    <w:qFormat/>
    <w:uiPriority w:val="99"/>
    <w:pPr>
      <w:tabs>
        <w:tab w:val="center" w:pos="4153"/>
        <w:tab w:val="right" w:pos="8306"/>
      </w:tabs>
      <w:snapToGrid w:val="0"/>
      <w:jc w:val="left"/>
    </w:pPr>
    <w:rPr>
      <w:kern w:val="0"/>
      <w:sz w:val="18"/>
      <w:szCs w:val="18"/>
    </w:rPr>
  </w:style>
  <w:style w:type="paragraph" w:styleId="18">
    <w:name w:val="envelope return"/>
    <w:basedOn w:val="1"/>
    <w:qFormat/>
    <w:uiPriority w:val="0"/>
    <w:pPr>
      <w:snapToGrid w:val="0"/>
    </w:pPr>
    <w:rPr>
      <w:rFonts w:ascii="Arial" w:hAnsi="Arial"/>
    </w:rPr>
  </w:style>
  <w:style w:type="paragraph" w:styleId="19">
    <w:name w:val="header"/>
    <w:basedOn w:val="1"/>
    <w:next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qFormat/>
    <w:uiPriority w:val="39"/>
    <w:pPr>
      <w:spacing w:before="120" w:beforeLines="0" w:after="120" w:afterLines="0"/>
      <w:jc w:val="left"/>
    </w:pPr>
    <w:rPr>
      <w:rFonts w:eastAsia="仿宋_GB2312"/>
      <w:b/>
      <w:caps/>
      <w:sz w:val="24"/>
    </w:rPr>
  </w:style>
  <w:style w:type="paragraph" w:styleId="21">
    <w:name w:val="toc 2"/>
    <w:basedOn w:val="1"/>
    <w:next w:val="1"/>
    <w:qFormat/>
    <w:uiPriority w:val="0"/>
    <w:pPr>
      <w:ind w:left="420" w:leftChars="200"/>
    </w:pPr>
  </w:style>
  <w:style w:type="paragraph" w:styleId="22">
    <w:name w:val="Normal (Web)"/>
    <w:basedOn w:val="1"/>
    <w:unhideWhenUsed/>
    <w:qFormat/>
    <w:uiPriority w:val="99"/>
    <w:pPr>
      <w:widowControl/>
      <w:jc w:val="left"/>
    </w:pPr>
    <w:rPr>
      <w:rFonts w:ascii="宋体" w:hAnsi="宋体" w:cs="宋体"/>
      <w:kern w:val="0"/>
      <w:sz w:val="24"/>
    </w:rPr>
  </w:style>
  <w:style w:type="paragraph" w:styleId="23">
    <w:name w:val="Body Text First Indent"/>
    <w:basedOn w:val="10"/>
    <w:next w:val="24"/>
    <w:autoRedefine/>
    <w:qFormat/>
    <w:uiPriority w:val="99"/>
    <w:pPr>
      <w:adjustRightInd w:val="0"/>
      <w:ind w:firstLine="420"/>
      <w:jc w:val="left"/>
      <w:textAlignment w:val="baseline"/>
    </w:pPr>
    <w:rPr>
      <w:kern w:val="0"/>
      <w:sz w:val="21"/>
    </w:rPr>
  </w:style>
  <w:style w:type="paragraph" w:styleId="24">
    <w:name w:val="Body Text First Indent 2"/>
    <w:basedOn w:val="11"/>
    <w:autoRedefine/>
    <w:unhideWhenUsed/>
    <w:qFormat/>
    <w:uiPriority w:val="99"/>
    <w:pPr>
      <w:spacing w:after="0" w:line="360" w:lineRule="auto"/>
      <w:ind w:left="0" w:firstLine="420" w:firstLineChars="200"/>
    </w:pPr>
    <w:rPr>
      <w:rFonts w:eastAsia="仿宋_GB2312"/>
      <w:spacing w:val="15"/>
      <w:kern w:val="10"/>
      <w:sz w:val="24"/>
      <w:szCs w:val="24"/>
    </w:r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bCs/>
    </w:rPr>
  </w:style>
  <w:style w:type="character" w:styleId="29">
    <w:name w:val="page number"/>
    <w:qFormat/>
    <w:uiPriority w:val="0"/>
  </w:style>
  <w:style w:type="character" w:styleId="30">
    <w:name w:val="FollowedHyperlink"/>
    <w:basedOn w:val="27"/>
    <w:qFormat/>
    <w:uiPriority w:val="0"/>
    <w:rPr>
      <w:color w:val="296FBE"/>
      <w:u w:val="none"/>
    </w:rPr>
  </w:style>
  <w:style w:type="character" w:styleId="31">
    <w:name w:val="Emphasis"/>
    <w:basedOn w:val="27"/>
    <w:qFormat/>
    <w:uiPriority w:val="0"/>
  </w:style>
  <w:style w:type="character" w:styleId="32">
    <w:name w:val="HTML Definition"/>
    <w:basedOn w:val="27"/>
    <w:autoRedefine/>
    <w:qFormat/>
    <w:uiPriority w:val="0"/>
  </w:style>
  <w:style w:type="character" w:styleId="33">
    <w:name w:val="HTML Variable"/>
    <w:basedOn w:val="27"/>
    <w:autoRedefine/>
    <w:qFormat/>
    <w:uiPriority w:val="0"/>
  </w:style>
  <w:style w:type="character" w:styleId="34">
    <w:name w:val="Hyperlink"/>
    <w:autoRedefine/>
    <w:qFormat/>
    <w:uiPriority w:val="0"/>
    <w:rPr>
      <w:rFonts w:hint="eastAsia" w:ascii="宋体" w:hAnsi="宋体" w:eastAsia="宋体" w:cs="宋体"/>
      <w:color w:val="000000"/>
      <w:sz w:val="18"/>
      <w:szCs w:val="18"/>
      <w:u w:val="none"/>
    </w:rPr>
  </w:style>
  <w:style w:type="character" w:styleId="35">
    <w:name w:val="HTML Code"/>
    <w:basedOn w:val="27"/>
    <w:autoRedefine/>
    <w:qFormat/>
    <w:uiPriority w:val="0"/>
    <w:rPr>
      <w:rFonts w:ascii="微软雅黑" w:hAnsi="微软雅黑" w:eastAsia="微软雅黑" w:cs="微软雅黑"/>
      <w:sz w:val="20"/>
    </w:rPr>
  </w:style>
  <w:style w:type="character" w:styleId="36">
    <w:name w:val="HTML Cite"/>
    <w:basedOn w:val="27"/>
    <w:autoRedefine/>
    <w:qFormat/>
    <w:uiPriority w:val="0"/>
  </w:style>
  <w:style w:type="paragraph" w:customStyle="1" w:styleId="37">
    <w:name w:val="正文缩进1"/>
    <w:basedOn w:val="1"/>
    <w:autoRedefine/>
    <w:qFormat/>
    <w:uiPriority w:val="0"/>
    <w:pPr>
      <w:ind w:firstLine="420" w:firstLineChars="200"/>
    </w:pPr>
  </w:style>
  <w:style w:type="paragraph" w:customStyle="1" w:styleId="38">
    <w:name w:val="样式 首行缩进:  2 字符"/>
    <w:basedOn w:val="1"/>
    <w:autoRedefine/>
    <w:qFormat/>
    <w:uiPriority w:val="0"/>
    <w:pPr>
      <w:spacing w:line="400" w:lineRule="exact"/>
      <w:ind w:firstLine="200" w:firstLineChars="200"/>
    </w:pPr>
    <w:rPr>
      <w:rFonts w:cs="宋体"/>
      <w:sz w:val="24"/>
    </w:rPr>
  </w:style>
  <w:style w:type="paragraph" w:customStyle="1" w:styleId="39">
    <w:name w:val="样式 样式 样式 样式 标题 2 + 宋体 五号 非加粗 黑色 + 段前: 6 磅 段后: 0 磅 行距: 单倍行距 + 段前:..."/>
    <w:basedOn w:val="1"/>
    <w:autoRedefine/>
    <w:qFormat/>
    <w:uiPriority w:val="0"/>
    <w:pPr>
      <w:keepNext/>
      <w:keepLines/>
      <w:numPr>
        <w:ilvl w:val="1"/>
        <w:numId w:val="2"/>
      </w:numPr>
      <w:tabs>
        <w:tab w:val="left" w:pos="1200"/>
      </w:tabs>
      <w:adjustRightInd w:val="0"/>
      <w:spacing w:before="240" w:beforeLines="0"/>
      <w:jc w:val="left"/>
      <w:textAlignment w:val="baseline"/>
      <w:outlineLvl w:val="1"/>
    </w:pPr>
    <w:rPr>
      <w:rFonts w:ascii="宋体" w:hAnsi="宋体" w:cs="宋体"/>
      <w:b/>
      <w:bCs/>
      <w:color w:val="000000"/>
      <w:kern w:val="0"/>
    </w:rPr>
  </w:style>
  <w:style w:type="paragraph" w:customStyle="1" w:styleId="40">
    <w:name w:val="title12"/>
    <w:basedOn w:val="1"/>
    <w:autoRedefine/>
    <w:qFormat/>
    <w:uiPriority w:val="0"/>
    <w:pPr>
      <w:spacing w:before="150" w:after="100" w:afterAutospacing="1"/>
      <w:jc w:val="left"/>
    </w:pPr>
    <w:rPr>
      <w:rFonts w:ascii="Calibri" w:hAnsi="Calibri"/>
      <w:b/>
      <w:bCs/>
      <w:sz w:val="22"/>
      <w:szCs w:val="22"/>
    </w:rPr>
  </w:style>
  <w:style w:type="character" w:customStyle="1" w:styleId="41">
    <w:name w:val="biggerthanmax"/>
    <w:basedOn w:val="27"/>
    <w:autoRedefine/>
    <w:qFormat/>
    <w:uiPriority w:val="0"/>
    <w:rPr>
      <w:shd w:val="clear" w:fill="FFFF00"/>
    </w:rPr>
  </w:style>
  <w:style w:type="character" w:customStyle="1" w:styleId="42">
    <w:name w:val="ico1655"/>
    <w:basedOn w:val="27"/>
    <w:autoRedefine/>
    <w:qFormat/>
    <w:uiPriority w:val="0"/>
  </w:style>
  <w:style w:type="character" w:customStyle="1" w:styleId="43">
    <w:name w:val="button"/>
    <w:basedOn w:val="27"/>
    <w:autoRedefine/>
    <w:qFormat/>
    <w:uiPriority w:val="0"/>
  </w:style>
  <w:style w:type="character" w:customStyle="1" w:styleId="44">
    <w:name w:val="cy"/>
    <w:basedOn w:val="27"/>
    <w:autoRedefine/>
    <w:qFormat/>
    <w:uiPriority w:val="0"/>
  </w:style>
  <w:style w:type="character" w:customStyle="1" w:styleId="45">
    <w:name w:val="w32"/>
    <w:basedOn w:val="27"/>
    <w:qFormat/>
    <w:uiPriority w:val="0"/>
  </w:style>
  <w:style w:type="character" w:customStyle="1" w:styleId="46">
    <w:name w:val="active5"/>
    <w:basedOn w:val="27"/>
    <w:autoRedefine/>
    <w:qFormat/>
    <w:uiPriority w:val="0"/>
    <w:rPr>
      <w:color w:val="00FF00"/>
      <w:shd w:val="clear" w:fill="111111"/>
    </w:rPr>
  </w:style>
  <w:style w:type="character" w:customStyle="1" w:styleId="47">
    <w:name w:val="hover36"/>
    <w:basedOn w:val="27"/>
    <w:autoRedefine/>
    <w:qFormat/>
    <w:uiPriority w:val="0"/>
    <w:rPr>
      <w:color w:val="FFFFFF"/>
    </w:rPr>
  </w:style>
  <w:style w:type="character" w:customStyle="1" w:styleId="48">
    <w:name w:val="estimate_gray"/>
    <w:basedOn w:val="27"/>
    <w:autoRedefine/>
    <w:qFormat/>
    <w:uiPriority w:val="0"/>
    <w:rPr>
      <w:color w:val="FFFFFF"/>
    </w:rPr>
  </w:style>
  <w:style w:type="character" w:customStyle="1" w:styleId="49">
    <w:name w:val="design_class"/>
    <w:basedOn w:val="27"/>
    <w:autoRedefine/>
    <w:qFormat/>
    <w:uiPriority w:val="0"/>
  </w:style>
  <w:style w:type="character" w:customStyle="1" w:styleId="50">
    <w:name w:val="xdrichtextbox2"/>
    <w:basedOn w:val="27"/>
    <w:autoRedefine/>
    <w:qFormat/>
    <w:uiPriority w:val="0"/>
  </w:style>
  <w:style w:type="character" w:customStyle="1" w:styleId="51">
    <w:name w:val="hilite5"/>
    <w:basedOn w:val="27"/>
    <w:autoRedefine/>
    <w:qFormat/>
    <w:uiPriority w:val="0"/>
    <w:rPr>
      <w:color w:val="FFFFFF"/>
      <w:shd w:val="clear" w:fill="666666"/>
    </w:rPr>
  </w:style>
  <w:style w:type="character" w:customStyle="1" w:styleId="52">
    <w:name w:val="pagechatarealistclose_box"/>
    <w:basedOn w:val="27"/>
    <w:autoRedefine/>
    <w:qFormat/>
    <w:uiPriority w:val="0"/>
  </w:style>
  <w:style w:type="character" w:customStyle="1" w:styleId="53">
    <w:name w:val="pagechatarealistclose_box1"/>
    <w:basedOn w:val="27"/>
    <w:autoRedefine/>
    <w:qFormat/>
    <w:uiPriority w:val="0"/>
  </w:style>
  <w:style w:type="character" w:customStyle="1" w:styleId="54">
    <w:name w:val="after"/>
    <w:basedOn w:val="27"/>
    <w:autoRedefine/>
    <w:qFormat/>
    <w:uiPriority w:val="0"/>
    <w:rPr>
      <w:sz w:val="0"/>
      <w:szCs w:val="0"/>
    </w:rPr>
  </w:style>
  <w:style w:type="character" w:customStyle="1" w:styleId="55">
    <w:name w:val="cdropright"/>
    <w:basedOn w:val="27"/>
    <w:autoRedefine/>
    <w:qFormat/>
    <w:uiPriority w:val="0"/>
  </w:style>
  <w:style w:type="character" w:customStyle="1" w:styleId="56">
    <w:name w:val="drapbtn"/>
    <w:basedOn w:val="27"/>
    <w:autoRedefine/>
    <w:qFormat/>
    <w:uiPriority w:val="0"/>
  </w:style>
  <w:style w:type="character" w:customStyle="1" w:styleId="57">
    <w:name w:val="cdropleft"/>
    <w:basedOn w:val="27"/>
    <w:autoRedefine/>
    <w:qFormat/>
    <w:uiPriority w:val="0"/>
  </w:style>
  <w:style w:type="character" w:customStyle="1" w:styleId="58">
    <w:name w:val="tmpztreemove_arrow"/>
    <w:basedOn w:val="27"/>
    <w:autoRedefine/>
    <w:qFormat/>
    <w:uiPriority w:val="0"/>
  </w:style>
  <w:style w:type="character" w:customStyle="1" w:styleId="59">
    <w:name w:val="liked_gray"/>
    <w:basedOn w:val="27"/>
    <w:autoRedefine/>
    <w:qFormat/>
    <w:uiPriority w:val="0"/>
    <w:rPr>
      <w:color w:val="FFFFFF"/>
    </w:rPr>
  </w:style>
  <w:style w:type="character" w:customStyle="1" w:styleId="60">
    <w:name w:val="browse_class&gt;span"/>
    <w:basedOn w:val="27"/>
    <w:autoRedefine/>
    <w:qFormat/>
    <w:uiPriority w:val="0"/>
  </w:style>
  <w:style w:type="character" w:customStyle="1" w:styleId="61">
    <w:name w:val="moreaction32"/>
    <w:basedOn w:val="27"/>
    <w:autoRedefine/>
    <w:qFormat/>
    <w:uiPriority w:val="0"/>
  </w:style>
  <w:style w:type="character" w:customStyle="1" w:styleId="62">
    <w:name w:val="edit_class"/>
    <w:basedOn w:val="27"/>
    <w:autoRedefine/>
    <w:qFormat/>
    <w:uiPriority w:val="0"/>
  </w:style>
  <w:style w:type="character" w:customStyle="1" w:styleId="63">
    <w:name w:val="hover43"/>
    <w:basedOn w:val="27"/>
    <w:autoRedefine/>
    <w:qFormat/>
    <w:uiPriority w:val="0"/>
    <w:rPr>
      <w:color w:val="FFFFFF"/>
    </w:rPr>
  </w:style>
  <w:style w:type="character" w:customStyle="1" w:styleId="64">
    <w:name w:val="hilite6"/>
    <w:basedOn w:val="27"/>
    <w:autoRedefine/>
    <w:qFormat/>
    <w:uiPriority w:val="0"/>
    <w:rPr>
      <w:color w:val="FFFFFF"/>
      <w:shd w:val="clear" w:fill="666666"/>
    </w:rPr>
  </w:style>
  <w:style w:type="character" w:customStyle="1" w:styleId="65">
    <w:name w:val="active7"/>
    <w:basedOn w:val="27"/>
    <w:autoRedefine/>
    <w:qFormat/>
    <w:uiPriority w:val="0"/>
    <w:rPr>
      <w:color w:val="00FF00"/>
      <w:shd w:val="clear" w:fill="111111"/>
    </w:rPr>
  </w:style>
  <w:style w:type="character" w:customStyle="1" w:styleId="66">
    <w:name w:val="ico1656"/>
    <w:basedOn w:val="27"/>
    <w:autoRedefine/>
    <w:qFormat/>
    <w:uiPriority w:val="0"/>
  </w:style>
  <w:style w:type="character" w:customStyle="1" w:styleId="67">
    <w:name w:val="ico1657"/>
    <w:basedOn w:val="27"/>
    <w:autoRedefine/>
    <w:qFormat/>
    <w:uiPriority w:val="0"/>
  </w:style>
  <w:style w:type="character" w:customStyle="1" w:styleId="68">
    <w:name w:val="ico1658"/>
    <w:basedOn w:val="27"/>
    <w:autoRedefine/>
    <w:qFormat/>
    <w:uiPriority w:val="0"/>
  </w:style>
  <w:style w:type="character" w:customStyle="1" w:styleId="69">
    <w:name w:val="button4"/>
    <w:basedOn w:val="27"/>
    <w:autoRedefine/>
    <w:qFormat/>
    <w:uiPriority w:val="0"/>
  </w:style>
  <w:style w:type="character" w:customStyle="1" w:styleId="70">
    <w:name w:val="hilite"/>
    <w:basedOn w:val="27"/>
    <w:autoRedefine/>
    <w:qFormat/>
    <w:uiPriority w:val="0"/>
    <w:rPr>
      <w:color w:val="FFFFFF"/>
      <w:shd w:val="clear" w:fill="666666"/>
    </w:rPr>
  </w:style>
  <w:style w:type="character" w:customStyle="1" w:styleId="71">
    <w:name w:val="active2"/>
    <w:basedOn w:val="27"/>
    <w:autoRedefine/>
    <w:qFormat/>
    <w:uiPriority w:val="0"/>
    <w:rPr>
      <w:color w:val="00FF00"/>
      <w:shd w:val="clear" w:fill="111111"/>
    </w:rPr>
  </w:style>
  <w:style w:type="character" w:customStyle="1" w:styleId="72">
    <w:name w:val="hover38"/>
    <w:basedOn w:val="27"/>
    <w:autoRedefine/>
    <w:qFormat/>
    <w:uiPriority w:val="0"/>
    <w:rPr>
      <w:color w:val="FFFFFF"/>
    </w:rPr>
  </w:style>
  <w:style w:type="character" w:customStyle="1" w:styleId="73">
    <w:name w:val="xdrichtextbox"/>
    <w:basedOn w:val="27"/>
    <w:autoRedefine/>
    <w:qFormat/>
    <w:uiPriority w:val="0"/>
    <w:rPr>
      <w:color w:val="auto"/>
      <w:sz w:val="18"/>
      <w:szCs w:val="18"/>
      <w:u w:val="none"/>
      <w:bdr w:val="single" w:color="DCDCDC" w:sz="8" w:space="0"/>
      <w:shd w:val="clear" w:fill="auto"/>
    </w:rPr>
  </w:style>
  <w:style w:type="character" w:customStyle="1" w:styleId="74">
    <w:name w:val="hover44"/>
    <w:basedOn w:val="27"/>
    <w:autoRedefine/>
    <w:qFormat/>
    <w:uiPriority w:val="0"/>
    <w:rPr>
      <w:color w:val="FFFFFF"/>
    </w:rPr>
  </w:style>
  <w:style w:type="paragraph" w:customStyle="1" w:styleId="75">
    <w:name w:val="Normal 0.51"/>
    <w:basedOn w:val="1"/>
    <w:next w:val="1"/>
    <w:autoRedefine/>
    <w:qFormat/>
    <w:uiPriority w:val="0"/>
    <w:pPr>
      <w:widowControl/>
      <w:autoSpaceDE/>
      <w:autoSpaceDN/>
      <w:spacing w:before="180" w:after="120" w:line="240" w:lineRule="auto"/>
      <w:ind w:left="720" w:firstLine="0"/>
      <w:jc w:val="both"/>
    </w:pPr>
    <w:rPr>
      <w:rFonts w:ascii="Times New Roman" w:eastAsia="宋体"/>
      <w:sz w:val="24"/>
    </w:rPr>
  </w:style>
  <w:style w:type="paragraph" w:customStyle="1" w:styleId="76">
    <w:name w:val="Heading #1|1"/>
    <w:basedOn w:val="1"/>
    <w:autoRedefine/>
    <w:qFormat/>
    <w:uiPriority w:val="0"/>
    <w:pPr>
      <w:widowControl w:val="0"/>
      <w:shd w:val="clear" w:color="auto" w:fill="auto"/>
      <w:spacing w:after="240"/>
      <w:jc w:val="center"/>
      <w:outlineLvl w:val="0"/>
    </w:pPr>
    <w:rPr>
      <w:rFonts w:ascii="宋体" w:hAnsi="宋体" w:eastAsia="宋体" w:cs="宋体"/>
      <w:sz w:val="40"/>
      <w:szCs w:val="40"/>
      <w:u w:val="none"/>
      <w:shd w:val="clear" w:color="auto" w:fill="auto"/>
      <w:lang w:val="zh-TW" w:eastAsia="zh-TW" w:bidi="zh-TW"/>
    </w:rPr>
  </w:style>
  <w:style w:type="paragraph" w:customStyle="1" w:styleId="77">
    <w:name w:val="Body text|1"/>
    <w:basedOn w:val="1"/>
    <w:autoRedefine/>
    <w:qFormat/>
    <w:uiPriority w:val="0"/>
    <w:pPr>
      <w:widowControl w:val="0"/>
      <w:shd w:val="clear" w:color="auto" w:fill="auto"/>
      <w:spacing w:line="480" w:lineRule="auto"/>
      <w:ind w:firstLine="400"/>
    </w:pPr>
    <w:rPr>
      <w:rFonts w:ascii="宋体" w:hAnsi="宋体" w:eastAsia="宋体" w:cs="宋体"/>
      <w:sz w:val="22"/>
      <w:szCs w:val="22"/>
      <w:u w:val="none"/>
      <w:shd w:val="clear" w:color="auto" w:fill="auto"/>
      <w:lang w:val="zh-TW" w:eastAsia="zh-TW" w:bidi="zh-TW"/>
    </w:rPr>
  </w:style>
  <w:style w:type="character" w:customStyle="1" w:styleId="78">
    <w:name w:val="proollist"/>
    <w:basedOn w:val="27"/>
    <w:autoRedefine/>
    <w:qFormat/>
    <w:uiPriority w:val="0"/>
  </w:style>
  <w:style w:type="character" w:customStyle="1" w:styleId="79">
    <w:name w:val="beforeinfotext"/>
    <w:basedOn w:val="27"/>
    <w:autoRedefine/>
    <w:qFormat/>
    <w:uiPriority w:val="0"/>
    <w:rPr>
      <w:color w:val="666666"/>
    </w:rPr>
  </w:style>
  <w:style w:type="character" w:customStyle="1" w:styleId="80">
    <w:name w:val="stclosebtn"/>
    <w:basedOn w:val="27"/>
    <w:autoRedefine/>
    <w:qFormat/>
    <w:uiPriority w:val="0"/>
  </w:style>
  <w:style w:type="character" w:customStyle="1" w:styleId="81">
    <w:name w:val="number"/>
    <w:basedOn w:val="27"/>
    <w:autoRedefine/>
    <w:qFormat/>
    <w:uiPriority w:val="0"/>
    <w:rPr>
      <w:color w:val="FF8833"/>
      <w:sz w:val="18"/>
      <w:szCs w:val="18"/>
    </w:rPr>
  </w:style>
  <w:style w:type="paragraph" w:customStyle="1" w:styleId="82">
    <w:name w:val="title1"/>
    <w:basedOn w:val="1"/>
    <w:autoRedefine/>
    <w:qFormat/>
    <w:uiPriority w:val="0"/>
    <w:pPr>
      <w:spacing w:before="150" w:beforeAutospacing="0" w:after="0" w:afterAutospacing="0"/>
      <w:ind w:left="0" w:right="0" w:firstLine="0"/>
      <w:jc w:val="left"/>
    </w:pPr>
    <w:rPr>
      <w:b/>
      <w:bCs/>
      <w:kern w:val="0"/>
      <w:sz w:val="22"/>
      <w:szCs w:val="22"/>
      <w:lang w:val="en-US" w:eastAsia="zh-CN" w:bidi="ar"/>
    </w:rPr>
  </w:style>
  <w:style w:type="character" w:customStyle="1" w:styleId="83">
    <w:name w:val="phone"/>
    <w:basedOn w:val="27"/>
    <w:autoRedefine/>
    <w:qFormat/>
    <w:uiPriority w:val="0"/>
    <w:rPr>
      <w:color w:val="FF8833"/>
      <w:sz w:val="18"/>
      <w:szCs w:val="18"/>
    </w:rPr>
  </w:style>
  <w:style w:type="paragraph" w:customStyle="1" w:styleId="84">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5">
    <w:name w:val="表注1"/>
    <w:basedOn w:val="1"/>
    <w:autoRedefine/>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86">
    <w:name w:val="样式 WG标题3 + 行距: 固定值 18 磅"/>
    <w:basedOn w:val="1"/>
    <w:autoRedefine/>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customStyle="1" w:styleId="87">
    <w:name w:val="表格文字中"/>
    <w:basedOn w:val="1"/>
    <w:autoRedefine/>
    <w:qFormat/>
    <w:uiPriority w:val="0"/>
    <w:pPr>
      <w:adjustRightInd w:val="0"/>
      <w:snapToGrid w:val="0"/>
      <w:ind w:left="22" w:leftChars="8"/>
      <w:jc w:val="center"/>
    </w:pPr>
    <w:rPr>
      <w:kern w:val="0"/>
      <w:szCs w:val="24"/>
    </w:rPr>
  </w:style>
  <w:style w:type="paragraph" w:customStyle="1" w:styleId="88">
    <w:name w:val="表格标题"/>
    <w:basedOn w:val="1"/>
    <w:autoRedefine/>
    <w:qFormat/>
    <w:uiPriority w:val="0"/>
    <w:pPr>
      <w:adjustRightInd w:val="0"/>
      <w:snapToGrid w:val="0"/>
      <w:spacing w:before="50" w:beforeLines="50" w:after="50" w:afterLines="50"/>
      <w:ind w:left="22" w:leftChars="8"/>
      <w:jc w:val="center"/>
    </w:pPr>
    <w:rPr>
      <w:b/>
      <w:bCs/>
      <w:color w:val="000000"/>
      <w:sz w:val="32"/>
      <w:szCs w:val="32"/>
    </w:rPr>
  </w:style>
  <w:style w:type="character" w:customStyle="1" w:styleId="89">
    <w:name w:val="标题 2 字符"/>
    <w:link w:val="3"/>
    <w:autoRedefine/>
    <w:qFormat/>
    <w:uiPriority w:val="9"/>
    <w:rPr>
      <w:rFonts w:cs="Times New Roman"/>
      <w:b/>
      <w:bCs/>
      <w:sz w:val="32"/>
      <w:szCs w:val="32"/>
    </w:rPr>
  </w:style>
  <w:style w:type="paragraph" w:customStyle="1" w:styleId="90">
    <w:name w:val="mybody"/>
    <w:basedOn w:val="1"/>
    <w:autoRedefine/>
    <w:qFormat/>
    <w:uiPriority w:val="0"/>
    <w:pPr>
      <w:spacing w:before="100" w:beforeLines="100" w:after="100" w:afterLines="100" w:line="288" w:lineRule="auto"/>
      <w:ind w:firstLine="200" w:firstLineChars="200"/>
    </w:pPr>
    <w:rPr>
      <w:color w:val="000000" w:themeColor="text1"/>
      <w:sz w:val="28"/>
      <w14:textFill>
        <w14:solidFill>
          <w14:schemeClr w14:val="tx1"/>
        </w14:solidFill>
      </w14:textFill>
    </w:rPr>
  </w:style>
  <w:style w:type="paragraph" w:customStyle="1" w:styleId="91">
    <w:name w:val="Table Paragraph"/>
    <w:basedOn w:val="1"/>
    <w:autoRedefine/>
    <w:qFormat/>
    <w:uiPriority w:val="1"/>
    <w:rPr>
      <w:rFonts w:ascii="宋体" w:hAnsi="宋体" w:eastAsia="宋体" w:cs="宋体"/>
      <w:lang w:val="zh-CN" w:eastAsia="zh-CN" w:bidi="zh-CN"/>
    </w:rPr>
  </w:style>
  <w:style w:type="character" w:customStyle="1" w:styleId="92">
    <w:name w:val="NormalCharacter"/>
    <w:link w:val="93"/>
    <w:autoRedefine/>
    <w:qFormat/>
    <w:uiPriority w:val="0"/>
  </w:style>
  <w:style w:type="paragraph" w:customStyle="1" w:styleId="93">
    <w:name w:val="UserStyle_34"/>
    <w:basedOn w:val="1"/>
    <w:link w:val="92"/>
    <w:autoRedefine/>
    <w:qFormat/>
    <w:uiPriority w:val="0"/>
  </w:style>
  <w:style w:type="paragraph" w:customStyle="1" w:styleId="94">
    <w:name w:val="标题 3（投标文件）"/>
    <w:autoRedefine/>
    <w:qFormat/>
    <w:uiPriority w:val="0"/>
    <w:pPr>
      <w:keepNext/>
      <w:keepLines/>
      <w:spacing w:line="400" w:lineRule="atLeast"/>
      <w:outlineLvl w:val="2"/>
    </w:pPr>
    <w:rPr>
      <w:rFonts w:ascii="Calibri Light" w:hAnsi="Calibri Light" w:eastAsia="华文仿宋" w:cs="Times New Roman"/>
      <w:b/>
      <w:bCs/>
      <w:kern w:val="2"/>
      <w:sz w:val="32"/>
      <w:szCs w:val="32"/>
      <w:lang w:val="en-US" w:eastAsia="zh-CN" w:bidi="ar-SA"/>
    </w:rPr>
  </w:style>
  <w:style w:type="character" w:customStyle="1" w:styleId="95">
    <w:name w:val="标题 3 Char2"/>
    <w:link w:val="4"/>
    <w:autoRedefine/>
    <w:qFormat/>
    <w:uiPriority w:val="0"/>
    <w:rPr>
      <w:b/>
      <w:bCs/>
      <w:sz w:val="32"/>
      <w:szCs w:val="32"/>
    </w:rPr>
  </w:style>
  <w:style w:type="paragraph" w:customStyle="1" w:styleId="96">
    <w:name w:val="正文--2017.1.7选用"/>
    <w:autoRedefine/>
    <w:qFormat/>
    <w:uiPriority w:val="0"/>
    <w:pPr>
      <w:spacing w:line="560" w:lineRule="exact"/>
      <w:ind w:firstLine="200" w:firstLineChars="200"/>
    </w:pPr>
    <w:rPr>
      <w:rFonts w:ascii="仿宋" w:hAnsi="仿宋" w:eastAsia="仿宋" w:cs="宋体"/>
      <w:sz w:val="28"/>
      <w:lang w:val="en-US" w:eastAsia="zh-CN" w:bidi="ar-SA"/>
    </w:rPr>
  </w:style>
  <w:style w:type="paragraph" w:customStyle="1" w:styleId="97">
    <w:name w:val="公文正文"/>
    <w:autoRedefine/>
    <w:qFormat/>
    <w:uiPriority w:val="0"/>
    <w:pPr>
      <w:widowControl w:val="0"/>
      <w:ind w:firstLine="200" w:firstLineChars="200"/>
    </w:pPr>
    <w:rPr>
      <w:rFonts w:ascii="仿宋_GB2312" w:hAnsi="仿宋_GB2312" w:eastAsia="仿宋" w:cs="仿宋_GB2312"/>
      <w:kern w:val="2"/>
      <w:sz w:val="32"/>
      <w:szCs w:val="32"/>
      <w:lang w:val="en-US" w:eastAsia="zh-CN" w:bidi="ar-SA"/>
    </w:rPr>
  </w:style>
  <w:style w:type="paragraph" w:customStyle="1" w:styleId="98">
    <w:name w:val="公文标题"/>
    <w:next w:val="1"/>
    <w:autoRedefine/>
    <w:qFormat/>
    <w:uiPriority w:val="0"/>
    <w:pPr>
      <w:widowControl w:val="0"/>
      <w:snapToGrid w:val="0"/>
      <w:spacing w:line="578" w:lineRule="exact"/>
      <w:jc w:val="center"/>
    </w:pPr>
    <w:rPr>
      <w:rFonts w:ascii="Calibri" w:hAnsi="Calibri" w:eastAsia="方正小标宋_GBK" w:cs="Times New Roman"/>
      <w:kern w:val="2"/>
      <w:sz w:val="44"/>
      <w:szCs w:val="22"/>
      <w:lang w:val="en-US" w:eastAsia="zh-CN" w:bidi="ar-SA"/>
    </w:rPr>
  </w:style>
  <w:style w:type="character" w:customStyle="1" w:styleId="99">
    <w:name w:val="标题 2 Char"/>
    <w:link w:val="3"/>
    <w:autoRedefine/>
    <w:qFormat/>
    <w:uiPriority w:val="2"/>
    <w:rPr>
      <w:rFonts w:ascii="Cambria" w:hAnsi="Cambria" w:eastAsia="楷体" w:cs="Times New Roman"/>
      <w:bCs/>
      <w:kern w:val="2"/>
      <w:sz w:val="32"/>
      <w:szCs w:val="32"/>
    </w:rPr>
  </w:style>
  <w:style w:type="paragraph" w:customStyle="1" w:styleId="10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11151</Words>
  <Characters>12804</Characters>
  <Lines>0</Lines>
  <Paragraphs>0</Paragraphs>
  <TotalTime>1</TotalTime>
  <ScaleCrop>false</ScaleCrop>
  <LinksUpToDate>false</LinksUpToDate>
  <CharactersWithSpaces>13040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2021-09-28T02:24:00Z</dcterms:created>
  <dc:creator>刘莉娥</dc:creator>
  <cp:lastModifiedBy>PC</cp:lastModifiedBy>
  <cp:lastPrinted>2025-12-23T01:39:00Z</cp:lastPrinted>
  <dcterms:modified xsi:type="dcterms:W3CDTF">2025-12-25T04:22:27Z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4211FF2FF2D142D89A06BD4D829D123F</vt:lpwstr>
  </property>
  <property fmtid="{D5CDD505-2E9C-101B-9397-08002B2CF9AE}" pid="4" name="KSOTemplateDocerSaveRecord">
    <vt:lpwstr>eyJoZGlkIjoiOTk5NTVlMzBjYTM1Y2M5M2YxZDQ3MTJjNzdjNGUwODciLCJ1c2VySWQiOiIyNjM0MTI4MjQifQ==</vt:lpwstr>
  </property>
</Properties>
</file>