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45256">
      <w:pPr>
        <w:keepNext w:val="0"/>
        <w:keepLines w:val="0"/>
        <w:widowControl/>
        <w:suppressLineNumbers w:val="0"/>
        <w:jc w:val="left"/>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项目编号：ZCSP-白河县-2025-00624</w:t>
      </w:r>
    </w:p>
    <w:p w14:paraId="547F9CB3">
      <w:pPr>
        <w:adjustRightInd w:val="0"/>
        <w:snapToGrid w:val="0"/>
        <w:spacing w:line="360" w:lineRule="auto"/>
        <w:rPr>
          <w:rFonts w:hint="eastAsia" w:ascii="宋体" w:hAnsi="宋体" w:eastAsia="宋体" w:cs="宋体"/>
          <w:color w:val="auto"/>
          <w:sz w:val="19"/>
        </w:rPr>
      </w:pPr>
    </w:p>
    <w:p w14:paraId="6B7C4D05">
      <w:pPr>
        <w:adjustRightInd w:val="0"/>
        <w:snapToGrid w:val="0"/>
        <w:spacing w:line="360" w:lineRule="auto"/>
        <w:rPr>
          <w:rFonts w:hint="eastAsia" w:ascii="宋体" w:hAnsi="宋体" w:eastAsia="宋体" w:cs="宋体"/>
          <w:color w:val="auto"/>
          <w:sz w:val="19"/>
        </w:rPr>
      </w:pPr>
    </w:p>
    <w:p w14:paraId="20906CCF">
      <w:pPr>
        <w:pStyle w:val="22"/>
        <w:adjustRightInd w:val="0"/>
        <w:snapToGrid w:val="0"/>
        <w:spacing w:line="360" w:lineRule="auto"/>
        <w:jc w:val="both"/>
        <w:rPr>
          <w:rFonts w:hint="eastAsia" w:ascii="宋体" w:hAnsi="宋体" w:eastAsia="宋体" w:cs="宋体"/>
          <w:color w:val="auto"/>
          <w:spacing w:val="4"/>
          <w:sz w:val="36"/>
          <w:szCs w:val="16"/>
        </w:rPr>
      </w:pPr>
    </w:p>
    <w:p w14:paraId="33008D8A">
      <w:pPr>
        <w:pStyle w:val="22"/>
        <w:adjustRightInd w:val="0"/>
        <w:snapToGrid w:val="0"/>
        <w:spacing w:line="360" w:lineRule="auto"/>
        <w:jc w:val="both"/>
        <w:rPr>
          <w:rFonts w:hint="eastAsia" w:ascii="宋体" w:hAnsi="宋体" w:eastAsia="宋体" w:cs="宋体"/>
          <w:color w:val="auto"/>
          <w:spacing w:val="4"/>
          <w:sz w:val="40"/>
          <w:szCs w:val="40"/>
        </w:rPr>
      </w:pPr>
    </w:p>
    <w:p w14:paraId="1BAE55E2">
      <w:pPr>
        <w:keepNext w:val="0"/>
        <w:keepLines w:val="0"/>
        <w:widowControl/>
        <w:suppressLineNumbers w:val="0"/>
        <w:jc w:val="center"/>
        <w:rPr>
          <w:rFonts w:hint="eastAsia" w:ascii="宋体" w:hAnsi="宋体" w:eastAsia="宋体" w:cs="宋体"/>
          <w:b/>
          <w:bCs/>
          <w:color w:val="auto"/>
          <w:sz w:val="56"/>
          <w:szCs w:val="56"/>
          <w:lang w:val="en-US" w:eastAsia="zh-CN"/>
        </w:rPr>
      </w:pPr>
      <w:r>
        <w:rPr>
          <w:rFonts w:hint="eastAsia" w:ascii="宋体" w:hAnsi="宋体" w:eastAsia="宋体" w:cs="宋体"/>
          <w:b/>
          <w:bCs/>
          <w:color w:val="auto"/>
          <w:sz w:val="56"/>
          <w:szCs w:val="56"/>
          <w:lang w:val="en-US" w:eastAsia="zh-CN"/>
        </w:rPr>
        <w:t>白河县人民法院外墙改造新增项目</w:t>
      </w:r>
    </w:p>
    <w:p w14:paraId="7985C2DE">
      <w:pPr>
        <w:keepNext w:val="0"/>
        <w:keepLines w:val="0"/>
        <w:widowControl/>
        <w:suppressLineNumbers w:val="0"/>
        <w:jc w:val="center"/>
        <w:rPr>
          <w:rFonts w:hint="eastAsia" w:ascii="宋体" w:hAnsi="宋体" w:eastAsia="宋体" w:cs="宋体"/>
          <w:b/>
          <w:bCs/>
          <w:color w:val="auto"/>
          <w:sz w:val="52"/>
          <w:szCs w:val="52"/>
        </w:rPr>
      </w:pPr>
    </w:p>
    <w:p w14:paraId="6CFC33FC">
      <w:pPr>
        <w:keepNext w:val="0"/>
        <w:keepLines w:val="0"/>
        <w:widowControl/>
        <w:suppressLineNumbers w:val="0"/>
        <w:jc w:val="center"/>
        <w:rPr>
          <w:rFonts w:hint="eastAsia" w:ascii="宋体" w:hAnsi="宋体" w:eastAsia="宋体" w:cs="宋体"/>
          <w:b/>
          <w:bCs/>
          <w:color w:val="auto"/>
          <w:sz w:val="56"/>
          <w:szCs w:val="56"/>
        </w:rPr>
      </w:pPr>
      <w:r>
        <w:rPr>
          <w:rFonts w:hint="eastAsia" w:ascii="宋体" w:hAnsi="宋体" w:eastAsia="宋体" w:cs="宋体"/>
          <w:b/>
          <w:bCs/>
          <w:color w:val="auto"/>
          <w:sz w:val="56"/>
          <w:szCs w:val="56"/>
        </w:rPr>
        <w:t>竞争性磋商文件</w:t>
      </w:r>
    </w:p>
    <w:p w14:paraId="1B9BEDE4">
      <w:pPr>
        <w:adjustRightInd w:val="0"/>
        <w:snapToGrid w:val="0"/>
        <w:spacing w:line="360" w:lineRule="auto"/>
        <w:rPr>
          <w:rFonts w:hint="eastAsia" w:ascii="宋体" w:hAnsi="宋体" w:eastAsia="宋体" w:cs="宋体"/>
          <w:b/>
          <w:color w:val="auto"/>
          <w:sz w:val="30"/>
        </w:rPr>
      </w:pPr>
    </w:p>
    <w:p w14:paraId="78A5FC3F">
      <w:pPr>
        <w:pStyle w:val="5"/>
        <w:ind w:left="0" w:leftChars="0" w:firstLine="0" w:firstLineChars="0"/>
        <w:rPr>
          <w:rFonts w:hint="eastAsia" w:ascii="宋体" w:hAnsi="宋体" w:eastAsia="宋体" w:cs="宋体"/>
          <w:b/>
          <w:color w:val="auto"/>
          <w:sz w:val="30"/>
        </w:rPr>
      </w:pPr>
    </w:p>
    <w:p w14:paraId="55B13C4A">
      <w:pPr>
        <w:pStyle w:val="5"/>
        <w:rPr>
          <w:rFonts w:hint="eastAsia" w:ascii="宋体" w:hAnsi="宋体" w:eastAsia="宋体" w:cs="宋体"/>
          <w:b/>
          <w:color w:val="auto"/>
          <w:sz w:val="30"/>
        </w:rPr>
      </w:pPr>
    </w:p>
    <w:p w14:paraId="3884224B">
      <w:pPr>
        <w:pStyle w:val="25"/>
        <w:ind w:left="0" w:leftChars="0" w:firstLine="0" w:firstLineChars="0"/>
        <w:rPr>
          <w:rFonts w:hint="eastAsia" w:ascii="宋体" w:hAnsi="宋体" w:eastAsia="宋体" w:cs="宋体"/>
          <w:b/>
          <w:color w:val="auto"/>
          <w:sz w:val="30"/>
          <w:lang w:eastAsia="zh-CN"/>
        </w:rPr>
      </w:pPr>
    </w:p>
    <w:p w14:paraId="626873E0">
      <w:pPr>
        <w:snapToGrid w:val="0"/>
        <w:spacing w:line="240" w:lineRule="auto"/>
        <w:jc w:val="center"/>
        <w:rPr>
          <w:rFonts w:hint="eastAsia" w:ascii="宋体" w:hAnsi="宋体" w:eastAsia="宋体" w:cs="宋体"/>
          <w:color w:val="auto"/>
        </w:rPr>
      </w:pPr>
    </w:p>
    <w:p w14:paraId="53922F10">
      <w:pPr>
        <w:adjustRightInd w:val="0"/>
        <w:snapToGrid w:val="0"/>
        <w:spacing w:line="600" w:lineRule="exact"/>
        <w:rPr>
          <w:rFonts w:hint="eastAsia" w:ascii="宋体" w:hAnsi="宋体" w:eastAsia="宋体" w:cs="宋体"/>
          <w:b/>
          <w:color w:val="auto"/>
          <w:sz w:val="44"/>
          <w:szCs w:val="44"/>
        </w:rPr>
      </w:pPr>
    </w:p>
    <w:p w14:paraId="75D0DC00">
      <w:pPr>
        <w:pStyle w:val="10"/>
        <w:rPr>
          <w:rFonts w:hint="eastAsia" w:ascii="宋体" w:hAnsi="宋体" w:eastAsia="宋体" w:cs="宋体"/>
          <w:b/>
          <w:color w:val="auto"/>
          <w:sz w:val="44"/>
          <w:szCs w:val="44"/>
        </w:rPr>
      </w:pPr>
    </w:p>
    <w:p w14:paraId="1E1CE813">
      <w:pPr>
        <w:pStyle w:val="10"/>
        <w:rPr>
          <w:rFonts w:hint="eastAsia" w:ascii="宋体" w:hAnsi="宋体" w:eastAsia="宋体" w:cs="宋体"/>
          <w:b/>
          <w:color w:val="auto"/>
          <w:sz w:val="44"/>
          <w:szCs w:val="44"/>
        </w:rPr>
      </w:pPr>
    </w:p>
    <w:p w14:paraId="27D83FEF">
      <w:pPr>
        <w:pStyle w:val="10"/>
        <w:rPr>
          <w:rFonts w:hint="eastAsia" w:ascii="宋体" w:hAnsi="宋体" w:eastAsia="宋体" w:cs="宋体"/>
          <w:b/>
          <w:color w:val="auto"/>
          <w:sz w:val="44"/>
          <w:szCs w:val="44"/>
        </w:rPr>
      </w:pPr>
    </w:p>
    <w:p w14:paraId="3647BD47">
      <w:pPr>
        <w:tabs>
          <w:tab w:val="left" w:pos="1470"/>
          <w:tab w:val="left" w:pos="1890"/>
          <w:tab w:val="left" w:pos="2520"/>
        </w:tabs>
        <w:adjustRightInd w:val="0"/>
        <w:snapToGrid w:val="0"/>
        <w:spacing w:line="360" w:lineRule="auto"/>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ab/>
      </w:r>
      <w:r>
        <w:rPr>
          <w:rFonts w:hint="eastAsia" w:ascii="宋体" w:hAnsi="宋体" w:eastAsia="宋体" w:cs="宋体"/>
          <w:b/>
          <w:color w:val="auto"/>
          <w:sz w:val="32"/>
          <w:szCs w:val="32"/>
          <w:lang w:val="en-US" w:eastAsia="zh-CN"/>
        </w:rPr>
        <w:t>采购单位：白河县人民法院</w:t>
      </w:r>
    </w:p>
    <w:p w14:paraId="4AF890C8">
      <w:pPr>
        <w:tabs>
          <w:tab w:val="left" w:pos="1470"/>
          <w:tab w:val="left" w:pos="1890"/>
          <w:tab w:val="left" w:pos="2520"/>
        </w:tabs>
        <w:adjustRightInd w:val="0"/>
        <w:snapToGrid w:val="0"/>
        <w:spacing w:line="360" w:lineRule="auto"/>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ab/>
      </w:r>
      <w:r>
        <w:rPr>
          <w:rFonts w:hint="eastAsia" w:ascii="宋体" w:hAnsi="宋体" w:eastAsia="宋体" w:cs="宋体"/>
          <w:b/>
          <w:color w:val="auto"/>
          <w:sz w:val="32"/>
          <w:szCs w:val="32"/>
          <w:lang w:val="en-US" w:eastAsia="zh-CN"/>
        </w:rPr>
        <w:t>代理机构：宝泽项目管理有限公司</w:t>
      </w:r>
    </w:p>
    <w:p w14:paraId="766793C9">
      <w:pPr>
        <w:pStyle w:val="2"/>
        <w:ind w:firstLine="3213" w:firstLineChars="1000"/>
        <w:jc w:val="both"/>
        <w:rPr>
          <w:rFonts w:hint="default"/>
          <w:color w:val="auto"/>
          <w:lang w:val="en-US" w:eastAsia="zh-CN"/>
        </w:rPr>
      </w:pPr>
      <w:r>
        <w:rPr>
          <w:rFonts w:hint="eastAsia" w:ascii="宋体" w:hAnsi="宋体" w:cs="Times New Roman"/>
          <w:b/>
          <w:color w:val="auto"/>
          <w:sz w:val="32"/>
          <w:szCs w:val="32"/>
          <w:lang w:val="en-US" w:eastAsia="zh-CN"/>
        </w:rPr>
        <w:t>2025</w:t>
      </w:r>
      <w:r>
        <w:rPr>
          <w:rFonts w:hint="eastAsia" w:ascii="宋体" w:hAnsi="宋体" w:eastAsia="宋体" w:cs="Times New Roman"/>
          <w:b/>
          <w:color w:val="auto"/>
          <w:sz w:val="32"/>
          <w:szCs w:val="32"/>
          <w:lang w:val="en-US" w:eastAsia="zh-CN"/>
        </w:rPr>
        <w:t>年</w:t>
      </w:r>
      <w:r>
        <w:rPr>
          <w:rFonts w:hint="eastAsia" w:ascii="宋体" w:hAnsi="宋体" w:cs="Times New Roman"/>
          <w:b/>
          <w:color w:val="auto"/>
          <w:sz w:val="32"/>
          <w:szCs w:val="32"/>
          <w:lang w:val="en-US" w:eastAsia="zh-CN"/>
        </w:rPr>
        <w:t>12</w:t>
      </w:r>
      <w:r>
        <w:rPr>
          <w:rFonts w:hint="eastAsia" w:ascii="宋体" w:hAnsi="宋体" w:eastAsia="宋体" w:cs="Times New Roman"/>
          <w:b/>
          <w:color w:val="auto"/>
          <w:sz w:val="32"/>
          <w:szCs w:val="32"/>
        </w:rPr>
        <w:t>月</w:t>
      </w:r>
    </w:p>
    <w:p w14:paraId="2ADD714A">
      <w:pPr>
        <w:adjustRightInd w:val="0"/>
        <w:snapToGrid w:val="0"/>
        <w:spacing w:line="600" w:lineRule="exact"/>
        <w:ind w:firstLine="3534" w:firstLineChars="800"/>
        <w:rPr>
          <w:rFonts w:hint="eastAsia" w:eastAsia="黑体"/>
          <w:b/>
          <w:color w:val="auto"/>
          <w:sz w:val="44"/>
          <w:szCs w:val="44"/>
        </w:rPr>
        <w:sectPr>
          <w:headerReference r:id="rId3" w:type="default"/>
          <w:pgSz w:w="11906" w:h="16838"/>
          <w:pgMar w:top="1417" w:right="1417" w:bottom="1417" w:left="1417" w:header="851" w:footer="992" w:gutter="0"/>
          <w:cols w:space="0" w:num="1"/>
          <w:rtlGutter w:val="0"/>
          <w:docGrid w:type="lines" w:linePitch="312" w:charSpace="0"/>
        </w:sectPr>
      </w:pPr>
    </w:p>
    <w:p w14:paraId="14390F99">
      <w:pPr>
        <w:adjustRightInd w:val="0"/>
        <w:snapToGrid w:val="0"/>
        <w:spacing w:line="600" w:lineRule="exact"/>
        <w:ind w:firstLine="3534" w:firstLineChars="800"/>
        <w:rPr>
          <w:rFonts w:eastAsia="黑体"/>
          <w:b/>
          <w:color w:val="auto"/>
          <w:sz w:val="44"/>
          <w:szCs w:val="44"/>
        </w:rPr>
      </w:pPr>
      <w:r>
        <w:rPr>
          <w:rFonts w:hint="eastAsia" w:eastAsia="黑体"/>
          <w:b/>
          <w:color w:val="auto"/>
          <w:sz w:val="44"/>
          <w:szCs w:val="44"/>
        </w:rPr>
        <w:t>目</w:t>
      </w:r>
      <w:r>
        <w:rPr>
          <w:rFonts w:eastAsia="黑体"/>
          <w:b/>
          <w:color w:val="auto"/>
          <w:sz w:val="44"/>
          <w:szCs w:val="44"/>
        </w:rPr>
        <w:t xml:space="preserve">     </w:t>
      </w:r>
      <w:r>
        <w:rPr>
          <w:rFonts w:hint="eastAsia" w:eastAsia="黑体"/>
          <w:b/>
          <w:color w:val="auto"/>
          <w:sz w:val="44"/>
          <w:szCs w:val="44"/>
        </w:rPr>
        <w:t>录</w:t>
      </w:r>
    </w:p>
    <w:p w14:paraId="00A72915">
      <w:pPr>
        <w:adjustRightInd w:val="0"/>
        <w:snapToGrid w:val="0"/>
        <w:spacing w:line="600" w:lineRule="exact"/>
        <w:jc w:val="center"/>
        <w:rPr>
          <w:b/>
          <w:color w:val="auto"/>
          <w:sz w:val="30"/>
        </w:rPr>
      </w:pPr>
    </w:p>
    <w:p w14:paraId="4B45570D">
      <w:pPr>
        <w:adjustRightInd w:val="0"/>
        <w:snapToGrid w:val="0"/>
        <w:spacing w:line="600" w:lineRule="exact"/>
        <w:rPr>
          <w:rFonts w:ascii="仿宋_GB2312" w:eastAsia="仿宋_GB2312"/>
          <w:color w:val="auto"/>
          <w:sz w:val="32"/>
          <w:szCs w:val="32"/>
        </w:rPr>
      </w:pPr>
    </w:p>
    <w:p w14:paraId="7A19FD54">
      <w:pPr>
        <w:adjustRightInd w:val="0"/>
        <w:snapToGrid w:val="0"/>
        <w:spacing w:line="600" w:lineRule="exact"/>
        <w:ind w:firstLine="2570" w:firstLineChars="800"/>
        <w:rPr>
          <w:rFonts w:hint="eastAsia" w:ascii="宋体" w:hAnsi="宋体"/>
          <w:b/>
          <w:color w:val="auto"/>
          <w:sz w:val="32"/>
          <w:szCs w:val="32"/>
        </w:rPr>
      </w:pPr>
      <w:r>
        <w:rPr>
          <w:rFonts w:hint="eastAsia" w:ascii="宋体" w:hAnsi="宋体"/>
          <w:b/>
          <w:color w:val="auto"/>
          <w:sz w:val="32"/>
          <w:szCs w:val="32"/>
        </w:rPr>
        <w:t>第一部分</w:t>
      </w:r>
      <w:r>
        <w:rPr>
          <w:rFonts w:ascii="宋体" w:hAnsi="宋体"/>
          <w:b/>
          <w:color w:val="auto"/>
          <w:sz w:val="32"/>
          <w:szCs w:val="32"/>
        </w:rPr>
        <w:t xml:space="preserve">   </w:t>
      </w:r>
      <w:r>
        <w:rPr>
          <w:rFonts w:hint="eastAsia" w:ascii="宋体" w:hAnsi="宋体"/>
          <w:b/>
          <w:color w:val="auto"/>
          <w:sz w:val="32"/>
          <w:szCs w:val="32"/>
        </w:rPr>
        <w:t>竞争性磋商公告</w:t>
      </w:r>
    </w:p>
    <w:p w14:paraId="1312AD35">
      <w:pPr>
        <w:adjustRightInd w:val="0"/>
        <w:snapToGrid w:val="0"/>
        <w:spacing w:line="600" w:lineRule="exact"/>
        <w:rPr>
          <w:rFonts w:ascii="宋体"/>
          <w:b/>
          <w:color w:val="auto"/>
          <w:sz w:val="32"/>
          <w:szCs w:val="32"/>
        </w:rPr>
      </w:pPr>
    </w:p>
    <w:p w14:paraId="257D6C52">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第二部分</w:t>
      </w:r>
      <w:r>
        <w:rPr>
          <w:rFonts w:ascii="宋体" w:hAnsi="宋体"/>
          <w:b/>
          <w:color w:val="auto"/>
          <w:sz w:val="32"/>
          <w:szCs w:val="32"/>
        </w:rPr>
        <w:t xml:space="preserve">    </w:t>
      </w:r>
      <w:r>
        <w:rPr>
          <w:rFonts w:hint="eastAsia" w:ascii="宋体" w:hAnsi="宋体"/>
          <w:b/>
          <w:color w:val="auto"/>
          <w:sz w:val="32"/>
          <w:szCs w:val="32"/>
        </w:rPr>
        <w:t>磋商须知</w:t>
      </w:r>
    </w:p>
    <w:p w14:paraId="6D3101BC">
      <w:pPr>
        <w:adjustRightInd w:val="0"/>
        <w:snapToGrid w:val="0"/>
        <w:spacing w:line="600" w:lineRule="exact"/>
        <w:rPr>
          <w:rFonts w:ascii="宋体"/>
          <w:b/>
          <w:color w:val="auto"/>
          <w:sz w:val="32"/>
          <w:szCs w:val="32"/>
        </w:rPr>
      </w:pPr>
    </w:p>
    <w:p w14:paraId="53A26A2B">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469DA35E">
      <w:pPr>
        <w:adjustRightInd w:val="0"/>
        <w:snapToGrid w:val="0"/>
        <w:spacing w:line="600" w:lineRule="exact"/>
        <w:rPr>
          <w:rFonts w:ascii="宋体"/>
          <w:b/>
          <w:color w:val="auto"/>
          <w:sz w:val="32"/>
          <w:szCs w:val="32"/>
        </w:rPr>
      </w:pPr>
    </w:p>
    <w:p w14:paraId="5E25F811">
      <w:pPr>
        <w:numPr>
          <w:ilvl w:val="0"/>
          <w:numId w:val="0"/>
        </w:numPr>
        <w:adjustRightInd w:val="0"/>
        <w:snapToGrid w:val="0"/>
        <w:spacing w:line="600" w:lineRule="exact"/>
        <w:ind w:firstLine="2570" w:firstLineChars="800"/>
        <w:outlineLvl w:val="0"/>
        <w:rPr>
          <w:rFonts w:ascii="宋体" w:hAnsi="宋体"/>
          <w:b/>
          <w:color w:val="auto"/>
          <w:sz w:val="32"/>
          <w:szCs w:val="32"/>
        </w:rPr>
      </w:pPr>
      <w:r>
        <w:rPr>
          <w:rFonts w:hint="eastAsia" w:ascii="宋体" w:hAnsi="宋体" w:eastAsia="宋体" w:cs="Times New Roman"/>
          <w:b/>
          <w:color w:val="auto"/>
          <w:kern w:val="2"/>
          <w:sz w:val="32"/>
          <w:szCs w:val="32"/>
          <w:lang w:val="en-US" w:eastAsia="zh-CN" w:bidi="ar-SA"/>
        </w:rPr>
        <w:t>第四部分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商务要求</w:t>
      </w:r>
    </w:p>
    <w:p w14:paraId="54E0DAAE">
      <w:pPr>
        <w:adjustRightInd w:val="0"/>
        <w:snapToGrid w:val="0"/>
        <w:spacing w:line="600" w:lineRule="exact"/>
        <w:rPr>
          <w:rFonts w:ascii="宋体"/>
          <w:b/>
          <w:color w:val="auto"/>
          <w:sz w:val="32"/>
          <w:szCs w:val="32"/>
        </w:rPr>
      </w:pPr>
    </w:p>
    <w:p w14:paraId="79208D51">
      <w:pPr>
        <w:spacing w:line="520" w:lineRule="exact"/>
        <w:ind w:right="-1" w:firstLine="2570" w:firstLineChars="800"/>
        <w:jc w:val="both"/>
        <w:outlineLvl w:val="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五</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合同主要条款</w:t>
      </w:r>
    </w:p>
    <w:p w14:paraId="44C10678">
      <w:pPr>
        <w:adjustRightInd w:val="0"/>
        <w:snapToGrid w:val="0"/>
        <w:spacing w:line="600" w:lineRule="exact"/>
        <w:ind w:firstLine="2718" w:firstLineChars="846"/>
        <w:rPr>
          <w:rFonts w:ascii="宋体"/>
          <w:b/>
          <w:color w:val="auto"/>
          <w:sz w:val="32"/>
          <w:szCs w:val="32"/>
        </w:rPr>
      </w:pPr>
    </w:p>
    <w:p w14:paraId="22373E8C">
      <w:pPr>
        <w:numPr>
          <w:ilvl w:val="0"/>
          <w:numId w:val="0"/>
        </w:numPr>
        <w:adjustRightInd w:val="0"/>
        <w:snapToGrid w:val="0"/>
        <w:spacing w:line="600" w:lineRule="exact"/>
        <w:ind w:firstLine="2570" w:firstLineChars="800"/>
        <w:outlineLvl w:val="0"/>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第</w:t>
      </w:r>
      <w:r>
        <w:rPr>
          <w:rFonts w:hint="eastAsia" w:ascii="宋体" w:hAnsi="宋体" w:eastAsia="宋体" w:cs="Times New Roman"/>
          <w:b/>
          <w:color w:val="auto"/>
          <w:sz w:val="32"/>
          <w:szCs w:val="32"/>
          <w:lang w:eastAsia="zh-CN"/>
        </w:rPr>
        <w:t>六</w:t>
      </w:r>
      <w:r>
        <w:rPr>
          <w:rFonts w:hint="eastAsia" w:ascii="宋体" w:hAnsi="宋体" w:eastAsia="宋体" w:cs="Times New Roman"/>
          <w:b/>
          <w:color w:val="auto"/>
          <w:sz w:val="32"/>
          <w:szCs w:val="32"/>
        </w:rPr>
        <w:t>部分</w:t>
      </w:r>
      <w:r>
        <w:rPr>
          <w:rFonts w:ascii="宋体" w:hAnsi="宋体" w:eastAsia="宋体" w:cs="Times New Roman"/>
          <w:b/>
          <w:color w:val="auto"/>
          <w:sz w:val="32"/>
          <w:szCs w:val="32"/>
        </w:rPr>
        <w:t xml:space="preserve">   </w:t>
      </w:r>
      <w:r>
        <w:rPr>
          <w:rFonts w:hint="eastAsia" w:ascii="宋体" w:hAnsi="宋体" w:eastAsia="宋体" w:cs="Times New Roman"/>
          <w:b/>
          <w:color w:val="auto"/>
          <w:sz w:val="32"/>
          <w:szCs w:val="32"/>
        </w:rPr>
        <w:t>磋商响应文件格式</w:t>
      </w:r>
    </w:p>
    <w:p w14:paraId="419C004E">
      <w:pPr>
        <w:adjustRightInd w:val="0"/>
        <w:snapToGrid w:val="0"/>
        <w:spacing w:line="600" w:lineRule="exact"/>
        <w:ind w:firstLine="2570" w:firstLineChars="800"/>
        <w:rPr>
          <w:rFonts w:ascii="宋体"/>
          <w:b/>
          <w:color w:val="auto"/>
          <w:sz w:val="32"/>
          <w:szCs w:val="32"/>
        </w:rPr>
      </w:pPr>
    </w:p>
    <w:p w14:paraId="366E9A0F">
      <w:pPr>
        <w:adjustRightInd w:val="0"/>
        <w:snapToGrid w:val="0"/>
        <w:spacing w:line="600" w:lineRule="exact"/>
        <w:jc w:val="center"/>
        <w:rPr>
          <w:b/>
          <w:color w:val="auto"/>
          <w:sz w:val="30"/>
        </w:rPr>
      </w:pPr>
    </w:p>
    <w:p w14:paraId="414A7462">
      <w:pPr>
        <w:adjustRightInd w:val="0"/>
        <w:snapToGrid w:val="0"/>
        <w:spacing w:line="600" w:lineRule="exact"/>
        <w:rPr>
          <w:rFonts w:ascii="仿宋_GB2312" w:eastAsia="仿宋_GB2312"/>
          <w:color w:val="auto"/>
          <w:sz w:val="32"/>
          <w:szCs w:val="32"/>
        </w:rPr>
      </w:pPr>
    </w:p>
    <w:p w14:paraId="6E147843">
      <w:pPr>
        <w:tabs>
          <w:tab w:val="right" w:pos="4860"/>
        </w:tabs>
        <w:adjustRightInd w:val="0"/>
        <w:snapToGrid w:val="0"/>
        <w:spacing w:line="360" w:lineRule="auto"/>
        <w:rPr>
          <w:rFonts w:ascii="宋体"/>
          <w:b/>
          <w:color w:val="auto"/>
          <w:sz w:val="32"/>
          <w:szCs w:val="32"/>
        </w:rPr>
      </w:pPr>
    </w:p>
    <w:p w14:paraId="6F7CC79E">
      <w:pPr>
        <w:tabs>
          <w:tab w:val="right" w:pos="4860"/>
        </w:tabs>
        <w:adjustRightInd w:val="0"/>
        <w:snapToGrid w:val="0"/>
        <w:spacing w:line="360" w:lineRule="auto"/>
        <w:rPr>
          <w:rFonts w:ascii="宋体"/>
          <w:b/>
          <w:color w:val="auto"/>
          <w:sz w:val="32"/>
          <w:szCs w:val="32"/>
        </w:rPr>
      </w:pPr>
    </w:p>
    <w:p w14:paraId="7E263529">
      <w:pPr>
        <w:tabs>
          <w:tab w:val="right" w:pos="4860"/>
        </w:tabs>
        <w:adjustRightInd w:val="0"/>
        <w:snapToGrid w:val="0"/>
        <w:spacing w:line="360" w:lineRule="auto"/>
        <w:rPr>
          <w:rFonts w:ascii="宋体"/>
          <w:b/>
          <w:color w:val="auto"/>
          <w:sz w:val="32"/>
          <w:szCs w:val="32"/>
        </w:rPr>
      </w:pPr>
    </w:p>
    <w:p w14:paraId="1AE45ED7">
      <w:pPr>
        <w:tabs>
          <w:tab w:val="right" w:pos="4860"/>
        </w:tabs>
        <w:adjustRightInd w:val="0"/>
        <w:snapToGrid w:val="0"/>
        <w:spacing w:line="360" w:lineRule="auto"/>
        <w:rPr>
          <w:rFonts w:ascii="宋体"/>
          <w:b/>
          <w:color w:val="auto"/>
          <w:sz w:val="32"/>
          <w:szCs w:val="32"/>
        </w:rPr>
      </w:pPr>
    </w:p>
    <w:p w14:paraId="2F63074A">
      <w:pPr>
        <w:pStyle w:val="2"/>
        <w:jc w:val="center"/>
        <w:rPr>
          <w:color w:val="auto"/>
        </w:rPr>
      </w:pPr>
    </w:p>
    <w:p w14:paraId="218BEAEA">
      <w:pPr>
        <w:pStyle w:val="24"/>
        <w:rPr>
          <w:color w:val="auto"/>
        </w:rPr>
      </w:pPr>
    </w:p>
    <w:p w14:paraId="7D841B8C">
      <w:pPr>
        <w:pStyle w:val="24"/>
        <w:rPr>
          <w:color w:val="auto"/>
        </w:rPr>
      </w:pPr>
    </w:p>
    <w:p w14:paraId="4A8B9A06">
      <w:pPr>
        <w:pStyle w:val="24"/>
        <w:rPr>
          <w:color w:val="auto"/>
        </w:rPr>
      </w:pPr>
    </w:p>
    <w:p w14:paraId="24A94DF8">
      <w:pPr>
        <w:pStyle w:val="24"/>
        <w:rPr>
          <w:color w:val="auto"/>
        </w:rPr>
      </w:pPr>
    </w:p>
    <w:p w14:paraId="007AD8F9">
      <w:pPr>
        <w:autoSpaceDE w:val="0"/>
        <w:autoSpaceDN w:val="0"/>
        <w:adjustRightInd w:val="0"/>
        <w:spacing w:line="500" w:lineRule="exact"/>
        <w:ind w:firstLine="643" w:firstLineChars="200"/>
        <w:jc w:val="center"/>
        <w:rPr>
          <w:rFonts w:hint="eastAsia" w:ascii="宋体" w:hAnsi="宋体" w:eastAsia="宋体" w:cs="宋体"/>
          <w:b/>
          <w:color w:val="auto"/>
          <w:sz w:val="32"/>
          <w:szCs w:val="32"/>
        </w:rPr>
        <w:sectPr>
          <w:headerReference r:id="rId4" w:type="default"/>
          <w:footerReference r:id="rId5" w:type="default"/>
          <w:pgSz w:w="11900" w:h="16840"/>
          <w:pgMar w:top="1431" w:right="1785" w:bottom="0" w:left="852" w:header="454" w:footer="0" w:gutter="0"/>
          <w:pgNumType w:fmt="decimal"/>
          <w:cols w:space="720" w:num="1"/>
        </w:sectPr>
      </w:pPr>
    </w:p>
    <w:p w14:paraId="2729732D">
      <w:pPr>
        <w:autoSpaceDE w:val="0"/>
        <w:autoSpaceDN w:val="0"/>
        <w:adjustRightInd w:val="0"/>
        <w:spacing w:line="500" w:lineRule="exact"/>
        <w:ind w:firstLine="643" w:firstLineChars="200"/>
        <w:jc w:val="center"/>
        <w:rPr>
          <w:rFonts w:hint="eastAsia" w:ascii="宋体" w:hAnsi="宋体" w:eastAsia="宋体" w:cs="宋体"/>
          <w:color w:val="auto"/>
          <w:sz w:val="32"/>
          <w:szCs w:val="32"/>
        </w:rPr>
      </w:pPr>
      <w:r>
        <w:rPr>
          <w:rFonts w:hint="eastAsia" w:ascii="宋体" w:hAnsi="宋体" w:eastAsia="宋体" w:cs="宋体"/>
          <w:b/>
          <w:color w:val="auto"/>
          <w:sz w:val="32"/>
          <w:szCs w:val="32"/>
        </w:rPr>
        <w:t>第一部分  竞争性磋商公告</w:t>
      </w:r>
    </w:p>
    <w:p w14:paraId="5A1BE01E">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项目概况</w:t>
      </w:r>
    </w:p>
    <w:p w14:paraId="5376BE4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白河县人民法院外墙改造新增项目潜在的供应商可在宝泽项目管理有限公司（</w:t>
      </w:r>
      <w:r>
        <w:rPr>
          <w:rFonts w:hint="eastAsia" w:ascii="宋体" w:hAnsi="宋体" w:cs="宋体"/>
          <w:b w:val="0"/>
          <w:bCs w:val="0"/>
          <w:color w:val="auto"/>
          <w:sz w:val="24"/>
          <w:szCs w:val="24"/>
          <w:lang w:val="en-US" w:eastAsia="zh-CN"/>
        </w:rPr>
        <w:t>电子邮箱</w:t>
      </w:r>
      <w:r>
        <w:rPr>
          <w:rFonts w:hint="eastAsia" w:ascii="宋体" w:hAnsi="宋体" w:eastAsia="宋体" w:cs="宋体"/>
          <w:b w:val="0"/>
          <w:bCs w:val="0"/>
          <w:color w:val="auto"/>
          <w:sz w:val="24"/>
          <w:szCs w:val="24"/>
          <w:lang w:val="en-US" w:eastAsia="zh-CN"/>
        </w:rPr>
        <w:t>）获取采购文件，并于</w:t>
      </w:r>
      <w:r>
        <w:rPr>
          <w:rFonts w:hint="eastAsia" w:ascii="宋体" w:hAnsi="宋体" w:cs="宋体"/>
          <w:b w:val="0"/>
          <w:bCs w:val="0"/>
          <w:color w:val="auto"/>
          <w:sz w:val="24"/>
          <w:szCs w:val="24"/>
          <w:lang w:val="en-US" w:eastAsia="zh-CN"/>
        </w:rPr>
        <w:t>2026</w:t>
      </w:r>
      <w:r>
        <w:rPr>
          <w:rFonts w:hint="eastAsia" w:ascii="宋体" w:hAnsi="宋体" w:eastAsia="宋体" w:cs="宋体"/>
          <w:b w:val="0"/>
          <w:bCs w:val="0"/>
          <w:color w:val="auto"/>
          <w:sz w:val="24"/>
          <w:szCs w:val="24"/>
          <w:lang w:val="en-US" w:eastAsia="zh-CN"/>
        </w:rPr>
        <w:t>年</w:t>
      </w:r>
      <w:r>
        <w:rPr>
          <w:rFonts w:hint="eastAsia" w:ascii="宋体" w:hAnsi="宋体" w:cs="宋体"/>
          <w:b w:val="0"/>
          <w:bCs w:val="0"/>
          <w:color w:val="auto"/>
          <w:sz w:val="24"/>
          <w:szCs w:val="24"/>
          <w:lang w:val="en-US" w:eastAsia="zh-CN"/>
        </w:rPr>
        <w:t>01</w:t>
      </w:r>
      <w:r>
        <w:rPr>
          <w:rFonts w:hint="eastAsia" w:ascii="宋体" w:hAnsi="宋体" w:eastAsia="宋体" w:cs="宋体"/>
          <w:b w:val="0"/>
          <w:bCs w:val="0"/>
          <w:color w:val="auto"/>
          <w:sz w:val="24"/>
          <w:szCs w:val="24"/>
          <w:lang w:val="en-US" w:eastAsia="zh-CN"/>
        </w:rPr>
        <w:t>月</w:t>
      </w:r>
      <w:r>
        <w:rPr>
          <w:rFonts w:hint="eastAsia" w:ascii="宋体" w:hAnsi="宋体" w:cs="宋体"/>
          <w:b w:val="0"/>
          <w:bCs w:val="0"/>
          <w:color w:val="auto"/>
          <w:sz w:val="24"/>
          <w:szCs w:val="24"/>
          <w:lang w:val="en-US" w:eastAsia="zh-CN"/>
        </w:rPr>
        <w:t>16</w:t>
      </w:r>
      <w:r>
        <w:rPr>
          <w:rFonts w:hint="eastAsia" w:ascii="宋体" w:hAnsi="宋体" w:eastAsia="宋体" w:cs="宋体"/>
          <w:b w:val="0"/>
          <w:bCs w:val="0"/>
          <w:color w:val="auto"/>
          <w:sz w:val="24"/>
          <w:szCs w:val="24"/>
          <w:lang w:val="en-US" w:eastAsia="zh-CN"/>
        </w:rPr>
        <w:t>日</w:t>
      </w: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lang w:val="en-US" w:eastAsia="zh-CN"/>
        </w:rPr>
        <w:t>时00分00秒（北京时间）前提交响应文件。</w:t>
      </w:r>
    </w:p>
    <w:p w14:paraId="4E6330CC">
      <w:pPr>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6743D28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项目编号：ZCSP-白河县-2025-00624</w:t>
      </w:r>
    </w:p>
    <w:p w14:paraId="4FB7D5B7">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项目名称：白河县人民法院外墙改造新增项目</w:t>
      </w:r>
    </w:p>
    <w:p w14:paraId="539B311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采购方式：竞争性磋商</w:t>
      </w:r>
    </w:p>
    <w:p w14:paraId="27A682A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预算金额：459335.92元</w:t>
      </w:r>
    </w:p>
    <w:p w14:paraId="61B685C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p>
    <w:p w14:paraId="608A83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合同包1(白河县人民法院外墙改造新增项目):</w:t>
      </w:r>
    </w:p>
    <w:p w14:paraId="3D7FCB8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合同包预算金额：459335.92</w:t>
      </w:r>
      <w:r>
        <w:rPr>
          <w:rFonts w:hint="eastAsia" w:ascii="宋体" w:hAnsi="宋体" w:eastAsia="宋体" w:cs="宋体"/>
          <w:b w:val="0"/>
          <w:bCs w:val="0"/>
          <w:color w:val="auto"/>
          <w:sz w:val="24"/>
          <w:szCs w:val="24"/>
          <w:lang w:val="en-US" w:eastAsia="zh-CN"/>
        </w:rPr>
        <w:t>元</w:t>
      </w:r>
    </w:p>
    <w:p w14:paraId="2AB3CD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合同包最高限价：459335.92</w:t>
      </w:r>
      <w:r>
        <w:rPr>
          <w:rFonts w:hint="eastAsia" w:ascii="宋体" w:hAnsi="宋体" w:eastAsia="宋体" w:cs="宋体"/>
          <w:b w:val="0"/>
          <w:bCs w:val="0"/>
          <w:color w:val="auto"/>
          <w:sz w:val="24"/>
          <w:szCs w:val="24"/>
          <w:lang w:val="en-US" w:eastAsia="zh-CN"/>
        </w:rPr>
        <w:t>元</w:t>
      </w:r>
    </w:p>
    <w:tbl>
      <w:tblPr>
        <w:tblStyle w:val="26"/>
        <w:tblW w:w="9964" w:type="dxa"/>
        <w:tblInd w:w="11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29"/>
        <w:gridCol w:w="852"/>
        <w:gridCol w:w="2066"/>
        <w:gridCol w:w="1305"/>
        <w:gridCol w:w="1671"/>
        <w:gridCol w:w="1639"/>
        <w:gridCol w:w="1602"/>
      </w:tblGrid>
      <w:tr w14:paraId="555A9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7" w:hRule="atLeast"/>
          <w:tblHeader/>
        </w:trPr>
        <w:tc>
          <w:tcPr>
            <w:tcW w:w="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E4199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0"/>
                <w:sz w:val="28"/>
                <w:szCs w:val="28"/>
                <w:lang w:val="en-US" w:eastAsia="zh-CN" w:bidi="ar"/>
              </w:rPr>
              <w:t>品目号</w:t>
            </w:r>
          </w:p>
        </w:tc>
        <w:tc>
          <w:tcPr>
            <w:tcW w:w="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7CAC6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0"/>
                <w:sz w:val="28"/>
                <w:szCs w:val="28"/>
                <w:lang w:val="en-US" w:eastAsia="zh-CN" w:bidi="ar"/>
              </w:rPr>
              <w:t>品目名称</w:t>
            </w:r>
          </w:p>
        </w:tc>
        <w:tc>
          <w:tcPr>
            <w:tcW w:w="20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E28AF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0"/>
                <w:sz w:val="28"/>
                <w:szCs w:val="28"/>
                <w:lang w:val="en-US" w:eastAsia="zh-CN" w:bidi="ar"/>
              </w:rPr>
              <w:t>采购标的</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BE20C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数量</w:t>
            </w:r>
          </w:p>
          <w:p w14:paraId="5F0314B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0"/>
                <w:sz w:val="28"/>
                <w:szCs w:val="28"/>
                <w:lang w:val="en-US" w:eastAsia="zh-CN" w:bidi="ar"/>
              </w:rPr>
              <w:t>（单位）</w:t>
            </w:r>
          </w:p>
        </w:tc>
        <w:tc>
          <w:tcPr>
            <w:tcW w:w="16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AAA80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0"/>
                <w:sz w:val="28"/>
                <w:szCs w:val="28"/>
                <w:lang w:val="en-US" w:eastAsia="zh-CN" w:bidi="ar"/>
              </w:rPr>
              <w:t>技术规格、参数及要求</w:t>
            </w:r>
          </w:p>
        </w:tc>
        <w:tc>
          <w:tcPr>
            <w:tcW w:w="16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25BBD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0"/>
                <w:sz w:val="28"/>
                <w:szCs w:val="28"/>
                <w:lang w:val="en-US" w:eastAsia="zh-CN" w:bidi="ar"/>
              </w:rPr>
              <w:t>品目预算(元)</w:t>
            </w:r>
          </w:p>
        </w:tc>
        <w:tc>
          <w:tcPr>
            <w:tcW w:w="1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0B7F5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0"/>
                <w:sz w:val="28"/>
                <w:szCs w:val="28"/>
                <w:lang w:val="en-US" w:eastAsia="zh-CN" w:bidi="ar"/>
              </w:rPr>
              <w:t>最高限价(元)</w:t>
            </w:r>
          </w:p>
        </w:tc>
      </w:tr>
      <w:tr w14:paraId="7D40B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2" w:hRule="atLeast"/>
        </w:trPr>
        <w:tc>
          <w:tcPr>
            <w:tcW w:w="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F06DC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both"/>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1-1</w:t>
            </w:r>
          </w:p>
        </w:tc>
        <w:tc>
          <w:tcPr>
            <w:tcW w:w="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D6FF2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cs="宋体"/>
                <w:b w:val="0"/>
                <w:bCs w:val="0"/>
                <w:i w:val="0"/>
                <w:iCs w:val="0"/>
                <w:caps w:val="0"/>
                <w:color w:val="auto"/>
                <w:spacing w:val="0"/>
                <w:kern w:val="0"/>
                <w:sz w:val="24"/>
                <w:szCs w:val="24"/>
                <w:highlight w:val="none"/>
                <w:shd w:val="clear" w:fill="FFFFFF"/>
                <w:lang w:val="en-US" w:eastAsia="zh-CN" w:bidi="ar"/>
              </w:rPr>
              <w:t>房屋修缮</w:t>
            </w:r>
          </w:p>
        </w:tc>
        <w:tc>
          <w:tcPr>
            <w:tcW w:w="20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C0CCD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cs="宋体"/>
                <w:b w:val="0"/>
                <w:bCs w:val="0"/>
                <w:i w:val="0"/>
                <w:iCs w:val="0"/>
                <w:caps w:val="0"/>
                <w:color w:val="auto"/>
                <w:spacing w:val="0"/>
                <w:kern w:val="0"/>
                <w:sz w:val="24"/>
                <w:szCs w:val="24"/>
                <w:highlight w:val="none"/>
                <w:shd w:val="clear" w:fill="FFFFFF"/>
                <w:lang w:val="en-US" w:eastAsia="zh-CN" w:bidi="ar"/>
              </w:rPr>
              <w:t>459335.92</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83B91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1(项)</w:t>
            </w:r>
          </w:p>
        </w:tc>
        <w:tc>
          <w:tcPr>
            <w:tcW w:w="16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657E9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详见采购文件</w:t>
            </w:r>
          </w:p>
        </w:tc>
        <w:tc>
          <w:tcPr>
            <w:tcW w:w="16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F0A3D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459335.92</w:t>
            </w:r>
          </w:p>
        </w:tc>
        <w:tc>
          <w:tcPr>
            <w:tcW w:w="1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78E93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459335.92</w:t>
            </w:r>
          </w:p>
        </w:tc>
      </w:tr>
    </w:tbl>
    <w:p w14:paraId="1EA33ED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本合同包不接受联合体投标</w:t>
      </w:r>
    </w:p>
    <w:p w14:paraId="4275EDD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501" w:firstLineChars="209"/>
        <w:jc w:val="both"/>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合同履行期限：</w:t>
      </w:r>
      <w:r>
        <w:rPr>
          <w:rFonts w:hint="eastAsia" w:ascii="宋体" w:hAnsi="宋体" w:cs="宋体"/>
          <w:i w:val="0"/>
          <w:iCs w:val="0"/>
          <w:caps w:val="0"/>
          <w:color w:val="auto"/>
          <w:spacing w:val="0"/>
          <w:kern w:val="0"/>
          <w:sz w:val="24"/>
          <w:szCs w:val="24"/>
          <w:highlight w:val="none"/>
          <w:shd w:val="clear" w:fill="FFFFFF"/>
          <w:lang w:val="en-US" w:eastAsia="zh-CN" w:bidi="ar"/>
        </w:rPr>
        <w:t>30</w:t>
      </w:r>
      <w:r>
        <w:rPr>
          <w:rFonts w:hint="eastAsia" w:ascii="宋体" w:hAnsi="宋体" w:eastAsia="宋体" w:cs="宋体"/>
          <w:i w:val="0"/>
          <w:iCs w:val="0"/>
          <w:caps w:val="0"/>
          <w:color w:val="auto"/>
          <w:spacing w:val="0"/>
          <w:kern w:val="0"/>
          <w:sz w:val="24"/>
          <w:szCs w:val="24"/>
          <w:highlight w:val="none"/>
          <w:shd w:val="clear" w:fill="FFFFFF"/>
          <w:lang w:val="en-US" w:eastAsia="zh-CN" w:bidi="ar"/>
        </w:rPr>
        <w:t>日历天</w:t>
      </w:r>
    </w:p>
    <w:p w14:paraId="477D611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504" w:firstLineChars="209"/>
        <w:jc w:val="both"/>
        <w:textAlignment w:val="auto"/>
        <w:rPr>
          <w:rFonts w:hint="eastAsia" w:ascii="宋体" w:hAnsi="宋体" w:eastAsia="宋体" w:cs="宋体"/>
          <w:b/>
          <w:bCs/>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二、申请人的资格要求：</w:t>
      </w:r>
    </w:p>
    <w:p w14:paraId="2AC1D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1.满足《中华人民共和国政府采购法》第二十二条规定;</w:t>
      </w:r>
    </w:p>
    <w:p w14:paraId="62AB0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2.落实政府采购政策需满足的资格要求：</w:t>
      </w:r>
    </w:p>
    <w:p w14:paraId="34B7F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合同包1(白河县人民法院外墙改造新增项目)落实政府采购政策需满足的资格要求如下:</w:t>
      </w:r>
    </w:p>
    <w:p w14:paraId="781626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highlight w:val="none"/>
          <w:shd w:val="clear" w:color="auto" w:fill="FFFFFF"/>
          <w:lang w:val="en-US" w:bidi="zh-CN"/>
        </w:rPr>
        <w:t>本项目专门面向中小企业采购，供应商应为中型企业、小型企业、微型企业或监狱企业或残疾人福利性单位。</w:t>
      </w:r>
    </w:p>
    <w:p w14:paraId="4F982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3.本项目的特定资格要求：</w:t>
      </w:r>
    </w:p>
    <w:p w14:paraId="6D2E5F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合同包1(</w:t>
      </w:r>
      <w:r>
        <w:rPr>
          <w:rFonts w:hint="eastAsia" w:ascii="宋体" w:hAnsi="宋体" w:cs="宋体"/>
          <w:i w:val="0"/>
          <w:iCs w:val="0"/>
          <w:caps w:val="0"/>
          <w:color w:val="auto"/>
          <w:spacing w:val="0"/>
          <w:kern w:val="0"/>
          <w:sz w:val="24"/>
          <w:szCs w:val="24"/>
          <w:shd w:val="clear" w:fill="FFFFFF"/>
          <w:lang w:val="en-US" w:eastAsia="zh-CN" w:bidi="ar"/>
        </w:rPr>
        <w:t>白河县人民法院外墙改造新增项目</w:t>
      </w:r>
      <w:r>
        <w:rPr>
          <w:rFonts w:hint="eastAsia" w:ascii="宋体" w:hAnsi="宋体" w:eastAsia="宋体" w:cs="宋体"/>
          <w:i w:val="0"/>
          <w:iCs w:val="0"/>
          <w:caps w:val="0"/>
          <w:color w:val="auto"/>
          <w:spacing w:val="0"/>
          <w:kern w:val="0"/>
          <w:sz w:val="24"/>
          <w:szCs w:val="24"/>
          <w:shd w:val="clear" w:fill="FFFFFF"/>
          <w:lang w:val="en-US" w:eastAsia="zh-CN" w:bidi="ar"/>
        </w:rPr>
        <w:t>)特定资格要求如下:</w:t>
      </w:r>
    </w:p>
    <w:p w14:paraId="6503E4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（1）具有独立承担民事责任能力的法人、其他组织或自然人，提供合法有效的营业执照等相关证明，自然人参与的提供其身份证明；</w:t>
      </w:r>
    </w:p>
    <w:p w14:paraId="14AD84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（2）法定代表人授权委托书、被授权人身份证（法定代表人参加投标时,只需提供法定代表人身份证）；</w:t>
      </w:r>
    </w:p>
    <w:p w14:paraId="642F68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供应商应具备建筑工程施工总承包三级及以上资质或建筑装修装饰工程专业承包二级及以上资质，且具备合法有效的安全生产许可证，并在人员、设备、资金等方面具有相应的施工能力；拟派项目经理应具备建筑工程专业二级及以上注册建造师执业资格和有效的安全生产考核合格证书，且未担任其他在建工程项目的项目经理；</w:t>
      </w:r>
    </w:p>
    <w:p w14:paraId="49E4B9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（4）财务状况报告：提供2023年度</w:t>
      </w:r>
      <w:r>
        <w:rPr>
          <w:rFonts w:hint="eastAsia" w:ascii="宋体" w:hAnsi="宋体" w:cs="宋体"/>
          <w:i w:val="0"/>
          <w:iCs w:val="0"/>
          <w:caps w:val="0"/>
          <w:color w:val="auto"/>
          <w:spacing w:val="0"/>
          <w:kern w:val="0"/>
          <w:sz w:val="24"/>
          <w:szCs w:val="24"/>
          <w:shd w:val="clear" w:fill="FFFFFF"/>
          <w:lang w:val="en-US" w:eastAsia="zh-CN" w:bidi="ar"/>
        </w:rPr>
        <w:t>或2024年度</w:t>
      </w:r>
      <w:r>
        <w:rPr>
          <w:rFonts w:hint="eastAsia" w:ascii="宋体" w:hAnsi="宋体" w:eastAsia="宋体" w:cs="宋体"/>
          <w:i w:val="0"/>
          <w:iCs w:val="0"/>
          <w:caps w:val="0"/>
          <w:color w:val="auto"/>
          <w:spacing w:val="0"/>
          <w:kern w:val="0"/>
          <w:sz w:val="24"/>
          <w:szCs w:val="24"/>
          <w:shd w:val="clear" w:fill="FFFFFF"/>
          <w:lang w:val="en-US" w:eastAsia="zh-CN" w:bidi="ar"/>
        </w:rPr>
        <w:t>经审计的财务报告，或其基本存款账户开户银行出具的资信证明及基本存款账户开户许可证（基本账户信息表）；</w:t>
      </w:r>
    </w:p>
    <w:p w14:paraId="7190B0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（5）税收缴纳证明：提供</w:t>
      </w:r>
      <w:r>
        <w:rPr>
          <w:rFonts w:hint="eastAsia" w:ascii="宋体" w:hAnsi="宋体" w:cs="宋体"/>
          <w:i w:val="0"/>
          <w:iCs w:val="0"/>
          <w:caps w:val="0"/>
          <w:color w:val="auto"/>
          <w:spacing w:val="0"/>
          <w:kern w:val="0"/>
          <w:sz w:val="24"/>
          <w:szCs w:val="24"/>
          <w:shd w:val="clear" w:fill="FFFFFF"/>
          <w:lang w:val="en-US" w:eastAsia="zh-CN" w:bidi="ar"/>
        </w:rPr>
        <w:t>2025</w:t>
      </w:r>
      <w:r>
        <w:rPr>
          <w:rFonts w:hint="eastAsia" w:ascii="宋体" w:hAnsi="宋体" w:eastAsia="宋体" w:cs="宋体"/>
          <w:i w:val="0"/>
          <w:iCs w:val="0"/>
          <w:caps w:val="0"/>
          <w:color w:val="auto"/>
          <w:spacing w:val="0"/>
          <w:kern w:val="0"/>
          <w:sz w:val="24"/>
          <w:szCs w:val="24"/>
          <w:shd w:val="clear" w:fill="FFFFFF"/>
          <w:lang w:val="en-US" w:eastAsia="zh-CN" w:bidi="ar"/>
        </w:rPr>
        <w:t>年1月至今已缴纳的任意1个月增值税或营业税或企业所得税的凭据或税务机关开具的完税证明；依法免税的应提供相关文件证明；</w:t>
      </w:r>
    </w:p>
    <w:p w14:paraId="0522D7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（6）社会保障资金缴纳证明：提供</w:t>
      </w:r>
      <w:r>
        <w:rPr>
          <w:rFonts w:hint="eastAsia" w:ascii="宋体" w:hAnsi="宋体" w:cs="宋体"/>
          <w:i w:val="0"/>
          <w:iCs w:val="0"/>
          <w:caps w:val="0"/>
          <w:color w:val="auto"/>
          <w:spacing w:val="0"/>
          <w:kern w:val="0"/>
          <w:sz w:val="24"/>
          <w:szCs w:val="24"/>
          <w:shd w:val="clear" w:fill="FFFFFF"/>
          <w:lang w:val="en-US" w:eastAsia="zh-CN" w:bidi="ar"/>
        </w:rPr>
        <w:t>2025</w:t>
      </w:r>
      <w:r>
        <w:rPr>
          <w:rFonts w:hint="eastAsia" w:ascii="宋体" w:hAnsi="宋体" w:eastAsia="宋体" w:cs="宋体"/>
          <w:i w:val="0"/>
          <w:iCs w:val="0"/>
          <w:caps w:val="0"/>
          <w:color w:val="auto"/>
          <w:spacing w:val="0"/>
          <w:kern w:val="0"/>
          <w:sz w:val="24"/>
          <w:szCs w:val="24"/>
          <w:shd w:val="clear" w:fill="FFFFFF"/>
          <w:lang w:val="en-US" w:eastAsia="zh-CN" w:bidi="ar"/>
        </w:rPr>
        <w:t>年1月至今已缴存的任意1个月的社会保障资金缴存单据或社保机构开具的社会保险参保缴费情况证明，依法不需要缴纳社会保障资金的单位应提供相关证明材料；</w:t>
      </w:r>
    </w:p>
    <w:p w14:paraId="79384D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（7）具备履行合同所必须的设备和专业技术能力的书面声明；</w:t>
      </w:r>
    </w:p>
    <w:p w14:paraId="60C148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（8）参加政府采购活动前三年内，在经营活动中没有重大违法记录的书面声明；</w:t>
      </w:r>
    </w:p>
    <w:p w14:paraId="22A90C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（9）供应商不得为“信用中国”网站(www.creditchina.gov.cn)、中国政府采购网(www.ccgp.gov.cn)被列入失信被执行人、重大税收违法案件当事人名单、政府采购严重违法失信行为记录名单；</w:t>
      </w:r>
    </w:p>
    <w:p w14:paraId="4D8CB0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10）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p w14:paraId="796783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（11）本项目不接受联合体投标；</w:t>
      </w:r>
    </w:p>
    <w:p w14:paraId="2BF5A1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（12）本项目面向中小企业采购，须提供《中小企业声明函》。</w:t>
      </w:r>
    </w:p>
    <w:p w14:paraId="3B97C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三、采购文件的获取方式</w:t>
      </w:r>
    </w:p>
    <w:p w14:paraId="773D3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cs="宋体"/>
          <w:i w:val="0"/>
          <w:iCs w:val="0"/>
          <w:caps w:val="0"/>
          <w:color w:val="auto"/>
          <w:spacing w:val="0"/>
          <w:kern w:val="0"/>
          <w:sz w:val="24"/>
          <w:szCs w:val="24"/>
          <w:shd w:val="clear" w:fill="FFFFFF"/>
          <w:lang w:val="en-US" w:eastAsia="zh-CN" w:bidi="ar"/>
        </w:rPr>
        <w:t>获取</w:t>
      </w:r>
      <w:r>
        <w:rPr>
          <w:rFonts w:hint="eastAsia" w:ascii="宋体" w:hAnsi="宋体" w:eastAsia="宋体" w:cs="宋体"/>
          <w:i w:val="0"/>
          <w:iCs w:val="0"/>
          <w:caps w:val="0"/>
          <w:color w:val="auto"/>
          <w:spacing w:val="0"/>
          <w:kern w:val="0"/>
          <w:sz w:val="24"/>
          <w:szCs w:val="24"/>
          <w:shd w:val="clear" w:fill="FFFFFF"/>
          <w:lang w:val="en-US" w:eastAsia="zh-CN" w:bidi="ar"/>
        </w:rPr>
        <w:t>时间：</w:t>
      </w:r>
      <w:r>
        <w:rPr>
          <w:rFonts w:hint="eastAsia" w:ascii="宋体" w:hAnsi="宋体" w:cs="宋体"/>
          <w:i w:val="0"/>
          <w:iCs w:val="0"/>
          <w:caps w:val="0"/>
          <w:color w:val="auto"/>
          <w:spacing w:val="0"/>
          <w:kern w:val="0"/>
          <w:sz w:val="24"/>
          <w:szCs w:val="24"/>
          <w:shd w:val="clear" w:fill="FFFFFF"/>
          <w:lang w:val="en-US" w:eastAsia="zh-CN" w:bidi="ar"/>
        </w:rPr>
        <w:t>2026</w:t>
      </w:r>
      <w:r>
        <w:rPr>
          <w:rFonts w:hint="eastAsia" w:ascii="宋体" w:hAnsi="宋体" w:eastAsia="宋体" w:cs="宋体"/>
          <w:i w:val="0"/>
          <w:iCs w:val="0"/>
          <w:caps w:val="0"/>
          <w:color w:val="auto"/>
          <w:spacing w:val="0"/>
          <w:kern w:val="0"/>
          <w:sz w:val="24"/>
          <w:szCs w:val="24"/>
          <w:shd w:val="clear" w:fill="FFFFFF"/>
          <w:lang w:val="en-US" w:eastAsia="zh-CN" w:bidi="ar"/>
        </w:rPr>
        <w:t>年</w:t>
      </w:r>
      <w:r>
        <w:rPr>
          <w:rFonts w:hint="eastAsia" w:ascii="宋体" w:hAnsi="宋体" w:cs="宋体"/>
          <w:i w:val="0"/>
          <w:iCs w:val="0"/>
          <w:caps w:val="0"/>
          <w:color w:val="auto"/>
          <w:spacing w:val="0"/>
          <w:kern w:val="0"/>
          <w:sz w:val="24"/>
          <w:szCs w:val="24"/>
          <w:shd w:val="clear" w:fill="FFFFFF"/>
          <w:lang w:val="en-US" w:eastAsia="zh-CN" w:bidi="ar"/>
        </w:rPr>
        <w:t>01</w:t>
      </w:r>
      <w:r>
        <w:rPr>
          <w:rFonts w:hint="eastAsia" w:ascii="宋体" w:hAnsi="宋体" w:eastAsia="宋体" w:cs="宋体"/>
          <w:i w:val="0"/>
          <w:iCs w:val="0"/>
          <w:caps w:val="0"/>
          <w:color w:val="auto"/>
          <w:spacing w:val="0"/>
          <w:kern w:val="0"/>
          <w:sz w:val="24"/>
          <w:szCs w:val="24"/>
          <w:shd w:val="clear" w:fill="FFFFFF"/>
          <w:lang w:val="en-US" w:eastAsia="zh-CN" w:bidi="ar"/>
        </w:rPr>
        <w:t>月</w:t>
      </w:r>
      <w:r>
        <w:rPr>
          <w:rFonts w:hint="eastAsia" w:ascii="宋体" w:hAnsi="宋体" w:cs="宋体"/>
          <w:i w:val="0"/>
          <w:iCs w:val="0"/>
          <w:caps w:val="0"/>
          <w:color w:val="auto"/>
          <w:spacing w:val="0"/>
          <w:kern w:val="0"/>
          <w:sz w:val="24"/>
          <w:szCs w:val="24"/>
          <w:shd w:val="clear" w:fill="FFFFFF"/>
          <w:lang w:val="en-US" w:eastAsia="zh-CN" w:bidi="ar"/>
        </w:rPr>
        <w:t>04</w:t>
      </w:r>
      <w:r>
        <w:rPr>
          <w:rFonts w:hint="eastAsia" w:ascii="宋体" w:hAnsi="宋体" w:eastAsia="宋体" w:cs="宋体"/>
          <w:i w:val="0"/>
          <w:iCs w:val="0"/>
          <w:caps w:val="0"/>
          <w:color w:val="auto"/>
          <w:spacing w:val="0"/>
          <w:kern w:val="0"/>
          <w:sz w:val="24"/>
          <w:szCs w:val="24"/>
          <w:shd w:val="clear" w:fill="FFFFFF"/>
          <w:lang w:val="en-US" w:eastAsia="zh-CN" w:bidi="ar"/>
        </w:rPr>
        <w:t>日至202</w:t>
      </w:r>
      <w:r>
        <w:rPr>
          <w:rFonts w:hint="eastAsia" w:ascii="宋体" w:hAnsi="宋体" w:cs="宋体"/>
          <w:i w:val="0"/>
          <w:iCs w:val="0"/>
          <w:caps w:val="0"/>
          <w:color w:val="auto"/>
          <w:spacing w:val="0"/>
          <w:kern w:val="0"/>
          <w:sz w:val="24"/>
          <w:szCs w:val="24"/>
          <w:shd w:val="clear" w:fill="FFFFFF"/>
          <w:lang w:val="en-US" w:eastAsia="zh-CN" w:bidi="ar"/>
        </w:rPr>
        <w:t>6</w:t>
      </w:r>
      <w:r>
        <w:rPr>
          <w:rFonts w:hint="eastAsia" w:ascii="宋体" w:hAnsi="宋体" w:eastAsia="宋体" w:cs="宋体"/>
          <w:i w:val="0"/>
          <w:iCs w:val="0"/>
          <w:caps w:val="0"/>
          <w:color w:val="auto"/>
          <w:spacing w:val="0"/>
          <w:kern w:val="0"/>
          <w:sz w:val="24"/>
          <w:szCs w:val="24"/>
          <w:shd w:val="clear" w:fill="FFFFFF"/>
          <w:lang w:val="en-US" w:eastAsia="zh-CN" w:bidi="ar"/>
        </w:rPr>
        <w:t>年</w:t>
      </w:r>
      <w:r>
        <w:rPr>
          <w:rFonts w:hint="eastAsia" w:ascii="宋体" w:hAnsi="宋体" w:cs="宋体"/>
          <w:i w:val="0"/>
          <w:iCs w:val="0"/>
          <w:caps w:val="0"/>
          <w:color w:val="auto"/>
          <w:spacing w:val="0"/>
          <w:kern w:val="0"/>
          <w:sz w:val="24"/>
          <w:szCs w:val="24"/>
          <w:shd w:val="clear" w:fill="FFFFFF"/>
          <w:lang w:val="en-US" w:eastAsia="zh-CN" w:bidi="ar"/>
        </w:rPr>
        <w:t>01</w:t>
      </w:r>
      <w:r>
        <w:rPr>
          <w:rFonts w:hint="eastAsia" w:ascii="宋体" w:hAnsi="宋体" w:eastAsia="宋体" w:cs="宋体"/>
          <w:i w:val="0"/>
          <w:iCs w:val="0"/>
          <w:caps w:val="0"/>
          <w:color w:val="auto"/>
          <w:spacing w:val="0"/>
          <w:kern w:val="0"/>
          <w:sz w:val="24"/>
          <w:szCs w:val="24"/>
          <w:shd w:val="clear" w:fill="FFFFFF"/>
          <w:lang w:val="en-US" w:eastAsia="zh-CN" w:bidi="ar"/>
        </w:rPr>
        <w:t>月</w:t>
      </w:r>
      <w:r>
        <w:rPr>
          <w:rFonts w:hint="eastAsia" w:ascii="宋体" w:hAnsi="宋体" w:cs="宋体"/>
          <w:i w:val="0"/>
          <w:iCs w:val="0"/>
          <w:caps w:val="0"/>
          <w:color w:val="auto"/>
          <w:spacing w:val="0"/>
          <w:kern w:val="0"/>
          <w:sz w:val="24"/>
          <w:szCs w:val="24"/>
          <w:shd w:val="clear" w:fill="FFFFFF"/>
          <w:lang w:val="en-US" w:eastAsia="zh-CN" w:bidi="ar"/>
        </w:rPr>
        <w:t>08</w:t>
      </w:r>
      <w:r>
        <w:rPr>
          <w:rFonts w:hint="eastAsia" w:ascii="宋体" w:hAnsi="宋体" w:eastAsia="宋体" w:cs="宋体"/>
          <w:i w:val="0"/>
          <w:iCs w:val="0"/>
          <w:caps w:val="0"/>
          <w:color w:val="auto"/>
          <w:spacing w:val="0"/>
          <w:kern w:val="0"/>
          <w:sz w:val="24"/>
          <w:szCs w:val="24"/>
          <w:shd w:val="clear" w:fill="FFFFFF"/>
          <w:lang w:val="en-US" w:eastAsia="zh-CN" w:bidi="ar"/>
        </w:rPr>
        <w:t>日，每天上午0</w:t>
      </w:r>
      <w:r>
        <w:rPr>
          <w:rFonts w:hint="eastAsia" w:ascii="宋体" w:hAnsi="宋体" w:cs="宋体"/>
          <w:i w:val="0"/>
          <w:iCs w:val="0"/>
          <w:caps w:val="0"/>
          <w:color w:val="auto"/>
          <w:spacing w:val="0"/>
          <w:kern w:val="0"/>
          <w:sz w:val="24"/>
          <w:szCs w:val="24"/>
          <w:shd w:val="clear" w:fill="FFFFFF"/>
          <w:lang w:val="en-US" w:eastAsia="zh-CN" w:bidi="ar"/>
        </w:rPr>
        <w:t>9</w:t>
      </w:r>
      <w:r>
        <w:rPr>
          <w:rFonts w:hint="eastAsia" w:ascii="宋体" w:hAnsi="宋体" w:eastAsia="宋体" w:cs="宋体"/>
          <w:i w:val="0"/>
          <w:iCs w:val="0"/>
          <w:caps w:val="0"/>
          <w:color w:val="auto"/>
          <w:spacing w:val="0"/>
          <w:kern w:val="0"/>
          <w:sz w:val="24"/>
          <w:szCs w:val="24"/>
          <w:shd w:val="clear" w:fill="FFFFFF"/>
          <w:lang w:val="en-US" w:eastAsia="zh-CN" w:bidi="ar"/>
        </w:rPr>
        <w:t>:00:00至12:00:00，下午1</w:t>
      </w:r>
      <w:r>
        <w:rPr>
          <w:rFonts w:hint="eastAsia" w:ascii="宋体" w:hAnsi="宋体" w:cs="宋体"/>
          <w:i w:val="0"/>
          <w:iCs w:val="0"/>
          <w:caps w:val="0"/>
          <w:color w:val="auto"/>
          <w:spacing w:val="0"/>
          <w:kern w:val="0"/>
          <w:sz w:val="24"/>
          <w:szCs w:val="24"/>
          <w:shd w:val="clear" w:fill="FFFFFF"/>
          <w:lang w:val="en-US" w:eastAsia="zh-CN" w:bidi="ar"/>
        </w:rPr>
        <w:t>4</w:t>
      </w:r>
      <w:r>
        <w:rPr>
          <w:rFonts w:hint="eastAsia" w:ascii="宋体" w:hAnsi="宋体" w:eastAsia="宋体" w:cs="宋体"/>
          <w:i w:val="0"/>
          <w:iCs w:val="0"/>
          <w:caps w:val="0"/>
          <w:color w:val="auto"/>
          <w:spacing w:val="0"/>
          <w:kern w:val="0"/>
          <w:sz w:val="24"/>
          <w:szCs w:val="24"/>
          <w:shd w:val="clear" w:fill="FFFFFF"/>
          <w:lang w:val="en-US" w:eastAsia="zh-CN" w:bidi="ar"/>
        </w:rPr>
        <w:t>:00:00至1</w:t>
      </w:r>
      <w:r>
        <w:rPr>
          <w:rFonts w:hint="eastAsia" w:ascii="宋体" w:hAnsi="宋体" w:cs="宋体"/>
          <w:i w:val="0"/>
          <w:iCs w:val="0"/>
          <w:caps w:val="0"/>
          <w:color w:val="auto"/>
          <w:spacing w:val="0"/>
          <w:kern w:val="0"/>
          <w:sz w:val="24"/>
          <w:szCs w:val="24"/>
          <w:shd w:val="clear" w:fill="FFFFFF"/>
          <w:lang w:val="en-US" w:eastAsia="zh-CN" w:bidi="ar"/>
        </w:rPr>
        <w:t>7</w:t>
      </w:r>
      <w:r>
        <w:rPr>
          <w:rFonts w:hint="eastAsia" w:ascii="宋体" w:hAnsi="宋体" w:eastAsia="宋体" w:cs="宋体"/>
          <w:i w:val="0"/>
          <w:iCs w:val="0"/>
          <w:caps w:val="0"/>
          <w:color w:val="auto"/>
          <w:spacing w:val="0"/>
          <w:kern w:val="0"/>
          <w:sz w:val="24"/>
          <w:szCs w:val="24"/>
          <w:shd w:val="clear" w:fill="FFFFFF"/>
          <w:lang w:val="en-US" w:eastAsia="zh-CN" w:bidi="ar"/>
        </w:rPr>
        <w:t>:00:00（北京时间）</w:t>
      </w:r>
    </w:p>
    <w:p w14:paraId="24EFD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cs="宋体"/>
          <w:i w:val="0"/>
          <w:iCs w:val="0"/>
          <w:caps w:val="0"/>
          <w:color w:val="auto"/>
          <w:spacing w:val="0"/>
          <w:kern w:val="0"/>
          <w:sz w:val="24"/>
          <w:szCs w:val="24"/>
          <w:shd w:val="clear" w:fill="FFFFFF"/>
          <w:lang w:val="en-US" w:eastAsia="zh-CN" w:bidi="ar"/>
        </w:rPr>
        <w:t>获取</w:t>
      </w:r>
      <w:r>
        <w:rPr>
          <w:rFonts w:hint="eastAsia" w:ascii="宋体" w:hAnsi="宋体" w:eastAsia="宋体" w:cs="宋体"/>
          <w:i w:val="0"/>
          <w:iCs w:val="0"/>
          <w:caps w:val="0"/>
          <w:color w:val="auto"/>
          <w:spacing w:val="0"/>
          <w:kern w:val="0"/>
          <w:sz w:val="24"/>
          <w:szCs w:val="24"/>
          <w:shd w:val="clear" w:fill="FFFFFF"/>
          <w:lang w:val="en-US" w:eastAsia="zh-CN" w:bidi="ar"/>
        </w:rPr>
        <w:t>地点：</w:t>
      </w:r>
      <w:r>
        <w:rPr>
          <w:rFonts w:hint="eastAsia" w:ascii="宋体" w:hAnsi="宋体" w:eastAsia="宋体" w:cs="宋体"/>
          <w:b w:val="0"/>
          <w:bCs w:val="0"/>
          <w:color w:val="auto"/>
          <w:sz w:val="24"/>
          <w:szCs w:val="24"/>
          <w:lang w:val="en-US" w:eastAsia="zh-CN"/>
        </w:rPr>
        <w:t>宝泽项目管理有限公司（</w:t>
      </w:r>
      <w:r>
        <w:rPr>
          <w:rFonts w:hint="eastAsia" w:ascii="宋体" w:hAnsi="宋体" w:cs="宋体"/>
          <w:b w:val="0"/>
          <w:bCs w:val="0"/>
          <w:color w:val="auto"/>
          <w:sz w:val="24"/>
          <w:szCs w:val="24"/>
          <w:lang w:val="en-US" w:eastAsia="zh-CN"/>
        </w:rPr>
        <w:t>电子邮箱</w:t>
      </w:r>
      <w:r>
        <w:rPr>
          <w:rFonts w:hint="eastAsia" w:ascii="宋体" w:hAnsi="宋体" w:eastAsia="宋体" w:cs="宋体"/>
          <w:b w:val="0"/>
          <w:bCs w:val="0"/>
          <w:color w:val="auto"/>
          <w:sz w:val="24"/>
          <w:szCs w:val="24"/>
          <w:lang w:val="en-US" w:eastAsia="zh-CN"/>
        </w:rPr>
        <w:t>）</w:t>
      </w:r>
    </w:p>
    <w:p w14:paraId="47C5E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方式：</w:t>
      </w:r>
      <w:r>
        <w:rPr>
          <w:rFonts w:hint="eastAsia" w:ascii="宋体" w:hAnsi="宋体" w:cs="宋体"/>
          <w:i w:val="0"/>
          <w:iCs w:val="0"/>
          <w:caps w:val="0"/>
          <w:color w:val="auto"/>
          <w:spacing w:val="0"/>
          <w:kern w:val="0"/>
          <w:sz w:val="24"/>
          <w:szCs w:val="24"/>
          <w:shd w:val="clear" w:fill="FFFFFF"/>
          <w:lang w:val="en-US" w:eastAsia="zh-CN" w:bidi="ar"/>
        </w:rPr>
        <w:t>在线</w:t>
      </w:r>
      <w:r>
        <w:rPr>
          <w:rFonts w:hint="eastAsia" w:ascii="宋体" w:hAnsi="宋体" w:eastAsia="宋体" w:cs="宋体"/>
          <w:i w:val="0"/>
          <w:iCs w:val="0"/>
          <w:caps w:val="0"/>
          <w:color w:val="auto"/>
          <w:spacing w:val="0"/>
          <w:kern w:val="0"/>
          <w:sz w:val="24"/>
          <w:szCs w:val="24"/>
          <w:shd w:val="clear" w:fill="FFFFFF"/>
          <w:lang w:val="en-US" w:eastAsia="zh-CN" w:bidi="ar"/>
        </w:rPr>
        <w:t>获取</w:t>
      </w:r>
    </w:p>
    <w:p w14:paraId="51E83808">
      <w:pPr>
        <w:autoSpaceDE w:val="0"/>
        <w:autoSpaceDN w:val="0"/>
        <w:spacing w:line="360" w:lineRule="exact"/>
        <w:ind w:left="-210" w:leftChars="-100" w:right="-155" w:rightChars="-74" w:firstLine="739" w:firstLineChars="308"/>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售价：0元</w:t>
      </w:r>
    </w:p>
    <w:p w14:paraId="7DC62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采购文件获取方式：投标人须在采购文件获取时间内将加盖单位公章的法人授权书、法人及被授权人身份证复印件、营业执照发送至宝泽项目管理有限公司（</w:t>
      </w:r>
      <w:r>
        <w:rPr>
          <w:rFonts w:hint="eastAsia" w:ascii="宋体" w:hAnsi="宋体" w:cs="宋体"/>
          <w:b/>
          <w:bCs/>
          <w:i w:val="0"/>
          <w:iCs w:val="0"/>
          <w:caps w:val="0"/>
          <w:color w:val="auto"/>
          <w:spacing w:val="0"/>
          <w:kern w:val="0"/>
          <w:sz w:val="24"/>
          <w:szCs w:val="24"/>
          <w:shd w:val="clear" w:fill="FFFFFF"/>
          <w:lang w:val="en-US" w:eastAsia="zh-CN" w:bidi="ar"/>
        </w:rPr>
        <w:t>757903418</w:t>
      </w:r>
      <w:r>
        <w:rPr>
          <w:rFonts w:hint="eastAsia" w:ascii="宋体" w:hAnsi="宋体" w:eastAsia="宋体" w:cs="宋体"/>
          <w:b/>
          <w:bCs/>
          <w:i w:val="0"/>
          <w:iCs w:val="0"/>
          <w:caps w:val="0"/>
          <w:color w:val="auto"/>
          <w:spacing w:val="0"/>
          <w:kern w:val="0"/>
          <w:sz w:val="24"/>
          <w:szCs w:val="24"/>
          <w:shd w:val="clear" w:fill="FFFFFF"/>
          <w:lang w:val="en-US" w:eastAsia="zh-CN" w:bidi="ar"/>
        </w:rPr>
        <w:t>@qq.com）邮箱，进行投标确认，否则报名无效。</w:t>
      </w:r>
    </w:p>
    <w:p w14:paraId="0C9DC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四、响应文件提交</w:t>
      </w:r>
    </w:p>
    <w:p w14:paraId="4281F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文件递交截止时间：</w:t>
      </w:r>
      <w:r>
        <w:rPr>
          <w:rFonts w:hint="eastAsia" w:ascii="宋体" w:hAnsi="宋体" w:cs="宋体"/>
          <w:i w:val="0"/>
          <w:iCs w:val="0"/>
          <w:caps w:val="0"/>
          <w:color w:val="auto"/>
          <w:spacing w:val="0"/>
          <w:kern w:val="0"/>
          <w:sz w:val="24"/>
          <w:szCs w:val="24"/>
          <w:shd w:val="clear" w:fill="FFFFFF"/>
          <w:lang w:val="en-US" w:eastAsia="zh-CN" w:bidi="ar"/>
        </w:rPr>
        <w:t>2026</w:t>
      </w:r>
      <w:r>
        <w:rPr>
          <w:rFonts w:hint="eastAsia" w:ascii="宋体" w:hAnsi="宋体" w:eastAsia="宋体" w:cs="宋体"/>
          <w:i w:val="0"/>
          <w:iCs w:val="0"/>
          <w:caps w:val="0"/>
          <w:color w:val="auto"/>
          <w:spacing w:val="0"/>
          <w:kern w:val="0"/>
          <w:sz w:val="24"/>
          <w:szCs w:val="24"/>
          <w:shd w:val="clear" w:fill="FFFFFF"/>
          <w:lang w:val="en-US" w:eastAsia="zh-CN" w:bidi="ar"/>
        </w:rPr>
        <w:t>年</w:t>
      </w:r>
      <w:r>
        <w:rPr>
          <w:rFonts w:hint="eastAsia" w:ascii="宋体" w:hAnsi="宋体" w:cs="宋体"/>
          <w:i w:val="0"/>
          <w:iCs w:val="0"/>
          <w:caps w:val="0"/>
          <w:color w:val="auto"/>
          <w:spacing w:val="0"/>
          <w:kern w:val="0"/>
          <w:sz w:val="24"/>
          <w:szCs w:val="24"/>
          <w:shd w:val="clear" w:fill="FFFFFF"/>
          <w:lang w:val="en-US" w:eastAsia="zh-CN" w:bidi="ar"/>
        </w:rPr>
        <w:t>01</w:t>
      </w:r>
      <w:r>
        <w:rPr>
          <w:rFonts w:hint="eastAsia" w:ascii="宋体" w:hAnsi="宋体" w:eastAsia="宋体" w:cs="宋体"/>
          <w:i w:val="0"/>
          <w:iCs w:val="0"/>
          <w:caps w:val="0"/>
          <w:color w:val="auto"/>
          <w:spacing w:val="0"/>
          <w:kern w:val="0"/>
          <w:sz w:val="24"/>
          <w:szCs w:val="24"/>
          <w:shd w:val="clear" w:fill="FFFFFF"/>
          <w:lang w:val="en-US" w:eastAsia="zh-CN" w:bidi="ar"/>
        </w:rPr>
        <w:t>月</w:t>
      </w:r>
      <w:r>
        <w:rPr>
          <w:rFonts w:hint="eastAsia" w:ascii="宋体" w:hAnsi="宋体" w:cs="宋体"/>
          <w:i w:val="0"/>
          <w:iCs w:val="0"/>
          <w:caps w:val="0"/>
          <w:color w:val="auto"/>
          <w:spacing w:val="0"/>
          <w:kern w:val="0"/>
          <w:sz w:val="24"/>
          <w:szCs w:val="24"/>
          <w:shd w:val="clear" w:fill="FFFFFF"/>
          <w:lang w:val="en-US" w:eastAsia="zh-CN" w:bidi="ar"/>
        </w:rPr>
        <w:t>16</w:t>
      </w:r>
      <w:r>
        <w:rPr>
          <w:rFonts w:hint="eastAsia" w:ascii="宋体" w:hAnsi="宋体" w:eastAsia="宋体" w:cs="宋体"/>
          <w:i w:val="0"/>
          <w:iCs w:val="0"/>
          <w:caps w:val="0"/>
          <w:color w:val="auto"/>
          <w:spacing w:val="0"/>
          <w:kern w:val="0"/>
          <w:sz w:val="24"/>
          <w:szCs w:val="24"/>
          <w:shd w:val="clear" w:fill="FFFFFF"/>
          <w:lang w:val="en-US" w:eastAsia="zh-CN" w:bidi="ar"/>
        </w:rPr>
        <w:t>日</w:t>
      </w:r>
      <w:r>
        <w:rPr>
          <w:rFonts w:hint="eastAsia" w:ascii="宋体" w:hAnsi="宋体" w:cs="宋体"/>
          <w:i w:val="0"/>
          <w:iCs w:val="0"/>
          <w:caps w:val="0"/>
          <w:color w:val="auto"/>
          <w:spacing w:val="0"/>
          <w:kern w:val="0"/>
          <w:sz w:val="24"/>
          <w:szCs w:val="24"/>
          <w:shd w:val="clear" w:fill="FFFFFF"/>
          <w:lang w:val="en-US" w:eastAsia="zh-CN" w:bidi="ar"/>
        </w:rPr>
        <w:t>14</w:t>
      </w:r>
      <w:r>
        <w:rPr>
          <w:rFonts w:hint="eastAsia" w:ascii="宋体" w:hAnsi="宋体" w:eastAsia="宋体" w:cs="宋体"/>
          <w:i w:val="0"/>
          <w:iCs w:val="0"/>
          <w:caps w:val="0"/>
          <w:color w:val="auto"/>
          <w:spacing w:val="0"/>
          <w:kern w:val="0"/>
          <w:sz w:val="24"/>
          <w:szCs w:val="24"/>
          <w:shd w:val="clear" w:fill="FFFFFF"/>
          <w:lang w:val="en-US" w:eastAsia="zh-CN" w:bidi="ar"/>
        </w:rPr>
        <w:t>时00分00秒（北京时间）</w:t>
      </w:r>
    </w:p>
    <w:p w14:paraId="0108C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开标地点</w:t>
      </w:r>
      <w:r>
        <w:rPr>
          <w:rFonts w:hint="eastAsia" w:ascii="宋体" w:hAnsi="宋体" w:cs="宋体"/>
          <w:i w:val="0"/>
          <w:iCs w:val="0"/>
          <w:caps w:val="0"/>
          <w:color w:val="auto"/>
          <w:spacing w:val="0"/>
          <w:kern w:val="0"/>
          <w:sz w:val="24"/>
          <w:szCs w:val="24"/>
          <w:shd w:val="clear" w:fill="FFFFFF"/>
          <w:lang w:val="en-US" w:eastAsia="zh-CN" w:bidi="ar"/>
        </w:rPr>
        <w:t>:白河县人民法院会议室</w:t>
      </w:r>
    </w:p>
    <w:p w14:paraId="6AA34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五、公告期限</w:t>
      </w:r>
    </w:p>
    <w:p w14:paraId="3A9E3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自本公告发布之日起3个工作日。</w:t>
      </w:r>
    </w:p>
    <w:p w14:paraId="7D3EE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六、其他补充事宜</w:t>
      </w:r>
    </w:p>
    <w:p w14:paraId="6D053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1.落实政府采购政策</w:t>
      </w:r>
    </w:p>
    <w:p w14:paraId="4B097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1.《政府采购促进中小企业发展管理办法》（财库〔2020〕46号）；</w:t>
      </w:r>
    </w:p>
    <w:p w14:paraId="0BE28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2.《财政部司法部关于政府采购支持监狱企业发展有关问题的通知》（财库〔2014〕68号）；</w:t>
      </w:r>
    </w:p>
    <w:p w14:paraId="50FD1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3.《国务院办公厅关于建立政府强制采购节能产品制度的通知》（国办发〔2007〕51号）；</w:t>
      </w:r>
    </w:p>
    <w:p w14:paraId="54E0A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4.《关于印发环境标志产品政府采购品目清单的通知》（财库〔2019〕18号）；</w:t>
      </w:r>
    </w:p>
    <w:p w14:paraId="34A83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5.《关于促进残疾人就业政府采购政策的通知》（财库〔2017〕141号）；</w:t>
      </w:r>
    </w:p>
    <w:p w14:paraId="49BD8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6.《关于调整优化节能产品、环境标志产品政府采购执行机制的通知》（财库〔2019〕9号）；</w:t>
      </w:r>
    </w:p>
    <w:p w14:paraId="290FA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7.《财政部农业农村部国家乡村振兴局关于运用政府采购政策支持乡村产业振兴的通知》（财库〔2021〕19号）；</w:t>
      </w:r>
    </w:p>
    <w:p w14:paraId="1D6F5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8.《陕西省中小企业政府采购信用融资办法》（陕财办采〔2018〕23号）；</w:t>
      </w:r>
    </w:p>
    <w:p w14:paraId="6C95B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9.《陕西省财政厅关于加快推进我省中小企业政府采购信用融资工作的通知》（陕财办采〔2020〕15号）；</w:t>
      </w:r>
    </w:p>
    <w:p w14:paraId="15B39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10.陕西省财政厅《关于进一步加强政府绿色采购有关问题的通知》（陕财办采〔2021〕29号）。</w:t>
      </w:r>
    </w:p>
    <w:p w14:paraId="2B2C1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七、对本次</w:t>
      </w:r>
      <w:r>
        <w:rPr>
          <w:rFonts w:hint="eastAsia" w:ascii="宋体" w:hAnsi="宋体" w:cs="宋体"/>
          <w:b/>
          <w:bCs/>
          <w:i w:val="0"/>
          <w:iCs w:val="0"/>
          <w:caps w:val="0"/>
          <w:color w:val="auto"/>
          <w:spacing w:val="0"/>
          <w:kern w:val="0"/>
          <w:sz w:val="24"/>
          <w:szCs w:val="24"/>
          <w:shd w:val="clear" w:fill="FFFFFF"/>
          <w:lang w:val="en-US" w:eastAsia="zh-CN" w:bidi="ar"/>
        </w:rPr>
        <w:t>采购</w:t>
      </w:r>
      <w:r>
        <w:rPr>
          <w:rFonts w:hint="eastAsia" w:ascii="宋体" w:hAnsi="宋体" w:eastAsia="宋体" w:cs="宋体"/>
          <w:b/>
          <w:bCs/>
          <w:i w:val="0"/>
          <w:iCs w:val="0"/>
          <w:caps w:val="0"/>
          <w:color w:val="auto"/>
          <w:spacing w:val="0"/>
          <w:kern w:val="0"/>
          <w:sz w:val="24"/>
          <w:szCs w:val="24"/>
          <w:shd w:val="clear" w:fill="FFFFFF"/>
          <w:lang w:val="en-US" w:eastAsia="zh-CN" w:bidi="ar"/>
        </w:rPr>
        <w:t>提出询问，请按以下方式联系</w:t>
      </w:r>
    </w:p>
    <w:p w14:paraId="107A3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1.采购人信息</w:t>
      </w:r>
    </w:p>
    <w:p w14:paraId="49900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名称：白河县人民法院</w:t>
      </w:r>
    </w:p>
    <w:p w14:paraId="0122E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地址：陕西省白河县滨河路</w:t>
      </w:r>
    </w:p>
    <w:p w14:paraId="5888BA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联系人：刘女士</w:t>
      </w:r>
    </w:p>
    <w:p w14:paraId="45A99F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联系方式：15289256373</w:t>
      </w:r>
    </w:p>
    <w:p w14:paraId="24540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2.采购代理机构信息</w:t>
      </w:r>
    </w:p>
    <w:p w14:paraId="0C874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名称：宝泽项目管理有限公司</w:t>
      </w:r>
    </w:p>
    <w:p w14:paraId="6DD57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地址：</w:t>
      </w:r>
      <w:r>
        <w:rPr>
          <w:rFonts w:hint="eastAsia" w:ascii="宋体" w:hAnsi="宋体" w:eastAsia="宋体" w:cs="宋体"/>
          <w:b w:val="0"/>
          <w:bCs w:val="0"/>
          <w:color w:val="auto"/>
          <w:sz w:val="24"/>
          <w:szCs w:val="24"/>
          <w:lang w:val="en-US" w:eastAsia="zh-CN"/>
        </w:rPr>
        <w:t>陕西省西安市未央区未央路二府庄1号荣豪大厦1幢20楼5-154室</w:t>
      </w:r>
    </w:p>
    <w:p w14:paraId="40E9E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联系方式：</w:t>
      </w:r>
      <w:r>
        <w:rPr>
          <w:rFonts w:hint="eastAsia" w:ascii="宋体" w:hAnsi="宋体" w:cs="宋体"/>
          <w:i w:val="0"/>
          <w:iCs w:val="0"/>
          <w:caps w:val="0"/>
          <w:color w:val="auto"/>
          <w:spacing w:val="0"/>
          <w:kern w:val="0"/>
          <w:sz w:val="24"/>
          <w:szCs w:val="24"/>
          <w:shd w:val="clear" w:fill="FFFFFF"/>
          <w:lang w:val="en-US" w:eastAsia="zh-CN" w:bidi="ar"/>
        </w:rPr>
        <w:t>13629256096</w:t>
      </w:r>
    </w:p>
    <w:p w14:paraId="70EA9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3.项目联系方式</w:t>
      </w:r>
    </w:p>
    <w:p w14:paraId="08C1C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项目联系人：</w:t>
      </w:r>
      <w:r>
        <w:rPr>
          <w:rFonts w:hint="eastAsia" w:ascii="宋体" w:hAnsi="宋体" w:cs="宋体"/>
          <w:i w:val="0"/>
          <w:iCs w:val="0"/>
          <w:caps w:val="0"/>
          <w:color w:val="auto"/>
          <w:spacing w:val="0"/>
          <w:kern w:val="0"/>
          <w:sz w:val="24"/>
          <w:szCs w:val="24"/>
          <w:shd w:val="clear" w:fill="FFFFFF"/>
          <w:lang w:val="en-US" w:eastAsia="zh-CN" w:bidi="ar"/>
        </w:rPr>
        <w:t>朱工</w:t>
      </w:r>
    </w:p>
    <w:p w14:paraId="7E7AC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联系电话：</w:t>
      </w:r>
      <w:r>
        <w:rPr>
          <w:rFonts w:hint="eastAsia" w:ascii="宋体" w:hAnsi="宋体" w:cs="宋体"/>
          <w:i w:val="0"/>
          <w:iCs w:val="0"/>
          <w:caps w:val="0"/>
          <w:color w:val="auto"/>
          <w:spacing w:val="0"/>
          <w:kern w:val="0"/>
          <w:sz w:val="24"/>
          <w:szCs w:val="24"/>
          <w:shd w:val="clear" w:fill="FFFFFF"/>
          <w:lang w:val="en-US" w:eastAsia="zh-CN" w:bidi="ar"/>
        </w:rPr>
        <w:t>13629256096</w:t>
      </w:r>
    </w:p>
    <w:p w14:paraId="5E122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 xml:space="preserve">                                 </w:t>
      </w:r>
    </w:p>
    <w:p w14:paraId="48D8C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p>
    <w:p w14:paraId="0F354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62" w:firstLineChars="2026"/>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宝泽项目管理有限公司</w:t>
      </w:r>
    </w:p>
    <w:p w14:paraId="5D0EF356">
      <w:pPr>
        <w:pStyle w:val="2"/>
        <w:keepNext w:val="0"/>
        <w:keepLines w:val="0"/>
        <w:pageBreakBefore w:val="0"/>
        <w:kinsoku/>
        <w:overflowPunct/>
        <w:topLinePunct w:val="0"/>
        <w:autoSpaceDE/>
        <w:autoSpaceDN/>
        <w:bidi w:val="0"/>
        <w:adjustRightInd/>
        <w:snapToGrid/>
        <w:spacing w:line="400" w:lineRule="exact"/>
        <w:jc w:val="center"/>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cs="宋体"/>
          <w:i w:val="0"/>
          <w:iCs w:val="0"/>
          <w:caps w:val="0"/>
          <w:color w:val="auto"/>
          <w:spacing w:val="0"/>
          <w:kern w:val="0"/>
          <w:sz w:val="24"/>
          <w:szCs w:val="24"/>
          <w:shd w:val="clear" w:fill="FFFFFF"/>
          <w:lang w:val="en-US" w:eastAsia="zh-CN" w:bidi="ar"/>
        </w:rPr>
        <w:t xml:space="preserve">                                         </w:t>
      </w:r>
      <w:r>
        <w:rPr>
          <w:rFonts w:hint="eastAsia" w:ascii="宋体" w:hAnsi="宋体" w:eastAsia="宋体" w:cs="宋体"/>
          <w:i w:val="0"/>
          <w:iCs w:val="0"/>
          <w:caps w:val="0"/>
          <w:color w:val="auto"/>
          <w:spacing w:val="0"/>
          <w:kern w:val="0"/>
          <w:sz w:val="24"/>
          <w:szCs w:val="24"/>
          <w:shd w:val="clear" w:fill="FFFFFF"/>
          <w:lang w:val="en-US" w:eastAsia="zh-CN" w:bidi="ar"/>
        </w:rPr>
        <w:t>2025年</w:t>
      </w:r>
      <w:r>
        <w:rPr>
          <w:rFonts w:hint="eastAsia" w:ascii="宋体" w:hAnsi="宋体" w:cs="宋体"/>
          <w:i w:val="0"/>
          <w:iCs w:val="0"/>
          <w:caps w:val="0"/>
          <w:color w:val="auto"/>
          <w:spacing w:val="0"/>
          <w:kern w:val="0"/>
          <w:sz w:val="24"/>
          <w:szCs w:val="24"/>
          <w:shd w:val="clear" w:fill="FFFFFF"/>
          <w:lang w:val="en-US" w:eastAsia="zh-CN" w:bidi="ar"/>
        </w:rPr>
        <w:t>12</w:t>
      </w:r>
      <w:r>
        <w:rPr>
          <w:rFonts w:hint="eastAsia" w:ascii="宋体" w:hAnsi="宋体" w:eastAsia="宋体" w:cs="宋体"/>
          <w:i w:val="0"/>
          <w:iCs w:val="0"/>
          <w:caps w:val="0"/>
          <w:color w:val="auto"/>
          <w:spacing w:val="0"/>
          <w:kern w:val="0"/>
          <w:sz w:val="24"/>
          <w:szCs w:val="24"/>
          <w:shd w:val="clear" w:fill="FFFFFF"/>
          <w:lang w:val="en-US" w:eastAsia="zh-CN" w:bidi="ar"/>
        </w:rPr>
        <w:t>月</w:t>
      </w:r>
      <w:r>
        <w:rPr>
          <w:rFonts w:hint="eastAsia" w:ascii="宋体" w:hAnsi="宋体" w:cs="宋体"/>
          <w:i w:val="0"/>
          <w:iCs w:val="0"/>
          <w:caps w:val="0"/>
          <w:color w:val="auto"/>
          <w:spacing w:val="0"/>
          <w:kern w:val="0"/>
          <w:sz w:val="24"/>
          <w:szCs w:val="24"/>
          <w:shd w:val="clear" w:fill="FFFFFF"/>
          <w:lang w:val="en-US" w:eastAsia="zh-CN" w:bidi="ar"/>
        </w:rPr>
        <w:t>31</w:t>
      </w:r>
      <w:r>
        <w:rPr>
          <w:rFonts w:hint="eastAsia" w:ascii="宋体" w:hAnsi="宋体" w:eastAsia="宋体" w:cs="宋体"/>
          <w:i w:val="0"/>
          <w:iCs w:val="0"/>
          <w:caps w:val="0"/>
          <w:color w:val="auto"/>
          <w:spacing w:val="0"/>
          <w:kern w:val="0"/>
          <w:sz w:val="24"/>
          <w:szCs w:val="24"/>
          <w:shd w:val="clear" w:fill="FFFFFF"/>
          <w:lang w:val="en-US" w:eastAsia="zh-CN" w:bidi="ar"/>
        </w:rPr>
        <w:t>日</w:t>
      </w:r>
    </w:p>
    <w:p w14:paraId="24A3E196">
      <w:pPr>
        <w:rPr>
          <w:rFonts w:hint="eastAsia" w:ascii="宋体" w:hAnsi="宋体"/>
          <w:b/>
          <w:color w:val="auto"/>
          <w:sz w:val="32"/>
          <w:szCs w:val="32"/>
        </w:rPr>
      </w:pPr>
      <w:r>
        <w:rPr>
          <w:rFonts w:hint="eastAsia" w:ascii="宋体" w:hAnsi="宋体"/>
          <w:b/>
          <w:color w:val="auto"/>
          <w:sz w:val="32"/>
          <w:szCs w:val="32"/>
        </w:rPr>
        <w:br w:type="page"/>
      </w:r>
    </w:p>
    <w:p w14:paraId="594152A0">
      <w:pPr>
        <w:keepNext w:val="0"/>
        <w:keepLines w:val="0"/>
        <w:pageBreakBefore w:val="0"/>
        <w:kinsoku/>
        <w:wordWrap/>
        <w:overflowPunct/>
        <w:topLinePunct w:val="0"/>
        <w:bidi w:val="0"/>
        <w:spacing w:line="440" w:lineRule="exact"/>
        <w:ind w:firstLine="643" w:firstLineChars="20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第二部分  磋商须知</w:t>
      </w:r>
    </w:p>
    <w:p w14:paraId="2A8E861F">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一、名词解释</w:t>
      </w:r>
    </w:p>
    <w:p w14:paraId="4E46C38F">
      <w:pPr>
        <w:keepNext w:val="0"/>
        <w:keepLines w:val="0"/>
        <w:pageBreakBefore w:val="0"/>
        <w:numPr>
          <w:ilvl w:val="0"/>
          <w:numId w:val="0"/>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Times New Roman"/>
          <w:color w:val="auto"/>
          <w:kern w:val="2"/>
          <w:sz w:val="24"/>
          <w:szCs w:val="24"/>
          <w:lang w:val="en-US" w:eastAsia="zh-CN" w:bidi="ar-SA"/>
        </w:rPr>
        <w:t>1</w:t>
      </w:r>
      <w:r>
        <w:rPr>
          <w:rFonts w:hint="eastAsia" w:ascii="宋体" w:hAnsi="宋体" w:cs="Times New Roman"/>
          <w:color w:val="auto"/>
          <w:kern w:val="2"/>
          <w:sz w:val="24"/>
          <w:szCs w:val="24"/>
          <w:lang w:val="en-US" w:eastAsia="zh-CN" w:bidi="ar-SA"/>
        </w:rPr>
        <w:t>.</w:t>
      </w:r>
      <w:r>
        <w:rPr>
          <w:rFonts w:hint="eastAsia" w:ascii="宋体" w:hAnsi="宋体" w:eastAsia="宋体" w:cs="宋体"/>
          <w:color w:val="auto"/>
          <w:sz w:val="24"/>
          <w:szCs w:val="24"/>
        </w:rPr>
        <w:t>采购单位：</w:t>
      </w:r>
      <w:r>
        <w:rPr>
          <w:rFonts w:hint="eastAsia" w:ascii="宋体" w:hAnsi="宋体" w:eastAsia="宋体" w:cs="宋体"/>
          <w:color w:val="auto"/>
          <w:sz w:val="24"/>
          <w:szCs w:val="24"/>
          <w:lang w:val="en-US" w:eastAsia="zh-CN"/>
        </w:rPr>
        <w:t>白河县人民法院</w:t>
      </w:r>
    </w:p>
    <w:p w14:paraId="50B423B6">
      <w:pPr>
        <w:keepNext w:val="0"/>
        <w:keepLines w:val="0"/>
        <w:pageBreakBefore w:val="0"/>
        <w:numPr>
          <w:ilvl w:val="0"/>
          <w:numId w:val="0"/>
        </w:numPr>
        <w:kinsoku/>
        <w:wordWrap/>
        <w:overflowPunct/>
        <w:topLinePunct w:val="0"/>
        <w:bidi w:val="0"/>
        <w:adjustRightInd w:val="0"/>
        <w:snapToGrid w:val="0"/>
        <w:spacing w:line="440" w:lineRule="exact"/>
        <w:ind w:firstLine="480" w:firstLineChars="200"/>
        <w:textAlignment w:val="auto"/>
        <w:rPr>
          <w:rFonts w:hint="default" w:ascii="宋体" w:hAnsi="宋体" w:eastAsia="宋体" w:cs="宋体"/>
          <w:color w:val="auto"/>
          <w:sz w:val="24"/>
          <w:szCs w:val="24"/>
          <w:lang w:val="en-US"/>
        </w:rPr>
      </w:pPr>
      <w:r>
        <w:rPr>
          <w:rFonts w:hint="default" w:ascii="宋体" w:hAnsi="宋体" w:eastAsia="宋体" w:cs="Times New Roman"/>
          <w:color w:val="auto"/>
          <w:kern w:val="2"/>
          <w:sz w:val="24"/>
          <w:szCs w:val="24"/>
          <w:lang w:val="en-US" w:eastAsia="zh-CN" w:bidi="ar-SA"/>
        </w:rPr>
        <w:t>2</w:t>
      </w:r>
      <w:r>
        <w:rPr>
          <w:rFonts w:hint="eastAsia" w:ascii="宋体" w:hAnsi="宋体" w:cs="Times New Roman"/>
          <w:color w:val="auto"/>
          <w:kern w:val="2"/>
          <w:sz w:val="24"/>
          <w:szCs w:val="24"/>
          <w:lang w:val="en-US" w:eastAsia="zh-CN" w:bidi="ar-SA"/>
        </w:rPr>
        <w:t>.</w:t>
      </w:r>
      <w:r>
        <w:rPr>
          <w:rFonts w:hint="eastAsia" w:ascii="宋体" w:hAnsi="宋体" w:eastAsia="宋体" w:cs="宋体"/>
          <w:color w:val="auto"/>
          <w:sz w:val="24"/>
          <w:szCs w:val="24"/>
        </w:rPr>
        <w:t>监督单位：</w:t>
      </w:r>
      <w:r>
        <w:rPr>
          <w:rFonts w:hint="eastAsia" w:ascii="宋体" w:hAnsi="宋体" w:cs="宋体"/>
          <w:color w:val="auto"/>
          <w:sz w:val="24"/>
          <w:szCs w:val="24"/>
          <w:lang w:val="en-US" w:eastAsia="zh-CN"/>
        </w:rPr>
        <w:t>白河县财政局</w:t>
      </w:r>
    </w:p>
    <w:p w14:paraId="78E6AD5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kern w:val="0"/>
          <w:sz w:val="24"/>
          <w:szCs w:val="24"/>
          <w:shd w:val="clear" w:fill="FFFFFF"/>
          <w:lang w:val="en-US" w:eastAsia="zh-CN" w:bidi="ar"/>
        </w:rPr>
        <w:t>宝泽项目管理有限公司</w:t>
      </w:r>
    </w:p>
    <w:p w14:paraId="5BFC5CD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竞争性磋商文件：磋商文件与磋商响应文件的统称</w:t>
      </w:r>
    </w:p>
    <w:p w14:paraId="58380AA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供应商：参加本次招标活动的投标单位</w:t>
      </w:r>
    </w:p>
    <w:p w14:paraId="2A722882">
      <w:pPr>
        <w:keepNext w:val="0"/>
        <w:keepLines w:val="0"/>
        <w:pageBreakBefore w:val="0"/>
        <w:kinsoku/>
        <w:wordWrap/>
        <w:overflowPunct/>
        <w:topLinePunct w:val="0"/>
        <w:bidi w:val="0"/>
        <w:adjustRightInd w:val="0"/>
        <w:snapToGrid w:val="0"/>
        <w:spacing w:line="440" w:lineRule="exact"/>
        <w:ind w:firstLine="482" w:firstLineChars="200"/>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二、竞争性磋商文件</w:t>
      </w:r>
    </w:p>
    <w:p w14:paraId="24640F7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2EE9444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文件的投标人。对文件中有关表述不准确或难以理解或有疑义的内容，各投标人应及时与有关部门人员联系，否则，因此所带来的一切不利后果由各投标人自负。</w:t>
      </w:r>
    </w:p>
    <w:p w14:paraId="5836F29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竞争性磋商文件的修改</w:t>
      </w:r>
    </w:p>
    <w:p w14:paraId="6AA2479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在磋商响应文件递交截止前的任何时候，无论出于何种原因，磋商组织机构可主动地或在解答投标人提出的澄清问题时，对竞争性磋商文件进行修改。</w:t>
      </w:r>
    </w:p>
    <w:p w14:paraId="6165DA8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竞争性磋商文件的修改以书面形式通知所有投标人，并作为竞争性磋商文件的补充，与其具有同等法律效力。</w:t>
      </w:r>
    </w:p>
    <w:p w14:paraId="0AB7826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为使投标人编写磋商响应文件时，有充分时间对竞争性磋商文件的修改内容进行研究，磋商组织机构可以酌情延长磋商响应文件递交截止日期。</w:t>
      </w:r>
    </w:p>
    <w:p w14:paraId="7C2152E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投标人必须从磋商组织机构</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文件，投标人自行转让或复制磋商文件视为无效。，仅作为本次竞争性磋商使用。</w:t>
      </w:r>
    </w:p>
    <w:p w14:paraId="442412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本文件的解释权归磋商组织机构。</w:t>
      </w:r>
    </w:p>
    <w:p w14:paraId="011FD126">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三、磋商要求</w:t>
      </w:r>
    </w:p>
    <w:p w14:paraId="47894768">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1</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磋商内容：</w:t>
      </w:r>
      <w:r>
        <w:rPr>
          <w:rFonts w:hint="eastAsia" w:ascii="宋体" w:hAnsi="宋体" w:cs="宋体"/>
          <w:b/>
          <w:color w:val="auto"/>
          <w:sz w:val="24"/>
          <w:szCs w:val="24"/>
          <w:lang w:val="en-US" w:eastAsia="zh-CN"/>
        </w:rPr>
        <w:t>白河县人民法院外墙改造新增项目</w:t>
      </w:r>
    </w:p>
    <w:p w14:paraId="77697F0B">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磋商要求：</w:t>
      </w:r>
    </w:p>
    <w:p w14:paraId="0109E9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（1）具有独立承担民事责任能力的法人、其他组织或自然人，提供合法有效的营业执照等相关证明，自然人参与的提供其身份证明；</w:t>
      </w:r>
    </w:p>
    <w:p w14:paraId="7E2942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（2）法定代表人授权委托书、被授权人身份证（法定代表人参加投标时,只需提供法定代表人身份证）；</w:t>
      </w:r>
    </w:p>
    <w:p w14:paraId="446EB1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供应商应具备建筑工程施工总承包三级及以上资质或建筑装修装饰工程专业承包二级及以上资质，且具备合法有效的安全生产许可证，并在人员、设备、资金等方面具有相应的施工能力；拟派项目经理应具备建筑工程专业二级及以上注册建造师执业资格和有效的安全生产考核合格证书，且未担任其他在建工程项目的项目经理；</w:t>
      </w:r>
    </w:p>
    <w:p w14:paraId="0B207A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（4）财务状况报告：提供2023年度</w:t>
      </w:r>
      <w:r>
        <w:rPr>
          <w:rFonts w:hint="eastAsia" w:ascii="宋体" w:hAnsi="宋体" w:cs="宋体"/>
          <w:i w:val="0"/>
          <w:iCs w:val="0"/>
          <w:caps w:val="0"/>
          <w:color w:val="auto"/>
          <w:spacing w:val="0"/>
          <w:kern w:val="0"/>
          <w:sz w:val="24"/>
          <w:szCs w:val="24"/>
          <w:shd w:val="clear" w:fill="FFFFFF"/>
          <w:lang w:val="en-US" w:eastAsia="zh-CN" w:bidi="ar"/>
        </w:rPr>
        <w:t>或2024年度</w:t>
      </w:r>
      <w:r>
        <w:rPr>
          <w:rFonts w:hint="eastAsia" w:ascii="宋体" w:hAnsi="宋体" w:eastAsia="宋体" w:cs="宋体"/>
          <w:i w:val="0"/>
          <w:iCs w:val="0"/>
          <w:caps w:val="0"/>
          <w:color w:val="auto"/>
          <w:spacing w:val="0"/>
          <w:kern w:val="0"/>
          <w:sz w:val="24"/>
          <w:szCs w:val="24"/>
          <w:shd w:val="clear" w:fill="FFFFFF"/>
          <w:lang w:val="en-US" w:eastAsia="zh-CN" w:bidi="ar"/>
        </w:rPr>
        <w:t>经审计的财务报告，或其基本存款账户开户银行出具的资信证明及基本存款账户开户许可证（基本账户信息表）；</w:t>
      </w:r>
    </w:p>
    <w:p w14:paraId="063192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（5）税收缴纳证明：提供</w:t>
      </w:r>
      <w:r>
        <w:rPr>
          <w:rFonts w:hint="eastAsia" w:ascii="宋体" w:hAnsi="宋体" w:cs="宋体"/>
          <w:i w:val="0"/>
          <w:iCs w:val="0"/>
          <w:caps w:val="0"/>
          <w:color w:val="auto"/>
          <w:spacing w:val="0"/>
          <w:kern w:val="0"/>
          <w:sz w:val="24"/>
          <w:szCs w:val="24"/>
          <w:shd w:val="clear" w:fill="FFFFFF"/>
          <w:lang w:val="en-US" w:eastAsia="zh-CN" w:bidi="ar"/>
        </w:rPr>
        <w:t>2025</w:t>
      </w:r>
      <w:r>
        <w:rPr>
          <w:rFonts w:hint="eastAsia" w:ascii="宋体" w:hAnsi="宋体" w:eastAsia="宋体" w:cs="宋体"/>
          <w:i w:val="0"/>
          <w:iCs w:val="0"/>
          <w:caps w:val="0"/>
          <w:color w:val="auto"/>
          <w:spacing w:val="0"/>
          <w:kern w:val="0"/>
          <w:sz w:val="24"/>
          <w:szCs w:val="24"/>
          <w:shd w:val="clear" w:fill="FFFFFF"/>
          <w:lang w:val="en-US" w:eastAsia="zh-CN" w:bidi="ar"/>
        </w:rPr>
        <w:t>年1月至今已缴纳的任意1个月增值税或营业税或企业所得税的凭据或税务机关开具的完税证明；依法免税的应提供相关文件证明；</w:t>
      </w:r>
    </w:p>
    <w:p w14:paraId="60A214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（6）社会保障资金缴纳证明：提供</w:t>
      </w:r>
      <w:r>
        <w:rPr>
          <w:rFonts w:hint="eastAsia" w:ascii="宋体" w:hAnsi="宋体" w:cs="宋体"/>
          <w:i w:val="0"/>
          <w:iCs w:val="0"/>
          <w:caps w:val="0"/>
          <w:color w:val="auto"/>
          <w:spacing w:val="0"/>
          <w:kern w:val="0"/>
          <w:sz w:val="24"/>
          <w:szCs w:val="24"/>
          <w:shd w:val="clear" w:fill="FFFFFF"/>
          <w:lang w:val="en-US" w:eastAsia="zh-CN" w:bidi="ar"/>
        </w:rPr>
        <w:t>2025</w:t>
      </w:r>
      <w:r>
        <w:rPr>
          <w:rFonts w:hint="eastAsia" w:ascii="宋体" w:hAnsi="宋体" w:eastAsia="宋体" w:cs="宋体"/>
          <w:i w:val="0"/>
          <w:iCs w:val="0"/>
          <w:caps w:val="0"/>
          <w:color w:val="auto"/>
          <w:spacing w:val="0"/>
          <w:kern w:val="0"/>
          <w:sz w:val="24"/>
          <w:szCs w:val="24"/>
          <w:shd w:val="clear" w:fill="FFFFFF"/>
          <w:lang w:val="en-US" w:eastAsia="zh-CN" w:bidi="ar"/>
        </w:rPr>
        <w:t>年1月至今已缴存的任意1个月的社会保障资金缴存单据或社保机构开具的社会保险参保缴费情况证明，依法不需要缴纳社会保障资金的单位应提供相关证明材料；</w:t>
      </w:r>
    </w:p>
    <w:p w14:paraId="3A4E9C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（7）具备履行合同所必须的设备和专业技术能力的书面声明；</w:t>
      </w:r>
    </w:p>
    <w:p w14:paraId="35775F6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（8）参加政府采购活动前三年内，在经营活动中没有重大违法记录的书面声明；</w:t>
      </w:r>
    </w:p>
    <w:p w14:paraId="484818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（9）供应商不得为“信用中国”网站(www.creditchina.gov.cn)、中国政府采购网(www.ccgp.gov.cn)被列入失信被执行人、重大税收违法案件当事人名单、政府采购严重违法失信行为记录名单；</w:t>
      </w:r>
    </w:p>
    <w:p w14:paraId="01B05D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10）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p w14:paraId="032F6B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（11）本项目不接受联合体投标；</w:t>
      </w:r>
    </w:p>
    <w:p w14:paraId="2247B2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（12）本项目面向中小企业采购，须提供《中小企业声明函》。</w:t>
      </w:r>
    </w:p>
    <w:p w14:paraId="6B708E66">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投标人要保证在投标文件中仍有上述</w:t>
      </w:r>
      <w:r>
        <w:rPr>
          <w:rFonts w:hint="eastAsia" w:ascii="宋体" w:hAnsi="宋体" w:cs="宋体"/>
          <w:b/>
          <w:bCs/>
          <w:color w:val="auto"/>
          <w:kern w:val="0"/>
          <w:sz w:val="24"/>
          <w:szCs w:val="24"/>
          <w:lang w:val="en-US" w:eastAsia="zh-CN"/>
        </w:rPr>
        <w:t>资格</w:t>
      </w:r>
      <w:r>
        <w:rPr>
          <w:rFonts w:hint="eastAsia" w:ascii="宋体" w:hAnsi="宋体" w:eastAsia="宋体" w:cs="宋体"/>
          <w:b/>
          <w:bCs/>
          <w:color w:val="auto"/>
          <w:kern w:val="0"/>
          <w:sz w:val="24"/>
          <w:szCs w:val="24"/>
        </w:rPr>
        <w:t>复印件并加盖公章。（缺少其中任何一项或有一项达不到要求、包括证件的有效性、是否进行年检、是否在有效期内等，经审查不合格的投标人按废标处理。</w:t>
      </w:r>
    </w:p>
    <w:p w14:paraId="1F589160">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磋商响应文件的编制：</w:t>
      </w:r>
    </w:p>
    <w:p w14:paraId="466E080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3-1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磋商响应文件必须根据磋商组织单位发</w:t>
      </w:r>
      <w:r>
        <w:rPr>
          <w:rFonts w:hint="eastAsia" w:ascii="宋体" w:hAnsi="宋体" w:cs="宋体"/>
          <w:color w:val="auto"/>
          <w:sz w:val="24"/>
          <w:szCs w:val="24"/>
          <w:lang w:val="en-US" w:eastAsia="zh-CN"/>
        </w:rPr>
        <w:t>出</w:t>
      </w:r>
      <w:r>
        <w:rPr>
          <w:rFonts w:hint="eastAsia" w:ascii="宋体" w:hAnsi="宋体" w:eastAsia="宋体" w:cs="宋体"/>
          <w:color w:val="auto"/>
          <w:sz w:val="24"/>
          <w:szCs w:val="24"/>
        </w:rPr>
        <w:t>的磋商响应文件格式编写，对磋商文件做出实质性响应。具体内容包括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lang w:val="en-US" w:eastAsia="zh-CN"/>
        </w:rPr>
        <w:t>文件所要求的内容。</w:t>
      </w:r>
    </w:p>
    <w:p w14:paraId="5785D62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磋商报价：</w:t>
      </w:r>
      <w:r>
        <w:rPr>
          <w:rFonts w:hint="eastAsia" w:ascii="宋体" w:hAnsi="宋体" w:eastAsia="宋体" w:cs="宋体"/>
          <w:b/>
          <w:bCs/>
          <w:color w:val="auto"/>
          <w:sz w:val="24"/>
          <w:szCs w:val="24"/>
        </w:rPr>
        <w:t>（请注意仔细阅读此项）</w:t>
      </w:r>
    </w:p>
    <w:p w14:paraId="04735F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（1）投标人应充分考虑磋商文件的各项条款和本工程的实际，依据磋商文件所附澄清和修改通知，根据企业自身情况、施工经验、现场环境以及磋商文件的要求，进行自主报价。</w:t>
      </w:r>
    </w:p>
    <w:p w14:paraId="3532E2E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（2）投标人的磋商报价，应是完成本须知所列招标工程范围及工期、质量的全部要求，不得以任何理由予以重复。</w:t>
      </w:r>
    </w:p>
    <w:p w14:paraId="73B882B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0839794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5B72AC6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（5）磋商报价应考虑的其它风险</w:t>
      </w:r>
    </w:p>
    <w:p w14:paraId="60BE959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008AC81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（6）编制报价的其它约定</w:t>
      </w:r>
    </w:p>
    <w:p w14:paraId="67B35C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投标人根据自行确定的施工组织设计或施工方案进行自主报价。措施项目中凡属周转使用的设备、材料，均应按单次使用摊销量报价。</w:t>
      </w:r>
    </w:p>
    <w:p w14:paraId="2B53C04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投标人应针对拟建工程编制保证安全施工、文明施工和环境保护的技术措施方案。</w:t>
      </w:r>
    </w:p>
    <w:p w14:paraId="76AA2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3-3、报价货币：人民币。单位：元（精确到小数点后两位）。</w:t>
      </w:r>
    </w:p>
    <w:p w14:paraId="23EFF4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磋商费用自理。</w:t>
      </w:r>
    </w:p>
    <w:p w14:paraId="155BBED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磋商响应文件有效期为自磋商之日起九十个日历日，成交供应商的磋商响应文件有效期延长至合同执行完毕。</w:t>
      </w:r>
    </w:p>
    <w:p w14:paraId="1A094864">
      <w:pPr>
        <w:keepNext w:val="0"/>
        <w:keepLines w:val="0"/>
        <w:pageBreakBefore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四、磋商文件的式样和签署</w:t>
      </w:r>
    </w:p>
    <w:p w14:paraId="59C551B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应参照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文件给定的样式，准备</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份，正副本分别封装。若缺项则视为对招标文件未作响应而不再参与评标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并各自</w:t>
      </w:r>
      <w:r>
        <w:rPr>
          <w:rFonts w:hint="eastAsia" w:ascii="宋体" w:hAnsi="宋体" w:eastAsia="宋体" w:cs="宋体"/>
          <w:b/>
          <w:bCs/>
          <w:color w:val="auto"/>
          <w:sz w:val="24"/>
          <w:szCs w:val="24"/>
        </w:rPr>
        <w:t>胶封装订成册，提倡双面打印</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每套</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响应文件须清楚地标明“正本”、“副本”，若正本和副本不符，以正本为准。</w:t>
      </w:r>
    </w:p>
    <w:p w14:paraId="46F1D38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响应文件的正本和所有的副本均需打印或用不褪色蓝（黑）墨水（汁）书写，</w:t>
      </w:r>
      <w:r>
        <w:rPr>
          <w:rFonts w:hint="eastAsia" w:ascii="宋体" w:hAnsi="宋体" w:eastAsia="宋体" w:cs="宋体"/>
          <w:b/>
          <w:bCs/>
          <w:color w:val="auto"/>
          <w:sz w:val="24"/>
          <w:szCs w:val="24"/>
        </w:rPr>
        <w:t>统一装订</w:t>
      </w:r>
      <w:r>
        <w:rPr>
          <w:rFonts w:hint="eastAsia" w:ascii="宋体" w:hAnsi="宋体" w:eastAsia="宋体" w:cs="宋体"/>
          <w:color w:val="auto"/>
          <w:sz w:val="24"/>
          <w:szCs w:val="24"/>
        </w:rPr>
        <w:t>。</w:t>
      </w:r>
    </w:p>
    <w:p w14:paraId="4FFE2F5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响应文件必须</w:t>
      </w:r>
      <w:r>
        <w:rPr>
          <w:rFonts w:hint="eastAsia" w:ascii="宋体" w:hAnsi="宋体" w:eastAsia="宋体" w:cs="宋体"/>
          <w:b/>
          <w:bCs/>
          <w:color w:val="auto"/>
          <w:sz w:val="24"/>
          <w:szCs w:val="24"/>
          <w:u w:val="single"/>
        </w:rPr>
        <w:t>加盖单位公章</w:t>
      </w:r>
      <w:r>
        <w:rPr>
          <w:rFonts w:hint="eastAsia" w:ascii="宋体" w:hAnsi="宋体" w:eastAsia="宋体" w:cs="宋体"/>
          <w:color w:val="auto"/>
          <w:sz w:val="24"/>
          <w:szCs w:val="24"/>
        </w:rPr>
        <w:t>。</w:t>
      </w:r>
    </w:p>
    <w:p w14:paraId="7A711B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法定代表人或经正式授权有约束力的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代表在需要签字的地方签字或盖章。</w:t>
      </w:r>
    </w:p>
    <w:p w14:paraId="6D498A7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响应文件除各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对错处做必要修改外，不得行间插字、涂改和增删，如有修改错漏处，必须由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法定代表人或其授权人代表签字和盖章。</w:t>
      </w:r>
    </w:p>
    <w:p w14:paraId="25CD1EF8">
      <w:pPr>
        <w:pStyle w:val="42"/>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五</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磋商机构及职能</w:t>
      </w:r>
    </w:p>
    <w:p w14:paraId="56A3BDE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磋商组织单位组织磋商、评审工作，整个磋商过程接受</w:t>
      </w:r>
      <w:r>
        <w:rPr>
          <w:rFonts w:hint="eastAsia" w:ascii="宋体" w:hAnsi="宋体" w:eastAsia="宋体" w:cs="宋体"/>
          <w:color w:val="auto"/>
          <w:sz w:val="24"/>
          <w:szCs w:val="24"/>
          <w:lang w:val="en-US" w:eastAsia="zh-CN"/>
        </w:rPr>
        <w:t>相关部门</w:t>
      </w:r>
      <w:r>
        <w:rPr>
          <w:rFonts w:hint="eastAsia" w:ascii="宋体" w:hAnsi="宋体" w:eastAsia="宋体" w:cs="宋体"/>
          <w:color w:val="auto"/>
          <w:sz w:val="24"/>
          <w:szCs w:val="24"/>
        </w:rPr>
        <w:t>的监督和管理，磋商组织机构在规定的时间和地点组织磋商。</w:t>
      </w:r>
    </w:p>
    <w:p w14:paraId="42A794E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为确保磋商工作公平、公正，根据《政府采购法》的有关规定成立磋商小组。磋商小组由采购人代表及有关专家组成，磋商小组成员在陕西省政府采购专家库中随机抽取。</w:t>
      </w:r>
    </w:p>
    <w:p w14:paraId="4E51CA9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磋商小组成员应当遵守并履行下列义务：</w:t>
      </w:r>
    </w:p>
    <w:p w14:paraId="586D85B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遵纪守法，客观、公正、廉洁地履行职责，审查磋商响应文件是否符合竞争性磋商文件的要求，并做出评价；</w:t>
      </w:r>
    </w:p>
    <w:p w14:paraId="5A4126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要求供应商对磋商响应文件有关事项作出解释或者澄清；</w:t>
      </w:r>
    </w:p>
    <w:p w14:paraId="4FB4527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按照竞争性磋商文件的要求和磋商办法进行评审，推荐成交候选单位名单，对评审意见承担个人责任；</w:t>
      </w:r>
    </w:p>
    <w:p w14:paraId="6867D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对评审过程和结果以及供应商的商业秘</w:t>
      </w:r>
      <w:bookmarkStart w:id="38" w:name="_GoBack"/>
      <w:r>
        <w:rPr>
          <w:rFonts w:hint="eastAsia" w:ascii="宋体" w:hAnsi="宋体" w:eastAsia="宋体" w:cs="宋体"/>
          <w:color w:val="auto"/>
          <w:sz w:val="24"/>
          <w:szCs w:val="24"/>
        </w:rPr>
        <w:t>密</w:t>
      </w:r>
      <w:bookmarkEnd w:id="38"/>
      <w:r>
        <w:rPr>
          <w:rFonts w:hint="eastAsia" w:ascii="宋体" w:hAnsi="宋体" w:eastAsia="宋体" w:cs="宋体"/>
          <w:color w:val="auto"/>
          <w:sz w:val="24"/>
          <w:szCs w:val="24"/>
        </w:rPr>
        <w:t>保密；</w:t>
      </w:r>
    </w:p>
    <w:p w14:paraId="03F93D8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参与磋商结果报告的起草；</w:t>
      </w:r>
    </w:p>
    <w:p w14:paraId="640D66F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配合磋商组织单位答复供应商提出的质疑；</w:t>
      </w:r>
    </w:p>
    <w:p w14:paraId="5FF95DC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配合财政部门的投诉处理工作。</w:t>
      </w:r>
    </w:p>
    <w:p w14:paraId="3182D36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磋商小组的职能：</w:t>
      </w:r>
    </w:p>
    <w:p w14:paraId="584E7CF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（1）审查参加磋商的供应商的资质文件是否齐全、合法、有效。</w:t>
      </w:r>
    </w:p>
    <w:p w14:paraId="74EB6E7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（2）与各供应商就磋商响应文件（含澄清、说明或补正的内容）中的磋商报价、同类业绩、商务响应等进行磋商。</w:t>
      </w:r>
    </w:p>
    <w:p w14:paraId="0755C63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（3）依据磋商文件，并视磋商情况，确定进入最终评审的供应商。</w:t>
      </w:r>
    </w:p>
    <w:p w14:paraId="51E31D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（4）排序推荐侯选成交供应商。</w:t>
      </w:r>
    </w:p>
    <w:p w14:paraId="4225D6D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（5）协商处理磋商过程中出现的其它相关问题。</w:t>
      </w:r>
    </w:p>
    <w:p w14:paraId="6A96979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竞争性磋商开始时，磋商组织单位依据</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竞争性磋商文件的顺序，先将各供应商的第一次磋商报价及有关内容进行汇总。</w:t>
      </w:r>
    </w:p>
    <w:p w14:paraId="6AFB65B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竞争性磋商开始后，直到与成交的供应商签定合同为止，凡与审查、澄清、评价和比较各供应商的有关资料及意见等内容，磋商小组均不得向供应商及与磋商无关的其他人透露。</w:t>
      </w:r>
    </w:p>
    <w:p w14:paraId="02048C9A">
      <w:pPr>
        <w:keepNext w:val="0"/>
        <w:keepLines w:val="0"/>
        <w:pageBreakBefore w:val="0"/>
        <w:kinsoku/>
        <w:wordWrap/>
        <w:overflowPunct/>
        <w:topLinePunct w:val="0"/>
        <w:bidi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磋商评审办法及内容</w:t>
      </w:r>
    </w:p>
    <w:p w14:paraId="63B74EF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磋商评审原则：</w:t>
      </w:r>
    </w:p>
    <w:p w14:paraId="1213CC8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磋商小组遵循“公开、公平、公正、科学、择优”的原则。</w:t>
      </w:r>
    </w:p>
    <w:p w14:paraId="4186B0E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采用同一程序和标准对供应商进行评估。</w:t>
      </w:r>
    </w:p>
    <w:p w14:paraId="0D4E12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符合性和有效性审查：依据磋商文件的要求，对各供应商的响应文件的符合性和有效性审查。符合性审查不合格的投标单位不得进入下一评审环节。</w:t>
      </w:r>
    </w:p>
    <w:p w14:paraId="0CC4AA83">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符合性审查标准：</w:t>
      </w:r>
    </w:p>
    <w:tbl>
      <w:tblPr>
        <w:tblStyle w:val="2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7E5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80" w:type="dxa"/>
            <w:vMerge w:val="restart"/>
            <w:noWrap w:val="0"/>
            <w:vAlign w:val="center"/>
          </w:tcPr>
          <w:p w14:paraId="0EDE59DC">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w:t>
            </w:r>
          </w:p>
          <w:p w14:paraId="20B36A9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w:t>
            </w:r>
          </w:p>
          <w:p w14:paraId="77BA596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w:t>
            </w:r>
          </w:p>
          <w:p w14:paraId="7D03C3D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w:t>
            </w:r>
          </w:p>
          <w:p w14:paraId="78F6009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w:t>
            </w:r>
          </w:p>
        </w:tc>
        <w:tc>
          <w:tcPr>
            <w:tcW w:w="1467" w:type="dxa"/>
            <w:noWrap w:val="0"/>
            <w:vAlign w:val="center"/>
          </w:tcPr>
          <w:p w14:paraId="2DE9BCE6">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944" w:type="dxa"/>
            <w:noWrap w:val="0"/>
            <w:vAlign w:val="center"/>
          </w:tcPr>
          <w:p w14:paraId="373471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与营业执照、资质证书、安全生产许可证一致</w:t>
            </w:r>
          </w:p>
        </w:tc>
      </w:tr>
      <w:tr w14:paraId="5DE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80" w:type="dxa"/>
            <w:vMerge w:val="continue"/>
            <w:noWrap w:val="0"/>
            <w:vAlign w:val="top"/>
          </w:tcPr>
          <w:p w14:paraId="76EF244C">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467" w:type="dxa"/>
            <w:noWrap w:val="0"/>
            <w:vAlign w:val="center"/>
          </w:tcPr>
          <w:p w14:paraId="31A22DA9">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6944" w:type="dxa"/>
            <w:noWrap w:val="0"/>
            <w:vAlign w:val="center"/>
          </w:tcPr>
          <w:p w14:paraId="798C78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59E8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80" w:type="dxa"/>
            <w:vMerge w:val="continue"/>
            <w:noWrap w:val="0"/>
            <w:vAlign w:val="top"/>
          </w:tcPr>
          <w:p w14:paraId="17C88D10">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467" w:type="dxa"/>
            <w:noWrap w:val="0"/>
            <w:vAlign w:val="center"/>
          </w:tcPr>
          <w:p w14:paraId="0B8D65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响应文件组成及格式</w:t>
            </w:r>
          </w:p>
        </w:tc>
        <w:tc>
          <w:tcPr>
            <w:tcW w:w="6944" w:type="dxa"/>
            <w:noWrap w:val="0"/>
            <w:vAlign w:val="center"/>
          </w:tcPr>
          <w:p w14:paraId="63DEB30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符合“响应文件格式”的要求</w:t>
            </w:r>
          </w:p>
        </w:tc>
      </w:tr>
      <w:tr w14:paraId="23F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80" w:type="dxa"/>
            <w:vMerge w:val="continue"/>
            <w:noWrap w:val="0"/>
            <w:vAlign w:val="top"/>
          </w:tcPr>
          <w:p w14:paraId="031ACC0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467" w:type="dxa"/>
            <w:noWrap w:val="0"/>
            <w:vAlign w:val="center"/>
          </w:tcPr>
          <w:p w14:paraId="66BD7B4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w:t>
            </w:r>
          </w:p>
        </w:tc>
        <w:tc>
          <w:tcPr>
            <w:tcW w:w="6944" w:type="dxa"/>
            <w:noWrap w:val="0"/>
            <w:vAlign w:val="center"/>
          </w:tcPr>
          <w:p w14:paraId="3D966A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同时满足以下条款：</w:t>
            </w:r>
          </w:p>
          <w:p w14:paraId="3A0CC2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（1）磋商报价符合唯一性要求；</w:t>
            </w:r>
          </w:p>
          <w:p w14:paraId="51E722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（2）第一次磋商报价表填写符合要求；</w:t>
            </w:r>
          </w:p>
          <w:p w14:paraId="014414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（3）报价货币符合磋商文件要求；</w:t>
            </w:r>
          </w:p>
          <w:p w14:paraId="17ABA3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（4）未超出采购预算或磋商文件规定的最高限价；</w:t>
            </w:r>
          </w:p>
        </w:tc>
      </w:tr>
      <w:tr w14:paraId="7F8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80" w:type="dxa"/>
            <w:vMerge w:val="continue"/>
            <w:noWrap w:val="0"/>
            <w:vAlign w:val="center"/>
          </w:tcPr>
          <w:p w14:paraId="03CAAA84">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467" w:type="dxa"/>
            <w:noWrap w:val="0"/>
            <w:vAlign w:val="center"/>
          </w:tcPr>
          <w:p w14:paraId="0FF788C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投标内容、投标有效期</w:t>
            </w:r>
          </w:p>
        </w:tc>
        <w:tc>
          <w:tcPr>
            <w:tcW w:w="6944" w:type="dxa"/>
            <w:noWrap w:val="0"/>
            <w:vAlign w:val="center"/>
          </w:tcPr>
          <w:p w14:paraId="1631BF3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0A6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80" w:type="dxa"/>
            <w:vMerge w:val="continue"/>
            <w:noWrap w:val="0"/>
            <w:vAlign w:val="center"/>
          </w:tcPr>
          <w:p w14:paraId="72DEC9F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467" w:type="dxa"/>
            <w:noWrap w:val="0"/>
            <w:vAlign w:val="center"/>
          </w:tcPr>
          <w:p w14:paraId="00FF228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工期、工程质量</w:t>
            </w:r>
          </w:p>
        </w:tc>
        <w:tc>
          <w:tcPr>
            <w:tcW w:w="6944" w:type="dxa"/>
            <w:noWrap w:val="0"/>
            <w:vAlign w:val="center"/>
          </w:tcPr>
          <w:p w14:paraId="359C2C5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5B1F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80" w:type="dxa"/>
            <w:vMerge w:val="continue"/>
            <w:noWrap w:val="0"/>
            <w:vAlign w:val="center"/>
          </w:tcPr>
          <w:p w14:paraId="21754C1F">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467" w:type="dxa"/>
            <w:noWrap w:val="0"/>
            <w:vAlign w:val="center"/>
          </w:tcPr>
          <w:p w14:paraId="6E9F969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6944" w:type="dxa"/>
            <w:noWrap w:val="0"/>
            <w:vAlign w:val="center"/>
          </w:tcPr>
          <w:p w14:paraId="1BE670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3EBE187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磋商响应文件出现下列情况（但不限于）之一者按无效文件处理：</w:t>
      </w:r>
    </w:p>
    <w:p w14:paraId="4168583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磋商响应文件没有按磋商文件要求提供必备资质或资质的合法性或有效性不符合规定。</w:t>
      </w:r>
    </w:p>
    <w:p w14:paraId="2697B7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磋商响应文件没有加盖单位公章，无磋商有效期或有效期达不到磋商文件的要求。</w:t>
      </w:r>
    </w:p>
    <w:p w14:paraId="5B37E0E4">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供应商针对同一服务递交两份或多份内容不同的磋商响应文件，未书面声明哪一份是有效的；出现选择性报价的。</w:t>
      </w:r>
    </w:p>
    <w:p w14:paraId="7B3442F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供应商所提交的施工方案内容及工程质量不能满足要求，出现重大负偏差，磋商后仍不能满足要求的。</w:t>
      </w:r>
    </w:p>
    <w:p w14:paraId="0F6C9728">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磋商响应文件的商务响应与磋商文件要求不一致（施工地点、工期、付款、验收、售后服务等项），附加了采购人难以接受的条件，磋商后仍不能满足要求的。</w:t>
      </w:r>
    </w:p>
    <w:p w14:paraId="508B1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提供虚假证明，开具虚假资质，出现虚假应答，除按无效文件处理外，还进行相应的处罚。</w:t>
      </w:r>
    </w:p>
    <w:p w14:paraId="5FAAF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违反《政府采购法》有关规定和磋商纪律的。</w:t>
      </w:r>
    </w:p>
    <w:p w14:paraId="61F664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3、有下列情形之一的，视为投标人相互恶意串通投标响应，其投标文件按无效处理：</w:t>
      </w:r>
    </w:p>
    <w:p w14:paraId="6E357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3-1不同投标人的投标文件由同一单位或者个人编制；</w:t>
      </w:r>
    </w:p>
    <w:p w14:paraId="11004A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3-2不同投标人委托同一单位或者个人办理投标事宜；</w:t>
      </w:r>
    </w:p>
    <w:p w14:paraId="3E14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3-3不同投标人的响应文件载明的项目管理成员为同一人；</w:t>
      </w:r>
    </w:p>
    <w:p w14:paraId="49700B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3-4不同投标人的响应文件异常一致或者投标报价呈规律性差异；</w:t>
      </w:r>
    </w:p>
    <w:p w14:paraId="09FD6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3-5不同投标人的响应文件相互混装；</w:t>
      </w:r>
    </w:p>
    <w:p w14:paraId="21DF21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3-6不同投标人的响应文件由同一单位</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w:t>
      </w:r>
    </w:p>
    <w:p w14:paraId="73DF59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u w:val="double"/>
        </w:rPr>
      </w:pPr>
      <w:r>
        <w:rPr>
          <w:rFonts w:hint="eastAsia" w:ascii="宋体" w:hAnsi="宋体" w:eastAsia="宋体" w:cs="宋体"/>
          <w:color w:val="auto"/>
          <w:sz w:val="24"/>
          <w:szCs w:val="24"/>
        </w:rPr>
        <w:t>4、磋商响应文件出现下列情况，修正原则为：</w:t>
      </w:r>
      <w:r>
        <w:rPr>
          <w:rFonts w:hint="eastAsia" w:ascii="宋体" w:hAnsi="宋体" w:eastAsia="宋体" w:cs="宋体"/>
          <w:color w:val="auto"/>
          <w:sz w:val="24"/>
          <w:szCs w:val="24"/>
          <w:u w:val="double"/>
        </w:rPr>
        <w:t>文字与图表不符以文字为准；单价与总价不符以单价为准；大写与小写不符以大写为准；</w:t>
      </w:r>
    </w:p>
    <w:p w14:paraId="0B2383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5、磋商程序：</w:t>
      </w:r>
    </w:p>
    <w:p w14:paraId="798615AC">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磋商的全过程分为记录第一次磋商报价、供应商</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审查、符合性审查、磋商过程、磋商承诺、第二次报价、综合评审等阶段。</w:t>
      </w:r>
    </w:p>
    <w:p w14:paraId="441DF26E">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第一次报价：将各参加竞争性磋商单位的响应文件中的报价、工期等内容以不公开宣读的形式进行填报汇总。</w:t>
      </w:r>
    </w:p>
    <w:p w14:paraId="3126FF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B159BF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进行二次报价，磋商小组根据二次报价、磋商澄清、承诺及响应文件进行最后的评审工作。</w:t>
      </w:r>
    </w:p>
    <w:p w14:paraId="7FB861AC">
      <w:pPr>
        <w:keepNext w:val="0"/>
        <w:keepLines w:val="0"/>
        <w:pageBreakBefore w:val="0"/>
        <w:widowControl w:val="0"/>
        <w:kinsoku/>
        <w:wordWrap/>
        <w:overflowPunct/>
        <w:topLinePunct w:val="0"/>
        <w:autoSpaceDE/>
        <w:autoSpaceDN/>
        <w:bidi w:val="0"/>
        <w:spacing w:line="440" w:lineRule="exact"/>
        <w:ind w:firstLine="56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6、</w:t>
      </w:r>
      <w:r>
        <w:rPr>
          <w:rFonts w:hint="eastAsia" w:ascii="宋体" w:hAnsi="宋体" w:eastAsia="宋体" w:cs="宋体"/>
          <w:b/>
          <w:bCs/>
          <w:color w:val="auto"/>
          <w:sz w:val="24"/>
          <w:szCs w:val="24"/>
        </w:rPr>
        <w:t>评标办法及内容</w:t>
      </w:r>
    </w:p>
    <w:p w14:paraId="5A92D3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eastAsia="宋体" w:cs="宋体"/>
          <w:b/>
          <w:bCs/>
          <w:color w:val="auto"/>
          <w:sz w:val="24"/>
          <w:szCs w:val="24"/>
        </w:rPr>
        <w:t>。</w:t>
      </w:r>
    </w:p>
    <w:p w14:paraId="58DB6544">
      <w:pPr>
        <w:pStyle w:val="10"/>
        <w:rPr>
          <w:rFonts w:hint="eastAsia" w:ascii="宋体" w:hAnsi="宋体" w:eastAsia="宋体" w:cs="宋体"/>
          <w:b/>
          <w:bCs/>
          <w:color w:val="auto"/>
          <w:sz w:val="24"/>
          <w:szCs w:val="24"/>
        </w:rPr>
      </w:pPr>
    </w:p>
    <w:p w14:paraId="065C4280">
      <w:pPr>
        <w:pStyle w:val="10"/>
        <w:rPr>
          <w:rFonts w:hint="eastAsia" w:ascii="宋体" w:hAnsi="宋体" w:eastAsia="宋体" w:cs="宋体"/>
          <w:b/>
          <w:bCs/>
          <w:color w:val="auto"/>
          <w:sz w:val="24"/>
          <w:szCs w:val="24"/>
        </w:rPr>
      </w:pPr>
    </w:p>
    <w:tbl>
      <w:tblPr>
        <w:tblStyle w:val="2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916"/>
        <w:gridCol w:w="7060"/>
      </w:tblGrid>
      <w:tr w14:paraId="1CA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5E1D48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916" w:type="dxa"/>
            <w:vAlign w:val="center"/>
          </w:tcPr>
          <w:p w14:paraId="176845D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分数</w:t>
            </w:r>
          </w:p>
        </w:tc>
        <w:tc>
          <w:tcPr>
            <w:tcW w:w="7060" w:type="dxa"/>
            <w:vAlign w:val="center"/>
          </w:tcPr>
          <w:p w14:paraId="63461CB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评审原则与标准</w:t>
            </w:r>
          </w:p>
        </w:tc>
      </w:tr>
      <w:tr w14:paraId="60B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45BB986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商务评审</w:t>
            </w:r>
          </w:p>
        </w:tc>
        <w:tc>
          <w:tcPr>
            <w:tcW w:w="916" w:type="dxa"/>
            <w:vAlign w:val="center"/>
          </w:tcPr>
          <w:p w14:paraId="5089FC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7060" w:type="dxa"/>
            <w:vAlign w:val="center"/>
          </w:tcPr>
          <w:p w14:paraId="49AF775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经过有效性和符合性审核合格的投标人，对工期、技术标准、工程质量、付款方式等方面进行响应，按其响应程度，完全响应竞争性磋商文件要求但针对不同要求有部分优于的计</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分。完全响应竞争性磋商文件要求的计</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r w14:paraId="5230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468" w:type="dxa"/>
            <w:vAlign w:val="center"/>
          </w:tcPr>
          <w:p w14:paraId="58627A0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916" w:type="dxa"/>
            <w:vAlign w:val="center"/>
          </w:tcPr>
          <w:p w14:paraId="1EA0529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7060" w:type="dxa"/>
            <w:vAlign w:val="center"/>
          </w:tcPr>
          <w:p w14:paraId="7749EF08">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以满足磋商文件要求且投标价格最低的投标报价为评标基准价,其价格分为满分30分,其他供应商的价格分按照下列公式计算:投标报价得分=(评标基准价/投标报价)×30。</w:t>
            </w:r>
          </w:p>
        </w:tc>
      </w:tr>
      <w:tr w14:paraId="6D0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68" w:type="dxa"/>
            <w:vAlign w:val="center"/>
          </w:tcPr>
          <w:p w14:paraId="4BD6280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施工</w:t>
            </w:r>
            <w:r>
              <w:rPr>
                <w:rFonts w:hint="eastAsia" w:ascii="宋体" w:hAnsi="宋体" w:eastAsia="宋体" w:cs="宋体"/>
                <w:bCs/>
                <w:color w:val="auto"/>
                <w:sz w:val="24"/>
                <w:szCs w:val="24"/>
                <w:highlight w:val="none"/>
              </w:rPr>
              <w:t>组织</w:t>
            </w:r>
          </w:p>
          <w:p w14:paraId="73A97B2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方案</w:t>
            </w:r>
          </w:p>
        </w:tc>
        <w:tc>
          <w:tcPr>
            <w:tcW w:w="916" w:type="dxa"/>
            <w:vAlign w:val="center"/>
          </w:tcPr>
          <w:p w14:paraId="7AB3859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50</w:t>
            </w:r>
            <w:r>
              <w:rPr>
                <w:rFonts w:hint="eastAsia" w:ascii="宋体" w:hAnsi="宋体" w:eastAsia="宋体" w:cs="宋体"/>
                <w:bCs/>
                <w:color w:val="auto"/>
                <w:sz w:val="24"/>
                <w:szCs w:val="24"/>
                <w:highlight w:val="none"/>
              </w:rPr>
              <w:t>分</w:t>
            </w:r>
          </w:p>
        </w:tc>
        <w:tc>
          <w:tcPr>
            <w:tcW w:w="7060" w:type="dxa"/>
            <w:vAlign w:val="center"/>
          </w:tcPr>
          <w:p w14:paraId="3A106B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方案，投标人应按照本项目的实际情况根据工程的具体特点，提出切合实际有针对性的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方案和方法。方案全面合格、完整详尽、符合本项目</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情况实际计7-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方案基本完善、合理可行但细节待完善的计3-6分，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方案存在部分缺陷和不足，不符合项目实际情况的计0-2分；</w:t>
            </w:r>
          </w:p>
          <w:p w14:paraId="768D6C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p w14:paraId="270BAA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3.确保安全文明</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的技术组织措施及环境保护措施，投标人应按照本项目的实际情况根据工程的具体特点提出科学合理的措施。措施编制科学合理、完整详尽计7-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p w14:paraId="08B1F7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4.确保工期的技术组织措施，投标人应按照本项目的实际情况根据工程的具体特点提出科学合理的措施。措施编制科学合理、完整详尽计7-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E6153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机械配备和材料投入计划，主要机械配备科学、材料投入计划齐备合理的计</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分，配置欠合理、材料不齐备的计1-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分，未进行描述的本项不得分；</w:t>
            </w:r>
          </w:p>
          <w:p w14:paraId="3DEF938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进度表或</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网络图，0-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3AF0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468" w:type="dxa"/>
            <w:vAlign w:val="center"/>
          </w:tcPr>
          <w:p w14:paraId="36AE667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工程质保期内服务承诺</w:t>
            </w:r>
          </w:p>
        </w:tc>
        <w:tc>
          <w:tcPr>
            <w:tcW w:w="916" w:type="dxa"/>
            <w:vAlign w:val="center"/>
          </w:tcPr>
          <w:p w14:paraId="43652CB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c>
          <w:tcPr>
            <w:tcW w:w="7060" w:type="dxa"/>
            <w:vAlign w:val="center"/>
          </w:tcPr>
          <w:p w14:paraId="5CEDEC2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有详细的针对本项目工程质保期内的售后服务承诺及说明，工程竣工验收合格后使用过程中因质量问题而产生的补救措施，应急预案、响应时间及措施。承诺及配套服务措施完整详尽、可操作性强计</w:t>
            </w:r>
            <w:r>
              <w:rPr>
                <w:rFonts w:hint="eastAsia" w:ascii="宋体" w:hAnsi="宋体" w:eastAsia="宋体" w:cs="宋体"/>
                <w:color w:val="auto"/>
                <w:sz w:val="24"/>
                <w:szCs w:val="24"/>
                <w:highlight w:val="none"/>
                <w:lang w:val="en-US" w:eastAsia="zh-CN"/>
              </w:rPr>
              <w:t>8-10</w:t>
            </w:r>
            <w:r>
              <w:rPr>
                <w:rFonts w:hint="eastAsia" w:ascii="宋体" w:hAnsi="宋体" w:eastAsia="宋体" w:cs="宋体"/>
                <w:color w:val="auto"/>
                <w:sz w:val="24"/>
                <w:szCs w:val="24"/>
                <w:highlight w:val="none"/>
              </w:rPr>
              <w:t>分，承诺及配套服务措施完整、基本合理计</w:t>
            </w: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分，承诺及配套服务措施存在部分缺陷和不足，不符合项目实际情况的计0-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77D8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468" w:type="dxa"/>
            <w:vAlign w:val="center"/>
          </w:tcPr>
          <w:p w14:paraId="2A315B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w:t>
            </w:r>
            <w:r>
              <w:rPr>
                <w:rFonts w:hint="eastAsia" w:ascii="宋体" w:hAnsi="宋体" w:eastAsia="宋体" w:cs="宋体"/>
                <w:bCs/>
                <w:color w:val="auto"/>
                <w:sz w:val="24"/>
                <w:szCs w:val="24"/>
                <w:highlight w:val="none"/>
                <w:lang w:eastAsia="zh-CN"/>
              </w:rPr>
              <w:t>业绩</w:t>
            </w:r>
          </w:p>
        </w:tc>
        <w:tc>
          <w:tcPr>
            <w:tcW w:w="916" w:type="dxa"/>
            <w:vAlign w:val="center"/>
          </w:tcPr>
          <w:p w14:paraId="613FA393">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tc>
        <w:tc>
          <w:tcPr>
            <w:tcW w:w="7060" w:type="dxa"/>
            <w:vAlign w:val="center"/>
          </w:tcPr>
          <w:p w14:paraId="1B46311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提供投标人近三年(202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年12月至今)类似业绩，每一份计2分，计满4分为止。</w:t>
            </w:r>
          </w:p>
          <w:p w14:paraId="188B1BDF">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注:以</w:t>
            </w:r>
            <w:r>
              <w:rPr>
                <w:rFonts w:hint="eastAsia" w:ascii="宋体" w:hAnsi="宋体" w:eastAsia="宋体" w:cs="宋体"/>
                <w:b/>
                <w:bCs w:val="0"/>
                <w:color w:val="auto"/>
                <w:sz w:val="24"/>
                <w:szCs w:val="24"/>
                <w:highlight w:val="none"/>
                <w:lang w:val="en-US" w:eastAsia="zh-CN"/>
              </w:rPr>
              <w:t>中标通知书发放时间或</w:t>
            </w:r>
            <w:r>
              <w:rPr>
                <w:rFonts w:hint="eastAsia" w:ascii="宋体" w:hAnsi="宋体" w:eastAsia="宋体" w:cs="宋体"/>
                <w:b/>
                <w:bCs w:val="0"/>
                <w:color w:val="auto"/>
                <w:sz w:val="24"/>
                <w:szCs w:val="24"/>
                <w:highlight w:val="none"/>
              </w:rPr>
              <w:t>合同签订时间为准，提供合同复印件加盖投标人公章。</w:t>
            </w:r>
          </w:p>
        </w:tc>
      </w:tr>
    </w:tbl>
    <w:p w14:paraId="3DE038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7</w:t>
      </w:r>
      <w:r>
        <w:rPr>
          <w:rFonts w:hint="eastAsia" w:ascii="宋体" w:hAnsi="宋体" w:cs="宋体"/>
          <w:b/>
          <w:bCs/>
          <w:color w:val="auto"/>
          <w:kern w:val="2"/>
          <w:sz w:val="24"/>
          <w:szCs w:val="24"/>
          <w:lang w:val="en-US" w:eastAsia="zh-CN" w:bidi="ar-SA"/>
        </w:rPr>
        <w:t>.</w:t>
      </w:r>
      <w:r>
        <w:rPr>
          <w:rFonts w:hint="eastAsia" w:ascii="宋体" w:hAnsi="宋体" w:eastAsia="宋体" w:cs="宋体"/>
          <w:b/>
          <w:bCs/>
          <w:color w:val="auto"/>
          <w:sz w:val="24"/>
          <w:szCs w:val="24"/>
        </w:rPr>
        <w:t>关于对中小企业</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监狱企业及残疾人企业</w:t>
      </w:r>
      <w:r>
        <w:rPr>
          <w:rFonts w:hint="eastAsia" w:ascii="宋体" w:hAnsi="宋体" w:eastAsia="宋体" w:cs="宋体"/>
          <w:b/>
          <w:bCs/>
          <w:color w:val="auto"/>
          <w:sz w:val="24"/>
          <w:szCs w:val="24"/>
        </w:rPr>
        <w:t>的优惠政策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本项目不享受</w:t>
      </w:r>
      <w:r>
        <w:rPr>
          <w:rFonts w:hint="eastAsia" w:ascii="宋体" w:hAnsi="宋体" w:eastAsia="宋体" w:cs="宋体"/>
          <w:b/>
          <w:bCs/>
          <w:color w:val="auto"/>
          <w:sz w:val="24"/>
          <w:szCs w:val="24"/>
          <w:lang w:eastAsia="zh-CN"/>
        </w:rPr>
        <w:t>）</w:t>
      </w:r>
    </w:p>
    <w:p w14:paraId="6074B9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2358AE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7-2.根据财政部、司法部联合下发的《关于政府采购支持监狱企业发展有关问题的通知》（财库〔2014〕68号）的规定，监狱企业视同小型、微型企业。</w:t>
      </w:r>
    </w:p>
    <w:p w14:paraId="57DEE9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B762F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772E7FE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r>
        <w:rPr>
          <w:rFonts w:hint="eastAsia" w:ascii="宋体" w:hAnsi="宋体" w:eastAsia="宋体" w:cs="宋体"/>
          <w:b/>
          <w:bCs/>
          <w:color w:val="auto"/>
          <w:sz w:val="24"/>
          <w:szCs w:val="24"/>
          <w:lang w:val="en-US" w:eastAsia="zh-CN"/>
        </w:rPr>
        <w:t>本项目采购标的对应的中小企业划分标准所属行业为：建筑业。</w:t>
      </w:r>
    </w:p>
    <w:p w14:paraId="7C7108EB">
      <w:pPr>
        <w:pStyle w:val="4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关于节能、环保、绿色产品</w:t>
      </w:r>
    </w:p>
    <w:p w14:paraId="1D74B7CE">
      <w:pPr>
        <w:pStyle w:val="4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77D55850">
      <w:pPr>
        <w:pStyle w:val="4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28DA27D">
      <w:pPr>
        <w:pStyle w:val="4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24A21271">
      <w:pPr>
        <w:pStyle w:val="4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4C163C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陕西省中小企业政府采购信用融资</w:t>
      </w:r>
    </w:p>
    <w:p w14:paraId="182C28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6774D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1E7AE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磋商小组对进入详细评审的投标人进行综合评分，根据得分由高到低，推荐出一个以上三个以下中标候选单位。如果综合评分出现两个投标人得分相同的情况，按下列顺序排列：</w:t>
      </w:r>
    </w:p>
    <w:p w14:paraId="4BA930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(1)投标价格低的；</w:t>
      </w:r>
    </w:p>
    <w:p w14:paraId="02D8C1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(2)技术评估得分高的；</w:t>
      </w:r>
    </w:p>
    <w:p w14:paraId="0BE5C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(3)服务承诺优的。</w:t>
      </w:r>
    </w:p>
    <w:p w14:paraId="2C1B4528">
      <w:pPr>
        <w:keepNext w:val="0"/>
        <w:keepLines w:val="0"/>
        <w:pageBreakBefore w:val="0"/>
        <w:kinsoku/>
        <w:wordWrap/>
        <w:overflowPunct/>
        <w:topLinePunct w:val="0"/>
        <w:autoSpaceDE/>
        <w:autoSpaceDN/>
        <w:bidi w:val="0"/>
        <w:snapToGrid w:val="0"/>
        <w:spacing w:line="440" w:lineRule="exact"/>
        <w:ind w:left="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确定成交单位</w:t>
      </w:r>
    </w:p>
    <w:p w14:paraId="7953901C">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依据评审结果写出磋商结果报告，送采购人。</w:t>
      </w:r>
    </w:p>
    <w:p w14:paraId="0B57C5EF">
      <w:pPr>
        <w:keepNext w:val="0"/>
        <w:keepLines w:val="0"/>
        <w:pageBreakBefore w:val="0"/>
        <w:kinsoku/>
        <w:wordWrap/>
        <w:overflowPunct/>
        <w:topLinePunct w:val="0"/>
        <w:autoSpaceDE/>
        <w:autoSpaceDN/>
        <w:bidi w:val="0"/>
        <w:adjustRightInd w:val="0"/>
        <w:snapToGrid w:val="0"/>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在竞争性磋商文件规定的有效期内，采购人在审查磋商结果报告的基础上确定成交单位，磋商组织单位接到回复后，向确定的成交单位发出“成交通知书”。</w:t>
      </w:r>
    </w:p>
    <w:p w14:paraId="10A4A99E">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合同</w:t>
      </w:r>
    </w:p>
    <w:p w14:paraId="78A0DF78">
      <w:pPr>
        <w:keepNext w:val="0"/>
        <w:keepLines w:val="0"/>
        <w:pageBreakBefore w:val="0"/>
        <w:kinsoku/>
        <w:wordWrap/>
        <w:overflowPunct/>
        <w:topLinePunct w:val="0"/>
        <w:autoSpaceDE/>
        <w:autoSpaceDN/>
        <w:bidi w:val="0"/>
        <w:adjustRightInd w:val="0"/>
        <w:snapToGrid w:val="0"/>
        <w:spacing w:line="440" w:lineRule="exact"/>
        <w:ind w:firstLine="482" w:firstLineChars="200"/>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u w:val="single"/>
        </w:rPr>
        <w:t>1</w:t>
      </w:r>
      <w:r>
        <w:rPr>
          <w:rFonts w:hint="eastAsia" w:ascii="宋体" w:hAnsi="宋体" w:cs="宋体"/>
          <w:b/>
          <w:bCs/>
          <w:color w:val="auto"/>
          <w:sz w:val="24"/>
          <w:szCs w:val="24"/>
          <w:u w:val="single"/>
          <w:lang w:val="en-US" w:eastAsia="zh-CN"/>
        </w:rPr>
        <w:t>.</w:t>
      </w:r>
      <w:r>
        <w:rPr>
          <w:rFonts w:hint="eastAsia" w:ascii="宋体" w:hAnsi="宋体" w:eastAsia="宋体" w:cs="宋体"/>
          <w:b/>
          <w:bCs/>
          <w:color w:val="auto"/>
          <w:sz w:val="24"/>
          <w:szCs w:val="24"/>
          <w:u w:val="single"/>
          <w:lang w:eastAsia="zh-CN"/>
        </w:rPr>
        <w:t>请</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单位在</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公示期结束后（一个工作日），前往代理机构领取</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通知书。</w:t>
      </w:r>
    </w:p>
    <w:p w14:paraId="34FE20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中标通知书</w:t>
      </w:r>
      <w:r>
        <w:rPr>
          <w:rFonts w:hint="eastAsia" w:ascii="宋体" w:hAnsi="宋体" w:eastAsia="宋体" w:cs="宋体"/>
          <w:color w:val="auto"/>
          <w:sz w:val="24"/>
          <w:szCs w:val="24"/>
        </w:rPr>
        <w:t>发出后，</w:t>
      </w:r>
      <w:r>
        <w:rPr>
          <w:rFonts w:hint="eastAsia" w:ascii="宋体" w:hAnsi="宋体" w:cs="宋体"/>
          <w:color w:val="auto"/>
          <w:sz w:val="24"/>
          <w:szCs w:val="24"/>
          <w:lang w:val="en-US" w:eastAsia="zh-CN"/>
        </w:rPr>
        <w:t>二十五</w:t>
      </w:r>
      <w:r>
        <w:rPr>
          <w:rFonts w:hint="eastAsia" w:ascii="宋体" w:hAnsi="宋体" w:eastAsia="宋体" w:cs="宋体"/>
          <w:color w:val="auto"/>
          <w:sz w:val="24"/>
          <w:szCs w:val="24"/>
        </w:rPr>
        <w:t>日内</w:t>
      </w:r>
      <w:r>
        <w:rPr>
          <w:rFonts w:hint="eastAsia" w:ascii="宋体" w:hAnsi="宋体" w:eastAsia="宋体" w:cs="宋体"/>
          <w:color w:val="auto"/>
          <w:sz w:val="24"/>
          <w:szCs w:val="24"/>
          <w:lang w:eastAsia="zh-CN"/>
        </w:rPr>
        <w:t>中标单位</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洽谈合同条款，并签订合同。</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及</w:t>
      </w:r>
      <w:r>
        <w:rPr>
          <w:rFonts w:hint="eastAsia" w:ascii="宋体" w:hAnsi="宋体" w:eastAsia="宋体" w:cs="宋体"/>
          <w:color w:val="auto"/>
          <w:sz w:val="24"/>
          <w:szCs w:val="24"/>
          <w:lang w:eastAsia="zh-CN"/>
        </w:rPr>
        <w:t>中标单位投标文件</w:t>
      </w:r>
      <w:r>
        <w:rPr>
          <w:rFonts w:hint="eastAsia" w:ascii="宋体" w:hAnsi="宋体" w:eastAsia="宋体" w:cs="宋体"/>
          <w:color w:val="auto"/>
          <w:sz w:val="24"/>
          <w:szCs w:val="24"/>
        </w:rPr>
        <w:t>均作为合同的组成部分。</w:t>
      </w:r>
    </w:p>
    <w:p w14:paraId="761590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监督机构在合同履行期间以及履行期后，可以随时检查项目的执行情况，对采购标准、招标内容进行调查核实，并对发现的问题进行处理。</w:t>
      </w:r>
    </w:p>
    <w:p w14:paraId="2FEA3B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、成交服务费</w:t>
      </w:r>
    </w:p>
    <w:p w14:paraId="04EDE7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r>
        <w:rPr>
          <w:rFonts w:hint="eastAsia" w:ascii="宋体" w:hAnsi="宋体" w:cs="宋体"/>
          <w:b w:val="0"/>
          <w:bCs w:val="0"/>
          <w:color w:val="auto"/>
          <w:sz w:val="24"/>
          <w:szCs w:val="24"/>
          <w:lang w:eastAsia="zh-CN"/>
        </w:rPr>
        <w:t>。</w:t>
      </w:r>
    </w:p>
    <w:p w14:paraId="44A1520A">
      <w:pPr>
        <w:keepNext w:val="0"/>
        <w:keepLines w:val="0"/>
        <w:pageBreakBefore w:val="0"/>
        <w:kinsoku/>
        <w:wordWrap/>
        <w:overflowPunct/>
        <w:topLinePunct w:val="0"/>
        <w:autoSpaceDE/>
        <w:autoSpaceDN/>
        <w:bidi w:val="0"/>
        <w:adjustRightInd w:val="0"/>
        <w:snapToGrid w:val="0"/>
        <w:spacing w:line="440" w:lineRule="exact"/>
        <w:ind w:firstLine="482" w:firstLineChars="200"/>
        <w:outlineLvl w:val="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2</w:t>
      </w:r>
      <w:r>
        <w:rPr>
          <w:rFonts w:hint="eastAsia" w:ascii="宋体" w:hAnsi="宋体" w:cs="宋体"/>
          <w:b/>
          <w:bCs/>
          <w:color w:val="auto"/>
          <w:sz w:val="24"/>
          <w:szCs w:val="24"/>
          <w:u w:val="single"/>
          <w:lang w:val="en-US" w:eastAsia="zh-CN"/>
        </w:rPr>
        <w:t>.</w:t>
      </w:r>
      <w:r>
        <w:rPr>
          <w:rFonts w:hint="eastAsia" w:ascii="宋体" w:hAnsi="宋体" w:eastAsia="宋体" w:cs="宋体"/>
          <w:b/>
          <w:bCs/>
          <w:color w:val="auto"/>
          <w:sz w:val="24"/>
          <w:szCs w:val="24"/>
          <w:u w:val="single"/>
        </w:rPr>
        <w:t>成交服务费</w:t>
      </w:r>
      <w:r>
        <w:rPr>
          <w:rFonts w:hint="eastAsia" w:ascii="宋体" w:hAnsi="宋体" w:eastAsia="宋体" w:cs="宋体"/>
          <w:b/>
          <w:bCs/>
          <w:color w:val="auto"/>
          <w:sz w:val="24"/>
          <w:szCs w:val="24"/>
          <w:u w:val="single"/>
          <w:lang w:val="en-US" w:eastAsia="zh-CN"/>
        </w:rPr>
        <w:t>等</w:t>
      </w:r>
      <w:r>
        <w:rPr>
          <w:rFonts w:hint="eastAsia" w:ascii="宋体" w:hAnsi="宋体" w:eastAsia="宋体" w:cs="宋体"/>
          <w:b/>
          <w:bCs/>
          <w:color w:val="auto"/>
          <w:sz w:val="24"/>
          <w:szCs w:val="24"/>
          <w:u w:val="single"/>
        </w:rPr>
        <w:t>相关费用由成交单位向招标代理机构支付。</w:t>
      </w:r>
    </w:p>
    <w:p w14:paraId="554745A4">
      <w:pPr>
        <w:pStyle w:val="24"/>
        <w:keepNext w:val="0"/>
        <w:keepLines w:val="0"/>
        <w:pageBreakBefore w:val="0"/>
        <w:kinsoku/>
        <w:wordWrap/>
        <w:overflowPunct/>
        <w:topLinePunct w:val="0"/>
        <w:autoSpaceDE/>
        <w:autoSpaceDN/>
        <w:bidi w:val="0"/>
        <w:spacing w:line="440" w:lineRule="exact"/>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rPr>
        <w:t>成交服务费缴纳方式：现金缴纳或银行转账。</w:t>
      </w:r>
    </w:p>
    <w:p w14:paraId="63FB1505">
      <w:pPr>
        <w:pStyle w:val="24"/>
        <w:keepNext w:val="0"/>
        <w:keepLines w:val="0"/>
        <w:pageBreakBefore w:val="0"/>
        <w:kinsoku/>
        <w:wordWrap/>
        <w:overflowPunct/>
        <w:topLinePunct w:val="0"/>
        <w:autoSpaceDE/>
        <w:autoSpaceDN/>
        <w:bidi w:val="0"/>
        <w:spacing w:line="440" w:lineRule="exact"/>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账户信息：</w:t>
      </w:r>
      <w:r>
        <w:rPr>
          <w:rFonts w:hint="eastAsia" w:ascii="宋体" w:hAnsi="宋体" w:eastAsia="宋体" w:cs="宋体"/>
          <w:b w:val="0"/>
          <w:bCs w:val="0"/>
          <w:color w:val="auto"/>
          <w:sz w:val="24"/>
          <w:szCs w:val="24"/>
          <w:lang w:eastAsia="zh-CN"/>
        </w:rPr>
        <w:t>宝泽项目管理有限公司</w:t>
      </w:r>
    </w:p>
    <w:p w14:paraId="4AEF93E3">
      <w:pPr>
        <w:keepNext w:val="0"/>
        <w:keepLines w:val="0"/>
        <w:pageBreakBefore w:val="0"/>
        <w:kinsoku/>
        <w:wordWrap/>
        <w:overflowPunct/>
        <w:topLinePunct w:val="0"/>
        <w:autoSpaceDE/>
        <w:autoSpaceDN/>
        <w:bidi w:val="0"/>
        <w:adjustRightInd w:val="0"/>
        <w:snapToGrid w:val="0"/>
        <w:spacing w:line="440" w:lineRule="exact"/>
        <w:ind w:left="0" w:firstLine="480" w:firstLineChars="200"/>
        <w:outlineLvl w:val="1"/>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账户号码：</w:t>
      </w:r>
      <w:r>
        <w:rPr>
          <w:rFonts w:hint="eastAsia" w:ascii="宋体" w:hAnsi="宋体" w:cs="宋体"/>
          <w:b w:val="0"/>
          <w:bCs/>
          <w:color w:val="auto"/>
          <w:sz w:val="24"/>
          <w:szCs w:val="24"/>
          <w:lang w:val="en-US" w:eastAsia="zh-CN"/>
        </w:rPr>
        <w:t>328571949577</w:t>
      </w:r>
    </w:p>
    <w:p w14:paraId="5B75B580">
      <w:pPr>
        <w:keepNext w:val="0"/>
        <w:keepLines w:val="0"/>
        <w:pageBreakBefore w:val="0"/>
        <w:kinsoku/>
        <w:wordWrap/>
        <w:overflowPunct/>
        <w:topLinePunct w:val="0"/>
        <w:autoSpaceDE/>
        <w:autoSpaceDN/>
        <w:bidi w:val="0"/>
        <w:adjustRightInd w:val="0"/>
        <w:snapToGrid w:val="0"/>
        <w:spacing w:line="440" w:lineRule="exact"/>
        <w:ind w:left="0" w:firstLine="480" w:firstLineChars="200"/>
        <w:outlineLvl w:val="1"/>
        <w:rPr>
          <w:rFonts w:hint="default" w:ascii="宋体" w:hAnsi="宋体" w:eastAsia="宋体" w:cs="宋体"/>
          <w:b/>
          <w:color w:val="auto"/>
          <w:sz w:val="24"/>
          <w:szCs w:val="24"/>
          <w:lang w:val="en-US" w:eastAsia="zh-CN"/>
        </w:rPr>
      </w:pPr>
      <w:r>
        <w:rPr>
          <w:rFonts w:hint="eastAsia" w:ascii="宋体" w:hAnsi="宋体" w:eastAsia="宋体" w:cs="宋体"/>
          <w:b w:val="0"/>
          <w:bCs/>
          <w:color w:val="auto"/>
          <w:sz w:val="24"/>
          <w:szCs w:val="24"/>
        </w:rPr>
        <w:t>开户银行：</w:t>
      </w:r>
      <w:r>
        <w:rPr>
          <w:rFonts w:hint="eastAsia" w:ascii="宋体" w:hAnsi="宋体" w:cs="宋体"/>
          <w:b w:val="0"/>
          <w:bCs/>
          <w:color w:val="auto"/>
          <w:sz w:val="24"/>
          <w:szCs w:val="24"/>
          <w:lang w:val="en-US" w:eastAsia="zh-CN"/>
        </w:rPr>
        <w:t>中国银行股份有限公司北京通州新华西街支行</w:t>
      </w:r>
    </w:p>
    <w:p w14:paraId="30B5321A">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质疑与投诉：</w:t>
      </w:r>
    </w:p>
    <w:p w14:paraId="51700B8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1、质疑及投诉</w:t>
      </w:r>
    </w:p>
    <w:p w14:paraId="7B7DAFA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1-1质疑</w:t>
      </w:r>
    </w:p>
    <w:p w14:paraId="6F5F4B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00BCC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（2）提出质疑的供应商应当是参与本项目采购活动的供应商。</w:t>
      </w:r>
    </w:p>
    <w:p w14:paraId="478EB6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（3）潜在供应商已依法获取其可质疑的采购文件的，可以对该文件提出质疑。对采购文件提出质疑的，应当在获取采购文件（以供应商填写报名登记表的时间为准）起7个工作日内提出。</w:t>
      </w:r>
    </w:p>
    <w:p w14:paraId="7C6196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（4）供应商提出质疑应当提交质疑函和必要的证明材料，质疑函应包括下列内容：</w:t>
      </w:r>
    </w:p>
    <w:p w14:paraId="7F9EF8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供应商的姓名或者名称、地址、邮编、联系人及联系电话；</w:t>
      </w:r>
    </w:p>
    <w:p w14:paraId="4384DB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质疑项目的名称、编号；</w:t>
      </w:r>
    </w:p>
    <w:p w14:paraId="079393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 具体、明确的质疑事项和与质疑事项相关的请求；</w:t>
      </w:r>
    </w:p>
    <w:p w14:paraId="5066D0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008131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 必要的法律依据；</w:t>
      </w:r>
    </w:p>
    <w:p w14:paraId="1051BB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 提出质疑的日期。</w:t>
      </w:r>
    </w:p>
    <w:p w14:paraId="4FCCE9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（5）供应商为自然人的，应当由本人签字；供应商为法人或者其他组织的，应当由法定代表人、主要负责人，或者其授权代表签字或者盖章并加盖公章。</w:t>
      </w:r>
    </w:p>
    <w:p w14:paraId="19E735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7CD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（7）采购人负责供应商质疑答复。采购人委托采购代理机构采购的，采购代理机构在委托授权范围内作出答复。</w:t>
      </w:r>
    </w:p>
    <w:p w14:paraId="11EA3D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（8）接收质疑函的方式和联系方式：</w:t>
      </w:r>
    </w:p>
    <w:p w14:paraId="2C7CFF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接收质疑函的方式：书面递交质疑函纸质版（当面递交）或PDF格式扫描件（发至电子邮箱）</w:t>
      </w:r>
    </w:p>
    <w:p w14:paraId="7D358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联系方式</w:t>
      </w:r>
    </w:p>
    <w:p w14:paraId="5216AF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名称：白河县人民法院</w:t>
      </w:r>
    </w:p>
    <w:p w14:paraId="319F44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地址：陕西省白河县滨河路</w:t>
      </w:r>
    </w:p>
    <w:p w14:paraId="08B90A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电话：15289256373</w:t>
      </w:r>
    </w:p>
    <w:p w14:paraId="3C6F1B3A">
      <w:pPr>
        <w:pStyle w:val="23"/>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联系方式</w:t>
      </w:r>
    </w:p>
    <w:p w14:paraId="4A2E859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朱工</w:t>
      </w:r>
    </w:p>
    <w:p w14:paraId="4F018D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13629256096</w:t>
      </w:r>
    </w:p>
    <w:p w14:paraId="65E9E83D">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1-2 投诉</w:t>
      </w:r>
    </w:p>
    <w:p w14:paraId="0F5DB1FF">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（1）质疑供应商对采购人、采购代理机构的答复不满意，或者采购人、采购代理机构未在规定时间内作出答复的，可以在答复期满后15个工作日内向同级财政部门提起投诉。</w:t>
      </w:r>
    </w:p>
    <w:p w14:paraId="280D9F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（2）投诉人投诉时,应当提交投诉书和必要的证明材料，并按照被投诉采购人、采购代理机构（以下简称被投诉人）和与投诉事项有关的供应商数量提供投诉书的副本。投诉书应当包括下列内容：</w:t>
      </w:r>
    </w:p>
    <w:p w14:paraId="3C7B351A">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投诉人和被投诉人的姓名或者名称、通讯地址、邮编、联系人及联系电话；</w:t>
      </w:r>
    </w:p>
    <w:p w14:paraId="288F712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质疑和质疑答复情况说明及相关证明材料；</w:t>
      </w:r>
    </w:p>
    <w:p w14:paraId="331B7EE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具体、明确的投诉事项和与投诉事项相关的投诉请求；</w:t>
      </w:r>
    </w:p>
    <w:p w14:paraId="42E98D9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268520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法律依据；</w:t>
      </w:r>
    </w:p>
    <w:p w14:paraId="67A32BD5">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⑥ 提起投诉的日期。</w:t>
      </w:r>
    </w:p>
    <w:p w14:paraId="407CBC4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（3）投诉人为自然人的，应当由本人签字；投诉人为法人或者其他组织的，应当由法定代表人、主要负责人，或者其授权代表签字或者盖章，并加盖公章。</w:t>
      </w:r>
    </w:p>
    <w:p w14:paraId="2D6A3053">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（4）投诉人提起投诉应当符合下列条件：</w:t>
      </w:r>
    </w:p>
    <w:p w14:paraId="0C658E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提起投诉前已依法进行质疑；</w:t>
      </w:r>
    </w:p>
    <w:p w14:paraId="7055A4A8">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投诉书内容符合《政府采购质疑和投诉办法》（财政部令第94号令）的规定；</w:t>
      </w:r>
    </w:p>
    <w:p w14:paraId="45448F61">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在投诉有效期限内提起投诉；</w:t>
      </w:r>
    </w:p>
    <w:p w14:paraId="0E383CD4">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同一投诉事项未经财政部门投诉处理；</w:t>
      </w:r>
    </w:p>
    <w:p w14:paraId="3560415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财政部规定的其他条件。</w:t>
      </w:r>
    </w:p>
    <w:p w14:paraId="04B0D454">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（5）供应商投诉的事项不得超出已质疑事项的范围，但基于质疑答复内容提出的投诉事项除外。</w:t>
      </w:r>
    </w:p>
    <w:p w14:paraId="0288918A">
      <w:pPr>
        <w:keepNext w:val="0"/>
        <w:keepLines w:val="0"/>
        <w:pageBreakBefore w:val="0"/>
        <w:kinsoku/>
        <w:wordWrap/>
        <w:overflowPunct/>
        <w:topLinePunct w:val="0"/>
        <w:autoSpaceDE/>
        <w:autoSpaceDN/>
        <w:bidi w:val="0"/>
        <w:adjustRightInd w:val="0"/>
        <w:snapToGrid w:val="0"/>
        <w:spacing w:line="440" w:lineRule="exact"/>
        <w:ind w:left="0" w:firstLine="645"/>
        <w:rPr>
          <w:rFonts w:hint="eastAsia" w:ascii="宋体" w:hAnsi="宋体" w:eastAsia="宋体" w:cs="宋体"/>
          <w:color w:val="auto"/>
          <w:sz w:val="24"/>
          <w:szCs w:val="24"/>
        </w:rPr>
      </w:pPr>
    </w:p>
    <w:p w14:paraId="70747C06">
      <w:pPr>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7C11FB9">
      <w:pPr>
        <w:adjustRightInd w:val="0"/>
        <w:snapToGrid w:val="0"/>
        <w:spacing w:line="480" w:lineRule="exact"/>
        <w:jc w:val="center"/>
        <w:rPr>
          <w:color w:val="auto"/>
          <w:sz w:val="32"/>
          <w:szCs w:val="32"/>
        </w:rPr>
      </w:pP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4742E07F">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一</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项目名称：</w:t>
      </w:r>
      <w:r>
        <w:rPr>
          <w:rFonts w:hint="eastAsia" w:ascii="宋体" w:hAnsi="宋体" w:cs="宋体"/>
          <w:b/>
          <w:color w:val="auto"/>
          <w:sz w:val="24"/>
          <w:szCs w:val="24"/>
          <w:lang w:val="en-US" w:eastAsia="zh-CN"/>
        </w:rPr>
        <w:t>白河县人民法院外墙改造新增项目</w:t>
      </w:r>
    </w:p>
    <w:p w14:paraId="469FBFEF">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rPr>
        <w:t>二</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工程</w:t>
      </w:r>
      <w:r>
        <w:rPr>
          <w:rFonts w:hint="eastAsia" w:ascii="宋体" w:hAnsi="宋体" w:cs="宋体"/>
          <w:b/>
          <w:color w:val="auto"/>
          <w:sz w:val="24"/>
          <w:szCs w:val="24"/>
          <w:lang w:val="en-US" w:eastAsia="zh-CN"/>
        </w:rPr>
        <w:t>范围：本次工程招标的范围为工程量清单涉及的全部内容。</w:t>
      </w:r>
    </w:p>
    <w:p w14:paraId="42660B6C">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lang w:val="en-US" w:eastAsia="zh-CN"/>
        </w:rPr>
        <w:t>三</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lang w:val="en-US" w:eastAsia="zh-CN"/>
        </w:rPr>
        <w:t>建设地点：</w:t>
      </w:r>
      <w:r>
        <w:rPr>
          <w:rFonts w:hint="eastAsia" w:ascii="宋体" w:hAnsi="宋体" w:cs="宋体"/>
          <w:b/>
          <w:color w:val="auto"/>
          <w:sz w:val="24"/>
          <w:szCs w:val="24"/>
          <w:lang w:val="en-US" w:eastAsia="zh-CN"/>
        </w:rPr>
        <w:t>采购人指定地点</w:t>
      </w:r>
    </w:p>
    <w:p w14:paraId="52AABDA6">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现场踏勘</w:t>
      </w:r>
    </w:p>
    <w:p w14:paraId="62A20109">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由投标人自行踏勘，未踏勘现场造成的一切后果由投标人自行承担。（一切费用自理）。</w:t>
      </w:r>
    </w:p>
    <w:p w14:paraId="371327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cs="宋体"/>
          <w:b/>
          <w:bCs/>
          <w:snapToGrid w:val="0"/>
          <w:color w:val="auto"/>
          <w:kern w:val="2"/>
          <w:sz w:val="24"/>
          <w:szCs w:val="24"/>
          <w:lang w:val="en-US" w:eastAsia="zh-CN"/>
        </w:rPr>
        <w:t>五.</w:t>
      </w:r>
      <w:r>
        <w:rPr>
          <w:rFonts w:hint="eastAsia" w:ascii="宋体" w:hAnsi="宋体" w:eastAsia="宋体" w:cs="宋体"/>
          <w:b/>
          <w:bCs/>
          <w:snapToGrid w:val="0"/>
          <w:color w:val="auto"/>
          <w:kern w:val="2"/>
          <w:sz w:val="24"/>
          <w:szCs w:val="24"/>
        </w:rPr>
        <w:t>工程材料：</w:t>
      </w:r>
    </w:p>
    <w:p w14:paraId="0042CA5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本工程材料均选用国优产品，同时在响应文件中必须明确所有材料的价格。本工程材料品牌或价格参考市场价，投标单位自主报价。</w:t>
      </w:r>
    </w:p>
    <w:p w14:paraId="582C657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工程材料在工程实施过程中，由采购人认质。凡在工程实施过程因设计变更引起的施工费用，由发包方和承包方共同签字确认变更后协商解决。</w:t>
      </w:r>
    </w:p>
    <w:p w14:paraId="2952186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cs="宋体"/>
          <w:b/>
          <w:bCs/>
          <w:snapToGrid w:val="0"/>
          <w:color w:val="auto"/>
          <w:kern w:val="2"/>
          <w:sz w:val="24"/>
          <w:szCs w:val="24"/>
          <w:lang w:val="en-US" w:eastAsia="zh-CN"/>
        </w:rPr>
        <w:t>六.</w:t>
      </w:r>
      <w:r>
        <w:rPr>
          <w:rFonts w:hint="eastAsia" w:ascii="宋体" w:hAnsi="宋体" w:eastAsia="宋体" w:cs="宋体"/>
          <w:b/>
          <w:bCs/>
          <w:snapToGrid w:val="0"/>
          <w:color w:val="auto"/>
          <w:kern w:val="2"/>
          <w:sz w:val="24"/>
          <w:szCs w:val="24"/>
        </w:rPr>
        <w:t>材料供应与验收</w:t>
      </w:r>
    </w:p>
    <w:p w14:paraId="47DF1A1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承包方供应的材料应按合同规定按时、按质、按量供应，必须附有产品合格证或质量检验证书才能用于工程。发包方采用抽检办法责成承包方分批次进行检测，费用由承包方承担。</w:t>
      </w:r>
    </w:p>
    <w:p w14:paraId="52917FE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因材料质量不合格所造成的损失（包括仓库保管费）由材料采购方负责。</w:t>
      </w:r>
    </w:p>
    <w:p w14:paraId="61B12DE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根据工程需要，经发包人代表签证，承包方可使用代用材料。因发包方原因使用时，由发包方承担增加的经济支出，因承包方原因使用时，由承包方承担增加的费用。</w:t>
      </w:r>
    </w:p>
    <w:p w14:paraId="199407A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因材料供应不及时造成停工待料时，其停、窝工损失由供货责任方承担。</w:t>
      </w:r>
    </w:p>
    <w:p w14:paraId="08E2030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cs="宋体"/>
          <w:b/>
          <w:bCs/>
          <w:snapToGrid w:val="0"/>
          <w:color w:val="auto"/>
          <w:kern w:val="2"/>
          <w:sz w:val="24"/>
          <w:szCs w:val="24"/>
          <w:lang w:val="en-US" w:eastAsia="zh-CN"/>
        </w:rPr>
        <w:t>七.</w:t>
      </w:r>
      <w:r>
        <w:rPr>
          <w:rFonts w:hint="eastAsia" w:ascii="宋体" w:hAnsi="宋体" w:eastAsia="宋体" w:cs="宋体"/>
          <w:b/>
          <w:bCs/>
          <w:snapToGrid w:val="0"/>
          <w:color w:val="auto"/>
          <w:kern w:val="2"/>
          <w:sz w:val="24"/>
          <w:szCs w:val="24"/>
        </w:rPr>
        <w:t>工程质量、技术要求</w:t>
      </w:r>
    </w:p>
    <w:p w14:paraId="7489B0D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本工程质量等级要求</w:t>
      </w:r>
      <w:r>
        <w:rPr>
          <w:rFonts w:hint="eastAsia" w:ascii="宋体" w:hAnsi="宋体" w:eastAsia="宋体" w:cs="宋体"/>
          <w:snapToGrid w:val="0"/>
          <w:color w:val="auto"/>
          <w:kern w:val="2"/>
          <w:sz w:val="24"/>
          <w:szCs w:val="24"/>
          <w:lang w:eastAsia="zh-CN"/>
        </w:rPr>
        <w:t>合格</w:t>
      </w:r>
      <w:r>
        <w:rPr>
          <w:rFonts w:hint="eastAsia" w:ascii="宋体" w:hAnsi="宋体" w:eastAsia="宋体" w:cs="宋体"/>
          <w:color w:val="auto"/>
          <w:sz w:val="24"/>
          <w:szCs w:val="24"/>
        </w:rPr>
        <w:t>。</w:t>
      </w:r>
    </w:p>
    <w:p w14:paraId="011441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承包方必须按照招标要求及国家现行有关施工验收规范组织施工，建立健全质量保证体系，做到安全生产及文明施工，工程竣工验收质量达不到采购人要求的合格标准，发包方有权罚没</w:t>
      </w:r>
      <w:r>
        <w:rPr>
          <w:rFonts w:hint="eastAsia" w:ascii="宋体" w:hAnsi="宋体" w:eastAsia="宋体" w:cs="宋体"/>
          <w:color w:val="auto"/>
          <w:sz w:val="24"/>
          <w:szCs w:val="24"/>
          <w:lang w:val="en-US" w:eastAsia="zh-CN"/>
        </w:rPr>
        <w:t>相应的合同金额</w:t>
      </w:r>
      <w:r>
        <w:rPr>
          <w:rFonts w:hint="eastAsia" w:ascii="宋体" w:hAnsi="宋体" w:eastAsia="宋体" w:cs="宋体"/>
          <w:color w:val="auto"/>
          <w:sz w:val="24"/>
          <w:szCs w:val="24"/>
        </w:rPr>
        <w:t>。</w:t>
      </w:r>
    </w:p>
    <w:p w14:paraId="44B1328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本工程所需施工材料、设备均由承包方负责供应，必须满足设计要求和国家有关标准，并应具有合格证等质量证明资料，经发包方人员认定后方可使用。</w:t>
      </w:r>
    </w:p>
    <w:p w14:paraId="1ECF46E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各工序应严格按施工组织设计进行质量控制，每道工序完工后，应进行检查，</w:t>
      </w:r>
      <w:r>
        <w:rPr>
          <w:rFonts w:hint="eastAsia" w:ascii="宋体" w:hAnsi="宋体" w:eastAsia="宋体" w:cs="宋体"/>
          <w:color w:val="auto"/>
          <w:sz w:val="24"/>
          <w:szCs w:val="24"/>
          <w:lang w:val="en-US" w:eastAsia="zh-CN"/>
        </w:rPr>
        <w:t>电力</w:t>
      </w:r>
      <w:r>
        <w:rPr>
          <w:rFonts w:hint="eastAsia" w:ascii="宋体" w:hAnsi="宋体" w:eastAsia="宋体" w:cs="宋体"/>
          <w:color w:val="auto"/>
          <w:sz w:val="24"/>
          <w:szCs w:val="24"/>
          <w:lang w:eastAsia="zh-CN"/>
        </w:rPr>
        <w:t>工程专业</w:t>
      </w:r>
      <w:r>
        <w:rPr>
          <w:rFonts w:hint="eastAsia" w:ascii="宋体" w:hAnsi="宋体" w:eastAsia="宋体" w:cs="宋体"/>
          <w:color w:val="auto"/>
          <w:sz w:val="24"/>
          <w:szCs w:val="24"/>
        </w:rPr>
        <w:t>工种之间应及时进行交接检验，并形成记录。未经检查验收不得进行下一道工序。</w:t>
      </w:r>
    </w:p>
    <w:p w14:paraId="126C54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工程完工后，承包方应在组织有关人员进行自行检验评定后，向发包人提交工程验收报告及相关施工资料。</w:t>
      </w:r>
    </w:p>
    <w:p w14:paraId="587FA1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u w:val="single"/>
          <w:lang w:val="en-US" w:eastAsia="zh-CN"/>
        </w:rPr>
        <w:t>质保期：质量保修期为自竣工验收通过之日起二年；</w:t>
      </w:r>
      <w:r>
        <w:rPr>
          <w:rFonts w:hint="eastAsia" w:ascii="宋体" w:hAnsi="宋体" w:eastAsia="宋体" w:cs="宋体"/>
          <w:color w:val="auto"/>
          <w:sz w:val="24"/>
          <w:szCs w:val="24"/>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42DE4E1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服务承诺：要求具有完善的保修服务体系，高效的工作作风，高水平的技术维修人员。</w:t>
      </w:r>
    </w:p>
    <w:p w14:paraId="441FC97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cs="宋体"/>
          <w:b/>
          <w:bCs/>
          <w:snapToGrid w:val="0"/>
          <w:color w:val="auto"/>
          <w:kern w:val="2"/>
          <w:sz w:val="24"/>
          <w:szCs w:val="24"/>
          <w:lang w:val="en-US" w:eastAsia="zh-CN"/>
        </w:rPr>
        <w:t>八.</w:t>
      </w:r>
      <w:r>
        <w:rPr>
          <w:rFonts w:hint="eastAsia" w:ascii="宋体" w:hAnsi="宋体" w:eastAsia="宋体" w:cs="宋体"/>
          <w:b/>
          <w:bCs/>
          <w:snapToGrid w:val="0"/>
          <w:color w:val="auto"/>
          <w:kern w:val="2"/>
          <w:sz w:val="24"/>
          <w:szCs w:val="24"/>
        </w:rPr>
        <w:t>工程施工配合要求</w:t>
      </w:r>
    </w:p>
    <w:p w14:paraId="53C0014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发包方责任：</w:t>
      </w:r>
    </w:p>
    <w:p w14:paraId="6A51F8E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0BB53D7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7C2EED6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2660A56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协助承包人协调水、电及临时设施等相关事宜，为施工创造条件。</w:t>
      </w:r>
    </w:p>
    <w:p w14:paraId="77B0180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3047F2F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承包方责任：</w:t>
      </w:r>
    </w:p>
    <w:p w14:paraId="59056A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0BE83C3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p>
    <w:p w14:paraId="49C98D5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服从发包方的管理，施工人员必须经发包方审定，遵守发包方的有关规定，服从管理，文明施工。</w:t>
      </w:r>
    </w:p>
    <w:p w14:paraId="151C80B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负责施工区域内的安全、保卫及消防工作。</w:t>
      </w:r>
    </w:p>
    <w:p w14:paraId="412E823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负责交工前的产品保护工作。</w:t>
      </w:r>
    </w:p>
    <w:p w14:paraId="1CB4945C">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做好安排，合理调度人员，保证连续施工，确保按期完工。</w:t>
      </w:r>
    </w:p>
    <w:p w14:paraId="564A011A">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w:t>
      </w:r>
    </w:p>
    <w:p w14:paraId="778AF7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cs="宋体"/>
          <w:b/>
          <w:bCs/>
          <w:snapToGrid w:val="0"/>
          <w:color w:val="auto"/>
          <w:kern w:val="2"/>
          <w:sz w:val="24"/>
          <w:szCs w:val="24"/>
          <w:lang w:val="en-US" w:eastAsia="zh-CN"/>
        </w:rPr>
        <w:t>九.</w:t>
      </w:r>
      <w:r>
        <w:rPr>
          <w:rFonts w:hint="eastAsia" w:ascii="宋体" w:hAnsi="宋体" w:eastAsia="宋体" w:cs="宋体"/>
          <w:b/>
          <w:bCs/>
          <w:snapToGrid w:val="0"/>
          <w:color w:val="auto"/>
          <w:kern w:val="2"/>
          <w:sz w:val="24"/>
          <w:szCs w:val="24"/>
        </w:rPr>
        <w:t>质量验收标准：按国家及相关地方政策规范执行。</w:t>
      </w:r>
    </w:p>
    <w:p w14:paraId="1A81A863">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left"/>
        <w:textAlignment w:val="auto"/>
        <w:rPr>
          <w:rFonts w:hint="eastAsia" w:asciiTheme="majorEastAsia" w:hAnsiTheme="majorEastAsia" w:eastAsiaTheme="majorEastAsia" w:cstheme="majorEastAsia"/>
          <w:b/>
          <w:color w:val="auto"/>
          <w:sz w:val="24"/>
          <w:szCs w:val="24"/>
          <w:lang w:val="en-US" w:eastAsia="zh-CN"/>
        </w:rPr>
      </w:pPr>
      <w:r>
        <w:rPr>
          <w:rFonts w:hint="eastAsia" w:asciiTheme="majorEastAsia" w:hAnsiTheme="majorEastAsia" w:eastAsiaTheme="majorEastAsia" w:cstheme="majorEastAsia"/>
          <w:b/>
          <w:color w:val="auto"/>
          <w:sz w:val="24"/>
          <w:szCs w:val="24"/>
          <w:lang w:val="en-US" w:eastAsia="zh-CN"/>
        </w:rPr>
        <w:t>十.分部分项工程量清单及编制说明（见下页）</w:t>
      </w:r>
    </w:p>
    <w:p w14:paraId="56C9F07F">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center"/>
        <w:textAlignment w:val="auto"/>
        <w:rPr>
          <w:rFonts w:hint="eastAsia" w:asciiTheme="majorEastAsia" w:hAnsiTheme="majorEastAsia" w:eastAsiaTheme="majorEastAsia" w:cstheme="majorEastAsia"/>
          <w:b/>
          <w:bCs/>
          <w:color w:val="auto"/>
          <w:sz w:val="40"/>
          <w:szCs w:val="40"/>
        </w:rPr>
      </w:pPr>
      <w:r>
        <w:rPr>
          <w:rFonts w:hint="eastAsia" w:ascii="宋体" w:hAnsi="宋体" w:eastAsia="宋体" w:cs="宋体"/>
          <w:b/>
          <w:color w:val="auto"/>
          <w:sz w:val="24"/>
          <w:szCs w:val="24"/>
        </w:rPr>
        <w:br w:type="page"/>
      </w:r>
      <w:r>
        <w:rPr>
          <w:rFonts w:hint="eastAsia" w:asciiTheme="majorEastAsia" w:hAnsiTheme="majorEastAsia" w:eastAsiaTheme="majorEastAsia" w:cstheme="majorEastAsia"/>
          <w:b/>
          <w:bCs/>
          <w:color w:val="auto"/>
          <w:sz w:val="40"/>
          <w:szCs w:val="40"/>
          <w:lang w:eastAsia="zh-CN"/>
        </w:rPr>
        <w:t>白河县人民法院外墙改造新增项目</w:t>
      </w:r>
      <w:r>
        <w:rPr>
          <w:rFonts w:hint="eastAsia" w:asciiTheme="majorEastAsia" w:hAnsiTheme="majorEastAsia" w:eastAsiaTheme="majorEastAsia" w:cstheme="majorEastAsia"/>
          <w:b/>
          <w:bCs/>
          <w:color w:val="auto"/>
          <w:sz w:val="40"/>
          <w:szCs w:val="40"/>
        </w:rPr>
        <w:t>编制说明</w:t>
      </w:r>
    </w:p>
    <w:p w14:paraId="55A9711C">
      <w:pPr>
        <w:pStyle w:val="10"/>
        <w:rPr>
          <w:rFonts w:hint="eastAsia"/>
          <w:color w:val="auto"/>
        </w:rPr>
      </w:pPr>
    </w:p>
    <w:p w14:paraId="3ECB5921">
      <w:pPr>
        <w:keepNext w:val="0"/>
        <w:keepLines w:val="0"/>
        <w:pageBreakBefore w:val="0"/>
        <w:widowControl w:val="0"/>
        <w:numPr>
          <w:ilvl w:val="0"/>
          <w:numId w:val="0"/>
        </w:numPr>
        <w:kinsoku/>
        <w:wordWrap/>
        <w:overflowPunct/>
        <w:topLinePunct w:val="0"/>
        <w:bidi w:val="0"/>
        <w:snapToGrid/>
        <w:spacing w:line="360" w:lineRule="auto"/>
        <w:ind w:left="-361" w:leftChars="-172"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kern w:val="2"/>
          <w:sz w:val="24"/>
          <w:szCs w:val="24"/>
          <w:lang w:val="en-US" w:eastAsia="zh-CN" w:bidi="ar-SA"/>
        </w:rPr>
        <w:t>一.</w:t>
      </w:r>
      <w:r>
        <w:rPr>
          <w:rFonts w:hint="eastAsia" w:asciiTheme="majorEastAsia" w:hAnsiTheme="majorEastAsia" w:eastAsiaTheme="majorEastAsia" w:cstheme="majorEastAsia"/>
          <w:b/>
          <w:color w:val="auto"/>
          <w:sz w:val="24"/>
          <w:szCs w:val="24"/>
        </w:rPr>
        <w:t>编制依据：</w:t>
      </w:r>
    </w:p>
    <w:p w14:paraId="7A931B05">
      <w:pPr>
        <w:keepNext w:val="0"/>
        <w:keepLines w:val="0"/>
        <w:pageBreakBefore w:val="0"/>
        <w:widowControl w:val="0"/>
        <w:numPr>
          <w:ilvl w:val="0"/>
          <w:numId w:val="0"/>
        </w:numPr>
        <w:kinsoku/>
        <w:wordWrap/>
        <w:overflowPunct/>
        <w:topLinePunct w:val="0"/>
        <w:bidi w:val="0"/>
        <w:snapToGrid/>
        <w:spacing w:line="360" w:lineRule="auto"/>
        <w:ind w:leftChars="28"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《陕西省建设工程工程量清单计价标准（20</w:t>
      </w:r>
      <w:r>
        <w:rPr>
          <w:rFonts w:hint="eastAsia" w:asciiTheme="majorEastAsia" w:hAnsiTheme="majorEastAsia" w:eastAsiaTheme="majorEastAsia" w:cstheme="majorEastAsia"/>
          <w:color w:val="auto"/>
          <w:sz w:val="24"/>
          <w:szCs w:val="24"/>
          <w:lang w:val="en-US" w:eastAsia="zh-CN"/>
        </w:rPr>
        <w:t>25</w:t>
      </w:r>
      <w:r>
        <w:rPr>
          <w:rFonts w:hint="eastAsia" w:asciiTheme="majorEastAsia" w:hAnsiTheme="majorEastAsia" w:eastAsiaTheme="majorEastAsia" w:cstheme="majorEastAsia"/>
          <w:color w:val="auto"/>
          <w:sz w:val="24"/>
          <w:szCs w:val="24"/>
        </w:rPr>
        <w:t>）》。（以下简称计价标准）；</w:t>
      </w:r>
    </w:p>
    <w:p w14:paraId="73B57C19">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2.施工设计图中选用的相关标准图集；</w:t>
      </w:r>
    </w:p>
    <w:p w14:paraId="79965F1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3.依据设计施工图</w:t>
      </w:r>
      <w:r>
        <w:rPr>
          <w:rFonts w:hint="eastAsia" w:asciiTheme="majorEastAsia" w:hAnsiTheme="majorEastAsia" w:eastAsiaTheme="majorEastAsia" w:cstheme="majorEastAsia"/>
          <w:color w:val="auto"/>
          <w:sz w:val="24"/>
          <w:szCs w:val="24"/>
          <w:lang w:eastAsia="zh-CN"/>
        </w:rPr>
        <w:t>。</w:t>
      </w:r>
    </w:p>
    <w:p w14:paraId="1B437D9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lang w:val="en-US" w:eastAsia="zh-CN"/>
        </w:rPr>
        <w:t>二.</w:t>
      </w:r>
      <w:r>
        <w:rPr>
          <w:rFonts w:hint="eastAsia" w:asciiTheme="majorEastAsia" w:hAnsiTheme="majorEastAsia" w:eastAsiaTheme="majorEastAsia" w:cstheme="majorEastAsia"/>
          <w:b/>
          <w:color w:val="auto"/>
          <w:sz w:val="24"/>
          <w:szCs w:val="24"/>
        </w:rPr>
        <w:t>软件版本及相关文件说明：</w:t>
      </w:r>
    </w:p>
    <w:p w14:paraId="5C61FFF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bidi="ar"/>
        </w:rPr>
        <w:t>1</w:t>
      </w:r>
      <w:r>
        <w:rPr>
          <w:rFonts w:hint="eastAsia" w:asciiTheme="majorEastAsia" w:hAnsiTheme="majorEastAsia" w:eastAsiaTheme="majorEastAsia" w:cstheme="majorEastAsia"/>
          <w:color w:val="auto"/>
          <w:sz w:val="24"/>
          <w:szCs w:val="24"/>
        </w:rPr>
        <w:t>.《陕西省建设工程工程量清单计价标准（20</w:t>
      </w:r>
      <w:r>
        <w:rPr>
          <w:rFonts w:hint="eastAsia" w:asciiTheme="majorEastAsia" w:hAnsiTheme="majorEastAsia" w:eastAsiaTheme="majorEastAsia" w:cstheme="majorEastAsia"/>
          <w:color w:val="auto"/>
          <w:sz w:val="24"/>
          <w:szCs w:val="24"/>
          <w:lang w:val="en-US" w:eastAsia="zh-CN"/>
        </w:rPr>
        <w:t>25</w:t>
      </w:r>
      <w:r>
        <w:rPr>
          <w:rFonts w:hint="eastAsia" w:asciiTheme="majorEastAsia" w:hAnsiTheme="majorEastAsia" w:eastAsiaTheme="majorEastAsia" w:cstheme="majorEastAsia"/>
          <w:color w:val="auto"/>
          <w:sz w:val="24"/>
          <w:szCs w:val="24"/>
        </w:rPr>
        <w:t>）》。</w:t>
      </w:r>
    </w:p>
    <w:p w14:paraId="64A125C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2．《20</w:t>
      </w:r>
      <w:r>
        <w:rPr>
          <w:rFonts w:hint="eastAsia" w:asciiTheme="majorEastAsia" w:hAnsiTheme="majorEastAsia" w:eastAsiaTheme="majorEastAsia" w:cstheme="majorEastAsia"/>
          <w:color w:val="auto"/>
          <w:sz w:val="24"/>
          <w:szCs w:val="24"/>
          <w:lang w:val="en-US" w:eastAsia="zh-CN"/>
        </w:rPr>
        <w:t>25</w:t>
      </w:r>
      <w:r>
        <w:rPr>
          <w:rFonts w:hint="eastAsia" w:asciiTheme="majorEastAsia" w:hAnsiTheme="majorEastAsia" w:eastAsiaTheme="majorEastAsia" w:cstheme="majorEastAsia"/>
          <w:color w:val="auto"/>
          <w:sz w:val="24"/>
          <w:szCs w:val="24"/>
        </w:rPr>
        <w:t>陕西省房屋建筑与装饰工程、通用安装工程、市政工程</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园林绿化工程</w:t>
      </w:r>
      <w:r>
        <w:rPr>
          <w:rFonts w:hint="eastAsia" w:asciiTheme="majorEastAsia" w:hAnsiTheme="majorEastAsia" w:eastAsiaTheme="majorEastAsia" w:cstheme="majorEastAsia"/>
          <w:color w:val="auto"/>
          <w:sz w:val="24"/>
          <w:szCs w:val="24"/>
        </w:rPr>
        <w:t>消耗量定额》《20</w:t>
      </w:r>
      <w:r>
        <w:rPr>
          <w:rFonts w:hint="eastAsia" w:asciiTheme="majorEastAsia" w:hAnsiTheme="majorEastAsia" w:eastAsiaTheme="majorEastAsia" w:cstheme="majorEastAsia"/>
          <w:color w:val="auto"/>
          <w:sz w:val="24"/>
          <w:szCs w:val="24"/>
          <w:lang w:val="en-US" w:eastAsia="zh-CN"/>
        </w:rPr>
        <w:t>25</w:t>
      </w:r>
      <w:r>
        <w:rPr>
          <w:rFonts w:hint="eastAsia" w:asciiTheme="majorEastAsia" w:hAnsiTheme="majorEastAsia" w:eastAsiaTheme="majorEastAsia" w:cstheme="majorEastAsia"/>
          <w:color w:val="auto"/>
          <w:sz w:val="24"/>
          <w:szCs w:val="24"/>
        </w:rPr>
        <w:t>陕西省房屋建筑与装饰工程、通用安装工程、市政工程</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园林绿化工程</w:t>
      </w:r>
      <w:r>
        <w:rPr>
          <w:rFonts w:hint="eastAsia" w:asciiTheme="majorEastAsia" w:hAnsiTheme="majorEastAsia" w:eastAsiaTheme="majorEastAsia" w:cstheme="majorEastAsia"/>
          <w:color w:val="auto"/>
          <w:sz w:val="24"/>
          <w:szCs w:val="24"/>
          <w:lang w:eastAsia="zh-CN"/>
        </w:rPr>
        <w:t>基价</w:t>
      </w:r>
      <w:r>
        <w:rPr>
          <w:rFonts w:hint="eastAsia" w:asciiTheme="majorEastAsia" w:hAnsiTheme="majorEastAsia" w:eastAsiaTheme="majorEastAsia" w:cstheme="majorEastAsia"/>
          <w:color w:val="auto"/>
          <w:sz w:val="24"/>
          <w:szCs w:val="24"/>
        </w:rPr>
        <w:t>表》以及相关配套的取费标准。</w:t>
      </w:r>
    </w:p>
    <w:p w14:paraId="6D6D2B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3.执行陕建发【2019】45号文关于调整增值税税率及综合系数；</w:t>
      </w:r>
    </w:p>
    <w:p w14:paraId="2A4A98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.信息价执行《陕西工程造价管理信息》20</w:t>
      </w:r>
      <w:r>
        <w:rPr>
          <w:rFonts w:hint="eastAsia" w:asciiTheme="majorEastAsia" w:hAnsiTheme="majorEastAsia" w:eastAsiaTheme="majorEastAsia" w:cstheme="majorEastAsia"/>
          <w:color w:val="auto"/>
          <w:sz w:val="24"/>
          <w:szCs w:val="24"/>
          <w:lang w:val="en-US" w:eastAsia="zh-CN"/>
        </w:rPr>
        <w:t>25</w:t>
      </w:r>
      <w:r>
        <w:rPr>
          <w:rFonts w:hint="eastAsia" w:asciiTheme="majorEastAsia" w:hAnsiTheme="majorEastAsia" w:eastAsiaTheme="majorEastAsia" w:cstheme="majorEastAsia"/>
          <w:color w:val="auto"/>
          <w:sz w:val="24"/>
          <w:szCs w:val="24"/>
        </w:rPr>
        <w:t>年第</w:t>
      </w:r>
      <w:r>
        <w:rPr>
          <w:rFonts w:hint="eastAsia" w:asciiTheme="majorEastAsia" w:hAnsiTheme="majorEastAsia" w:eastAsiaTheme="majorEastAsia" w:cstheme="majorEastAsia"/>
          <w:color w:val="auto"/>
          <w:sz w:val="24"/>
          <w:szCs w:val="24"/>
          <w:lang w:val="en-US" w:eastAsia="zh-CN"/>
        </w:rPr>
        <w:t>11月</w:t>
      </w:r>
      <w:r>
        <w:rPr>
          <w:rFonts w:hint="eastAsia" w:asciiTheme="majorEastAsia" w:hAnsiTheme="majorEastAsia" w:eastAsiaTheme="majorEastAsia" w:cstheme="majorEastAsia"/>
          <w:color w:val="auto"/>
          <w:sz w:val="24"/>
          <w:szCs w:val="24"/>
        </w:rPr>
        <w:t>信息价</w:t>
      </w:r>
      <w:r>
        <w:rPr>
          <w:rFonts w:hint="eastAsia" w:asciiTheme="majorEastAsia" w:hAnsiTheme="majorEastAsia" w:eastAsiaTheme="majorEastAsia" w:cstheme="majorEastAsia"/>
          <w:color w:val="auto"/>
          <w:sz w:val="24"/>
          <w:szCs w:val="24"/>
          <w:lang w:val="en-US" w:eastAsia="zh-CN"/>
        </w:rPr>
        <w:t>及</w:t>
      </w:r>
      <w:r>
        <w:rPr>
          <w:rFonts w:hint="eastAsia" w:asciiTheme="majorEastAsia" w:hAnsiTheme="majorEastAsia" w:eastAsiaTheme="majorEastAsia" w:cstheme="majorEastAsia"/>
          <w:color w:val="auto"/>
          <w:sz w:val="24"/>
          <w:szCs w:val="24"/>
        </w:rPr>
        <w:t>市场调研</w:t>
      </w:r>
      <w:r>
        <w:rPr>
          <w:rFonts w:hint="eastAsia" w:asciiTheme="majorEastAsia" w:hAnsiTheme="majorEastAsia" w:eastAsiaTheme="majorEastAsia" w:cstheme="majorEastAsia"/>
          <w:color w:val="auto"/>
          <w:sz w:val="24"/>
          <w:szCs w:val="24"/>
          <w:lang w:eastAsia="zh-CN"/>
        </w:rPr>
        <w:t>；</w:t>
      </w:r>
    </w:p>
    <w:p w14:paraId="3E0A600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5.本工程采用广联达GCCP7.0版本编制。</w:t>
      </w:r>
    </w:p>
    <w:p w14:paraId="54DB4A2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lang w:val="en-US" w:eastAsia="zh-CN"/>
        </w:rPr>
        <w:t>三.</w:t>
      </w:r>
      <w:r>
        <w:rPr>
          <w:rFonts w:hint="eastAsia" w:asciiTheme="majorEastAsia" w:hAnsiTheme="majorEastAsia" w:eastAsiaTheme="majorEastAsia" w:cstheme="majorEastAsia"/>
          <w:b/>
          <w:color w:val="auto"/>
          <w:sz w:val="24"/>
          <w:szCs w:val="24"/>
        </w:rPr>
        <w:t>投标人计价要求：</w:t>
      </w:r>
    </w:p>
    <w:p w14:paraId="0C6086BB">
      <w:pPr>
        <w:keepNext w:val="0"/>
        <w:keepLines w:val="0"/>
        <w:pageBreakBefore w:val="0"/>
        <w:widowControl w:val="0"/>
        <w:kinsoku/>
        <w:wordWrap/>
        <w:overflowPunct/>
        <w:topLinePunct w:val="0"/>
        <w:autoSpaceDE w:val="0"/>
        <w:autoSpaceDN w:val="0"/>
        <w:bidi w:val="0"/>
        <w:adjustRightInd w:val="0"/>
        <w:snapToGrid/>
        <w:spacing w:line="360" w:lineRule="auto"/>
        <w:ind w:left="141" w:leftChars="67"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 投标人应依据《</w:t>
      </w:r>
      <w:r>
        <w:rPr>
          <w:rFonts w:hint="eastAsia" w:asciiTheme="majorEastAsia" w:hAnsiTheme="majorEastAsia" w:eastAsiaTheme="majorEastAsia" w:cstheme="majorEastAsia"/>
          <w:color w:val="auto"/>
          <w:sz w:val="24"/>
          <w:szCs w:val="24"/>
          <w:lang w:eastAsia="zh-CN"/>
        </w:rPr>
        <w:t>计价标准</w:t>
      </w:r>
      <w:r>
        <w:rPr>
          <w:rFonts w:hint="eastAsia" w:asciiTheme="majorEastAsia" w:hAnsiTheme="majorEastAsia" w:eastAsiaTheme="majorEastAsia" w:cstheme="majorEastAsia"/>
          <w:color w:val="auto"/>
          <w:sz w:val="24"/>
          <w:szCs w:val="24"/>
        </w:rPr>
        <w:t>》规定和招标文件要求进行自主计价。工程量清单计价内容包括分部分项工程费、措施项目费、其它项目费和规费、税金。工程量清单计价以综合单价计价，综合单价应根据《</w:t>
      </w:r>
      <w:r>
        <w:rPr>
          <w:rFonts w:hint="eastAsia" w:asciiTheme="majorEastAsia" w:hAnsiTheme="majorEastAsia" w:eastAsiaTheme="majorEastAsia" w:cstheme="majorEastAsia"/>
          <w:color w:val="auto"/>
          <w:sz w:val="24"/>
          <w:szCs w:val="24"/>
          <w:lang w:eastAsia="zh-CN"/>
        </w:rPr>
        <w:t>计价标准</w:t>
      </w:r>
      <w:r>
        <w:rPr>
          <w:rFonts w:hint="eastAsia" w:asciiTheme="majorEastAsia" w:hAnsiTheme="majorEastAsia" w:eastAsiaTheme="majorEastAsia" w:cstheme="majorEastAsia"/>
          <w:color w:val="auto"/>
          <w:sz w:val="24"/>
          <w:szCs w:val="24"/>
        </w:rPr>
        <w:t>》的程序组价</w:t>
      </w:r>
      <w:r>
        <w:rPr>
          <w:rFonts w:hint="eastAsia" w:asciiTheme="majorEastAsia" w:hAnsiTheme="majorEastAsia" w:eastAsiaTheme="majorEastAsia" w:cstheme="majorEastAsia"/>
          <w:color w:val="auto"/>
          <w:sz w:val="24"/>
          <w:szCs w:val="24"/>
          <w:lang w:eastAsia="zh-CN"/>
        </w:rPr>
        <w:t>；</w:t>
      </w:r>
    </w:p>
    <w:p w14:paraId="67192C19">
      <w:pPr>
        <w:keepNext w:val="0"/>
        <w:keepLines w:val="0"/>
        <w:pageBreakBefore w:val="0"/>
        <w:widowControl w:val="0"/>
        <w:kinsoku/>
        <w:wordWrap/>
        <w:overflowPunct/>
        <w:topLinePunct w:val="0"/>
        <w:autoSpaceDE w:val="0"/>
        <w:autoSpaceDN w:val="0"/>
        <w:bidi w:val="0"/>
        <w:adjustRightInd w:val="0"/>
        <w:snapToGrid/>
        <w:spacing w:line="360" w:lineRule="auto"/>
        <w:ind w:left="141" w:leftChars="67"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2. 工程量清单中的每一个项目都需填入单价，对于没有填入单价或总额价的项目，其费用应视为已包括在工程量的其它单价或总额中、承包人必须按设计文件完成工程量清单中未填入单价或总额价的工程项目</w:t>
      </w:r>
      <w:r>
        <w:rPr>
          <w:rFonts w:hint="eastAsia" w:asciiTheme="majorEastAsia" w:hAnsiTheme="majorEastAsia" w:eastAsiaTheme="majorEastAsia" w:cstheme="majorEastAsia"/>
          <w:color w:val="auto"/>
          <w:sz w:val="24"/>
          <w:szCs w:val="24"/>
          <w:lang w:eastAsia="zh-CN"/>
        </w:rPr>
        <w:t>；</w:t>
      </w:r>
    </w:p>
    <w:p w14:paraId="505875F7">
      <w:pPr>
        <w:keepNext w:val="0"/>
        <w:keepLines w:val="0"/>
        <w:pageBreakBefore w:val="0"/>
        <w:widowControl w:val="0"/>
        <w:kinsoku/>
        <w:wordWrap/>
        <w:overflowPunct/>
        <w:topLinePunct w:val="0"/>
        <w:autoSpaceDE w:val="0"/>
        <w:autoSpaceDN w:val="0"/>
        <w:bidi w:val="0"/>
        <w:adjustRightInd w:val="0"/>
        <w:snapToGrid/>
        <w:spacing w:line="360" w:lineRule="auto"/>
        <w:ind w:left="141" w:leftChars="67"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3. 本工程量清单所提供的工程项目其工程内容仅表达了主要工程做法，报价时 各投标单位应依据图纸用料说明、相关图集，结合招标文件、技术规范、图纸等文件来进行组价</w:t>
      </w:r>
      <w:r>
        <w:rPr>
          <w:rFonts w:hint="eastAsia" w:asciiTheme="majorEastAsia" w:hAnsiTheme="majorEastAsia" w:eastAsiaTheme="majorEastAsia" w:cstheme="majorEastAsia"/>
          <w:color w:val="auto"/>
          <w:sz w:val="24"/>
          <w:szCs w:val="24"/>
          <w:lang w:eastAsia="zh-CN"/>
        </w:rPr>
        <w:t>；</w:t>
      </w:r>
    </w:p>
    <w:p w14:paraId="17DA0098">
      <w:pPr>
        <w:keepNext w:val="0"/>
        <w:keepLines w:val="0"/>
        <w:pageBreakBefore w:val="0"/>
        <w:widowControl w:val="0"/>
        <w:kinsoku/>
        <w:wordWrap/>
        <w:overflowPunct/>
        <w:topLinePunct w:val="0"/>
        <w:autoSpaceDE w:val="0"/>
        <w:autoSpaceDN w:val="0"/>
        <w:bidi w:val="0"/>
        <w:adjustRightInd w:val="0"/>
        <w:snapToGrid/>
        <w:spacing w:line="360" w:lineRule="auto"/>
        <w:ind w:left="141" w:leftChars="67"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 投标人根据《</w:t>
      </w:r>
      <w:r>
        <w:rPr>
          <w:rFonts w:hint="eastAsia" w:asciiTheme="majorEastAsia" w:hAnsiTheme="majorEastAsia" w:eastAsiaTheme="majorEastAsia" w:cstheme="majorEastAsia"/>
          <w:color w:val="auto"/>
          <w:sz w:val="24"/>
          <w:szCs w:val="24"/>
          <w:lang w:eastAsia="zh-CN"/>
        </w:rPr>
        <w:t>计价标准</w:t>
      </w:r>
      <w:r>
        <w:rPr>
          <w:rFonts w:hint="eastAsia" w:asciiTheme="majorEastAsia" w:hAnsiTheme="majorEastAsia" w:eastAsiaTheme="majorEastAsia" w:cstheme="majorEastAsia"/>
          <w:color w:val="auto"/>
          <w:sz w:val="24"/>
          <w:szCs w:val="24"/>
        </w:rPr>
        <w:t>》规定和投标文件要求格式计价，其中人工费、材料费、机械费，投标人应根据施工组织设计、企业实际情况、市场信息价自主报价。组价时应充分考虑以下因素：人工费、材料费、机械费社会价格浮动因素，自然灾害及停水、停电、停窝工损失等风险费用。</w:t>
      </w:r>
    </w:p>
    <w:p w14:paraId="109A334F">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br w:type="page"/>
      </w:r>
    </w:p>
    <w:p w14:paraId="369DE92B">
      <w:pPr>
        <w:spacing w:line="187" w:lineRule="auto"/>
        <w:rPr>
          <w:rFonts w:hint="eastAsia" w:asciiTheme="majorEastAsia" w:hAnsiTheme="majorEastAsia" w:eastAsiaTheme="majorEastAsia" w:cstheme="majorEastAsia"/>
          <w:color w:val="auto"/>
          <w:sz w:val="32"/>
          <w:szCs w:val="32"/>
        </w:rPr>
        <w:sectPr>
          <w:footerReference r:id="rId6" w:type="default"/>
          <w:pgSz w:w="11900" w:h="16840"/>
          <w:pgMar w:top="1431" w:right="1785" w:bottom="0" w:left="852" w:header="567" w:footer="283" w:gutter="0"/>
          <w:pgNumType w:fmt="decimal" w:start="1"/>
          <w:cols w:space="720" w:num="1"/>
        </w:sectPr>
      </w:pPr>
    </w:p>
    <w:p w14:paraId="4DA054D5">
      <w:pPr>
        <w:spacing w:before="79" w:line="186" w:lineRule="auto"/>
        <w:ind w:left="2780"/>
        <w:outlineLvl w:val="0"/>
        <w:rPr>
          <w:rFonts w:hint="eastAsia" w:asciiTheme="majorEastAsia" w:hAnsiTheme="majorEastAsia" w:eastAsiaTheme="majorEastAsia" w:cstheme="majorEastAsia"/>
          <w:color w:val="auto"/>
          <w:sz w:val="40"/>
          <w:szCs w:val="40"/>
        </w:rPr>
      </w:pPr>
      <w:r>
        <w:rPr>
          <w:rFonts w:hint="eastAsia" w:asciiTheme="majorEastAsia" w:hAnsiTheme="majorEastAsia" w:eastAsiaTheme="majorEastAsia" w:cstheme="majorEastAsia"/>
          <w:color w:val="auto"/>
          <w:spacing w:val="16"/>
          <w:sz w:val="40"/>
          <w:szCs w:val="40"/>
        </w:rPr>
        <w:t>工程项目清单费用汇总表</w:t>
      </w:r>
    </w:p>
    <w:p w14:paraId="1EDDF636">
      <w:pPr>
        <w:pStyle w:val="2"/>
        <w:spacing w:line="300" w:lineRule="auto"/>
        <w:rPr>
          <w:rFonts w:hint="eastAsia" w:asciiTheme="majorEastAsia" w:hAnsiTheme="majorEastAsia" w:eastAsiaTheme="majorEastAsia" w:cstheme="majorEastAsia"/>
          <w:color w:val="auto"/>
        </w:rPr>
      </w:pPr>
    </w:p>
    <w:p w14:paraId="68EBA200">
      <w:pPr>
        <w:pStyle w:val="2"/>
        <w:spacing w:line="300"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sz w:val="19"/>
          <w:szCs w:val="19"/>
        </w:rPr>
        <w:t>工程名称</w:t>
      </w:r>
      <w:r>
        <w:rPr>
          <w:rFonts w:hint="eastAsia" w:asciiTheme="majorEastAsia" w:hAnsiTheme="majorEastAsia" w:eastAsiaTheme="majorEastAsia" w:cstheme="majorEastAsia"/>
          <w:color w:val="auto"/>
          <w:spacing w:val="-19"/>
          <w:sz w:val="19"/>
          <w:szCs w:val="19"/>
        </w:rPr>
        <w:t xml:space="preserve"> </w:t>
      </w:r>
      <w:r>
        <w:rPr>
          <w:rFonts w:hint="eastAsia" w:asciiTheme="majorEastAsia" w:hAnsiTheme="majorEastAsia" w:eastAsiaTheme="majorEastAsia" w:cstheme="majorEastAsia"/>
          <w:color w:val="auto"/>
          <w:sz w:val="19"/>
          <w:szCs w:val="19"/>
        </w:rPr>
        <w:t>:</w:t>
      </w:r>
      <w:r>
        <w:rPr>
          <w:rFonts w:hint="eastAsia" w:asciiTheme="majorEastAsia" w:hAnsiTheme="majorEastAsia" w:eastAsiaTheme="majorEastAsia" w:cstheme="majorEastAsia"/>
          <w:color w:val="auto"/>
          <w:spacing w:val="-14"/>
          <w:sz w:val="19"/>
          <w:szCs w:val="19"/>
        </w:rPr>
        <w:t xml:space="preserve"> </w:t>
      </w:r>
      <w:r>
        <w:rPr>
          <w:rFonts w:hint="eastAsia" w:asciiTheme="majorEastAsia" w:hAnsiTheme="majorEastAsia" w:eastAsiaTheme="majorEastAsia" w:cstheme="majorEastAsia"/>
          <w:color w:val="auto"/>
          <w:sz w:val="19"/>
          <w:szCs w:val="19"/>
          <w:lang w:eastAsia="zh-CN"/>
        </w:rPr>
        <w:t>白河县人民法院外墙改造新增项目</w:t>
      </w:r>
      <w:r>
        <w:rPr>
          <w:rFonts w:hint="eastAsia" w:asciiTheme="majorEastAsia" w:hAnsiTheme="majorEastAsia" w:eastAsiaTheme="majorEastAsia" w:cstheme="majorEastAsia"/>
          <w:color w:val="auto"/>
          <w:sz w:val="19"/>
          <w:szCs w:val="19"/>
        </w:rPr>
        <w:t xml:space="preserve"> </w:t>
      </w:r>
      <w:r>
        <w:rPr>
          <w:rFonts w:hint="eastAsia" w:asciiTheme="majorEastAsia" w:hAnsiTheme="majorEastAsia" w:eastAsiaTheme="majorEastAsia" w:cstheme="majorEastAsia"/>
          <w:color w:val="auto"/>
          <w:sz w:val="19"/>
          <w:szCs w:val="19"/>
          <w:lang w:val="en-US" w:eastAsia="zh-CN"/>
        </w:rPr>
        <w:t xml:space="preserve">                                           </w:t>
      </w:r>
      <w:r>
        <w:rPr>
          <w:rFonts w:hint="eastAsia" w:asciiTheme="majorEastAsia" w:hAnsiTheme="majorEastAsia" w:eastAsiaTheme="majorEastAsia" w:cstheme="majorEastAsia"/>
          <w:color w:val="auto"/>
          <w:spacing w:val="-1"/>
          <w:sz w:val="19"/>
          <w:szCs w:val="19"/>
        </w:rPr>
        <w:t xml:space="preserve">  第</w:t>
      </w:r>
      <w:r>
        <w:rPr>
          <w:rFonts w:hint="eastAsia" w:asciiTheme="majorEastAsia" w:hAnsiTheme="majorEastAsia" w:eastAsiaTheme="majorEastAsia" w:cstheme="majorEastAsia"/>
          <w:color w:val="auto"/>
          <w:spacing w:val="7"/>
          <w:sz w:val="19"/>
          <w:szCs w:val="19"/>
        </w:rPr>
        <w:t xml:space="preserve"> </w:t>
      </w:r>
      <w:r>
        <w:rPr>
          <w:rFonts w:hint="eastAsia" w:asciiTheme="majorEastAsia" w:hAnsiTheme="majorEastAsia" w:eastAsiaTheme="majorEastAsia" w:cstheme="majorEastAsia"/>
          <w:color w:val="auto"/>
          <w:spacing w:val="-1"/>
          <w:sz w:val="19"/>
          <w:szCs w:val="19"/>
        </w:rPr>
        <w:t>1</w:t>
      </w:r>
      <w:r>
        <w:rPr>
          <w:rFonts w:hint="eastAsia" w:asciiTheme="majorEastAsia" w:hAnsiTheme="majorEastAsia" w:eastAsiaTheme="majorEastAsia" w:cstheme="majorEastAsia"/>
          <w:color w:val="auto"/>
          <w:spacing w:val="7"/>
          <w:sz w:val="19"/>
          <w:szCs w:val="19"/>
        </w:rPr>
        <w:t xml:space="preserve"> </w:t>
      </w:r>
      <w:r>
        <w:rPr>
          <w:rFonts w:hint="eastAsia" w:asciiTheme="majorEastAsia" w:hAnsiTheme="majorEastAsia" w:eastAsiaTheme="majorEastAsia" w:cstheme="majorEastAsia"/>
          <w:color w:val="auto"/>
          <w:spacing w:val="-1"/>
          <w:sz w:val="19"/>
          <w:szCs w:val="19"/>
        </w:rPr>
        <w:t>页    共</w:t>
      </w:r>
      <w:r>
        <w:rPr>
          <w:rFonts w:hint="eastAsia" w:asciiTheme="majorEastAsia" w:hAnsiTheme="majorEastAsia" w:eastAsiaTheme="majorEastAsia" w:cstheme="majorEastAsia"/>
          <w:color w:val="auto"/>
          <w:spacing w:val="7"/>
          <w:sz w:val="19"/>
          <w:szCs w:val="19"/>
        </w:rPr>
        <w:t xml:space="preserve"> </w:t>
      </w:r>
      <w:r>
        <w:rPr>
          <w:rFonts w:hint="eastAsia" w:asciiTheme="majorEastAsia" w:hAnsiTheme="majorEastAsia" w:eastAsiaTheme="majorEastAsia" w:cstheme="majorEastAsia"/>
          <w:color w:val="auto"/>
          <w:spacing w:val="-1"/>
          <w:sz w:val="19"/>
          <w:szCs w:val="19"/>
        </w:rPr>
        <w:t>1页</w:t>
      </w:r>
    </w:p>
    <w:p w14:paraId="475E72B2">
      <w:pPr>
        <w:spacing w:line="17" w:lineRule="exact"/>
        <w:rPr>
          <w:rFonts w:hint="eastAsia" w:asciiTheme="majorEastAsia" w:hAnsiTheme="majorEastAsia" w:eastAsiaTheme="majorEastAsia" w:cstheme="majorEastAsia"/>
          <w:color w:val="auto"/>
        </w:rPr>
      </w:pPr>
    </w:p>
    <w:tbl>
      <w:tblPr>
        <w:tblStyle w:val="90"/>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3310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73EB8639">
            <w:pPr>
              <w:spacing w:before="57" w:line="189" w:lineRule="auto"/>
              <w:ind w:left="591"/>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1"/>
                <w:sz w:val="19"/>
                <w:szCs w:val="19"/>
              </w:rPr>
              <w:t>序号</w:t>
            </w:r>
          </w:p>
        </w:tc>
        <w:tc>
          <w:tcPr>
            <w:tcW w:w="5294" w:type="dxa"/>
            <w:tcBorders>
              <w:top w:val="single" w:color="000000" w:sz="12" w:space="0"/>
            </w:tcBorders>
            <w:vAlign w:val="top"/>
          </w:tcPr>
          <w:p w14:paraId="6CC4D5CE">
            <w:pPr>
              <w:spacing w:before="56" w:line="188" w:lineRule="auto"/>
              <w:ind w:left="2265"/>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项目名称</w:t>
            </w:r>
          </w:p>
        </w:tc>
        <w:tc>
          <w:tcPr>
            <w:tcW w:w="3320" w:type="dxa"/>
            <w:tcBorders>
              <w:top w:val="single" w:color="000000" w:sz="12" w:space="0"/>
              <w:right w:val="single" w:color="000000" w:sz="12" w:space="0"/>
            </w:tcBorders>
            <w:vAlign w:val="top"/>
          </w:tcPr>
          <w:p w14:paraId="68B989FC">
            <w:pPr>
              <w:spacing w:before="57" w:line="184" w:lineRule="auto"/>
              <w:ind w:left="1132"/>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金  额（元）</w:t>
            </w:r>
          </w:p>
        </w:tc>
      </w:tr>
      <w:tr w14:paraId="1D79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28B3A47">
            <w:pPr>
              <w:spacing w:before="58" w:line="208" w:lineRule="auto"/>
              <w:ind w:left="749"/>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1</w:t>
            </w:r>
          </w:p>
        </w:tc>
        <w:tc>
          <w:tcPr>
            <w:tcW w:w="5294" w:type="dxa"/>
            <w:vAlign w:val="top"/>
          </w:tcPr>
          <w:p w14:paraId="5EAE901B">
            <w:pPr>
              <w:spacing w:before="57" w:line="188" w:lineRule="auto"/>
              <w:ind w:left="62"/>
              <w:rPr>
                <w:rFonts w:hint="eastAsia" w:asciiTheme="majorEastAsia" w:hAnsiTheme="majorEastAsia" w:eastAsiaTheme="majorEastAsia" w:cstheme="majorEastAsia"/>
                <w:color w:val="auto"/>
                <w:sz w:val="19"/>
                <w:szCs w:val="19"/>
                <w:lang w:eastAsia="zh-CN"/>
              </w:rPr>
            </w:pPr>
            <w:r>
              <w:rPr>
                <w:rFonts w:hint="eastAsia" w:asciiTheme="majorEastAsia" w:hAnsiTheme="majorEastAsia" w:eastAsiaTheme="majorEastAsia" w:cstheme="majorEastAsia"/>
                <w:color w:val="auto"/>
                <w:spacing w:val="2"/>
                <w:sz w:val="19"/>
                <w:szCs w:val="19"/>
                <w:lang w:eastAsia="zh-CN"/>
              </w:rPr>
              <w:t>白河县人民法院外墙改造新增项目</w:t>
            </w:r>
          </w:p>
        </w:tc>
        <w:tc>
          <w:tcPr>
            <w:tcW w:w="3320" w:type="dxa"/>
            <w:tcBorders>
              <w:right w:val="single" w:color="000000" w:sz="12" w:space="0"/>
            </w:tcBorders>
            <w:vAlign w:val="top"/>
          </w:tcPr>
          <w:p w14:paraId="5A78A79C">
            <w:pPr>
              <w:pStyle w:val="91"/>
              <w:rPr>
                <w:rFonts w:hint="eastAsia" w:asciiTheme="majorEastAsia" w:hAnsiTheme="majorEastAsia" w:eastAsiaTheme="majorEastAsia" w:cstheme="majorEastAsia"/>
                <w:color w:val="auto"/>
              </w:rPr>
            </w:pPr>
          </w:p>
        </w:tc>
      </w:tr>
      <w:tr w14:paraId="138A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87C2E44">
            <w:pPr>
              <w:pStyle w:val="91"/>
              <w:rPr>
                <w:rFonts w:hint="eastAsia" w:asciiTheme="majorEastAsia" w:hAnsiTheme="majorEastAsia" w:eastAsiaTheme="majorEastAsia" w:cstheme="majorEastAsia"/>
                <w:color w:val="auto"/>
              </w:rPr>
            </w:pPr>
          </w:p>
        </w:tc>
        <w:tc>
          <w:tcPr>
            <w:tcW w:w="5294" w:type="dxa"/>
            <w:vAlign w:val="top"/>
          </w:tcPr>
          <w:p w14:paraId="6049017A">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1A4C3BB">
            <w:pPr>
              <w:pStyle w:val="91"/>
              <w:rPr>
                <w:rFonts w:hint="eastAsia" w:asciiTheme="majorEastAsia" w:hAnsiTheme="majorEastAsia" w:eastAsiaTheme="majorEastAsia" w:cstheme="majorEastAsia"/>
                <w:color w:val="auto"/>
              </w:rPr>
            </w:pPr>
          </w:p>
        </w:tc>
      </w:tr>
      <w:tr w14:paraId="4E3A2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23E7FDE">
            <w:pPr>
              <w:pStyle w:val="91"/>
              <w:rPr>
                <w:rFonts w:hint="eastAsia" w:asciiTheme="majorEastAsia" w:hAnsiTheme="majorEastAsia" w:eastAsiaTheme="majorEastAsia" w:cstheme="majorEastAsia"/>
                <w:color w:val="auto"/>
              </w:rPr>
            </w:pPr>
          </w:p>
        </w:tc>
        <w:tc>
          <w:tcPr>
            <w:tcW w:w="5294" w:type="dxa"/>
            <w:vAlign w:val="top"/>
          </w:tcPr>
          <w:p w14:paraId="6779A191">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1F1DA8E">
            <w:pPr>
              <w:pStyle w:val="91"/>
              <w:rPr>
                <w:rFonts w:hint="eastAsia" w:asciiTheme="majorEastAsia" w:hAnsiTheme="majorEastAsia" w:eastAsiaTheme="majorEastAsia" w:cstheme="majorEastAsia"/>
                <w:color w:val="auto"/>
              </w:rPr>
            </w:pPr>
          </w:p>
        </w:tc>
      </w:tr>
      <w:tr w14:paraId="08BD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90EDD76">
            <w:pPr>
              <w:pStyle w:val="91"/>
              <w:rPr>
                <w:rFonts w:hint="eastAsia" w:asciiTheme="majorEastAsia" w:hAnsiTheme="majorEastAsia" w:eastAsiaTheme="majorEastAsia" w:cstheme="majorEastAsia"/>
                <w:color w:val="auto"/>
              </w:rPr>
            </w:pPr>
          </w:p>
        </w:tc>
        <w:tc>
          <w:tcPr>
            <w:tcW w:w="5294" w:type="dxa"/>
            <w:vAlign w:val="top"/>
          </w:tcPr>
          <w:p w14:paraId="3E2C89DA">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72FDA608">
            <w:pPr>
              <w:pStyle w:val="91"/>
              <w:rPr>
                <w:rFonts w:hint="eastAsia" w:asciiTheme="majorEastAsia" w:hAnsiTheme="majorEastAsia" w:eastAsiaTheme="majorEastAsia" w:cstheme="majorEastAsia"/>
                <w:color w:val="auto"/>
              </w:rPr>
            </w:pPr>
          </w:p>
        </w:tc>
      </w:tr>
      <w:tr w14:paraId="14D7A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9570959">
            <w:pPr>
              <w:pStyle w:val="91"/>
              <w:rPr>
                <w:rFonts w:hint="eastAsia" w:asciiTheme="majorEastAsia" w:hAnsiTheme="majorEastAsia" w:eastAsiaTheme="majorEastAsia" w:cstheme="majorEastAsia"/>
                <w:color w:val="auto"/>
              </w:rPr>
            </w:pPr>
          </w:p>
        </w:tc>
        <w:tc>
          <w:tcPr>
            <w:tcW w:w="5294" w:type="dxa"/>
            <w:vAlign w:val="top"/>
          </w:tcPr>
          <w:p w14:paraId="5AAF20C9">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2277D008">
            <w:pPr>
              <w:pStyle w:val="91"/>
              <w:rPr>
                <w:rFonts w:hint="eastAsia" w:asciiTheme="majorEastAsia" w:hAnsiTheme="majorEastAsia" w:eastAsiaTheme="majorEastAsia" w:cstheme="majorEastAsia"/>
                <w:color w:val="auto"/>
              </w:rPr>
            </w:pPr>
          </w:p>
        </w:tc>
      </w:tr>
      <w:tr w14:paraId="5EBB9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4D71B1">
            <w:pPr>
              <w:pStyle w:val="91"/>
              <w:rPr>
                <w:rFonts w:hint="eastAsia" w:asciiTheme="majorEastAsia" w:hAnsiTheme="majorEastAsia" w:eastAsiaTheme="majorEastAsia" w:cstheme="majorEastAsia"/>
                <w:color w:val="auto"/>
              </w:rPr>
            </w:pPr>
          </w:p>
        </w:tc>
        <w:tc>
          <w:tcPr>
            <w:tcW w:w="5294" w:type="dxa"/>
            <w:vAlign w:val="top"/>
          </w:tcPr>
          <w:p w14:paraId="5C0A821A">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3C552F4">
            <w:pPr>
              <w:pStyle w:val="91"/>
              <w:rPr>
                <w:rFonts w:hint="eastAsia" w:asciiTheme="majorEastAsia" w:hAnsiTheme="majorEastAsia" w:eastAsiaTheme="majorEastAsia" w:cstheme="majorEastAsia"/>
                <w:color w:val="auto"/>
              </w:rPr>
            </w:pPr>
          </w:p>
        </w:tc>
      </w:tr>
      <w:tr w14:paraId="624B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59E62E3">
            <w:pPr>
              <w:pStyle w:val="91"/>
              <w:rPr>
                <w:rFonts w:hint="eastAsia" w:asciiTheme="majorEastAsia" w:hAnsiTheme="majorEastAsia" w:eastAsiaTheme="majorEastAsia" w:cstheme="majorEastAsia"/>
                <w:color w:val="auto"/>
              </w:rPr>
            </w:pPr>
          </w:p>
        </w:tc>
        <w:tc>
          <w:tcPr>
            <w:tcW w:w="5294" w:type="dxa"/>
            <w:vAlign w:val="top"/>
          </w:tcPr>
          <w:p w14:paraId="7F592010">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53280D6">
            <w:pPr>
              <w:pStyle w:val="91"/>
              <w:rPr>
                <w:rFonts w:hint="eastAsia" w:asciiTheme="majorEastAsia" w:hAnsiTheme="majorEastAsia" w:eastAsiaTheme="majorEastAsia" w:cstheme="majorEastAsia"/>
                <w:color w:val="auto"/>
              </w:rPr>
            </w:pPr>
          </w:p>
        </w:tc>
      </w:tr>
      <w:tr w14:paraId="16EE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BE012C9">
            <w:pPr>
              <w:pStyle w:val="91"/>
              <w:rPr>
                <w:rFonts w:hint="eastAsia" w:asciiTheme="majorEastAsia" w:hAnsiTheme="majorEastAsia" w:eastAsiaTheme="majorEastAsia" w:cstheme="majorEastAsia"/>
                <w:color w:val="auto"/>
              </w:rPr>
            </w:pPr>
          </w:p>
        </w:tc>
        <w:tc>
          <w:tcPr>
            <w:tcW w:w="5294" w:type="dxa"/>
            <w:vAlign w:val="top"/>
          </w:tcPr>
          <w:p w14:paraId="65F103F6">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582CF60">
            <w:pPr>
              <w:pStyle w:val="91"/>
              <w:rPr>
                <w:rFonts w:hint="eastAsia" w:asciiTheme="majorEastAsia" w:hAnsiTheme="majorEastAsia" w:eastAsiaTheme="majorEastAsia" w:cstheme="majorEastAsia"/>
                <w:color w:val="auto"/>
              </w:rPr>
            </w:pPr>
          </w:p>
        </w:tc>
      </w:tr>
      <w:tr w14:paraId="6999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ED6BF94">
            <w:pPr>
              <w:pStyle w:val="91"/>
              <w:rPr>
                <w:rFonts w:hint="eastAsia" w:asciiTheme="majorEastAsia" w:hAnsiTheme="majorEastAsia" w:eastAsiaTheme="majorEastAsia" w:cstheme="majorEastAsia"/>
                <w:color w:val="auto"/>
              </w:rPr>
            </w:pPr>
          </w:p>
        </w:tc>
        <w:tc>
          <w:tcPr>
            <w:tcW w:w="5294" w:type="dxa"/>
            <w:vAlign w:val="top"/>
          </w:tcPr>
          <w:p w14:paraId="4A4DC097">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7857448A">
            <w:pPr>
              <w:pStyle w:val="91"/>
              <w:rPr>
                <w:rFonts w:hint="eastAsia" w:asciiTheme="majorEastAsia" w:hAnsiTheme="majorEastAsia" w:eastAsiaTheme="majorEastAsia" w:cstheme="majorEastAsia"/>
                <w:color w:val="auto"/>
              </w:rPr>
            </w:pPr>
          </w:p>
        </w:tc>
      </w:tr>
      <w:tr w14:paraId="5CC6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268D5DA">
            <w:pPr>
              <w:pStyle w:val="91"/>
              <w:rPr>
                <w:rFonts w:hint="eastAsia" w:asciiTheme="majorEastAsia" w:hAnsiTheme="majorEastAsia" w:eastAsiaTheme="majorEastAsia" w:cstheme="majorEastAsia"/>
                <w:color w:val="auto"/>
              </w:rPr>
            </w:pPr>
          </w:p>
        </w:tc>
        <w:tc>
          <w:tcPr>
            <w:tcW w:w="5294" w:type="dxa"/>
            <w:vAlign w:val="top"/>
          </w:tcPr>
          <w:p w14:paraId="43CA5A25">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4AB0FDE8">
            <w:pPr>
              <w:pStyle w:val="91"/>
              <w:rPr>
                <w:rFonts w:hint="eastAsia" w:asciiTheme="majorEastAsia" w:hAnsiTheme="majorEastAsia" w:eastAsiaTheme="majorEastAsia" w:cstheme="majorEastAsia"/>
                <w:color w:val="auto"/>
              </w:rPr>
            </w:pPr>
          </w:p>
        </w:tc>
      </w:tr>
      <w:tr w14:paraId="4BB1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5312A63">
            <w:pPr>
              <w:pStyle w:val="91"/>
              <w:rPr>
                <w:rFonts w:hint="eastAsia" w:asciiTheme="majorEastAsia" w:hAnsiTheme="majorEastAsia" w:eastAsiaTheme="majorEastAsia" w:cstheme="majorEastAsia"/>
                <w:color w:val="auto"/>
              </w:rPr>
            </w:pPr>
          </w:p>
        </w:tc>
        <w:tc>
          <w:tcPr>
            <w:tcW w:w="5294" w:type="dxa"/>
            <w:vAlign w:val="top"/>
          </w:tcPr>
          <w:p w14:paraId="3B76CF57">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224F833E">
            <w:pPr>
              <w:pStyle w:val="91"/>
              <w:rPr>
                <w:rFonts w:hint="eastAsia" w:asciiTheme="majorEastAsia" w:hAnsiTheme="majorEastAsia" w:eastAsiaTheme="majorEastAsia" w:cstheme="majorEastAsia"/>
                <w:color w:val="auto"/>
              </w:rPr>
            </w:pPr>
          </w:p>
        </w:tc>
      </w:tr>
      <w:tr w14:paraId="503C6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606230C">
            <w:pPr>
              <w:pStyle w:val="91"/>
              <w:rPr>
                <w:rFonts w:hint="eastAsia" w:asciiTheme="majorEastAsia" w:hAnsiTheme="majorEastAsia" w:eastAsiaTheme="majorEastAsia" w:cstheme="majorEastAsia"/>
                <w:color w:val="auto"/>
              </w:rPr>
            </w:pPr>
          </w:p>
        </w:tc>
        <w:tc>
          <w:tcPr>
            <w:tcW w:w="5294" w:type="dxa"/>
            <w:vAlign w:val="top"/>
          </w:tcPr>
          <w:p w14:paraId="03E1898B">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62E71489">
            <w:pPr>
              <w:pStyle w:val="91"/>
              <w:rPr>
                <w:rFonts w:hint="eastAsia" w:asciiTheme="majorEastAsia" w:hAnsiTheme="majorEastAsia" w:eastAsiaTheme="majorEastAsia" w:cstheme="majorEastAsia"/>
                <w:color w:val="auto"/>
              </w:rPr>
            </w:pPr>
          </w:p>
        </w:tc>
      </w:tr>
      <w:tr w14:paraId="540FC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CF053F3">
            <w:pPr>
              <w:pStyle w:val="91"/>
              <w:rPr>
                <w:rFonts w:hint="eastAsia" w:asciiTheme="majorEastAsia" w:hAnsiTheme="majorEastAsia" w:eastAsiaTheme="majorEastAsia" w:cstheme="majorEastAsia"/>
                <w:color w:val="auto"/>
              </w:rPr>
            </w:pPr>
          </w:p>
        </w:tc>
        <w:tc>
          <w:tcPr>
            <w:tcW w:w="5294" w:type="dxa"/>
            <w:vAlign w:val="top"/>
          </w:tcPr>
          <w:p w14:paraId="1523C113">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4A6F294D">
            <w:pPr>
              <w:pStyle w:val="91"/>
              <w:rPr>
                <w:rFonts w:hint="eastAsia" w:asciiTheme="majorEastAsia" w:hAnsiTheme="majorEastAsia" w:eastAsiaTheme="majorEastAsia" w:cstheme="majorEastAsia"/>
                <w:color w:val="auto"/>
              </w:rPr>
            </w:pPr>
          </w:p>
        </w:tc>
      </w:tr>
      <w:tr w14:paraId="5E83E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961B38B">
            <w:pPr>
              <w:pStyle w:val="91"/>
              <w:rPr>
                <w:rFonts w:hint="eastAsia" w:asciiTheme="majorEastAsia" w:hAnsiTheme="majorEastAsia" w:eastAsiaTheme="majorEastAsia" w:cstheme="majorEastAsia"/>
                <w:color w:val="auto"/>
              </w:rPr>
            </w:pPr>
          </w:p>
        </w:tc>
        <w:tc>
          <w:tcPr>
            <w:tcW w:w="5294" w:type="dxa"/>
            <w:vAlign w:val="top"/>
          </w:tcPr>
          <w:p w14:paraId="5C491B45">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3028910">
            <w:pPr>
              <w:pStyle w:val="91"/>
              <w:rPr>
                <w:rFonts w:hint="eastAsia" w:asciiTheme="majorEastAsia" w:hAnsiTheme="majorEastAsia" w:eastAsiaTheme="majorEastAsia" w:cstheme="majorEastAsia"/>
                <w:color w:val="auto"/>
              </w:rPr>
            </w:pPr>
          </w:p>
        </w:tc>
      </w:tr>
      <w:tr w14:paraId="626A1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63BD89D">
            <w:pPr>
              <w:pStyle w:val="91"/>
              <w:rPr>
                <w:rFonts w:hint="eastAsia" w:asciiTheme="majorEastAsia" w:hAnsiTheme="majorEastAsia" w:eastAsiaTheme="majorEastAsia" w:cstheme="majorEastAsia"/>
                <w:color w:val="auto"/>
              </w:rPr>
            </w:pPr>
          </w:p>
        </w:tc>
        <w:tc>
          <w:tcPr>
            <w:tcW w:w="5294" w:type="dxa"/>
            <w:vAlign w:val="top"/>
          </w:tcPr>
          <w:p w14:paraId="18BD7013">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A09C746">
            <w:pPr>
              <w:pStyle w:val="91"/>
              <w:rPr>
                <w:rFonts w:hint="eastAsia" w:asciiTheme="majorEastAsia" w:hAnsiTheme="majorEastAsia" w:eastAsiaTheme="majorEastAsia" w:cstheme="majorEastAsia"/>
                <w:color w:val="auto"/>
              </w:rPr>
            </w:pPr>
          </w:p>
        </w:tc>
      </w:tr>
      <w:tr w14:paraId="1BBC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6865C29">
            <w:pPr>
              <w:pStyle w:val="91"/>
              <w:rPr>
                <w:rFonts w:hint="eastAsia" w:asciiTheme="majorEastAsia" w:hAnsiTheme="majorEastAsia" w:eastAsiaTheme="majorEastAsia" w:cstheme="majorEastAsia"/>
                <w:color w:val="auto"/>
              </w:rPr>
            </w:pPr>
          </w:p>
        </w:tc>
        <w:tc>
          <w:tcPr>
            <w:tcW w:w="5294" w:type="dxa"/>
            <w:vAlign w:val="top"/>
          </w:tcPr>
          <w:p w14:paraId="17646A95">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C773E14">
            <w:pPr>
              <w:pStyle w:val="91"/>
              <w:rPr>
                <w:rFonts w:hint="eastAsia" w:asciiTheme="majorEastAsia" w:hAnsiTheme="majorEastAsia" w:eastAsiaTheme="majorEastAsia" w:cstheme="majorEastAsia"/>
                <w:color w:val="auto"/>
              </w:rPr>
            </w:pPr>
          </w:p>
        </w:tc>
      </w:tr>
      <w:tr w14:paraId="77BE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F615812">
            <w:pPr>
              <w:pStyle w:val="91"/>
              <w:rPr>
                <w:rFonts w:hint="eastAsia" w:asciiTheme="majorEastAsia" w:hAnsiTheme="majorEastAsia" w:eastAsiaTheme="majorEastAsia" w:cstheme="majorEastAsia"/>
                <w:color w:val="auto"/>
              </w:rPr>
            </w:pPr>
          </w:p>
        </w:tc>
        <w:tc>
          <w:tcPr>
            <w:tcW w:w="5294" w:type="dxa"/>
            <w:vAlign w:val="top"/>
          </w:tcPr>
          <w:p w14:paraId="0555BB0B">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6D842D0A">
            <w:pPr>
              <w:pStyle w:val="91"/>
              <w:rPr>
                <w:rFonts w:hint="eastAsia" w:asciiTheme="majorEastAsia" w:hAnsiTheme="majorEastAsia" w:eastAsiaTheme="majorEastAsia" w:cstheme="majorEastAsia"/>
                <w:color w:val="auto"/>
              </w:rPr>
            </w:pPr>
          </w:p>
        </w:tc>
      </w:tr>
      <w:tr w14:paraId="6B0B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880CBE9">
            <w:pPr>
              <w:pStyle w:val="91"/>
              <w:rPr>
                <w:rFonts w:hint="eastAsia" w:asciiTheme="majorEastAsia" w:hAnsiTheme="majorEastAsia" w:eastAsiaTheme="majorEastAsia" w:cstheme="majorEastAsia"/>
                <w:color w:val="auto"/>
              </w:rPr>
            </w:pPr>
          </w:p>
        </w:tc>
        <w:tc>
          <w:tcPr>
            <w:tcW w:w="5294" w:type="dxa"/>
            <w:vAlign w:val="top"/>
          </w:tcPr>
          <w:p w14:paraId="6FACB620">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1DB476E">
            <w:pPr>
              <w:pStyle w:val="91"/>
              <w:rPr>
                <w:rFonts w:hint="eastAsia" w:asciiTheme="majorEastAsia" w:hAnsiTheme="majorEastAsia" w:eastAsiaTheme="majorEastAsia" w:cstheme="majorEastAsia"/>
                <w:color w:val="auto"/>
              </w:rPr>
            </w:pPr>
          </w:p>
        </w:tc>
      </w:tr>
      <w:tr w14:paraId="4E04D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81A3AA6">
            <w:pPr>
              <w:pStyle w:val="91"/>
              <w:rPr>
                <w:rFonts w:hint="eastAsia" w:asciiTheme="majorEastAsia" w:hAnsiTheme="majorEastAsia" w:eastAsiaTheme="majorEastAsia" w:cstheme="majorEastAsia"/>
                <w:color w:val="auto"/>
              </w:rPr>
            </w:pPr>
          </w:p>
        </w:tc>
        <w:tc>
          <w:tcPr>
            <w:tcW w:w="5294" w:type="dxa"/>
            <w:vAlign w:val="top"/>
          </w:tcPr>
          <w:p w14:paraId="3F3F878E">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4A135B54">
            <w:pPr>
              <w:pStyle w:val="91"/>
              <w:rPr>
                <w:rFonts w:hint="eastAsia" w:asciiTheme="majorEastAsia" w:hAnsiTheme="majorEastAsia" w:eastAsiaTheme="majorEastAsia" w:cstheme="majorEastAsia"/>
                <w:color w:val="auto"/>
              </w:rPr>
            </w:pPr>
          </w:p>
        </w:tc>
      </w:tr>
      <w:tr w14:paraId="3E648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E576780">
            <w:pPr>
              <w:pStyle w:val="91"/>
              <w:rPr>
                <w:rFonts w:hint="eastAsia" w:asciiTheme="majorEastAsia" w:hAnsiTheme="majorEastAsia" w:eastAsiaTheme="majorEastAsia" w:cstheme="majorEastAsia"/>
                <w:color w:val="auto"/>
              </w:rPr>
            </w:pPr>
          </w:p>
        </w:tc>
        <w:tc>
          <w:tcPr>
            <w:tcW w:w="5294" w:type="dxa"/>
            <w:vAlign w:val="top"/>
          </w:tcPr>
          <w:p w14:paraId="653680AA">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7879CB82">
            <w:pPr>
              <w:pStyle w:val="91"/>
              <w:rPr>
                <w:rFonts w:hint="eastAsia" w:asciiTheme="majorEastAsia" w:hAnsiTheme="majorEastAsia" w:eastAsiaTheme="majorEastAsia" w:cstheme="majorEastAsia"/>
                <w:color w:val="auto"/>
              </w:rPr>
            </w:pPr>
          </w:p>
        </w:tc>
      </w:tr>
      <w:tr w14:paraId="7480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8614971">
            <w:pPr>
              <w:pStyle w:val="91"/>
              <w:rPr>
                <w:rFonts w:hint="eastAsia" w:asciiTheme="majorEastAsia" w:hAnsiTheme="majorEastAsia" w:eastAsiaTheme="majorEastAsia" w:cstheme="majorEastAsia"/>
                <w:color w:val="auto"/>
              </w:rPr>
            </w:pPr>
          </w:p>
        </w:tc>
        <w:tc>
          <w:tcPr>
            <w:tcW w:w="5294" w:type="dxa"/>
            <w:vAlign w:val="top"/>
          </w:tcPr>
          <w:p w14:paraId="0A7D6AB7">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6F9EC52">
            <w:pPr>
              <w:pStyle w:val="91"/>
              <w:rPr>
                <w:rFonts w:hint="eastAsia" w:asciiTheme="majorEastAsia" w:hAnsiTheme="majorEastAsia" w:eastAsiaTheme="majorEastAsia" w:cstheme="majorEastAsia"/>
                <w:color w:val="auto"/>
              </w:rPr>
            </w:pPr>
          </w:p>
        </w:tc>
      </w:tr>
      <w:tr w14:paraId="34772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3EA800F">
            <w:pPr>
              <w:pStyle w:val="91"/>
              <w:rPr>
                <w:rFonts w:hint="eastAsia" w:asciiTheme="majorEastAsia" w:hAnsiTheme="majorEastAsia" w:eastAsiaTheme="majorEastAsia" w:cstheme="majorEastAsia"/>
                <w:color w:val="auto"/>
              </w:rPr>
            </w:pPr>
          </w:p>
        </w:tc>
        <w:tc>
          <w:tcPr>
            <w:tcW w:w="5294" w:type="dxa"/>
            <w:vAlign w:val="top"/>
          </w:tcPr>
          <w:p w14:paraId="03C4F9B9">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4CCE5DEF">
            <w:pPr>
              <w:pStyle w:val="91"/>
              <w:rPr>
                <w:rFonts w:hint="eastAsia" w:asciiTheme="majorEastAsia" w:hAnsiTheme="majorEastAsia" w:eastAsiaTheme="majorEastAsia" w:cstheme="majorEastAsia"/>
                <w:color w:val="auto"/>
              </w:rPr>
            </w:pPr>
          </w:p>
        </w:tc>
      </w:tr>
      <w:tr w14:paraId="0BE7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CC02FCF">
            <w:pPr>
              <w:pStyle w:val="91"/>
              <w:rPr>
                <w:rFonts w:hint="eastAsia" w:asciiTheme="majorEastAsia" w:hAnsiTheme="majorEastAsia" w:eastAsiaTheme="majorEastAsia" w:cstheme="majorEastAsia"/>
                <w:color w:val="auto"/>
              </w:rPr>
            </w:pPr>
          </w:p>
        </w:tc>
        <w:tc>
          <w:tcPr>
            <w:tcW w:w="5294" w:type="dxa"/>
            <w:vAlign w:val="top"/>
          </w:tcPr>
          <w:p w14:paraId="20BDA538">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22D94A7">
            <w:pPr>
              <w:pStyle w:val="91"/>
              <w:rPr>
                <w:rFonts w:hint="eastAsia" w:asciiTheme="majorEastAsia" w:hAnsiTheme="majorEastAsia" w:eastAsiaTheme="majorEastAsia" w:cstheme="majorEastAsia"/>
                <w:color w:val="auto"/>
              </w:rPr>
            </w:pPr>
          </w:p>
        </w:tc>
      </w:tr>
      <w:tr w14:paraId="01D2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B0E441">
            <w:pPr>
              <w:pStyle w:val="91"/>
              <w:rPr>
                <w:rFonts w:hint="eastAsia" w:asciiTheme="majorEastAsia" w:hAnsiTheme="majorEastAsia" w:eastAsiaTheme="majorEastAsia" w:cstheme="majorEastAsia"/>
                <w:color w:val="auto"/>
              </w:rPr>
            </w:pPr>
          </w:p>
        </w:tc>
        <w:tc>
          <w:tcPr>
            <w:tcW w:w="5294" w:type="dxa"/>
            <w:vAlign w:val="top"/>
          </w:tcPr>
          <w:p w14:paraId="70FA1BED">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28BD2B2D">
            <w:pPr>
              <w:pStyle w:val="91"/>
              <w:rPr>
                <w:rFonts w:hint="eastAsia" w:asciiTheme="majorEastAsia" w:hAnsiTheme="majorEastAsia" w:eastAsiaTheme="majorEastAsia" w:cstheme="majorEastAsia"/>
                <w:color w:val="auto"/>
              </w:rPr>
            </w:pPr>
          </w:p>
        </w:tc>
      </w:tr>
      <w:tr w14:paraId="1860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9262C5D">
            <w:pPr>
              <w:pStyle w:val="91"/>
              <w:rPr>
                <w:rFonts w:hint="eastAsia" w:asciiTheme="majorEastAsia" w:hAnsiTheme="majorEastAsia" w:eastAsiaTheme="majorEastAsia" w:cstheme="majorEastAsia"/>
                <w:color w:val="auto"/>
              </w:rPr>
            </w:pPr>
          </w:p>
        </w:tc>
        <w:tc>
          <w:tcPr>
            <w:tcW w:w="5294" w:type="dxa"/>
            <w:vAlign w:val="top"/>
          </w:tcPr>
          <w:p w14:paraId="1AC0A9D9">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D6C9697">
            <w:pPr>
              <w:pStyle w:val="91"/>
              <w:rPr>
                <w:rFonts w:hint="eastAsia" w:asciiTheme="majorEastAsia" w:hAnsiTheme="majorEastAsia" w:eastAsiaTheme="majorEastAsia" w:cstheme="majorEastAsia"/>
                <w:color w:val="auto"/>
              </w:rPr>
            </w:pPr>
          </w:p>
        </w:tc>
      </w:tr>
      <w:tr w14:paraId="50D0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0479E5FB">
            <w:pPr>
              <w:pStyle w:val="91"/>
              <w:rPr>
                <w:rFonts w:hint="eastAsia" w:asciiTheme="majorEastAsia" w:hAnsiTheme="majorEastAsia" w:eastAsiaTheme="majorEastAsia" w:cstheme="majorEastAsia"/>
                <w:color w:val="auto"/>
              </w:rPr>
            </w:pPr>
          </w:p>
        </w:tc>
        <w:tc>
          <w:tcPr>
            <w:tcW w:w="5294" w:type="dxa"/>
            <w:vAlign w:val="top"/>
          </w:tcPr>
          <w:p w14:paraId="6468D715">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2F3C890F">
            <w:pPr>
              <w:pStyle w:val="91"/>
              <w:rPr>
                <w:rFonts w:hint="eastAsia" w:asciiTheme="majorEastAsia" w:hAnsiTheme="majorEastAsia" w:eastAsiaTheme="majorEastAsia" w:cstheme="majorEastAsia"/>
                <w:color w:val="auto"/>
              </w:rPr>
            </w:pPr>
          </w:p>
        </w:tc>
      </w:tr>
      <w:tr w14:paraId="57A1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1B889D30">
            <w:pPr>
              <w:spacing w:before="101" w:line="185" w:lineRule="auto"/>
              <w:ind w:left="2722"/>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5"/>
                <w:sz w:val="18"/>
                <w:szCs w:val="18"/>
              </w:rPr>
              <w:t>合</w:t>
            </w:r>
            <w:r>
              <w:rPr>
                <w:rFonts w:hint="eastAsia" w:asciiTheme="majorEastAsia" w:hAnsiTheme="majorEastAsia" w:eastAsiaTheme="majorEastAsia" w:cstheme="majorEastAsia"/>
                <w:color w:val="auto"/>
                <w:spacing w:val="1"/>
                <w:sz w:val="18"/>
                <w:szCs w:val="18"/>
              </w:rPr>
              <w:t xml:space="preserve">                    </w:t>
            </w:r>
            <w:r>
              <w:rPr>
                <w:rFonts w:hint="eastAsia" w:asciiTheme="majorEastAsia" w:hAnsiTheme="majorEastAsia" w:eastAsiaTheme="majorEastAsia" w:cstheme="majorEastAsia"/>
                <w:color w:val="auto"/>
                <w:spacing w:val="-5"/>
                <w:sz w:val="18"/>
                <w:szCs w:val="18"/>
              </w:rPr>
              <w:t>计</w:t>
            </w:r>
          </w:p>
        </w:tc>
        <w:tc>
          <w:tcPr>
            <w:tcW w:w="3320" w:type="dxa"/>
            <w:tcBorders>
              <w:bottom w:val="single" w:color="000000" w:sz="12" w:space="0"/>
              <w:right w:val="single" w:color="000000" w:sz="12" w:space="0"/>
            </w:tcBorders>
            <w:vAlign w:val="top"/>
          </w:tcPr>
          <w:p w14:paraId="45649647">
            <w:pPr>
              <w:pStyle w:val="91"/>
              <w:rPr>
                <w:rFonts w:hint="eastAsia" w:asciiTheme="majorEastAsia" w:hAnsiTheme="majorEastAsia" w:eastAsiaTheme="majorEastAsia" w:cstheme="majorEastAsia"/>
                <w:color w:val="auto"/>
              </w:rPr>
            </w:pPr>
          </w:p>
        </w:tc>
      </w:tr>
    </w:tbl>
    <w:p w14:paraId="6497CDD2">
      <w:pPr>
        <w:pStyle w:val="2"/>
        <w:rPr>
          <w:rFonts w:hint="eastAsia" w:asciiTheme="majorEastAsia" w:hAnsiTheme="majorEastAsia" w:eastAsiaTheme="majorEastAsia" w:cstheme="majorEastAsia"/>
          <w:color w:val="auto"/>
        </w:rPr>
      </w:pPr>
    </w:p>
    <w:p w14:paraId="11562653">
      <w:pPr>
        <w:rPr>
          <w:rFonts w:hint="eastAsia" w:asciiTheme="majorEastAsia" w:hAnsiTheme="majorEastAsia" w:eastAsiaTheme="majorEastAsia" w:cstheme="majorEastAsia"/>
          <w:color w:val="auto"/>
          <w:spacing w:val="16"/>
          <w:sz w:val="40"/>
          <w:szCs w:val="40"/>
        </w:rPr>
      </w:pPr>
      <w:r>
        <w:rPr>
          <w:rFonts w:hint="eastAsia" w:asciiTheme="majorEastAsia" w:hAnsiTheme="majorEastAsia" w:eastAsiaTheme="majorEastAsia" w:cstheme="majorEastAsia"/>
          <w:color w:val="auto"/>
          <w:spacing w:val="16"/>
          <w:sz w:val="40"/>
          <w:szCs w:val="40"/>
        </w:rPr>
        <w:br w:type="page"/>
      </w:r>
    </w:p>
    <w:p w14:paraId="290C364D">
      <w:pPr>
        <w:spacing w:before="79" w:line="360" w:lineRule="auto"/>
        <w:ind w:left="2780"/>
        <w:outlineLvl w:val="0"/>
        <w:rPr>
          <w:rFonts w:hint="eastAsia" w:asciiTheme="majorEastAsia" w:hAnsiTheme="majorEastAsia" w:eastAsiaTheme="majorEastAsia" w:cstheme="majorEastAsia"/>
          <w:color w:val="auto"/>
          <w:sz w:val="40"/>
          <w:szCs w:val="40"/>
        </w:rPr>
      </w:pPr>
      <w:r>
        <w:rPr>
          <w:rFonts w:hint="eastAsia" w:asciiTheme="majorEastAsia" w:hAnsiTheme="majorEastAsia" w:eastAsiaTheme="majorEastAsia" w:cstheme="majorEastAsia"/>
          <w:color w:val="auto"/>
          <w:spacing w:val="16"/>
          <w:sz w:val="40"/>
          <w:szCs w:val="40"/>
        </w:rPr>
        <w:t>工程项目清单费用汇总表</w:t>
      </w:r>
    </w:p>
    <w:p w14:paraId="08780549">
      <w:pPr>
        <w:pStyle w:val="2"/>
        <w:spacing w:line="300" w:lineRule="auto"/>
        <w:rPr>
          <w:rFonts w:hint="eastAsia" w:asciiTheme="majorEastAsia" w:hAnsiTheme="majorEastAsia" w:eastAsiaTheme="majorEastAsia" w:cstheme="majorEastAsia"/>
          <w:color w:val="auto"/>
        </w:rPr>
      </w:pPr>
    </w:p>
    <w:p w14:paraId="67627317">
      <w:pPr>
        <w:spacing w:before="82" w:line="188" w:lineRule="auto"/>
        <w:ind w:left="2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sz w:val="19"/>
          <w:szCs w:val="19"/>
        </w:rPr>
        <w:t>工程名称：</w:t>
      </w:r>
      <w:r>
        <w:rPr>
          <w:rFonts w:hint="eastAsia" w:asciiTheme="majorEastAsia" w:hAnsiTheme="majorEastAsia" w:eastAsiaTheme="majorEastAsia" w:cstheme="majorEastAsia"/>
          <w:color w:val="auto"/>
          <w:spacing w:val="-12"/>
          <w:sz w:val="19"/>
          <w:szCs w:val="19"/>
        </w:rPr>
        <w:t xml:space="preserve"> </w:t>
      </w:r>
      <w:r>
        <w:rPr>
          <w:rFonts w:hint="eastAsia" w:asciiTheme="majorEastAsia" w:hAnsiTheme="majorEastAsia" w:eastAsiaTheme="majorEastAsia" w:cstheme="majorEastAsia"/>
          <w:color w:val="auto"/>
          <w:spacing w:val="1"/>
          <w:sz w:val="19"/>
          <w:szCs w:val="19"/>
          <w:lang w:eastAsia="zh-CN"/>
        </w:rPr>
        <w:t>白河县人民法院外墙改造新增项目</w:t>
      </w:r>
      <w:r>
        <w:rPr>
          <w:rFonts w:hint="eastAsia" w:asciiTheme="majorEastAsia" w:hAnsiTheme="majorEastAsia" w:eastAsiaTheme="majorEastAsia" w:cstheme="majorEastAsia"/>
          <w:color w:val="auto"/>
          <w:spacing w:val="1"/>
          <w:sz w:val="19"/>
          <w:szCs w:val="19"/>
        </w:rPr>
        <w:t xml:space="preserve">         专业/标段：房屋建筑与装饰工程            第 1 页  共 </w:t>
      </w:r>
      <w:r>
        <w:rPr>
          <w:rFonts w:hint="eastAsia" w:asciiTheme="majorEastAsia" w:hAnsiTheme="majorEastAsia" w:eastAsiaTheme="majorEastAsia" w:cstheme="majorEastAsia"/>
          <w:color w:val="auto"/>
          <w:sz w:val="19"/>
          <w:szCs w:val="19"/>
        </w:rPr>
        <w:t>1 页</w:t>
      </w:r>
    </w:p>
    <w:p w14:paraId="2D6637FE">
      <w:pPr>
        <w:spacing w:line="17" w:lineRule="exact"/>
        <w:rPr>
          <w:rFonts w:hint="eastAsia" w:asciiTheme="majorEastAsia" w:hAnsiTheme="majorEastAsia" w:eastAsiaTheme="majorEastAsia" w:cstheme="majorEastAsia"/>
          <w:color w:val="auto"/>
        </w:rPr>
      </w:pPr>
    </w:p>
    <w:tbl>
      <w:tblPr>
        <w:tblStyle w:val="90"/>
        <w:tblW w:w="1019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5294"/>
        <w:gridCol w:w="3320"/>
      </w:tblGrid>
      <w:tr w14:paraId="238B4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top w:val="single" w:color="000000" w:sz="12" w:space="0"/>
              <w:left w:val="single" w:color="000000" w:sz="12" w:space="0"/>
            </w:tcBorders>
            <w:vAlign w:val="top"/>
          </w:tcPr>
          <w:p w14:paraId="63A8B26F">
            <w:pPr>
              <w:spacing w:before="57" w:line="189" w:lineRule="auto"/>
              <w:ind w:left="591"/>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1"/>
                <w:sz w:val="19"/>
                <w:szCs w:val="19"/>
              </w:rPr>
              <w:t>序号</w:t>
            </w:r>
          </w:p>
        </w:tc>
        <w:tc>
          <w:tcPr>
            <w:tcW w:w="5294" w:type="dxa"/>
            <w:tcBorders>
              <w:top w:val="single" w:color="000000" w:sz="12" w:space="0"/>
            </w:tcBorders>
            <w:vAlign w:val="top"/>
          </w:tcPr>
          <w:p w14:paraId="34D82A0A">
            <w:pPr>
              <w:spacing w:before="56" w:line="188" w:lineRule="auto"/>
              <w:ind w:left="2265"/>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项目名称</w:t>
            </w:r>
          </w:p>
        </w:tc>
        <w:tc>
          <w:tcPr>
            <w:tcW w:w="3320" w:type="dxa"/>
            <w:tcBorders>
              <w:top w:val="single" w:color="000000" w:sz="12" w:space="0"/>
              <w:right w:val="single" w:color="000000" w:sz="12" w:space="0"/>
            </w:tcBorders>
            <w:vAlign w:val="top"/>
          </w:tcPr>
          <w:p w14:paraId="5760844B">
            <w:pPr>
              <w:spacing w:before="57" w:line="184" w:lineRule="auto"/>
              <w:ind w:left="1132"/>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金  额（元）</w:t>
            </w:r>
          </w:p>
        </w:tc>
      </w:tr>
      <w:tr w14:paraId="48CE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38DF11">
            <w:pPr>
              <w:spacing w:before="58" w:line="208" w:lineRule="auto"/>
              <w:ind w:left="749"/>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1</w:t>
            </w:r>
          </w:p>
        </w:tc>
        <w:tc>
          <w:tcPr>
            <w:tcW w:w="5294" w:type="dxa"/>
            <w:vAlign w:val="top"/>
          </w:tcPr>
          <w:p w14:paraId="16E9675E">
            <w:pPr>
              <w:spacing w:before="57" w:line="188" w:lineRule="auto"/>
              <w:ind w:left="62"/>
              <w:rPr>
                <w:rFonts w:hint="eastAsia" w:asciiTheme="majorEastAsia" w:hAnsiTheme="majorEastAsia" w:eastAsiaTheme="majorEastAsia" w:cstheme="majorEastAsia"/>
                <w:color w:val="auto"/>
                <w:sz w:val="19"/>
                <w:szCs w:val="19"/>
                <w:lang w:eastAsia="zh-CN"/>
              </w:rPr>
            </w:pPr>
            <w:r>
              <w:rPr>
                <w:rFonts w:hint="eastAsia" w:asciiTheme="majorEastAsia" w:hAnsiTheme="majorEastAsia" w:eastAsiaTheme="majorEastAsia" w:cstheme="majorEastAsia"/>
                <w:color w:val="auto"/>
                <w:spacing w:val="2"/>
                <w:sz w:val="19"/>
                <w:szCs w:val="19"/>
                <w:lang w:eastAsia="zh-CN"/>
              </w:rPr>
              <w:t>白河县人民法院外墙改造新增项目</w:t>
            </w:r>
          </w:p>
        </w:tc>
        <w:tc>
          <w:tcPr>
            <w:tcW w:w="3320" w:type="dxa"/>
            <w:tcBorders>
              <w:right w:val="single" w:color="000000" w:sz="12" w:space="0"/>
            </w:tcBorders>
            <w:vAlign w:val="top"/>
          </w:tcPr>
          <w:p w14:paraId="3AAC8B46">
            <w:pPr>
              <w:pStyle w:val="91"/>
              <w:rPr>
                <w:rFonts w:hint="eastAsia" w:asciiTheme="majorEastAsia" w:hAnsiTheme="majorEastAsia" w:eastAsiaTheme="majorEastAsia" w:cstheme="majorEastAsia"/>
                <w:color w:val="auto"/>
              </w:rPr>
            </w:pPr>
          </w:p>
        </w:tc>
      </w:tr>
      <w:tr w14:paraId="387C4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6488BBD">
            <w:pPr>
              <w:pStyle w:val="91"/>
              <w:rPr>
                <w:rFonts w:hint="eastAsia" w:asciiTheme="majorEastAsia" w:hAnsiTheme="majorEastAsia" w:eastAsiaTheme="majorEastAsia" w:cstheme="majorEastAsia"/>
                <w:color w:val="auto"/>
              </w:rPr>
            </w:pPr>
          </w:p>
        </w:tc>
        <w:tc>
          <w:tcPr>
            <w:tcW w:w="5294" w:type="dxa"/>
            <w:vAlign w:val="top"/>
          </w:tcPr>
          <w:p w14:paraId="6571876B">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0CBE2AC">
            <w:pPr>
              <w:pStyle w:val="91"/>
              <w:rPr>
                <w:rFonts w:hint="eastAsia" w:asciiTheme="majorEastAsia" w:hAnsiTheme="majorEastAsia" w:eastAsiaTheme="majorEastAsia" w:cstheme="majorEastAsia"/>
                <w:color w:val="auto"/>
              </w:rPr>
            </w:pPr>
          </w:p>
        </w:tc>
      </w:tr>
      <w:tr w14:paraId="76367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BA05A76">
            <w:pPr>
              <w:pStyle w:val="91"/>
              <w:rPr>
                <w:rFonts w:hint="eastAsia" w:asciiTheme="majorEastAsia" w:hAnsiTheme="majorEastAsia" w:eastAsiaTheme="majorEastAsia" w:cstheme="majorEastAsia"/>
                <w:color w:val="auto"/>
              </w:rPr>
            </w:pPr>
          </w:p>
        </w:tc>
        <w:tc>
          <w:tcPr>
            <w:tcW w:w="5294" w:type="dxa"/>
            <w:vAlign w:val="top"/>
          </w:tcPr>
          <w:p w14:paraId="1944B01B">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22A1649">
            <w:pPr>
              <w:pStyle w:val="91"/>
              <w:rPr>
                <w:rFonts w:hint="eastAsia" w:asciiTheme="majorEastAsia" w:hAnsiTheme="majorEastAsia" w:eastAsiaTheme="majorEastAsia" w:cstheme="majorEastAsia"/>
                <w:color w:val="auto"/>
              </w:rPr>
            </w:pPr>
          </w:p>
        </w:tc>
      </w:tr>
      <w:tr w14:paraId="2BE80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F40B7A">
            <w:pPr>
              <w:pStyle w:val="91"/>
              <w:rPr>
                <w:rFonts w:hint="eastAsia" w:asciiTheme="majorEastAsia" w:hAnsiTheme="majorEastAsia" w:eastAsiaTheme="majorEastAsia" w:cstheme="majorEastAsia"/>
                <w:color w:val="auto"/>
              </w:rPr>
            </w:pPr>
          </w:p>
        </w:tc>
        <w:tc>
          <w:tcPr>
            <w:tcW w:w="5294" w:type="dxa"/>
            <w:vAlign w:val="top"/>
          </w:tcPr>
          <w:p w14:paraId="35261AA1">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2057D2C">
            <w:pPr>
              <w:pStyle w:val="91"/>
              <w:rPr>
                <w:rFonts w:hint="eastAsia" w:asciiTheme="majorEastAsia" w:hAnsiTheme="majorEastAsia" w:eastAsiaTheme="majorEastAsia" w:cstheme="majorEastAsia"/>
                <w:color w:val="auto"/>
              </w:rPr>
            </w:pPr>
          </w:p>
        </w:tc>
      </w:tr>
      <w:tr w14:paraId="3ACA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20D9123">
            <w:pPr>
              <w:pStyle w:val="91"/>
              <w:rPr>
                <w:rFonts w:hint="eastAsia" w:asciiTheme="majorEastAsia" w:hAnsiTheme="majorEastAsia" w:eastAsiaTheme="majorEastAsia" w:cstheme="majorEastAsia"/>
                <w:color w:val="auto"/>
              </w:rPr>
            </w:pPr>
          </w:p>
        </w:tc>
        <w:tc>
          <w:tcPr>
            <w:tcW w:w="5294" w:type="dxa"/>
            <w:vAlign w:val="top"/>
          </w:tcPr>
          <w:p w14:paraId="5852FCCE">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577684C">
            <w:pPr>
              <w:pStyle w:val="91"/>
              <w:rPr>
                <w:rFonts w:hint="eastAsia" w:asciiTheme="majorEastAsia" w:hAnsiTheme="majorEastAsia" w:eastAsiaTheme="majorEastAsia" w:cstheme="majorEastAsia"/>
                <w:color w:val="auto"/>
              </w:rPr>
            </w:pPr>
          </w:p>
        </w:tc>
      </w:tr>
      <w:tr w14:paraId="28C7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B8C9841">
            <w:pPr>
              <w:pStyle w:val="91"/>
              <w:rPr>
                <w:rFonts w:hint="eastAsia" w:asciiTheme="majorEastAsia" w:hAnsiTheme="majorEastAsia" w:eastAsiaTheme="majorEastAsia" w:cstheme="majorEastAsia"/>
                <w:color w:val="auto"/>
              </w:rPr>
            </w:pPr>
          </w:p>
        </w:tc>
        <w:tc>
          <w:tcPr>
            <w:tcW w:w="5294" w:type="dxa"/>
            <w:vAlign w:val="top"/>
          </w:tcPr>
          <w:p w14:paraId="42831508">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48770D32">
            <w:pPr>
              <w:pStyle w:val="91"/>
              <w:rPr>
                <w:rFonts w:hint="eastAsia" w:asciiTheme="majorEastAsia" w:hAnsiTheme="majorEastAsia" w:eastAsiaTheme="majorEastAsia" w:cstheme="majorEastAsia"/>
                <w:color w:val="auto"/>
              </w:rPr>
            </w:pPr>
          </w:p>
        </w:tc>
      </w:tr>
      <w:tr w14:paraId="2CD2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A0BE7E6">
            <w:pPr>
              <w:pStyle w:val="91"/>
              <w:rPr>
                <w:rFonts w:hint="eastAsia" w:asciiTheme="majorEastAsia" w:hAnsiTheme="majorEastAsia" w:eastAsiaTheme="majorEastAsia" w:cstheme="majorEastAsia"/>
                <w:color w:val="auto"/>
              </w:rPr>
            </w:pPr>
          </w:p>
        </w:tc>
        <w:tc>
          <w:tcPr>
            <w:tcW w:w="5294" w:type="dxa"/>
            <w:vAlign w:val="top"/>
          </w:tcPr>
          <w:p w14:paraId="0061F9CB">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7A16C783">
            <w:pPr>
              <w:pStyle w:val="91"/>
              <w:rPr>
                <w:rFonts w:hint="eastAsia" w:asciiTheme="majorEastAsia" w:hAnsiTheme="majorEastAsia" w:eastAsiaTheme="majorEastAsia" w:cstheme="majorEastAsia"/>
                <w:color w:val="auto"/>
              </w:rPr>
            </w:pPr>
          </w:p>
        </w:tc>
      </w:tr>
      <w:tr w14:paraId="121D5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490228">
            <w:pPr>
              <w:pStyle w:val="91"/>
              <w:rPr>
                <w:rFonts w:hint="eastAsia" w:asciiTheme="majorEastAsia" w:hAnsiTheme="majorEastAsia" w:eastAsiaTheme="majorEastAsia" w:cstheme="majorEastAsia"/>
                <w:color w:val="auto"/>
              </w:rPr>
            </w:pPr>
          </w:p>
        </w:tc>
        <w:tc>
          <w:tcPr>
            <w:tcW w:w="5294" w:type="dxa"/>
            <w:vAlign w:val="top"/>
          </w:tcPr>
          <w:p w14:paraId="2EF94CD8">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AB38506">
            <w:pPr>
              <w:pStyle w:val="91"/>
              <w:rPr>
                <w:rFonts w:hint="eastAsia" w:asciiTheme="majorEastAsia" w:hAnsiTheme="majorEastAsia" w:eastAsiaTheme="majorEastAsia" w:cstheme="majorEastAsia"/>
                <w:color w:val="auto"/>
              </w:rPr>
            </w:pPr>
          </w:p>
        </w:tc>
      </w:tr>
      <w:tr w14:paraId="102AA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9F3A1E3">
            <w:pPr>
              <w:pStyle w:val="91"/>
              <w:rPr>
                <w:rFonts w:hint="eastAsia" w:asciiTheme="majorEastAsia" w:hAnsiTheme="majorEastAsia" w:eastAsiaTheme="majorEastAsia" w:cstheme="majorEastAsia"/>
                <w:color w:val="auto"/>
              </w:rPr>
            </w:pPr>
          </w:p>
        </w:tc>
        <w:tc>
          <w:tcPr>
            <w:tcW w:w="5294" w:type="dxa"/>
            <w:vAlign w:val="top"/>
          </w:tcPr>
          <w:p w14:paraId="35F5552F">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6DF7FDA">
            <w:pPr>
              <w:pStyle w:val="91"/>
              <w:rPr>
                <w:rFonts w:hint="eastAsia" w:asciiTheme="majorEastAsia" w:hAnsiTheme="majorEastAsia" w:eastAsiaTheme="majorEastAsia" w:cstheme="majorEastAsia"/>
                <w:color w:val="auto"/>
              </w:rPr>
            </w:pPr>
          </w:p>
        </w:tc>
      </w:tr>
      <w:tr w14:paraId="29463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41FF9F7">
            <w:pPr>
              <w:pStyle w:val="91"/>
              <w:rPr>
                <w:rFonts w:hint="eastAsia" w:asciiTheme="majorEastAsia" w:hAnsiTheme="majorEastAsia" w:eastAsiaTheme="majorEastAsia" w:cstheme="majorEastAsia"/>
                <w:color w:val="auto"/>
              </w:rPr>
            </w:pPr>
          </w:p>
        </w:tc>
        <w:tc>
          <w:tcPr>
            <w:tcW w:w="5294" w:type="dxa"/>
            <w:vAlign w:val="top"/>
          </w:tcPr>
          <w:p w14:paraId="09C3015F">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67046AB">
            <w:pPr>
              <w:pStyle w:val="91"/>
              <w:rPr>
                <w:rFonts w:hint="eastAsia" w:asciiTheme="majorEastAsia" w:hAnsiTheme="majorEastAsia" w:eastAsiaTheme="majorEastAsia" w:cstheme="majorEastAsia"/>
                <w:color w:val="auto"/>
              </w:rPr>
            </w:pPr>
          </w:p>
        </w:tc>
      </w:tr>
      <w:tr w14:paraId="09F2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300B1D7">
            <w:pPr>
              <w:pStyle w:val="91"/>
              <w:rPr>
                <w:rFonts w:hint="eastAsia" w:asciiTheme="majorEastAsia" w:hAnsiTheme="majorEastAsia" w:eastAsiaTheme="majorEastAsia" w:cstheme="majorEastAsia"/>
                <w:color w:val="auto"/>
              </w:rPr>
            </w:pPr>
          </w:p>
        </w:tc>
        <w:tc>
          <w:tcPr>
            <w:tcW w:w="5294" w:type="dxa"/>
            <w:vAlign w:val="top"/>
          </w:tcPr>
          <w:p w14:paraId="051F6EA9">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612A7870">
            <w:pPr>
              <w:pStyle w:val="91"/>
              <w:rPr>
                <w:rFonts w:hint="eastAsia" w:asciiTheme="majorEastAsia" w:hAnsiTheme="majorEastAsia" w:eastAsiaTheme="majorEastAsia" w:cstheme="majorEastAsia"/>
                <w:color w:val="auto"/>
              </w:rPr>
            </w:pPr>
          </w:p>
        </w:tc>
      </w:tr>
      <w:tr w14:paraId="7822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03F97A8">
            <w:pPr>
              <w:pStyle w:val="91"/>
              <w:rPr>
                <w:rFonts w:hint="eastAsia" w:asciiTheme="majorEastAsia" w:hAnsiTheme="majorEastAsia" w:eastAsiaTheme="majorEastAsia" w:cstheme="majorEastAsia"/>
                <w:color w:val="auto"/>
              </w:rPr>
            </w:pPr>
          </w:p>
        </w:tc>
        <w:tc>
          <w:tcPr>
            <w:tcW w:w="5294" w:type="dxa"/>
            <w:vAlign w:val="top"/>
          </w:tcPr>
          <w:p w14:paraId="61B423CD">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5973714B">
            <w:pPr>
              <w:pStyle w:val="91"/>
              <w:rPr>
                <w:rFonts w:hint="eastAsia" w:asciiTheme="majorEastAsia" w:hAnsiTheme="majorEastAsia" w:eastAsiaTheme="majorEastAsia" w:cstheme="majorEastAsia"/>
                <w:color w:val="auto"/>
              </w:rPr>
            </w:pPr>
          </w:p>
        </w:tc>
      </w:tr>
      <w:tr w14:paraId="79C6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3930B141">
            <w:pPr>
              <w:pStyle w:val="91"/>
              <w:rPr>
                <w:rFonts w:hint="eastAsia" w:asciiTheme="majorEastAsia" w:hAnsiTheme="majorEastAsia" w:eastAsiaTheme="majorEastAsia" w:cstheme="majorEastAsia"/>
                <w:color w:val="auto"/>
              </w:rPr>
            </w:pPr>
          </w:p>
        </w:tc>
        <w:tc>
          <w:tcPr>
            <w:tcW w:w="5294" w:type="dxa"/>
            <w:vAlign w:val="top"/>
          </w:tcPr>
          <w:p w14:paraId="6FD99AB3">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5C4B19DE">
            <w:pPr>
              <w:pStyle w:val="91"/>
              <w:rPr>
                <w:rFonts w:hint="eastAsia" w:asciiTheme="majorEastAsia" w:hAnsiTheme="majorEastAsia" w:eastAsiaTheme="majorEastAsia" w:cstheme="majorEastAsia"/>
                <w:color w:val="auto"/>
              </w:rPr>
            </w:pPr>
          </w:p>
        </w:tc>
      </w:tr>
      <w:tr w14:paraId="6DE6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A205767">
            <w:pPr>
              <w:pStyle w:val="91"/>
              <w:rPr>
                <w:rFonts w:hint="eastAsia" w:asciiTheme="majorEastAsia" w:hAnsiTheme="majorEastAsia" w:eastAsiaTheme="majorEastAsia" w:cstheme="majorEastAsia"/>
                <w:color w:val="auto"/>
              </w:rPr>
            </w:pPr>
          </w:p>
        </w:tc>
        <w:tc>
          <w:tcPr>
            <w:tcW w:w="5294" w:type="dxa"/>
            <w:vAlign w:val="top"/>
          </w:tcPr>
          <w:p w14:paraId="633857DE">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66F13AC9">
            <w:pPr>
              <w:pStyle w:val="91"/>
              <w:rPr>
                <w:rFonts w:hint="eastAsia" w:asciiTheme="majorEastAsia" w:hAnsiTheme="majorEastAsia" w:eastAsiaTheme="majorEastAsia" w:cstheme="majorEastAsia"/>
                <w:color w:val="auto"/>
              </w:rPr>
            </w:pPr>
          </w:p>
        </w:tc>
      </w:tr>
      <w:tr w14:paraId="46719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3043CA0">
            <w:pPr>
              <w:pStyle w:val="91"/>
              <w:rPr>
                <w:rFonts w:hint="eastAsia" w:asciiTheme="majorEastAsia" w:hAnsiTheme="majorEastAsia" w:eastAsiaTheme="majorEastAsia" w:cstheme="majorEastAsia"/>
                <w:color w:val="auto"/>
              </w:rPr>
            </w:pPr>
          </w:p>
        </w:tc>
        <w:tc>
          <w:tcPr>
            <w:tcW w:w="5294" w:type="dxa"/>
            <w:vAlign w:val="top"/>
          </w:tcPr>
          <w:p w14:paraId="66307E99">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4AE46D81">
            <w:pPr>
              <w:pStyle w:val="91"/>
              <w:rPr>
                <w:rFonts w:hint="eastAsia" w:asciiTheme="majorEastAsia" w:hAnsiTheme="majorEastAsia" w:eastAsiaTheme="majorEastAsia" w:cstheme="majorEastAsia"/>
                <w:color w:val="auto"/>
              </w:rPr>
            </w:pPr>
          </w:p>
        </w:tc>
      </w:tr>
      <w:tr w14:paraId="20000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643DA8A">
            <w:pPr>
              <w:pStyle w:val="91"/>
              <w:rPr>
                <w:rFonts w:hint="eastAsia" w:asciiTheme="majorEastAsia" w:hAnsiTheme="majorEastAsia" w:eastAsiaTheme="majorEastAsia" w:cstheme="majorEastAsia"/>
                <w:color w:val="auto"/>
              </w:rPr>
            </w:pPr>
          </w:p>
        </w:tc>
        <w:tc>
          <w:tcPr>
            <w:tcW w:w="5294" w:type="dxa"/>
            <w:vAlign w:val="top"/>
          </w:tcPr>
          <w:p w14:paraId="56AFA7AB">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6C280C29">
            <w:pPr>
              <w:pStyle w:val="91"/>
              <w:rPr>
                <w:rFonts w:hint="eastAsia" w:asciiTheme="majorEastAsia" w:hAnsiTheme="majorEastAsia" w:eastAsiaTheme="majorEastAsia" w:cstheme="majorEastAsia"/>
                <w:color w:val="auto"/>
              </w:rPr>
            </w:pPr>
          </w:p>
        </w:tc>
      </w:tr>
      <w:tr w14:paraId="05C9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B79AC10">
            <w:pPr>
              <w:pStyle w:val="91"/>
              <w:rPr>
                <w:rFonts w:hint="eastAsia" w:asciiTheme="majorEastAsia" w:hAnsiTheme="majorEastAsia" w:eastAsiaTheme="majorEastAsia" w:cstheme="majorEastAsia"/>
                <w:color w:val="auto"/>
              </w:rPr>
            </w:pPr>
          </w:p>
        </w:tc>
        <w:tc>
          <w:tcPr>
            <w:tcW w:w="5294" w:type="dxa"/>
            <w:vAlign w:val="top"/>
          </w:tcPr>
          <w:p w14:paraId="52A7C390">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634C0A99">
            <w:pPr>
              <w:pStyle w:val="91"/>
              <w:rPr>
                <w:rFonts w:hint="eastAsia" w:asciiTheme="majorEastAsia" w:hAnsiTheme="majorEastAsia" w:eastAsiaTheme="majorEastAsia" w:cstheme="majorEastAsia"/>
                <w:color w:val="auto"/>
              </w:rPr>
            </w:pPr>
          </w:p>
        </w:tc>
      </w:tr>
      <w:tr w14:paraId="18B54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3C9F022">
            <w:pPr>
              <w:pStyle w:val="91"/>
              <w:rPr>
                <w:rFonts w:hint="eastAsia" w:asciiTheme="majorEastAsia" w:hAnsiTheme="majorEastAsia" w:eastAsiaTheme="majorEastAsia" w:cstheme="majorEastAsia"/>
                <w:color w:val="auto"/>
              </w:rPr>
            </w:pPr>
          </w:p>
        </w:tc>
        <w:tc>
          <w:tcPr>
            <w:tcW w:w="5294" w:type="dxa"/>
            <w:vAlign w:val="top"/>
          </w:tcPr>
          <w:p w14:paraId="384718C3">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8B5D22B">
            <w:pPr>
              <w:pStyle w:val="91"/>
              <w:rPr>
                <w:rFonts w:hint="eastAsia" w:asciiTheme="majorEastAsia" w:hAnsiTheme="majorEastAsia" w:eastAsiaTheme="majorEastAsia" w:cstheme="majorEastAsia"/>
                <w:color w:val="auto"/>
              </w:rPr>
            </w:pPr>
          </w:p>
        </w:tc>
      </w:tr>
      <w:tr w14:paraId="3EA1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18916E9">
            <w:pPr>
              <w:pStyle w:val="91"/>
              <w:rPr>
                <w:rFonts w:hint="eastAsia" w:asciiTheme="majorEastAsia" w:hAnsiTheme="majorEastAsia" w:eastAsiaTheme="majorEastAsia" w:cstheme="majorEastAsia"/>
                <w:color w:val="auto"/>
              </w:rPr>
            </w:pPr>
          </w:p>
        </w:tc>
        <w:tc>
          <w:tcPr>
            <w:tcW w:w="5294" w:type="dxa"/>
            <w:vAlign w:val="top"/>
          </w:tcPr>
          <w:p w14:paraId="458528A5">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61FABB23">
            <w:pPr>
              <w:pStyle w:val="91"/>
              <w:rPr>
                <w:rFonts w:hint="eastAsia" w:asciiTheme="majorEastAsia" w:hAnsiTheme="majorEastAsia" w:eastAsiaTheme="majorEastAsia" w:cstheme="majorEastAsia"/>
                <w:color w:val="auto"/>
              </w:rPr>
            </w:pPr>
          </w:p>
        </w:tc>
      </w:tr>
      <w:tr w14:paraId="20D7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A835F14">
            <w:pPr>
              <w:pStyle w:val="91"/>
              <w:rPr>
                <w:rFonts w:hint="eastAsia" w:asciiTheme="majorEastAsia" w:hAnsiTheme="majorEastAsia" w:eastAsiaTheme="majorEastAsia" w:cstheme="majorEastAsia"/>
                <w:color w:val="auto"/>
              </w:rPr>
            </w:pPr>
          </w:p>
        </w:tc>
        <w:tc>
          <w:tcPr>
            <w:tcW w:w="5294" w:type="dxa"/>
            <w:vAlign w:val="top"/>
          </w:tcPr>
          <w:p w14:paraId="623E4BE1">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A4B701C">
            <w:pPr>
              <w:pStyle w:val="91"/>
              <w:rPr>
                <w:rFonts w:hint="eastAsia" w:asciiTheme="majorEastAsia" w:hAnsiTheme="majorEastAsia" w:eastAsiaTheme="majorEastAsia" w:cstheme="majorEastAsia"/>
                <w:color w:val="auto"/>
              </w:rPr>
            </w:pPr>
          </w:p>
        </w:tc>
      </w:tr>
      <w:tr w14:paraId="57EA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7E1D7B10">
            <w:pPr>
              <w:pStyle w:val="91"/>
              <w:rPr>
                <w:rFonts w:hint="eastAsia" w:asciiTheme="majorEastAsia" w:hAnsiTheme="majorEastAsia" w:eastAsiaTheme="majorEastAsia" w:cstheme="majorEastAsia"/>
                <w:color w:val="auto"/>
              </w:rPr>
            </w:pPr>
          </w:p>
        </w:tc>
        <w:tc>
          <w:tcPr>
            <w:tcW w:w="5294" w:type="dxa"/>
            <w:vAlign w:val="top"/>
          </w:tcPr>
          <w:p w14:paraId="3F85473C">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79D9256">
            <w:pPr>
              <w:pStyle w:val="91"/>
              <w:rPr>
                <w:rFonts w:hint="eastAsia" w:asciiTheme="majorEastAsia" w:hAnsiTheme="majorEastAsia" w:eastAsiaTheme="majorEastAsia" w:cstheme="majorEastAsia"/>
                <w:color w:val="auto"/>
              </w:rPr>
            </w:pPr>
          </w:p>
        </w:tc>
      </w:tr>
      <w:tr w14:paraId="4048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0B50B4A">
            <w:pPr>
              <w:pStyle w:val="91"/>
              <w:rPr>
                <w:rFonts w:hint="eastAsia" w:asciiTheme="majorEastAsia" w:hAnsiTheme="majorEastAsia" w:eastAsiaTheme="majorEastAsia" w:cstheme="majorEastAsia"/>
                <w:color w:val="auto"/>
              </w:rPr>
            </w:pPr>
          </w:p>
        </w:tc>
        <w:tc>
          <w:tcPr>
            <w:tcW w:w="5294" w:type="dxa"/>
            <w:vAlign w:val="top"/>
          </w:tcPr>
          <w:p w14:paraId="4ADC36B0">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543D1B57">
            <w:pPr>
              <w:pStyle w:val="91"/>
              <w:rPr>
                <w:rFonts w:hint="eastAsia" w:asciiTheme="majorEastAsia" w:hAnsiTheme="majorEastAsia" w:eastAsiaTheme="majorEastAsia" w:cstheme="majorEastAsia"/>
                <w:color w:val="auto"/>
              </w:rPr>
            </w:pPr>
          </w:p>
        </w:tc>
      </w:tr>
      <w:tr w14:paraId="25ECA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0DF32B27">
            <w:pPr>
              <w:pStyle w:val="91"/>
              <w:rPr>
                <w:rFonts w:hint="eastAsia" w:asciiTheme="majorEastAsia" w:hAnsiTheme="majorEastAsia" w:eastAsiaTheme="majorEastAsia" w:cstheme="majorEastAsia"/>
                <w:color w:val="auto"/>
              </w:rPr>
            </w:pPr>
          </w:p>
        </w:tc>
        <w:tc>
          <w:tcPr>
            <w:tcW w:w="5294" w:type="dxa"/>
            <w:vAlign w:val="top"/>
          </w:tcPr>
          <w:p w14:paraId="5C372A6A">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0CF579C5">
            <w:pPr>
              <w:pStyle w:val="91"/>
              <w:rPr>
                <w:rFonts w:hint="eastAsia" w:asciiTheme="majorEastAsia" w:hAnsiTheme="majorEastAsia" w:eastAsiaTheme="majorEastAsia" w:cstheme="majorEastAsia"/>
                <w:color w:val="auto"/>
              </w:rPr>
            </w:pPr>
          </w:p>
        </w:tc>
      </w:tr>
      <w:tr w14:paraId="2D700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28B0AC5F">
            <w:pPr>
              <w:pStyle w:val="91"/>
              <w:rPr>
                <w:rFonts w:hint="eastAsia" w:asciiTheme="majorEastAsia" w:hAnsiTheme="majorEastAsia" w:eastAsiaTheme="majorEastAsia" w:cstheme="majorEastAsia"/>
                <w:color w:val="auto"/>
              </w:rPr>
            </w:pPr>
          </w:p>
        </w:tc>
        <w:tc>
          <w:tcPr>
            <w:tcW w:w="5294" w:type="dxa"/>
            <w:vAlign w:val="top"/>
          </w:tcPr>
          <w:p w14:paraId="74F8A10F">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556E129">
            <w:pPr>
              <w:pStyle w:val="91"/>
              <w:rPr>
                <w:rFonts w:hint="eastAsia" w:asciiTheme="majorEastAsia" w:hAnsiTheme="majorEastAsia" w:eastAsiaTheme="majorEastAsia" w:cstheme="majorEastAsia"/>
                <w:color w:val="auto"/>
              </w:rPr>
            </w:pPr>
          </w:p>
        </w:tc>
      </w:tr>
      <w:tr w14:paraId="29422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FD9E825">
            <w:pPr>
              <w:pStyle w:val="91"/>
              <w:rPr>
                <w:rFonts w:hint="eastAsia" w:asciiTheme="majorEastAsia" w:hAnsiTheme="majorEastAsia" w:eastAsiaTheme="majorEastAsia" w:cstheme="majorEastAsia"/>
                <w:color w:val="auto"/>
              </w:rPr>
            </w:pPr>
          </w:p>
        </w:tc>
        <w:tc>
          <w:tcPr>
            <w:tcW w:w="5294" w:type="dxa"/>
            <w:vAlign w:val="top"/>
          </w:tcPr>
          <w:p w14:paraId="57887996">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7159753">
            <w:pPr>
              <w:pStyle w:val="91"/>
              <w:rPr>
                <w:rFonts w:hint="eastAsia" w:asciiTheme="majorEastAsia" w:hAnsiTheme="majorEastAsia" w:eastAsiaTheme="majorEastAsia" w:cstheme="majorEastAsia"/>
                <w:color w:val="auto"/>
              </w:rPr>
            </w:pPr>
          </w:p>
        </w:tc>
      </w:tr>
      <w:tr w14:paraId="353D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4078967C">
            <w:pPr>
              <w:pStyle w:val="91"/>
              <w:rPr>
                <w:rFonts w:hint="eastAsia" w:asciiTheme="majorEastAsia" w:hAnsiTheme="majorEastAsia" w:eastAsiaTheme="majorEastAsia" w:cstheme="majorEastAsia"/>
                <w:color w:val="auto"/>
              </w:rPr>
            </w:pPr>
          </w:p>
        </w:tc>
        <w:tc>
          <w:tcPr>
            <w:tcW w:w="5294" w:type="dxa"/>
            <w:vAlign w:val="top"/>
          </w:tcPr>
          <w:p w14:paraId="0B291478">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DE1C204">
            <w:pPr>
              <w:pStyle w:val="91"/>
              <w:rPr>
                <w:rFonts w:hint="eastAsia" w:asciiTheme="majorEastAsia" w:hAnsiTheme="majorEastAsia" w:eastAsiaTheme="majorEastAsia" w:cstheme="majorEastAsia"/>
                <w:color w:val="auto"/>
              </w:rPr>
            </w:pPr>
          </w:p>
        </w:tc>
      </w:tr>
      <w:tr w14:paraId="0C87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D19DC5C">
            <w:pPr>
              <w:pStyle w:val="91"/>
              <w:rPr>
                <w:rFonts w:hint="eastAsia" w:asciiTheme="majorEastAsia" w:hAnsiTheme="majorEastAsia" w:eastAsiaTheme="majorEastAsia" w:cstheme="majorEastAsia"/>
                <w:color w:val="auto"/>
              </w:rPr>
            </w:pPr>
          </w:p>
        </w:tc>
        <w:tc>
          <w:tcPr>
            <w:tcW w:w="5294" w:type="dxa"/>
            <w:vAlign w:val="top"/>
          </w:tcPr>
          <w:p w14:paraId="0FABC4AF">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42FE0F98">
            <w:pPr>
              <w:pStyle w:val="91"/>
              <w:rPr>
                <w:rFonts w:hint="eastAsia" w:asciiTheme="majorEastAsia" w:hAnsiTheme="majorEastAsia" w:eastAsiaTheme="majorEastAsia" w:cstheme="majorEastAsia"/>
                <w:color w:val="auto"/>
              </w:rPr>
            </w:pPr>
          </w:p>
        </w:tc>
      </w:tr>
      <w:tr w14:paraId="2E11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645394D3">
            <w:pPr>
              <w:pStyle w:val="91"/>
              <w:rPr>
                <w:rFonts w:hint="eastAsia" w:asciiTheme="majorEastAsia" w:hAnsiTheme="majorEastAsia" w:eastAsiaTheme="majorEastAsia" w:cstheme="majorEastAsia"/>
                <w:color w:val="auto"/>
              </w:rPr>
            </w:pPr>
          </w:p>
        </w:tc>
        <w:tc>
          <w:tcPr>
            <w:tcW w:w="5294" w:type="dxa"/>
            <w:vAlign w:val="top"/>
          </w:tcPr>
          <w:p w14:paraId="653BB9B2">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D3D4472">
            <w:pPr>
              <w:pStyle w:val="91"/>
              <w:rPr>
                <w:rFonts w:hint="eastAsia" w:asciiTheme="majorEastAsia" w:hAnsiTheme="majorEastAsia" w:eastAsiaTheme="majorEastAsia" w:cstheme="majorEastAsia"/>
                <w:color w:val="auto"/>
              </w:rPr>
            </w:pPr>
          </w:p>
        </w:tc>
      </w:tr>
      <w:tr w14:paraId="0EE3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18ACF7E1">
            <w:pPr>
              <w:pStyle w:val="91"/>
              <w:rPr>
                <w:rFonts w:hint="eastAsia" w:asciiTheme="majorEastAsia" w:hAnsiTheme="majorEastAsia" w:eastAsiaTheme="majorEastAsia" w:cstheme="majorEastAsia"/>
                <w:color w:val="auto"/>
              </w:rPr>
            </w:pPr>
          </w:p>
        </w:tc>
        <w:tc>
          <w:tcPr>
            <w:tcW w:w="5294" w:type="dxa"/>
            <w:vAlign w:val="top"/>
          </w:tcPr>
          <w:p w14:paraId="4A540747">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9FC7022">
            <w:pPr>
              <w:pStyle w:val="91"/>
              <w:rPr>
                <w:rFonts w:hint="eastAsia" w:asciiTheme="majorEastAsia" w:hAnsiTheme="majorEastAsia" w:eastAsiaTheme="majorEastAsia" w:cstheme="majorEastAsia"/>
                <w:color w:val="auto"/>
              </w:rPr>
            </w:pPr>
          </w:p>
        </w:tc>
      </w:tr>
      <w:tr w14:paraId="6FDB3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85" w:type="dxa"/>
            <w:tcBorders>
              <w:left w:val="single" w:color="000000" w:sz="12" w:space="0"/>
            </w:tcBorders>
            <w:vAlign w:val="top"/>
          </w:tcPr>
          <w:p w14:paraId="57C6F787">
            <w:pPr>
              <w:pStyle w:val="91"/>
              <w:rPr>
                <w:rFonts w:hint="eastAsia" w:asciiTheme="majorEastAsia" w:hAnsiTheme="majorEastAsia" w:eastAsiaTheme="majorEastAsia" w:cstheme="majorEastAsia"/>
                <w:color w:val="auto"/>
              </w:rPr>
            </w:pPr>
          </w:p>
        </w:tc>
        <w:tc>
          <w:tcPr>
            <w:tcW w:w="5294" w:type="dxa"/>
            <w:vAlign w:val="top"/>
          </w:tcPr>
          <w:p w14:paraId="7A044828">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3FDF077D">
            <w:pPr>
              <w:pStyle w:val="91"/>
              <w:rPr>
                <w:rFonts w:hint="eastAsia" w:asciiTheme="majorEastAsia" w:hAnsiTheme="majorEastAsia" w:eastAsiaTheme="majorEastAsia" w:cstheme="majorEastAsia"/>
                <w:color w:val="auto"/>
              </w:rPr>
            </w:pPr>
          </w:p>
        </w:tc>
      </w:tr>
      <w:tr w14:paraId="1F3D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585" w:type="dxa"/>
            <w:tcBorders>
              <w:left w:val="single" w:color="000000" w:sz="12" w:space="0"/>
            </w:tcBorders>
            <w:vAlign w:val="top"/>
          </w:tcPr>
          <w:p w14:paraId="4E46B95C">
            <w:pPr>
              <w:pStyle w:val="91"/>
              <w:rPr>
                <w:rFonts w:hint="eastAsia" w:asciiTheme="majorEastAsia" w:hAnsiTheme="majorEastAsia" w:eastAsiaTheme="majorEastAsia" w:cstheme="majorEastAsia"/>
                <w:color w:val="auto"/>
              </w:rPr>
            </w:pPr>
          </w:p>
        </w:tc>
        <w:tc>
          <w:tcPr>
            <w:tcW w:w="5294" w:type="dxa"/>
            <w:vAlign w:val="top"/>
          </w:tcPr>
          <w:p w14:paraId="0EB55D03">
            <w:pPr>
              <w:pStyle w:val="91"/>
              <w:rPr>
                <w:rFonts w:hint="eastAsia" w:asciiTheme="majorEastAsia" w:hAnsiTheme="majorEastAsia" w:eastAsiaTheme="majorEastAsia" w:cstheme="majorEastAsia"/>
                <w:color w:val="auto"/>
              </w:rPr>
            </w:pPr>
          </w:p>
        </w:tc>
        <w:tc>
          <w:tcPr>
            <w:tcW w:w="3320" w:type="dxa"/>
            <w:tcBorders>
              <w:right w:val="single" w:color="000000" w:sz="12" w:space="0"/>
            </w:tcBorders>
            <w:vAlign w:val="top"/>
          </w:tcPr>
          <w:p w14:paraId="1CFBDB1E">
            <w:pPr>
              <w:pStyle w:val="91"/>
              <w:rPr>
                <w:rFonts w:hint="eastAsia" w:asciiTheme="majorEastAsia" w:hAnsiTheme="majorEastAsia" w:eastAsiaTheme="majorEastAsia" w:cstheme="majorEastAsia"/>
                <w:color w:val="auto"/>
              </w:rPr>
            </w:pPr>
          </w:p>
        </w:tc>
      </w:tr>
      <w:tr w14:paraId="4177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79" w:type="dxa"/>
            <w:gridSpan w:val="2"/>
            <w:tcBorders>
              <w:left w:val="single" w:color="000000" w:sz="12" w:space="0"/>
              <w:bottom w:val="single" w:color="000000" w:sz="12" w:space="0"/>
            </w:tcBorders>
            <w:vAlign w:val="top"/>
          </w:tcPr>
          <w:p w14:paraId="44119004">
            <w:pPr>
              <w:spacing w:before="101" w:line="185" w:lineRule="auto"/>
              <w:ind w:left="2722"/>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5"/>
                <w:sz w:val="18"/>
                <w:szCs w:val="18"/>
              </w:rPr>
              <w:t>合</w:t>
            </w:r>
            <w:r>
              <w:rPr>
                <w:rFonts w:hint="eastAsia" w:asciiTheme="majorEastAsia" w:hAnsiTheme="majorEastAsia" w:eastAsiaTheme="majorEastAsia" w:cstheme="majorEastAsia"/>
                <w:color w:val="auto"/>
                <w:spacing w:val="1"/>
                <w:sz w:val="18"/>
                <w:szCs w:val="18"/>
              </w:rPr>
              <w:t xml:space="preserve">                    </w:t>
            </w:r>
            <w:r>
              <w:rPr>
                <w:rFonts w:hint="eastAsia" w:asciiTheme="majorEastAsia" w:hAnsiTheme="majorEastAsia" w:eastAsiaTheme="majorEastAsia" w:cstheme="majorEastAsia"/>
                <w:color w:val="auto"/>
                <w:spacing w:val="-5"/>
                <w:sz w:val="18"/>
                <w:szCs w:val="18"/>
              </w:rPr>
              <w:t>计</w:t>
            </w:r>
          </w:p>
        </w:tc>
        <w:tc>
          <w:tcPr>
            <w:tcW w:w="3320" w:type="dxa"/>
            <w:tcBorders>
              <w:bottom w:val="single" w:color="000000" w:sz="12" w:space="0"/>
              <w:right w:val="single" w:color="000000" w:sz="12" w:space="0"/>
            </w:tcBorders>
            <w:vAlign w:val="top"/>
          </w:tcPr>
          <w:p w14:paraId="0593864C">
            <w:pPr>
              <w:pStyle w:val="91"/>
              <w:rPr>
                <w:rFonts w:hint="eastAsia" w:asciiTheme="majorEastAsia" w:hAnsiTheme="majorEastAsia" w:eastAsiaTheme="majorEastAsia" w:cstheme="majorEastAsia"/>
                <w:color w:val="auto"/>
              </w:rPr>
            </w:pPr>
          </w:p>
        </w:tc>
      </w:tr>
    </w:tbl>
    <w:p w14:paraId="0975FEB9">
      <w:pPr>
        <w:pStyle w:val="2"/>
        <w:rPr>
          <w:rFonts w:hint="eastAsia" w:asciiTheme="majorEastAsia" w:hAnsiTheme="majorEastAsia" w:eastAsiaTheme="majorEastAsia" w:cstheme="majorEastAsia"/>
          <w:color w:val="auto"/>
        </w:rPr>
      </w:pPr>
    </w:p>
    <w:p w14:paraId="3F45B9C8">
      <w:pPr>
        <w:rPr>
          <w:rFonts w:hint="eastAsia" w:asciiTheme="majorEastAsia" w:hAnsiTheme="majorEastAsia" w:eastAsiaTheme="majorEastAsia" w:cstheme="majorEastAsia"/>
          <w:color w:val="auto"/>
        </w:rPr>
        <w:sectPr>
          <w:pgSz w:w="11900" w:h="16840"/>
          <w:pgMar w:top="891" w:right="845" w:bottom="0" w:left="825" w:header="794" w:footer="0" w:gutter="0"/>
          <w:pgNumType w:fmt="decimal"/>
          <w:cols w:space="720" w:num="1"/>
        </w:sectPr>
      </w:pPr>
    </w:p>
    <w:p w14:paraId="25DE5AAA">
      <w:pPr>
        <w:spacing w:before="79" w:line="186" w:lineRule="auto"/>
        <w:ind w:left="2360"/>
        <w:outlineLvl w:val="0"/>
        <w:rPr>
          <w:rFonts w:hint="eastAsia" w:asciiTheme="majorEastAsia" w:hAnsiTheme="majorEastAsia" w:eastAsiaTheme="majorEastAsia" w:cstheme="majorEastAsia"/>
          <w:color w:val="auto"/>
          <w:sz w:val="40"/>
          <w:szCs w:val="40"/>
        </w:rPr>
      </w:pPr>
      <w:r>
        <w:rPr>
          <w:rFonts w:hint="eastAsia" w:asciiTheme="majorEastAsia" w:hAnsiTheme="majorEastAsia" w:eastAsiaTheme="majorEastAsia" w:cstheme="majorEastAsia"/>
          <w:color w:val="auto"/>
          <w:spacing w:val="17"/>
          <w:sz w:val="40"/>
          <w:szCs w:val="40"/>
        </w:rPr>
        <w:t>分部分项工程项目清单计价表</w:t>
      </w:r>
    </w:p>
    <w:p w14:paraId="497763ED">
      <w:pPr>
        <w:pStyle w:val="2"/>
        <w:spacing w:line="299" w:lineRule="auto"/>
        <w:rPr>
          <w:rFonts w:hint="eastAsia" w:asciiTheme="majorEastAsia" w:hAnsiTheme="majorEastAsia" w:eastAsiaTheme="majorEastAsia" w:cstheme="majorEastAsia"/>
          <w:color w:val="auto"/>
        </w:rPr>
      </w:pPr>
    </w:p>
    <w:p w14:paraId="57C01DE8">
      <w:pPr>
        <w:pStyle w:val="2"/>
        <w:spacing w:line="299" w:lineRule="auto"/>
        <w:rPr>
          <w:rFonts w:hint="eastAsia" w:asciiTheme="majorEastAsia" w:hAnsiTheme="majorEastAsia" w:eastAsiaTheme="majorEastAsia" w:cstheme="majorEastAsia"/>
          <w:color w:val="auto"/>
        </w:rPr>
      </w:pPr>
    </w:p>
    <w:p w14:paraId="451F87C5">
      <w:pPr>
        <w:spacing w:before="82" w:line="188" w:lineRule="auto"/>
        <w:ind w:left="24"/>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1"/>
          <w:sz w:val="19"/>
          <w:szCs w:val="19"/>
        </w:rPr>
        <w:t>工程名称：</w:t>
      </w:r>
      <w:r>
        <w:rPr>
          <w:rFonts w:hint="eastAsia" w:asciiTheme="majorEastAsia" w:hAnsiTheme="majorEastAsia" w:eastAsiaTheme="majorEastAsia" w:cstheme="majorEastAsia"/>
          <w:color w:val="auto"/>
          <w:spacing w:val="-12"/>
          <w:sz w:val="19"/>
          <w:szCs w:val="19"/>
        </w:rPr>
        <w:t xml:space="preserve"> </w:t>
      </w:r>
      <w:r>
        <w:rPr>
          <w:rFonts w:hint="eastAsia" w:asciiTheme="majorEastAsia" w:hAnsiTheme="majorEastAsia" w:eastAsiaTheme="majorEastAsia" w:cstheme="majorEastAsia"/>
          <w:color w:val="auto"/>
          <w:spacing w:val="1"/>
          <w:sz w:val="19"/>
          <w:szCs w:val="19"/>
          <w:lang w:eastAsia="zh-CN"/>
        </w:rPr>
        <w:t>白河县人民法院外墙改造新增项目</w:t>
      </w:r>
      <w:r>
        <w:rPr>
          <w:rFonts w:hint="eastAsia" w:asciiTheme="majorEastAsia" w:hAnsiTheme="majorEastAsia" w:eastAsiaTheme="majorEastAsia" w:cstheme="majorEastAsia"/>
          <w:color w:val="auto"/>
          <w:spacing w:val="1"/>
          <w:sz w:val="19"/>
          <w:szCs w:val="19"/>
        </w:rPr>
        <w:t xml:space="preserve">          专业/标段：房屋建筑与装饰工程            第 1 页  共 </w:t>
      </w:r>
      <w:r>
        <w:rPr>
          <w:rFonts w:hint="eastAsia" w:asciiTheme="majorEastAsia" w:hAnsiTheme="majorEastAsia" w:eastAsiaTheme="majorEastAsia" w:cstheme="majorEastAsia"/>
          <w:color w:val="auto"/>
          <w:sz w:val="19"/>
          <w:szCs w:val="19"/>
        </w:rPr>
        <w:t>1 页</w:t>
      </w:r>
    </w:p>
    <w:p w14:paraId="69547F61">
      <w:pPr>
        <w:spacing w:line="17" w:lineRule="exact"/>
        <w:rPr>
          <w:rFonts w:hint="eastAsia" w:asciiTheme="majorEastAsia" w:hAnsiTheme="majorEastAsia" w:eastAsiaTheme="majorEastAsia" w:cstheme="majorEastAsia"/>
          <w:color w:val="auto"/>
        </w:rPr>
      </w:pPr>
    </w:p>
    <w:tbl>
      <w:tblPr>
        <w:tblStyle w:val="90"/>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391"/>
        <w:gridCol w:w="1957"/>
        <w:gridCol w:w="1882"/>
        <w:gridCol w:w="589"/>
        <w:gridCol w:w="971"/>
        <w:gridCol w:w="1286"/>
        <w:gridCol w:w="1391"/>
      </w:tblGrid>
      <w:tr w14:paraId="1B438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restart"/>
            <w:tcBorders>
              <w:top w:val="single" w:color="000000" w:sz="12" w:space="0"/>
              <w:left w:val="single" w:color="000000" w:sz="12" w:space="0"/>
              <w:bottom w:val="nil"/>
            </w:tcBorders>
            <w:vAlign w:val="top"/>
          </w:tcPr>
          <w:p w14:paraId="360BCD3D">
            <w:pPr>
              <w:spacing w:before="222" w:line="189" w:lineRule="auto"/>
              <w:ind w:left="164"/>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1"/>
                <w:sz w:val="19"/>
                <w:szCs w:val="19"/>
              </w:rPr>
              <w:t>序号</w:t>
            </w:r>
          </w:p>
        </w:tc>
        <w:tc>
          <w:tcPr>
            <w:tcW w:w="1391" w:type="dxa"/>
            <w:vMerge w:val="restart"/>
            <w:tcBorders>
              <w:top w:val="single" w:color="000000" w:sz="12" w:space="0"/>
              <w:bottom w:val="nil"/>
            </w:tcBorders>
            <w:vAlign w:val="top"/>
          </w:tcPr>
          <w:p w14:paraId="2E4D5F6D">
            <w:pPr>
              <w:spacing w:before="221" w:line="188" w:lineRule="auto"/>
              <w:ind w:left="305"/>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项目编码</w:t>
            </w:r>
          </w:p>
        </w:tc>
        <w:tc>
          <w:tcPr>
            <w:tcW w:w="1957" w:type="dxa"/>
            <w:vMerge w:val="restart"/>
            <w:tcBorders>
              <w:top w:val="single" w:color="000000" w:sz="12" w:space="0"/>
              <w:bottom w:val="nil"/>
            </w:tcBorders>
            <w:vAlign w:val="top"/>
          </w:tcPr>
          <w:p w14:paraId="5EA19A6B">
            <w:pPr>
              <w:spacing w:before="221" w:line="188" w:lineRule="auto"/>
              <w:ind w:left="631"/>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项目名称</w:t>
            </w:r>
          </w:p>
        </w:tc>
        <w:tc>
          <w:tcPr>
            <w:tcW w:w="1882" w:type="dxa"/>
            <w:vMerge w:val="restart"/>
            <w:tcBorders>
              <w:top w:val="single" w:color="000000" w:sz="12" w:space="0"/>
              <w:bottom w:val="nil"/>
            </w:tcBorders>
            <w:vAlign w:val="top"/>
          </w:tcPr>
          <w:p w14:paraId="39FD1BF8">
            <w:pPr>
              <w:spacing w:before="221" w:line="188" w:lineRule="auto"/>
              <w:ind w:left="270"/>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3"/>
                <w:sz w:val="19"/>
                <w:szCs w:val="19"/>
              </w:rPr>
              <w:t>项目特征描述</w:t>
            </w:r>
          </w:p>
        </w:tc>
        <w:tc>
          <w:tcPr>
            <w:tcW w:w="589" w:type="dxa"/>
            <w:vMerge w:val="restart"/>
            <w:tcBorders>
              <w:top w:val="single" w:color="000000" w:sz="12" w:space="0"/>
              <w:bottom w:val="nil"/>
            </w:tcBorders>
            <w:vAlign w:val="top"/>
          </w:tcPr>
          <w:p w14:paraId="7733ECD2">
            <w:pPr>
              <w:spacing w:before="86" w:line="199" w:lineRule="auto"/>
              <w:ind w:left="100" w:right="71" w:hanging="1"/>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计量单位</w:t>
            </w:r>
          </w:p>
        </w:tc>
        <w:tc>
          <w:tcPr>
            <w:tcW w:w="971" w:type="dxa"/>
            <w:vMerge w:val="restart"/>
            <w:tcBorders>
              <w:top w:val="single" w:color="000000" w:sz="12" w:space="0"/>
              <w:bottom w:val="nil"/>
            </w:tcBorders>
            <w:vAlign w:val="top"/>
          </w:tcPr>
          <w:p w14:paraId="4212A014">
            <w:pPr>
              <w:spacing w:before="223" w:line="187" w:lineRule="auto"/>
              <w:ind w:left="178"/>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工程数量</w:t>
            </w:r>
          </w:p>
        </w:tc>
        <w:tc>
          <w:tcPr>
            <w:tcW w:w="2677" w:type="dxa"/>
            <w:gridSpan w:val="2"/>
            <w:tcBorders>
              <w:top w:val="single" w:color="000000" w:sz="12" w:space="0"/>
              <w:right w:val="single" w:color="000000" w:sz="12" w:space="0"/>
            </w:tcBorders>
            <w:vAlign w:val="top"/>
          </w:tcPr>
          <w:p w14:paraId="5741A818">
            <w:pPr>
              <w:spacing w:before="42" w:line="184" w:lineRule="auto"/>
              <w:ind w:left="811"/>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金  额（元）</w:t>
            </w:r>
          </w:p>
        </w:tc>
      </w:tr>
      <w:tr w14:paraId="69414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vMerge w:val="continue"/>
            <w:tcBorders>
              <w:top w:val="nil"/>
              <w:left w:val="single" w:color="000000" w:sz="12" w:space="0"/>
            </w:tcBorders>
            <w:vAlign w:val="top"/>
          </w:tcPr>
          <w:p w14:paraId="6B37D2AC">
            <w:pPr>
              <w:pStyle w:val="91"/>
              <w:rPr>
                <w:rFonts w:hint="eastAsia" w:asciiTheme="majorEastAsia" w:hAnsiTheme="majorEastAsia" w:eastAsiaTheme="majorEastAsia" w:cstheme="majorEastAsia"/>
                <w:color w:val="auto"/>
              </w:rPr>
            </w:pPr>
          </w:p>
        </w:tc>
        <w:tc>
          <w:tcPr>
            <w:tcW w:w="1391" w:type="dxa"/>
            <w:vMerge w:val="continue"/>
            <w:tcBorders>
              <w:top w:val="nil"/>
            </w:tcBorders>
            <w:vAlign w:val="top"/>
          </w:tcPr>
          <w:p w14:paraId="545C2B31">
            <w:pPr>
              <w:pStyle w:val="91"/>
              <w:rPr>
                <w:rFonts w:hint="eastAsia" w:asciiTheme="majorEastAsia" w:hAnsiTheme="majorEastAsia" w:eastAsiaTheme="majorEastAsia" w:cstheme="majorEastAsia"/>
                <w:color w:val="auto"/>
              </w:rPr>
            </w:pPr>
          </w:p>
        </w:tc>
        <w:tc>
          <w:tcPr>
            <w:tcW w:w="1957" w:type="dxa"/>
            <w:vMerge w:val="continue"/>
            <w:tcBorders>
              <w:top w:val="nil"/>
            </w:tcBorders>
            <w:vAlign w:val="top"/>
          </w:tcPr>
          <w:p w14:paraId="470061A7">
            <w:pPr>
              <w:pStyle w:val="91"/>
              <w:rPr>
                <w:rFonts w:hint="eastAsia" w:asciiTheme="majorEastAsia" w:hAnsiTheme="majorEastAsia" w:eastAsiaTheme="majorEastAsia" w:cstheme="majorEastAsia"/>
                <w:color w:val="auto"/>
              </w:rPr>
            </w:pPr>
          </w:p>
        </w:tc>
        <w:tc>
          <w:tcPr>
            <w:tcW w:w="1882" w:type="dxa"/>
            <w:vMerge w:val="continue"/>
            <w:tcBorders>
              <w:top w:val="nil"/>
            </w:tcBorders>
            <w:vAlign w:val="top"/>
          </w:tcPr>
          <w:p w14:paraId="71134F93">
            <w:pPr>
              <w:pStyle w:val="91"/>
              <w:rPr>
                <w:rFonts w:hint="eastAsia" w:asciiTheme="majorEastAsia" w:hAnsiTheme="majorEastAsia" w:eastAsiaTheme="majorEastAsia" w:cstheme="majorEastAsia"/>
                <w:color w:val="auto"/>
              </w:rPr>
            </w:pPr>
          </w:p>
        </w:tc>
        <w:tc>
          <w:tcPr>
            <w:tcW w:w="589" w:type="dxa"/>
            <w:vMerge w:val="continue"/>
            <w:tcBorders>
              <w:top w:val="nil"/>
            </w:tcBorders>
            <w:vAlign w:val="top"/>
          </w:tcPr>
          <w:p w14:paraId="3790C8A9">
            <w:pPr>
              <w:pStyle w:val="91"/>
              <w:rPr>
                <w:rFonts w:hint="eastAsia" w:asciiTheme="majorEastAsia" w:hAnsiTheme="majorEastAsia" w:eastAsiaTheme="majorEastAsia" w:cstheme="majorEastAsia"/>
                <w:color w:val="auto"/>
              </w:rPr>
            </w:pPr>
          </w:p>
        </w:tc>
        <w:tc>
          <w:tcPr>
            <w:tcW w:w="971" w:type="dxa"/>
            <w:vMerge w:val="continue"/>
            <w:tcBorders>
              <w:top w:val="nil"/>
            </w:tcBorders>
            <w:vAlign w:val="top"/>
          </w:tcPr>
          <w:p w14:paraId="3A541FA7">
            <w:pPr>
              <w:pStyle w:val="91"/>
              <w:rPr>
                <w:rFonts w:hint="eastAsia" w:asciiTheme="majorEastAsia" w:hAnsiTheme="majorEastAsia" w:eastAsiaTheme="majorEastAsia" w:cstheme="majorEastAsia"/>
                <w:color w:val="auto"/>
              </w:rPr>
            </w:pPr>
          </w:p>
        </w:tc>
        <w:tc>
          <w:tcPr>
            <w:tcW w:w="1286" w:type="dxa"/>
            <w:vAlign w:val="top"/>
          </w:tcPr>
          <w:p w14:paraId="25BC4AC5">
            <w:pPr>
              <w:spacing w:before="43" w:line="188" w:lineRule="auto"/>
              <w:ind w:left="271"/>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综合单价</w:t>
            </w:r>
          </w:p>
        </w:tc>
        <w:tc>
          <w:tcPr>
            <w:tcW w:w="1391" w:type="dxa"/>
            <w:tcBorders>
              <w:right w:val="single" w:color="000000" w:sz="12" w:space="0"/>
            </w:tcBorders>
            <w:vAlign w:val="top"/>
          </w:tcPr>
          <w:p w14:paraId="6F679B74">
            <w:pPr>
              <w:spacing w:before="43" w:line="188" w:lineRule="auto"/>
              <w:ind w:left="461"/>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1"/>
                <w:sz w:val="19"/>
                <w:szCs w:val="19"/>
              </w:rPr>
              <w:t>合  价</w:t>
            </w:r>
          </w:p>
        </w:tc>
      </w:tr>
      <w:tr w14:paraId="5721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33" w:type="dxa"/>
            <w:tcBorders>
              <w:left w:val="single" w:color="000000" w:sz="12" w:space="0"/>
            </w:tcBorders>
            <w:vAlign w:val="center"/>
          </w:tcPr>
          <w:p w14:paraId="076567A4">
            <w:pPr>
              <w:pStyle w:val="91"/>
              <w:spacing w:line="335" w:lineRule="auto"/>
              <w:jc w:val="center"/>
              <w:rPr>
                <w:rFonts w:hint="eastAsia" w:asciiTheme="majorEastAsia" w:hAnsiTheme="majorEastAsia" w:eastAsiaTheme="majorEastAsia" w:cstheme="majorEastAsia"/>
                <w:color w:val="auto"/>
              </w:rPr>
            </w:pPr>
          </w:p>
          <w:p w14:paraId="15E2F843">
            <w:pPr>
              <w:spacing w:before="82" w:line="208" w:lineRule="auto"/>
              <w:ind w:left="322"/>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1</w:t>
            </w:r>
          </w:p>
        </w:tc>
        <w:tc>
          <w:tcPr>
            <w:tcW w:w="1391" w:type="dxa"/>
            <w:vAlign w:val="center"/>
          </w:tcPr>
          <w:p w14:paraId="148BD3EC">
            <w:pPr>
              <w:pStyle w:val="91"/>
              <w:spacing w:line="335" w:lineRule="auto"/>
              <w:jc w:val="center"/>
              <w:rPr>
                <w:rFonts w:hint="eastAsia" w:asciiTheme="majorEastAsia" w:hAnsiTheme="majorEastAsia" w:eastAsiaTheme="majorEastAsia" w:cstheme="majorEastAsia"/>
                <w:color w:val="auto"/>
              </w:rPr>
            </w:pPr>
          </w:p>
          <w:p w14:paraId="727AF6C3">
            <w:pPr>
              <w:spacing w:before="82" w:line="206" w:lineRule="auto"/>
              <w:ind w:left="33"/>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8"/>
                <w:sz w:val="19"/>
                <w:szCs w:val="19"/>
              </w:rPr>
              <w:t>011302003001</w:t>
            </w:r>
          </w:p>
        </w:tc>
        <w:tc>
          <w:tcPr>
            <w:tcW w:w="1957" w:type="dxa"/>
            <w:vAlign w:val="center"/>
          </w:tcPr>
          <w:p w14:paraId="0F61B5A6">
            <w:pPr>
              <w:pStyle w:val="91"/>
              <w:spacing w:line="336" w:lineRule="auto"/>
              <w:jc w:val="center"/>
              <w:rPr>
                <w:rFonts w:hint="eastAsia" w:asciiTheme="majorEastAsia" w:hAnsiTheme="majorEastAsia" w:eastAsiaTheme="majorEastAsia" w:cstheme="majorEastAsia"/>
                <w:color w:val="auto"/>
              </w:rPr>
            </w:pPr>
          </w:p>
          <w:p w14:paraId="7842ED29">
            <w:pPr>
              <w:spacing w:before="81" w:line="188" w:lineRule="auto"/>
              <w:ind w:left="36"/>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3"/>
                <w:sz w:val="19"/>
                <w:szCs w:val="19"/>
              </w:rPr>
              <w:t>顶层檐口造型</w:t>
            </w:r>
          </w:p>
        </w:tc>
        <w:tc>
          <w:tcPr>
            <w:tcW w:w="1882" w:type="dxa"/>
            <w:vAlign w:val="center"/>
          </w:tcPr>
          <w:p w14:paraId="69985F8C">
            <w:pPr>
              <w:spacing w:before="29" w:line="240" w:lineRule="auto"/>
              <w:ind w:left="56"/>
              <w:jc w:val="both"/>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7"/>
                <w:sz w:val="19"/>
                <w:szCs w:val="19"/>
              </w:rPr>
              <w:t>1.材质铝单板</w:t>
            </w:r>
          </w:p>
          <w:p w14:paraId="6AE69BFD">
            <w:pPr>
              <w:spacing w:before="3" w:line="240" w:lineRule="auto"/>
              <w:ind w:left="42" w:right="66" w:firstLine="1"/>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5"/>
                <w:sz w:val="19"/>
                <w:szCs w:val="19"/>
              </w:rPr>
              <w:t>2.底部找平</w:t>
            </w:r>
            <w:r>
              <w:rPr>
                <w:rFonts w:hint="eastAsia" w:asciiTheme="majorEastAsia" w:hAnsiTheme="majorEastAsia" w:eastAsiaTheme="majorEastAsia" w:cstheme="majorEastAsia"/>
                <w:color w:val="auto"/>
                <w:spacing w:val="-26"/>
                <w:sz w:val="19"/>
                <w:szCs w:val="19"/>
              </w:rPr>
              <w:t xml:space="preserve"> </w:t>
            </w:r>
            <w:r>
              <w:rPr>
                <w:rFonts w:hint="eastAsia" w:asciiTheme="majorEastAsia" w:hAnsiTheme="majorEastAsia" w:eastAsiaTheme="majorEastAsia" w:cstheme="majorEastAsia"/>
                <w:color w:val="auto"/>
                <w:spacing w:val="5"/>
                <w:sz w:val="19"/>
                <w:szCs w:val="19"/>
              </w:rPr>
              <w:t>，钢架</w:t>
            </w:r>
            <w:r>
              <w:rPr>
                <w:rFonts w:hint="eastAsia" w:asciiTheme="majorEastAsia" w:hAnsiTheme="majorEastAsia" w:eastAsiaTheme="majorEastAsia" w:cstheme="majorEastAsia"/>
                <w:color w:val="auto"/>
                <w:sz w:val="19"/>
                <w:szCs w:val="19"/>
              </w:rPr>
              <w:t>焊接</w:t>
            </w:r>
            <w:r>
              <w:rPr>
                <w:rFonts w:hint="eastAsia" w:asciiTheme="majorEastAsia" w:hAnsiTheme="majorEastAsia" w:eastAsiaTheme="majorEastAsia" w:cstheme="majorEastAsia"/>
                <w:color w:val="auto"/>
                <w:spacing w:val="-27"/>
                <w:sz w:val="19"/>
                <w:szCs w:val="19"/>
              </w:rPr>
              <w:t xml:space="preserve"> </w:t>
            </w:r>
            <w:r>
              <w:rPr>
                <w:rFonts w:hint="eastAsia" w:asciiTheme="majorEastAsia" w:hAnsiTheme="majorEastAsia" w:eastAsiaTheme="majorEastAsia" w:cstheme="majorEastAsia"/>
                <w:color w:val="auto"/>
                <w:sz w:val="19"/>
                <w:szCs w:val="19"/>
              </w:rPr>
              <w:t>，造型铝单板安装</w:t>
            </w:r>
            <w:r>
              <w:rPr>
                <w:rFonts w:hint="eastAsia" w:asciiTheme="majorEastAsia" w:hAnsiTheme="majorEastAsia" w:eastAsiaTheme="majorEastAsia" w:cstheme="majorEastAsia"/>
                <w:color w:val="auto"/>
                <w:spacing w:val="-27"/>
                <w:sz w:val="19"/>
                <w:szCs w:val="19"/>
              </w:rPr>
              <w:t xml:space="preserve"> </w:t>
            </w:r>
            <w:r>
              <w:rPr>
                <w:rFonts w:hint="eastAsia" w:asciiTheme="majorEastAsia" w:hAnsiTheme="majorEastAsia" w:eastAsiaTheme="majorEastAsia" w:cstheme="majorEastAsia"/>
                <w:color w:val="auto"/>
                <w:sz w:val="19"/>
                <w:szCs w:val="19"/>
              </w:rPr>
              <w:t>，结构胶封口</w:t>
            </w:r>
          </w:p>
        </w:tc>
        <w:tc>
          <w:tcPr>
            <w:tcW w:w="589" w:type="dxa"/>
            <w:vAlign w:val="center"/>
          </w:tcPr>
          <w:p w14:paraId="3C6F5A7C">
            <w:pPr>
              <w:pStyle w:val="91"/>
              <w:spacing w:line="335" w:lineRule="auto"/>
              <w:jc w:val="center"/>
              <w:rPr>
                <w:rFonts w:hint="eastAsia" w:asciiTheme="majorEastAsia" w:hAnsiTheme="majorEastAsia" w:eastAsiaTheme="majorEastAsia" w:cstheme="majorEastAsia"/>
                <w:color w:val="auto"/>
                <w:kern w:val="2"/>
                <w:sz w:val="19"/>
                <w:szCs w:val="19"/>
                <w:lang w:val="en-US" w:eastAsia="zh-CN" w:bidi="ar-SA"/>
              </w:rPr>
            </w:pPr>
          </w:p>
          <w:p w14:paraId="3AA64D60">
            <w:pPr>
              <w:spacing w:before="82" w:line="208" w:lineRule="auto"/>
              <w:ind w:left="184"/>
              <w:jc w:val="center"/>
              <w:rPr>
                <w:rFonts w:hint="eastAsia" w:asciiTheme="majorEastAsia" w:hAnsiTheme="majorEastAsia" w:eastAsiaTheme="majorEastAsia" w:cstheme="majorEastAsia"/>
                <w:color w:val="auto"/>
                <w:kern w:val="2"/>
                <w:sz w:val="19"/>
                <w:szCs w:val="19"/>
                <w:lang w:val="en-US" w:eastAsia="zh-CN" w:bidi="ar-SA"/>
              </w:rPr>
            </w:pPr>
            <w:r>
              <w:rPr>
                <w:rFonts w:hint="eastAsia" w:asciiTheme="majorEastAsia" w:hAnsiTheme="majorEastAsia" w:eastAsiaTheme="majorEastAsia" w:cstheme="majorEastAsia"/>
                <w:color w:val="auto"/>
                <w:kern w:val="2"/>
                <w:sz w:val="19"/>
                <w:szCs w:val="19"/>
                <w:lang w:val="en-US" w:eastAsia="zh-CN" w:bidi="ar-SA"/>
              </w:rPr>
              <w:t>m2</w:t>
            </w:r>
          </w:p>
        </w:tc>
        <w:tc>
          <w:tcPr>
            <w:tcW w:w="971" w:type="dxa"/>
            <w:vAlign w:val="center"/>
          </w:tcPr>
          <w:p w14:paraId="2D3E5C82">
            <w:pPr>
              <w:pStyle w:val="91"/>
              <w:spacing w:line="335" w:lineRule="auto"/>
              <w:jc w:val="center"/>
              <w:rPr>
                <w:rFonts w:hint="eastAsia" w:asciiTheme="majorEastAsia" w:hAnsiTheme="majorEastAsia" w:eastAsiaTheme="majorEastAsia" w:cstheme="majorEastAsia"/>
                <w:color w:val="auto"/>
              </w:rPr>
            </w:pPr>
          </w:p>
          <w:p w14:paraId="7DCBE9B3">
            <w:pPr>
              <w:spacing w:before="82" w:line="206" w:lineRule="auto"/>
              <w:ind w:right="16"/>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584.82</w:t>
            </w:r>
          </w:p>
        </w:tc>
        <w:tc>
          <w:tcPr>
            <w:tcW w:w="1286" w:type="dxa"/>
            <w:vAlign w:val="top"/>
          </w:tcPr>
          <w:p w14:paraId="3717847C">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3669FBB3">
            <w:pPr>
              <w:pStyle w:val="91"/>
              <w:rPr>
                <w:rFonts w:hint="eastAsia" w:asciiTheme="majorEastAsia" w:hAnsiTheme="majorEastAsia" w:eastAsiaTheme="majorEastAsia" w:cstheme="majorEastAsia"/>
                <w:color w:val="auto"/>
              </w:rPr>
            </w:pPr>
          </w:p>
        </w:tc>
      </w:tr>
      <w:tr w14:paraId="57F9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9" w:hRule="atLeast"/>
        </w:trPr>
        <w:tc>
          <w:tcPr>
            <w:tcW w:w="733" w:type="dxa"/>
            <w:tcBorders>
              <w:left w:val="single" w:color="000000" w:sz="12" w:space="0"/>
            </w:tcBorders>
            <w:vAlign w:val="center"/>
          </w:tcPr>
          <w:p w14:paraId="5E17A115">
            <w:pPr>
              <w:pStyle w:val="91"/>
              <w:spacing w:line="281" w:lineRule="auto"/>
              <w:jc w:val="center"/>
              <w:rPr>
                <w:rFonts w:hint="eastAsia" w:asciiTheme="majorEastAsia" w:hAnsiTheme="majorEastAsia" w:eastAsiaTheme="majorEastAsia" w:cstheme="majorEastAsia"/>
                <w:color w:val="auto"/>
              </w:rPr>
            </w:pPr>
          </w:p>
          <w:p w14:paraId="4434C25D">
            <w:pPr>
              <w:pStyle w:val="91"/>
              <w:spacing w:line="281" w:lineRule="auto"/>
              <w:jc w:val="center"/>
              <w:rPr>
                <w:rFonts w:hint="eastAsia" w:asciiTheme="majorEastAsia" w:hAnsiTheme="majorEastAsia" w:eastAsiaTheme="majorEastAsia" w:cstheme="majorEastAsia"/>
                <w:color w:val="auto"/>
              </w:rPr>
            </w:pPr>
          </w:p>
          <w:p w14:paraId="702AD861">
            <w:pPr>
              <w:pStyle w:val="91"/>
              <w:spacing w:line="282" w:lineRule="auto"/>
              <w:jc w:val="center"/>
              <w:rPr>
                <w:rFonts w:hint="eastAsia" w:asciiTheme="majorEastAsia" w:hAnsiTheme="majorEastAsia" w:eastAsiaTheme="majorEastAsia" w:cstheme="majorEastAsia"/>
                <w:color w:val="auto"/>
              </w:rPr>
            </w:pPr>
          </w:p>
          <w:p w14:paraId="223CF15D">
            <w:pPr>
              <w:spacing w:before="81" w:line="208" w:lineRule="auto"/>
              <w:ind w:left="309"/>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2</w:t>
            </w:r>
          </w:p>
        </w:tc>
        <w:tc>
          <w:tcPr>
            <w:tcW w:w="1391" w:type="dxa"/>
            <w:vAlign w:val="center"/>
          </w:tcPr>
          <w:p w14:paraId="685EF1ED">
            <w:pPr>
              <w:pStyle w:val="91"/>
              <w:spacing w:line="281" w:lineRule="auto"/>
              <w:jc w:val="center"/>
              <w:rPr>
                <w:rFonts w:hint="eastAsia" w:asciiTheme="majorEastAsia" w:hAnsiTheme="majorEastAsia" w:eastAsiaTheme="majorEastAsia" w:cstheme="majorEastAsia"/>
                <w:color w:val="auto"/>
              </w:rPr>
            </w:pPr>
          </w:p>
          <w:p w14:paraId="613545AE">
            <w:pPr>
              <w:pStyle w:val="91"/>
              <w:spacing w:line="281" w:lineRule="auto"/>
              <w:jc w:val="center"/>
              <w:rPr>
                <w:rFonts w:hint="eastAsia" w:asciiTheme="majorEastAsia" w:hAnsiTheme="majorEastAsia" w:eastAsiaTheme="majorEastAsia" w:cstheme="majorEastAsia"/>
                <w:color w:val="auto"/>
              </w:rPr>
            </w:pPr>
          </w:p>
          <w:p w14:paraId="66A16B2A">
            <w:pPr>
              <w:pStyle w:val="91"/>
              <w:spacing w:line="282" w:lineRule="auto"/>
              <w:jc w:val="center"/>
              <w:rPr>
                <w:rFonts w:hint="eastAsia" w:asciiTheme="majorEastAsia" w:hAnsiTheme="majorEastAsia" w:eastAsiaTheme="majorEastAsia" w:cstheme="majorEastAsia"/>
                <w:color w:val="auto"/>
              </w:rPr>
            </w:pPr>
          </w:p>
          <w:p w14:paraId="69D63CA9">
            <w:pPr>
              <w:spacing w:before="82" w:line="206" w:lineRule="auto"/>
              <w:ind w:left="33"/>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8"/>
                <w:sz w:val="19"/>
                <w:szCs w:val="19"/>
              </w:rPr>
              <w:t>011502001001</w:t>
            </w:r>
          </w:p>
        </w:tc>
        <w:tc>
          <w:tcPr>
            <w:tcW w:w="1957" w:type="dxa"/>
            <w:vAlign w:val="center"/>
          </w:tcPr>
          <w:p w14:paraId="0C1EDC0A">
            <w:pPr>
              <w:pStyle w:val="91"/>
              <w:spacing w:line="281" w:lineRule="auto"/>
              <w:jc w:val="center"/>
              <w:rPr>
                <w:rFonts w:hint="eastAsia" w:asciiTheme="majorEastAsia" w:hAnsiTheme="majorEastAsia" w:eastAsiaTheme="majorEastAsia" w:cstheme="majorEastAsia"/>
                <w:color w:val="auto"/>
              </w:rPr>
            </w:pPr>
          </w:p>
          <w:p w14:paraId="5EEC8E62">
            <w:pPr>
              <w:pStyle w:val="91"/>
              <w:spacing w:line="281" w:lineRule="auto"/>
              <w:jc w:val="center"/>
              <w:rPr>
                <w:rFonts w:hint="eastAsia" w:asciiTheme="majorEastAsia" w:hAnsiTheme="majorEastAsia" w:eastAsiaTheme="majorEastAsia" w:cstheme="majorEastAsia"/>
                <w:color w:val="auto"/>
              </w:rPr>
            </w:pPr>
          </w:p>
          <w:p w14:paraId="0D584ACC">
            <w:pPr>
              <w:pStyle w:val="91"/>
              <w:spacing w:line="282" w:lineRule="auto"/>
              <w:jc w:val="center"/>
              <w:rPr>
                <w:rFonts w:hint="eastAsia" w:asciiTheme="majorEastAsia" w:hAnsiTheme="majorEastAsia" w:eastAsiaTheme="majorEastAsia" w:cstheme="majorEastAsia"/>
                <w:color w:val="auto"/>
              </w:rPr>
            </w:pPr>
          </w:p>
          <w:p w14:paraId="509F315D">
            <w:pPr>
              <w:spacing w:before="82" w:line="188" w:lineRule="auto"/>
              <w:ind w:left="39"/>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3"/>
                <w:sz w:val="19"/>
                <w:szCs w:val="19"/>
              </w:rPr>
              <w:t>一楼檐口造型</w:t>
            </w:r>
          </w:p>
        </w:tc>
        <w:tc>
          <w:tcPr>
            <w:tcW w:w="1882" w:type="dxa"/>
            <w:vAlign w:val="center"/>
          </w:tcPr>
          <w:p w14:paraId="70CD82B6">
            <w:pPr>
              <w:spacing w:before="30" w:line="240" w:lineRule="auto"/>
              <w:ind w:left="42" w:right="36" w:firstLine="14"/>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1.材质PU线条</w:t>
            </w:r>
            <w:r>
              <w:rPr>
                <w:rFonts w:hint="eastAsia" w:asciiTheme="majorEastAsia" w:hAnsiTheme="majorEastAsia" w:eastAsiaTheme="majorEastAsia" w:cstheme="majorEastAsia"/>
                <w:color w:val="auto"/>
                <w:spacing w:val="-26"/>
                <w:sz w:val="19"/>
                <w:szCs w:val="19"/>
              </w:rPr>
              <w:t xml:space="preserve"> </w:t>
            </w:r>
            <w:r>
              <w:rPr>
                <w:rFonts w:hint="eastAsia" w:asciiTheme="majorEastAsia" w:hAnsiTheme="majorEastAsia" w:eastAsiaTheme="majorEastAsia" w:cstheme="majorEastAsia"/>
                <w:color w:val="auto"/>
                <w:spacing w:val="-2"/>
                <w:sz w:val="19"/>
                <w:szCs w:val="19"/>
              </w:rPr>
              <w:t>，规格250＊250弧形线条。</w:t>
            </w:r>
          </w:p>
          <w:p w14:paraId="0B7C72B4">
            <w:pPr>
              <w:spacing w:before="1" w:line="240" w:lineRule="auto"/>
              <w:ind w:left="41" w:right="66" w:firstLine="3"/>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5"/>
                <w:sz w:val="19"/>
                <w:szCs w:val="19"/>
              </w:rPr>
              <w:t>2.底部找平</w:t>
            </w:r>
            <w:r>
              <w:rPr>
                <w:rFonts w:hint="eastAsia" w:asciiTheme="majorEastAsia" w:hAnsiTheme="majorEastAsia" w:eastAsiaTheme="majorEastAsia" w:cstheme="majorEastAsia"/>
                <w:color w:val="auto"/>
                <w:spacing w:val="-26"/>
                <w:sz w:val="19"/>
                <w:szCs w:val="19"/>
              </w:rPr>
              <w:t xml:space="preserve"> </w:t>
            </w:r>
            <w:r>
              <w:rPr>
                <w:rFonts w:hint="eastAsia" w:asciiTheme="majorEastAsia" w:hAnsiTheme="majorEastAsia" w:eastAsiaTheme="majorEastAsia" w:cstheme="majorEastAsia"/>
                <w:color w:val="auto"/>
                <w:spacing w:val="5"/>
                <w:sz w:val="19"/>
                <w:szCs w:val="19"/>
              </w:rPr>
              <w:t>，粘接</w:t>
            </w:r>
            <w:r>
              <w:rPr>
                <w:rFonts w:hint="eastAsia" w:asciiTheme="majorEastAsia" w:hAnsiTheme="majorEastAsia" w:eastAsiaTheme="majorEastAsia" w:cstheme="majorEastAsia"/>
                <w:color w:val="auto"/>
                <w:spacing w:val="1"/>
                <w:sz w:val="19"/>
                <w:szCs w:val="19"/>
              </w:rPr>
              <w:t>砂浆安装</w:t>
            </w:r>
            <w:r>
              <w:rPr>
                <w:rFonts w:hint="eastAsia" w:asciiTheme="majorEastAsia" w:hAnsiTheme="majorEastAsia" w:eastAsiaTheme="majorEastAsia" w:cstheme="majorEastAsia"/>
                <w:color w:val="auto"/>
                <w:spacing w:val="-33"/>
                <w:sz w:val="19"/>
                <w:szCs w:val="19"/>
              </w:rPr>
              <w:t xml:space="preserve"> </w:t>
            </w:r>
            <w:r>
              <w:rPr>
                <w:rFonts w:hint="eastAsia" w:asciiTheme="majorEastAsia" w:hAnsiTheme="majorEastAsia" w:eastAsiaTheme="majorEastAsia" w:cstheme="majorEastAsia"/>
                <w:color w:val="auto"/>
                <w:spacing w:val="1"/>
                <w:sz w:val="19"/>
                <w:szCs w:val="19"/>
              </w:rPr>
              <w:t>，膨胀钉加固</w:t>
            </w:r>
            <w:r>
              <w:rPr>
                <w:rFonts w:hint="eastAsia" w:asciiTheme="majorEastAsia" w:hAnsiTheme="majorEastAsia" w:eastAsiaTheme="majorEastAsia" w:cstheme="majorEastAsia"/>
                <w:color w:val="auto"/>
                <w:spacing w:val="-33"/>
                <w:sz w:val="19"/>
                <w:szCs w:val="19"/>
              </w:rPr>
              <w:t xml:space="preserve"> </w:t>
            </w:r>
            <w:r>
              <w:rPr>
                <w:rFonts w:hint="eastAsia" w:asciiTheme="majorEastAsia" w:hAnsiTheme="majorEastAsia" w:eastAsiaTheme="majorEastAsia" w:cstheme="majorEastAsia"/>
                <w:color w:val="auto"/>
                <w:spacing w:val="1"/>
                <w:sz w:val="19"/>
                <w:szCs w:val="19"/>
              </w:rPr>
              <w:t>，面层抗裂砂浆打底</w:t>
            </w:r>
            <w:r>
              <w:rPr>
                <w:rFonts w:hint="eastAsia" w:asciiTheme="majorEastAsia" w:hAnsiTheme="majorEastAsia" w:eastAsiaTheme="majorEastAsia" w:cstheme="majorEastAsia"/>
                <w:color w:val="auto"/>
                <w:spacing w:val="-33"/>
                <w:sz w:val="19"/>
                <w:szCs w:val="19"/>
              </w:rPr>
              <w:t xml:space="preserve"> </w:t>
            </w:r>
            <w:r>
              <w:rPr>
                <w:rFonts w:hint="eastAsia" w:asciiTheme="majorEastAsia" w:hAnsiTheme="majorEastAsia" w:eastAsiaTheme="majorEastAsia" w:cstheme="majorEastAsia"/>
                <w:color w:val="auto"/>
                <w:spacing w:val="1"/>
                <w:sz w:val="19"/>
                <w:szCs w:val="19"/>
              </w:rPr>
              <w:t>，真石漆罩</w:t>
            </w:r>
            <w:r>
              <w:rPr>
                <w:rFonts w:hint="eastAsia" w:asciiTheme="majorEastAsia" w:hAnsiTheme="majorEastAsia" w:eastAsiaTheme="majorEastAsia" w:cstheme="majorEastAsia"/>
                <w:color w:val="auto"/>
                <w:sz w:val="19"/>
                <w:szCs w:val="19"/>
              </w:rPr>
              <w:t>面</w:t>
            </w:r>
          </w:p>
        </w:tc>
        <w:tc>
          <w:tcPr>
            <w:tcW w:w="589" w:type="dxa"/>
            <w:vAlign w:val="center"/>
          </w:tcPr>
          <w:p w14:paraId="1EE102EB">
            <w:pPr>
              <w:pStyle w:val="91"/>
              <w:spacing w:line="305" w:lineRule="auto"/>
              <w:jc w:val="center"/>
              <w:rPr>
                <w:rFonts w:hint="eastAsia" w:asciiTheme="majorEastAsia" w:hAnsiTheme="majorEastAsia" w:eastAsiaTheme="majorEastAsia" w:cstheme="majorEastAsia"/>
                <w:color w:val="auto"/>
                <w:kern w:val="2"/>
                <w:sz w:val="19"/>
                <w:szCs w:val="19"/>
                <w:lang w:val="en-US" w:eastAsia="zh-CN" w:bidi="ar-SA"/>
              </w:rPr>
            </w:pPr>
          </w:p>
          <w:p w14:paraId="2D89A620">
            <w:pPr>
              <w:pStyle w:val="91"/>
              <w:spacing w:line="305" w:lineRule="auto"/>
              <w:jc w:val="center"/>
              <w:rPr>
                <w:rFonts w:hint="eastAsia" w:asciiTheme="majorEastAsia" w:hAnsiTheme="majorEastAsia" w:eastAsiaTheme="majorEastAsia" w:cstheme="majorEastAsia"/>
                <w:color w:val="auto"/>
                <w:kern w:val="2"/>
                <w:sz w:val="19"/>
                <w:szCs w:val="19"/>
                <w:lang w:val="en-US" w:eastAsia="zh-CN" w:bidi="ar-SA"/>
              </w:rPr>
            </w:pPr>
          </w:p>
          <w:p w14:paraId="179D40FD">
            <w:pPr>
              <w:pStyle w:val="91"/>
              <w:spacing w:line="306" w:lineRule="auto"/>
              <w:jc w:val="center"/>
              <w:rPr>
                <w:rFonts w:hint="eastAsia" w:asciiTheme="majorEastAsia" w:hAnsiTheme="majorEastAsia" w:eastAsiaTheme="majorEastAsia" w:cstheme="majorEastAsia"/>
                <w:color w:val="auto"/>
                <w:kern w:val="2"/>
                <w:sz w:val="19"/>
                <w:szCs w:val="19"/>
                <w:lang w:val="en-US" w:eastAsia="zh-CN" w:bidi="ar-SA"/>
              </w:rPr>
            </w:pPr>
          </w:p>
          <w:p w14:paraId="0B2458A3">
            <w:pPr>
              <w:spacing w:before="82" w:line="179" w:lineRule="exact"/>
              <w:ind w:left="236"/>
              <w:jc w:val="center"/>
              <w:rPr>
                <w:rFonts w:hint="eastAsia" w:asciiTheme="majorEastAsia" w:hAnsiTheme="majorEastAsia" w:eastAsiaTheme="majorEastAsia" w:cstheme="majorEastAsia"/>
                <w:color w:val="auto"/>
                <w:kern w:val="2"/>
                <w:sz w:val="19"/>
                <w:szCs w:val="19"/>
                <w:lang w:val="en-US" w:eastAsia="zh-CN" w:bidi="ar-SA"/>
              </w:rPr>
            </w:pPr>
            <w:r>
              <w:rPr>
                <w:rFonts w:hint="eastAsia" w:asciiTheme="majorEastAsia" w:hAnsiTheme="majorEastAsia" w:eastAsiaTheme="majorEastAsia" w:cstheme="majorEastAsia"/>
                <w:color w:val="auto"/>
                <w:kern w:val="2"/>
                <w:sz w:val="19"/>
                <w:szCs w:val="19"/>
                <w:lang w:val="en-US" w:eastAsia="zh-CN" w:bidi="ar-SA"/>
              </w:rPr>
              <w:t>m</w:t>
            </w:r>
          </w:p>
        </w:tc>
        <w:tc>
          <w:tcPr>
            <w:tcW w:w="971" w:type="dxa"/>
            <w:vAlign w:val="center"/>
          </w:tcPr>
          <w:p w14:paraId="4BABF24C">
            <w:pPr>
              <w:pStyle w:val="91"/>
              <w:spacing w:line="281" w:lineRule="auto"/>
              <w:jc w:val="center"/>
              <w:rPr>
                <w:rFonts w:hint="eastAsia" w:asciiTheme="majorEastAsia" w:hAnsiTheme="majorEastAsia" w:eastAsiaTheme="majorEastAsia" w:cstheme="majorEastAsia"/>
                <w:color w:val="auto"/>
              </w:rPr>
            </w:pPr>
          </w:p>
          <w:p w14:paraId="63E7FC93">
            <w:pPr>
              <w:pStyle w:val="91"/>
              <w:spacing w:line="281" w:lineRule="auto"/>
              <w:jc w:val="center"/>
              <w:rPr>
                <w:rFonts w:hint="eastAsia" w:asciiTheme="majorEastAsia" w:hAnsiTheme="majorEastAsia" w:eastAsiaTheme="majorEastAsia" w:cstheme="majorEastAsia"/>
                <w:color w:val="auto"/>
              </w:rPr>
            </w:pPr>
          </w:p>
          <w:p w14:paraId="6DC55F24">
            <w:pPr>
              <w:pStyle w:val="91"/>
              <w:spacing w:line="282" w:lineRule="auto"/>
              <w:jc w:val="center"/>
              <w:rPr>
                <w:rFonts w:hint="eastAsia" w:asciiTheme="majorEastAsia" w:hAnsiTheme="majorEastAsia" w:eastAsiaTheme="majorEastAsia" w:cstheme="majorEastAsia"/>
                <w:color w:val="auto"/>
              </w:rPr>
            </w:pPr>
          </w:p>
          <w:p w14:paraId="4DC65ED3">
            <w:pPr>
              <w:spacing w:before="82" w:line="206" w:lineRule="auto"/>
              <w:ind w:right="16"/>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133.8</w:t>
            </w:r>
          </w:p>
        </w:tc>
        <w:tc>
          <w:tcPr>
            <w:tcW w:w="1286" w:type="dxa"/>
            <w:vAlign w:val="top"/>
          </w:tcPr>
          <w:p w14:paraId="201CF163">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35841302">
            <w:pPr>
              <w:pStyle w:val="91"/>
              <w:rPr>
                <w:rFonts w:hint="eastAsia" w:asciiTheme="majorEastAsia" w:hAnsiTheme="majorEastAsia" w:eastAsiaTheme="majorEastAsia" w:cstheme="majorEastAsia"/>
                <w:color w:val="auto"/>
              </w:rPr>
            </w:pPr>
          </w:p>
        </w:tc>
      </w:tr>
      <w:tr w14:paraId="2293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33" w:type="dxa"/>
            <w:tcBorders>
              <w:left w:val="single" w:color="000000" w:sz="12" w:space="0"/>
            </w:tcBorders>
            <w:vAlign w:val="center"/>
          </w:tcPr>
          <w:p w14:paraId="522B4628">
            <w:pPr>
              <w:spacing w:before="290" w:line="206" w:lineRule="auto"/>
              <w:ind w:left="311"/>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3</w:t>
            </w:r>
          </w:p>
        </w:tc>
        <w:tc>
          <w:tcPr>
            <w:tcW w:w="1391" w:type="dxa"/>
            <w:vAlign w:val="center"/>
          </w:tcPr>
          <w:p w14:paraId="7C114AE7">
            <w:pPr>
              <w:spacing w:before="290" w:line="206" w:lineRule="auto"/>
              <w:ind w:left="33"/>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10"/>
                <w:sz w:val="19"/>
                <w:szCs w:val="19"/>
              </w:rPr>
              <w:t>01B001</w:t>
            </w:r>
          </w:p>
        </w:tc>
        <w:tc>
          <w:tcPr>
            <w:tcW w:w="1957" w:type="dxa"/>
            <w:vAlign w:val="center"/>
          </w:tcPr>
          <w:p w14:paraId="049ED534">
            <w:pPr>
              <w:spacing w:before="34" w:line="191" w:lineRule="auto"/>
              <w:ind w:left="36" w:right="41" w:firstLine="1"/>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4"/>
                <w:sz w:val="19"/>
                <w:szCs w:val="19"/>
              </w:rPr>
              <w:t>主楼后院及前厅部分地面保护（毡布地面保护</w:t>
            </w:r>
            <w:r>
              <w:rPr>
                <w:rFonts w:hint="eastAsia" w:asciiTheme="majorEastAsia" w:hAnsiTheme="majorEastAsia" w:eastAsiaTheme="majorEastAsia" w:cstheme="majorEastAsia"/>
                <w:color w:val="auto"/>
                <w:spacing w:val="3"/>
                <w:sz w:val="19"/>
                <w:szCs w:val="19"/>
              </w:rPr>
              <w:t>层上铺木工板）</w:t>
            </w:r>
          </w:p>
        </w:tc>
        <w:tc>
          <w:tcPr>
            <w:tcW w:w="1882" w:type="dxa"/>
            <w:vAlign w:val="center"/>
          </w:tcPr>
          <w:p w14:paraId="649B17EB">
            <w:pPr>
              <w:pStyle w:val="91"/>
              <w:spacing w:line="240" w:lineRule="auto"/>
              <w:jc w:val="center"/>
              <w:rPr>
                <w:rFonts w:hint="eastAsia" w:asciiTheme="majorEastAsia" w:hAnsiTheme="majorEastAsia" w:eastAsiaTheme="majorEastAsia" w:cstheme="majorEastAsia"/>
                <w:color w:val="auto"/>
              </w:rPr>
            </w:pPr>
          </w:p>
        </w:tc>
        <w:tc>
          <w:tcPr>
            <w:tcW w:w="589" w:type="dxa"/>
            <w:vAlign w:val="center"/>
          </w:tcPr>
          <w:p w14:paraId="1D3077FF">
            <w:pPr>
              <w:spacing w:before="86" w:line="199" w:lineRule="auto"/>
              <w:ind w:left="100" w:right="71" w:hanging="1"/>
              <w:jc w:val="center"/>
              <w:rPr>
                <w:rFonts w:hint="eastAsia" w:asciiTheme="majorEastAsia" w:hAnsiTheme="majorEastAsia" w:eastAsiaTheme="majorEastAsia" w:cstheme="majorEastAsia"/>
                <w:color w:val="auto"/>
                <w:kern w:val="2"/>
                <w:sz w:val="19"/>
                <w:szCs w:val="19"/>
                <w:lang w:val="en-US" w:eastAsia="zh-CN" w:bidi="ar-SA"/>
              </w:rPr>
            </w:pPr>
            <w:r>
              <w:rPr>
                <w:rFonts w:hint="eastAsia" w:asciiTheme="majorEastAsia" w:hAnsiTheme="majorEastAsia" w:eastAsiaTheme="majorEastAsia" w:cstheme="majorEastAsia"/>
                <w:color w:val="auto"/>
                <w:kern w:val="2"/>
                <w:sz w:val="19"/>
                <w:szCs w:val="19"/>
                <w:lang w:val="en-US" w:eastAsia="zh-CN" w:bidi="ar-SA"/>
              </w:rPr>
              <w:t>m2</w:t>
            </w:r>
          </w:p>
        </w:tc>
        <w:tc>
          <w:tcPr>
            <w:tcW w:w="971" w:type="dxa"/>
            <w:vAlign w:val="center"/>
          </w:tcPr>
          <w:p w14:paraId="574CAB99">
            <w:pPr>
              <w:spacing w:before="290" w:line="206" w:lineRule="auto"/>
              <w:ind w:right="16"/>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1155.3</w:t>
            </w:r>
          </w:p>
        </w:tc>
        <w:tc>
          <w:tcPr>
            <w:tcW w:w="1286" w:type="dxa"/>
            <w:vAlign w:val="top"/>
          </w:tcPr>
          <w:p w14:paraId="1AC4E25A">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387FA4ED">
            <w:pPr>
              <w:pStyle w:val="91"/>
              <w:rPr>
                <w:rFonts w:hint="eastAsia" w:asciiTheme="majorEastAsia" w:hAnsiTheme="majorEastAsia" w:eastAsiaTheme="majorEastAsia" w:cstheme="majorEastAsia"/>
                <w:color w:val="auto"/>
              </w:rPr>
            </w:pPr>
          </w:p>
        </w:tc>
      </w:tr>
      <w:tr w14:paraId="60A7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33" w:type="dxa"/>
            <w:tcBorders>
              <w:left w:val="single" w:color="000000" w:sz="12" w:space="0"/>
            </w:tcBorders>
            <w:vAlign w:val="center"/>
          </w:tcPr>
          <w:p w14:paraId="3AE83937">
            <w:pPr>
              <w:spacing w:before="292" w:line="208" w:lineRule="auto"/>
              <w:ind w:left="306"/>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z w:val="19"/>
                <w:szCs w:val="19"/>
              </w:rPr>
              <w:t>4</w:t>
            </w:r>
          </w:p>
        </w:tc>
        <w:tc>
          <w:tcPr>
            <w:tcW w:w="1391" w:type="dxa"/>
            <w:vAlign w:val="center"/>
          </w:tcPr>
          <w:p w14:paraId="1A0818CE">
            <w:pPr>
              <w:spacing w:before="292" w:line="206" w:lineRule="auto"/>
              <w:ind w:left="33"/>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10"/>
                <w:sz w:val="19"/>
                <w:szCs w:val="19"/>
              </w:rPr>
              <w:t>01B002</w:t>
            </w:r>
          </w:p>
        </w:tc>
        <w:tc>
          <w:tcPr>
            <w:tcW w:w="1957" w:type="dxa"/>
            <w:vAlign w:val="center"/>
          </w:tcPr>
          <w:p w14:paraId="26495E78">
            <w:pPr>
              <w:spacing w:before="292" w:line="189" w:lineRule="auto"/>
              <w:ind w:left="40"/>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2"/>
                <w:sz w:val="19"/>
                <w:szCs w:val="19"/>
              </w:rPr>
              <w:t>外围临时围挡</w:t>
            </w:r>
          </w:p>
        </w:tc>
        <w:tc>
          <w:tcPr>
            <w:tcW w:w="1882" w:type="dxa"/>
            <w:vAlign w:val="center"/>
          </w:tcPr>
          <w:p w14:paraId="539FBEA5">
            <w:pPr>
              <w:spacing w:before="38" w:line="240" w:lineRule="auto"/>
              <w:ind w:left="40" w:right="72" w:firstLine="5"/>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3"/>
                <w:sz w:val="19"/>
                <w:szCs w:val="19"/>
              </w:rPr>
              <w:t>外围临时围挡（彩</w:t>
            </w:r>
            <w:r>
              <w:rPr>
                <w:rFonts w:hint="eastAsia" w:asciiTheme="majorEastAsia" w:hAnsiTheme="majorEastAsia" w:eastAsiaTheme="majorEastAsia" w:cstheme="majorEastAsia"/>
                <w:color w:val="auto"/>
                <w:spacing w:val="8"/>
                <w:sz w:val="19"/>
                <w:szCs w:val="19"/>
              </w:rPr>
              <w:t>钢外架防护高度2.</w:t>
            </w:r>
            <w:r>
              <w:rPr>
                <w:rFonts w:hint="eastAsia" w:asciiTheme="majorEastAsia" w:hAnsiTheme="majorEastAsia" w:eastAsiaTheme="majorEastAsia" w:cstheme="majorEastAsia"/>
                <w:color w:val="auto"/>
                <w:spacing w:val="1"/>
                <w:sz w:val="19"/>
                <w:szCs w:val="19"/>
              </w:rPr>
              <w:t xml:space="preserve"> </w:t>
            </w:r>
            <w:r>
              <w:rPr>
                <w:rFonts w:hint="eastAsia" w:asciiTheme="majorEastAsia" w:hAnsiTheme="majorEastAsia" w:eastAsiaTheme="majorEastAsia" w:cstheme="majorEastAsia"/>
                <w:color w:val="auto"/>
                <w:spacing w:val="-25"/>
                <w:w w:val="96"/>
                <w:sz w:val="19"/>
                <w:szCs w:val="19"/>
              </w:rPr>
              <w:t>0m）</w:t>
            </w:r>
          </w:p>
        </w:tc>
        <w:tc>
          <w:tcPr>
            <w:tcW w:w="589" w:type="dxa"/>
            <w:vAlign w:val="center"/>
          </w:tcPr>
          <w:p w14:paraId="5D76851B">
            <w:pPr>
              <w:spacing w:before="86" w:line="199" w:lineRule="auto"/>
              <w:ind w:left="100" w:right="71" w:hanging="1"/>
              <w:jc w:val="center"/>
              <w:rPr>
                <w:rFonts w:hint="eastAsia" w:asciiTheme="majorEastAsia" w:hAnsiTheme="majorEastAsia" w:eastAsiaTheme="majorEastAsia" w:cstheme="majorEastAsia"/>
                <w:color w:val="auto"/>
                <w:kern w:val="2"/>
                <w:sz w:val="19"/>
                <w:szCs w:val="19"/>
                <w:lang w:val="en-US" w:eastAsia="zh-CN" w:bidi="ar-SA"/>
              </w:rPr>
            </w:pPr>
            <w:r>
              <w:rPr>
                <w:rFonts w:hint="eastAsia" w:asciiTheme="majorEastAsia" w:hAnsiTheme="majorEastAsia" w:eastAsiaTheme="majorEastAsia" w:cstheme="majorEastAsia"/>
                <w:color w:val="auto"/>
                <w:kern w:val="2"/>
                <w:sz w:val="19"/>
                <w:szCs w:val="19"/>
                <w:lang w:val="en-US" w:eastAsia="zh-CN" w:bidi="ar-SA"/>
              </w:rPr>
              <w:t>m2</w:t>
            </w:r>
          </w:p>
        </w:tc>
        <w:tc>
          <w:tcPr>
            <w:tcW w:w="971" w:type="dxa"/>
            <w:vAlign w:val="center"/>
          </w:tcPr>
          <w:p w14:paraId="4A81EC68">
            <w:pPr>
              <w:spacing w:before="292" w:line="206" w:lineRule="auto"/>
              <w:ind w:right="16"/>
              <w:jc w:val="center"/>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4"/>
                <w:sz w:val="19"/>
                <w:szCs w:val="19"/>
              </w:rPr>
              <w:t>212.2</w:t>
            </w:r>
          </w:p>
        </w:tc>
        <w:tc>
          <w:tcPr>
            <w:tcW w:w="1286" w:type="dxa"/>
            <w:vAlign w:val="top"/>
          </w:tcPr>
          <w:p w14:paraId="5D8C3954">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67554E19">
            <w:pPr>
              <w:pStyle w:val="91"/>
              <w:rPr>
                <w:rFonts w:hint="eastAsia" w:asciiTheme="majorEastAsia" w:hAnsiTheme="majorEastAsia" w:eastAsiaTheme="majorEastAsia" w:cstheme="majorEastAsia"/>
                <w:color w:val="auto"/>
              </w:rPr>
            </w:pPr>
          </w:p>
        </w:tc>
      </w:tr>
      <w:tr w14:paraId="6732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170B5B42">
            <w:pPr>
              <w:pStyle w:val="91"/>
              <w:rPr>
                <w:rFonts w:hint="eastAsia" w:asciiTheme="majorEastAsia" w:hAnsiTheme="majorEastAsia" w:eastAsiaTheme="majorEastAsia" w:cstheme="majorEastAsia"/>
                <w:color w:val="auto"/>
              </w:rPr>
            </w:pPr>
          </w:p>
        </w:tc>
        <w:tc>
          <w:tcPr>
            <w:tcW w:w="1391" w:type="dxa"/>
            <w:vAlign w:val="top"/>
          </w:tcPr>
          <w:p w14:paraId="207129F7">
            <w:pPr>
              <w:pStyle w:val="91"/>
              <w:rPr>
                <w:rFonts w:hint="eastAsia" w:asciiTheme="majorEastAsia" w:hAnsiTheme="majorEastAsia" w:eastAsiaTheme="majorEastAsia" w:cstheme="majorEastAsia"/>
                <w:color w:val="auto"/>
              </w:rPr>
            </w:pPr>
          </w:p>
        </w:tc>
        <w:tc>
          <w:tcPr>
            <w:tcW w:w="1957" w:type="dxa"/>
            <w:vAlign w:val="top"/>
          </w:tcPr>
          <w:p w14:paraId="784560F4">
            <w:pPr>
              <w:pStyle w:val="91"/>
              <w:rPr>
                <w:rFonts w:hint="eastAsia" w:asciiTheme="majorEastAsia" w:hAnsiTheme="majorEastAsia" w:eastAsiaTheme="majorEastAsia" w:cstheme="majorEastAsia"/>
                <w:color w:val="auto"/>
              </w:rPr>
            </w:pPr>
          </w:p>
        </w:tc>
        <w:tc>
          <w:tcPr>
            <w:tcW w:w="1882" w:type="dxa"/>
            <w:vAlign w:val="top"/>
          </w:tcPr>
          <w:p w14:paraId="6362B522">
            <w:pPr>
              <w:pStyle w:val="91"/>
              <w:rPr>
                <w:rFonts w:hint="eastAsia" w:asciiTheme="majorEastAsia" w:hAnsiTheme="majorEastAsia" w:eastAsiaTheme="majorEastAsia" w:cstheme="majorEastAsia"/>
                <w:color w:val="auto"/>
              </w:rPr>
            </w:pPr>
          </w:p>
        </w:tc>
        <w:tc>
          <w:tcPr>
            <w:tcW w:w="589" w:type="dxa"/>
            <w:vAlign w:val="top"/>
          </w:tcPr>
          <w:p w14:paraId="32D1C867">
            <w:pPr>
              <w:pStyle w:val="91"/>
              <w:rPr>
                <w:rFonts w:hint="eastAsia" w:asciiTheme="majorEastAsia" w:hAnsiTheme="majorEastAsia" w:eastAsiaTheme="majorEastAsia" w:cstheme="majorEastAsia"/>
                <w:color w:val="auto"/>
              </w:rPr>
            </w:pPr>
          </w:p>
        </w:tc>
        <w:tc>
          <w:tcPr>
            <w:tcW w:w="971" w:type="dxa"/>
            <w:vAlign w:val="top"/>
          </w:tcPr>
          <w:p w14:paraId="1A8F589A">
            <w:pPr>
              <w:pStyle w:val="91"/>
              <w:rPr>
                <w:rFonts w:hint="eastAsia" w:asciiTheme="majorEastAsia" w:hAnsiTheme="majorEastAsia" w:eastAsiaTheme="majorEastAsia" w:cstheme="majorEastAsia"/>
                <w:color w:val="auto"/>
              </w:rPr>
            </w:pPr>
          </w:p>
        </w:tc>
        <w:tc>
          <w:tcPr>
            <w:tcW w:w="1286" w:type="dxa"/>
            <w:vAlign w:val="top"/>
          </w:tcPr>
          <w:p w14:paraId="62DD3A1F">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2583A521">
            <w:pPr>
              <w:pStyle w:val="91"/>
              <w:rPr>
                <w:rFonts w:hint="eastAsia" w:asciiTheme="majorEastAsia" w:hAnsiTheme="majorEastAsia" w:eastAsiaTheme="majorEastAsia" w:cstheme="majorEastAsia"/>
                <w:color w:val="auto"/>
              </w:rPr>
            </w:pPr>
          </w:p>
        </w:tc>
      </w:tr>
      <w:tr w14:paraId="6F546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6616D35E">
            <w:pPr>
              <w:pStyle w:val="91"/>
              <w:rPr>
                <w:rFonts w:hint="eastAsia" w:asciiTheme="majorEastAsia" w:hAnsiTheme="majorEastAsia" w:eastAsiaTheme="majorEastAsia" w:cstheme="majorEastAsia"/>
                <w:color w:val="auto"/>
              </w:rPr>
            </w:pPr>
          </w:p>
        </w:tc>
        <w:tc>
          <w:tcPr>
            <w:tcW w:w="1391" w:type="dxa"/>
            <w:vAlign w:val="top"/>
          </w:tcPr>
          <w:p w14:paraId="41F908E0">
            <w:pPr>
              <w:pStyle w:val="91"/>
              <w:rPr>
                <w:rFonts w:hint="eastAsia" w:asciiTheme="majorEastAsia" w:hAnsiTheme="majorEastAsia" w:eastAsiaTheme="majorEastAsia" w:cstheme="majorEastAsia"/>
                <w:color w:val="auto"/>
              </w:rPr>
            </w:pPr>
          </w:p>
        </w:tc>
        <w:tc>
          <w:tcPr>
            <w:tcW w:w="1957" w:type="dxa"/>
            <w:vAlign w:val="top"/>
          </w:tcPr>
          <w:p w14:paraId="374FA703">
            <w:pPr>
              <w:pStyle w:val="91"/>
              <w:rPr>
                <w:rFonts w:hint="eastAsia" w:asciiTheme="majorEastAsia" w:hAnsiTheme="majorEastAsia" w:eastAsiaTheme="majorEastAsia" w:cstheme="majorEastAsia"/>
                <w:color w:val="auto"/>
              </w:rPr>
            </w:pPr>
          </w:p>
        </w:tc>
        <w:tc>
          <w:tcPr>
            <w:tcW w:w="1882" w:type="dxa"/>
            <w:vAlign w:val="top"/>
          </w:tcPr>
          <w:p w14:paraId="3F4BF938">
            <w:pPr>
              <w:pStyle w:val="91"/>
              <w:rPr>
                <w:rFonts w:hint="eastAsia" w:asciiTheme="majorEastAsia" w:hAnsiTheme="majorEastAsia" w:eastAsiaTheme="majorEastAsia" w:cstheme="majorEastAsia"/>
                <w:color w:val="auto"/>
              </w:rPr>
            </w:pPr>
          </w:p>
        </w:tc>
        <w:tc>
          <w:tcPr>
            <w:tcW w:w="589" w:type="dxa"/>
            <w:vAlign w:val="top"/>
          </w:tcPr>
          <w:p w14:paraId="2E4C826F">
            <w:pPr>
              <w:pStyle w:val="91"/>
              <w:rPr>
                <w:rFonts w:hint="eastAsia" w:asciiTheme="majorEastAsia" w:hAnsiTheme="majorEastAsia" w:eastAsiaTheme="majorEastAsia" w:cstheme="majorEastAsia"/>
                <w:color w:val="auto"/>
              </w:rPr>
            </w:pPr>
          </w:p>
        </w:tc>
        <w:tc>
          <w:tcPr>
            <w:tcW w:w="971" w:type="dxa"/>
            <w:vAlign w:val="top"/>
          </w:tcPr>
          <w:p w14:paraId="2ADBDE2F">
            <w:pPr>
              <w:pStyle w:val="91"/>
              <w:rPr>
                <w:rFonts w:hint="eastAsia" w:asciiTheme="majorEastAsia" w:hAnsiTheme="majorEastAsia" w:eastAsiaTheme="majorEastAsia" w:cstheme="majorEastAsia"/>
                <w:color w:val="auto"/>
              </w:rPr>
            </w:pPr>
          </w:p>
        </w:tc>
        <w:tc>
          <w:tcPr>
            <w:tcW w:w="1286" w:type="dxa"/>
            <w:vAlign w:val="top"/>
          </w:tcPr>
          <w:p w14:paraId="291CF7B7">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26BE2FE5">
            <w:pPr>
              <w:pStyle w:val="91"/>
              <w:rPr>
                <w:rFonts w:hint="eastAsia" w:asciiTheme="majorEastAsia" w:hAnsiTheme="majorEastAsia" w:eastAsiaTheme="majorEastAsia" w:cstheme="majorEastAsia"/>
                <w:color w:val="auto"/>
              </w:rPr>
            </w:pPr>
          </w:p>
        </w:tc>
      </w:tr>
      <w:tr w14:paraId="3B32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64AC9866">
            <w:pPr>
              <w:pStyle w:val="91"/>
              <w:rPr>
                <w:rFonts w:hint="eastAsia" w:asciiTheme="majorEastAsia" w:hAnsiTheme="majorEastAsia" w:eastAsiaTheme="majorEastAsia" w:cstheme="majorEastAsia"/>
                <w:color w:val="auto"/>
              </w:rPr>
            </w:pPr>
          </w:p>
        </w:tc>
        <w:tc>
          <w:tcPr>
            <w:tcW w:w="1391" w:type="dxa"/>
            <w:vAlign w:val="top"/>
          </w:tcPr>
          <w:p w14:paraId="6BD1588B">
            <w:pPr>
              <w:pStyle w:val="91"/>
              <w:rPr>
                <w:rFonts w:hint="eastAsia" w:asciiTheme="majorEastAsia" w:hAnsiTheme="majorEastAsia" w:eastAsiaTheme="majorEastAsia" w:cstheme="majorEastAsia"/>
                <w:color w:val="auto"/>
              </w:rPr>
            </w:pPr>
          </w:p>
        </w:tc>
        <w:tc>
          <w:tcPr>
            <w:tcW w:w="1957" w:type="dxa"/>
            <w:vAlign w:val="top"/>
          </w:tcPr>
          <w:p w14:paraId="0645F11F">
            <w:pPr>
              <w:pStyle w:val="91"/>
              <w:rPr>
                <w:rFonts w:hint="eastAsia" w:asciiTheme="majorEastAsia" w:hAnsiTheme="majorEastAsia" w:eastAsiaTheme="majorEastAsia" w:cstheme="majorEastAsia"/>
                <w:color w:val="auto"/>
              </w:rPr>
            </w:pPr>
          </w:p>
        </w:tc>
        <w:tc>
          <w:tcPr>
            <w:tcW w:w="1882" w:type="dxa"/>
            <w:vAlign w:val="top"/>
          </w:tcPr>
          <w:p w14:paraId="393D138D">
            <w:pPr>
              <w:pStyle w:val="91"/>
              <w:rPr>
                <w:rFonts w:hint="eastAsia" w:asciiTheme="majorEastAsia" w:hAnsiTheme="majorEastAsia" w:eastAsiaTheme="majorEastAsia" w:cstheme="majorEastAsia"/>
                <w:color w:val="auto"/>
              </w:rPr>
            </w:pPr>
          </w:p>
        </w:tc>
        <w:tc>
          <w:tcPr>
            <w:tcW w:w="589" w:type="dxa"/>
            <w:vAlign w:val="top"/>
          </w:tcPr>
          <w:p w14:paraId="40F8871F">
            <w:pPr>
              <w:pStyle w:val="91"/>
              <w:rPr>
                <w:rFonts w:hint="eastAsia" w:asciiTheme="majorEastAsia" w:hAnsiTheme="majorEastAsia" w:eastAsiaTheme="majorEastAsia" w:cstheme="majorEastAsia"/>
                <w:color w:val="auto"/>
              </w:rPr>
            </w:pPr>
          </w:p>
        </w:tc>
        <w:tc>
          <w:tcPr>
            <w:tcW w:w="971" w:type="dxa"/>
            <w:vAlign w:val="top"/>
          </w:tcPr>
          <w:p w14:paraId="78003C77">
            <w:pPr>
              <w:pStyle w:val="91"/>
              <w:rPr>
                <w:rFonts w:hint="eastAsia" w:asciiTheme="majorEastAsia" w:hAnsiTheme="majorEastAsia" w:eastAsiaTheme="majorEastAsia" w:cstheme="majorEastAsia"/>
                <w:color w:val="auto"/>
              </w:rPr>
            </w:pPr>
          </w:p>
        </w:tc>
        <w:tc>
          <w:tcPr>
            <w:tcW w:w="1286" w:type="dxa"/>
            <w:vAlign w:val="top"/>
          </w:tcPr>
          <w:p w14:paraId="3AB3ADFC">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57BC6082">
            <w:pPr>
              <w:pStyle w:val="91"/>
              <w:rPr>
                <w:rFonts w:hint="eastAsia" w:asciiTheme="majorEastAsia" w:hAnsiTheme="majorEastAsia" w:eastAsiaTheme="majorEastAsia" w:cstheme="majorEastAsia"/>
                <w:color w:val="auto"/>
              </w:rPr>
            </w:pPr>
          </w:p>
        </w:tc>
      </w:tr>
      <w:tr w14:paraId="1CCD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51404942">
            <w:pPr>
              <w:pStyle w:val="91"/>
              <w:rPr>
                <w:rFonts w:hint="eastAsia" w:asciiTheme="majorEastAsia" w:hAnsiTheme="majorEastAsia" w:eastAsiaTheme="majorEastAsia" w:cstheme="majorEastAsia"/>
                <w:color w:val="auto"/>
              </w:rPr>
            </w:pPr>
          </w:p>
        </w:tc>
        <w:tc>
          <w:tcPr>
            <w:tcW w:w="1391" w:type="dxa"/>
            <w:vAlign w:val="top"/>
          </w:tcPr>
          <w:p w14:paraId="66F7D190">
            <w:pPr>
              <w:pStyle w:val="91"/>
              <w:rPr>
                <w:rFonts w:hint="eastAsia" w:asciiTheme="majorEastAsia" w:hAnsiTheme="majorEastAsia" w:eastAsiaTheme="majorEastAsia" w:cstheme="majorEastAsia"/>
                <w:color w:val="auto"/>
              </w:rPr>
            </w:pPr>
          </w:p>
        </w:tc>
        <w:tc>
          <w:tcPr>
            <w:tcW w:w="1957" w:type="dxa"/>
            <w:vAlign w:val="top"/>
          </w:tcPr>
          <w:p w14:paraId="29C746A3">
            <w:pPr>
              <w:pStyle w:val="91"/>
              <w:rPr>
                <w:rFonts w:hint="eastAsia" w:asciiTheme="majorEastAsia" w:hAnsiTheme="majorEastAsia" w:eastAsiaTheme="majorEastAsia" w:cstheme="majorEastAsia"/>
                <w:color w:val="auto"/>
              </w:rPr>
            </w:pPr>
          </w:p>
        </w:tc>
        <w:tc>
          <w:tcPr>
            <w:tcW w:w="1882" w:type="dxa"/>
            <w:vAlign w:val="top"/>
          </w:tcPr>
          <w:p w14:paraId="0A46F51A">
            <w:pPr>
              <w:pStyle w:val="91"/>
              <w:rPr>
                <w:rFonts w:hint="eastAsia" w:asciiTheme="majorEastAsia" w:hAnsiTheme="majorEastAsia" w:eastAsiaTheme="majorEastAsia" w:cstheme="majorEastAsia"/>
                <w:color w:val="auto"/>
              </w:rPr>
            </w:pPr>
          </w:p>
        </w:tc>
        <w:tc>
          <w:tcPr>
            <w:tcW w:w="589" w:type="dxa"/>
            <w:vAlign w:val="top"/>
          </w:tcPr>
          <w:p w14:paraId="7A5D6C3D">
            <w:pPr>
              <w:pStyle w:val="91"/>
              <w:rPr>
                <w:rFonts w:hint="eastAsia" w:asciiTheme="majorEastAsia" w:hAnsiTheme="majorEastAsia" w:eastAsiaTheme="majorEastAsia" w:cstheme="majorEastAsia"/>
                <w:color w:val="auto"/>
              </w:rPr>
            </w:pPr>
          </w:p>
        </w:tc>
        <w:tc>
          <w:tcPr>
            <w:tcW w:w="971" w:type="dxa"/>
            <w:vAlign w:val="top"/>
          </w:tcPr>
          <w:p w14:paraId="3B26EBA9">
            <w:pPr>
              <w:pStyle w:val="91"/>
              <w:rPr>
                <w:rFonts w:hint="eastAsia" w:asciiTheme="majorEastAsia" w:hAnsiTheme="majorEastAsia" w:eastAsiaTheme="majorEastAsia" w:cstheme="majorEastAsia"/>
                <w:color w:val="auto"/>
              </w:rPr>
            </w:pPr>
          </w:p>
        </w:tc>
        <w:tc>
          <w:tcPr>
            <w:tcW w:w="1286" w:type="dxa"/>
            <w:vAlign w:val="top"/>
          </w:tcPr>
          <w:p w14:paraId="1E5E3F3B">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6A69B1F5">
            <w:pPr>
              <w:pStyle w:val="91"/>
              <w:rPr>
                <w:rFonts w:hint="eastAsia" w:asciiTheme="majorEastAsia" w:hAnsiTheme="majorEastAsia" w:eastAsiaTheme="majorEastAsia" w:cstheme="majorEastAsia"/>
                <w:color w:val="auto"/>
              </w:rPr>
            </w:pPr>
          </w:p>
        </w:tc>
      </w:tr>
      <w:tr w14:paraId="72D1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3E840AD1">
            <w:pPr>
              <w:pStyle w:val="91"/>
              <w:rPr>
                <w:rFonts w:hint="eastAsia" w:asciiTheme="majorEastAsia" w:hAnsiTheme="majorEastAsia" w:eastAsiaTheme="majorEastAsia" w:cstheme="majorEastAsia"/>
                <w:color w:val="auto"/>
              </w:rPr>
            </w:pPr>
          </w:p>
        </w:tc>
        <w:tc>
          <w:tcPr>
            <w:tcW w:w="1391" w:type="dxa"/>
            <w:vAlign w:val="top"/>
          </w:tcPr>
          <w:p w14:paraId="7E921C15">
            <w:pPr>
              <w:pStyle w:val="91"/>
              <w:rPr>
                <w:rFonts w:hint="eastAsia" w:asciiTheme="majorEastAsia" w:hAnsiTheme="majorEastAsia" w:eastAsiaTheme="majorEastAsia" w:cstheme="majorEastAsia"/>
                <w:color w:val="auto"/>
              </w:rPr>
            </w:pPr>
          </w:p>
        </w:tc>
        <w:tc>
          <w:tcPr>
            <w:tcW w:w="1957" w:type="dxa"/>
            <w:vAlign w:val="top"/>
          </w:tcPr>
          <w:p w14:paraId="0DCFAE82">
            <w:pPr>
              <w:pStyle w:val="91"/>
              <w:rPr>
                <w:rFonts w:hint="eastAsia" w:asciiTheme="majorEastAsia" w:hAnsiTheme="majorEastAsia" w:eastAsiaTheme="majorEastAsia" w:cstheme="majorEastAsia"/>
                <w:color w:val="auto"/>
              </w:rPr>
            </w:pPr>
          </w:p>
        </w:tc>
        <w:tc>
          <w:tcPr>
            <w:tcW w:w="1882" w:type="dxa"/>
            <w:vAlign w:val="top"/>
          </w:tcPr>
          <w:p w14:paraId="5138CEC6">
            <w:pPr>
              <w:pStyle w:val="91"/>
              <w:rPr>
                <w:rFonts w:hint="eastAsia" w:asciiTheme="majorEastAsia" w:hAnsiTheme="majorEastAsia" w:eastAsiaTheme="majorEastAsia" w:cstheme="majorEastAsia"/>
                <w:color w:val="auto"/>
              </w:rPr>
            </w:pPr>
          </w:p>
        </w:tc>
        <w:tc>
          <w:tcPr>
            <w:tcW w:w="589" w:type="dxa"/>
            <w:vAlign w:val="top"/>
          </w:tcPr>
          <w:p w14:paraId="028E1834">
            <w:pPr>
              <w:pStyle w:val="91"/>
              <w:rPr>
                <w:rFonts w:hint="eastAsia" w:asciiTheme="majorEastAsia" w:hAnsiTheme="majorEastAsia" w:eastAsiaTheme="majorEastAsia" w:cstheme="majorEastAsia"/>
                <w:color w:val="auto"/>
              </w:rPr>
            </w:pPr>
          </w:p>
        </w:tc>
        <w:tc>
          <w:tcPr>
            <w:tcW w:w="971" w:type="dxa"/>
            <w:vAlign w:val="top"/>
          </w:tcPr>
          <w:p w14:paraId="19FA731F">
            <w:pPr>
              <w:pStyle w:val="91"/>
              <w:rPr>
                <w:rFonts w:hint="eastAsia" w:asciiTheme="majorEastAsia" w:hAnsiTheme="majorEastAsia" w:eastAsiaTheme="majorEastAsia" w:cstheme="majorEastAsia"/>
                <w:color w:val="auto"/>
              </w:rPr>
            </w:pPr>
          </w:p>
        </w:tc>
        <w:tc>
          <w:tcPr>
            <w:tcW w:w="1286" w:type="dxa"/>
            <w:vAlign w:val="top"/>
          </w:tcPr>
          <w:p w14:paraId="388EA1F2">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27528FC7">
            <w:pPr>
              <w:pStyle w:val="91"/>
              <w:rPr>
                <w:rFonts w:hint="eastAsia" w:asciiTheme="majorEastAsia" w:hAnsiTheme="majorEastAsia" w:eastAsiaTheme="majorEastAsia" w:cstheme="majorEastAsia"/>
                <w:color w:val="auto"/>
              </w:rPr>
            </w:pPr>
          </w:p>
        </w:tc>
      </w:tr>
      <w:tr w14:paraId="5E480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63AFEBFD">
            <w:pPr>
              <w:pStyle w:val="91"/>
              <w:rPr>
                <w:rFonts w:hint="eastAsia" w:asciiTheme="majorEastAsia" w:hAnsiTheme="majorEastAsia" w:eastAsiaTheme="majorEastAsia" w:cstheme="majorEastAsia"/>
                <w:color w:val="auto"/>
              </w:rPr>
            </w:pPr>
          </w:p>
        </w:tc>
        <w:tc>
          <w:tcPr>
            <w:tcW w:w="1391" w:type="dxa"/>
            <w:vAlign w:val="top"/>
          </w:tcPr>
          <w:p w14:paraId="7F2FD5CC">
            <w:pPr>
              <w:pStyle w:val="91"/>
              <w:rPr>
                <w:rFonts w:hint="eastAsia" w:asciiTheme="majorEastAsia" w:hAnsiTheme="majorEastAsia" w:eastAsiaTheme="majorEastAsia" w:cstheme="majorEastAsia"/>
                <w:color w:val="auto"/>
              </w:rPr>
            </w:pPr>
          </w:p>
        </w:tc>
        <w:tc>
          <w:tcPr>
            <w:tcW w:w="1957" w:type="dxa"/>
            <w:vAlign w:val="top"/>
          </w:tcPr>
          <w:p w14:paraId="4642B226">
            <w:pPr>
              <w:pStyle w:val="91"/>
              <w:rPr>
                <w:rFonts w:hint="eastAsia" w:asciiTheme="majorEastAsia" w:hAnsiTheme="majorEastAsia" w:eastAsiaTheme="majorEastAsia" w:cstheme="majorEastAsia"/>
                <w:color w:val="auto"/>
              </w:rPr>
            </w:pPr>
          </w:p>
        </w:tc>
        <w:tc>
          <w:tcPr>
            <w:tcW w:w="1882" w:type="dxa"/>
            <w:vAlign w:val="top"/>
          </w:tcPr>
          <w:p w14:paraId="2AC74DC3">
            <w:pPr>
              <w:pStyle w:val="91"/>
              <w:rPr>
                <w:rFonts w:hint="eastAsia" w:asciiTheme="majorEastAsia" w:hAnsiTheme="majorEastAsia" w:eastAsiaTheme="majorEastAsia" w:cstheme="majorEastAsia"/>
                <w:color w:val="auto"/>
              </w:rPr>
            </w:pPr>
          </w:p>
        </w:tc>
        <w:tc>
          <w:tcPr>
            <w:tcW w:w="589" w:type="dxa"/>
            <w:vAlign w:val="top"/>
          </w:tcPr>
          <w:p w14:paraId="0859F2DC">
            <w:pPr>
              <w:pStyle w:val="91"/>
              <w:rPr>
                <w:rFonts w:hint="eastAsia" w:asciiTheme="majorEastAsia" w:hAnsiTheme="majorEastAsia" w:eastAsiaTheme="majorEastAsia" w:cstheme="majorEastAsia"/>
                <w:color w:val="auto"/>
              </w:rPr>
            </w:pPr>
          </w:p>
        </w:tc>
        <w:tc>
          <w:tcPr>
            <w:tcW w:w="971" w:type="dxa"/>
            <w:vAlign w:val="top"/>
          </w:tcPr>
          <w:p w14:paraId="57CE8944">
            <w:pPr>
              <w:pStyle w:val="91"/>
              <w:rPr>
                <w:rFonts w:hint="eastAsia" w:asciiTheme="majorEastAsia" w:hAnsiTheme="majorEastAsia" w:eastAsiaTheme="majorEastAsia" w:cstheme="majorEastAsia"/>
                <w:color w:val="auto"/>
              </w:rPr>
            </w:pPr>
          </w:p>
        </w:tc>
        <w:tc>
          <w:tcPr>
            <w:tcW w:w="1286" w:type="dxa"/>
            <w:vAlign w:val="top"/>
          </w:tcPr>
          <w:p w14:paraId="706B9DCE">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2C6D8E54">
            <w:pPr>
              <w:pStyle w:val="91"/>
              <w:rPr>
                <w:rFonts w:hint="eastAsia" w:asciiTheme="majorEastAsia" w:hAnsiTheme="majorEastAsia" w:eastAsiaTheme="majorEastAsia" w:cstheme="majorEastAsia"/>
                <w:color w:val="auto"/>
              </w:rPr>
            </w:pPr>
          </w:p>
        </w:tc>
      </w:tr>
      <w:tr w14:paraId="2D2A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22C58AC2">
            <w:pPr>
              <w:pStyle w:val="91"/>
              <w:rPr>
                <w:rFonts w:hint="eastAsia" w:asciiTheme="majorEastAsia" w:hAnsiTheme="majorEastAsia" w:eastAsiaTheme="majorEastAsia" w:cstheme="majorEastAsia"/>
                <w:color w:val="auto"/>
              </w:rPr>
            </w:pPr>
          </w:p>
        </w:tc>
        <w:tc>
          <w:tcPr>
            <w:tcW w:w="1391" w:type="dxa"/>
            <w:vAlign w:val="top"/>
          </w:tcPr>
          <w:p w14:paraId="0563C14B">
            <w:pPr>
              <w:pStyle w:val="91"/>
              <w:rPr>
                <w:rFonts w:hint="eastAsia" w:asciiTheme="majorEastAsia" w:hAnsiTheme="majorEastAsia" w:eastAsiaTheme="majorEastAsia" w:cstheme="majorEastAsia"/>
                <w:color w:val="auto"/>
              </w:rPr>
            </w:pPr>
          </w:p>
        </w:tc>
        <w:tc>
          <w:tcPr>
            <w:tcW w:w="1957" w:type="dxa"/>
            <w:vAlign w:val="top"/>
          </w:tcPr>
          <w:p w14:paraId="44A4AA85">
            <w:pPr>
              <w:pStyle w:val="91"/>
              <w:rPr>
                <w:rFonts w:hint="eastAsia" w:asciiTheme="majorEastAsia" w:hAnsiTheme="majorEastAsia" w:eastAsiaTheme="majorEastAsia" w:cstheme="majorEastAsia"/>
                <w:color w:val="auto"/>
              </w:rPr>
            </w:pPr>
          </w:p>
        </w:tc>
        <w:tc>
          <w:tcPr>
            <w:tcW w:w="1882" w:type="dxa"/>
            <w:vAlign w:val="top"/>
          </w:tcPr>
          <w:p w14:paraId="402A119B">
            <w:pPr>
              <w:pStyle w:val="91"/>
              <w:rPr>
                <w:rFonts w:hint="eastAsia" w:asciiTheme="majorEastAsia" w:hAnsiTheme="majorEastAsia" w:eastAsiaTheme="majorEastAsia" w:cstheme="majorEastAsia"/>
                <w:color w:val="auto"/>
              </w:rPr>
            </w:pPr>
          </w:p>
        </w:tc>
        <w:tc>
          <w:tcPr>
            <w:tcW w:w="589" w:type="dxa"/>
            <w:vAlign w:val="top"/>
          </w:tcPr>
          <w:p w14:paraId="652B3CEF">
            <w:pPr>
              <w:pStyle w:val="91"/>
              <w:rPr>
                <w:rFonts w:hint="eastAsia" w:asciiTheme="majorEastAsia" w:hAnsiTheme="majorEastAsia" w:eastAsiaTheme="majorEastAsia" w:cstheme="majorEastAsia"/>
                <w:color w:val="auto"/>
              </w:rPr>
            </w:pPr>
          </w:p>
        </w:tc>
        <w:tc>
          <w:tcPr>
            <w:tcW w:w="971" w:type="dxa"/>
            <w:vAlign w:val="top"/>
          </w:tcPr>
          <w:p w14:paraId="3940B6AA">
            <w:pPr>
              <w:pStyle w:val="91"/>
              <w:rPr>
                <w:rFonts w:hint="eastAsia" w:asciiTheme="majorEastAsia" w:hAnsiTheme="majorEastAsia" w:eastAsiaTheme="majorEastAsia" w:cstheme="majorEastAsia"/>
                <w:color w:val="auto"/>
              </w:rPr>
            </w:pPr>
          </w:p>
        </w:tc>
        <w:tc>
          <w:tcPr>
            <w:tcW w:w="1286" w:type="dxa"/>
            <w:vAlign w:val="top"/>
          </w:tcPr>
          <w:p w14:paraId="1F266FE0">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39520FFA">
            <w:pPr>
              <w:pStyle w:val="91"/>
              <w:rPr>
                <w:rFonts w:hint="eastAsia" w:asciiTheme="majorEastAsia" w:hAnsiTheme="majorEastAsia" w:eastAsiaTheme="majorEastAsia" w:cstheme="majorEastAsia"/>
                <w:color w:val="auto"/>
              </w:rPr>
            </w:pPr>
          </w:p>
        </w:tc>
      </w:tr>
      <w:tr w14:paraId="2F1C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540958C2">
            <w:pPr>
              <w:pStyle w:val="91"/>
              <w:rPr>
                <w:rFonts w:hint="eastAsia" w:asciiTheme="majorEastAsia" w:hAnsiTheme="majorEastAsia" w:eastAsiaTheme="majorEastAsia" w:cstheme="majorEastAsia"/>
                <w:color w:val="auto"/>
              </w:rPr>
            </w:pPr>
          </w:p>
        </w:tc>
        <w:tc>
          <w:tcPr>
            <w:tcW w:w="1391" w:type="dxa"/>
            <w:vAlign w:val="top"/>
          </w:tcPr>
          <w:p w14:paraId="1ACC6095">
            <w:pPr>
              <w:pStyle w:val="91"/>
              <w:rPr>
                <w:rFonts w:hint="eastAsia" w:asciiTheme="majorEastAsia" w:hAnsiTheme="majorEastAsia" w:eastAsiaTheme="majorEastAsia" w:cstheme="majorEastAsia"/>
                <w:color w:val="auto"/>
              </w:rPr>
            </w:pPr>
          </w:p>
        </w:tc>
        <w:tc>
          <w:tcPr>
            <w:tcW w:w="1957" w:type="dxa"/>
            <w:vAlign w:val="top"/>
          </w:tcPr>
          <w:p w14:paraId="63D5BED4">
            <w:pPr>
              <w:pStyle w:val="91"/>
              <w:rPr>
                <w:rFonts w:hint="eastAsia" w:asciiTheme="majorEastAsia" w:hAnsiTheme="majorEastAsia" w:eastAsiaTheme="majorEastAsia" w:cstheme="majorEastAsia"/>
                <w:color w:val="auto"/>
              </w:rPr>
            </w:pPr>
          </w:p>
        </w:tc>
        <w:tc>
          <w:tcPr>
            <w:tcW w:w="1882" w:type="dxa"/>
            <w:vAlign w:val="top"/>
          </w:tcPr>
          <w:p w14:paraId="3598F095">
            <w:pPr>
              <w:pStyle w:val="91"/>
              <w:rPr>
                <w:rFonts w:hint="eastAsia" w:asciiTheme="majorEastAsia" w:hAnsiTheme="majorEastAsia" w:eastAsiaTheme="majorEastAsia" w:cstheme="majorEastAsia"/>
                <w:color w:val="auto"/>
              </w:rPr>
            </w:pPr>
          </w:p>
        </w:tc>
        <w:tc>
          <w:tcPr>
            <w:tcW w:w="589" w:type="dxa"/>
            <w:vAlign w:val="top"/>
          </w:tcPr>
          <w:p w14:paraId="6B119A9B">
            <w:pPr>
              <w:pStyle w:val="91"/>
              <w:rPr>
                <w:rFonts w:hint="eastAsia" w:asciiTheme="majorEastAsia" w:hAnsiTheme="majorEastAsia" w:eastAsiaTheme="majorEastAsia" w:cstheme="majorEastAsia"/>
                <w:color w:val="auto"/>
              </w:rPr>
            </w:pPr>
          </w:p>
        </w:tc>
        <w:tc>
          <w:tcPr>
            <w:tcW w:w="971" w:type="dxa"/>
            <w:vAlign w:val="top"/>
          </w:tcPr>
          <w:p w14:paraId="5A1F6FEE">
            <w:pPr>
              <w:pStyle w:val="91"/>
              <w:rPr>
                <w:rFonts w:hint="eastAsia" w:asciiTheme="majorEastAsia" w:hAnsiTheme="majorEastAsia" w:eastAsiaTheme="majorEastAsia" w:cstheme="majorEastAsia"/>
                <w:color w:val="auto"/>
              </w:rPr>
            </w:pPr>
          </w:p>
        </w:tc>
        <w:tc>
          <w:tcPr>
            <w:tcW w:w="1286" w:type="dxa"/>
            <w:vAlign w:val="top"/>
          </w:tcPr>
          <w:p w14:paraId="25A54561">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1CC063DC">
            <w:pPr>
              <w:pStyle w:val="91"/>
              <w:rPr>
                <w:rFonts w:hint="eastAsia" w:asciiTheme="majorEastAsia" w:hAnsiTheme="majorEastAsia" w:eastAsiaTheme="majorEastAsia" w:cstheme="majorEastAsia"/>
                <w:color w:val="auto"/>
              </w:rPr>
            </w:pPr>
          </w:p>
        </w:tc>
      </w:tr>
      <w:tr w14:paraId="61E0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27EAF662">
            <w:pPr>
              <w:pStyle w:val="91"/>
              <w:rPr>
                <w:rFonts w:hint="eastAsia" w:asciiTheme="majorEastAsia" w:hAnsiTheme="majorEastAsia" w:eastAsiaTheme="majorEastAsia" w:cstheme="majorEastAsia"/>
                <w:color w:val="auto"/>
              </w:rPr>
            </w:pPr>
          </w:p>
        </w:tc>
        <w:tc>
          <w:tcPr>
            <w:tcW w:w="1391" w:type="dxa"/>
            <w:vAlign w:val="top"/>
          </w:tcPr>
          <w:p w14:paraId="568D5120">
            <w:pPr>
              <w:pStyle w:val="91"/>
              <w:rPr>
                <w:rFonts w:hint="eastAsia" w:asciiTheme="majorEastAsia" w:hAnsiTheme="majorEastAsia" w:eastAsiaTheme="majorEastAsia" w:cstheme="majorEastAsia"/>
                <w:color w:val="auto"/>
              </w:rPr>
            </w:pPr>
          </w:p>
        </w:tc>
        <w:tc>
          <w:tcPr>
            <w:tcW w:w="1957" w:type="dxa"/>
            <w:vAlign w:val="top"/>
          </w:tcPr>
          <w:p w14:paraId="63A25B01">
            <w:pPr>
              <w:pStyle w:val="91"/>
              <w:rPr>
                <w:rFonts w:hint="eastAsia" w:asciiTheme="majorEastAsia" w:hAnsiTheme="majorEastAsia" w:eastAsiaTheme="majorEastAsia" w:cstheme="majorEastAsia"/>
                <w:color w:val="auto"/>
              </w:rPr>
            </w:pPr>
          </w:p>
        </w:tc>
        <w:tc>
          <w:tcPr>
            <w:tcW w:w="1882" w:type="dxa"/>
            <w:vAlign w:val="top"/>
          </w:tcPr>
          <w:p w14:paraId="0936887E">
            <w:pPr>
              <w:pStyle w:val="91"/>
              <w:rPr>
                <w:rFonts w:hint="eastAsia" w:asciiTheme="majorEastAsia" w:hAnsiTheme="majorEastAsia" w:eastAsiaTheme="majorEastAsia" w:cstheme="majorEastAsia"/>
                <w:color w:val="auto"/>
              </w:rPr>
            </w:pPr>
          </w:p>
        </w:tc>
        <w:tc>
          <w:tcPr>
            <w:tcW w:w="589" w:type="dxa"/>
            <w:vAlign w:val="top"/>
          </w:tcPr>
          <w:p w14:paraId="42A71718">
            <w:pPr>
              <w:pStyle w:val="91"/>
              <w:rPr>
                <w:rFonts w:hint="eastAsia" w:asciiTheme="majorEastAsia" w:hAnsiTheme="majorEastAsia" w:eastAsiaTheme="majorEastAsia" w:cstheme="majorEastAsia"/>
                <w:color w:val="auto"/>
              </w:rPr>
            </w:pPr>
          </w:p>
        </w:tc>
        <w:tc>
          <w:tcPr>
            <w:tcW w:w="971" w:type="dxa"/>
            <w:vAlign w:val="top"/>
          </w:tcPr>
          <w:p w14:paraId="10B551E2">
            <w:pPr>
              <w:pStyle w:val="91"/>
              <w:rPr>
                <w:rFonts w:hint="eastAsia" w:asciiTheme="majorEastAsia" w:hAnsiTheme="majorEastAsia" w:eastAsiaTheme="majorEastAsia" w:cstheme="majorEastAsia"/>
                <w:color w:val="auto"/>
              </w:rPr>
            </w:pPr>
          </w:p>
        </w:tc>
        <w:tc>
          <w:tcPr>
            <w:tcW w:w="1286" w:type="dxa"/>
            <w:vAlign w:val="top"/>
          </w:tcPr>
          <w:p w14:paraId="299BCF07">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26215B17">
            <w:pPr>
              <w:pStyle w:val="91"/>
              <w:rPr>
                <w:rFonts w:hint="eastAsia" w:asciiTheme="majorEastAsia" w:hAnsiTheme="majorEastAsia" w:eastAsiaTheme="majorEastAsia" w:cstheme="majorEastAsia"/>
                <w:color w:val="auto"/>
              </w:rPr>
            </w:pPr>
          </w:p>
        </w:tc>
      </w:tr>
      <w:tr w14:paraId="335C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736C9531">
            <w:pPr>
              <w:pStyle w:val="91"/>
              <w:rPr>
                <w:rFonts w:hint="eastAsia" w:asciiTheme="majorEastAsia" w:hAnsiTheme="majorEastAsia" w:eastAsiaTheme="majorEastAsia" w:cstheme="majorEastAsia"/>
                <w:color w:val="auto"/>
              </w:rPr>
            </w:pPr>
          </w:p>
        </w:tc>
        <w:tc>
          <w:tcPr>
            <w:tcW w:w="1391" w:type="dxa"/>
            <w:vAlign w:val="top"/>
          </w:tcPr>
          <w:p w14:paraId="54E8FE9C">
            <w:pPr>
              <w:pStyle w:val="91"/>
              <w:rPr>
                <w:rFonts w:hint="eastAsia" w:asciiTheme="majorEastAsia" w:hAnsiTheme="majorEastAsia" w:eastAsiaTheme="majorEastAsia" w:cstheme="majorEastAsia"/>
                <w:color w:val="auto"/>
              </w:rPr>
            </w:pPr>
          </w:p>
        </w:tc>
        <w:tc>
          <w:tcPr>
            <w:tcW w:w="1957" w:type="dxa"/>
            <w:vAlign w:val="top"/>
          </w:tcPr>
          <w:p w14:paraId="0237149B">
            <w:pPr>
              <w:pStyle w:val="91"/>
              <w:rPr>
                <w:rFonts w:hint="eastAsia" w:asciiTheme="majorEastAsia" w:hAnsiTheme="majorEastAsia" w:eastAsiaTheme="majorEastAsia" w:cstheme="majorEastAsia"/>
                <w:color w:val="auto"/>
              </w:rPr>
            </w:pPr>
          </w:p>
        </w:tc>
        <w:tc>
          <w:tcPr>
            <w:tcW w:w="1882" w:type="dxa"/>
            <w:vAlign w:val="top"/>
          </w:tcPr>
          <w:p w14:paraId="284D711B">
            <w:pPr>
              <w:pStyle w:val="91"/>
              <w:rPr>
                <w:rFonts w:hint="eastAsia" w:asciiTheme="majorEastAsia" w:hAnsiTheme="majorEastAsia" w:eastAsiaTheme="majorEastAsia" w:cstheme="majorEastAsia"/>
                <w:color w:val="auto"/>
              </w:rPr>
            </w:pPr>
          </w:p>
        </w:tc>
        <w:tc>
          <w:tcPr>
            <w:tcW w:w="589" w:type="dxa"/>
            <w:vAlign w:val="top"/>
          </w:tcPr>
          <w:p w14:paraId="1CA97D18">
            <w:pPr>
              <w:pStyle w:val="91"/>
              <w:rPr>
                <w:rFonts w:hint="eastAsia" w:asciiTheme="majorEastAsia" w:hAnsiTheme="majorEastAsia" w:eastAsiaTheme="majorEastAsia" w:cstheme="majorEastAsia"/>
                <w:color w:val="auto"/>
              </w:rPr>
            </w:pPr>
          </w:p>
        </w:tc>
        <w:tc>
          <w:tcPr>
            <w:tcW w:w="971" w:type="dxa"/>
            <w:vAlign w:val="top"/>
          </w:tcPr>
          <w:p w14:paraId="114B49DD">
            <w:pPr>
              <w:pStyle w:val="91"/>
              <w:rPr>
                <w:rFonts w:hint="eastAsia" w:asciiTheme="majorEastAsia" w:hAnsiTheme="majorEastAsia" w:eastAsiaTheme="majorEastAsia" w:cstheme="majorEastAsia"/>
                <w:color w:val="auto"/>
              </w:rPr>
            </w:pPr>
          </w:p>
        </w:tc>
        <w:tc>
          <w:tcPr>
            <w:tcW w:w="1286" w:type="dxa"/>
            <w:vAlign w:val="top"/>
          </w:tcPr>
          <w:p w14:paraId="0DF7136A">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6C7C98B6">
            <w:pPr>
              <w:pStyle w:val="91"/>
              <w:rPr>
                <w:rFonts w:hint="eastAsia" w:asciiTheme="majorEastAsia" w:hAnsiTheme="majorEastAsia" w:eastAsiaTheme="majorEastAsia" w:cstheme="majorEastAsia"/>
                <w:color w:val="auto"/>
              </w:rPr>
            </w:pPr>
          </w:p>
        </w:tc>
      </w:tr>
      <w:tr w14:paraId="45BF2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331FD766">
            <w:pPr>
              <w:pStyle w:val="91"/>
              <w:rPr>
                <w:rFonts w:hint="eastAsia" w:asciiTheme="majorEastAsia" w:hAnsiTheme="majorEastAsia" w:eastAsiaTheme="majorEastAsia" w:cstheme="majorEastAsia"/>
                <w:color w:val="auto"/>
              </w:rPr>
            </w:pPr>
          </w:p>
        </w:tc>
        <w:tc>
          <w:tcPr>
            <w:tcW w:w="1391" w:type="dxa"/>
            <w:vAlign w:val="top"/>
          </w:tcPr>
          <w:p w14:paraId="33232F49">
            <w:pPr>
              <w:pStyle w:val="91"/>
              <w:rPr>
                <w:rFonts w:hint="eastAsia" w:asciiTheme="majorEastAsia" w:hAnsiTheme="majorEastAsia" w:eastAsiaTheme="majorEastAsia" w:cstheme="majorEastAsia"/>
                <w:color w:val="auto"/>
              </w:rPr>
            </w:pPr>
          </w:p>
        </w:tc>
        <w:tc>
          <w:tcPr>
            <w:tcW w:w="1957" w:type="dxa"/>
            <w:vAlign w:val="top"/>
          </w:tcPr>
          <w:p w14:paraId="34AC433D">
            <w:pPr>
              <w:pStyle w:val="91"/>
              <w:rPr>
                <w:rFonts w:hint="eastAsia" w:asciiTheme="majorEastAsia" w:hAnsiTheme="majorEastAsia" w:eastAsiaTheme="majorEastAsia" w:cstheme="majorEastAsia"/>
                <w:color w:val="auto"/>
              </w:rPr>
            </w:pPr>
          </w:p>
        </w:tc>
        <w:tc>
          <w:tcPr>
            <w:tcW w:w="1882" w:type="dxa"/>
            <w:vAlign w:val="top"/>
          </w:tcPr>
          <w:p w14:paraId="659C06AB">
            <w:pPr>
              <w:pStyle w:val="91"/>
              <w:rPr>
                <w:rFonts w:hint="eastAsia" w:asciiTheme="majorEastAsia" w:hAnsiTheme="majorEastAsia" w:eastAsiaTheme="majorEastAsia" w:cstheme="majorEastAsia"/>
                <w:color w:val="auto"/>
              </w:rPr>
            </w:pPr>
          </w:p>
        </w:tc>
        <w:tc>
          <w:tcPr>
            <w:tcW w:w="589" w:type="dxa"/>
            <w:vAlign w:val="top"/>
          </w:tcPr>
          <w:p w14:paraId="17F7D327">
            <w:pPr>
              <w:pStyle w:val="91"/>
              <w:rPr>
                <w:rFonts w:hint="eastAsia" w:asciiTheme="majorEastAsia" w:hAnsiTheme="majorEastAsia" w:eastAsiaTheme="majorEastAsia" w:cstheme="majorEastAsia"/>
                <w:color w:val="auto"/>
              </w:rPr>
            </w:pPr>
          </w:p>
        </w:tc>
        <w:tc>
          <w:tcPr>
            <w:tcW w:w="971" w:type="dxa"/>
            <w:vAlign w:val="top"/>
          </w:tcPr>
          <w:p w14:paraId="03BEF643">
            <w:pPr>
              <w:pStyle w:val="91"/>
              <w:rPr>
                <w:rFonts w:hint="eastAsia" w:asciiTheme="majorEastAsia" w:hAnsiTheme="majorEastAsia" w:eastAsiaTheme="majorEastAsia" w:cstheme="majorEastAsia"/>
                <w:color w:val="auto"/>
              </w:rPr>
            </w:pPr>
          </w:p>
        </w:tc>
        <w:tc>
          <w:tcPr>
            <w:tcW w:w="1286" w:type="dxa"/>
            <w:vAlign w:val="top"/>
          </w:tcPr>
          <w:p w14:paraId="5B69823B">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4EE8CA0B">
            <w:pPr>
              <w:pStyle w:val="91"/>
              <w:rPr>
                <w:rFonts w:hint="eastAsia" w:asciiTheme="majorEastAsia" w:hAnsiTheme="majorEastAsia" w:eastAsiaTheme="majorEastAsia" w:cstheme="majorEastAsia"/>
                <w:color w:val="auto"/>
              </w:rPr>
            </w:pPr>
          </w:p>
        </w:tc>
      </w:tr>
      <w:tr w14:paraId="1327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1E8A6A52">
            <w:pPr>
              <w:pStyle w:val="91"/>
              <w:rPr>
                <w:rFonts w:hint="eastAsia" w:asciiTheme="majorEastAsia" w:hAnsiTheme="majorEastAsia" w:eastAsiaTheme="majorEastAsia" w:cstheme="majorEastAsia"/>
                <w:color w:val="auto"/>
              </w:rPr>
            </w:pPr>
          </w:p>
        </w:tc>
        <w:tc>
          <w:tcPr>
            <w:tcW w:w="1391" w:type="dxa"/>
            <w:vAlign w:val="top"/>
          </w:tcPr>
          <w:p w14:paraId="2C94874A">
            <w:pPr>
              <w:pStyle w:val="91"/>
              <w:rPr>
                <w:rFonts w:hint="eastAsia" w:asciiTheme="majorEastAsia" w:hAnsiTheme="majorEastAsia" w:eastAsiaTheme="majorEastAsia" w:cstheme="majorEastAsia"/>
                <w:color w:val="auto"/>
              </w:rPr>
            </w:pPr>
          </w:p>
        </w:tc>
        <w:tc>
          <w:tcPr>
            <w:tcW w:w="1957" w:type="dxa"/>
            <w:vAlign w:val="top"/>
          </w:tcPr>
          <w:p w14:paraId="3DCBA12D">
            <w:pPr>
              <w:pStyle w:val="91"/>
              <w:rPr>
                <w:rFonts w:hint="eastAsia" w:asciiTheme="majorEastAsia" w:hAnsiTheme="majorEastAsia" w:eastAsiaTheme="majorEastAsia" w:cstheme="majorEastAsia"/>
                <w:color w:val="auto"/>
              </w:rPr>
            </w:pPr>
          </w:p>
        </w:tc>
        <w:tc>
          <w:tcPr>
            <w:tcW w:w="1882" w:type="dxa"/>
            <w:vAlign w:val="top"/>
          </w:tcPr>
          <w:p w14:paraId="1E92B0FB">
            <w:pPr>
              <w:pStyle w:val="91"/>
              <w:rPr>
                <w:rFonts w:hint="eastAsia" w:asciiTheme="majorEastAsia" w:hAnsiTheme="majorEastAsia" w:eastAsiaTheme="majorEastAsia" w:cstheme="majorEastAsia"/>
                <w:color w:val="auto"/>
              </w:rPr>
            </w:pPr>
          </w:p>
        </w:tc>
        <w:tc>
          <w:tcPr>
            <w:tcW w:w="589" w:type="dxa"/>
            <w:vAlign w:val="top"/>
          </w:tcPr>
          <w:p w14:paraId="3E450DE4">
            <w:pPr>
              <w:pStyle w:val="91"/>
              <w:rPr>
                <w:rFonts w:hint="eastAsia" w:asciiTheme="majorEastAsia" w:hAnsiTheme="majorEastAsia" w:eastAsiaTheme="majorEastAsia" w:cstheme="majorEastAsia"/>
                <w:color w:val="auto"/>
              </w:rPr>
            </w:pPr>
          </w:p>
        </w:tc>
        <w:tc>
          <w:tcPr>
            <w:tcW w:w="971" w:type="dxa"/>
            <w:vAlign w:val="top"/>
          </w:tcPr>
          <w:p w14:paraId="39B12FA4">
            <w:pPr>
              <w:pStyle w:val="91"/>
              <w:rPr>
                <w:rFonts w:hint="eastAsia" w:asciiTheme="majorEastAsia" w:hAnsiTheme="majorEastAsia" w:eastAsiaTheme="majorEastAsia" w:cstheme="majorEastAsia"/>
                <w:color w:val="auto"/>
              </w:rPr>
            </w:pPr>
          </w:p>
        </w:tc>
        <w:tc>
          <w:tcPr>
            <w:tcW w:w="1286" w:type="dxa"/>
            <w:vAlign w:val="top"/>
          </w:tcPr>
          <w:p w14:paraId="0149F68D">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0956997A">
            <w:pPr>
              <w:pStyle w:val="91"/>
              <w:rPr>
                <w:rFonts w:hint="eastAsia" w:asciiTheme="majorEastAsia" w:hAnsiTheme="majorEastAsia" w:eastAsiaTheme="majorEastAsia" w:cstheme="majorEastAsia"/>
                <w:color w:val="auto"/>
              </w:rPr>
            </w:pPr>
          </w:p>
        </w:tc>
      </w:tr>
      <w:tr w14:paraId="4B62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7FB03F15">
            <w:pPr>
              <w:pStyle w:val="91"/>
              <w:rPr>
                <w:rFonts w:hint="eastAsia" w:asciiTheme="majorEastAsia" w:hAnsiTheme="majorEastAsia" w:eastAsiaTheme="majorEastAsia" w:cstheme="majorEastAsia"/>
                <w:color w:val="auto"/>
              </w:rPr>
            </w:pPr>
          </w:p>
        </w:tc>
        <w:tc>
          <w:tcPr>
            <w:tcW w:w="1391" w:type="dxa"/>
            <w:vAlign w:val="top"/>
          </w:tcPr>
          <w:p w14:paraId="51ACC844">
            <w:pPr>
              <w:pStyle w:val="91"/>
              <w:rPr>
                <w:rFonts w:hint="eastAsia" w:asciiTheme="majorEastAsia" w:hAnsiTheme="majorEastAsia" w:eastAsiaTheme="majorEastAsia" w:cstheme="majorEastAsia"/>
                <w:color w:val="auto"/>
              </w:rPr>
            </w:pPr>
          </w:p>
        </w:tc>
        <w:tc>
          <w:tcPr>
            <w:tcW w:w="1957" w:type="dxa"/>
            <w:vAlign w:val="top"/>
          </w:tcPr>
          <w:p w14:paraId="3C33BD1E">
            <w:pPr>
              <w:pStyle w:val="91"/>
              <w:rPr>
                <w:rFonts w:hint="eastAsia" w:asciiTheme="majorEastAsia" w:hAnsiTheme="majorEastAsia" w:eastAsiaTheme="majorEastAsia" w:cstheme="majorEastAsia"/>
                <w:color w:val="auto"/>
              </w:rPr>
            </w:pPr>
          </w:p>
        </w:tc>
        <w:tc>
          <w:tcPr>
            <w:tcW w:w="1882" w:type="dxa"/>
            <w:vAlign w:val="top"/>
          </w:tcPr>
          <w:p w14:paraId="0B63EC1A">
            <w:pPr>
              <w:pStyle w:val="91"/>
              <w:rPr>
                <w:rFonts w:hint="eastAsia" w:asciiTheme="majorEastAsia" w:hAnsiTheme="majorEastAsia" w:eastAsiaTheme="majorEastAsia" w:cstheme="majorEastAsia"/>
                <w:color w:val="auto"/>
              </w:rPr>
            </w:pPr>
          </w:p>
        </w:tc>
        <w:tc>
          <w:tcPr>
            <w:tcW w:w="589" w:type="dxa"/>
            <w:vAlign w:val="top"/>
          </w:tcPr>
          <w:p w14:paraId="4437E9B0">
            <w:pPr>
              <w:pStyle w:val="91"/>
              <w:rPr>
                <w:rFonts w:hint="eastAsia" w:asciiTheme="majorEastAsia" w:hAnsiTheme="majorEastAsia" w:eastAsiaTheme="majorEastAsia" w:cstheme="majorEastAsia"/>
                <w:color w:val="auto"/>
              </w:rPr>
            </w:pPr>
          </w:p>
        </w:tc>
        <w:tc>
          <w:tcPr>
            <w:tcW w:w="971" w:type="dxa"/>
            <w:vAlign w:val="top"/>
          </w:tcPr>
          <w:p w14:paraId="3B5897EF">
            <w:pPr>
              <w:pStyle w:val="91"/>
              <w:rPr>
                <w:rFonts w:hint="eastAsia" w:asciiTheme="majorEastAsia" w:hAnsiTheme="majorEastAsia" w:eastAsiaTheme="majorEastAsia" w:cstheme="majorEastAsia"/>
                <w:color w:val="auto"/>
              </w:rPr>
            </w:pPr>
          </w:p>
        </w:tc>
        <w:tc>
          <w:tcPr>
            <w:tcW w:w="1286" w:type="dxa"/>
            <w:vAlign w:val="top"/>
          </w:tcPr>
          <w:p w14:paraId="6CED58F9">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4B9040F3">
            <w:pPr>
              <w:pStyle w:val="91"/>
              <w:rPr>
                <w:rFonts w:hint="eastAsia" w:asciiTheme="majorEastAsia" w:hAnsiTheme="majorEastAsia" w:eastAsiaTheme="majorEastAsia" w:cstheme="majorEastAsia"/>
                <w:color w:val="auto"/>
              </w:rPr>
            </w:pPr>
          </w:p>
        </w:tc>
      </w:tr>
      <w:tr w14:paraId="088CE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7F6A1465">
            <w:pPr>
              <w:pStyle w:val="91"/>
              <w:rPr>
                <w:rFonts w:hint="eastAsia" w:asciiTheme="majorEastAsia" w:hAnsiTheme="majorEastAsia" w:eastAsiaTheme="majorEastAsia" w:cstheme="majorEastAsia"/>
                <w:color w:val="auto"/>
              </w:rPr>
            </w:pPr>
          </w:p>
        </w:tc>
        <w:tc>
          <w:tcPr>
            <w:tcW w:w="1391" w:type="dxa"/>
            <w:vAlign w:val="top"/>
          </w:tcPr>
          <w:p w14:paraId="455213E3">
            <w:pPr>
              <w:pStyle w:val="91"/>
              <w:rPr>
                <w:rFonts w:hint="eastAsia" w:asciiTheme="majorEastAsia" w:hAnsiTheme="majorEastAsia" w:eastAsiaTheme="majorEastAsia" w:cstheme="majorEastAsia"/>
                <w:color w:val="auto"/>
              </w:rPr>
            </w:pPr>
          </w:p>
        </w:tc>
        <w:tc>
          <w:tcPr>
            <w:tcW w:w="1957" w:type="dxa"/>
            <w:vAlign w:val="top"/>
          </w:tcPr>
          <w:p w14:paraId="28C84069">
            <w:pPr>
              <w:pStyle w:val="91"/>
              <w:rPr>
                <w:rFonts w:hint="eastAsia" w:asciiTheme="majorEastAsia" w:hAnsiTheme="majorEastAsia" w:eastAsiaTheme="majorEastAsia" w:cstheme="majorEastAsia"/>
                <w:color w:val="auto"/>
              </w:rPr>
            </w:pPr>
          </w:p>
        </w:tc>
        <w:tc>
          <w:tcPr>
            <w:tcW w:w="1882" w:type="dxa"/>
            <w:vAlign w:val="top"/>
          </w:tcPr>
          <w:p w14:paraId="44232561">
            <w:pPr>
              <w:pStyle w:val="91"/>
              <w:rPr>
                <w:rFonts w:hint="eastAsia" w:asciiTheme="majorEastAsia" w:hAnsiTheme="majorEastAsia" w:eastAsiaTheme="majorEastAsia" w:cstheme="majorEastAsia"/>
                <w:color w:val="auto"/>
              </w:rPr>
            </w:pPr>
          </w:p>
        </w:tc>
        <w:tc>
          <w:tcPr>
            <w:tcW w:w="589" w:type="dxa"/>
            <w:vAlign w:val="top"/>
          </w:tcPr>
          <w:p w14:paraId="00125D2A">
            <w:pPr>
              <w:pStyle w:val="91"/>
              <w:rPr>
                <w:rFonts w:hint="eastAsia" w:asciiTheme="majorEastAsia" w:hAnsiTheme="majorEastAsia" w:eastAsiaTheme="majorEastAsia" w:cstheme="majorEastAsia"/>
                <w:color w:val="auto"/>
              </w:rPr>
            </w:pPr>
          </w:p>
        </w:tc>
        <w:tc>
          <w:tcPr>
            <w:tcW w:w="971" w:type="dxa"/>
            <w:vAlign w:val="top"/>
          </w:tcPr>
          <w:p w14:paraId="7FA1D5A1">
            <w:pPr>
              <w:pStyle w:val="91"/>
              <w:rPr>
                <w:rFonts w:hint="eastAsia" w:asciiTheme="majorEastAsia" w:hAnsiTheme="majorEastAsia" w:eastAsiaTheme="majorEastAsia" w:cstheme="majorEastAsia"/>
                <w:color w:val="auto"/>
              </w:rPr>
            </w:pPr>
          </w:p>
        </w:tc>
        <w:tc>
          <w:tcPr>
            <w:tcW w:w="1286" w:type="dxa"/>
            <w:vAlign w:val="top"/>
          </w:tcPr>
          <w:p w14:paraId="04ECEC3C">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01178CCA">
            <w:pPr>
              <w:pStyle w:val="91"/>
              <w:rPr>
                <w:rFonts w:hint="eastAsia" w:asciiTheme="majorEastAsia" w:hAnsiTheme="majorEastAsia" w:eastAsiaTheme="majorEastAsia" w:cstheme="majorEastAsia"/>
                <w:color w:val="auto"/>
              </w:rPr>
            </w:pPr>
          </w:p>
        </w:tc>
      </w:tr>
      <w:tr w14:paraId="12858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45608A46">
            <w:pPr>
              <w:pStyle w:val="91"/>
              <w:rPr>
                <w:rFonts w:hint="eastAsia" w:asciiTheme="majorEastAsia" w:hAnsiTheme="majorEastAsia" w:eastAsiaTheme="majorEastAsia" w:cstheme="majorEastAsia"/>
                <w:color w:val="auto"/>
              </w:rPr>
            </w:pPr>
          </w:p>
        </w:tc>
        <w:tc>
          <w:tcPr>
            <w:tcW w:w="1391" w:type="dxa"/>
            <w:vAlign w:val="top"/>
          </w:tcPr>
          <w:p w14:paraId="24FFC12F">
            <w:pPr>
              <w:pStyle w:val="91"/>
              <w:rPr>
                <w:rFonts w:hint="eastAsia" w:asciiTheme="majorEastAsia" w:hAnsiTheme="majorEastAsia" w:eastAsiaTheme="majorEastAsia" w:cstheme="majorEastAsia"/>
                <w:color w:val="auto"/>
              </w:rPr>
            </w:pPr>
          </w:p>
        </w:tc>
        <w:tc>
          <w:tcPr>
            <w:tcW w:w="1957" w:type="dxa"/>
            <w:vAlign w:val="top"/>
          </w:tcPr>
          <w:p w14:paraId="1E4BFF62">
            <w:pPr>
              <w:pStyle w:val="91"/>
              <w:rPr>
                <w:rFonts w:hint="eastAsia" w:asciiTheme="majorEastAsia" w:hAnsiTheme="majorEastAsia" w:eastAsiaTheme="majorEastAsia" w:cstheme="majorEastAsia"/>
                <w:color w:val="auto"/>
              </w:rPr>
            </w:pPr>
          </w:p>
        </w:tc>
        <w:tc>
          <w:tcPr>
            <w:tcW w:w="1882" w:type="dxa"/>
            <w:vAlign w:val="top"/>
          </w:tcPr>
          <w:p w14:paraId="15308861">
            <w:pPr>
              <w:pStyle w:val="91"/>
              <w:rPr>
                <w:rFonts w:hint="eastAsia" w:asciiTheme="majorEastAsia" w:hAnsiTheme="majorEastAsia" w:eastAsiaTheme="majorEastAsia" w:cstheme="majorEastAsia"/>
                <w:color w:val="auto"/>
              </w:rPr>
            </w:pPr>
          </w:p>
        </w:tc>
        <w:tc>
          <w:tcPr>
            <w:tcW w:w="589" w:type="dxa"/>
            <w:vAlign w:val="top"/>
          </w:tcPr>
          <w:p w14:paraId="7B7A5C2A">
            <w:pPr>
              <w:pStyle w:val="91"/>
              <w:rPr>
                <w:rFonts w:hint="eastAsia" w:asciiTheme="majorEastAsia" w:hAnsiTheme="majorEastAsia" w:eastAsiaTheme="majorEastAsia" w:cstheme="majorEastAsia"/>
                <w:color w:val="auto"/>
              </w:rPr>
            </w:pPr>
          </w:p>
        </w:tc>
        <w:tc>
          <w:tcPr>
            <w:tcW w:w="971" w:type="dxa"/>
            <w:vAlign w:val="top"/>
          </w:tcPr>
          <w:p w14:paraId="7E0FF78E">
            <w:pPr>
              <w:pStyle w:val="91"/>
              <w:rPr>
                <w:rFonts w:hint="eastAsia" w:asciiTheme="majorEastAsia" w:hAnsiTheme="majorEastAsia" w:eastAsiaTheme="majorEastAsia" w:cstheme="majorEastAsia"/>
                <w:color w:val="auto"/>
              </w:rPr>
            </w:pPr>
          </w:p>
        </w:tc>
        <w:tc>
          <w:tcPr>
            <w:tcW w:w="1286" w:type="dxa"/>
            <w:vAlign w:val="top"/>
          </w:tcPr>
          <w:p w14:paraId="04A749CF">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4D2A3C94">
            <w:pPr>
              <w:pStyle w:val="91"/>
              <w:rPr>
                <w:rFonts w:hint="eastAsia" w:asciiTheme="majorEastAsia" w:hAnsiTheme="majorEastAsia" w:eastAsiaTheme="majorEastAsia" w:cstheme="majorEastAsia"/>
                <w:color w:val="auto"/>
              </w:rPr>
            </w:pPr>
          </w:p>
        </w:tc>
      </w:tr>
      <w:tr w14:paraId="33DE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33" w:type="dxa"/>
            <w:tcBorders>
              <w:left w:val="single" w:color="000000" w:sz="12" w:space="0"/>
            </w:tcBorders>
            <w:vAlign w:val="top"/>
          </w:tcPr>
          <w:p w14:paraId="641C36AA">
            <w:pPr>
              <w:pStyle w:val="91"/>
              <w:rPr>
                <w:rFonts w:hint="eastAsia" w:asciiTheme="majorEastAsia" w:hAnsiTheme="majorEastAsia" w:eastAsiaTheme="majorEastAsia" w:cstheme="majorEastAsia"/>
                <w:color w:val="auto"/>
              </w:rPr>
            </w:pPr>
          </w:p>
        </w:tc>
        <w:tc>
          <w:tcPr>
            <w:tcW w:w="1391" w:type="dxa"/>
            <w:vAlign w:val="top"/>
          </w:tcPr>
          <w:p w14:paraId="0685B708">
            <w:pPr>
              <w:pStyle w:val="91"/>
              <w:rPr>
                <w:rFonts w:hint="eastAsia" w:asciiTheme="majorEastAsia" w:hAnsiTheme="majorEastAsia" w:eastAsiaTheme="majorEastAsia" w:cstheme="majorEastAsia"/>
                <w:color w:val="auto"/>
              </w:rPr>
            </w:pPr>
          </w:p>
        </w:tc>
        <w:tc>
          <w:tcPr>
            <w:tcW w:w="1957" w:type="dxa"/>
            <w:vAlign w:val="top"/>
          </w:tcPr>
          <w:p w14:paraId="0134B14A">
            <w:pPr>
              <w:pStyle w:val="91"/>
              <w:rPr>
                <w:rFonts w:hint="eastAsia" w:asciiTheme="majorEastAsia" w:hAnsiTheme="majorEastAsia" w:eastAsiaTheme="majorEastAsia" w:cstheme="majorEastAsia"/>
                <w:color w:val="auto"/>
              </w:rPr>
            </w:pPr>
          </w:p>
        </w:tc>
        <w:tc>
          <w:tcPr>
            <w:tcW w:w="1882" w:type="dxa"/>
            <w:vAlign w:val="top"/>
          </w:tcPr>
          <w:p w14:paraId="28FB6431">
            <w:pPr>
              <w:pStyle w:val="91"/>
              <w:rPr>
                <w:rFonts w:hint="eastAsia" w:asciiTheme="majorEastAsia" w:hAnsiTheme="majorEastAsia" w:eastAsiaTheme="majorEastAsia" w:cstheme="majorEastAsia"/>
                <w:color w:val="auto"/>
              </w:rPr>
            </w:pPr>
          </w:p>
        </w:tc>
        <w:tc>
          <w:tcPr>
            <w:tcW w:w="589" w:type="dxa"/>
            <w:vAlign w:val="top"/>
          </w:tcPr>
          <w:p w14:paraId="0A44BFC4">
            <w:pPr>
              <w:pStyle w:val="91"/>
              <w:rPr>
                <w:rFonts w:hint="eastAsia" w:asciiTheme="majorEastAsia" w:hAnsiTheme="majorEastAsia" w:eastAsiaTheme="majorEastAsia" w:cstheme="majorEastAsia"/>
                <w:color w:val="auto"/>
              </w:rPr>
            </w:pPr>
          </w:p>
        </w:tc>
        <w:tc>
          <w:tcPr>
            <w:tcW w:w="971" w:type="dxa"/>
            <w:vAlign w:val="top"/>
          </w:tcPr>
          <w:p w14:paraId="7FF2CF91">
            <w:pPr>
              <w:pStyle w:val="91"/>
              <w:rPr>
                <w:rFonts w:hint="eastAsia" w:asciiTheme="majorEastAsia" w:hAnsiTheme="majorEastAsia" w:eastAsiaTheme="majorEastAsia" w:cstheme="majorEastAsia"/>
                <w:color w:val="auto"/>
              </w:rPr>
            </w:pPr>
          </w:p>
        </w:tc>
        <w:tc>
          <w:tcPr>
            <w:tcW w:w="1286" w:type="dxa"/>
            <w:vAlign w:val="top"/>
          </w:tcPr>
          <w:p w14:paraId="30F6D1BD">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5C091478">
            <w:pPr>
              <w:pStyle w:val="91"/>
              <w:rPr>
                <w:rFonts w:hint="eastAsia" w:asciiTheme="majorEastAsia" w:hAnsiTheme="majorEastAsia" w:eastAsiaTheme="majorEastAsia" w:cstheme="majorEastAsia"/>
                <w:color w:val="auto"/>
              </w:rPr>
            </w:pPr>
          </w:p>
        </w:tc>
      </w:tr>
      <w:tr w14:paraId="05D4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33" w:type="dxa"/>
            <w:tcBorders>
              <w:left w:val="single" w:color="000000" w:sz="12" w:space="0"/>
            </w:tcBorders>
            <w:vAlign w:val="top"/>
          </w:tcPr>
          <w:p w14:paraId="3DDB168C">
            <w:pPr>
              <w:pStyle w:val="91"/>
              <w:rPr>
                <w:rFonts w:hint="eastAsia" w:asciiTheme="majorEastAsia" w:hAnsiTheme="majorEastAsia" w:eastAsiaTheme="majorEastAsia" w:cstheme="majorEastAsia"/>
                <w:color w:val="auto"/>
              </w:rPr>
            </w:pPr>
          </w:p>
        </w:tc>
        <w:tc>
          <w:tcPr>
            <w:tcW w:w="1391" w:type="dxa"/>
            <w:vAlign w:val="top"/>
          </w:tcPr>
          <w:p w14:paraId="333E1D78">
            <w:pPr>
              <w:pStyle w:val="91"/>
              <w:rPr>
                <w:rFonts w:hint="eastAsia" w:asciiTheme="majorEastAsia" w:hAnsiTheme="majorEastAsia" w:eastAsiaTheme="majorEastAsia" w:cstheme="majorEastAsia"/>
                <w:color w:val="auto"/>
              </w:rPr>
            </w:pPr>
          </w:p>
        </w:tc>
        <w:tc>
          <w:tcPr>
            <w:tcW w:w="1957" w:type="dxa"/>
            <w:vAlign w:val="top"/>
          </w:tcPr>
          <w:p w14:paraId="290BB17D">
            <w:pPr>
              <w:pStyle w:val="91"/>
              <w:rPr>
                <w:rFonts w:hint="eastAsia" w:asciiTheme="majorEastAsia" w:hAnsiTheme="majorEastAsia" w:eastAsiaTheme="majorEastAsia" w:cstheme="majorEastAsia"/>
                <w:color w:val="auto"/>
              </w:rPr>
            </w:pPr>
          </w:p>
        </w:tc>
        <w:tc>
          <w:tcPr>
            <w:tcW w:w="1882" w:type="dxa"/>
            <w:vAlign w:val="top"/>
          </w:tcPr>
          <w:p w14:paraId="26A2FE53">
            <w:pPr>
              <w:pStyle w:val="91"/>
              <w:rPr>
                <w:rFonts w:hint="eastAsia" w:asciiTheme="majorEastAsia" w:hAnsiTheme="majorEastAsia" w:eastAsiaTheme="majorEastAsia" w:cstheme="majorEastAsia"/>
                <w:color w:val="auto"/>
              </w:rPr>
            </w:pPr>
          </w:p>
        </w:tc>
        <w:tc>
          <w:tcPr>
            <w:tcW w:w="589" w:type="dxa"/>
            <w:vAlign w:val="top"/>
          </w:tcPr>
          <w:p w14:paraId="7BA9FD49">
            <w:pPr>
              <w:pStyle w:val="91"/>
              <w:rPr>
                <w:rFonts w:hint="eastAsia" w:asciiTheme="majorEastAsia" w:hAnsiTheme="majorEastAsia" w:eastAsiaTheme="majorEastAsia" w:cstheme="majorEastAsia"/>
                <w:color w:val="auto"/>
              </w:rPr>
            </w:pPr>
          </w:p>
        </w:tc>
        <w:tc>
          <w:tcPr>
            <w:tcW w:w="971" w:type="dxa"/>
            <w:vAlign w:val="top"/>
          </w:tcPr>
          <w:p w14:paraId="4F43EA54">
            <w:pPr>
              <w:pStyle w:val="91"/>
              <w:rPr>
                <w:rFonts w:hint="eastAsia" w:asciiTheme="majorEastAsia" w:hAnsiTheme="majorEastAsia" w:eastAsiaTheme="majorEastAsia" w:cstheme="majorEastAsia"/>
                <w:color w:val="auto"/>
              </w:rPr>
            </w:pPr>
          </w:p>
        </w:tc>
        <w:tc>
          <w:tcPr>
            <w:tcW w:w="1286" w:type="dxa"/>
            <w:vAlign w:val="top"/>
          </w:tcPr>
          <w:p w14:paraId="6A23A820">
            <w:pPr>
              <w:pStyle w:val="91"/>
              <w:rPr>
                <w:rFonts w:hint="eastAsia" w:asciiTheme="majorEastAsia" w:hAnsiTheme="majorEastAsia" w:eastAsiaTheme="majorEastAsia" w:cstheme="majorEastAsia"/>
                <w:color w:val="auto"/>
              </w:rPr>
            </w:pPr>
          </w:p>
        </w:tc>
        <w:tc>
          <w:tcPr>
            <w:tcW w:w="1391" w:type="dxa"/>
            <w:tcBorders>
              <w:right w:val="single" w:color="000000" w:sz="12" w:space="0"/>
            </w:tcBorders>
            <w:vAlign w:val="top"/>
          </w:tcPr>
          <w:p w14:paraId="6062D406">
            <w:pPr>
              <w:pStyle w:val="91"/>
              <w:rPr>
                <w:rFonts w:hint="eastAsia" w:asciiTheme="majorEastAsia" w:hAnsiTheme="majorEastAsia" w:eastAsiaTheme="majorEastAsia" w:cstheme="majorEastAsia"/>
                <w:color w:val="auto"/>
              </w:rPr>
            </w:pPr>
          </w:p>
        </w:tc>
      </w:tr>
      <w:tr w14:paraId="1E60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09" w:type="dxa"/>
            <w:gridSpan w:val="7"/>
            <w:tcBorders>
              <w:left w:val="single" w:color="000000" w:sz="12" w:space="0"/>
              <w:bottom w:val="single" w:color="000000" w:sz="12" w:space="0"/>
            </w:tcBorders>
            <w:vAlign w:val="top"/>
          </w:tcPr>
          <w:p w14:paraId="79485AEA">
            <w:pPr>
              <w:spacing w:before="71" w:line="189" w:lineRule="auto"/>
              <w:ind w:left="3480"/>
              <w:rPr>
                <w:rFonts w:hint="eastAsia" w:asciiTheme="majorEastAsia" w:hAnsiTheme="majorEastAsia" w:eastAsiaTheme="majorEastAsia" w:cstheme="majorEastAsia"/>
                <w:color w:val="auto"/>
                <w:sz w:val="19"/>
                <w:szCs w:val="19"/>
              </w:rPr>
            </w:pPr>
            <w:r>
              <w:rPr>
                <w:rFonts w:hint="eastAsia" w:asciiTheme="majorEastAsia" w:hAnsiTheme="majorEastAsia" w:eastAsiaTheme="majorEastAsia" w:cstheme="majorEastAsia"/>
                <w:color w:val="auto"/>
                <w:spacing w:val="-3"/>
                <w:sz w:val="19"/>
                <w:szCs w:val="19"/>
              </w:rPr>
              <w:t>合</w:t>
            </w:r>
            <w:r>
              <w:rPr>
                <w:rFonts w:hint="eastAsia" w:asciiTheme="majorEastAsia" w:hAnsiTheme="majorEastAsia" w:eastAsiaTheme="majorEastAsia" w:cstheme="majorEastAsia"/>
                <w:color w:val="auto"/>
                <w:sz w:val="19"/>
                <w:szCs w:val="19"/>
              </w:rPr>
              <w:t xml:space="preserve">                          </w:t>
            </w:r>
            <w:r>
              <w:rPr>
                <w:rFonts w:hint="eastAsia" w:asciiTheme="majorEastAsia" w:hAnsiTheme="majorEastAsia" w:eastAsiaTheme="majorEastAsia" w:cstheme="majorEastAsia"/>
                <w:color w:val="auto"/>
                <w:spacing w:val="-3"/>
                <w:sz w:val="19"/>
                <w:szCs w:val="19"/>
              </w:rPr>
              <w:t>计</w:t>
            </w:r>
          </w:p>
        </w:tc>
        <w:tc>
          <w:tcPr>
            <w:tcW w:w="1391" w:type="dxa"/>
            <w:tcBorders>
              <w:bottom w:val="single" w:color="000000" w:sz="12" w:space="0"/>
              <w:right w:val="single" w:color="000000" w:sz="12" w:space="0"/>
            </w:tcBorders>
            <w:vAlign w:val="top"/>
          </w:tcPr>
          <w:p w14:paraId="1332859B">
            <w:pPr>
              <w:pStyle w:val="91"/>
              <w:rPr>
                <w:rFonts w:hint="eastAsia" w:asciiTheme="majorEastAsia" w:hAnsiTheme="majorEastAsia" w:eastAsiaTheme="majorEastAsia" w:cstheme="majorEastAsia"/>
                <w:color w:val="auto"/>
              </w:rPr>
            </w:pPr>
          </w:p>
        </w:tc>
      </w:tr>
    </w:tbl>
    <w:p w14:paraId="03D46CC7">
      <w:pPr>
        <w:rPr>
          <w:rFonts w:hint="eastAsia" w:asciiTheme="majorEastAsia" w:hAnsiTheme="majorEastAsia" w:eastAsiaTheme="majorEastAsia" w:cstheme="majorEastAsia"/>
          <w:color w:val="auto"/>
        </w:rPr>
        <w:sectPr>
          <w:pgSz w:w="11900" w:h="16840"/>
          <w:pgMar w:top="921" w:right="845" w:bottom="0" w:left="825" w:header="907" w:footer="397" w:gutter="0"/>
          <w:pgNumType w:fmt="decimal"/>
          <w:cols w:space="720" w:num="1"/>
        </w:sectPr>
      </w:pPr>
    </w:p>
    <w:p w14:paraId="15649B72">
      <w:pPr>
        <w:keepNext w:val="0"/>
        <w:keepLines w:val="0"/>
        <w:pageBreakBefore w:val="0"/>
        <w:kinsoku/>
        <w:wordWrap/>
        <w:overflowPunct/>
        <w:topLinePunct w:val="0"/>
        <w:autoSpaceDE/>
        <w:autoSpaceDN/>
        <w:bidi w:val="0"/>
        <w:spacing w:line="440" w:lineRule="exact"/>
        <w:ind w:right="0" w:rightChars="0"/>
        <w:textAlignment w:val="auto"/>
        <w:rPr>
          <w:rFonts w:hint="eastAsia" w:ascii="宋体" w:hAnsi="宋体" w:eastAsia="宋体" w:cs="宋体"/>
          <w:b/>
          <w:color w:val="auto"/>
          <w:sz w:val="24"/>
          <w:szCs w:val="24"/>
        </w:rPr>
      </w:pPr>
    </w:p>
    <w:p w14:paraId="4BD569CC">
      <w:pPr>
        <w:keepNext w:val="0"/>
        <w:keepLines w:val="0"/>
        <w:pageBreakBefore w:val="0"/>
        <w:widowControl w:val="0"/>
        <w:numPr>
          <w:ilvl w:val="0"/>
          <w:numId w:val="2"/>
        </w:numPr>
        <w:tabs>
          <w:tab w:val="right" w:pos="4860"/>
        </w:tabs>
        <w:kinsoku/>
        <w:wordWrap/>
        <w:overflowPunct/>
        <w:topLinePunct w:val="0"/>
        <w:autoSpaceDE/>
        <w:autoSpaceDN/>
        <w:bidi w:val="0"/>
        <w:adjustRightInd w:val="0"/>
        <w:snapToGrid w:val="0"/>
        <w:spacing w:line="440" w:lineRule="exact"/>
        <w:ind w:left="0" w:leftChars="0" w:firstLine="643" w:firstLineChars="200"/>
        <w:jc w:val="center"/>
        <w:rPr>
          <w:rFonts w:hint="eastAsia" w:ascii="宋体" w:hAnsi="宋体" w:eastAsia="宋体" w:cs="宋体"/>
          <w:b/>
          <w:color w:val="auto"/>
          <w:sz w:val="32"/>
          <w:szCs w:val="32"/>
        </w:rPr>
      </w:pPr>
      <w:r>
        <w:rPr>
          <w:rFonts w:ascii="宋体" w:hAnsi="宋体"/>
          <w:b/>
          <w:color w:val="auto"/>
          <w:sz w:val="32"/>
          <w:szCs w:val="32"/>
        </w:rPr>
        <w:t xml:space="preserve"> </w:t>
      </w:r>
      <w:r>
        <w:rPr>
          <w:rFonts w:hint="eastAsia" w:ascii="宋体" w:hAnsi="宋体" w:eastAsia="宋体" w:cs="宋体"/>
          <w:b/>
          <w:color w:val="auto"/>
          <w:sz w:val="32"/>
          <w:szCs w:val="32"/>
        </w:rPr>
        <w:t>商务要求</w:t>
      </w:r>
    </w:p>
    <w:p w14:paraId="2625F2CF">
      <w:pPr>
        <w:pStyle w:val="2"/>
        <w:numPr>
          <w:ilvl w:val="0"/>
          <w:numId w:val="0"/>
        </w:numPr>
        <w:rPr>
          <w:rFonts w:hint="eastAsia"/>
          <w:color w:val="auto"/>
        </w:rPr>
      </w:pPr>
    </w:p>
    <w:p w14:paraId="5C3D6D0F">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项目概况：</w:t>
      </w:r>
      <w:r>
        <w:rPr>
          <w:rFonts w:hint="eastAsia" w:ascii="宋体" w:hAnsi="宋体" w:eastAsia="宋体" w:cs="宋体"/>
          <w:b/>
          <w:bCs/>
          <w:color w:val="auto"/>
          <w:sz w:val="24"/>
          <w:szCs w:val="24"/>
          <w:lang w:val="en-US" w:eastAsia="zh-CN"/>
        </w:rPr>
        <w:t>具体内容详见工程量清单。</w:t>
      </w:r>
    </w:p>
    <w:p w14:paraId="63C1304C">
      <w:pPr>
        <w:keepNext w:val="0"/>
        <w:keepLines w:val="0"/>
        <w:pageBreakBefore w:val="0"/>
        <w:widowControl w:val="0"/>
        <w:kinsoku/>
        <w:wordWrap/>
        <w:overflowPunct/>
        <w:topLinePunct w:val="0"/>
        <w:autoSpaceDE/>
        <w:autoSpaceDN/>
        <w:bidi w:val="0"/>
        <w:spacing w:line="440" w:lineRule="exact"/>
        <w:ind w:left="0" w:leftChars="0"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二</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工期：</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lang w:eastAsia="zh-CN"/>
        </w:rPr>
        <w:t>日历天。</w:t>
      </w:r>
    </w:p>
    <w:p w14:paraId="71192BCA">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lang w:val="en-US" w:eastAsia="zh-CN"/>
        </w:rPr>
        <w:t>三</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工程质保期：</w:t>
      </w:r>
      <w:r>
        <w:rPr>
          <w:rFonts w:hint="eastAsia" w:ascii="宋体" w:hAnsi="宋体" w:eastAsia="宋体" w:cs="宋体"/>
          <w:b/>
          <w:color w:val="auto"/>
          <w:sz w:val="24"/>
          <w:szCs w:val="24"/>
          <w:lang w:eastAsia="zh-CN"/>
        </w:rPr>
        <w:t>自竣工验收通过之日起二</w:t>
      </w:r>
      <w:r>
        <w:rPr>
          <w:rFonts w:hint="eastAsia" w:ascii="宋体" w:hAnsi="宋体" w:eastAsia="宋体" w:cs="宋体"/>
          <w:b/>
          <w:bCs w:val="0"/>
          <w:color w:val="auto"/>
          <w:sz w:val="24"/>
          <w:szCs w:val="24"/>
          <w:lang w:eastAsia="zh-CN"/>
        </w:rPr>
        <w:t>年</w:t>
      </w:r>
      <w:r>
        <w:rPr>
          <w:rFonts w:hint="eastAsia" w:ascii="宋体" w:hAnsi="宋体" w:eastAsia="宋体" w:cs="宋体"/>
          <w:b/>
          <w:bCs w:val="0"/>
          <w:color w:val="auto"/>
          <w:sz w:val="24"/>
          <w:szCs w:val="24"/>
        </w:rPr>
        <w:t>。</w:t>
      </w:r>
    </w:p>
    <w:p w14:paraId="7CB470A3">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工程质量：合格。</w:t>
      </w:r>
    </w:p>
    <w:p w14:paraId="44444AB0">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五</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技术标准规范</w:t>
      </w:r>
    </w:p>
    <w:p w14:paraId="545020F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1.本项目的施工必须符合国家有关工程建设标准强制性条文和建设部关于施工方面现行标准、规范、规程和办法等。</w:t>
      </w:r>
    </w:p>
    <w:p w14:paraId="214CA6E2">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2.施工单位在施工过程中使用或参考上述标准、规范以外的技术标准、规范时，应征得业主或业主指定的代表人的同意。</w:t>
      </w:r>
    </w:p>
    <w:p w14:paraId="5D538E1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3.施工单位在施工中必须使用中华人民共和国《工程建设标准强制性条文》规定的标准、规范。</w:t>
      </w:r>
    </w:p>
    <w:p w14:paraId="355DDAD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4.建设成果必须通过建设行政主管部门的组织验收。</w:t>
      </w:r>
    </w:p>
    <w:p w14:paraId="65464F57">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b/>
          <w:snapToGrid w:val="0"/>
          <w:color w:val="auto"/>
          <w:sz w:val="24"/>
          <w:szCs w:val="24"/>
        </w:rPr>
      </w:pPr>
      <w:r>
        <w:rPr>
          <w:rFonts w:hint="eastAsia" w:ascii="宋体" w:hAnsi="宋体" w:eastAsia="宋体" w:cs="宋体"/>
          <w:b/>
          <w:color w:val="auto"/>
          <w:sz w:val="24"/>
          <w:szCs w:val="24"/>
          <w:lang w:val="en-US" w:eastAsia="zh-CN"/>
        </w:rPr>
        <w:t>六</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服务质量要</w:t>
      </w:r>
      <w:r>
        <w:rPr>
          <w:rFonts w:hint="eastAsia" w:ascii="宋体" w:hAnsi="宋体" w:eastAsia="宋体" w:cs="宋体"/>
          <w:b/>
          <w:snapToGrid w:val="0"/>
          <w:color w:val="auto"/>
          <w:sz w:val="24"/>
          <w:szCs w:val="24"/>
        </w:rPr>
        <w:t>求</w:t>
      </w:r>
    </w:p>
    <w:p w14:paraId="5D90109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1.严格按照国家现行标准、规范要求进行建设施工；</w:t>
      </w:r>
    </w:p>
    <w:p w14:paraId="7E3EE56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2.建设施工要体现实用性、景观性、高质量、高标准的环保理念。</w:t>
      </w:r>
    </w:p>
    <w:p w14:paraId="6F3D2D14">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3.在满足基本必要的建设施工时间内，施工进度应满足采购人提出的要求。</w:t>
      </w:r>
    </w:p>
    <w:p w14:paraId="71289B7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4.无条件协助采购人解决各种与建设施工有关的问题。</w:t>
      </w:r>
    </w:p>
    <w:p w14:paraId="3C37DDDF">
      <w:pPr>
        <w:keepNext w:val="0"/>
        <w:keepLines w:val="0"/>
        <w:pageBreakBefore w:val="0"/>
        <w:widowControl w:val="0"/>
        <w:kinsoku/>
        <w:wordWrap/>
        <w:overflowPunct/>
        <w:topLinePunct w:val="0"/>
        <w:autoSpaceDE/>
        <w:autoSpaceDN/>
        <w:bidi w:val="0"/>
        <w:spacing w:line="440" w:lineRule="exact"/>
        <w:ind w:left="0" w:leftChars="0" w:firstLine="480" w:firstLineChars="200"/>
        <w:jc w:val="left"/>
        <w:rPr>
          <w:rFonts w:hint="eastAsia" w:ascii="宋体" w:hAnsi="宋体" w:cs="宋体"/>
          <w:b w:val="0"/>
          <w:bCs/>
          <w:color w:val="auto"/>
          <w:sz w:val="24"/>
          <w:szCs w:val="24"/>
          <w:lang w:val="en-US" w:eastAsia="zh-CN"/>
        </w:rPr>
      </w:pPr>
      <w:r>
        <w:rPr>
          <w:rFonts w:hint="eastAsia" w:ascii="宋体" w:hAnsi="宋体" w:eastAsia="宋体" w:cs="Times New Roman"/>
          <w:b w:val="0"/>
          <w:bCs/>
          <w:color w:val="auto"/>
          <w:sz w:val="24"/>
          <w:szCs w:val="24"/>
          <w:lang w:val="en-US" w:eastAsia="zh-CN"/>
        </w:rPr>
        <w:t>七、</w:t>
      </w:r>
      <w:r>
        <w:rPr>
          <w:rFonts w:hint="eastAsia" w:ascii="宋体" w:hAnsi="宋体" w:eastAsia="宋体" w:cs="Times New Roman"/>
          <w:b w:val="0"/>
          <w:bCs/>
          <w:color w:val="auto"/>
          <w:sz w:val="24"/>
          <w:szCs w:val="24"/>
        </w:rPr>
        <w:t>建设地点：</w:t>
      </w:r>
      <w:r>
        <w:rPr>
          <w:rFonts w:hint="eastAsia" w:ascii="宋体" w:hAnsi="宋体" w:cs="宋体"/>
          <w:b w:val="0"/>
          <w:bCs/>
          <w:color w:val="auto"/>
          <w:sz w:val="24"/>
          <w:szCs w:val="24"/>
          <w:lang w:val="en-US" w:eastAsia="zh-CN"/>
        </w:rPr>
        <w:t>采购人指定地点</w:t>
      </w:r>
    </w:p>
    <w:p w14:paraId="1223F6F2">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Times New Roman"/>
          <w:b/>
          <w:color w:val="auto"/>
          <w:sz w:val="24"/>
          <w:szCs w:val="24"/>
        </w:rPr>
      </w:pPr>
      <w:r>
        <w:rPr>
          <w:rFonts w:hint="eastAsia" w:ascii="宋体" w:hAnsi="宋体" w:cs="Times New Roman"/>
          <w:b/>
          <w:color w:val="auto"/>
          <w:sz w:val="24"/>
          <w:szCs w:val="24"/>
          <w:lang w:val="en-US" w:eastAsia="zh-CN"/>
        </w:rPr>
        <w:t>七.</w:t>
      </w:r>
      <w:r>
        <w:rPr>
          <w:rFonts w:hint="eastAsia" w:ascii="宋体" w:hAnsi="宋体" w:eastAsia="宋体" w:cs="Times New Roman"/>
          <w:b/>
          <w:color w:val="auto"/>
          <w:sz w:val="24"/>
          <w:szCs w:val="24"/>
        </w:rPr>
        <w:t>关于合同款项的事宜</w:t>
      </w:r>
    </w:p>
    <w:p w14:paraId="6D3917CC">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snapToGrid w:val="0"/>
          <w:color w:val="auto"/>
          <w:sz w:val="24"/>
          <w:szCs w:val="24"/>
        </w:rPr>
      </w:pPr>
      <w:r>
        <w:rPr>
          <w:rFonts w:hint="eastAsia" w:ascii="宋体" w:hAnsi="宋体" w:eastAsia="宋体" w:cs="宋体"/>
          <w:b/>
          <w:bCs/>
          <w:snapToGrid w:val="0"/>
          <w:color w:val="auto"/>
          <w:sz w:val="24"/>
          <w:szCs w:val="24"/>
        </w:rPr>
        <w:t>1</w:t>
      </w:r>
      <w:r>
        <w:rPr>
          <w:rFonts w:hint="eastAsia" w:ascii="宋体" w:hAnsi="宋体" w:cs="宋体"/>
          <w:b/>
          <w:bCs/>
          <w:snapToGrid w:val="0"/>
          <w:color w:val="auto"/>
          <w:sz w:val="24"/>
          <w:szCs w:val="24"/>
          <w:lang w:val="en-US" w:eastAsia="zh-CN"/>
        </w:rPr>
        <w:t>.</w:t>
      </w:r>
      <w:r>
        <w:rPr>
          <w:rFonts w:hint="eastAsia" w:ascii="宋体" w:hAnsi="宋体" w:eastAsia="宋体" w:cs="宋体"/>
          <w:b/>
          <w:bCs/>
          <w:snapToGrid w:val="0"/>
          <w:color w:val="auto"/>
          <w:sz w:val="24"/>
          <w:szCs w:val="24"/>
        </w:rPr>
        <w:t>报价要求</w:t>
      </w:r>
      <w:r>
        <w:rPr>
          <w:rFonts w:hint="eastAsia" w:ascii="宋体" w:hAnsi="宋体" w:eastAsia="宋体" w:cs="宋体"/>
          <w:b/>
          <w:bCs/>
          <w:snapToGrid w:val="0"/>
          <w:color w:val="auto"/>
          <w:sz w:val="24"/>
          <w:szCs w:val="24"/>
          <w:lang w:eastAsia="zh-CN"/>
        </w:rPr>
        <w:t>：</w:t>
      </w:r>
      <w:r>
        <w:rPr>
          <w:rFonts w:hint="eastAsia" w:ascii="宋体" w:hAnsi="宋体" w:eastAsia="宋体" w:cs="宋体"/>
          <w:snapToGrid w:val="0"/>
          <w:color w:val="auto"/>
          <w:sz w:val="24"/>
          <w:szCs w:val="24"/>
        </w:rPr>
        <w:t>投标总价必须是完成该项目的一切费用总和，包括投标费、材料费、劳务工资、保险费、施工费、大型机械费用、国家规定的各项税费等。</w:t>
      </w:r>
    </w:p>
    <w:p w14:paraId="50344DA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Times New Roman"/>
          <w:b/>
          <w:color w:val="auto"/>
          <w:sz w:val="24"/>
          <w:szCs w:val="24"/>
        </w:rPr>
      </w:pPr>
      <w:r>
        <w:rPr>
          <w:rFonts w:hint="eastAsia" w:ascii="宋体" w:hAnsi="宋体" w:eastAsia="宋体" w:cs="宋体"/>
          <w:snapToGrid w:val="0"/>
          <w:color w:val="auto"/>
          <w:sz w:val="24"/>
          <w:szCs w:val="24"/>
        </w:rPr>
        <w:t>2</w:t>
      </w:r>
      <w:r>
        <w:rPr>
          <w:rFonts w:hint="eastAsia" w:ascii="宋体" w:hAnsi="宋体" w:cs="宋体"/>
          <w:snapToGrid w:val="0"/>
          <w:color w:val="auto"/>
          <w:sz w:val="24"/>
          <w:szCs w:val="24"/>
          <w:lang w:val="en-US" w:eastAsia="zh-CN"/>
        </w:rPr>
        <w:t>.</w:t>
      </w:r>
      <w:r>
        <w:rPr>
          <w:rFonts w:hint="eastAsia" w:ascii="宋体" w:hAnsi="宋体" w:eastAsia="宋体" w:cs="宋体"/>
          <w:snapToGrid w:val="0"/>
          <w:color w:val="auto"/>
          <w:sz w:val="24"/>
          <w:szCs w:val="24"/>
        </w:rPr>
        <w:t>本项目中如有涉及水、电、气设备安装及调试、室外高空作业等项目的，投标公司应在标书中承诺安排具有国家认可资质的操作人员（资质证书仍在有效期内）实施，否则由此造成的后果由公司负责。</w:t>
      </w:r>
    </w:p>
    <w:p w14:paraId="74F9CC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rPr>
          <w:rFonts w:ascii="宋体" w:hAnsi="宋体" w:eastAsia="宋体" w:cs="宋体"/>
          <w:color w:val="auto"/>
          <w:sz w:val="24"/>
          <w:szCs w:val="24"/>
        </w:rPr>
      </w:pPr>
      <w:r>
        <w:rPr>
          <w:rFonts w:hint="eastAsia" w:ascii="宋体" w:hAnsi="宋体" w:cs="宋体"/>
          <w:b/>
          <w:bCs/>
          <w:color w:val="auto"/>
          <w:sz w:val="24"/>
          <w:szCs w:val="24"/>
          <w:lang w:val="en-US" w:eastAsia="zh-CN"/>
        </w:rPr>
        <w:t>3.付款</w:t>
      </w:r>
      <w:r>
        <w:rPr>
          <w:rFonts w:hint="eastAsia" w:ascii="宋体" w:hAnsi="宋体" w:eastAsia="宋体" w:cs="宋体"/>
          <w:b/>
          <w:bCs/>
          <w:color w:val="auto"/>
          <w:sz w:val="24"/>
          <w:szCs w:val="24"/>
        </w:rPr>
        <w:t>方式：</w:t>
      </w:r>
    </w:p>
    <w:p w14:paraId="16803980">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200"/>
        <w:textAlignment w:val="auto"/>
        <w:rPr>
          <w:rFonts w:hint="eastAsia" w:asciiTheme="majorEastAsia" w:hAnsiTheme="majorEastAsia" w:eastAsiaTheme="majorEastAsia" w:cstheme="majorEastAsia"/>
          <w:snapToGrid w:val="0"/>
          <w:color w:val="auto"/>
          <w:kern w:val="0"/>
          <w:sz w:val="24"/>
          <w:szCs w:val="24"/>
          <w:lang w:val="en-US" w:eastAsia="zh-CN"/>
        </w:rPr>
      </w:pPr>
      <w:r>
        <w:rPr>
          <w:rFonts w:hint="eastAsia" w:asciiTheme="majorEastAsia" w:hAnsiTheme="majorEastAsia" w:eastAsiaTheme="majorEastAsia" w:cstheme="majorEastAsia"/>
          <w:snapToGrid w:val="0"/>
          <w:color w:val="auto"/>
          <w:kern w:val="0"/>
          <w:sz w:val="24"/>
          <w:szCs w:val="24"/>
          <w:lang w:val="en-US" w:eastAsia="zh-CN"/>
        </w:rPr>
        <w:t>合同签订后，支付合同总价款的40%；完工并验收合格后支付合同总价款的60%。</w:t>
      </w:r>
    </w:p>
    <w:p w14:paraId="167BCBCC">
      <w:pPr>
        <w:rPr>
          <w:rFonts w:ascii="黑体" w:eastAsia="黑体"/>
          <w:b/>
          <w:bCs/>
          <w:color w:val="auto"/>
          <w:sz w:val="32"/>
          <w:szCs w:val="32"/>
        </w:rPr>
      </w:pPr>
      <w:r>
        <w:rPr>
          <w:rFonts w:ascii="黑体" w:eastAsia="黑体"/>
          <w:b/>
          <w:bCs/>
          <w:color w:val="auto"/>
          <w:sz w:val="32"/>
          <w:szCs w:val="32"/>
        </w:rPr>
        <w:br w:type="page"/>
      </w:r>
    </w:p>
    <w:p w14:paraId="7FC56AA5">
      <w:pPr>
        <w:spacing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部分 合同主要条款</w:t>
      </w:r>
    </w:p>
    <w:p w14:paraId="12574FA7">
      <w:pPr>
        <w:spacing w:line="700" w:lineRule="exact"/>
        <w:jc w:val="center"/>
        <w:rPr>
          <w:rFonts w:asciiTheme="minorEastAsia" w:hAnsiTheme="minorEastAsia" w:eastAsiaTheme="minorEastAsia" w:cstheme="minorEastAsia"/>
          <w:b/>
          <w:color w:val="auto"/>
          <w:sz w:val="72"/>
          <w:szCs w:val="52"/>
        </w:rPr>
      </w:pPr>
      <w:r>
        <w:rPr>
          <w:rFonts w:hint="eastAsia" w:ascii="宋体" w:hAnsi="宋体" w:eastAsia="宋体" w:cs="宋体"/>
          <w:b/>
          <w:bCs/>
          <w:color w:val="auto"/>
          <w:sz w:val="32"/>
          <w:szCs w:val="32"/>
        </w:rPr>
        <w:t>（仅供参考，以最终签订的合同为准）</w:t>
      </w:r>
    </w:p>
    <w:p w14:paraId="699916A8">
      <w:pPr>
        <w:rPr>
          <w:color w:val="auto"/>
        </w:rPr>
      </w:pPr>
      <w:r>
        <w:rPr>
          <w:rFonts w:hint="eastAsia" w:asciiTheme="minorEastAsia" w:hAnsiTheme="minorEastAsia" w:eastAsiaTheme="minorEastAsia" w:cstheme="minorEastAsia"/>
          <w:b/>
          <w:color w:val="auto"/>
          <w:sz w:val="72"/>
          <w:szCs w:val="52"/>
        </w:rPr>
        <w:br w:type="page"/>
      </w:r>
    </w:p>
    <w:p w14:paraId="1FB6F3C5">
      <w:pPr>
        <w:keepNext w:val="0"/>
        <w:keepLines w:val="0"/>
        <w:pageBreakBefore w:val="0"/>
        <w:widowControl w:val="0"/>
        <w:kinsoku/>
        <w:wordWrap/>
        <w:overflowPunct/>
        <w:topLinePunct w:val="0"/>
        <w:autoSpaceDE/>
        <w:autoSpaceDN/>
        <w:bidi w:val="0"/>
        <w:adjustRightInd/>
        <w:snapToGrid/>
        <w:spacing w:line="600" w:lineRule="exact"/>
        <w:ind w:left="0" w:leftChars="0" w:firstLine="1044" w:firstLineChars="200"/>
        <w:jc w:val="center"/>
        <w:textAlignment w:val="auto"/>
        <w:rPr>
          <w:rFonts w:hint="eastAsia" w:ascii="宋体" w:hAnsi="宋体" w:eastAsia="宋体" w:cs="宋体"/>
          <w:b/>
          <w:bCs/>
          <w:color w:val="auto"/>
          <w:sz w:val="52"/>
          <w:szCs w:val="52"/>
        </w:rPr>
      </w:pPr>
      <w:r>
        <w:rPr>
          <w:rFonts w:hint="eastAsia" w:ascii="宋体" w:hAnsi="宋体" w:eastAsia="宋体" w:cs="宋体"/>
          <w:b/>
          <w:bCs/>
          <w:color w:val="auto"/>
          <w:sz w:val="52"/>
          <w:szCs w:val="52"/>
        </w:rPr>
        <w:t>建设工程施工合同</w:t>
      </w:r>
    </w:p>
    <w:p w14:paraId="693C46EE">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（说明：本合同作为合同的基本格式，不作为最终合同，甲方有权在签订合同时对合同的相关条款及内容</w:t>
      </w:r>
      <w:r>
        <w:rPr>
          <w:rFonts w:hint="eastAsia" w:asciiTheme="majorEastAsia" w:hAnsiTheme="majorEastAsia" w:eastAsiaTheme="majorEastAsia" w:cstheme="majorEastAsia"/>
          <w:b/>
          <w:bCs/>
          <w:color w:val="auto"/>
          <w:sz w:val="24"/>
          <w:szCs w:val="24"/>
          <w:lang w:eastAsia="zh-CN"/>
        </w:rPr>
        <w:t>做</w:t>
      </w:r>
      <w:r>
        <w:rPr>
          <w:rFonts w:hint="eastAsia" w:asciiTheme="majorEastAsia" w:hAnsiTheme="majorEastAsia" w:eastAsiaTheme="majorEastAsia" w:cstheme="majorEastAsia"/>
          <w:b/>
          <w:bCs/>
          <w:color w:val="auto"/>
          <w:sz w:val="24"/>
          <w:szCs w:val="24"/>
        </w:rPr>
        <w:t>进一步的细化和修改。）</w:t>
      </w:r>
    </w:p>
    <w:p w14:paraId="4E37D8BA">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发包方（以下称甲方）：</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白河县人民法院        </w:t>
      </w:r>
    </w:p>
    <w:p w14:paraId="1A4F4C80">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承包方（以下称乙方）：</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u w:val="single" w:color="000000"/>
          <w:lang w:val="en-US" w:eastAsia="zh-CN"/>
        </w:rPr>
        <w:t xml:space="preserve">                              </w:t>
      </w:r>
    </w:p>
    <w:p w14:paraId="754014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heme="majorEastAsia" w:hAnsiTheme="majorEastAsia" w:eastAsiaTheme="majorEastAsia" w:cstheme="majorEastAsia"/>
          <w:color w:val="auto"/>
          <w:sz w:val="24"/>
        </w:rPr>
      </w:pPr>
      <w:r>
        <w:rPr>
          <w:rFonts w:hint="eastAsia" w:ascii="宋体" w:hAnsi="宋体" w:eastAsia="宋体" w:cs="宋体"/>
          <w:color w:val="auto"/>
          <w:sz w:val="24"/>
          <w:szCs w:val="24"/>
        </w:rPr>
        <w:t>根据</w:t>
      </w:r>
      <w:r>
        <w:rPr>
          <w:rFonts w:hint="eastAsia" w:asciiTheme="majorEastAsia" w:hAnsiTheme="majorEastAsia" w:eastAsiaTheme="majorEastAsia" w:cstheme="majorEastAsia"/>
          <w:color w:val="auto"/>
          <w:sz w:val="24"/>
        </w:rPr>
        <w:t>《中华人民共和国民法典》《中华人民共和国</w:t>
      </w:r>
      <w:r>
        <w:rPr>
          <w:rFonts w:hint="eastAsia" w:asciiTheme="majorEastAsia" w:hAnsiTheme="majorEastAsia" w:eastAsiaTheme="majorEastAsia" w:cstheme="majorEastAsia"/>
          <w:color w:val="auto"/>
          <w:sz w:val="24"/>
          <w:lang w:val="en-US" w:eastAsia="zh-CN"/>
        </w:rPr>
        <w:t>政府采购</w:t>
      </w:r>
      <w:r>
        <w:rPr>
          <w:rFonts w:hint="eastAsia" w:asciiTheme="majorEastAsia" w:hAnsiTheme="majorEastAsia" w:eastAsiaTheme="majorEastAsia" w:cstheme="majorEastAsia"/>
          <w:color w:val="auto"/>
          <w:sz w:val="24"/>
        </w:rPr>
        <w:t>法》及有关法律法规和规章的规定，遵循平等、自愿、公平和诚实信用的原则，双方就本</w:t>
      </w:r>
      <w:r>
        <w:rPr>
          <w:rFonts w:hint="eastAsia" w:asciiTheme="majorEastAsia" w:hAnsiTheme="majorEastAsia" w:eastAsiaTheme="majorEastAsia" w:cstheme="majorEastAsia"/>
          <w:color w:val="auto"/>
          <w:sz w:val="24"/>
          <w:lang w:val="en-US" w:eastAsia="zh-CN"/>
        </w:rPr>
        <w:t>项目</w:t>
      </w:r>
      <w:r>
        <w:rPr>
          <w:rFonts w:hint="eastAsia" w:asciiTheme="majorEastAsia" w:hAnsiTheme="majorEastAsia" w:eastAsiaTheme="majorEastAsia" w:cstheme="majorEastAsia"/>
          <w:color w:val="auto"/>
          <w:sz w:val="24"/>
        </w:rPr>
        <w:t>施工协商一致、共同达成如下协议。</w:t>
      </w:r>
    </w:p>
    <w:p w14:paraId="09031685">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第一条　工程项目 </w:t>
      </w:r>
    </w:p>
    <w:p w14:paraId="77FAC1C5">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一、工程名称：</w:t>
      </w:r>
      <w:r>
        <w:rPr>
          <w:rFonts w:hint="eastAsia" w:ascii="宋体" w:hAnsi="宋体" w:eastAsia="宋体" w:cs="宋体"/>
          <w:color w:val="auto"/>
          <w:sz w:val="24"/>
          <w:szCs w:val="24"/>
          <w:u w:val="single" w:color="auto"/>
          <w:lang w:val="en-US" w:eastAsia="zh-CN"/>
        </w:rPr>
        <w:t xml:space="preserve"> </w:t>
      </w:r>
      <w:r>
        <w:rPr>
          <w:rFonts w:hint="eastAsia" w:ascii="宋体" w:hAnsi="宋体" w:cs="宋体"/>
          <w:color w:val="auto"/>
          <w:sz w:val="24"/>
          <w:szCs w:val="24"/>
          <w:u w:val="single" w:color="auto"/>
          <w:lang w:val="en-US" w:eastAsia="zh-CN"/>
        </w:rPr>
        <w:t xml:space="preserve"> 白河县人民法院外墙改造新增项目</w:t>
      </w:r>
      <w:r>
        <w:rPr>
          <w:rFonts w:hint="eastAsia" w:ascii="宋体" w:hAnsi="宋体" w:eastAsia="宋体" w:cs="宋体"/>
          <w:color w:val="auto"/>
          <w:sz w:val="24"/>
          <w:szCs w:val="24"/>
          <w:u w:val="single" w:color="auto"/>
          <w:lang w:val="en-US" w:eastAsia="zh-CN"/>
        </w:rPr>
        <w:t xml:space="preserve">                     </w:t>
      </w:r>
    </w:p>
    <w:p w14:paraId="31FD05FA">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二、工程地点：</w:t>
      </w:r>
      <w:r>
        <w:rPr>
          <w:rFonts w:hint="eastAsia" w:ascii="宋体" w:hAnsi="宋体" w:eastAsia="宋体" w:cs="宋体"/>
          <w:color w:val="auto"/>
          <w:sz w:val="24"/>
          <w:szCs w:val="24"/>
          <w:u w:val="single" w:color="000000"/>
        </w:rPr>
        <w:t xml:space="preserve"> </w:t>
      </w:r>
      <w:r>
        <w:rPr>
          <w:rFonts w:hint="eastAsia" w:ascii="宋体" w:hAnsi="宋体" w:cs="宋体"/>
          <w:color w:val="auto"/>
          <w:sz w:val="24"/>
          <w:szCs w:val="24"/>
          <w:u w:val="single" w:color="000000"/>
          <w:lang w:val="en-US" w:eastAsia="zh-CN"/>
        </w:rPr>
        <w:t xml:space="preserve"> </w:t>
      </w:r>
      <w:r>
        <w:rPr>
          <w:rFonts w:hint="eastAsia" w:ascii="宋体" w:hAnsi="宋体" w:eastAsia="宋体" w:cs="宋体"/>
          <w:color w:val="auto"/>
          <w:sz w:val="24"/>
          <w:szCs w:val="24"/>
          <w:u w:val="single" w:color="000000"/>
          <w:lang w:eastAsia="zh-CN"/>
        </w:rPr>
        <w:t>采购人指定地点</w:t>
      </w:r>
      <w:r>
        <w:rPr>
          <w:rFonts w:hint="eastAsia" w:ascii="宋体" w:hAnsi="宋体" w:eastAsia="宋体" w:cs="宋体"/>
          <w:color w:val="auto"/>
          <w:sz w:val="24"/>
          <w:szCs w:val="24"/>
          <w:u w:val="single" w:color="000000"/>
          <w:lang w:val="en-US" w:eastAsia="zh-CN"/>
        </w:rPr>
        <w:t xml:space="preserve">                               </w:t>
      </w:r>
    </w:p>
    <w:p w14:paraId="60A300F0">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三、工程内容：</w:t>
      </w:r>
      <w:r>
        <w:rPr>
          <w:rFonts w:hint="eastAsia" w:ascii="宋体" w:hAnsi="宋体" w:eastAsia="宋体" w:cs="宋体"/>
          <w:color w:val="auto"/>
          <w:sz w:val="24"/>
          <w:szCs w:val="24"/>
          <w:u w:val="single" w:color="auto"/>
          <w:lang w:val="en-US" w:eastAsia="zh-CN"/>
        </w:rPr>
        <w:t xml:space="preserve"> 工程量清单、</w:t>
      </w:r>
      <w:r>
        <w:rPr>
          <w:rFonts w:hint="eastAsia" w:ascii="宋体" w:hAnsi="宋体" w:cs="宋体"/>
          <w:color w:val="auto"/>
          <w:sz w:val="24"/>
          <w:szCs w:val="24"/>
          <w:u w:val="single" w:color="auto"/>
          <w:lang w:val="en-US" w:eastAsia="zh-CN"/>
        </w:rPr>
        <w:t>竞争性</w:t>
      </w:r>
      <w:r>
        <w:rPr>
          <w:rFonts w:hint="eastAsia" w:ascii="宋体" w:hAnsi="宋体" w:eastAsia="宋体" w:cs="宋体"/>
          <w:color w:val="auto"/>
          <w:sz w:val="24"/>
          <w:szCs w:val="24"/>
          <w:u w:val="single" w:color="auto"/>
          <w:lang w:val="en-US" w:eastAsia="zh-CN"/>
        </w:rPr>
        <w:t xml:space="preserve">磋商文件、答疑纪要（如有）、最高限价所涉及的全部内容                                    </w:t>
      </w:r>
      <w:r>
        <w:rPr>
          <w:rFonts w:hint="eastAsia" w:ascii="宋体" w:hAnsi="宋体" w:eastAsia="宋体" w:cs="宋体"/>
          <w:color w:val="auto"/>
          <w:sz w:val="24"/>
          <w:szCs w:val="24"/>
          <w:u w:val="single" w:color="000000"/>
          <w:lang w:val="en-US" w:eastAsia="zh-CN"/>
        </w:rPr>
        <w:t xml:space="preserve">  </w:t>
      </w:r>
      <w:r>
        <w:rPr>
          <w:rFonts w:hint="eastAsia" w:ascii="宋体" w:hAnsi="宋体" w:eastAsia="宋体" w:cs="宋体"/>
          <w:color w:val="auto"/>
          <w:sz w:val="24"/>
          <w:szCs w:val="24"/>
          <w:u w:val="single" w:color="000000"/>
        </w:rPr>
        <w:t xml:space="preserve">  </w:t>
      </w:r>
    </w:p>
    <w:p w14:paraId="2937CBCC">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四、承包形式：</w:t>
      </w:r>
      <w:r>
        <w:rPr>
          <w:rFonts w:hint="eastAsia" w:ascii="宋体" w:hAnsi="宋体" w:eastAsia="宋体" w:cs="宋体"/>
          <w:color w:val="auto"/>
          <w:sz w:val="24"/>
          <w:szCs w:val="24"/>
          <w:u w:val="single" w:color="000000"/>
        </w:rPr>
        <w:t xml:space="preserve">    固定综合单价，包工、包材料</w:t>
      </w:r>
      <w:r>
        <w:rPr>
          <w:rFonts w:hint="eastAsia" w:ascii="宋体" w:hAnsi="宋体" w:eastAsia="宋体" w:cs="宋体"/>
          <w:color w:val="auto"/>
          <w:sz w:val="24"/>
          <w:szCs w:val="24"/>
          <w:u w:val="single" w:color="000000"/>
          <w:lang w:val="en-US" w:eastAsia="zh-CN"/>
        </w:rPr>
        <w:t xml:space="preserve">      </w:t>
      </w:r>
    </w:p>
    <w:p w14:paraId="2CFD430D">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工程承包范围</w:t>
      </w:r>
    </w:p>
    <w:p w14:paraId="27FE67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lang w:val="en-US" w:eastAsia="zh-CN"/>
        </w:rPr>
        <w:t>白河县人民法院外墙改造新增项目施工</w:t>
      </w:r>
      <w:r>
        <w:rPr>
          <w:rFonts w:hint="eastAsia" w:asciiTheme="majorEastAsia" w:hAnsiTheme="majorEastAsia" w:eastAsiaTheme="majorEastAsia" w:cstheme="majorEastAsia"/>
          <w:color w:val="auto"/>
          <w:sz w:val="24"/>
        </w:rPr>
        <w:t>范围内的全部工程</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lang w:val="en-US" w:eastAsia="zh-CN"/>
        </w:rPr>
        <w:t>详见</w:t>
      </w:r>
      <w:r>
        <w:rPr>
          <w:rFonts w:hint="eastAsia" w:asciiTheme="majorEastAsia" w:hAnsiTheme="majorEastAsia" w:eastAsiaTheme="majorEastAsia" w:cstheme="majorEastAsia"/>
          <w:color w:val="auto"/>
          <w:sz w:val="24"/>
        </w:rPr>
        <w:t>工程量清单。</w:t>
      </w:r>
    </w:p>
    <w:p w14:paraId="63B1FACE">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第三条 工程开竣工日期</w:t>
      </w:r>
    </w:p>
    <w:p w14:paraId="6AD3C017">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一、合同工期总日历天数</w:t>
      </w:r>
      <w:r>
        <w:rPr>
          <w:rFonts w:hint="eastAsia" w:ascii="宋体" w:hAnsi="宋体" w:eastAsia="宋体" w:cs="宋体"/>
          <w:color w:val="auto"/>
          <w:sz w:val="24"/>
          <w:szCs w:val="24"/>
          <w:lang w:val="en-US" w:eastAsia="zh-CN"/>
        </w:rPr>
        <w:t>xx</w:t>
      </w:r>
      <w:r>
        <w:rPr>
          <w:rFonts w:hint="eastAsia" w:ascii="宋体" w:hAnsi="宋体" w:eastAsia="宋体" w:cs="宋体"/>
          <w:color w:val="auto"/>
          <w:sz w:val="24"/>
          <w:szCs w:val="24"/>
        </w:rPr>
        <w:t>天</w:t>
      </w:r>
    </w:p>
    <w:p w14:paraId="2F79E0E9">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开工日期：</w:t>
      </w:r>
      <w:r>
        <w:rPr>
          <w:rFonts w:hint="eastAsia" w:ascii="宋体" w:hAnsi="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xx</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xx</w:t>
      </w:r>
      <w:r>
        <w:rPr>
          <w:rFonts w:hint="eastAsia" w:ascii="宋体" w:hAnsi="宋体" w:eastAsia="宋体" w:cs="宋体"/>
          <w:color w:val="auto"/>
          <w:sz w:val="24"/>
          <w:szCs w:val="24"/>
        </w:rPr>
        <w:t>日</w:t>
      </w:r>
    </w:p>
    <w:p w14:paraId="277BAD88">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竣工日期：</w:t>
      </w:r>
      <w:r>
        <w:rPr>
          <w:rFonts w:hint="eastAsia" w:ascii="宋体" w:hAnsi="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xx</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xx</w:t>
      </w:r>
      <w:r>
        <w:rPr>
          <w:rFonts w:hint="eastAsia" w:ascii="宋体" w:hAnsi="宋体" w:eastAsia="宋体" w:cs="宋体"/>
          <w:color w:val="auto"/>
          <w:sz w:val="24"/>
          <w:szCs w:val="24"/>
        </w:rPr>
        <w:t>日</w:t>
      </w:r>
    </w:p>
    <w:p w14:paraId="14DBEDBA">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工程价款、结算及付款方式</w:t>
      </w:r>
    </w:p>
    <w:p w14:paraId="7767A25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合同总价为¥</w:t>
      </w:r>
      <w:r>
        <w:rPr>
          <w:rFonts w:hint="eastAsia" w:ascii="宋体" w:hAnsi="宋体" w:eastAsia="宋体" w:cs="宋体"/>
          <w:color w:val="auto"/>
          <w:sz w:val="24"/>
          <w:szCs w:val="24"/>
          <w:u w:val="single"/>
          <w:lang w:val="en-US" w:eastAsia="zh-CN"/>
        </w:rPr>
        <w:t xml:space="preserve">xxxxxxxxxxxxxx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xxxxxxxxxxxxxxxx元整</w:t>
      </w:r>
      <w:r>
        <w:rPr>
          <w:rFonts w:hint="eastAsia" w:ascii="宋体" w:hAnsi="宋体" w:eastAsia="宋体" w:cs="宋体"/>
          <w:color w:val="auto"/>
          <w:sz w:val="24"/>
          <w:szCs w:val="24"/>
        </w:rPr>
        <w:t>）。</w:t>
      </w:r>
    </w:p>
    <w:p w14:paraId="7D4B14D5">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条　建筑材料、设备的供应和采购</w:t>
      </w:r>
    </w:p>
    <w:p w14:paraId="37390B59">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一、工程材料、设备由乙方采购。</w:t>
      </w:r>
    </w:p>
    <w:p w14:paraId="16834D43">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二、乙方采购的材料、设备，必须验符合质量要求，方可用于工程；复验不符合质量要求的，应退货处理，其复验费和退货损失由乙方承担。</w:t>
      </w:r>
    </w:p>
    <w:p w14:paraId="3384163E">
      <w:pPr>
        <w:keepNext w:val="0"/>
        <w:keepLines w:val="0"/>
        <w:pageBreakBefore w:val="0"/>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 xml:space="preserve">条　施工与设计变更 </w:t>
      </w:r>
    </w:p>
    <w:p w14:paraId="2BB2E352">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一、甲方签字认定交付的设计图纸、说明和有关技术资料，作为施工的有效依据，乙方不得擅自修改。</w:t>
      </w:r>
    </w:p>
    <w:p w14:paraId="198A80FF">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二、甲方因使用功能提出的变更内容，为不影响施工进度，乙方应先行实施，并及时做好现场签证。</w:t>
      </w:r>
    </w:p>
    <w:p w14:paraId="04796A47">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三、设计变更增减数应以甲方代表签证单为依据，工程采用包干价，对增减部份的工程款由甲乙双方协商确认。</w:t>
      </w:r>
    </w:p>
    <w:p w14:paraId="03036F15">
      <w:pPr>
        <w:keepNext w:val="0"/>
        <w:keepLines w:val="0"/>
        <w:pageBreakBefore w:val="0"/>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工程质量管理及验收</w:t>
      </w:r>
    </w:p>
    <w:p w14:paraId="65A5A89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一、工程完工后，验收合格的，双方进行交接，验收不合格的，乙方应及时返工，费用由乙方自行承担。</w:t>
      </w:r>
    </w:p>
    <w:p w14:paraId="040A8CC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、工程质量应符合国家及行业规定的建筑工程质量检验评定的“合格”标准。</w:t>
      </w:r>
    </w:p>
    <w:p w14:paraId="290E5933">
      <w:pPr>
        <w:keepNext w:val="0"/>
        <w:keepLines w:val="0"/>
        <w:pageBreakBefore w:val="0"/>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条　安全施工</w:t>
      </w:r>
    </w:p>
    <w:p w14:paraId="7BA1661C">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乙方应遵守工程建设安全生产有关管理规定，严格按安全标准组织施工，采取必要的安全防护措施，消除事故隐患。由于乙方安全措施不力造成事故的责任和因此发生的费用，由乙方承担。</w:t>
      </w:r>
    </w:p>
    <w:p w14:paraId="02A07B35">
      <w:pPr>
        <w:keepNext w:val="0"/>
        <w:keepLines w:val="0"/>
        <w:pageBreakBefore w:val="0"/>
        <w:widowControl w:val="0"/>
        <w:numPr>
          <w:ilvl w:val="0"/>
          <w:numId w:val="0"/>
        </w:numPr>
        <w:wordWrap/>
        <w:overflowPunct/>
        <w:topLinePunct w:val="0"/>
        <w:autoSpaceDE/>
        <w:autoSpaceDN/>
        <w:bidi w:val="0"/>
        <w:adjustRightInd/>
        <w:snapToGrid/>
        <w:spacing w:line="440" w:lineRule="exact"/>
        <w:ind w:left="0" w:leftChars="0" w:firstLine="482"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第八条　</w:t>
      </w:r>
      <w:r>
        <w:rPr>
          <w:rFonts w:hint="eastAsia" w:ascii="宋体" w:hAnsi="宋体" w:eastAsia="宋体" w:cs="宋体"/>
          <w:b/>
          <w:color w:val="auto"/>
          <w:kern w:val="2"/>
          <w:sz w:val="24"/>
          <w:szCs w:val="24"/>
          <w:lang w:val="en-US" w:eastAsia="zh-CN" w:bidi="ar-SA"/>
        </w:rPr>
        <w:t>违约责任</w:t>
      </w:r>
    </w:p>
    <w:p w14:paraId="20634383">
      <w:pPr>
        <w:keepNext w:val="0"/>
        <w:keepLines w:val="0"/>
        <w:pageBreakBefore w:val="0"/>
        <w:widowControl w:val="0"/>
        <w:numPr>
          <w:ilvl w:val="0"/>
          <w:numId w:val="0"/>
        </w:numPr>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1、甲方违约责任：甲方违反规定或者合同条款、单方面终止合同，或者验收合格后15个工作日内不给乙方结算，应按照每日合同标的1%支付乙方违约金。</w:t>
      </w:r>
    </w:p>
    <w:p w14:paraId="1F7C10D5">
      <w:pPr>
        <w:keepNext w:val="0"/>
        <w:keepLines w:val="0"/>
        <w:pageBreakBefore w:val="0"/>
        <w:widowControl w:val="0"/>
        <w:numPr>
          <w:ilvl w:val="0"/>
          <w:numId w:val="0"/>
        </w:numPr>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乙方违约责任：不按照甲方指定位置施工、用材及质量与合同约定和设计不符，或不接受甲方质量监督员监督、拒不整改的，甲方有权拒绝支付合同标的资金，并按照每日1%的违约金支付工程延期给甲方造成的损失。</w:t>
      </w:r>
    </w:p>
    <w:p w14:paraId="6264D294">
      <w:pPr>
        <w:keepNext w:val="0"/>
        <w:keepLines w:val="0"/>
        <w:pageBreakBefore w:val="0"/>
        <w:kinsoku w:val="0"/>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条、争议的处理</w:t>
      </w:r>
    </w:p>
    <w:p w14:paraId="6D7C5A1F">
      <w:pPr>
        <w:keepNext w:val="0"/>
        <w:keepLines w:val="0"/>
        <w:pageBreakBefore w:val="0"/>
        <w:kinsoku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双方在执行协议中发生的争议，应通过协商解决，协商不成的，可向甲方所在地人民法院提起诉讼。</w:t>
      </w:r>
    </w:p>
    <w:p w14:paraId="02785F08">
      <w:pPr>
        <w:keepNext w:val="0"/>
        <w:keepLines w:val="0"/>
        <w:pageBreakBefore w:val="0"/>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第十条　附　则 </w:t>
      </w:r>
    </w:p>
    <w:p w14:paraId="63B78971">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份，自双方代表签字，加盖双方公章或合同专用章后生效。</w:t>
      </w:r>
    </w:p>
    <w:p w14:paraId="3BFAEBBF">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合同签字</w:t>
      </w:r>
      <w:r>
        <w:rPr>
          <w:rFonts w:hint="eastAsia" w:ascii="宋体" w:hAnsi="宋体" w:eastAsia="宋体" w:cs="宋体"/>
          <w:color w:val="auto"/>
          <w:sz w:val="24"/>
          <w:szCs w:val="24"/>
        </w:rPr>
        <w:t xml:space="preserve">盖章)        </w:t>
      </w:r>
    </w:p>
    <w:p w14:paraId="34FBA70C">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12ED258">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乙方(盖章)         </w:t>
      </w:r>
      <w:r>
        <w:rPr>
          <w:rFonts w:hint="eastAsia" w:ascii="宋体" w:hAnsi="宋体" w:eastAsia="宋体" w:cs="宋体"/>
          <w:color w:val="auto"/>
          <w:sz w:val="24"/>
          <w:szCs w:val="24"/>
          <w:lang w:val="en-US" w:eastAsia="zh-CN"/>
        </w:rPr>
        <w:t xml:space="preserve">  </w:t>
      </w:r>
    </w:p>
    <w:p w14:paraId="0C9C8B3B">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法人代表(签字)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法人代表(签字)</w:t>
      </w:r>
    </w:p>
    <w:p w14:paraId="7E32D097">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14:paraId="68303A7A">
      <w:pPr>
        <w:keepNext w:val="0"/>
        <w:keepLines w:val="0"/>
        <w:pageBreakBefore w:val="0"/>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委托代理人:</w:t>
      </w:r>
    </w:p>
    <w:p w14:paraId="262FD08B">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p>
    <w:p w14:paraId="222FAB85">
      <w:pPr>
        <w:keepNext w:val="0"/>
        <w:keepLines w:val="0"/>
        <w:pageBreakBefore w:val="0"/>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20xx年xx月xx日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20xx年xx月xx日</w:t>
      </w:r>
    </w:p>
    <w:p w14:paraId="28752753">
      <w:pPr>
        <w:pStyle w:val="2"/>
        <w:rPr>
          <w:color w:val="auto"/>
        </w:rPr>
        <w:sectPr>
          <w:footerReference r:id="rId7" w:type="default"/>
          <w:pgSz w:w="11906" w:h="16838"/>
          <w:pgMar w:top="1417" w:right="1417" w:bottom="1417" w:left="1417" w:header="851" w:footer="992" w:gutter="0"/>
          <w:pgNumType w:fmt="decimal"/>
          <w:cols w:space="0" w:num="1"/>
          <w:rtlGutter w:val="0"/>
          <w:docGrid w:type="lines" w:linePitch="312" w:charSpace="0"/>
        </w:sectPr>
      </w:pPr>
    </w:p>
    <w:p w14:paraId="3A1F6ACC">
      <w:pPr>
        <w:keepNext w:val="0"/>
        <w:keepLines w:val="0"/>
        <w:numPr>
          <w:ilvl w:val="0"/>
          <w:numId w:val="3"/>
        </w:numPr>
        <w:tabs>
          <w:tab w:val="right" w:pos="4860"/>
        </w:tabs>
        <w:kinsoku/>
        <w:wordWrap/>
        <w:overflowPunct/>
        <w:topLinePunct w:val="0"/>
        <w:bidi w:val="0"/>
        <w:adjustRightInd w:val="0"/>
        <w:snapToGrid w:val="0"/>
        <w:spacing w:line="440" w:lineRule="exact"/>
        <w:ind w:left="0" w:leftChars="0" w:right="0" w:firstLine="643" w:firstLineChars="2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磋商响应文件格式</w:t>
      </w:r>
    </w:p>
    <w:p w14:paraId="00F6C878">
      <w:pPr>
        <w:widowControl/>
        <w:spacing w:line="400" w:lineRule="exact"/>
        <w:jc w:val="right"/>
        <w:rPr>
          <w:rFonts w:hint="eastAsia" w:asciiTheme="majorEastAsia" w:hAnsiTheme="majorEastAsia" w:eastAsiaTheme="majorEastAsia" w:cstheme="majorEastAsia"/>
          <w:b/>
          <w:color w:val="auto"/>
          <w:sz w:val="36"/>
          <w:szCs w:val="36"/>
          <w:bdr w:val="single" w:color="auto" w:sz="4" w:space="0"/>
          <w:shd w:val="pct10" w:color="auto" w:fill="FFFFFF"/>
        </w:rPr>
      </w:pPr>
    </w:p>
    <w:p w14:paraId="5000FA02">
      <w:pPr>
        <w:widowControl/>
        <w:spacing w:line="400" w:lineRule="exact"/>
        <w:jc w:val="right"/>
        <w:rPr>
          <w:rFonts w:hint="eastAsia" w:asciiTheme="majorEastAsia" w:hAnsiTheme="majorEastAsia" w:eastAsiaTheme="majorEastAsia" w:cstheme="majorEastAsia"/>
          <w:b/>
          <w:color w:val="auto"/>
          <w:sz w:val="36"/>
          <w:szCs w:val="36"/>
          <w:bdr w:val="single" w:color="auto" w:sz="4" w:space="0"/>
          <w:shd w:val="pct10" w:color="auto" w:fill="FFFFFF"/>
        </w:rPr>
      </w:pPr>
    </w:p>
    <w:p w14:paraId="580B3CB0">
      <w:pPr>
        <w:pStyle w:val="10"/>
        <w:widowControl w:val="0"/>
        <w:numPr>
          <w:ilvl w:val="0"/>
          <w:numId w:val="0"/>
        </w:numPr>
        <w:spacing w:after="120"/>
        <w:jc w:val="both"/>
        <w:rPr>
          <w:rFonts w:hint="eastAsia"/>
          <w:color w:val="auto"/>
        </w:rPr>
      </w:pPr>
    </w:p>
    <w:p w14:paraId="229A22E1">
      <w:pPr>
        <w:keepNext w:val="0"/>
        <w:keepLines w:val="0"/>
        <w:widowControl/>
        <w:suppressLineNumbers w:val="0"/>
        <w:jc w:val="left"/>
        <w:rPr>
          <w:rFonts w:hint="eastAsia" w:ascii="宋体" w:hAnsi="宋体" w:eastAsia="宋体" w:cs="宋体"/>
          <w:b/>
          <w:color w:val="auto"/>
          <w:sz w:val="24"/>
          <w:szCs w:val="24"/>
        </w:rPr>
      </w:pPr>
    </w:p>
    <w:p w14:paraId="5983C693">
      <w:pPr>
        <w:keepNext w:val="0"/>
        <w:keepLines w:val="0"/>
        <w:widowControl/>
        <w:suppressLineNumbers w:val="0"/>
        <w:jc w:val="left"/>
        <w:rPr>
          <w:rFonts w:hint="default" w:ascii="宋体" w:hAnsi="宋体" w:eastAsia="宋体" w:cs="宋体"/>
          <w:b/>
          <w:color w:val="auto"/>
          <w:sz w:val="32"/>
          <w:szCs w:val="32"/>
          <w:lang w:val="en-US" w:eastAsia="zh-CN"/>
        </w:rPr>
      </w:pPr>
      <w:r>
        <w:rPr>
          <w:rFonts w:hint="eastAsia" w:ascii="宋体" w:hAnsi="宋体" w:eastAsia="宋体" w:cs="宋体"/>
          <w:b/>
          <w:color w:val="auto"/>
          <w:sz w:val="28"/>
          <w:szCs w:val="28"/>
        </w:rPr>
        <w:t>项目编号：</w:t>
      </w:r>
      <w:r>
        <w:rPr>
          <w:rFonts w:hint="eastAsia" w:ascii="宋体" w:hAnsi="宋体" w:eastAsia="宋体" w:cs="宋体"/>
          <w:b/>
          <w:color w:val="auto"/>
          <w:sz w:val="32"/>
          <w:szCs w:val="32"/>
        </w:rPr>
        <w:t>ZCSP-白河县-2025-00624</w:t>
      </w:r>
    </w:p>
    <w:p w14:paraId="2161E71B">
      <w:pPr>
        <w:keepNext w:val="0"/>
        <w:keepLines w:val="0"/>
        <w:kinsoku/>
        <w:wordWrap/>
        <w:overflowPunct/>
        <w:topLinePunct w:val="0"/>
        <w:autoSpaceDE w:val="0"/>
        <w:autoSpaceDN w:val="0"/>
        <w:bidi w:val="0"/>
        <w:adjustRightInd w:val="0"/>
        <w:spacing w:line="440" w:lineRule="exact"/>
        <w:ind w:right="0"/>
        <w:rPr>
          <w:rFonts w:hint="eastAsia" w:ascii="宋体" w:hAnsi="宋体" w:eastAsia="宋体" w:cs="宋体"/>
          <w:b/>
          <w:bCs/>
          <w:color w:val="auto"/>
          <w:spacing w:val="-10"/>
          <w:sz w:val="24"/>
          <w:szCs w:val="24"/>
        </w:rPr>
      </w:pPr>
    </w:p>
    <w:p w14:paraId="45BCDB83">
      <w:pPr>
        <w:keepNext w:val="0"/>
        <w:keepLines w:val="0"/>
        <w:kinsoku/>
        <w:wordWrap/>
        <w:overflowPunct/>
        <w:topLinePunct w:val="0"/>
        <w:autoSpaceDE w:val="0"/>
        <w:autoSpaceDN w:val="0"/>
        <w:bidi w:val="0"/>
        <w:adjustRightInd w:val="0"/>
        <w:spacing w:line="440" w:lineRule="exact"/>
        <w:ind w:left="0" w:leftChars="0" w:right="0" w:firstLine="442" w:firstLineChars="200"/>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 xml:space="preserve"> </w:t>
      </w:r>
    </w:p>
    <w:p w14:paraId="4AD156E4">
      <w:pPr>
        <w:pStyle w:val="19"/>
        <w:keepNext w:val="0"/>
        <w:keepLines w:val="0"/>
        <w:kinsoku/>
        <w:wordWrap/>
        <w:overflowPunct/>
        <w:topLinePunct w:val="0"/>
        <w:bidi w:val="0"/>
        <w:spacing w:line="440" w:lineRule="exact"/>
        <w:ind w:left="0" w:leftChars="0" w:right="0" w:firstLine="442" w:firstLineChars="200"/>
        <w:rPr>
          <w:rFonts w:hint="eastAsia" w:ascii="宋体" w:hAnsi="宋体" w:eastAsia="宋体" w:cs="宋体"/>
          <w:b/>
          <w:bCs/>
          <w:color w:val="auto"/>
          <w:spacing w:val="-10"/>
          <w:sz w:val="24"/>
          <w:szCs w:val="24"/>
        </w:rPr>
      </w:pPr>
    </w:p>
    <w:p w14:paraId="596D9065">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rPr>
      </w:pPr>
    </w:p>
    <w:p w14:paraId="7341D5CD">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lang w:val="en-US" w:eastAsia="zh-CN"/>
        </w:rPr>
      </w:pPr>
      <w:r>
        <w:rPr>
          <w:rFonts w:hint="eastAsia" w:ascii="宋体" w:hAnsi="宋体" w:cs="宋体"/>
          <w:b/>
          <w:color w:val="auto"/>
          <w:sz w:val="44"/>
          <w:szCs w:val="44"/>
          <w:lang w:val="en-US" w:eastAsia="zh-CN"/>
        </w:rPr>
        <w:t>白河县人民法院外墙改造新增项目</w:t>
      </w:r>
    </w:p>
    <w:p w14:paraId="59848CB2">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0DA8BC94">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竞争性磋商响应文件</w:t>
      </w:r>
    </w:p>
    <w:p w14:paraId="303F9E0B">
      <w:pPr>
        <w:keepNext w:val="0"/>
        <w:keepLines w:val="0"/>
        <w:kinsoku/>
        <w:wordWrap/>
        <w:overflowPunct/>
        <w:topLinePunct w:val="0"/>
        <w:bidi w:val="0"/>
        <w:adjustRightInd w:val="0"/>
        <w:snapToGrid w:val="0"/>
        <w:spacing w:line="440" w:lineRule="exact"/>
        <w:ind w:left="0" w:leftChars="0" w:right="0" w:firstLine="480" w:firstLineChars="200"/>
        <w:rPr>
          <w:rFonts w:hint="eastAsia" w:ascii="宋体" w:hAnsi="宋体" w:eastAsia="宋体" w:cs="宋体"/>
          <w:color w:val="auto"/>
          <w:sz w:val="24"/>
          <w:szCs w:val="24"/>
        </w:rPr>
      </w:pPr>
    </w:p>
    <w:p w14:paraId="10562C42">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6C8D1FC5">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2502EA7F">
      <w:pPr>
        <w:pStyle w:val="10"/>
        <w:rPr>
          <w:rFonts w:hint="eastAsia" w:ascii="宋体" w:hAnsi="宋体" w:eastAsia="宋体" w:cs="宋体"/>
          <w:b/>
          <w:bCs/>
          <w:color w:val="auto"/>
          <w:sz w:val="24"/>
          <w:szCs w:val="24"/>
        </w:rPr>
      </w:pPr>
    </w:p>
    <w:p w14:paraId="403D75BB">
      <w:pPr>
        <w:pStyle w:val="10"/>
        <w:rPr>
          <w:rFonts w:hint="eastAsia" w:ascii="宋体" w:hAnsi="宋体" w:eastAsia="宋体" w:cs="宋体"/>
          <w:b/>
          <w:bCs/>
          <w:color w:val="auto"/>
          <w:sz w:val="24"/>
          <w:szCs w:val="24"/>
        </w:rPr>
      </w:pPr>
      <w:r>
        <w:rPr>
          <w:rFonts w:hint="eastAsia" w:asciiTheme="majorEastAsia" w:hAnsiTheme="majorEastAsia" w:eastAsiaTheme="majorEastAsia" w:cstheme="majorEastAsia"/>
          <w:bCs/>
          <w:color w:val="auto"/>
          <w:sz w:val="32"/>
          <w:szCs w:val="28"/>
        </w:rPr>
        <w:t xml:space="preserve">     </w:t>
      </w:r>
      <w:r>
        <w:rPr>
          <w:rFonts w:hint="eastAsia" w:asciiTheme="majorEastAsia" w:hAnsiTheme="majorEastAsia" w:eastAsiaTheme="majorEastAsia" w:cstheme="majorEastAsia"/>
          <w:bCs/>
          <w:color w:val="auto"/>
          <w:sz w:val="32"/>
          <w:szCs w:val="28"/>
          <w:lang w:val="en-US" w:eastAsia="zh-CN"/>
        </w:rPr>
        <w:t xml:space="preserve">               </w:t>
      </w:r>
      <w:r>
        <w:rPr>
          <w:rFonts w:hint="eastAsia" w:asciiTheme="majorEastAsia" w:hAnsiTheme="majorEastAsia" w:eastAsiaTheme="majorEastAsia" w:cstheme="majorEastAsia"/>
          <w:bCs/>
          <w:color w:val="auto"/>
          <w:sz w:val="44"/>
          <w:szCs w:val="44"/>
        </w:rPr>
        <w:t>（正/副本）</w:t>
      </w:r>
    </w:p>
    <w:p w14:paraId="0DD973AF">
      <w:pPr>
        <w:pStyle w:val="10"/>
        <w:rPr>
          <w:rFonts w:hint="eastAsia" w:ascii="宋体" w:hAnsi="宋体" w:eastAsia="宋体" w:cs="宋体"/>
          <w:b/>
          <w:bCs/>
          <w:color w:val="auto"/>
          <w:sz w:val="24"/>
          <w:szCs w:val="24"/>
        </w:rPr>
      </w:pPr>
    </w:p>
    <w:p w14:paraId="4EE0B42C">
      <w:pPr>
        <w:pStyle w:val="10"/>
        <w:rPr>
          <w:rFonts w:hint="eastAsia" w:ascii="宋体" w:hAnsi="宋体" w:eastAsia="宋体" w:cs="宋体"/>
          <w:b/>
          <w:bCs/>
          <w:color w:val="auto"/>
          <w:sz w:val="24"/>
          <w:szCs w:val="24"/>
        </w:rPr>
      </w:pPr>
    </w:p>
    <w:p w14:paraId="559CF4E6">
      <w:pPr>
        <w:pStyle w:val="10"/>
        <w:rPr>
          <w:rFonts w:hint="eastAsia" w:ascii="宋体" w:hAnsi="宋体" w:eastAsia="宋体" w:cs="宋体"/>
          <w:b/>
          <w:bCs/>
          <w:color w:val="auto"/>
          <w:sz w:val="24"/>
          <w:szCs w:val="24"/>
        </w:rPr>
      </w:pPr>
    </w:p>
    <w:p w14:paraId="3824AEBE">
      <w:pPr>
        <w:pStyle w:val="10"/>
        <w:rPr>
          <w:rFonts w:hint="eastAsia" w:ascii="宋体" w:hAnsi="宋体" w:eastAsia="宋体" w:cs="宋体"/>
          <w:b/>
          <w:bCs/>
          <w:color w:val="auto"/>
          <w:sz w:val="24"/>
          <w:szCs w:val="24"/>
        </w:rPr>
      </w:pPr>
    </w:p>
    <w:p w14:paraId="1B612ECA">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33F58CFE">
      <w:pPr>
        <w:keepNext w:val="0"/>
        <w:keepLines w:val="0"/>
        <w:kinsoku/>
        <w:wordWrap/>
        <w:overflowPunct/>
        <w:topLinePunct w:val="0"/>
        <w:autoSpaceDE w:val="0"/>
        <w:autoSpaceDN w:val="0"/>
        <w:bidi w:val="0"/>
        <w:adjustRightInd w:val="0"/>
        <w:snapToGrid w:val="0"/>
        <w:spacing w:line="440" w:lineRule="exact"/>
        <w:ind w:left="0" w:leftChars="0" w:right="0" w:firstLine="723" w:firstLineChars="300"/>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lang w:val="zh-CN"/>
        </w:rPr>
        <w:t>供</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应</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商</w:t>
      </w:r>
      <w:r>
        <w:rPr>
          <w:rFonts w:hint="eastAsia" w:ascii="宋体" w:hAnsi="宋体" w:eastAsia="宋体" w:cs="宋体"/>
          <w:b/>
          <w:bCs/>
          <w:color w:val="auto"/>
          <w:sz w:val="24"/>
          <w:szCs w:val="24"/>
        </w:rPr>
        <w:t>（盖公章）</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14:paraId="55E32EA2">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  </w:t>
      </w:r>
    </w:p>
    <w:p w14:paraId="08323BCD">
      <w:pPr>
        <w:keepNext w:val="0"/>
        <w:keepLines w:val="0"/>
        <w:kinsoku/>
        <w:wordWrap/>
        <w:overflowPunct/>
        <w:topLinePunct w:val="0"/>
        <w:autoSpaceDE w:val="0"/>
        <w:autoSpaceDN w:val="0"/>
        <w:bidi w:val="0"/>
        <w:adjustRightInd w:val="0"/>
        <w:snapToGrid w:val="0"/>
        <w:spacing w:line="440" w:lineRule="exact"/>
        <w:ind w:left="0" w:leftChars="0" w:right="0" w:firstLine="723" w:firstLineChars="300"/>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法定代表人（签字或盖章）：</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 xml:space="preserve">          </w:t>
      </w:r>
    </w:p>
    <w:p w14:paraId="7514FC56">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u w:val="single"/>
        </w:rPr>
      </w:pPr>
    </w:p>
    <w:p w14:paraId="0F9E6D48">
      <w:pPr>
        <w:keepNext w:val="0"/>
        <w:keepLines w:val="0"/>
        <w:kinsoku/>
        <w:wordWrap/>
        <w:overflowPunct/>
        <w:topLinePunct w:val="0"/>
        <w:autoSpaceDE w:val="0"/>
        <w:autoSpaceDN w:val="0"/>
        <w:bidi w:val="0"/>
        <w:adjustRightInd w:val="0"/>
        <w:snapToGrid w:val="0"/>
        <w:spacing w:line="440" w:lineRule="exact"/>
        <w:ind w:left="0" w:leftChars="0" w:right="0" w:firstLine="723" w:firstLineChars="300"/>
        <w:rPr>
          <w:rFonts w:hint="default" w:ascii="宋体" w:hAnsi="宋体" w:eastAsia="宋体" w:cs="宋体"/>
          <w:b/>
          <w:color w:val="auto"/>
          <w:sz w:val="24"/>
          <w:szCs w:val="24"/>
          <w:lang w:val="en-US" w:eastAsia="zh-CN"/>
        </w:rPr>
      </w:pPr>
      <w:r>
        <w:rPr>
          <w:rFonts w:hint="eastAsia" w:ascii="宋体" w:hAnsi="宋体" w:eastAsia="宋体" w:cs="宋体"/>
          <w:b/>
          <w:bCs/>
          <w:color w:val="auto"/>
          <w:sz w:val="24"/>
          <w:szCs w:val="24"/>
          <w:lang w:val="zh-CN"/>
        </w:rPr>
        <w:t>时</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间：</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14:paraId="0CB2EDA4">
      <w:pPr>
        <w:keepNext w:val="0"/>
        <w:keepLines w:val="0"/>
        <w:kinsoku/>
        <w:wordWrap/>
        <w:overflowPunct/>
        <w:topLinePunct w:val="0"/>
        <w:bidi w:val="0"/>
        <w:spacing w:line="440" w:lineRule="exact"/>
        <w:ind w:left="0" w:leftChars="0" w:right="0" w:firstLine="482" w:firstLineChars="200"/>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 xml:space="preserve">  </w:t>
      </w:r>
    </w:p>
    <w:p w14:paraId="13565455">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3D2762C">
      <w:pPr>
        <w:keepNext w:val="0"/>
        <w:keepLines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kern w:val="2"/>
          <w:sz w:val="32"/>
          <w:szCs w:val="32"/>
        </w:rPr>
        <w:t>第</w:t>
      </w:r>
      <w:r>
        <w:rPr>
          <w:rFonts w:hint="eastAsia" w:ascii="宋体" w:hAnsi="宋体" w:cs="宋体"/>
          <w:b/>
          <w:color w:val="auto"/>
          <w:kern w:val="2"/>
          <w:sz w:val="32"/>
          <w:szCs w:val="32"/>
          <w:lang w:val="en-US" w:eastAsia="zh-CN"/>
        </w:rPr>
        <w:t>一</w:t>
      </w:r>
      <w:r>
        <w:rPr>
          <w:rFonts w:hint="eastAsia" w:ascii="宋体" w:hAnsi="宋体" w:eastAsia="宋体" w:cs="宋体"/>
          <w:b/>
          <w:color w:val="auto"/>
          <w:kern w:val="2"/>
          <w:sz w:val="32"/>
          <w:szCs w:val="32"/>
        </w:rPr>
        <w:t>章</w:t>
      </w:r>
      <w:r>
        <w:rPr>
          <w:rFonts w:hint="eastAsia" w:ascii="宋体" w:hAnsi="宋体" w:cs="宋体"/>
          <w:b/>
          <w:color w:val="auto"/>
          <w:kern w:val="2"/>
          <w:sz w:val="32"/>
          <w:szCs w:val="32"/>
          <w:lang w:val="en-US" w:eastAsia="zh-CN"/>
        </w:rPr>
        <w:t xml:space="preserve"> </w:t>
      </w:r>
      <w:r>
        <w:rPr>
          <w:rFonts w:hint="eastAsia" w:ascii="宋体" w:hAnsi="宋体" w:eastAsia="宋体" w:cs="宋体"/>
          <w:b/>
          <w:color w:val="auto"/>
          <w:sz w:val="32"/>
          <w:szCs w:val="32"/>
          <w:highlight w:val="none"/>
        </w:rPr>
        <w:t>磋商响应函</w:t>
      </w:r>
    </w:p>
    <w:p w14:paraId="4C0E8EAE">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宝泽项目管理有限公司</w:t>
      </w:r>
      <w:r>
        <w:rPr>
          <w:rFonts w:hint="eastAsia" w:ascii="宋体" w:hAnsi="宋体" w:eastAsia="宋体" w:cs="宋体"/>
          <w:color w:val="auto"/>
          <w:sz w:val="24"/>
          <w:szCs w:val="24"/>
          <w:highlight w:val="none"/>
        </w:rPr>
        <w:t>：</w:t>
      </w:r>
    </w:p>
    <w:p w14:paraId="41155B58">
      <w:pPr>
        <w:adjustRightInd w:val="0"/>
        <w:snapToGrid w:val="0"/>
        <w:spacing w:line="48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（采购项目名称）（项目编号）</w:t>
      </w:r>
      <w:r>
        <w:rPr>
          <w:rFonts w:hint="eastAsia" w:ascii="宋体" w:hAnsi="宋体" w:eastAsia="宋体" w:cs="宋体"/>
          <w:color w:val="auto"/>
          <w:sz w:val="24"/>
          <w:szCs w:val="24"/>
          <w:highlight w:val="none"/>
        </w:rPr>
        <w:t>招标采购的</w:t>
      </w:r>
      <w:bookmarkStart w:id="0" w:name="_Hlk485847688"/>
      <w:r>
        <w:rPr>
          <w:rFonts w:hint="eastAsia" w:ascii="宋体" w:hAnsi="宋体" w:eastAsia="宋体" w:cs="宋体"/>
          <w:color w:val="auto"/>
          <w:sz w:val="24"/>
          <w:szCs w:val="24"/>
          <w:highlight w:val="none"/>
        </w:rPr>
        <w:t>竞争性磋商公告</w:t>
      </w:r>
      <w:bookmarkEnd w:id="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 xml:space="preserve">              （投标人名称、地址）</w:t>
      </w:r>
      <w:r>
        <w:rPr>
          <w:rFonts w:hint="eastAsia" w:ascii="宋体" w:hAnsi="宋体" w:eastAsia="宋体" w:cs="宋体"/>
          <w:color w:val="auto"/>
          <w:sz w:val="24"/>
          <w:szCs w:val="24"/>
          <w:highlight w:val="none"/>
        </w:rPr>
        <w:t>，</w:t>
      </w:r>
      <w:r>
        <w:rPr>
          <w:rFonts w:hint="eastAsia" w:ascii="宋体" w:hAnsi="宋体" w:cs="宋体"/>
          <w:color w:val="auto"/>
          <w:sz w:val="24"/>
          <w:szCs w:val="24"/>
        </w:rPr>
        <w:t>提交的响应文件正本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w:t>
      </w:r>
      <w:r>
        <w:rPr>
          <w:rFonts w:hint="eastAsia" w:ascii="宋体" w:hAnsi="宋体" w:cs="宋体"/>
          <w:color w:val="auto"/>
          <w:sz w:val="24"/>
          <w:szCs w:val="24"/>
          <w:lang w:eastAsia="zh-CN"/>
        </w:rPr>
        <w:t>。</w:t>
      </w:r>
    </w:p>
    <w:p w14:paraId="4BA0E39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在此，盖章代表宣布同意如下：</w:t>
      </w:r>
    </w:p>
    <w:p w14:paraId="77C6D87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1、所附报价表中规定的应提交和交付的总报价为大写：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1D1B4E8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2、我们将按磋商文件的规定履行合同责任和义务。</w:t>
      </w:r>
    </w:p>
    <w:p w14:paraId="100FD9E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3、我们已详细审查全部磋商文件。我们完全理解并同意放弃对这方面有不明及误解的权力。</w:t>
      </w:r>
    </w:p>
    <w:p w14:paraId="5C1FB83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4、本磋商有效期为自磋商之日起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个日历日（成交单位的响应文件有效期延长为与合同有效期一致）。</w:t>
      </w:r>
    </w:p>
    <w:p w14:paraId="187CE3E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5、我们完全理解并同意贵方在磋商文件中的有关拒绝磋商的条款。</w:t>
      </w:r>
    </w:p>
    <w:p w14:paraId="47ADE87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6、我们同意提供按照贵方可能要求的与其磋商有关的一切数据或资料，完全理解贵方不一定接受最低磋商报价的响应文件或收到的任何响应文件。</w:t>
      </w:r>
    </w:p>
    <w:p w14:paraId="2BB2EB56">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7、若我方获得成交，我方保证按有关规定向贵方支付成交服务费。</w:t>
      </w:r>
    </w:p>
    <w:p w14:paraId="082965E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8、我们完全理解并完全响应贵方在磋商文件中的有关合同条款的内容及要求。</w:t>
      </w:r>
    </w:p>
    <w:p w14:paraId="4127FAA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9、与本磋商有关的一切正式往来信函请寄：</w:t>
      </w:r>
    </w:p>
    <w:p w14:paraId="655DB7F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5E3F829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法定代表人(法定代表人私章)：</w:t>
      </w:r>
    </w:p>
    <w:p w14:paraId="3847C8D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   细   地   址：</w:t>
      </w:r>
    </w:p>
    <w:p w14:paraId="48F1FEB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w:t>
      </w:r>
    </w:p>
    <w:p w14:paraId="7A55CB9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1DE1DAE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4DA07E6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子 邮 件 地 址：</w:t>
      </w:r>
    </w:p>
    <w:p w14:paraId="73A78D3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w:t>
      </w:r>
    </w:p>
    <w:p w14:paraId="0693895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1F8885EA">
      <w:pPr>
        <w:keepNext w:val="0"/>
        <w:keepLines w:val="0"/>
        <w:kinsoku/>
        <w:wordWrap/>
        <w:overflowPunct/>
        <w:topLinePunct w:val="0"/>
        <w:bidi w:val="0"/>
        <w:spacing w:line="440" w:lineRule="exact"/>
        <w:ind w:left="0" w:leftChars="0" w:right="0" w:firstLine="480" w:firstLineChars="200"/>
        <w:jc w:val="right"/>
        <w:rPr>
          <w:rFonts w:hint="eastAsia" w:ascii="宋体" w:hAnsi="宋体" w:eastAsia="宋体" w:cs="宋体"/>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r>
        <w:rPr>
          <w:rFonts w:hint="eastAsia" w:ascii="宋体" w:hAnsi="宋体" w:eastAsia="宋体" w:cs="宋体"/>
          <w:color w:val="auto"/>
          <w:sz w:val="24"/>
          <w:szCs w:val="24"/>
          <w:highlight w:val="none"/>
        </w:rPr>
        <w:t>年    月    日</w:t>
      </w:r>
    </w:p>
    <w:p w14:paraId="68232F75">
      <w:pPr>
        <w:keepNext w:val="0"/>
        <w:keepLines w:val="0"/>
        <w:kinsoku/>
        <w:wordWrap/>
        <w:overflowPunct/>
        <w:topLinePunct w:val="0"/>
        <w:bidi w:val="0"/>
        <w:spacing w:line="440" w:lineRule="exact"/>
        <w:ind w:right="0"/>
        <w:jc w:val="center"/>
        <w:rPr>
          <w:rFonts w:hint="eastAsia" w:ascii="宋体" w:hAnsi="宋体" w:eastAsia="宋体" w:cs="宋体"/>
          <w:b/>
          <w:color w:val="auto"/>
          <w:sz w:val="32"/>
          <w:szCs w:val="32"/>
          <w:highlight w:val="none"/>
        </w:rPr>
      </w:pPr>
      <w:r>
        <w:rPr>
          <w:rFonts w:hint="eastAsia" w:ascii="宋体" w:hAnsi="宋体" w:eastAsia="宋体" w:cs="宋体"/>
          <w:b/>
          <w:color w:val="auto"/>
          <w:kern w:val="2"/>
          <w:sz w:val="32"/>
          <w:szCs w:val="32"/>
        </w:rPr>
        <w:t>第</w:t>
      </w:r>
      <w:r>
        <w:rPr>
          <w:rFonts w:hint="eastAsia" w:ascii="宋体" w:hAnsi="宋体" w:cs="宋体"/>
          <w:b/>
          <w:color w:val="auto"/>
          <w:kern w:val="2"/>
          <w:sz w:val="32"/>
          <w:szCs w:val="32"/>
          <w:lang w:val="en-US" w:eastAsia="zh-CN"/>
        </w:rPr>
        <w:t>二</w:t>
      </w:r>
      <w:r>
        <w:rPr>
          <w:rFonts w:hint="eastAsia" w:ascii="宋体" w:hAnsi="宋体" w:eastAsia="宋体" w:cs="宋体"/>
          <w:b/>
          <w:color w:val="auto"/>
          <w:kern w:val="2"/>
          <w:sz w:val="32"/>
          <w:szCs w:val="32"/>
        </w:rPr>
        <w:t>章</w:t>
      </w:r>
      <w:r>
        <w:rPr>
          <w:rFonts w:hint="eastAsia" w:ascii="宋体" w:hAnsi="宋体" w:cs="宋体"/>
          <w:b/>
          <w:color w:val="auto"/>
          <w:kern w:val="2"/>
          <w:sz w:val="32"/>
          <w:szCs w:val="32"/>
          <w:lang w:val="en-US" w:eastAsia="zh-CN"/>
        </w:rPr>
        <w:t xml:space="preserve"> </w:t>
      </w:r>
      <w:r>
        <w:rPr>
          <w:rFonts w:hint="eastAsia" w:ascii="宋体" w:hAnsi="宋体" w:eastAsia="宋体" w:cs="宋体"/>
          <w:b/>
          <w:color w:val="auto"/>
          <w:sz w:val="32"/>
          <w:szCs w:val="32"/>
          <w:highlight w:val="none"/>
        </w:rPr>
        <w:t>第一次磋商报价</w:t>
      </w:r>
    </w:p>
    <w:p w14:paraId="7993AE37">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（一）报 价 表</w:t>
      </w:r>
    </w:p>
    <w:p w14:paraId="154FEF58">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A8A3F44">
      <w:pPr>
        <w:keepNext w:val="0"/>
        <w:keepLines w:val="0"/>
        <w:kinsoku/>
        <w:wordWrap/>
        <w:overflowPunct/>
        <w:topLinePunct w:val="0"/>
        <w:bidi w:val="0"/>
        <w:spacing w:line="440" w:lineRule="exact"/>
        <w:ind w:left="0" w:leftChars="0" w:right="0" w:firstLine="43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pacing w:val="-11"/>
          <w:sz w:val="24"/>
          <w:szCs w:val="24"/>
          <w:highlight w:val="none"/>
        </w:rPr>
        <w:t>项目名称：</w:t>
      </w:r>
      <w:r>
        <w:rPr>
          <w:rFonts w:hint="eastAsia" w:ascii="宋体" w:hAnsi="宋体" w:eastAsia="宋体" w:cs="宋体"/>
          <w:bCs/>
          <w:color w:val="auto"/>
          <w:sz w:val="24"/>
          <w:szCs w:val="24"/>
          <w:highlight w:val="none"/>
        </w:rPr>
        <w:t xml:space="preserve">          </w:t>
      </w:r>
    </w:p>
    <w:p w14:paraId="3837506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p>
    <w:tbl>
      <w:tblPr>
        <w:tblStyle w:val="26"/>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2418"/>
        <w:gridCol w:w="2227"/>
        <w:gridCol w:w="1993"/>
        <w:gridCol w:w="1993"/>
      </w:tblGrid>
      <w:tr w14:paraId="6D0B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465" w:type="dxa"/>
            <w:vAlign w:val="center"/>
          </w:tcPr>
          <w:p w14:paraId="7A1FCAD9">
            <w:pPr>
              <w:keepNext w:val="0"/>
              <w:keepLines w:val="0"/>
              <w:kinsoku/>
              <w:wordWrap/>
              <w:overflowPunct/>
              <w:topLinePunct w:val="0"/>
              <w:bidi w:val="0"/>
              <w:spacing w:line="440" w:lineRule="exact"/>
              <w:ind w:right="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tc>
        <w:tc>
          <w:tcPr>
            <w:tcW w:w="2418" w:type="dxa"/>
            <w:vAlign w:val="center"/>
          </w:tcPr>
          <w:p w14:paraId="4F7BE00A">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投标总报价（元）</w:t>
            </w:r>
          </w:p>
        </w:tc>
        <w:tc>
          <w:tcPr>
            <w:tcW w:w="2227" w:type="dxa"/>
            <w:vAlign w:val="center"/>
          </w:tcPr>
          <w:p w14:paraId="22F2D830">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工期</w:t>
            </w:r>
          </w:p>
        </w:tc>
        <w:tc>
          <w:tcPr>
            <w:tcW w:w="1993" w:type="dxa"/>
            <w:vAlign w:val="center"/>
          </w:tcPr>
          <w:p w14:paraId="114123A4">
            <w:pPr>
              <w:keepNext w:val="0"/>
              <w:keepLines w:val="0"/>
              <w:kinsoku/>
              <w:wordWrap/>
              <w:overflowPunct/>
              <w:topLinePunct w:val="0"/>
              <w:bidi w:val="0"/>
              <w:spacing w:line="440" w:lineRule="exact"/>
              <w:ind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w:t>
            </w:r>
          </w:p>
        </w:tc>
        <w:tc>
          <w:tcPr>
            <w:tcW w:w="1993" w:type="dxa"/>
            <w:vAlign w:val="center"/>
          </w:tcPr>
          <w:p w14:paraId="05617EC3">
            <w:pPr>
              <w:keepNext w:val="0"/>
              <w:keepLines w:val="0"/>
              <w:kinsoku/>
              <w:wordWrap/>
              <w:overflowPunct/>
              <w:topLinePunct w:val="0"/>
              <w:bidi w:val="0"/>
              <w:spacing w:line="440" w:lineRule="exact"/>
              <w:ind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质保期</w:t>
            </w:r>
          </w:p>
        </w:tc>
      </w:tr>
      <w:tr w14:paraId="6CE2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465" w:type="dxa"/>
            <w:vAlign w:val="center"/>
          </w:tcPr>
          <w:p w14:paraId="1F8F121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418" w:type="dxa"/>
            <w:vAlign w:val="center"/>
          </w:tcPr>
          <w:p w14:paraId="767F1DB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p w14:paraId="67A85B5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p>
        </w:tc>
        <w:tc>
          <w:tcPr>
            <w:tcW w:w="2227" w:type="dxa"/>
            <w:vAlign w:val="center"/>
          </w:tcPr>
          <w:p w14:paraId="3EA6E4C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1993" w:type="dxa"/>
            <w:vAlign w:val="center"/>
          </w:tcPr>
          <w:p w14:paraId="0F92F7F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1993" w:type="dxa"/>
            <w:vAlign w:val="center"/>
          </w:tcPr>
          <w:p w14:paraId="6DFFA3A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r>
    </w:tbl>
    <w:p w14:paraId="1B874939">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注：报价精确到小数点后两位。</w:t>
      </w:r>
    </w:p>
    <w:p w14:paraId="5ECBEC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2035FD7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7FFA5D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投标人所报的价格应考虑到可能发生的所有与完成本项目相关服务及履行合同义务有关的一切费用。</w:t>
      </w:r>
    </w:p>
    <w:p w14:paraId="7498614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0D031D5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76FBBE2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5DE7608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2BBA2C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777AC4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2B1BB5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4BA4E1D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231B635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6BF662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A19C63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68BBB88A">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DCA4D0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15AA8D0">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C8F2082">
      <w:pPr>
        <w:keepNext w:val="0"/>
        <w:keepLines w:val="0"/>
        <w:widowControl/>
        <w:kinsoku/>
        <w:wordWrap/>
        <w:overflowPunct/>
        <w:topLinePunct w:val="0"/>
        <w:bidi w:val="0"/>
        <w:spacing w:line="440" w:lineRule="exact"/>
        <w:ind w:left="0" w:leftChars="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0C8862">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（二）已标价工程量清单</w:t>
      </w:r>
    </w:p>
    <w:p w14:paraId="0ECD3341">
      <w:pPr>
        <w:keepNext w:val="0"/>
        <w:keepLines w:val="0"/>
        <w:pageBreakBefore w:val="0"/>
        <w:widowControl w:val="0"/>
        <w:kinsoku/>
        <w:wordWrap/>
        <w:overflowPunct/>
        <w:topLinePunct w:val="0"/>
        <w:bidi w:val="0"/>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投标人应按照第</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部分磋商内容及要求中“工程量清单”的要求及工程量清单各项表格逐页填报工程量清单，并完全响应工程量清单说明、投标报价说明、其他说明。</w:t>
      </w:r>
    </w:p>
    <w:p w14:paraId="35C63E0A">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0F32A3BB">
      <w:pPr>
        <w:pStyle w:val="2"/>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3B46428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067F1A7B">
      <w:pPr>
        <w:pStyle w:val="2"/>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2B9EC5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7573048">
      <w:pPr>
        <w:pStyle w:val="2"/>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77889553">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46C51B47">
      <w:pPr>
        <w:pStyle w:val="2"/>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11A6FF31">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21B266F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注：1.如果按单价计算的结果与总价不一致，以单价为准修正总价。</w:t>
      </w:r>
    </w:p>
    <w:p w14:paraId="60129FA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2</w:t>
      </w:r>
      <w:r>
        <w:rPr>
          <w:rFonts w:hint="eastAsia" w:ascii="宋体" w:hAnsi="宋体" w:eastAsia="宋体" w:cs="宋体"/>
          <w:b/>
          <w:color w:val="auto"/>
          <w:sz w:val="24"/>
          <w:szCs w:val="24"/>
          <w:highlight w:val="none"/>
        </w:rPr>
        <w:t>.报价精确到小数点后两位。</w:t>
      </w:r>
    </w:p>
    <w:p w14:paraId="00B1187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F06CC4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0D6A84B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CEA9A3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E1BD3F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0F518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4E169E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 期： </w:t>
      </w:r>
    </w:p>
    <w:p w14:paraId="1B6AEB6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9B0D60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3E781D7D">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A2BCF81">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bookmarkStart w:id="1" w:name="_Toc25722"/>
      <w:bookmarkStart w:id="2" w:name="_Toc24482"/>
      <w:r>
        <w:rPr>
          <w:rFonts w:hint="eastAsia" w:ascii="宋体" w:hAnsi="宋体" w:eastAsia="宋体" w:cs="宋体"/>
          <w:b/>
          <w:color w:val="auto"/>
          <w:kern w:val="2"/>
          <w:sz w:val="32"/>
          <w:szCs w:val="32"/>
        </w:rPr>
        <w:t>第三章 法定代表人证明书及授权委托书</w:t>
      </w:r>
      <w:bookmarkEnd w:id="1"/>
      <w:bookmarkEnd w:id="2"/>
    </w:p>
    <w:p w14:paraId="2780B00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p w14:paraId="60761F38">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一、法定代表人证明书</w:t>
      </w:r>
    </w:p>
    <w:p w14:paraId="62115AA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3747B2B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66A189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F94C1C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1B5868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6B5ABE2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277CEC9A">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6"/>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E5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0412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8D731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574F96EE">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03B409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69B522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61DFF40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7881AA0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21DE441">
      <w:pPr>
        <w:pStyle w:val="10"/>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49944F82">
      <w:pPr>
        <w:pStyle w:val="10"/>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47632F9B">
      <w:pPr>
        <w:pStyle w:val="10"/>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06D71A49">
      <w:pPr>
        <w:pStyle w:val="10"/>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657D0A68">
      <w:pPr>
        <w:pStyle w:val="10"/>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0EE54A18">
      <w:pPr>
        <w:pStyle w:val="10"/>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4474357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5B3CD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1B4E18B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1D5F79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b/>
          <w:color w:val="auto"/>
          <w:kern w:val="2"/>
          <w:sz w:val="24"/>
          <w:szCs w:val="24"/>
        </w:rPr>
      </w:pPr>
      <w:r>
        <w:rPr>
          <w:rFonts w:hint="eastAsia" w:ascii="宋体" w:hAnsi="宋体" w:eastAsia="宋体" w:cs="宋体"/>
          <w:color w:val="auto"/>
          <w:kern w:val="0"/>
          <w:sz w:val="24"/>
          <w:szCs w:val="24"/>
        </w:rPr>
        <w:br w:type="page"/>
      </w:r>
      <w:bookmarkStart w:id="3" w:name="_Toc11309"/>
      <w:r>
        <w:rPr>
          <w:rFonts w:hint="eastAsia" w:ascii="宋体" w:hAnsi="宋体" w:eastAsia="宋体" w:cs="宋体"/>
          <w:b/>
          <w:color w:val="auto"/>
          <w:kern w:val="2"/>
          <w:sz w:val="24"/>
          <w:szCs w:val="24"/>
        </w:rPr>
        <w:t>二、法定代表人授权委托书</w:t>
      </w:r>
    </w:p>
    <w:p w14:paraId="5B2A71E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47136E0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4D5BB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2F8000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4DD911A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4" w:name="_Toc201637979"/>
      <w:bookmarkStart w:id="5" w:name="_Toc214090947"/>
      <w:r>
        <w:rPr>
          <w:rFonts w:hint="eastAsia" w:ascii="宋体" w:hAnsi="宋体" w:eastAsia="宋体" w:cs="宋体"/>
          <w:color w:val="auto"/>
          <w:kern w:val="2"/>
          <w:sz w:val="24"/>
          <w:szCs w:val="24"/>
        </w:rPr>
        <w:t>法定代表人盖章：                     被授权人签字：</w:t>
      </w:r>
      <w:bookmarkEnd w:id="4"/>
      <w:bookmarkEnd w:id="5"/>
    </w:p>
    <w:p w14:paraId="619EA28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6" w:name="_Toc201637980"/>
      <w:bookmarkStart w:id="7" w:name="_Toc214090948"/>
      <w:r>
        <w:rPr>
          <w:rFonts w:hint="eastAsia" w:ascii="宋体" w:hAnsi="宋体" w:eastAsia="宋体" w:cs="宋体"/>
          <w:color w:val="auto"/>
          <w:kern w:val="2"/>
          <w:sz w:val="24"/>
          <w:szCs w:val="24"/>
        </w:rPr>
        <w:t>职          务：                     职        务：</w:t>
      </w:r>
      <w:bookmarkEnd w:id="6"/>
      <w:bookmarkEnd w:id="7"/>
    </w:p>
    <w:p w14:paraId="073D893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8" w:name="_Toc201637981"/>
      <w:bookmarkStart w:id="9" w:name="_Toc214090949"/>
      <w:r>
        <w:rPr>
          <w:rFonts w:hint="eastAsia" w:ascii="宋体" w:hAnsi="宋体" w:eastAsia="宋体" w:cs="宋体"/>
          <w:color w:val="auto"/>
          <w:kern w:val="2"/>
          <w:sz w:val="24"/>
          <w:szCs w:val="24"/>
        </w:rPr>
        <w:t>身  份 证  号 ：                     身 份 证 号 ：</w:t>
      </w:r>
      <w:bookmarkEnd w:id="8"/>
      <w:bookmarkEnd w:id="9"/>
    </w:p>
    <w:p w14:paraId="52E397F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10" w:name="_Toc201637982"/>
      <w:bookmarkStart w:id="11" w:name="_Toc214090950"/>
      <w:r>
        <w:rPr>
          <w:rFonts w:hint="eastAsia" w:ascii="宋体" w:hAnsi="宋体" w:eastAsia="宋体" w:cs="宋体"/>
          <w:color w:val="auto"/>
          <w:kern w:val="2"/>
          <w:sz w:val="24"/>
          <w:szCs w:val="24"/>
        </w:rPr>
        <w:t>附：法定代表人、被授权人身份证复印件。（二代身份证正、反两面都需复印）</w:t>
      </w:r>
      <w:bookmarkEnd w:id="10"/>
      <w:bookmarkEnd w:id="11"/>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F4A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B88F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2" w:name="_Toc201637983"/>
            <w:bookmarkStart w:id="13" w:name="_Toc214090951"/>
            <w:r>
              <w:rPr>
                <w:rFonts w:hint="eastAsia" w:ascii="宋体" w:hAnsi="宋体" w:eastAsia="宋体" w:cs="宋体"/>
                <w:color w:val="auto"/>
                <w:kern w:val="2"/>
                <w:sz w:val="24"/>
                <w:szCs w:val="24"/>
              </w:rPr>
              <w:t>法定代表人身份证复印件</w:t>
            </w:r>
            <w:bookmarkEnd w:id="12"/>
            <w:bookmarkEnd w:id="13"/>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59F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4" w:name="_Toc201637985"/>
            <w:bookmarkStart w:id="15" w:name="_Toc214090953"/>
            <w:r>
              <w:rPr>
                <w:rFonts w:hint="eastAsia" w:ascii="宋体" w:hAnsi="宋体" w:eastAsia="宋体" w:cs="宋体"/>
                <w:color w:val="auto"/>
                <w:kern w:val="2"/>
                <w:sz w:val="24"/>
                <w:szCs w:val="24"/>
              </w:rPr>
              <w:t>被授权人身份证复印件</w:t>
            </w:r>
            <w:bookmarkEnd w:id="14"/>
            <w:bookmarkEnd w:id="15"/>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4AD1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8C7D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6" w:name="_Toc214090955"/>
            <w:bookmarkStart w:id="17" w:name="_Toc201637987"/>
            <w:r>
              <w:rPr>
                <w:rFonts w:hint="eastAsia" w:ascii="宋体" w:hAnsi="宋体" w:eastAsia="宋体" w:cs="宋体"/>
                <w:color w:val="auto"/>
                <w:kern w:val="2"/>
                <w:sz w:val="24"/>
                <w:szCs w:val="24"/>
              </w:rPr>
              <w:t>法定代表人身份证复印件</w:t>
            </w:r>
            <w:bookmarkEnd w:id="16"/>
            <w:bookmarkEnd w:id="17"/>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56A9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8" w:name="_Toc214090957"/>
            <w:bookmarkStart w:id="19" w:name="_Toc201637989"/>
            <w:r>
              <w:rPr>
                <w:rFonts w:hint="eastAsia" w:ascii="宋体" w:hAnsi="宋体" w:eastAsia="宋体" w:cs="宋体"/>
                <w:color w:val="auto"/>
                <w:kern w:val="2"/>
                <w:sz w:val="24"/>
                <w:szCs w:val="24"/>
              </w:rPr>
              <w:t>被授权人身份证复印件</w:t>
            </w:r>
            <w:bookmarkEnd w:id="18"/>
            <w:bookmarkEnd w:id="19"/>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3CDE0B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0340A83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7E495FB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20C6A39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5DC6FE0F">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395F3F2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0819617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24"/>
          <w:szCs w:val="24"/>
          <w:lang w:val="en-US" w:eastAsia="zh-CN"/>
        </w:rPr>
        <w:br w:type="page"/>
      </w:r>
      <w:bookmarkStart w:id="20" w:name="_Toc26801"/>
      <w:bookmarkStart w:id="21" w:name="_Toc20013"/>
      <w:r>
        <w:rPr>
          <w:rFonts w:hint="eastAsia" w:ascii="宋体" w:hAnsi="宋体" w:eastAsia="宋体" w:cs="宋体"/>
          <w:b/>
          <w:color w:val="auto"/>
          <w:kern w:val="2"/>
          <w:sz w:val="32"/>
          <w:szCs w:val="32"/>
          <w:lang w:val="en-US" w:eastAsia="zh-CN"/>
        </w:rPr>
        <w:t xml:space="preserve">第四章 </w:t>
      </w:r>
      <w:bookmarkEnd w:id="3"/>
      <w:bookmarkEnd w:id="20"/>
      <w:bookmarkEnd w:id="21"/>
      <w:bookmarkStart w:id="22" w:name="_Toc27592"/>
      <w:bookmarkStart w:id="23" w:name="_Toc19418"/>
      <w:r>
        <w:rPr>
          <w:rFonts w:hint="eastAsia" w:ascii="宋体" w:hAnsi="宋体" w:eastAsia="宋体" w:cs="宋体"/>
          <w:b/>
          <w:color w:val="auto"/>
          <w:kern w:val="2"/>
          <w:sz w:val="32"/>
          <w:szCs w:val="32"/>
        </w:rPr>
        <w:t xml:space="preserve"> 供应商</w:t>
      </w:r>
      <w:bookmarkEnd w:id="22"/>
      <w:bookmarkEnd w:id="23"/>
      <w:r>
        <w:rPr>
          <w:rFonts w:hint="eastAsia" w:ascii="宋体" w:hAnsi="宋体" w:eastAsia="宋体" w:cs="宋体"/>
          <w:b/>
          <w:color w:val="auto"/>
          <w:kern w:val="2"/>
          <w:sz w:val="32"/>
          <w:szCs w:val="32"/>
          <w:lang w:eastAsia="zh-CN"/>
        </w:rPr>
        <w:t>资格证明文件</w:t>
      </w:r>
    </w:p>
    <w:p w14:paraId="66A6136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3831641F">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供应商基本情况表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75A2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3700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1167E9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AD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21703">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E7BB89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6FEE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AA6928">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7652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C9F7A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2C973">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535A1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D3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491FF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95CF6">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62220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25E7">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AFEE9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270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DF5F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ED3A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4B99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0FFD4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2FA0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440B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A88D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7327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DC40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29DE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B103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E6B9D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C75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20BCE">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FC8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A0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42C16">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07D839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DE12B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4C73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4388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29C8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D865A5">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8996B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45BB1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8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F1B8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CF775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0DCA8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9FD2F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2DDC6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06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3144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231C2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FC756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FFB6A8">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6EF9A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9B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E3CA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98E8C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8B725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41413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869C8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5D30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639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D0CA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BF052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D85B6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3979D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67F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250B1">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28161D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bl>
    <w:p w14:paraId="173284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588531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w:t>
      </w:r>
      <w:r>
        <w:rPr>
          <w:rFonts w:hint="eastAsia" w:ascii="宋体" w:hAnsi="宋体" w:eastAsia="宋体" w:cs="宋体"/>
          <w:color w:val="auto"/>
          <w:kern w:val="2"/>
          <w:sz w:val="24"/>
          <w:szCs w:val="24"/>
        </w:rPr>
        <w:t>供应商：</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（盖章）</w:t>
      </w:r>
    </w:p>
    <w:p w14:paraId="4E4B38B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法定代表人或授权代表：</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（签名或盖章）</w:t>
      </w:r>
    </w:p>
    <w:p w14:paraId="6EA99B5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68FFC7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0"/>
          <w:sz w:val="24"/>
          <w:szCs w:val="24"/>
        </w:rPr>
      </w:pPr>
    </w:p>
    <w:p w14:paraId="6A48EDB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p>
    <w:p w14:paraId="7153991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磋商供应商资格证明文件主要内容：</w:t>
      </w:r>
    </w:p>
    <w:p w14:paraId="2995E999">
      <w:pPr>
        <w:pStyle w:val="10"/>
        <w:rPr>
          <w:rFonts w:hint="eastAsia"/>
          <w:color w:val="auto"/>
        </w:rPr>
      </w:pPr>
    </w:p>
    <w:p w14:paraId="7DB6D1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（1）具有独立承担民事责任能力的法人、其他组织或自然人，提供合法有效的营业执照等相关证明，自然人参与的提供其身份证明；</w:t>
      </w:r>
    </w:p>
    <w:p w14:paraId="1CD1AE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（2）法定代表人授权委托书、被授权人身份证（法定代表人参加投标时,只需提供法定代表人身份证）；</w:t>
      </w:r>
    </w:p>
    <w:p w14:paraId="29C12A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供应商应具备建筑工程施工总承包三级及以上资质或建筑装修装饰工程专业承包二级及以上资质，且具备合法有效的安全生产许可证，并在人员、设备、资金等方面具有相应的施工能力；拟派项目经理应具备建筑工程专业二级及以上注册建造师执业资格和有效的安全生产考核合格证书，且未担任其他在建工程项目的项目经理；</w:t>
      </w:r>
    </w:p>
    <w:p w14:paraId="30D714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（4）财务状况报告：提供2023年度</w:t>
      </w:r>
      <w:r>
        <w:rPr>
          <w:rFonts w:hint="eastAsia" w:ascii="宋体" w:hAnsi="宋体" w:cs="宋体"/>
          <w:i w:val="0"/>
          <w:iCs w:val="0"/>
          <w:caps w:val="0"/>
          <w:color w:val="auto"/>
          <w:spacing w:val="0"/>
          <w:kern w:val="0"/>
          <w:sz w:val="24"/>
          <w:szCs w:val="24"/>
          <w:shd w:val="clear" w:fill="FFFFFF"/>
          <w:lang w:val="en-US" w:eastAsia="zh-CN" w:bidi="ar"/>
        </w:rPr>
        <w:t>或2024年度</w:t>
      </w:r>
      <w:r>
        <w:rPr>
          <w:rFonts w:hint="eastAsia" w:ascii="宋体" w:hAnsi="宋体" w:eastAsia="宋体" w:cs="宋体"/>
          <w:i w:val="0"/>
          <w:iCs w:val="0"/>
          <w:caps w:val="0"/>
          <w:color w:val="auto"/>
          <w:spacing w:val="0"/>
          <w:kern w:val="0"/>
          <w:sz w:val="24"/>
          <w:szCs w:val="24"/>
          <w:shd w:val="clear" w:fill="FFFFFF"/>
          <w:lang w:val="en-US" w:eastAsia="zh-CN" w:bidi="ar"/>
        </w:rPr>
        <w:t>经审计的财务报告，或其基本存款账户开户银行出具的资信证明及基本存款账户开户许可证（基本账户信息表）；</w:t>
      </w:r>
    </w:p>
    <w:p w14:paraId="616705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（5）税收缴纳证明：提供</w:t>
      </w:r>
      <w:r>
        <w:rPr>
          <w:rFonts w:hint="eastAsia" w:ascii="宋体" w:hAnsi="宋体" w:cs="宋体"/>
          <w:i w:val="0"/>
          <w:iCs w:val="0"/>
          <w:caps w:val="0"/>
          <w:color w:val="auto"/>
          <w:spacing w:val="0"/>
          <w:kern w:val="0"/>
          <w:sz w:val="24"/>
          <w:szCs w:val="24"/>
          <w:shd w:val="clear" w:fill="FFFFFF"/>
          <w:lang w:val="en-US" w:eastAsia="zh-CN" w:bidi="ar"/>
        </w:rPr>
        <w:t>2025</w:t>
      </w:r>
      <w:r>
        <w:rPr>
          <w:rFonts w:hint="eastAsia" w:ascii="宋体" w:hAnsi="宋体" w:eastAsia="宋体" w:cs="宋体"/>
          <w:i w:val="0"/>
          <w:iCs w:val="0"/>
          <w:caps w:val="0"/>
          <w:color w:val="auto"/>
          <w:spacing w:val="0"/>
          <w:kern w:val="0"/>
          <w:sz w:val="24"/>
          <w:szCs w:val="24"/>
          <w:shd w:val="clear" w:fill="FFFFFF"/>
          <w:lang w:val="en-US" w:eastAsia="zh-CN" w:bidi="ar"/>
        </w:rPr>
        <w:t>年1月至今已缴纳的任意1个月增值税或营业税或企业所得税的凭据或税务机关开具的完税证明；依法免税的应提供相关文件证明；</w:t>
      </w:r>
    </w:p>
    <w:p w14:paraId="44AF3F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（6）社会保障资金缴纳证明：提供</w:t>
      </w:r>
      <w:r>
        <w:rPr>
          <w:rFonts w:hint="eastAsia" w:ascii="宋体" w:hAnsi="宋体" w:cs="宋体"/>
          <w:i w:val="0"/>
          <w:iCs w:val="0"/>
          <w:caps w:val="0"/>
          <w:color w:val="auto"/>
          <w:spacing w:val="0"/>
          <w:kern w:val="0"/>
          <w:sz w:val="24"/>
          <w:szCs w:val="24"/>
          <w:shd w:val="clear" w:fill="FFFFFF"/>
          <w:lang w:val="en-US" w:eastAsia="zh-CN" w:bidi="ar"/>
        </w:rPr>
        <w:t>2025</w:t>
      </w:r>
      <w:r>
        <w:rPr>
          <w:rFonts w:hint="eastAsia" w:ascii="宋体" w:hAnsi="宋体" w:eastAsia="宋体" w:cs="宋体"/>
          <w:i w:val="0"/>
          <w:iCs w:val="0"/>
          <w:caps w:val="0"/>
          <w:color w:val="auto"/>
          <w:spacing w:val="0"/>
          <w:kern w:val="0"/>
          <w:sz w:val="24"/>
          <w:szCs w:val="24"/>
          <w:shd w:val="clear" w:fill="FFFFFF"/>
          <w:lang w:val="en-US" w:eastAsia="zh-CN" w:bidi="ar"/>
        </w:rPr>
        <w:t>年1月至今已缴存的任意1个月的社会保障资金缴存单据或社保机构开具的社会保险参保缴费情况证明，依法不需要缴纳社会保障资金的单位应提供相关证明材料；</w:t>
      </w:r>
    </w:p>
    <w:p w14:paraId="135FCF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（7）具备履行合同所必须的设备和专业技术能力的书面声明；</w:t>
      </w:r>
    </w:p>
    <w:p w14:paraId="501329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（8）参加政府采购活动前三年内，在经营活动中没有重大违法记录的书面声明；</w:t>
      </w:r>
    </w:p>
    <w:p w14:paraId="7ECAD9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（9）供应商不得为“信用中国”网站(www.creditchina.gov.cn)、中国政府采购网(www.ccgp.gov.cn)被列入失信被执行人、重大税收违法案件当事人名单、政府采购严重违法失信行为记录名单；</w:t>
      </w:r>
    </w:p>
    <w:p w14:paraId="6506F4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10）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p w14:paraId="37A680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（11）本项目不接受联合体投标；</w:t>
      </w:r>
    </w:p>
    <w:p w14:paraId="51EDB9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（12）本项目面向中小企业采购，须提供《中小企业声明函》。</w:t>
      </w:r>
    </w:p>
    <w:p w14:paraId="56E91346">
      <w:pPr>
        <w:spacing w:line="360" w:lineRule="auto"/>
        <w:rPr>
          <w:rFonts w:hint="eastAsia"/>
          <w:color w:val="auto"/>
        </w:rPr>
      </w:pPr>
      <w:r>
        <w:rPr>
          <w:rFonts w:hint="eastAsia"/>
          <w:color w:val="auto"/>
        </w:rPr>
        <w:br w:type="page"/>
      </w:r>
    </w:p>
    <w:p w14:paraId="07885461">
      <w:pPr>
        <w:pStyle w:val="10"/>
        <w:rPr>
          <w:rFonts w:hint="eastAsia"/>
          <w:color w:val="auto"/>
        </w:rPr>
      </w:pPr>
    </w:p>
    <w:p w14:paraId="6598976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附件1：</w:t>
      </w:r>
    </w:p>
    <w:p w14:paraId="10F84C3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一、法定代表人证明书</w:t>
      </w:r>
    </w:p>
    <w:p w14:paraId="75B090D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9B2FAF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3107D20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7A0D7D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61BBCD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2283F7E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349DB300">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6"/>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6CD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6628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58D235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A9448A3">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5E78B0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6BDA22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0ACB4CF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0FA24B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42C52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12A6F009">
      <w:pPr>
        <w:pStyle w:val="10"/>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73B60602">
      <w:pPr>
        <w:pStyle w:val="10"/>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3D8A9AD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C0569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776A9DB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364BE9D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附件2：</w:t>
      </w:r>
    </w:p>
    <w:p w14:paraId="14D269D2">
      <w:pPr>
        <w:keepNext w:val="0"/>
        <w:keepLines w:val="0"/>
        <w:kinsoku/>
        <w:wordWrap/>
        <w:overflowPunct/>
        <w:topLinePunct w:val="0"/>
        <w:autoSpaceDE/>
        <w:autoSpaceDN/>
        <w:bidi w:val="0"/>
        <w:adjustRightInd w:val="0"/>
        <w:snapToGrid w:val="0"/>
        <w:spacing w:line="440" w:lineRule="exact"/>
        <w:ind w:left="0" w:leftChars="0" w:right="0" w:firstLine="482"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法定代表人授权委托书</w:t>
      </w:r>
    </w:p>
    <w:p w14:paraId="17B4B061">
      <w:pPr>
        <w:keepNext w:val="0"/>
        <w:keepLines w:val="0"/>
        <w:widowControl/>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112484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6C58B31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13C6944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16807D8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23247D2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法定代表人盖章：                     被授权人签字：</w:t>
      </w:r>
    </w:p>
    <w:p w14:paraId="0602DC7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职          务：                     职        务：</w:t>
      </w:r>
    </w:p>
    <w:p w14:paraId="3DCA263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身  份 证  号 ：                     身 份 证 号 ：</w:t>
      </w:r>
    </w:p>
    <w:p w14:paraId="5E80A39F">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附：法定代表人、被授权人身份证复印件。（二代身份证正、反两面都需复印）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20F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D7B6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270C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585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A2DE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82ACD">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1EF19220">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2CCD776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4FC9E6FF">
      <w:pPr>
        <w:keepNext w:val="0"/>
        <w:keepLines w:val="0"/>
        <w:kinsoku/>
        <w:wordWrap/>
        <w:overflowPunct/>
        <w:topLinePunct w:val="0"/>
        <w:autoSpaceDE w:val="0"/>
        <w:autoSpaceDN w:val="0"/>
        <w:bidi w:val="0"/>
        <w:adjustRightInd w:val="0"/>
        <w:spacing w:line="440" w:lineRule="exact"/>
        <w:ind w:right="0" w:firstLine="1680" w:firstLineChars="7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17FF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4AFBC79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264BFC0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4A5F0B0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5A752065">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附件3：</w:t>
      </w:r>
    </w:p>
    <w:p w14:paraId="60AE5383">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2"/>
          <w:sz w:val="24"/>
          <w:szCs w:val="24"/>
          <w:lang w:val="en-US" w:eastAsia="zh-CN" w:bidi="ar-SA"/>
        </w:rPr>
        <w:t>项目经理无在建承诺书（格式1）</w:t>
      </w:r>
    </w:p>
    <w:p w14:paraId="4C3AB6C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79A75AA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我方在此声明，我方拟派</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（以下简称“本工程”）的项目经理</w:t>
      </w:r>
      <w:r>
        <w:rPr>
          <w:rFonts w:hint="eastAsia" w:ascii="宋体" w:hAnsi="宋体" w:eastAsia="宋体" w:cs="宋体"/>
          <w:color w:val="auto"/>
          <w:kern w:val="2"/>
          <w:sz w:val="24"/>
          <w:szCs w:val="24"/>
          <w:u w:val="single"/>
          <w:lang w:val="en-US" w:eastAsia="zh-CN" w:bidi="ar-SA"/>
        </w:rPr>
        <w:t>（姓名）</w:t>
      </w:r>
      <w:r>
        <w:rPr>
          <w:rFonts w:hint="eastAsia" w:ascii="宋体" w:hAnsi="宋体" w:eastAsia="宋体" w:cs="宋体"/>
          <w:color w:val="auto"/>
          <w:kern w:val="2"/>
          <w:sz w:val="24"/>
          <w:szCs w:val="24"/>
          <w:lang w:val="en-US" w:eastAsia="zh-CN" w:bidi="ar-SA"/>
        </w:rPr>
        <w:t>，现阶段没有担任任何在施建设工程项目的项目经理，并在本项目中不允许中途私自更换，不得兼职。</w:t>
      </w:r>
    </w:p>
    <w:p w14:paraId="40BD5E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我方保证上述信息的真实和准确。</w:t>
      </w:r>
    </w:p>
    <w:p w14:paraId="7295DA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特此承诺！</w:t>
      </w:r>
    </w:p>
    <w:p w14:paraId="22CAB35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3ACBDD6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9B22E3D">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30BD39A">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0"/>
          <w:sz w:val="24"/>
          <w:szCs w:val="24"/>
          <w:lang w:val="en-US" w:eastAsia="zh-CN" w:bidi="ar-SA"/>
        </w:rPr>
      </w:pPr>
    </w:p>
    <w:p w14:paraId="02D87DE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5D4093C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FCE146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0ACE734">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6A62961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33EA1D10">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0A09C7F0">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D525B4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附件4：</w:t>
      </w:r>
    </w:p>
    <w:p w14:paraId="7489BBDF">
      <w:pPr>
        <w:keepNext w:val="0"/>
        <w:keepLines w:val="0"/>
        <w:kinsoku/>
        <w:wordWrap/>
        <w:overflowPunct/>
        <w:topLinePunct w:val="0"/>
        <w:autoSpaceDE/>
        <w:autoSpaceDN/>
        <w:bidi w:val="0"/>
        <w:adjustRightInd w:val="0"/>
        <w:snapToGrid w:val="0"/>
        <w:spacing w:line="440" w:lineRule="exact"/>
        <w:ind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具备履行合同所必须的设备和专业技术能力的书面声明</w:t>
      </w:r>
    </w:p>
    <w:p w14:paraId="25F8C13C">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5B4EAB56">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0CAD9097">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14:paraId="058CD77A">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497F494">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FCC6361">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2136A07E">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424A09B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3B775114">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E563AA9">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09D6F316">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05ED725E">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D0C62FF">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617995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DEEB58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47C7FC4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594DC21">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85646D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418869B">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838588D">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29AC38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94B2C0A">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31EC5C5">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0E211B52">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附件5：</w:t>
      </w:r>
    </w:p>
    <w:p w14:paraId="4BA3FC38">
      <w:pPr>
        <w:keepNext w:val="0"/>
        <w:keepLines w:val="0"/>
        <w:kinsoku/>
        <w:wordWrap/>
        <w:overflowPunct/>
        <w:topLinePunct w:val="0"/>
        <w:autoSpaceDE/>
        <w:autoSpaceDN/>
        <w:bidi w:val="0"/>
        <w:adjustRightInd/>
        <w:spacing w:line="440" w:lineRule="exact"/>
        <w:ind w:right="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参加政府采购活动近3年内在经营活动中没有重大违法纪录的书面声明格式</w:t>
      </w:r>
    </w:p>
    <w:p w14:paraId="2DD13E9B">
      <w:pPr>
        <w:keepNext w:val="0"/>
        <w:keepLines w:val="0"/>
        <w:kinsoku/>
        <w:wordWrap/>
        <w:overflowPunct/>
        <w:topLinePunct w:val="0"/>
        <w:autoSpaceDE/>
        <w:autoSpaceDN/>
        <w:bidi w:val="0"/>
        <w:adjustRightInd/>
        <w:spacing w:line="440" w:lineRule="exact"/>
        <w:ind w:left="0" w:leftChars="0" w:right="0" w:firstLine="498" w:firstLineChars="200"/>
        <w:jc w:val="both"/>
        <w:rPr>
          <w:rFonts w:hint="eastAsia" w:ascii="宋体" w:hAnsi="宋体" w:eastAsia="宋体" w:cs="宋体"/>
          <w:b/>
          <w:color w:val="auto"/>
          <w:spacing w:val="4"/>
          <w:kern w:val="2"/>
          <w:sz w:val="24"/>
          <w:szCs w:val="24"/>
          <w:u w:val="single"/>
          <w:lang w:val="en-US" w:eastAsia="zh-CN" w:bidi="ar-SA"/>
        </w:rPr>
      </w:pPr>
    </w:p>
    <w:p w14:paraId="6DA579F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29D8D61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204E4B8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特此声明。</w:t>
      </w:r>
    </w:p>
    <w:p w14:paraId="1C0F1E50">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11264435">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0F0F854">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48424F8C">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42C3B37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58D552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3DD7348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72F1318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5BBA06D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Cs/>
          <w:color w:val="auto"/>
          <w:kern w:val="0"/>
          <w:sz w:val="24"/>
          <w:szCs w:val="24"/>
          <w:lang w:val="en-US" w:eastAsia="zh-CN" w:bidi="ar-SA"/>
        </w:rPr>
      </w:pPr>
    </w:p>
    <w:p w14:paraId="73572020">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4A7634B9">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52B9E102">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1C460F6">
      <w:pPr>
        <w:keepNext w:val="0"/>
        <w:keepLines w:val="0"/>
        <w:widowControl w:val="0"/>
        <w:kinsoku/>
        <w:wordWrap/>
        <w:overflowPunct/>
        <w:topLinePunct w:val="0"/>
        <w:autoSpaceDE/>
        <w:autoSpaceDN/>
        <w:bidi w:val="0"/>
        <w:adjustRightInd/>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030E518F">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3C129449">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BF977B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附件6：</w:t>
      </w:r>
    </w:p>
    <w:p w14:paraId="4E9CBEE3">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84DB89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3378FAC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74B79696">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w:t>
      </w:r>
    </w:p>
    <w:p w14:paraId="116FB70A">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3F09727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38D49C6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本企业对上述声明内容的真实性负责。如有虚假，将依法承担相应责任。</w:t>
      </w:r>
    </w:p>
    <w:p w14:paraId="427A407D">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企业名称（盖章）：</w:t>
      </w:r>
    </w:p>
    <w:p w14:paraId="6DCE3A1E">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日 期：</w:t>
      </w:r>
    </w:p>
    <w:p w14:paraId="7404E882">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52E7D43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64A1C62F">
      <w:pPr>
        <w:keepNext w:val="0"/>
        <w:keepLines w:val="0"/>
        <w:widowControl w:val="0"/>
        <w:kinsoku/>
        <w:wordWrap/>
        <w:overflowPunct/>
        <w:topLinePunct w:val="0"/>
        <w:autoSpaceDE/>
        <w:autoSpaceDN/>
        <w:bidi w:val="0"/>
        <w:adjustRightInd w:val="0"/>
        <w:spacing w:line="440" w:lineRule="exact"/>
        <w:ind w:left="0" w:leftChars="0" w:right="0" w:firstLine="480" w:firstLineChars="200"/>
        <w:jc w:val="both"/>
        <w:rPr>
          <w:rFonts w:hint="eastAsia" w:ascii="宋体" w:hAnsi="宋体" w:eastAsia="宋体" w:cs="宋体"/>
          <w:color w:val="auto"/>
          <w:sz w:val="24"/>
          <w:szCs w:val="24"/>
          <w:lang w:val="en-US" w:eastAsia="zh-CN"/>
        </w:rPr>
      </w:pPr>
    </w:p>
    <w:p w14:paraId="08167442">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5AA17DC1">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073BC5FE">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42CE4D98">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59FCFD11">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46EC3C6E">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p>
    <w:p w14:paraId="15056B52">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0647500">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3BC9848F">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5B54D0C4">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0EC2F169">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29A8BCAE">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89B2E05">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6CBDB5E">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235EE916">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非联合体声明（格式）</w:t>
      </w:r>
    </w:p>
    <w:p w14:paraId="4F5B2A6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0BF86BD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eastAsia="宋体" w:cs="宋体"/>
          <w:color w:val="auto"/>
          <w:kern w:val="2"/>
          <w:sz w:val="24"/>
          <w:szCs w:val="24"/>
          <w:highlight w:val="none"/>
          <w:u w:val="single"/>
          <w:lang w:eastAsia="zh-CN"/>
        </w:rPr>
        <w:t>宝泽项目管理有限公司</w:t>
      </w:r>
    </w:p>
    <w:p w14:paraId="1439C65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161E06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705C985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72D99B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1FAD8A8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3CEB099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41614E2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声明人（盖投标人公章）：</w:t>
      </w:r>
    </w:p>
    <w:p w14:paraId="4D1A8EA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1EED2C4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法定代表人或被授权人（签字或盖章）：</w:t>
      </w:r>
    </w:p>
    <w:p w14:paraId="74F1030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5F8961A3">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年   月   日</w:t>
      </w:r>
    </w:p>
    <w:p w14:paraId="0D407F6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4D4447DA">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五</w:t>
      </w:r>
      <w:r>
        <w:rPr>
          <w:rFonts w:hint="eastAsia" w:ascii="宋体" w:hAnsi="宋体" w:eastAsia="宋体" w:cs="宋体"/>
          <w:b/>
          <w:color w:val="auto"/>
          <w:kern w:val="2"/>
          <w:sz w:val="32"/>
          <w:szCs w:val="32"/>
        </w:rPr>
        <w:t xml:space="preserve">章 </w:t>
      </w:r>
      <w:r>
        <w:rPr>
          <w:rFonts w:hint="eastAsia" w:ascii="宋体" w:hAnsi="宋体" w:eastAsia="宋体" w:cs="宋体"/>
          <w:b/>
          <w:color w:val="auto"/>
          <w:kern w:val="2"/>
          <w:sz w:val="32"/>
          <w:szCs w:val="32"/>
          <w:lang w:val="en-US" w:eastAsia="zh-CN"/>
        </w:rPr>
        <w:t>施工方案</w:t>
      </w:r>
    </w:p>
    <w:p w14:paraId="77D64E4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4F52497E">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1．施工方案。编制顺序（根据磋商文件评审标准编制）</w:t>
      </w:r>
    </w:p>
    <w:p w14:paraId="028F836A">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2．类似项目业绩</w:t>
      </w:r>
    </w:p>
    <w:p w14:paraId="02E2868C">
      <w:pPr>
        <w:keepNext w:val="0"/>
        <w:keepLines w:val="0"/>
        <w:pageBreakBefore w:val="0"/>
        <w:numPr>
          <w:ilvl w:val="0"/>
          <w:numId w:val="0"/>
        </w:numPr>
        <w:kinsoku/>
        <w:wordWrap/>
        <w:overflowPunct/>
        <w:topLinePunct w:val="0"/>
        <w:autoSpaceDE/>
        <w:autoSpaceDN/>
        <w:bidi w:val="0"/>
        <w:adjustRightInd/>
        <w:spacing w:line="440" w:lineRule="exact"/>
        <w:ind w:right="0"/>
        <w:jc w:val="both"/>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附表1:</w:t>
      </w:r>
    </w:p>
    <w:p w14:paraId="503AA346">
      <w:pPr>
        <w:pStyle w:val="86"/>
        <w:keepNext w:val="0"/>
        <w:keepLines w:val="0"/>
        <w:kinsoku/>
        <w:wordWrap/>
        <w:overflowPunct/>
        <w:topLinePunct w:val="0"/>
        <w:bidi w:val="0"/>
        <w:spacing w:line="440" w:lineRule="exact"/>
        <w:ind w:left="0" w:leftChars="0" w:right="0" w:firstLine="480" w:firstLineChars="200"/>
        <w:jc w:val="center"/>
        <w:outlineLvl w:val="9"/>
        <w:rPr>
          <w:rFonts w:hint="eastAsia" w:ascii="宋体" w:hAnsi="宋体" w:eastAsia="宋体" w:cs="宋体"/>
          <w:b w:val="0"/>
          <w:bCs w:val="0"/>
          <w:color w:val="auto"/>
          <w:sz w:val="24"/>
          <w:szCs w:val="24"/>
        </w:rPr>
      </w:pPr>
      <w:bookmarkStart w:id="24" w:name="_Toc403077652"/>
      <w:bookmarkStart w:id="25" w:name="_Toc396304714"/>
      <w:r>
        <w:rPr>
          <w:rFonts w:hint="eastAsia" w:ascii="宋体" w:hAnsi="宋体" w:eastAsia="宋体" w:cs="宋体"/>
          <w:b w:val="0"/>
          <w:bCs w:val="0"/>
          <w:color w:val="auto"/>
          <w:sz w:val="24"/>
          <w:szCs w:val="24"/>
        </w:rPr>
        <w:t>本项目拟投入人员汇总表</w:t>
      </w:r>
      <w:bookmarkEnd w:id="24"/>
      <w:bookmarkEnd w:id="25"/>
    </w:p>
    <w:p w14:paraId="70526F1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 w:val="0"/>
          <w:bCs w:val="0"/>
          <w:color w:val="auto"/>
          <w:sz w:val="24"/>
          <w:szCs w:val="24"/>
        </w:rPr>
      </w:pPr>
    </w:p>
    <w:tbl>
      <w:tblPr>
        <w:tblStyle w:val="26"/>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1618"/>
        <w:gridCol w:w="1418"/>
        <w:gridCol w:w="1843"/>
        <w:gridCol w:w="1466"/>
        <w:gridCol w:w="1466"/>
      </w:tblGrid>
      <w:tr w14:paraId="756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jc w:val="center"/>
        </w:trPr>
        <w:tc>
          <w:tcPr>
            <w:tcW w:w="659" w:type="dxa"/>
            <w:noWrap w:val="0"/>
            <w:tcMar>
              <w:top w:w="15" w:type="dxa"/>
              <w:left w:w="15" w:type="dxa"/>
              <w:bottom w:w="0" w:type="dxa"/>
              <w:right w:w="15" w:type="dxa"/>
            </w:tcMar>
            <w:vAlign w:val="center"/>
          </w:tcPr>
          <w:p w14:paraId="6321358A">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noWrap w:val="0"/>
            <w:tcMar>
              <w:top w:w="15" w:type="dxa"/>
              <w:left w:w="15" w:type="dxa"/>
              <w:bottom w:w="0" w:type="dxa"/>
              <w:right w:w="15" w:type="dxa"/>
            </w:tcMar>
            <w:vAlign w:val="center"/>
          </w:tcPr>
          <w:p w14:paraId="10A3E036">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618" w:type="dxa"/>
            <w:noWrap w:val="0"/>
            <w:tcMar>
              <w:top w:w="15" w:type="dxa"/>
              <w:left w:w="15" w:type="dxa"/>
              <w:bottom w:w="0" w:type="dxa"/>
              <w:right w:w="15" w:type="dxa"/>
            </w:tcMar>
            <w:vAlign w:val="center"/>
          </w:tcPr>
          <w:p w14:paraId="54926B6E">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性别</w:t>
            </w:r>
          </w:p>
        </w:tc>
        <w:tc>
          <w:tcPr>
            <w:tcW w:w="1418" w:type="dxa"/>
            <w:noWrap w:val="0"/>
            <w:tcMar>
              <w:top w:w="15" w:type="dxa"/>
              <w:left w:w="15" w:type="dxa"/>
              <w:bottom w:w="0" w:type="dxa"/>
              <w:right w:w="15" w:type="dxa"/>
            </w:tcMar>
            <w:vAlign w:val="center"/>
          </w:tcPr>
          <w:p w14:paraId="3D395BC0">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年龄</w:t>
            </w:r>
          </w:p>
        </w:tc>
        <w:tc>
          <w:tcPr>
            <w:tcW w:w="1843" w:type="dxa"/>
            <w:noWrap w:val="0"/>
            <w:tcMar>
              <w:top w:w="15" w:type="dxa"/>
              <w:left w:w="15" w:type="dxa"/>
              <w:bottom w:w="0" w:type="dxa"/>
              <w:right w:w="15" w:type="dxa"/>
            </w:tcMar>
            <w:vAlign w:val="center"/>
          </w:tcPr>
          <w:p w14:paraId="5AE05EA7">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拟担任的职务</w:t>
            </w:r>
          </w:p>
        </w:tc>
        <w:tc>
          <w:tcPr>
            <w:tcW w:w="1466" w:type="dxa"/>
            <w:noWrap w:val="0"/>
            <w:tcMar>
              <w:top w:w="15" w:type="dxa"/>
              <w:left w:w="15" w:type="dxa"/>
              <w:bottom w:w="0" w:type="dxa"/>
              <w:right w:w="15" w:type="dxa"/>
            </w:tcMar>
            <w:vAlign w:val="center"/>
          </w:tcPr>
          <w:p w14:paraId="3D55C7E3">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w:t>
            </w:r>
          </w:p>
        </w:tc>
        <w:tc>
          <w:tcPr>
            <w:tcW w:w="1466" w:type="dxa"/>
            <w:noWrap w:val="0"/>
            <w:tcMar>
              <w:top w:w="15" w:type="dxa"/>
              <w:left w:w="15" w:type="dxa"/>
              <w:bottom w:w="0" w:type="dxa"/>
              <w:right w:w="15" w:type="dxa"/>
            </w:tcMar>
            <w:vAlign w:val="center"/>
          </w:tcPr>
          <w:p w14:paraId="50E23552">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977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noWrap w:val="0"/>
            <w:tcMar>
              <w:top w:w="15" w:type="dxa"/>
              <w:left w:w="15" w:type="dxa"/>
              <w:bottom w:w="0" w:type="dxa"/>
              <w:right w:w="15" w:type="dxa"/>
            </w:tcMar>
            <w:vAlign w:val="center"/>
          </w:tcPr>
          <w:p w14:paraId="1301885A">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6D8A3284">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5DF634D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24170737">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79E94811">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485027F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254982B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9A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noWrap w:val="0"/>
            <w:tcMar>
              <w:top w:w="15" w:type="dxa"/>
              <w:left w:w="15" w:type="dxa"/>
              <w:bottom w:w="0" w:type="dxa"/>
              <w:right w:w="15" w:type="dxa"/>
            </w:tcMar>
            <w:vAlign w:val="center"/>
          </w:tcPr>
          <w:p w14:paraId="7162CC9B">
            <w:pPr>
              <w:pStyle w:val="87"/>
              <w:keepNext w:val="0"/>
              <w:keepLines w:val="0"/>
              <w:kinsoku/>
              <w:wordWrap/>
              <w:overflowPunct/>
              <w:topLinePunct w:val="0"/>
              <w:bidi w:val="0"/>
              <w:spacing w:line="440" w:lineRule="exact"/>
              <w:ind w:left="0" w:leftChars="0" w:right="0" w:firstLine="0" w:firstLineChars="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0D1E09E0">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7692B7BD">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182C39D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4D6D5985">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5AA251FA">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4B43B08E">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7E6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noWrap w:val="0"/>
            <w:tcMar>
              <w:top w:w="15" w:type="dxa"/>
              <w:left w:w="15" w:type="dxa"/>
              <w:bottom w:w="0" w:type="dxa"/>
              <w:right w:w="15" w:type="dxa"/>
            </w:tcMar>
            <w:vAlign w:val="center"/>
          </w:tcPr>
          <w:p w14:paraId="0249C36B">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4F3DBE80">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1BADE667">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7D8D678D">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1C4E2A06">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328A5478">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60283DA5">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33CB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noWrap w:val="0"/>
            <w:tcMar>
              <w:top w:w="15" w:type="dxa"/>
              <w:left w:w="15" w:type="dxa"/>
              <w:bottom w:w="0" w:type="dxa"/>
              <w:right w:w="15" w:type="dxa"/>
            </w:tcMar>
            <w:vAlign w:val="center"/>
          </w:tcPr>
          <w:p w14:paraId="22CABB4E">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3F3D1ADF">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2A59B11F">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2C45B95C">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026345CC">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67394AA6">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02974E8E">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0D53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noWrap w:val="0"/>
            <w:tcMar>
              <w:top w:w="15" w:type="dxa"/>
              <w:left w:w="15" w:type="dxa"/>
              <w:bottom w:w="0" w:type="dxa"/>
              <w:right w:w="15" w:type="dxa"/>
            </w:tcMar>
            <w:vAlign w:val="center"/>
          </w:tcPr>
          <w:p w14:paraId="2CFFD937">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22247FD0">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5F84648C">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04176248">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5AC1A447">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1442E56D">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310CD4F3">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2F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noWrap w:val="0"/>
            <w:tcMar>
              <w:top w:w="15" w:type="dxa"/>
              <w:left w:w="15" w:type="dxa"/>
              <w:bottom w:w="0" w:type="dxa"/>
              <w:right w:w="15" w:type="dxa"/>
            </w:tcMar>
            <w:vAlign w:val="center"/>
          </w:tcPr>
          <w:p w14:paraId="700C13C8">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1C65829D">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7C348C1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24D3C544">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5C0A4620">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4F5F446E">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21C202C6">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573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noWrap w:val="0"/>
            <w:tcMar>
              <w:top w:w="15" w:type="dxa"/>
              <w:left w:w="15" w:type="dxa"/>
              <w:bottom w:w="0" w:type="dxa"/>
              <w:right w:w="15" w:type="dxa"/>
            </w:tcMar>
            <w:vAlign w:val="center"/>
          </w:tcPr>
          <w:p w14:paraId="2C698B8D">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30F83406">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2AED4DFC">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6952002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566763FE">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4B041C9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7FDACAA0">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69D5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659" w:type="dxa"/>
            <w:noWrap w:val="0"/>
            <w:tcMar>
              <w:top w:w="15" w:type="dxa"/>
              <w:left w:w="15" w:type="dxa"/>
              <w:bottom w:w="0" w:type="dxa"/>
              <w:right w:w="15" w:type="dxa"/>
            </w:tcMar>
            <w:vAlign w:val="center"/>
          </w:tcPr>
          <w:p w14:paraId="0543B5F3">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19933F09">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47C92846">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30BDFB14">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21EAD517">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322B04EB">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7948079C">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11F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659" w:type="dxa"/>
            <w:noWrap w:val="0"/>
            <w:tcMar>
              <w:top w:w="15" w:type="dxa"/>
              <w:left w:w="15" w:type="dxa"/>
              <w:bottom w:w="0" w:type="dxa"/>
              <w:right w:w="15" w:type="dxa"/>
            </w:tcMar>
            <w:vAlign w:val="center"/>
          </w:tcPr>
          <w:p w14:paraId="359DE859">
            <w:pPr>
              <w:pStyle w:val="87"/>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center"/>
          </w:tcPr>
          <w:p w14:paraId="1B54C617">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center"/>
          </w:tcPr>
          <w:p w14:paraId="78D65BE2">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center"/>
          </w:tcPr>
          <w:p w14:paraId="0C701E1D">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center"/>
          </w:tcPr>
          <w:p w14:paraId="71454D1F">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65C0BE11">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center"/>
          </w:tcPr>
          <w:p w14:paraId="0212C52A">
            <w:pPr>
              <w:pStyle w:val="87"/>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bl>
    <w:p w14:paraId="538DE23F">
      <w:pPr>
        <w:pStyle w:val="88"/>
        <w:keepNext w:val="0"/>
        <w:keepLines w:val="0"/>
        <w:kinsoku/>
        <w:wordWrap/>
        <w:overflowPunct/>
        <w:topLinePunct w:val="0"/>
        <w:bidi w:val="0"/>
        <w:spacing w:before="0" w:beforeLines="0" w:line="440" w:lineRule="exact"/>
        <w:ind w:left="0" w:leftChars="0" w:righ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注：1.在填写时，如本表不适合供应商实际情况，可根据本表格式自行划表填写。</w:t>
      </w:r>
    </w:p>
    <w:p w14:paraId="5A2185A4">
      <w:pPr>
        <w:pStyle w:val="88"/>
        <w:keepNext w:val="0"/>
        <w:keepLines w:val="0"/>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2.供应商应当在磋商文件中提供以上人员证明材料复印件（加盖单位公章）。</w:t>
      </w:r>
    </w:p>
    <w:p w14:paraId="1BDC235F">
      <w:pPr>
        <w:pStyle w:val="88"/>
        <w:keepNext w:val="0"/>
        <w:keepLines w:val="0"/>
        <w:tabs>
          <w:tab w:val="left" w:pos="2040"/>
        </w:tabs>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p>
    <w:p w14:paraId="029E5DB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6515F234">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6C349C39">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法定代表人/被授权人（签字或盖章）：</w:t>
      </w:r>
    </w:p>
    <w:p w14:paraId="5CEAA03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3C3A24AE">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01FA7E05">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rPr>
          <w:rFonts w:hint="eastAsia" w:ascii="宋体" w:hAnsi="宋体" w:eastAsia="宋体" w:cs="宋体"/>
          <w:color w:val="auto"/>
          <w:sz w:val="24"/>
          <w:szCs w:val="24"/>
        </w:rPr>
      </w:pPr>
    </w:p>
    <w:p w14:paraId="4B19C534">
      <w:pPr>
        <w:pStyle w:val="10"/>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sz w:val="24"/>
          <w:szCs w:val="24"/>
        </w:rPr>
        <w:sectPr>
          <w:pgSz w:w="11906" w:h="16838"/>
          <w:pgMar w:top="1417" w:right="1417" w:bottom="1417" w:left="1417" w:header="851" w:footer="992" w:gutter="0"/>
          <w:pgNumType w:fmt="decimal"/>
          <w:cols w:space="0" w:num="1"/>
          <w:rtlGutter w:val="0"/>
          <w:docGrid w:type="lines" w:linePitch="312" w:charSpace="0"/>
        </w:sectPr>
      </w:pPr>
    </w:p>
    <w:p w14:paraId="4A04133F">
      <w:pPr>
        <w:keepNext w:val="0"/>
        <w:keepLines w:val="0"/>
        <w:kinsoku/>
        <w:wordWrap/>
        <w:overflowPunct/>
        <w:topLinePunct w:val="0"/>
        <w:autoSpaceDE w:val="0"/>
        <w:autoSpaceDN w:val="0"/>
        <w:bidi w:val="0"/>
        <w:adjustRightInd w:val="0"/>
        <w:spacing w:line="440" w:lineRule="exact"/>
        <w:ind w:right="0"/>
        <w:jc w:val="center"/>
        <w:outlineLvl w:val="1"/>
        <w:rPr>
          <w:rFonts w:hint="eastAsia" w:ascii="宋体" w:hAnsi="宋体" w:eastAsia="宋体" w:cs="宋体"/>
          <w:b/>
          <w:color w:val="auto"/>
          <w:kern w:val="2"/>
          <w:sz w:val="32"/>
          <w:szCs w:val="32"/>
        </w:rPr>
      </w:pPr>
      <w:bookmarkStart w:id="26" w:name="_Toc17013"/>
      <w:bookmarkStart w:id="27" w:name="_Toc1803"/>
      <w:bookmarkStart w:id="28" w:name="_Toc1681"/>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六</w:t>
      </w:r>
      <w:r>
        <w:rPr>
          <w:rFonts w:hint="eastAsia" w:ascii="宋体" w:hAnsi="宋体" w:eastAsia="宋体" w:cs="宋体"/>
          <w:b/>
          <w:color w:val="auto"/>
          <w:kern w:val="2"/>
          <w:sz w:val="32"/>
          <w:szCs w:val="32"/>
        </w:rPr>
        <w:t xml:space="preserve">章 </w:t>
      </w:r>
      <w:bookmarkEnd w:id="26"/>
      <w:bookmarkEnd w:id="27"/>
      <w:bookmarkEnd w:id="28"/>
      <w:r>
        <w:rPr>
          <w:rFonts w:hint="eastAsia" w:ascii="宋体" w:hAnsi="宋体" w:eastAsia="宋体" w:cs="宋体"/>
          <w:b/>
          <w:color w:val="auto"/>
          <w:kern w:val="2"/>
          <w:sz w:val="32"/>
          <w:szCs w:val="32"/>
        </w:rPr>
        <w:t>工程质量</w:t>
      </w:r>
      <w:r>
        <w:rPr>
          <w:rFonts w:hint="eastAsia" w:ascii="宋体" w:hAnsi="宋体" w:eastAsia="宋体" w:cs="宋体"/>
          <w:b/>
          <w:color w:val="auto"/>
          <w:kern w:val="2"/>
          <w:sz w:val="32"/>
          <w:szCs w:val="32"/>
          <w:lang w:val="en-US" w:eastAsia="zh-CN"/>
        </w:rPr>
        <w:t>及服务承诺</w:t>
      </w:r>
    </w:p>
    <w:p w14:paraId="5928C07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7EA0BBDF">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1271EFF7">
      <w:pPr>
        <w:keepNext w:val="0"/>
        <w:keepLines w:val="0"/>
        <w:kinsoku/>
        <w:wordWrap/>
        <w:overflowPunct/>
        <w:topLinePunct w:val="0"/>
        <w:autoSpaceDE w:val="0"/>
        <w:autoSpaceDN w:val="0"/>
        <w:bidi w:val="0"/>
        <w:adjustRightInd w:val="0"/>
        <w:spacing w:line="440" w:lineRule="exact"/>
        <w:ind w:right="0"/>
        <w:jc w:val="both"/>
        <w:outlineLvl w:val="1"/>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工程质量</w:t>
      </w:r>
      <w:r>
        <w:rPr>
          <w:rFonts w:hint="eastAsia" w:ascii="宋体" w:hAnsi="宋体" w:eastAsia="宋体" w:cs="宋体"/>
          <w:color w:val="auto"/>
          <w:kern w:val="2"/>
          <w:sz w:val="24"/>
          <w:szCs w:val="24"/>
          <w:lang w:val="en-US" w:eastAsia="zh-CN"/>
        </w:rPr>
        <w:t>及服务承诺</w:t>
      </w:r>
      <w:r>
        <w:rPr>
          <w:rFonts w:hint="eastAsia" w:ascii="宋体" w:hAnsi="宋体" w:eastAsia="宋体" w:cs="宋体"/>
          <w:color w:val="auto"/>
          <w:kern w:val="2"/>
          <w:sz w:val="24"/>
          <w:szCs w:val="24"/>
        </w:rPr>
        <w:t>由供应商自行编写，无具体格式</w:t>
      </w:r>
      <w:bookmarkStart w:id="29" w:name="_Toc1191"/>
      <w:bookmarkStart w:id="30" w:name="_Toc17570"/>
      <w:r>
        <w:rPr>
          <w:rFonts w:hint="eastAsia" w:ascii="宋体" w:hAnsi="宋体" w:eastAsia="宋体" w:cs="宋体"/>
          <w:color w:val="auto"/>
          <w:kern w:val="2"/>
          <w:sz w:val="24"/>
          <w:szCs w:val="24"/>
        </w:rPr>
        <w:t>。</w:t>
      </w:r>
    </w:p>
    <w:p w14:paraId="2487CF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p>
    <w:p w14:paraId="2A84FD64">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七</w:t>
      </w:r>
      <w:r>
        <w:rPr>
          <w:rFonts w:hint="eastAsia" w:ascii="宋体" w:hAnsi="宋体" w:eastAsia="宋体" w:cs="宋体"/>
          <w:b/>
          <w:color w:val="auto"/>
          <w:kern w:val="2"/>
          <w:sz w:val="32"/>
          <w:szCs w:val="32"/>
        </w:rPr>
        <w:t>章 供应商认为有必要说明的其他问题</w:t>
      </w:r>
      <w:bookmarkEnd w:id="29"/>
      <w:bookmarkEnd w:id="30"/>
    </w:p>
    <w:p w14:paraId="454E758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21C78806">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人符合《政府采购法》第二十二条规定条件的承诺函</w:t>
      </w:r>
    </w:p>
    <w:p w14:paraId="4C9334D2">
      <w:pPr>
        <w:keepNext w:val="0"/>
        <w:keepLines w:val="0"/>
        <w:tabs>
          <w:tab w:val="left" w:pos="435"/>
        </w:tabs>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致</w:t>
      </w:r>
      <w:r>
        <w:rPr>
          <w:rFonts w:hint="eastAsia" w:ascii="宋体" w:hAnsi="宋体" w:cs="宋体"/>
          <w:color w:val="auto"/>
          <w:kern w:val="2"/>
          <w:sz w:val="24"/>
          <w:szCs w:val="24"/>
          <w:lang w:val="en-US" w:eastAsia="zh-CN"/>
        </w:rPr>
        <w:t>：</w:t>
      </w:r>
      <w:r>
        <w:rPr>
          <w:rFonts w:hint="eastAsia" w:ascii="宋体" w:hAnsi="宋体" w:eastAsia="宋体" w:cs="宋体"/>
          <w:color w:val="auto"/>
          <w:kern w:val="2"/>
          <w:sz w:val="24"/>
          <w:szCs w:val="24"/>
          <w:highlight w:val="none"/>
          <w:u w:val="single"/>
          <w:lang w:eastAsia="zh-CN"/>
        </w:rPr>
        <w:t>宝泽项目管理有限公司</w:t>
      </w:r>
      <w:r>
        <w:rPr>
          <w:rFonts w:hint="eastAsia" w:ascii="宋体" w:hAnsi="宋体" w:eastAsia="宋体" w:cs="宋体"/>
          <w:color w:val="auto"/>
          <w:kern w:val="2"/>
          <w:sz w:val="24"/>
          <w:szCs w:val="24"/>
          <w:lang w:val="en-US" w:eastAsia="zh-CN"/>
        </w:rPr>
        <w:t xml:space="preserve"> </w:t>
      </w:r>
    </w:p>
    <w:p w14:paraId="2FD2FC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本公司</w:t>
      </w:r>
      <w:r>
        <w:rPr>
          <w:rFonts w:hint="eastAsia" w:ascii="宋体" w:hAnsi="宋体" w:eastAsia="宋体" w:cs="宋体"/>
          <w:color w:val="auto"/>
          <w:kern w:val="2"/>
          <w:sz w:val="24"/>
          <w:szCs w:val="24"/>
          <w:u w:val="single"/>
          <w:lang w:val="en-US" w:eastAsia="zh-CN"/>
        </w:rPr>
        <w:t xml:space="preserve">    （公司名称）</w:t>
      </w:r>
      <w:r>
        <w:rPr>
          <w:rFonts w:hint="eastAsia" w:ascii="宋体" w:hAnsi="宋体" w:eastAsia="宋体" w:cs="宋体"/>
          <w:color w:val="auto"/>
          <w:kern w:val="2"/>
          <w:sz w:val="24"/>
          <w:szCs w:val="24"/>
          <w:lang w:val="en-US" w:eastAsia="zh-CN"/>
        </w:rPr>
        <w:t>参加</w:t>
      </w:r>
      <w:r>
        <w:rPr>
          <w:rFonts w:hint="eastAsia" w:ascii="宋体" w:hAnsi="宋体" w:eastAsia="宋体" w:cs="宋体"/>
          <w:color w:val="auto"/>
          <w:kern w:val="2"/>
          <w:sz w:val="24"/>
          <w:szCs w:val="24"/>
          <w:u w:val="single"/>
          <w:lang w:val="en-US" w:eastAsia="zh-CN"/>
        </w:rPr>
        <w:t xml:space="preserve">  （项目名称）</w:t>
      </w:r>
      <w:r>
        <w:rPr>
          <w:rFonts w:hint="eastAsia" w:ascii="宋体" w:hAnsi="宋体" w:eastAsia="宋体" w:cs="宋体"/>
          <w:color w:val="auto"/>
          <w:kern w:val="2"/>
          <w:sz w:val="24"/>
          <w:szCs w:val="24"/>
          <w:lang w:val="en-US" w:eastAsia="zh-CN"/>
        </w:rPr>
        <w:t>的磋商活动，现承诺：</w:t>
      </w:r>
    </w:p>
    <w:p w14:paraId="18AFBD5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我公司满足政府采购法第二十二条关于供应商的资格要求：</w:t>
      </w:r>
    </w:p>
    <w:p w14:paraId="5BF733F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（一）具有独立承担民事责任的能力； </w:t>
      </w:r>
    </w:p>
    <w:p w14:paraId="593F18E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（二）具有良好的商业信誉和健全的财务会计制度； </w:t>
      </w:r>
    </w:p>
    <w:p w14:paraId="55CAB16E">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（三）具有履行合同所必需的设备和专业技术能力； </w:t>
      </w:r>
    </w:p>
    <w:p w14:paraId="4A4B8D1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（四）有依法缴纳税收的良好记录； </w:t>
      </w:r>
    </w:p>
    <w:p w14:paraId="09136B94">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（五）参加政府采购活动前三年内，在经营活动中没有重大违法记录； </w:t>
      </w:r>
    </w:p>
    <w:p w14:paraId="013F42BD">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（六）法律、行政法规规定的其他条件。</w:t>
      </w:r>
    </w:p>
    <w:p w14:paraId="17FD1ED7">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40EA901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如违反以上承诺，本公司愿承担一切法律责任。</w:t>
      </w:r>
    </w:p>
    <w:p w14:paraId="77E6BAA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E47D0C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689FA6">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p>
    <w:p w14:paraId="3BCC9190">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0F23EA8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lang w:eastAsia="zh-CN"/>
        </w:rPr>
      </w:pPr>
    </w:p>
    <w:p w14:paraId="78B5968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21B0877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26678F9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4FE528E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1663719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5061A97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7C50C909">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lang w:val="en-US" w:eastAsia="zh-CN"/>
        </w:rPr>
        <w:sectPr>
          <w:pgSz w:w="11906" w:h="16838"/>
          <w:pgMar w:top="1417" w:right="1417" w:bottom="1417" w:left="1417" w:header="851" w:footer="992" w:gutter="0"/>
          <w:pgNumType w:fmt="decimal"/>
          <w:cols w:space="0" w:num="1"/>
          <w:rtlGutter w:val="0"/>
          <w:docGrid w:type="lines" w:linePitch="312" w:charSpace="0"/>
        </w:sectPr>
      </w:pPr>
    </w:p>
    <w:p w14:paraId="3358A3A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bookmarkStart w:id="31" w:name="_Toc10667"/>
      <w:bookmarkStart w:id="32" w:name="_Toc28285"/>
      <w:bookmarkStart w:id="33" w:name="_Toc742"/>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八</w:t>
      </w:r>
      <w:r>
        <w:rPr>
          <w:rFonts w:hint="eastAsia" w:ascii="宋体" w:hAnsi="宋体" w:eastAsia="宋体" w:cs="宋体"/>
          <w:b/>
          <w:color w:val="auto"/>
          <w:kern w:val="2"/>
          <w:sz w:val="32"/>
          <w:szCs w:val="32"/>
        </w:rPr>
        <w:t>章 供应商承诺书</w:t>
      </w:r>
      <w:bookmarkEnd w:id="31"/>
      <w:bookmarkEnd w:id="32"/>
      <w:bookmarkEnd w:id="33"/>
    </w:p>
    <w:p w14:paraId="749DD409">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陕西省政府采购供货商拒绝政府采购领域商业贿赂承诺书Ⅰ</w:t>
      </w:r>
    </w:p>
    <w:p w14:paraId="465143A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为响应党中央、国务院关于治理政府采购领域商业贿赂行为的号召，我公司在此庄严承诺：</w:t>
      </w:r>
    </w:p>
    <w:p w14:paraId="1991F34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1、在参与政府采购活动中遵纪守法、诚信经营、公平竞标。</w:t>
      </w:r>
    </w:p>
    <w:p w14:paraId="0A720DF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2、不向政府采购人、代理机构和政府采购评审专家进行任何形式的商业贿赂以谋取交易机会。</w:t>
      </w:r>
    </w:p>
    <w:p w14:paraId="4BE31E8D">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3、不向政府代理机构和采购人提供虚假资质文件或采用虚假应标方式参与政府采购市场竞争并谋取成交。</w:t>
      </w:r>
    </w:p>
    <w:p w14:paraId="554C17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4、不采取“围标、陪标”等商业欺诈手段获得政府采购订单。</w:t>
      </w:r>
    </w:p>
    <w:p w14:paraId="3F15211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5、不采取不正当手段诋毁、排挤其它供货商。</w:t>
      </w:r>
    </w:p>
    <w:p w14:paraId="3470C50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6、不在提供商品和服务时“偷梁换柱、以次充好”损害采购人的合法权益。</w:t>
      </w:r>
    </w:p>
    <w:p w14:paraId="67E109B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7、不与采购人、代理机构政府采购评审专家或其它供货商恶意串通，进行质疑和投诉，维护政府采购市场秩序。</w:t>
      </w:r>
    </w:p>
    <w:p w14:paraId="568C48A7">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8、尊重和接受政府采购监督管理部门的监督和政府代理机构招标采购要求，承担因违约行为给采购人造成的损失。</w:t>
      </w:r>
    </w:p>
    <w:p w14:paraId="437DF4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9、不发生其它有悖于政府采购公开、公平、公正和诚信原则的行为。</w:t>
      </w:r>
    </w:p>
    <w:p w14:paraId="5FEDC39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501723E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lang w:eastAsia="zh-CN"/>
        </w:rPr>
        <w:t>承诺单位</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（全称及公章）</w:t>
      </w:r>
    </w:p>
    <w:p w14:paraId="7EC031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法定代表人/被授权人（签字）：</w:t>
      </w:r>
    </w:p>
    <w:p w14:paraId="5F35111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rPr>
        <w:t>邮编：</w:t>
      </w:r>
    </w:p>
    <w:p w14:paraId="3DE2EEF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w:t>
      </w:r>
    </w:p>
    <w:p w14:paraId="44A7700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电话： </w:t>
      </w:r>
    </w:p>
    <w:p w14:paraId="219D6BA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日</w:t>
      </w:r>
    </w:p>
    <w:p w14:paraId="6E98923D">
      <w:pPr>
        <w:keepNext w:val="0"/>
        <w:keepLines w:val="0"/>
        <w:pageBreakBefore/>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承诺书Ⅱ</w:t>
      </w:r>
    </w:p>
    <w:tbl>
      <w:tblPr>
        <w:tblStyle w:val="26"/>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7718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75CC9F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eastAsia="宋体" w:cs="宋体"/>
                <w:color w:val="auto"/>
                <w:kern w:val="2"/>
                <w:sz w:val="24"/>
                <w:szCs w:val="24"/>
                <w:highlight w:val="none"/>
                <w:u w:val="single"/>
                <w:lang w:eastAsia="zh-CN"/>
              </w:rPr>
              <w:t>宝泽项目管理有限公司</w:t>
            </w:r>
          </w:p>
        </w:tc>
      </w:tr>
      <w:tr w14:paraId="6A67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0E0D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20D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B30A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568E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297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021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6E66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3123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B3E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39A6606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p>
    <w:p w14:paraId="6BFED61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承诺书Ⅲ</w:t>
      </w:r>
    </w:p>
    <w:tbl>
      <w:tblPr>
        <w:tblStyle w:val="2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738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A31A0A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eastAsia="宋体" w:cs="宋体"/>
                <w:color w:val="auto"/>
                <w:kern w:val="2"/>
                <w:sz w:val="24"/>
                <w:szCs w:val="24"/>
                <w:highlight w:val="none"/>
                <w:u w:val="single"/>
                <w:lang w:eastAsia="zh-CN"/>
              </w:rPr>
              <w:t>宝泽项目管理有限公司</w:t>
            </w:r>
          </w:p>
        </w:tc>
      </w:tr>
      <w:tr w14:paraId="3EBD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83769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的供应商，本公司郑重申告并承诺：近三年受到有关行政主管部门的行政处理、不良行为记录为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次（没有填零），如有隐瞒实情，愿承担一切责任及后果。</w:t>
            </w:r>
          </w:p>
        </w:tc>
      </w:tr>
      <w:tr w14:paraId="1E4A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F3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451F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A95D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7FB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A1FD4">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73E2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51BC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275FCD47">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2C1181EE">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7044021F">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w:t>
      </w:r>
      <w:r>
        <w:rPr>
          <w:rFonts w:hint="eastAsia" w:ascii="宋体" w:hAnsi="宋体" w:eastAsia="宋体" w:cs="宋体"/>
          <w:b/>
          <w:color w:val="auto"/>
          <w:kern w:val="2"/>
          <w:sz w:val="24"/>
          <w:szCs w:val="24"/>
        </w:rPr>
        <w:fldChar w:fldCharType="begin"/>
      </w:r>
      <w:r>
        <w:rPr>
          <w:rFonts w:hint="eastAsia" w:ascii="宋体" w:hAnsi="宋体" w:eastAsia="宋体" w:cs="宋体"/>
          <w:b/>
          <w:color w:val="auto"/>
          <w:kern w:val="2"/>
          <w:sz w:val="24"/>
          <w:szCs w:val="24"/>
        </w:rPr>
        <w:instrText xml:space="preserve"> = 5 \* ROMAN </w:instrText>
      </w:r>
      <w:r>
        <w:rPr>
          <w:rFonts w:hint="eastAsia" w:ascii="宋体" w:hAnsi="宋体" w:eastAsia="宋体" w:cs="宋体"/>
          <w:b/>
          <w:color w:val="auto"/>
          <w:kern w:val="2"/>
          <w:sz w:val="24"/>
          <w:szCs w:val="24"/>
        </w:rPr>
        <w:fldChar w:fldCharType="separate"/>
      </w:r>
      <w:r>
        <w:rPr>
          <w:rFonts w:hint="eastAsia" w:ascii="宋体" w:hAnsi="宋体" w:eastAsia="宋体" w:cs="宋体"/>
          <w:b/>
          <w:color w:val="auto"/>
          <w:kern w:val="2"/>
          <w:sz w:val="24"/>
          <w:szCs w:val="24"/>
          <w:lang w:val="zh-CN"/>
        </w:rPr>
        <w:t>V</w:t>
      </w:r>
      <w:r>
        <w:rPr>
          <w:rFonts w:hint="eastAsia" w:ascii="宋体" w:hAnsi="宋体" w:eastAsia="宋体" w:cs="宋体"/>
          <w:b/>
          <w:color w:val="auto"/>
          <w:kern w:val="2"/>
          <w:sz w:val="24"/>
          <w:szCs w:val="24"/>
          <w:lang w:val="zh-CN"/>
        </w:rPr>
        <w:fldChar w:fldCharType="end"/>
      </w:r>
    </w:p>
    <w:tbl>
      <w:tblPr>
        <w:tblStyle w:val="26"/>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404B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24C3C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eastAsia="宋体" w:cs="宋体"/>
                <w:color w:val="auto"/>
                <w:kern w:val="2"/>
                <w:sz w:val="24"/>
                <w:szCs w:val="24"/>
                <w:highlight w:val="none"/>
                <w:u w:val="single"/>
                <w:lang w:eastAsia="zh-CN"/>
              </w:rPr>
              <w:t>宝泽项目管理有限公司</w:t>
            </w:r>
          </w:p>
        </w:tc>
      </w:tr>
      <w:tr w14:paraId="6CD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7F132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的供应商，本公司承诺：参加本次磋商提交的所有资质证明文件及业绩证明文件是真实的、有效的，如有隐瞒实情，愿承担一切责任及后果。</w:t>
            </w:r>
          </w:p>
        </w:tc>
      </w:tr>
      <w:tr w14:paraId="460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FDC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075C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A6A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05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2787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A213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65A7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4D6838F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bookmarkStart w:id="34" w:name="_Toc8177"/>
      <w:bookmarkStart w:id="35" w:name="_Toc2630"/>
      <w:bookmarkStart w:id="36" w:name="_Toc24141"/>
    </w:p>
    <w:p w14:paraId="50934C94">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4E5D606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sectPr>
          <w:pgSz w:w="11906" w:h="16838"/>
          <w:pgMar w:top="1417" w:right="1417" w:bottom="1417" w:left="1417" w:header="851" w:footer="992" w:gutter="0"/>
          <w:pgNumType w:fmt="decimal"/>
          <w:cols w:space="0" w:num="1"/>
          <w:rtlGutter w:val="0"/>
          <w:docGrid w:type="lines" w:linePitch="312" w:charSpace="0"/>
        </w:sectPr>
      </w:pPr>
    </w:p>
    <w:p w14:paraId="6DFB4D7A">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643" w:firstLineChars="200"/>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九</w:t>
      </w:r>
      <w:r>
        <w:rPr>
          <w:rFonts w:hint="eastAsia" w:ascii="宋体" w:hAnsi="宋体" w:eastAsia="宋体" w:cs="宋体"/>
          <w:b/>
          <w:color w:val="auto"/>
          <w:kern w:val="2"/>
          <w:sz w:val="32"/>
          <w:szCs w:val="32"/>
        </w:rPr>
        <w:t xml:space="preserve">章 </w:t>
      </w:r>
      <w:bookmarkEnd w:id="34"/>
      <w:bookmarkEnd w:id="35"/>
      <w:bookmarkEnd w:id="36"/>
      <w:r>
        <w:rPr>
          <w:rFonts w:hint="eastAsia" w:ascii="宋体" w:hAnsi="宋体" w:eastAsia="宋体" w:cs="宋体"/>
          <w:b/>
          <w:bCs/>
          <w:color w:val="auto"/>
          <w:kern w:val="2"/>
          <w:sz w:val="32"/>
          <w:szCs w:val="32"/>
          <w:highlight w:val="none"/>
          <w:lang w:val="en-US" w:eastAsia="zh-CN"/>
        </w:rPr>
        <w:t xml:space="preserve"> </w:t>
      </w:r>
      <w:r>
        <w:rPr>
          <w:rFonts w:hint="eastAsia" w:ascii="宋体" w:hAnsi="宋体" w:eastAsia="宋体" w:cs="宋体"/>
          <w:b/>
          <w:bCs/>
          <w:color w:val="auto"/>
          <w:kern w:val="2"/>
          <w:sz w:val="32"/>
          <w:szCs w:val="32"/>
          <w:highlight w:val="none"/>
          <w:lang w:eastAsia="zh-CN"/>
        </w:rPr>
        <w:t>其它证明资料</w:t>
      </w:r>
    </w:p>
    <w:p w14:paraId="2377DBAC">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bookmarkStart w:id="37" w:name="_Toc1247"/>
    </w:p>
    <w:bookmarkEnd w:id="37"/>
    <w:p w14:paraId="4DAE2F25">
      <w:pPr>
        <w:keepNext w:val="0"/>
        <w:keepLines w:val="0"/>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（磋商单位认为对其有利的，或者对评分内容有利的其他资料）</w:t>
      </w:r>
    </w:p>
    <w:p w14:paraId="24509CA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43421236">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5F4C">
    <w:pPr>
      <w:pStyle w:val="17"/>
      <w:tabs>
        <w:tab w:val="center" w:pos="4819"/>
        <w:tab w:val="left" w:pos="7440"/>
      </w:tabs>
    </w:pPr>
    <w:r>
      <w:tab/>
    </w:r>
  </w:p>
  <w:p w14:paraId="4BF5D1EA">
    <w:pPr>
      <w:pStyle w:val="17"/>
      <w:ind w:right="360"/>
      <w:jc w:val="center"/>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AB1E">
    <w:pPr>
      <w:pStyle w:val="17"/>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2B40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62B40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r>
      <w:tab/>
    </w:r>
  </w:p>
  <w:p w14:paraId="6F8FBA36">
    <w:pPr>
      <w:pStyle w:val="17"/>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489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1035E">
                          <w:pPr>
                            <w:pStyle w:val="17"/>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1035E">
                    <w:pPr>
                      <w:pStyle w:val="17"/>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8937">
    <w:pPr>
      <w:pBdr>
        <w:bottom w:val="none" w:color="auto" w:sz="0" w:space="0"/>
      </w:pBdr>
      <w:adjustRightInd w:val="0"/>
      <w:snapToGrid w:val="0"/>
      <w:jc w:val="right"/>
      <w:rPr>
        <w:b/>
        <w:i/>
        <w:u w:val="single"/>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7F960">
    <w:pPr>
      <w:pStyle w:val="18"/>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C0CB2"/>
    <w:multiLevelType w:val="singleLevel"/>
    <w:tmpl w:val="CB2C0CB2"/>
    <w:lvl w:ilvl="0" w:tentative="0">
      <w:start w:val="6"/>
      <w:numFmt w:val="chineseCounting"/>
      <w:suff w:val="space"/>
      <w:lvlText w:val="第%1部分"/>
      <w:lvlJc w:val="left"/>
      <w:rPr>
        <w:rFonts w:hint="eastAsia"/>
      </w:rPr>
    </w:lvl>
  </w:abstractNum>
  <w:abstractNum w:abstractNumId="1">
    <w:nsid w:val="EABB04FA"/>
    <w:multiLevelType w:val="singleLevel"/>
    <w:tmpl w:val="EABB04FA"/>
    <w:lvl w:ilvl="0" w:tentative="0">
      <w:start w:val="4"/>
      <w:numFmt w:val="chineseCounting"/>
      <w:suff w:val="space"/>
      <w:lvlText w:val="第%1部分"/>
      <w:lvlJc w:val="left"/>
      <w:rPr>
        <w:rFonts w:hint="eastAsia"/>
      </w:rPr>
    </w:lvl>
  </w:abstractNum>
  <w:abstractNum w:abstractNumId="2">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6"/>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zgwNWE2OTk3ZGY2MWViYWE3YjE3OTg1NTNiODgifQ=="/>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6320EC"/>
    <w:rsid w:val="01763BCE"/>
    <w:rsid w:val="018C100A"/>
    <w:rsid w:val="01933E12"/>
    <w:rsid w:val="0193652C"/>
    <w:rsid w:val="019B1C2F"/>
    <w:rsid w:val="01D03EEE"/>
    <w:rsid w:val="01E70A1A"/>
    <w:rsid w:val="01E8357C"/>
    <w:rsid w:val="01EE10BC"/>
    <w:rsid w:val="01F42A6B"/>
    <w:rsid w:val="01FF6A00"/>
    <w:rsid w:val="02077F88"/>
    <w:rsid w:val="0213118F"/>
    <w:rsid w:val="0217455F"/>
    <w:rsid w:val="021F6339"/>
    <w:rsid w:val="022005AD"/>
    <w:rsid w:val="022C5216"/>
    <w:rsid w:val="023A2CE7"/>
    <w:rsid w:val="023F0464"/>
    <w:rsid w:val="02901A03"/>
    <w:rsid w:val="02A46519"/>
    <w:rsid w:val="02A679C0"/>
    <w:rsid w:val="02C941D1"/>
    <w:rsid w:val="02D51D0B"/>
    <w:rsid w:val="02EE3C38"/>
    <w:rsid w:val="03005F06"/>
    <w:rsid w:val="032675E5"/>
    <w:rsid w:val="032A1A78"/>
    <w:rsid w:val="032A2400"/>
    <w:rsid w:val="033464E4"/>
    <w:rsid w:val="034F7B2C"/>
    <w:rsid w:val="03515509"/>
    <w:rsid w:val="03642C5A"/>
    <w:rsid w:val="03745009"/>
    <w:rsid w:val="037802DF"/>
    <w:rsid w:val="037C297C"/>
    <w:rsid w:val="03965E3A"/>
    <w:rsid w:val="039E1668"/>
    <w:rsid w:val="039E740C"/>
    <w:rsid w:val="03CE2FF0"/>
    <w:rsid w:val="03E437D1"/>
    <w:rsid w:val="03F508D0"/>
    <w:rsid w:val="03FB03BA"/>
    <w:rsid w:val="03FD4598"/>
    <w:rsid w:val="04053BB8"/>
    <w:rsid w:val="04111EC2"/>
    <w:rsid w:val="0424171A"/>
    <w:rsid w:val="043D4090"/>
    <w:rsid w:val="0442423B"/>
    <w:rsid w:val="044D1CE7"/>
    <w:rsid w:val="044D2832"/>
    <w:rsid w:val="04573AC1"/>
    <w:rsid w:val="04693976"/>
    <w:rsid w:val="046A0D55"/>
    <w:rsid w:val="04744991"/>
    <w:rsid w:val="04764FDC"/>
    <w:rsid w:val="047A3973"/>
    <w:rsid w:val="048B7990"/>
    <w:rsid w:val="049B263D"/>
    <w:rsid w:val="04A46113"/>
    <w:rsid w:val="04C66C1A"/>
    <w:rsid w:val="04CB208F"/>
    <w:rsid w:val="04DC1150"/>
    <w:rsid w:val="04DC13C8"/>
    <w:rsid w:val="04F11703"/>
    <w:rsid w:val="05047743"/>
    <w:rsid w:val="050D08EE"/>
    <w:rsid w:val="051456A9"/>
    <w:rsid w:val="051E1119"/>
    <w:rsid w:val="0527573D"/>
    <w:rsid w:val="05422ECB"/>
    <w:rsid w:val="05447949"/>
    <w:rsid w:val="05461621"/>
    <w:rsid w:val="056A25CE"/>
    <w:rsid w:val="05834B0B"/>
    <w:rsid w:val="05B44CC5"/>
    <w:rsid w:val="05BE1527"/>
    <w:rsid w:val="05BF3ADC"/>
    <w:rsid w:val="05D44333"/>
    <w:rsid w:val="05DD398D"/>
    <w:rsid w:val="05F01619"/>
    <w:rsid w:val="05F122E1"/>
    <w:rsid w:val="06035C4C"/>
    <w:rsid w:val="06096C10"/>
    <w:rsid w:val="061629D4"/>
    <w:rsid w:val="062540A0"/>
    <w:rsid w:val="06360C42"/>
    <w:rsid w:val="064B1FF4"/>
    <w:rsid w:val="064C137C"/>
    <w:rsid w:val="065E5555"/>
    <w:rsid w:val="066C3B0A"/>
    <w:rsid w:val="0676575E"/>
    <w:rsid w:val="068569BC"/>
    <w:rsid w:val="06964E9E"/>
    <w:rsid w:val="06C017FF"/>
    <w:rsid w:val="06D26260"/>
    <w:rsid w:val="06F13C93"/>
    <w:rsid w:val="07061550"/>
    <w:rsid w:val="07213B55"/>
    <w:rsid w:val="072C5040"/>
    <w:rsid w:val="073F4A62"/>
    <w:rsid w:val="074E2978"/>
    <w:rsid w:val="0754179A"/>
    <w:rsid w:val="07550674"/>
    <w:rsid w:val="077679C2"/>
    <w:rsid w:val="07857534"/>
    <w:rsid w:val="07893F2F"/>
    <w:rsid w:val="078A56D0"/>
    <w:rsid w:val="079D19A6"/>
    <w:rsid w:val="07C84A57"/>
    <w:rsid w:val="07D06345"/>
    <w:rsid w:val="07EA0E72"/>
    <w:rsid w:val="08144141"/>
    <w:rsid w:val="083E11BD"/>
    <w:rsid w:val="083E2F6B"/>
    <w:rsid w:val="084C0253"/>
    <w:rsid w:val="086A5B0F"/>
    <w:rsid w:val="08780E28"/>
    <w:rsid w:val="088478FD"/>
    <w:rsid w:val="08886B52"/>
    <w:rsid w:val="08C92A8B"/>
    <w:rsid w:val="08CF47AA"/>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60DC8"/>
    <w:rsid w:val="09A82AF8"/>
    <w:rsid w:val="09DE4B52"/>
    <w:rsid w:val="09E902BD"/>
    <w:rsid w:val="09EC78D4"/>
    <w:rsid w:val="0A00497C"/>
    <w:rsid w:val="0A017390"/>
    <w:rsid w:val="0A131C64"/>
    <w:rsid w:val="0A176139"/>
    <w:rsid w:val="0A1977EC"/>
    <w:rsid w:val="0A3665F0"/>
    <w:rsid w:val="0A5E16A3"/>
    <w:rsid w:val="0A72001F"/>
    <w:rsid w:val="0A757889"/>
    <w:rsid w:val="0A84735B"/>
    <w:rsid w:val="0A863F24"/>
    <w:rsid w:val="0A9B7618"/>
    <w:rsid w:val="0AB85110"/>
    <w:rsid w:val="0ABC114C"/>
    <w:rsid w:val="0AE42D4F"/>
    <w:rsid w:val="0AE95411"/>
    <w:rsid w:val="0AEB740E"/>
    <w:rsid w:val="0B046571"/>
    <w:rsid w:val="0B082A4D"/>
    <w:rsid w:val="0B0C3F54"/>
    <w:rsid w:val="0B0E0D15"/>
    <w:rsid w:val="0B104CDA"/>
    <w:rsid w:val="0B1A00C9"/>
    <w:rsid w:val="0B212DFC"/>
    <w:rsid w:val="0B4F5A3E"/>
    <w:rsid w:val="0B7E2B1C"/>
    <w:rsid w:val="0B9A6C94"/>
    <w:rsid w:val="0BD0316F"/>
    <w:rsid w:val="0BF14D3D"/>
    <w:rsid w:val="0BF463E7"/>
    <w:rsid w:val="0C0D37A3"/>
    <w:rsid w:val="0C1B3CF0"/>
    <w:rsid w:val="0C226595"/>
    <w:rsid w:val="0C2557B3"/>
    <w:rsid w:val="0C3721AC"/>
    <w:rsid w:val="0C3F7792"/>
    <w:rsid w:val="0C43273C"/>
    <w:rsid w:val="0C4C6992"/>
    <w:rsid w:val="0C4F4991"/>
    <w:rsid w:val="0C5445BF"/>
    <w:rsid w:val="0C636A8A"/>
    <w:rsid w:val="0C69734B"/>
    <w:rsid w:val="0C9B273A"/>
    <w:rsid w:val="0CD30DDB"/>
    <w:rsid w:val="0CD85037"/>
    <w:rsid w:val="0CDB5931"/>
    <w:rsid w:val="0CE0437F"/>
    <w:rsid w:val="0D08183B"/>
    <w:rsid w:val="0D136775"/>
    <w:rsid w:val="0D331802"/>
    <w:rsid w:val="0D5225D9"/>
    <w:rsid w:val="0D527BEF"/>
    <w:rsid w:val="0D6571C0"/>
    <w:rsid w:val="0D763449"/>
    <w:rsid w:val="0DA358E0"/>
    <w:rsid w:val="0DA63A8D"/>
    <w:rsid w:val="0DAB4C84"/>
    <w:rsid w:val="0DAF40E5"/>
    <w:rsid w:val="0DB046BE"/>
    <w:rsid w:val="0DCB5CBE"/>
    <w:rsid w:val="0DD04666"/>
    <w:rsid w:val="0DE068BB"/>
    <w:rsid w:val="0DED1D10"/>
    <w:rsid w:val="0DF200B2"/>
    <w:rsid w:val="0E014538"/>
    <w:rsid w:val="0E1A73A1"/>
    <w:rsid w:val="0E211365"/>
    <w:rsid w:val="0E465FA8"/>
    <w:rsid w:val="0E710EAF"/>
    <w:rsid w:val="0E8A322D"/>
    <w:rsid w:val="0E970802"/>
    <w:rsid w:val="0E9E116A"/>
    <w:rsid w:val="0EA24254"/>
    <w:rsid w:val="0EAC1215"/>
    <w:rsid w:val="0EB04E4C"/>
    <w:rsid w:val="0EB42344"/>
    <w:rsid w:val="0EB43073"/>
    <w:rsid w:val="0EB93FDA"/>
    <w:rsid w:val="0EFF3CAC"/>
    <w:rsid w:val="0EFF7FF8"/>
    <w:rsid w:val="0F077EE1"/>
    <w:rsid w:val="0F095A50"/>
    <w:rsid w:val="0F114F40"/>
    <w:rsid w:val="0F234C69"/>
    <w:rsid w:val="0F3155D8"/>
    <w:rsid w:val="0F33683E"/>
    <w:rsid w:val="0F3676E8"/>
    <w:rsid w:val="0F3A15CD"/>
    <w:rsid w:val="0F4A67A8"/>
    <w:rsid w:val="0F5A4B2F"/>
    <w:rsid w:val="0F5F4DD1"/>
    <w:rsid w:val="0F640CD0"/>
    <w:rsid w:val="0F87169C"/>
    <w:rsid w:val="0F9225E2"/>
    <w:rsid w:val="0FB85BFC"/>
    <w:rsid w:val="0FC4290B"/>
    <w:rsid w:val="0FC540E9"/>
    <w:rsid w:val="0FDB1539"/>
    <w:rsid w:val="0FED7751"/>
    <w:rsid w:val="10166C7F"/>
    <w:rsid w:val="102715F9"/>
    <w:rsid w:val="102F402D"/>
    <w:rsid w:val="1030685D"/>
    <w:rsid w:val="10502AED"/>
    <w:rsid w:val="10511056"/>
    <w:rsid w:val="105A46BB"/>
    <w:rsid w:val="1060395B"/>
    <w:rsid w:val="10801CBD"/>
    <w:rsid w:val="10946190"/>
    <w:rsid w:val="109667F9"/>
    <w:rsid w:val="10982E46"/>
    <w:rsid w:val="10D0497D"/>
    <w:rsid w:val="10EA160F"/>
    <w:rsid w:val="10EE7F80"/>
    <w:rsid w:val="11015BB4"/>
    <w:rsid w:val="113E7C8B"/>
    <w:rsid w:val="11A038F0"/>
    <w:rsid w:val="11EC50D0"/>
    <w:rsid w:val="12192A7F"/>
    <w:rsid w:val="121D35D1"/>
    <w:rsid w:val="122055D5"/>
    <w:rsid w:val="1225232C"/>
    <w:rsid w:val="124A0865"/>
    <w:rsid w:val="12644944"/>
    <w:rsid w:val="128370B7"/>
    <w:rsid w:val="129356D7"/>
    <w:rsid w:val="129834AA"/>
    <w:rsid w:val="129D61C4"/>
    <w:rsid w:val="12B708BF"/>
    <w:rsid w:val="12E373B2"/>
    <w:rsid w:val="13065BA7"/>
    <w:rsid w:val="130E30D5"/>
    <w:rsid w:val="132A605E"/>
    <w:rsid w:val="1335171A"/>
    <w:rsid w:val="1353773D"/>
    <w:rsid w:val="135A334F"/>
    <w:rsid w:val="1367647A"/>
    <w:rsid w:val="1375314E"/>
    <w:rsid w:val="13AB75EB"/>
    <w:rsid w:val="13B91D50"/>
    <w:rsid w:val="13BD0273"/>
    <w:rsid w:val="13E7338E"/>
    <w:rsid w:val="13F46B45"/>
    <w:rsid w:val="141217B6"/>
    <w:rsid w:val="14213E6D"/>
    <w:rsid w:val="14263231"/>
    <w:rsid w:val="142E0338"/>
    <w:rsid w:val="14570C6F"/>
    <w:rsid w:val="1471130F"/>
    <w:rsid w:val="1473202D"/>
    <w:rsid w:val="147431CD"/>
    <w:rsid w:val="147754A1"/>
    <w:rsid w:val="148665BB"/>
    <w:rsid w:val="14932C6D"/>
    <w:rsid w:val="14A967DF"/>
    <w:rsid w:val="14AF76CB"/>
    <w:rsid w:val="14B93CEA"/>
    <w:rsid w:val="14C91E0F"/>
    <w:rsid w:val="14F7697C"/>
    <w:rsid w:val="150E4189"/>
    <w:rsid w:val="15113EE2"/>
    <w:rsid w:val="1525539D"/>
    <w:rsid w:val="1551272A"/>
    <w:rsid w:val="155166DA"/>
    <w:rsid w:val="156F7179"/>
    <w:rsid w:val="157348A1"/>
    <w:rsid w:val="15812F70"/>
    <w:rsid w:val="15931769"/>
    <w:rsid w:val="159B37AB"/>
    <w:rsid w:val="15B05436"/>
    <w:rsid w:val="15D46CBD"/>
    <w:rsid w:val="15D66ED9"/>
    <w:rsid w:val="160B0B38"/>
    <w:rsid w:val="162B5650"/>
    <w:rsid w:val="163369BA"/>
    <w:rsid w:val="163D4862"/>
    <w:rsid w:val="164C60B0"/>
    <w:rsid w:val="16535060"/>
    <w:rsid w:val="165D4B43"/>
    <w:rsid w:val="16610551"/>
    <w:rsid w:val="16787F37"/>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B32C0"/>
    <w:rsid w:val="175E4F4D"/>
    <w:rsid w:val="176C3651"/>
    <w:rsid w:val="177B3894"/>
    <w:rsid w:val="178A4041"/>
    <w:rsid w:val="17913AE6"/>
    <w:rsid w:val="17C0574B"/>
    <w:rsid w:val="17DA3096"/>
    <w:rsid w:val="17DB47BC"/>
    <w:rsid w:val="17DF4E1B"/>
    <w:rsid w:val="17E53404"/>
    <w:rsid w:val="17F07798"/>
    <w:rsid w:val="17FB14E1"/>
    <w:rsid w:val="18162399"/>
    <w:rsid w:val="18193D2D"/>
    <w:rsid w:val="181B15B5"/>
    <w:rsid w:val="18201DAE"/>
    <w:rsid w:val="18336A58"/>
    <w:rsid w:val="18383533"/>
    <w:rsid w:val="18397AB9"/>
    <w:rsid w:val="18422604"/>
    <w:rsid w:val="18860743"/>
    <w:rsid w:val="188C36C4"/>
    <w:rsid w:val="18980476"/>
    <w:rsid w:val="18A63D83"/>
    <w:rsid w:val="18CD582D"/>
    <w:rsid w:val="18E0229F"/>
    <w:rsid w:val="18F1475A"/>
    <w:rsid w:val="19066596"/>
    <w:rsid w:val="190B0C48"/>
    <w:rsid w:val="1973397A"/>
    <w:rsid w:val="1981073B"/>
    <w:rsid w:val="198F04FA"/>
    <w:rsid w:val="199A5304"/>
    <w:rsid w:val="19A846E9"/>
    <w:rsid w:val="19AA7EA6"/>
    <w:rsid w:val="19AE7746"/>
    <w:rsid w:val="19B72F00"/>
    <w:rsid w:val="19CA1C19"/>
    <w:rsid w:val="19E82D37"/>
    <w:rsid w:val="19F50B74"/>
    <w:rsid w:val="19F53DD2"/>
    <w:rsid w:val="19FB7E88"/>
    <w:rsid w:val="1A085187"/>
    <w:rsid w:val="1A0C2EC9"/>
    <w:rsid w:val="1A0C6B6B"/>
    <w:rsid w:val="1A2A56BD"/>
    <w:rsid w:val="1A3D694A"/>
    <w:rsid w:val="1A591EAA"/>
    <w:rsid w:val="1A6277D4"/>
    <w:rsid w:val="1A65456E"/>
    <w:rsid w:val="1A763D88"/>
    <w:rsid w:val="1A906A44"/>
    <w:rsid w:val="1AA95E2B"/>
    <w:rsid w:val="1AB030DA"/>
    <w:rsid w:val="1AE86247"/>
    <w:rsid w:val="1AF750C1"/>
    <w:rsid w:val="1AFE42A1"/>
    <w:rsid w:val="1B0D1262"/>
    <w:rsid w:val="1B107F31"/>
    <w:rsid w:val="1B215E83"/>
    <w:rsid w:val="1B2E4111"/>
    <w:rsid w:val="1B35574E"/>
    <w:rsid w:val="1B3A611B"/>
    <w:rsid w:val="1B4E184A"/>
    <w:rsid w:val="1B590209"/>
    <w:rsid w:val="1B697EA8"/>
    <w:rsid w:val="1B6C3034"/>
    <w:rsid w:val="1B707488"/>
    <w:rsid w:val="1B7A3E63"/>
    <w:rsid w:val="1BAC2B10"/>
    <w:rsid w:val="1BAC4BD1"/>
    <w:rsid w:val="1BC670A8"/>
    <w:rsid w:val="1BD37E6C"/>
    <w:rsid w:val="1BD670F4"/>
    <w:rsid w:val="1BDB1FA8"/>
    <w:rsid w:val="1BF0659E"/>
    <w:rsid w:val="1BFC58E0"/>
    <w:rsid w:val="1C1D316C"/>
    <w:rsid w:val="1C2423AC"/>
    <w:rsid w:val="1C435344"/>
    <w:rsid w:val="1C531D11"/>
    <w:rsid w:val="1C5A7D40"/>
    <w:rsid w:val="1C8925AF"/>
    <w:rsid w:val="1C9319AE"/>
    <w:rsid w:val="1CA96184"/>
    <w:rsid w:val="1CAA4BB8"/>
    <w:rsid w:val="1CBB688E"/>
    <w:rsid w:val="1CC951DA"/>
    <w:rsid w:val="1CCF1596"/>
    <w:rsid w:val="1CE35693"/>
    <w:rsid w:val="1CE9080D"/>
    <w:rsid w:val="1CF97094"/>
    <w:rsid w:val="1D091942"/>
    <w:rsid w:val="1D151709"/>
    <w:rsid w:val="1D2774F1"/>
    <w:rsid w:val="1D2C458E"/>
    <w:rsid w:val="1D416E36"/>
    <w:rsid w:val="1D437806"/>
    <w:rsid w:val="1D4D12FD"/>
    <w:rsid w:val="1D533669"/>
    <w:rsid w:val="1D5C4DE4"/>
    <w:rsid w:val="1D694243"/>
    <w:rsid w:val="1D6B027C"/>
    <w:rsid w:val="1D7F0D19"/>
    <w:rsid w:val="1D8569AE"/>
    <w:rsid w:val="1D86132B"/>
    <w:rsid w:val="1DA81FC5"/>
    <w:rsid w:val="1DBD0C5D"/>
    <w:rsid w:val="1DC523BF"/>
    <w:rsid w:val="1DC87107"/>
    <w:rsid w:val="1DD23BBC"/>
    <w:rsid w:val="1DE41A21"/>
    <w:rsid w:val="1DEC0312"/>
    <w:rsid w:val="1DFB61A2"/>
    <w:rsid w:val="1E0839A8"/>
    <w:rsid w:val="1E1D56A5"/>
    <w:rsid w:val="1E312561"/>
    <w:rsid w:val="1E564C49"/>
    <w:rsid w:val="1E9B2689"/>
    <w:rsid w:val="1E9C1541"/>
    <w:rsid w:val="1EBE6541"/>
    <w:rsid w:val="1EC024D4"/>
    <w:rsid w:val="1EEF393D"/>
    <w:rsid w:val="1EFC6DAC"/>
    <w:rsid w:val="1EFD7FCB"/>
    <w:rsid w:val="1F0D47D4"/>
    <w:rsid w:val="1F192E37"/>
    <w:rsid w:val="1F266F21"/>
    <w:rsid w:val="1F386378"/>
    <w:rsid w:val="1F4C1A60"/>
    <w:rsid w:val="1F677554"/>
    <w:rsid w:val="1F773EC5"/>
    <w:rsid w:val="1F7A3BFD"/>
    <w:rsid w:val="1FAC3795"/>
    <w:rsid w:val="1FAF543A"/>
    <w:rsid w:val="1FB80D1A"/>
    <w:rsid w:val="1FBA27D8"/>
    <w:rsid w:val="1FD55B0C"/>
    <w:rsid w:val="1FE806EC"/>
    <w:rsid w:val="1FF73CD4"/>
    <w:rsid w:val="2002721D"/>
    <w:rsid w:val="202B4056"/>
    <w:rsid w:val="2038280A"/>
    <w:rsid w:val="20414404"/>
    <w:rsid w:val="204E44BF"/>
    <w:rsid w:val="20595B12"/>
    <w:rsid w:val="20643520"/>
    <w:rsid w:val="20670E5A"/>
    <w:rsid w:val="208D63E6"/>
    <w:rsid w:val="208E4638"/>
    <w:rsid w:val="20A00CD1"/>
    <w:rsid w:val="20A26B2A"/>
    <w:rsid w:val="20A54F56"/>
    <w:rsid w:val="20A572F1"/>
    <w:rsid w:val="20BC1E43"/>
    <w:rsid w:val="20CD345A"/>
    <w:rsid w:val="20E06E5E"/>
    <w:rsid w:val="213B371E"/>
    <w:rsid w:val="21537630"/>
    <w:rsid w:val="219A4518"/>
    <w:rsid w:val="21A2750E"/>
    <w:rsid w:val="21CB0700"/>
    <w:rsid w:val="220A3BD5"/>
    <w:rsid w:val="221C3D90"/>
    <w:rsid w:val="22437CD0"/>
    <w:rsid w:val="224A0E4D"/>
    <w:rsid w:val="22717D6E"/>
    <w:rsid w:val="2272364A"/>
    <w:rsid w:val="229E59CC"/>
    <w:rsid w:val="22C604D9"/>
    <w:rsid w:val="22CD4441"/>
    <w:rsid w:val="22E50AC2"/>
    <w:rsid w:val="22F33083"/>
    <w:rsid w:val="230A4693"/>
    <w:rsid w:val="231A6657"/>
    <w:rsid w:val="232C7902"/>
    <w:rsid w:val="234D0160"/>
    <w:rsid w:val="235A732A"/>
    <w:rsid w:val="2367624C"/>
    <w:rsid w:val="237B69CA"/>
    <w:rsid w:val="238E6718"/>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B93C4E"/>
    <w:rsid w:val="24C22B02"/>
    <w:rsid w:val="24CA5E5B"/>
    <w:rsid w:val="24CB1C80"/>
    <w:rsid w:val="24CC0ABB"/>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3B6B9C"/>
    <w:rsid w:val="277C424C"/>
    <w:rsid w:val="277D36F9"/>
    <w:rsid w:val="27866B4B"/>
    <w:rsid w:val="27883E2B"/>
    <w:rsid w:val="278C57E2"/>
    <w:rsid w:val="278D364E"/>
    <w:rsid w:val="27900279"/>
    <w:rsid w:val="27992CC3"/>
    <w:rsid w:val="27B75E3A"/>
    <w:rsid w:val="27BD1CA7"/>
    <w:rsid w:val="27DF5779"/>
    <w:rsid w:val="27FC601B"/>
    <w:rsid w:val="280554ED"/>
    <w:rsid w:val="2815563F"/>
    <w:rsid w:val="2828457E"/>
    <w:rsid w:val="282A2EFA"/>
    <w:rsid w:val="285E25FB"/>
    <w:rsid w:val="28745932"/>
    <w:rsid w:val="288839DF"/>
    <w:rsid w:val="288F53F1"/>
    <w:rsid w:val="289A167B"/>
    <w:rsid w:val="289F360E"/>
    <w:rsid w:val="28B471CD"/>
    <w:rsid w:val="28D623D1"/>
    <w:rsid w:val="28E24CD5"/>
    <w:rsid w:val="29012215"/>
    <w:rsid w:val="29234CDE"/>
    <w:rsid w:val="293D51FA"/>
    <w:rsid w:val="294E4728"/>
    <w:rsid w:val="29513ED2"/>
    <w:rsid w:val="296E14AB"/>
    <w:rsid w:val="298E5955"/>
    <w:rsid w:val="299327E0"/>
    <w:rsid w:val="299512D3"/>
    <w:rsid w:val="29B26012"/>
    <w:rsid w:val="29B42C36"/>
    <w:rsid w:val="29BC1F6F"/>
    <w:rsid w:val="29CD4B33"/>
    <w:rsid w:val="2A052A9F"/>
    <w:rsid w:val="2A083999"/>
    <w:rsid w:val="2A0D39A9"/>
    <w:rsid w:val="2A1060BE"/>
    <w:rsid w:val="2A5B3591"/>
    <w:rsid w:val="2A697EC4"/>
    <w:rsid w:val="2A720B27"/>
    <w:rsid w:val="2A8F6579"/>
    <w:rsid w:val="2AA15AEF"/>
    <w:rsid w:val="2AAC15DA"/>
    <w:rsid w:val="2AD52DD1"/>
    <w:rsid w:val="2AD628F0"/>
    <w:rsid w:val="2AE91758"/>
    <w:rsid w:val="2AFD64F4"/>
    <w:rsid w:val="2B124153"/>
    <w:rsid w:val="2B142424"/>
    <w:rsid w:val="2B253DEB"/>
    <w:rsid w:val="2B3B4D7F"/>
    <w:rsid w:val="2B457FE9"/>
    <w:rsid w:val="2B58651D"/>
    <w:rsid w:val="2B6153EB"/>
    <w:rsid w:val="2B6750B5"/>
    <w:rsid w:val="2B6E5F1E"/>
    <w:rsid w:val="2B8A5600"/>
    <w:rsid w:val="2BA967CA"/>
    <w:rsid w:val="2BB97417"/>
    <w:rsid w:val="2BCC070B"/>
    <w:rsid w:val="2BE12390"/>
    <w:rsid w:val="2BED157D"/>
    <w:rsid w:val="2C025E7D"/>
    <w:rsid w:val="2C1B4433"/>
    <w:rsid w:val="2C5A7D17"/>
    <w:rsid w:val="2C5B43EC"/>
    <w:rsid w:val="2C6744B8"/>
    <w:rsid w:val="2C6B3A80"/>
    <w:rsid w:val="2C782014"/>
    <w:rsid w:val="2C9232C4"/>
    <w:rsid w:val="2C9423F1"/>
    <w:rsid w:val="2C950FEF"/>
    <w:rsid w:val="2CA01C51"/>
    <w:rsid w:val="2CA34AC5"/>
    <w:rsid w:val="2CE326A5"/>
    <w:rsid w:val="2CFC6DCE"/>
    <w:rsid w:val="2CFF241A"/>
    <w:rsid w:val="2D122457"/>
    <w:rsid w:val="2D3C515C"/>
    <w:rsid w:val="2D4220A3"/>
    <w:rsid w:val="2D5B376A"/>
    <w:rsid w:val="2D6C3418"/>
    <w:rsid w:val="2D6D3827"/>
    <w:rsid w:val="2D8172D3"/>
    <w:rsid w:val="2D9820B2"/>
    <w:rsid w:val="2DC74D0D"/>
    <w:rsid w:val="2DCA6749"/>
    <w:rsid w:val="2DD03248"/>
    <w:rsid w:val="2E003DA6"/>
    <w:rsid w:val="2E0236C6"/>
    <w:rsid w:val="2E132B40"/>
    <w:rsid w:val="2E164AF6"/>
    <w:rsid w:val="2E231512"/>
    <w:rsid w:val="2E353460"/>
    <w:rsid w:val="2E4647A4"/>
    <w:rsid w:val="2E5163FC"/>
    <w:rsid w:val="2E561175"/>
    <w:rsid w:val="2E5F13C2"/>
    <w:rsid w:val="2E725599"/>
    <w:rsid w:val="2E7A40F4"/>
    <w:rsid w:val="2E8130CD"/>
    <w:rsid w:val="2EA27501"/>
    <w:rsid w:val="2EAE7C9E"/>
    <w:rsid w:val="2EB14E8F"/>
    <w:rsid w:val="2EB45F64"/>
    <w:rsid w:val="2EC219F4"/>
    <w:rsid w:val="2ECD7558"/>
    <w:rsid w:val="2EF45E75"/>
    <w:rsid w:val="2F253F92"/>
    <w:rsid w:val="2F260937"/>
    <w:rsid w:val="2F4C5D9C"/>
    <w:rsid w:val="2F8C4FCF"/>
    <w:rsid w:val="2F956275"/>
    <w:rsid w:val="2F9D705D"/>
    <w:rsid w:val="2FA872CE"/>
    <w:rsid w:val="2FAD58F1"/>
    <w:rsid w:val="2FB50E0D"/>
    <w:rsid w:val="2FCA47B4"/>
    <w:rsid w:val="2FD24BFB"/>
    <w:rsid w:val="2FE04785"/>
    <w:rsid w:val="2FF975F4"/>
    <w:rsid w:val="300146E2"/>
    <w:rsid w:val="301A004E"/>
    <w:rsid w:val="30330CE1"/>
    <w:rsid w:val="30416C5F"/>
    <w:rsid w:val="304D14D5"/>
    <w:rsid w:val="30513871"/>
    <w:rsid w:val="3052533A"/>
    <w:rsid w:val="30550CCF"/>
    <w:rsid w:val="305957CE"/>
    <w:rsid w:val="30640313"/>
    <w:rsid w:val="306713E8"/>
    <w:rsid w:val="306C1727"/>
    <w:rsid w:val="307849BD"/>
    <w:rsid w:val="3093268D"/>
    <w:rsid w:val="30A64029"/>
    <w:rsid w:val="30BA712E"/>
    <w:rsid w:val="30BC1BE3"/>
    <w:rsid w:val="30D95DFC"/>
    <w:rsid w:val="30EA325E"/>
    <w:rsid w:val="310C1F54"/>
    <w:rsid w:val="31216730"/>
    <w:rsid w:val="31304B32"/>
    <w:rsid w:val="31304CD6"/>
    <w:rsid w:val="31413DA3"/>
    <w:rsid w:val="317D55B5"/>
    <w:rsid w:val="318005CE"/>
    <w:rsid w:val="31847963"/>
    <w:rsid w:val="318D274B"/>
    <w:rsid w:val="31A001A7"/>
    <w:rsid w:val="31A86084"/>
    <w:rsid w:val="31B52556"/>
    <w:rsid w:val="31CC4FC0"/>
    <w:rsid w:val="31E85396"/>
    <w:rsid w:val="31F97D80"/>
    <w:rsid w:val="322F72FD"/>
    <w:rsid w:val="323F2BDD"/>
    <w:rsid w:val="324E3C27"/>
    <w:rsid w:val="32567070"/>
    <w:rsid w:val="32916176"/>
    <w:rsid w:val="32B9059E"/>
    <w:rsid w:val="32BD10ED"/>
    <w:rsid w:val="32E620B2"/>
    <w:rsid w:val="32E7407C"/>
    <w:rsid w:val="33142EF4"/>
    <w:rsid w:val="331D259C"/>
    <w:rsid w:val="33272147"/>
    <w:rsid w:val="33310EEC"/>
    <w:rsid w:val="33404EF0"/>
    <w:rsid w:val="334B0167"/>
    <w:rsid w:val="334F5F88"/>
    <w:rsid w:val="335F12B3"/>
    <w:rsid w:val="3365260C"/>
    <w:rsid w:val="336639BE"/>
    <w:rsid w:val="338E2DF5"/>
    <w:rsid w:val="33AB29B0"/>
    <w:rsid w:val="34054167"/>
    <w:rsid w:val="340C2BB2"/>
    <w:rsid w:val="34125893"/>
    <w:rsid w:val="341817CF"/>
    <w:rsid w:val="343F3770"/>
    <w:rsid w:val="34473BAD"/>
    <w:rsid w:val="34653F90"/>
    <w:rsid w:val="3471444C"/>
    <w:rsid w:val="347F7A66"/>
    <w:rsid w:val="349846A2"/>
    <w:rsid w:val="34A83F4F"/>
    <w:rsid w:val="34B26BA0"/>
    <w:rsid w:val="34C1645F"/>
    <w:rsid w:val="34D52A37"/>
    <w:rsid w:val="34DB19BE"/>
    <w:rsid w:val="34F43E2D"/>
    <w:rsid w:val="35173439"/>
    <w:rsid w:val="35182199"/>
    <w:rsid w:val="35441312"/>
    <w:rsid w:val="35444CBE"/>
    <w:rsid w:val="35480277"/>
    <w:rsid w:val="355A1DC6"/>
    <w:rsid w:val="35841060"/>
    <w:rsid w:val="359F6EF8"/>
    <w:rsid w:val="35A16A72"/>
    <w:rsid w:val="35C433EE"/>
    <w:rsid w:val="35D57B88"/>
    <w:rsid w:val="35DA1E35"/>
    <w:rsid w:val="35E14DB3"/>
    <w:rsid w:val="35E86141"/>
    <w:rsid w:val="362E31BF"/>
    <w:rsid w:val="362F1607"/>
    <w:rsid w:val="36372C24"/>
    <w:rsid w:val="365B5FAD"/>
    <w:rsid w:val="36A1111A"/>
    <w:rsid w:val="36A81C3F"/>
    <w:rsid w:val="36AC716F"/>
    <w:rsid w:val="36AE44E7"/>
    <w:rsid w:val="36B9188B"/>
    <w:rsid w:val="36C02C1A"/>
    <w:rsid w:val="36C22E36"/>
    <w:rsid w:val="36D93CDC"/>
    <w:rsid w:val="36DA68A5"/>
    <w:rsid w:val="36E538FB"/>
    <w:rsid w:val="37052D23"/>
    <w:rsid w:val="37225683"/>
    <w:rsid w:val="37384EA6"/>
    <w:rsid w:val="376765B5"/>
    <w:rsid w:val="376B2AE0"/>
    <w:rsid w:val="3771519B"/>
    <w:rsid w:val="37775355"/>
    <w:rsid w:val="37797A60"/>
    <w:rsid w:val="37865C12"/>
    <w:rsid w:val="379B650B"/>
    <w:rsid w:val="37B54E5A"/>
    <w:rsid w:val="37E91C0F"/>
    <w:rsid w:val="37F032AD"/>
    <w:rsid w:val="380F7AF4"/>
    <w:rsid w:val="381D319B"/>
    <w:rsid w:val="3827481C"/>
    <w:rsid w:val="38443FB2"/>
    <w:rsid w:val="38482EC7"/>
    <w:rsid w:val="384C6440"/>
    <w:rsid w:val="385457A2"/>
    <w:rsid w:val="385B5E70"/>
    <w:rsid w:val="386121DB"/>
    <w:rsid w:val="3864787F"/>
    <w:rsid w:val="38766EA2"/>
    <w:rsid w:val="387A7722"/>
    <w:rsid w:val="389A1EE7"/>
    <w:rsid w:val="38BE5E78"/>
    <w:rsid w:val="38C47273"/>
    <w:rsid w:val="38DA1530"/>
    <w:rsid w:val="38E1494C"/>
    <w:rsid w:val="38F00AA6"/>
    <w:rsid w:val="38F91A3A"/>
    <w:rsid w:val="39165C3C"/>
    <w:rsid w:val="391A3BD6"/>
    <w:rsid w:val="392627B9"/>
    <w:rsid w:val="39352185"/>
    <w:rsid w:val="39573315"/>
    <w:rsid w:val="39776A03"/>
    <w:rsid w:val="39812B34"/>
    <w:rsid w:val="39994A18"/>
    <w:rsid w:val="399B0FFA"/>
    <w:rsid w:val="39A64349"/>
    <w:rsid w:val="39C3314D"/>
    <w:rsid w:val="39C57509"/>
    <w:rsid w:val="39D31B45"/>
    <w:rsid w:val="39FC665F"/>
    <w:rsid w:val="3A0B68A2"/>
    <w:rsid w:val="3A167E6A"/>
    <w:rsid w:val="3A211C22"/>
    <w:rsid w:val="3A59585F"/>
    <w:rsid w:val="3A5E39D3"/>
    <w:rsid w:val="3A6B4015"/>
    <w:rsid w:val="3A6F0CD3"/>
    <w:rsid w:val="3A7F2F02"/>
    <w:rsid w:val="3A841E6D"/>
    <w:rsid w:val="3A9D3ACF"/>
    <w:rsid w:val="3AC74702"/>
    <w:rsid w:val="3ACA0AF0"/>
    <w:rsid w:val="3B021A53"/>
    <w:rsid w:val="3B126638"/>
    <w:rsid w:val="3B351E28"/>
    <w:rsid w:val="3B4C2CCE"/>
    <w:rsid w:val="3B532E51"/>
    <w:rsid w:val="3B67560B"/>
    <w:rsid w:val="3B710C7B"/>
    <w:rsid w:val="3B733D68"/>
    <w:rsid w:val="3B9C6C0F"/>
    <w:rsid w:val="3BA26856"/>
    <w:rsid w:val="3BA42B0A"/>
    <w:rsid w:val="3BB55207"/>
    <w:rsid w:val="3BD1219A"/>
    <w:rsid w:val="3BDD426E"/>
    <w:rsid w:val="3BE10D21"/>
    <w:rsid w:val="3BF96D3A"/>
    <w:rsid w:val="3C0149BC"/>
    <w:rsid w:val="3C01593A"/>
    <w:rsid w:val="3C2E6941"/>
    <w:rsid w:val="3C410359"/>
    <w:rsid w:val="3C570807"/>
    <w:rsid w:val="3C590A15"/>
    <w:rsid w:val="3C5B1860"/>
    <w:rsid w:val="3C5F2ED5"/>
    <w:rsid w:val="3C8C157F"/>
    <w:rsid w:val="3C922906"/>
    <w:rsid w:val="3CB3601C"/>
    <w:rsid w:val="3CE635CB"/>
    <w:rsid w:val="3CF1593F"/>
    <w:rsid w:val="3D0A0329"/>
    <w:rsid w:val="3D0C2079"/>
    <w:rsid w:val="3D195ACA"/>
    <w:rsid w:val="3D2F19B4"/>
    <w:rsid w:val="3D393103"/>
    <w:rsid w:val="3D756FCD"/>
    <w:rsid w:val="3D891FB8"/>
    <w:rsid w:val="3D964173"/>
    <w:rsid w:val="3DA66F88"/>
    <w:rsid w:val="3DAA19EF"/>
    <w:rsid w:val="3DAC1BF2"/>
    <w:rsid w:val="3DC655B3"/>
    <w:rsid w:val="3DD97DA8"/>
    <w:rsid w:val="3DF93986"/>
    <w:rsid w:val="3E1E373E"/>
    <w:rsid w:val="3E2478F5"/>
    <w:rsid w:val="3E256CCF"/>
    <w:rsid w:val="3E3A0AFA"/>
    <w:rsid w:val="3E525B9A"/>
    <w:rsid w:val="3E5D4B24"/>
    <w:rsid w:val="3E6032EC"/>
    <w:rsid w:val="3E65547C"/>
    <w:rsid w:val="3E9F580B"/>
    <w:rsid w:val="3EC52AA4"/>
    <w:rsid w:val="3ED72B74"/>
    <w:rsid w:val="3EDB73BB"/>
    <w:rsid w:val="3EDD6F9B"/>
    <w:rsid w:val="3EE02FC6"/>
    <w:rsid w:val="3EE51B10"/>
    <w:rsid w:val="3EE871B2"/>
    <w:rsid w:val="3EF11043"/>
    <w:rsid w:val="3EFD0EAF"/>
    <w:rsid w:val="3F1E0C9C"/>
    <w:rsid w:val="3F2644FD"/>
    <w:rsid w:val="3F370D90"/>
    <w:rsid w:val="3F3E5393"/>
    <w:rsid w:val="3F5B014C"/>
    <w:rsid w:val="3F5E5625"/>
    <w:rsid w:val="3F8F0E8B"/>
    <w:rsid w:val="3F961152"/>
    <w:rsid w:val="3F99693A"/>
    <w:rsid w:val="3FBF6165"/>
    <w:rsid w:val="3FEE07F8"/>
    <w:rsid w:val="3FF37BBC"/>
    <w:rsid w:val="3FF52C80"/>
    <w:rsid w:val="3FF95FAB"/>
    <w:rsid w:val="402E6011"/>
    <w:rsid w:val="408D14D1"/>
    <w:rsid w:val="40972C3D"/>
    <w:rsid w:val="40AF4C4E"/>
    <w:rsid w:val="40B045A7"/>
    <w:rsid w:val="40B330FC"/>
    <w:rsid w:val="40B54DC3"/>
    <w:rsid w:val="40C22ACF"/>
    <w:rsid w:val="40CC46A4"/>
    <w:rsid w:val="40D57C6A"/>
    <w:rsid w:val="40DF6351"/>
    <w:rsid w:val="40F9745C"/>
    <w:rsid w:val="411C5418"/>
    <w:rsid w:val="41250A0C"/>
    <w:rsid w:val="412F6FA8"/>
    <w:rsid w:val="41480494"/>
    <w:rsid w:val="414A4154"/>
    <w:rsid w:val="41863153"/>
    <w:rsid w:val="41E21694"/>
    <w:rsid w:val="420062CC"/>
    <w:rsid w:val="420F1517"/>
    <w:rsid w:val="42110284"/>
    <w:rsid w:val="42197229"/>
    <w:rsid w:val="4233739F"/>
    <w:rsid w:val="42522247"/>
    <w:rsid w:val="42544BD5"/>
    <w:rsid w:val="42662CD2"/>
    <w:rsid w:val="42732141"/>
    <w:rsid w:val="428471B3"/>
    <w:rsid w:val="429260D9"/>
    <w:rsid w:val="42953C2B"/>
    <w:rsid w:val="42995F95"/>
    <w:rsid w:val="42A545FF"/>
    <w:rsid w:val="42AC5DFD"/>
    <w:rsid w:val="42DC28DC"/>
    <w:rsid w:val="4303280C"/>
    <w:rsid w:val="43325802"/>
    <w:rsid w:val="433A5BAA"/>
    <w:rsid w:val="43A35CED"/>
    <w:rsid w:val="43A568A6"/>
    <w:rsid w:val="43B6787E"/>
    <w:rsid w:val="43CC52F4"/>
    <w:rsid w:val="43E32305"/>
    <w:rsid w:val="43E67070"/>
    <w:rsid w:val="43E701F4"/>
    <w:rsid w:val="43F52109"/>
    <w:rsid w:val="43FE2253"/>
    <w:rsid w:val="440E0E01"/>
    <w:rsid w:val="441D624B"/>
    <w:rsid w:val="44213CB0"/>
    <w:rsid w:val="442B07F7"/>
    <w:rsid w:val="445D419E"/>
    <w:rsid w:val="446549DC"/>
    <w:rsid w:val="44747BF5"/>
    <w:rsid w:val="448029D4"/>
    <w:rsid w:val="449776B0"/>
    <w:rsid w:val="449A4BB2"/>
    <w:rsid w:val="44D609C7"/>
    <w:rsid w:val="44F624F5"/>
    <w:rsid w:val="45025F24"/>
    <w:rsid w:val="45152B6C"/>
    <w:rsid w:val="453D1E9E"/>
    <w:rsid w:val="453F737B"/>
    <w:rsid w:val="454A3C06"/>
    <w:rsid w:val="454B2539"/>
    <w:rsid w:val="454C6E13"/>
    <w:rsid w:val="4553201E"/>
    <w:rsid w:val="456B4FBA"/>
    <w:rsid w:val="456F5F37"/>
    <w:rsid w:val="45751AC3"/>
    <w:rsid w:val="45815C6A"/>
    <w:rsid w:val="45906F4D"/>
    <w:rsid w:val="45A15BAF"/>
    <w:rsid w:val="45AB6918"/>
    <w:rsid w:val="45CC5137"/>
    <w:rsid w:val="460B7A35"/>
    <w:rsid w:val="462D4128"/>
    <w:rsid w:val="463B5C9B"/>
    <w:rsid w:val="46625A9C"/>
    <w:rsid w:val="46696E2A"/>
    <w:rsid w:val="466D1778"/>
    <w:rsid w:val="467160D7"/>
    <w:rsid w:val="468640D7"/>
    <w:rsid w:val="468942E1"/>
    <w:rsid w:val="468F405E"/>
    <w:rsid w:val="46D149CF"/>
    <w:rsid w:val="46DD6845"/>
    <w:rsid w:val="46E841F3"/>
    <w:rsid w:val="46F32B98"/>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8034898"/>
    <w:rsid w:val="48190172"/>
    <w:rsid w:val="481B467E"/>
    <w:rsid w:val="48237265"/>
    <w:rsid w:val="48254FD3"/>
    <w:rsid w:val="482570AD"/>
    <w:rsid w:val="483D4FB1"/>
    <w:rsid w:val="48855B2C"/>
    <w:rsid w:val="488C590F"/>
    <w:rsid w:val="48913FD8"/>
    <w:rsid w:val="48914416"/>
    <w:rsid w:val="48995673"/>
    <w:rsid w:val="48A0564F"/>
    <w:rsid w:val="48B12BD6"/>
    <w:rsid w:val="48C60564"/>
    <w:rsid w:val="48D418AD"/>
    <w:rsid w:val="4929051C"/>
    <w:rsid w:val="492F429A"/>
    <w:rsid w:val="49400DC3"/>
    <w:rsid w:val="494170BB"/>
    <w:rsid w:val="4959318E"/>
    <w:rsid w:val="495B7F67"/>
    <w:rsid w:val="495D254A"/>
    <w:rsid w:val="497A599F"/>
    <w:rsid w:val="498F2288"/>
    <w:rsid w:val="499F2DBF"/>
    <w:rsid w:val="49A3286D"/>
    <w:rsid w:val="49B0210F"/>
    <w:rsid w:val="49E4765A"/>
    <w:rsid w:val="49EB1918"/>
    <w:rsid w:val="49FC7FB5"/>
    <w:rsid w:val="4A192912"/>
    <w:rsid w:val="4A286604"/>
    <w:rsid w:val="4A3A3BB7"/>
    <w:rsid w:val="4A5138BF"/>
    <w:rsid w:val="4A660FFA"/>
    <w:rsid w:val="4A723BBF"/>
    <w:rsid w:val="4A920909"/>
    <w:rsid w:val="4A9B157C"/>
    <w:rsid w:val="4AA448D5"/>
    <w:rsid w:val="4AAA219B"/>
    <w:rsid w:val="4AB92CA0"/>
    <w:rsid w:val="4ACC7988"/>
    <w:rsid w:val="4AD41E51"/>
    <w:rsid w:val="4AD861C1"/>
    <w:rsid w:val="4AF126BD"/>
    <w:rsid w:val="4AF42491"/>
    <w:rsid w:val="4B052E99"/>
    <w:rsid w:val="4B0709C0"/>
    <w:rsid w:val="4B2A2B39"/>
    <w:rsid w:val="4B326B88"/>
    <w:rsid w:val="4B3B70C2"/>
    <w:rsid w:val="4B412124"/>
    <w:rsid w:val="4B415E2C"/>
    <w:rsid w:val="4B4875E3"/>
    <w:rsid w:val="4B583776"/>
    <w:rsid w:val="4B6B7F21"/>
    <w:rsid w:val="4B837249"/>
    <w:rsid w:val="4B866E1B"/>
    <w:rsid w:val="4B8E10E1"/>
    <w:rsid w:val="4BA61CCC"/>
    <w:rsid w:val="4BBF74EC"/>
    <w:rsid w:val="4BC2369F"/>
    <w:rsid w:val="4BC64A27"/>
    <w:rsid w:val="4BED7CD9"/>
    <w:rsid w:val="4BEE0597"/>
    <w:rsid w:val="4BFD2BDF"/>
    <w:rsid w:val="4C12586E"/>
    <w:rsid w:val="4C242A08"/>
    <w:rsid w:val="4C2639E3"/>
    <w:rsid w:val="4C270C12"/>
    <w:rsid w:val="4C2B6930"/>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22A68"/>
    <w:rsid w:val="4D73233C"/>
    <w:rsid w:val="4D906D5A"/>
    <w:rsid w:val="4D945389"/>
    <w:rsid w:val="4DA44BEC"/>
    <w:rsid w:val="4DA60964"/>
    <w:rsid w:val="4DAD525E"/>
    <w:rsid w:val="4DB7533D"/>
    <w:rsid w:val="4DCD02A1"/>
    <w:rsid w:val="4DD6316A"/>
    <w:rsid w:val="4DE33C83"/>
    <w:rsid w:val="4DEC7746"/>
    <w:rsid w:val="4DF57DC0"/>
    <w:rsid w:val="4DFC6A72"/>
    <w:rsid w:val="4E0120C3"/>
    <w:rsid w:val="4E0D5D60"/>
    <w:rsid w:val="4E3868CC"/>
    <w:rsid w:val="4E5C3919"/>
    <w:rsid w:val="4E600B13"/>
    <w:rsid w:val="4E742810"/>
    <w:rsid w:val="4E7568DD"/>
    <w:rsid w:val="4E806345"/>
    <w:rsid w:val="4E8472C4"/>
    <w:rsid w:val="4E982DE8"/>
    <w:rsid w:val="4EA8502F"/>
    <w:rsid w:val="4EA87C5B"/>
    <w:rsid w:val="4EB946C7"/>
    <w:rsid w:val="4EC07803"/>
    <w:rsid w:val="4EC26CBA"/>
    <w:rsid w:val="4ECC33BF"/>
    <w:rsid w:val="4ED70252"/>
    <w:rsid w:val="4EE26F51"/>
    <w:rsid w:val="4EE96D5A"/>
    <w:rsid w:val="4EFE4786"/>
    <w:rsid w:val="4F146709"/>
    <w:rsid w:val="4F193B65"/>
    <w:rsid w:val="4F2D1F6F"/>
    <w:rsid w:val="4F460B89"/>
    <w:rsid w:val="4F594813"/>
    <w:rsid w:val="4F5D32A4"/>
    <w:rsid w:val="4F78347A"/>
    <w:rsid w:val="4F806F93"/>
    <w:rsid w:val="4FC03CFF"/>
    <w:rsid w:val="4FDE2C0A"/>
    <w:rsid w:val="4FEA2231"/>
    <w:rsid w:val="4FEA4FF5"/>
    <w:rsid w:val="4FF04118"/>
    <w:rsid w:val="4FF14A73"/>
    <w:rsid w:val="4FF519CC"/>
    <w:rsid w:val="4FF62B34"/>
    <w:rsid w:val="50011E81"/>
    <w:rsid w:val="50054C5E"/>
    <w:rsid w:val="50130689"/>
    <w:rsid w:val="503370F3"/>
    <w:rsid w:val="50814589"/>
    <w:rsid w:val="50927EDA"/>
    <w:rsid w:val="50A71924"/>
    <w:rsid w:val="51060A7A"/>
    <w:rsid w:val="51141780"/>
    <w:rsid w:val="51160B0A"/>
    <w:rsid w:val="51204E13"/>
    <w:rsid w:val="512615D6"/>
    <w:rsid w:val="5129106B"/>
    <w:rsid w:val="513424EE"/>
    <w:rsid w:val="51583D23"/>
    <w:rsid w:val="515C2612"/>
    <w:rsid w:val="5164091A"/>
    <w:rsid w:val="51800B11"/>
    <w:rsid w:val="51895510"/>
    <w:rsid w:val="51927FBB"/>
    <w:rsid w:val="51997E90"/>
    <w:rsid w:val="51A03542"/>
    <w:rsid w:val="51A13CC4"/>
    <w:rsid w:val="51A37657"/>
    <w:rsid w:val="51BA1E4B"/>
    <w:rsid w:val="51C70EA9"/>
    <w:rsid w:val="51CB3528"/>
    <w:rsid w:val="51D57588"/>
    <w:rsid w:val="520C7782"/>
    <w:rsid w:val="52115B57"/>
    <w:rsid w:val="521D2809"/>
    <w:rsid w:val="523134AE"/>
    <w:rsid w:val="524843A6"/>
    <w:rsid w:val="52605AD8"/>
    <w:rsid w:val="52785F83"/>
    <w:rsid w:val="528C2E24"/>
    <w:rsid w:val="52911BE2"/>
    <w:rsid w:val="52983961"/>
    <w:rsid w:val="52B23907"/>
    <w:rsid w:val="52CF0DE3"/>
    <w:rsid w:val="52DB10B0"/>
    <w:rsid w:val="532E6DCD"/>
    <w:rsid w:val="53301F7C"/>
    <w:rsid w:val="53330620"/>
    <w:rsid w:val="5338069A"/>
    <w:rsid w:val="534066C4"/>
    <w:rsid w:val="534E0DFA"/>
    <w:rsid w:val="538C5F06"/>
    <w:rsid w:val="5390329E"/>
    <w:rsid w:val="53937294"/>
    <w:rsid w:val="5394300C"/>
    <w:rsid w:val="539D70F4"/>
    <w:rsid w:val="53B229AC"/>
    <w:rsid w:val="53BF657E"/>
    <w:rsid w:val="53C6188C"/>
    <w:rsid w:val="53CC7F03"/>
    <w:rsid w:val="53D24D89"/>
    <w:rsid w:val="53E24AD6"/>
    <w:rsid w:val="54135C94"/>
    <w:rsid w:val="5416092C"/>
    <w:rsid w:val="541A2B2A"/>
    <w:rsid w:val="546724CF"/>
    <w:rsid w:val="54745318"/>
    <w:rsid w:val="54795F08"/>
    <w:rsid w:val="54857525"/>
    <w:rsid w:val="54864C26"/>
    <w:rsid w:val="549B5689"/>
    <w:rsid w:val="549C661D"/>
    <w:rsid w:val="54B16E62"/>
    <w:rsid w:val="54BE52C0"/>
    <w:rsid w:val="54C2029D"/>
    <w:rsid w:val="54D04518"/>
    <w:rsid w:val="54E11A8A"/>
    <w:rsid w:val="54FE4BE1"/>
    <w:rsid w:val="551852F3"/>
    <w:rsid w:val="55210110"/>
    <w:rsid w:val="55480552"/>
    <w:rsid w:val="554D3300"/>
    <w:rsid w:val="555A3641"/>
    <w:rsid w:val="556A5256"/>
    <w:rsid w:val="55717AA9"/>
    <w:rsid w:val="55937A20"/>
    <w:rsid w:val="55A521D2"/>
    <w:rsid w:val="55CE6CAA"/>
    <w:rsid w:val="55DB6EA0"/>
    <w:rsid w:val="55EE5B1C"/>
    <w:rsid w:val="561C5C67"/>
    <w:rsid w:val="562541AB"/>
    <w:rsid w:val="56466840"/>
    <w:rsid w:val="56496843"/>
    <w:rsid w:val="565952BB"/>
    <w:rsid w:val="56634B9B"/>
    <w:rsid w:val="5678430F"/>
    <w:rsid w:val="56786C15"/>
    <w:rsid w:val="56827D80"/>
    <w:rsid w:val="569A6B8C"/>
    <w:rsid w:val="56AD4B11"/>
    <w:rsid w:val="56B57839"/>
    <w:rsid w:val="56B756E6"/>
    <w:rsid w:val="56CE4A87"/>
    <w:rsid w:val="56F20F28"/>
    <w:rsid w:val="56F71C67"/>
    <w:rsid w:val="57030BD5"/>
    <w:rsid w:val="570D55B0"/>
    <w:rsid w:val="570F6DAD"/>
    <w:rsid w:val="572E1F98"/>
    <w:rsid w:val="573A4F03"/>
    <w:rsid w:val="574B69C1"/>
    <w:rsid w:val="576E1292"/>
    <w:rsid w:val="57A03590"/>
    <w:rsid w:val="57A17BEA"/>
    <w:rsid w:val="57A96D37"/>
    <w:rsid w:val="57B11E9B"/>
    <w:rsid w:val="57B8072A"/>
    <w:rsid w:val="57EB649D"/>
    <w:rsid w:val="57F12E6A"/>
    <w:rsid w:val="57F66044"/>
    <w:rsid w:val="58110588"/>
    <w:rsid w:val="58165957"/>
    <w:rsid w:val="581A0452"/>
    <w:rsid w:val="582214B4"/>
    <w:rsid w:val="582F617F"/>
    <w:rsid w:val="585919D0"/>
    <w:rsid w:val="5860720B"/>
    <w:rsid w:val="58671F15"/>
    <w:rsid w:val="58680283"/>
    <w:rsid w:val="586C4558"/>
    <w:rsid w:val="58771C62"/>
    <w:rsid w:val="588A7E79"/>
    <w:rsid w:val="58A3441E"/>
    <w:rsid w:val="58B17686"/>
    <w:rsid w:val="58B2640F"/>
    <w:rsid w:val="58B80B09"/>
    <w:rsid w:val="58CE0D6F"/>
    <w:rsid w:val="58DF11CE"/>
    <w:rsid w:val="58EE5188"/>
    <w:rsid w:val="58FE4733"/>
    <w:rsid w:val="5908632A"/>
    <w:rsid w:val="59107C4B"/>
    <w:rsid w:val="59133CB8"/>
    <w:rsid w:val="59434B2C"/>
    <w:rsid w:val="59554FEC"/>
    <w:rsid w:val="595E413F"/>
    <w:rsid w:val="59751BA4"/>
    <w:rsid w:val="59835FFD"/>
    <w:rsid w:val="59937771"/>
    <w:rsid w:val="599B4A1C"/>
    <w:rsid w:val="59A81C7F"/>
    <w:rsid w:val="59AC61AE"/>
    <w:rsid w:val="59C55518"/>
    <w:rsid w:val="59C63F80"/>
    <w:rsid w:val="59CF5EE2"/>
    <w:rsid w:val="59D13709"/>
    <w:rsid w:val="59DC0F15"/>
    <w:rsid w:val="59F6057D"/>
    <w:rsid w:val="5A0C5FF2"/>
    <w:rsid w:val="5A6F20DD"/>
    <w:rsid w:val="5A737714"/>
    <w:rsid w:val="5A7D0C9E"/>
    <w:rsid w:val="5A7F5AEB"/>
    <w:rsid w:val="5A8632B3"/>
    <w:rsid w:val="5A970938"/>
    <w:rsid w:val="5AA77AC9"/>
    <w:rsid w:val="5AAD1337"/>
    <w:rsid w:val="5AB073B7"/>
    <w:rsid w:val="5AD25D04"/>
    <w:rsid w:val="5AD86D6D"/>
    <w:rsid w:val="5AE77910"/>
    <w:rsid w:val="5AE94028"/>
    <w:rsid w:val="5AED1980"/>
    <w:rsid w:val="5AF43F35"/>
    <w:rsid w:val="5B041E38"/>
    <w:rsid w:val="5B09710F"/>
    <w:rsid w:val="5B33135D"/>
    <w:rsid w:val="5B34540A"/>
    <w:rsid w:val="5B394BC5"/>
    <w:rsid w:val="5B3C308C"/>
    <w:rsid w:val="5B3D7376"/>
    <w:rsid w:val="5B484F8A"/>
    <w:rsid w:val="5B85605C"/>
    <w:rsid w:val="5B90055D"/>
    <w:rsid w:val="5B9F55CE"/>
    <w:rsid w:val="5BB64468"/>
    <w:rsid w:val="5BBB3E84"/>
    <w:rsid w:val="5BF96C1C"/>
    <w:rsid w:val="5BFD3898"/>
    <w:rsid w:val="5BFE3BA1"/>
    <w:rsid w:val="5C253EDA"/>
    <w:rsid w:val="5C2A114C"/>
    <w:rsid w:val="5C2C1385"/>
    <w:rsid w:val="5C2D670A"/>
    <w:rsid w:val="5C34538D"/>
    <w:rsid w:val="5C355C0C"/>
    <w:rsid w:val="5C3655A9"/>
    <w:rsid w:val="5C380620"/>
    <w:rsid w:val="5C3D4ED5"/>
    <w:rsid w:val="5C4622F9"/>
    <w:rsid w:val="5C5D7538"/>
    <w:rsid w:val="5CA15DC2"/>
    <w:rsid w:val="5CCE758F"/>
    <w:rsid w:val="5CDE4D93"/>
    <w:rsid w:val="5D042FB1"/>
    <w:rsid w:val="5D2E78B0"/>
    <w:rsid w:val="5D3B0FDA"/>
    <w:rsid w:val="5D414B1C"/>
    <w:rsid w:val="5D4458A4"/>
    <w:rsid w:val="5D446473"/>
    <w:rsid w:val="5D5A52C7"/>
    <w:rsid w:val="5D5B51F5"/>
    <w:rsid w:val="5D5F468B"/>
    <w:rsid w:val="5D616655"/>
    <w:rsid w:val="5D68386A"/>
    <w:rsid w:val="5D7A14C5"/>
    <w:rsid w:val="5D893FC8"/>
    <w:rsid w:val="5D9407D9"/>
    <w:rsid w:val="5DA6050C"/>
    <w:rsid w:val="5DA8320C"/>
    <w:rsid w:val="5DAA69EF"/>
    <w:rsid w:val="5DB134AE"/>
    <w:rsid w:val="5DB30111"/>
    <w:rsid w:val="5DD35359"/>
    <w:rsid w:val="5DD57694"/>
    <w:rsid w:val="5DED4415"/>
    <w:rsid w:val="5DFC6C29"/>
    <w:rsid w:val="5E0E79F5"/>
    <w:rsid w:val="5E2F7E5E"/>
    <w:rsid w:val="5E5865AE"/>
    <w:rsid w:val="5E5D5AF4"/>
    <w:rsid w:val="5E607422"/>
    <w:rsid w:val="5E714B58"/>
    <w:rsid w:val="5E8C1232"/>
    <w:rsid w:val="5E8C51CE"/>
    <w:rsid w:val="5EB6477F"/>
    <w:rsid w:val="5EC847FB"/>
    <w:rsid w:val="5ED83C2F"/>
    <w:rsid w:val="5EF57055"/>
    <w:rsid w:val="5EFE7D7B"/>
    <w:rsid w:val="5F054060"/>
    <w:rsid w:val="5F0B3C73"/>
    <w:rsid w:val="5F2A3FE5"/>
    <w:rsid w:val="5F307E2E"/>
    <w:rsid w:val="5F6349FA"/>
    <w:rsid w:val="5F720C34"/>
    <w:rsid w:val="5F7F03A0"/>
    <w:rsid w:val="5FA8557E"/>
    <w:rsid w:val="5FAE7642"/>
    <w:rsid w:val="5FAF18FA"/>
    <w:rsid w:val="5FC778C7"/>
    <w:rsid w:val="5FDD63BF"/>
    <w:rsid w:val="60044F84"/>
    <w:rsid w:val="600B7FCB"/>
    <w:rsid w:val="6013581F"/>
    <w:rsid w:val="60365ED8"/>
    <w:rsid w:val="60501D66"/>
    <w:rsid w:val="60552DB6"/>
    <w:rsid w:val="6062071A"/>
    <w:rsid w:val="60823396"/>
    <w:rsid w:val="60A72E7B"/>
    <w:rsid w:val="60C57B43"/>
    <w:rsid w:val="60C910DB"/>
    <w:rsid w:val="60D07D7A"/>
    <w:rsid w:val="60D96503"/>
    <w:rsid w:val="60F03CD4"/>
    <w:rsid w:val="61094DAD"/>
    <w:rsid w:val="613728DB"/>
    <w:rsid w:val="613C4062"/>
    <w:rsid w:val="61567141"/>
    <w:rsid w:val="616001B3"/>
    <w:rsid w:val="6165109A"/>
    <w:rsid w:val="61687C0B"/>
    <w:rsid w:val="61937F78"/>
    <w:rsid w:val="61AA06FB"/>
    <w:rsid w:val="61B551C2"/>
    <w:rsid w:val="61CE55C3"/>
    <w:rsid w:val="61D84F57"/>
    <w:rsid w:val="61F254F7"/>
    <w:rsid w:val="620302B6"/>
    <w:rsid w:val="62047AE1"/>
    <w:rsid w:val="620769F6"/>
    <w:rsid w:val="62087D91"/>
    <w:rsid w:val="62172877"/>
    <w:rsid w:val="629E3249"/>
    <w:rsid w:val="62A96E59"/>
    <w:rsid w:val="62AF1CBC"/>
    <w:rsid w:val="62C24183"/>
    <w:rsid w:val="62CF27DE"/>
    <w:rsid w:val="62E564B4"/>
    <w:rsid w:val="63187240"/>
    <w:rsid w:val="63473BF7"/>
    <w:rsid w:val="634A00DE"/>
    <w:rsid w:val="634A76A8"/>
    <w:rsid w:val="63697BCE"/>
    <w:rsid w:val="636F49B6"/>
    <w:rsid w:val="63877741"/>
    <w:rsid w:val="63AE3C76"/>
    <w:rsid w:val="63D64EF6"/>
    <w:rsid w:val="63DB0790"/>
    <w:rsid w:val="641A130C"/>
    <w:rsid w:val="64320EEA"/>
    <w:rsid w:val="645327B5"/>
    <w:rsid w:val="64556655"/>
    <w:rsid w:val="6477463C"/>
    <w:rsid w:val="64885B95"/>
    <w:rsid w:val="64D4485B"/>
    <w:rsid w:val="64DD1D5A"/>
    <w:rsid w:val="65027022"/>
    <w:rsid w:val="65034DB0"/>
    <w:rsid w:val="65055DDD"/>
    <w:rsid w:val="651D23C6"/>
    <w:rsid w:val="652E7327"/>
    <w:rsid w:val="65365DEB"/>
    <w:rsid w:val="65473EC2"/>
    <w:rsid w:val="654A4F8E"/>
    <w:rsid w:val="654B162B"/>
    <w:rsid w:val="65773DAC"/>
    <w:rsid w:val="65927D6C"/>
    <w:rsid w:val="659D3335"/>
    <w:rsid w:val="65A25A5D"/>
    <w:rsid w:val="65EA2C9E"/>
    <w:rsid w:val="65FA1D78"/>
    <w:rsid w:val="662A0184"/>
    <w:rsid w:val="663E7534"/>
    <w:rsid w:val="664663E8"/>
    <w:rsid w:val="66507267"/>
    <w:rsid w:val="665401A1"/>
    <w:rsid w:val="66586559"/>
    <w:rsid w:val="6671308E"/>
    <w:rsid w:val="667960CF"/>
    <w:rsid w:val="667E2026"/>
    <w:rsid w:val="66961DF9"/>
    <w:rsid w:val="66B144F3"/>
    <w:rsid w:val="66E42DFD"/>
    <w:rsid w:val="66F72D3B"/>
    <w:rsid w:val="673C0833"/>
    <w:rsid w:val="675F639F"/>
    <w:rsid w:val="67771FCA"/>
    <w:rsid w:val="67A06A2C"/>
    <w:rsid w:val="67BC303A"/>
    <w:rsid w:val="67C8032E"/>
    <w:rsid w:val="67CC1507"/>
    <w:rsid w:val="67D01B79"/>
    <w:rsid w:val="67EE6D37"/>
    <w:rsid w:val="67F65BEC"/>
    <w:rsid w:val="67FA6388"/>
    <w:rsid w:val="68077DF9"/>
    <w:rsid w:val="68122BC4"/>
    <w:rsid w:val="68314280"/>
    <w:rsid w:val="683904A3"/>
    <w:rsid w:val="687A2E87"/>
    <w:rsid w:val="68832818"/>
    <w:rsid w:val="689F2546"/>
    <w:rsid w:val="68A12A5B"/>
    <w:rsid w:val="68A35D74"/>
    <w:rsid w:val="68A92AE5"/>
    <w:rsid w:val="68AE365F"/>
    <w:rsid w:val="68D5098B"/>
    <w:rsid w:val="68F93BE6"/>
    <w:rsid w:val="69064473"/>
    <w:rsid w:val="690825C2"/>
    <w:rsid w:val="691A3EC5"/>
    <w:rsid w:val="69245CE0"/>
    <w:rsid w:val="693118F8"/>
    <w:rsid w:val="69355C34"/>
    <w:rsid w:val="694D5CE0"/>
    <w:rsid w:val="696B25C3"/>
    <w:rsid w:val="698D0464"/>
    <w:rsid w:val="69985B30"/>
    <w:rsid w:val="69A705EA"/>
    <w:rsid w:val="69AE49D0"/>
    <w:rsid w:val="69C4406F"/>
    <w:rsid w:val="69E623BC"/>
    <w:rsid w:val="69EA7E31"/>
    <w:rsid w:val="69EE74C3"/>
    <w:rsid w:val="69F0249C"/>
    <w:rsid w:val="6A024D1C"/>
    <w:rsid w:val="6A08316E"/>
    <w:rsid w:val="6A17061F"/>
    <w:rsid w:val="6A184540"/>
    <w:rsid w:val="6A621B0B"/>
    <w:rsid w:val="6A7C3E8D"/>
    <w:rsid w:val="6A8311FF"/>
    <w:rsid w:val="6A9E67F3"/>
    <w:rsid w:val="6AB32F18"/>
    <w:rsid w:val="6AB72EE5"/>
    <w:rsid w:val="6ABD0BF6"/>
    <w:rsid w:val="6AD147ED"/>
    <w:rsid w:val="6AED777A"/>
    <w:rsid w:val="6AF55C71"/>
    <w:rsid w:val="6B2622EA"/>
    <w:rsid w:val="6B2B7AF6"/>
    <w:rsid w:val="6B317667"/>
    <w:rsid w:val="6B37414D"/>
    <w:rsid w:val="6B496B51"/>
    <w:rsid w:val="6B4E704A"/>
    <w:rsid w:val="6B572531"/>
    <w:rsid w:val="6B5E2426"/>
    <w:rsid w:val="6B5E5F82"/>
    <w:rsid w:val="6B694F41"/>
    <w:rsid w:val="6B89436C"/>
    <w:rsid w:val="6B8E61E1"/>
    <w:rsid w:val="6B914C6C"/>
    <w:rsid w:val="6B9F127A"/>
    <w:rsid w:val="6BC1586F"/>
    <w:rsid w:val="6BC741FF"/>
    <w:rsid w:val="6C276CBC"/>
    <w:rsid w:val="6C2A37A1"/>
    <w:rsid w:val="6C421BED"/>
    <w:rsid w:val="6C5C0219"/>
    <w:rsid w:val="6C735A5D"/>
    <w:rsid w:val="6C77694B"/>
    <w:rsid w:val="6C8A408C"/>
    <w:rsid w:val="6C8D4D71"/>
    <w:rsid w:val="6C915E74"/>
    <w:rsid w:val="6C924135"/>
    <w:rsid w:val="6CA06325"/>
    <w:rsid w:val="6CA54899"/>
    <w:rsid w:val="6CBC5D4E"/>
    <w:rsid w:val="6CC17A2A"/>
    <w:rsid w:val="6CD70344"/>
    <w:rsid w:val="6CDB728E"/>
    <w:rsid w:val="6CFC5A53"/>
    <w:rsid w:val="6D0B714C"/>
    <w:rsid w:val="6D0F248A"/>
    <w:rsid w:val="6D156B14"/>
    <w:rsid w:val="6D176D30"/>
    <w:rsid w:val="6D3F31FB"/>
    <w:rsid w:val="6D4A5E3C"/>
    <w:rsid w:val="6D5533B5"/>
    <w:rsid w:val="6D82064E"/>
    <w:rsid w:val="6D855A48"/>
    <w:rsid w:val="6D88378A"/>
    <w:rsid w:val="6D931FFB"/>
    <w:rsid w:val="6D9722FE"/>
    <w:rsid w:val="6DB06E92"/>
    <w:rsid w:val="6DCC258A"/>
    <w:rsid w:val="6E197DA1"/>
    <w:rsid w:val="6E1D2124"/>
    <w:rsid w:val="6E601EE1"/>
    <w:rsid w:val="6E66388C"/>
    <w:rsid w:val="6E6B6433"/>
    <w:rsid w:val="6E700876"/>
    <w:rsid w:val="6E71421E"/>
    <w:rsid w:val="6E833336"/>
    <w:rsid w:val="6E895A0C"/>
    <w:rsid w:val="6E8B1784"/>
    <w:rsid w:val="6E96385D"/>
    <w:rsid w:val="6E9A51DF"/>
    <w:rsid w:val="6E9D5941"/>
    <w:rsid w:val="6EB37EF2"/>
    <w:rsid w:val="6EC021A0"/>
    <w:rsid w:val="6ED47639"/>
    <w:rsid w:val="6EE449F0"/>
    <w:rsid w:val="6EE94DB5"/>
    <w:rsid w:val="6EE968D4"/>
    <w:rsid w:val="6EF5504B"/>
    <w:rsid w:val="6EF72976"/>
    <w:rsid w:val="6F1B3430"/>
    <w:rsid w:val="6F4B230C"/>
    <w:rsid w:val="6F572E30"/>
    <w:rsid w:val="6F5F1E49"/>
    <w:rsid w:val="6F774CC3"/>
    <w:rsid w:val="6F866E10"/>
    <w:rsid w:val="6F9C0C2B"/>
    <w:rsid w:val="6F9C58AD"/>
    <w:rsid w:val="6FAB6429"/>
    <w:rsid w:val="6FAF352D"/>
    <w:rsid w:val="6FD11419"/>
    <w:rsid w:val="6FDA1D69"/>
    <w:rsid w:val="6FED1A9B"/>
    <w:rsid w:val="6FEE3007"/>
    <w:rsid w:val="700628E5"/>
    <w:rsid w:val="704E2A69"/>
    <w:rsid w:val="70611C22"/>
    <w:rsid w:val="706B7DE5"/>
    <w:rsid w:val="709220CA"/>
    <w:rsid w:val="70A80FD3"/>
    <w:rsid w:val="70B7060E"/>
    <w:rsid w:val="70BC729D"/>
    <w:rsid w:val="70C5161B"/>
    <w:rsid w:val="70D86BFE"/>
    <w:rsid w:val="70E1568B"/>
    <w:rsid w:val="70E36C69"/>
    <w:rsid w:val="70F716AB"/>
    <w:rsid w:val="70F94556"/>
    <w:rsid w:val="7105178F"/>
    <w:rsid w:val="713E2ADE"/>
    <w:rsid w:val="717B1874"/>
    <w:rsid w:val="71875155"/>
    <w:rsid w:val="718B69D5"/>
    <w:rsid w:val="719B458F"/>
    <w:rsid w:val="71CA79E1"/>
    <w:rsid w:val="71CD0AD4"/>
    <w:rsid w:val="71E009A5"/>
    <w:rsid w:val="71F70CA8"/>
    <w:rsid w:val="72054684"/>
    <w:rsid w:val="720F51D8"/>
    <w:rsid w:val="72171267"/>
    <w:rsid w:val="723F3301"/>
    <w:rsid w:val="72477770"/>
    <w:rsid w:val="7250744F"/>
    <w:rsid w:val="725825E2"/>
    <w:rsid w:val="729A7709"/>
    <w:rsid w:val="72AB007F"/>
    <w:rsid w:val="72AB4CEE"/>
    <w:rsid w:val="72BF40F8"/>
    <w:rsid w:val="72DB610A"/>
    <w:rsid w:val="72E46E94"/>
    <w:rsid w:val="72E814BE"/>
    <w:rsid w:val="72EB4678"/>
    <w:rsid w:val="72FD0776"/>
    <w:rsid w:val="731E58CB"/>
    <w:rsid w:val="732570A6"/>
    <w:rsid w:val="732A66B7"/>
    <w:rsid w:val="73354AB2"/>
    <w:rsid w:val="73415DDD"/>
    <w:rsid w:val="734B5354"/>
    <w:rsid w:val="734C164B"/>
    <w:rsid w:val="735A6BA7"/>
    <w:rsid w:val="737A1DC7"/>
    <w:rsid w:val="737A3B75"/>
    <w:rsid w:val="73873232"/>
    <w:rsid w:val="738E6390"/>
    <w:rsid w:val="739F5ABB"/>
    <w:rsid w:val="73A66C0F"/>
    <w:rsid w:val="73AB084A"/>
    <w:rsid w:val="73B61051"/>
    <w:rsid w:val="73C45EF6"/>
    <w:rsid w:val="73D35674"/>
    <w:rsid w:val="73D9347A"/>
    <w:rsid w:val="73E51850"/>
    <w:rsid w:val="73EC5848"/>
    <w:rsid w:val="73ED3852"/>
    <w:rsid w:val="73FB4BB7"/>
    <w:rsid w:val="74302F30"/>
    <w:rsid w:val="743D2C84"/>
    <w:rsid w:val="743E4BA3"/>
    <w:rsid w:val="74481D53"/>
    <w:rsid w:val="74771275"/>
    <w:rsid w:val="74957B78"/>
    <w:rsid w:val="749E7F3B"/>
    <w:rsid w:val="74B3318F"/>
    <w:rsid w:val="74BB09BC"/>
    <w:rsid w:val="74CC7D7A"/>
    <w:rsid w:val="750D5CF4"/>
    <w:rsid w:val="750E27C7"/>
    <w:rsid w:val="750E6541"/>
    <w:rsid w:val="750F43CD"/>
    <w:rsid w:val="751B0898"/>
    <w:rsid w:val="75221C12"/>
    <w:rsid w:val="752A1353"/>
    <w:rsid w:val="752D695D"/>
    <w:rsid w:val="75370780"/>
    <w:rsid w:val="75461B05"/>
    <w:rsid w:val="7560099D"/>
    <w:rsid w:val="75622B13"/>
    <w:rsid w:val="75622B4D"/>
    <w:rsid w:val="758200F8"/>
    <w:rsid w:val="758A3A7A"/>
    <w:rsid w:val="7590567E"/>
    <w:rsid w:val="75930F1E"/>
    <w:rsid w:val="75935EED"/>
    <w:rsid w:val="759C665A"/>
    <w:rsid w:val="75A357F0"/>
    <w:rsid w:val="75B0580C"/>
    <w:rsid w:val="75E53E15"/>
    <w:rsid w:val="75EB760C"/>
    <w:rsid w:val="7602790B"/>
    <w:rsid w:val="760B3640"/>
    <w:rsid w:val="76284449"/>
    <w:rsid w:val="762A530D"/>
    <w:rsid w:val="762F5160"/>
    <w:rsid w:val="763B78EF"/>
    <w:rsid w:val="76567492"/>
    <w:rsid w:val="765863F0"/>
    <w:rsid w:val="767504E1"/>
    <w:rsid w:val="76797AEF"/>
    <w:rsid w:val="76797D4E"/>
    <w:rsid w:val="767E5241"/>
    <w:rsid w:val="76AD3D32"/>
    <w:rsid w:val="76AD7DBE"/>
    <w:rsid w:val="76AE4262"/>
    <w:rsid w:val="76AE6010"/>
    <w:rsid w:val="76D33CC8"/>
    <w:rsid w:val="76D93A45"/>
    <w:rsid w:val="76EC4D8A"/>
    <w:rsid w:val="76F12F0E"/>
    <w:rsid w:val="76FB0758"/>
    <w:rsid w:val="771852C3"/>
    <w:rsid w:val="771C1B6A"/>
    <w:rsid w:val="772A3767"/>
    <w:rsid w:val="773E3629"/>
    <w:rsid w:val="775E5C88"/>
    <w:rsid w:val="776A616D"/>
    <w:rsid w:val="77716148"/>
    <w:rsid w:val="777D59E2"/>
    <w:rsid w:val="77D00208"/>
    <w:rsid w:val="77DF5CDA"/>
    <w:rsid w:val="77F43EF6"/>
    <w:rsid w:val="77FE53B4"/>
    <w:rsid w:val="780D42AE"/>
    <w:rsid w:val="781023B6"/>
    <w:rsid w:val="782C2E82"/>
    <w:rsid w:val="783E60AA"/>
    <w:rsid w:val="784B788E"/>
    <w:rsid w:val="785473C3"/>
    <w:rsid w:val="785604D9"/>
    <w:rsid w:val="788B5DF2"/>
    <w:rsid w:val="78D538FC"/>
    <w:rsid w:val="79092FA5"/>
    <w:rsid w:val="790C7700"/>
    <w:rsid w:val="791056FF"/>
    <w:rsid w:val="793871D0"/>
    <w:rsid w:val="79630C40"/>
    <w:rsid w:val="797465A7"/>
    <w:rsid w:val="797B10A8"/>
    <w:rsid w:val="797B6233"/>
    <w:rsid w:val="797E051B"/>
    <w:rsid w:val="79885FA6"/>
    <w:rsid w:val="79A702CF"/>
    <w:rsid w:val="79BE6FA0"/>
    <w:rsid w:val="79C24F27"/>
    <w:rsid w:val="79CA4492"/>
    <w:rsid w:val="79D008D9"/>
    <w:rsid w:val="79D34CF9"/>
    <w:rsid w:val="79D658DA"/>
    <w:rsid w:val="79E65BED"/>
    <w:rsid w:val="79F33282"/>
    <w:rsid w:val="79FC709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EC1534"/>
    <w:rsid w:val="7B0A2DC2"/>
    <w:rsid w:val="7B181FEB"/>
    <w:rsid w:val="7B192AA4"/>
    <w:rsid w:val="7B24100D"/>
    <w:rsid w:val="7B3362FC"/>
    <w:rsid w:val="7B623F98"/>
    <w:rsid w:val="7B7666E9"/>
    <w:rsid w:val="7B770426"/>
    <w:rsid w:val="7B8A25F4"/>
    <w:rsid w:val="7B962784"/>
    <w:rsid w:val="7B977FA5"/>
    <w:rsid w:val="7B9B2D0E"/>
    <w:rsid w:val="7BA2010D"/>
    <w:rsid w:val="7BB5616B"/>
    <w:rsid w:val="7BB8348D"/>
    <w:rsid w:val="7BD30CCF"/>
    <w:rsid w:val="7BD545E7"/>
    <w:rsid w:val="7BDB04F8"/>
    <w:rsid w:val="7BEA6874"/>
    <w:rsid w:val="7BFF10BB"/>
    <w:rsid w:val="7C067992"/>
    <w:rsid w:val="7C0C1B5D"/>
    <w:rsid w:val="7C152DE3"/>
    <w:rsid w:val="7C31388D"/>
    <w:rsid w:val="7C337493"/>
    <w:rsid w:val="7C380DC7"/>
    <w:rsid w:val="7C3E7E36"/>
    <w:rsid w:val="7C3F0510"/>
    <w:rsid w:val="7C6221A5"/>
    <w:rsid w:val="7C6A654F"/>
    <w:rsid w:val="7C7E6AAA"/>
    <w:rsid w:val="7CB5706E"/>
    <w:rsid w:val="7CC04CEF"/>
    <w:rsid w:val="7CC8055C"/>
    <w:rsid w:val="7D407BDD"/>
    <w:rsid w:val="7D562AF6"/>
    <w:rsid w:val="7D6A3193"/>
    <w:rsid w:val="7D8E47E1"/>
    <w:rsid w:val="7D9801B2"/>
    <w:rsid w:val="7DB621AD"/>
    <w:rsid w:val="7DF369FE"/>
    <w:rsid w:val="7DFA0138"/>
    <w:rsid w:val="7E000479"/>
    <w:rsid w:val="7E0872CE"/>
    <w:rsid w:val="7E1626EC"/>
    <w:rsid w:val="7E52424C"/>
    <w:rsid w:val="7E694EF5"/>
    <w:rsid w:val="7EBF7FAD"/>
    <w:rsid w:val="7EF309EF"/>
    <w:rsid w:val="7EFC0F4E"/>
    <w:rsid w:val="7F0957B6"/>
    <w:rsid w:val="7F3D6E98"/>
    <w:rsid w:val="7F6A7194"/>
    <w:rsid w:val="7F715CD1"/>
    <w:rsid w:val="7F872883"/>
    <w:rsid w:val="7FAA7DF7"/>
    <w:rsid w:val="7FCE66DE"/>
    <w:rsid w:val="7FCF3F46"/>
    <w:rsid w:val="7FDD27BA"/>
    <w:rsid w:val="7FDD6E93"/>
    <w:rsid w:val="7FE36CB4"/>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line="576" w:lineRule="auto"/>
      <w:outlineLvl w:val="0"/>
    </w:pPr>
    <w:rPr>
      <w:b/>
      <w:bCs/>
      <w:kern w:val="44"/>
      <w:sz w:val="44"/>
      <w:szCs w:val="44"/>
    </w:rPr>
  </w:style>
  <w:style w:type="paragraph" w:styleId="4">
    <w:name w:val="heading 2"/>
    <w:basedOn w:val="1"/>
    <w:next w:val="5"/>
    <w:qFormat/>
    <w:locked/>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7">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8">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3"/>
    <w:autoRedefine/>
    <w:semiHidden/>
    <w:qFormat/>
    <w:uiPriority w:val="99"/>
    <w:pPr>
      <w:jc w:val="left"/>
    </w:pPr>
    <w:rPr>
      <w:rFonts w:ascii="Copperplate Gothic Bold" w:hAnsi="Copperplate Gothic Bold"/>
      <w:sz w:val="28"/>
    </w:rPr>
  </w:style>
  <w:style w:type="paragraph" w:styleId="5">
    <w:name w:val="Normal Indent"/>
    <w:basedOn w:val="1"/>
    <w:autoRedefine/>
    <w:qFormat/>
    <w:uiPriority w:val="0"/>
    <w:pPr>
      <w:spacing w:beforeLines="50" w:line="360" w:lineRule="auto"/>
      <w:ind w:firstLine="420"/>
    </w:pPr>
    <w:rPr>
      <w:sz w:val="24"/>
    </w:rPr>
  </w:style>
  <w:style w:type="paragraph" w:styleId="9">
    <w:name w:val="annotation text"/>
    <w:basedOn w:val="1"/>
    <w:autoRedefine/>
    <w:semiHidden/>
    <w:unhideWhenUsed/>
    <w:qFormat/>
    <w:uiPriority w:val="99"/>
    <w:pPr>
      <w:jc w:val="left"/>
    </w:pPr>
  </w:style>
  <w:style w:type="paragraph" w:styleId="10">
    <w:name w:val="Body Text 3"/>
    <w:basedOn w:val="1"/>
    <w:qFormat/>
    <w:uiPriority w:val="99"/>
    <w:pPr>
      <w:spacing w:after="120"/>
    </w:pPr>
    <w:rPr>
      <w:sz w:val="16"/>
      <w:szCs w:val="16"/>
    </w:rPr>
  </w:style>
  <w:style w:type="paragraph" w:styleId="11">
    <w:name w:val="Body Text Indent"/>
    <w:basedOn w:val="1"/>
    <w:link w:val="45"/>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6"/>
    <w:autoRedefine/>
    <w:qFormat/>
    <w:uiPriority w:val="99"/>
    <w:pPr>
      <w:spacing w:line="360" w:lineRule="auto"/>
    </w:pPr>
    <w:rPr>
      <w:rFonts w:ascii="宋体" w:hAnsi="Courier New"/>
      <w:sz w:val="24"/>
      <w:szCs w:val="21"/>
    </w:rPr>
  </w:style>
  <w:style w:type="paragraph" w:styleId="14">
    <w:name w:val="Date"/>
    <w:basedOn w:val="1"/>
    <w:next w:val="1"/>
    <w:link w:val="47"/>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68"/>
    <w:autoRedefine/>
    <w:semiHidden/>
    <w:unhideWhenUsed/>
    <w:qFormat/>
    <w:uiPriority w:val="99"/>
    <w:rPr>
      <w:sz w:val="18"/>
      <w:szCs w:val="18"/>
    </w:rPr>
  </w:style>
  <w:style w:type="paragraph" w:styleId="17">
    <w:name w:val="footer"/>
    <w:basedOn w:val="1"/>
    <w:link w:val="48"/>
    <w:autoRedefine/>
    <w:qFormat/>
    <w:uiPriority w:val="99"/>
    <w:pPr>
      <w:tabs>
        <w:tab w:val="center" w:pos="4153"/>
        <w:tab w:val="right" w:pos="8306"/>
      </w:tabs>
      <w:snapToGrid w:val="0"/>
      <w:jc w:val="left"/>
    </w:pPr>
    <w:rPr>
      <w:sz w:val="18"/>
    </w:rPr>
  </w:style>
  <w:style w:type="paragraph" w:styleId="18">
    <w:name w:val="header"/>
    <w:basedOn w:val="1"/>
    <w:link w:val="4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toc 9"/>
    <w:basedOn w:val="1"/>
    <w:next w:val="1"/>
    <w:autoRedefine/>
    <w:qFormat/>
    <w:uiPriority w:val="0"/>
    <w:pPr>
      <w:wordWrap w:val="0"/>
      <w:ind w:left="2975"/>
    </w:pPr>
    <w:rPr>
      <w:rFonts w:ascii="Times New Roman" w:hAnsi="Times New Roman"/>
    </w:rPr>
  </w:style>
  <w:style w:type="paragraph" w:styleId="22">
    <w:name w:val="Body Text 2"/>
    <w:basedOn w:val="1"/>
    <w:link w:val="50"/>
    <w:autoRedefine/>
    <w:qFormat/>
    <w:uiPriority w:val="99"/>
    <w:pPr>
      <w:jc w:val="center"/>
    </w:pPr>
    <w:rPr>
      <w:b/>
      <w:spacing w:val="-20"/>
      <w:w w:val="130"/>
      <w:sz w:val="48"/>
      <w:szCs w:val="20"/>
    </w:rPr>
  </w:style>
  <w:style w:type="paragraph" w:styleId="23">
    <w:name w:val="Normal (Web)"/>
    <w:basedOn w:val="1"/>
    <w:autoRedefine/>
    <w:qFormat/>
    <w:uiPriority w:val="99"/>
    <w:pPr>
      <w:spacing w:beforeAutospacing="1" w:afterAutospacing="1"/>
      <w:jc w:val="left"/>
    </w:pPr>
    <w:rPr>
      <w:kern w:val="0"/>
      <w:sz w:val="24"/>
    </w:rPr>
  </w:style>
  <w:style w:type="paragraph" w:styleId="24">
    <w:name w:val="Body Text First Indent"/>
    <w:basedOn w:val="2"/>
    <w:next w:val="25"/>
    <w:link w:val="44"/>
    <w:autoRedefine/>
    <w:qFormat/>
    <w:uiPriority w:val="99"/>
    <w:pPr>
      <w:ind w:firstLine="420" w:firstLineChars="100"/>
    </w:pPr>
    <w:rPr>
      <w:rFonts w:ascii="Times New Roman" w:hAnsi="Times New Roman"/>
      <w:sz w:val="18"/>
      <w:szCs w:val="18"/>
    </w:rPr>
  </w:style>
  <w:style w:type="paragraph" w:styleId="25">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7">
    <w:name w:val="Table Grid"/>
    <w:basedOn w:val="2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locked/>
    <w:uiPriority w:val="0"/>
    <w:rPr>
      <w:b/>
      <w:bdr w:val="single" w:color="DBDEC1" w:sz="4" w:space="0"/>
      <w:shd w:val="clear" w:color="auto" w:fill="FFFFFF"/>
    </w:rPr>
  </w:style>
  <w:style w:type="character" w:styleId="30">
    <w:name w:val="page number"/>
    <w:basedOn w:val="28"/>
    <w:autoRedefine/>
    <w:qFormat/>
    <w:uiPriority w:val="99"/>
    <w:rPr>
      <w:rFonts w:cs="Times New Roman"/>
    </w:rPr>
  </w:style>
  <w:style w:type="character" w:styleId="31">
    <w:name w:val="FollowedHyperlink"/>
    <w:basedOn w:val="28"/>
    <w:autoRedefine/>
    <w:semiHidden/>
    <w:unhideWhenUsed/>
    <w:qFormat/>
    <w:uiPriority w:val="99"/>
    <w:rPr>
      <w:color w:val="800080"/>
      <w:u w:val="none"/>
    </w:rPr>
  </w:style>
  <w:style w:type="character" w:styleId="32">
    <w:name w:val="Emphasis"/>
    <w:basedOn w:val="28"/>
    <w:autoRedefine/>
    <w:qFormat/>
    <w:locked/>
    <w:uiPriority w:val="0"/>
    <w:rPr>
      <w:b/>
    </w:rPr>
  </w:style>
  <w:style w:type="character" w:styleId="33">
    <w:name w:val="HTML Definition"/>
    <w:basedOn w:val="28"/>
    <w:autoRedefine/>
    <w:semiHidden/>
    <w:unhideWhenUsed/>
    <w:qFormat/>
    <w:uiPriority w:val="99"/>
  </w:style>
  <w:style w:type="character" w:styleId="34">
    <w:name w:val="HTML Typewriter"/>
    <w:basedOn w:val="28"/>
    <w:autoRedefine/>
    <w:semiHidden/>
    <w:unhideWhenUsed/>
    <w:qFormat/>
    <w:uiPriority w:val="99"/>
    <w:rPr>
      <w:rFonts w:hint="default" w:ascii="monospace" w:hAnsi="monospace" w:eastAsia="monospace" w:cs="monospace"/>
      <w:sz w:val="20"/>
    </w:rPr>
  </w:style>
  <w:style w:type="character" w:styleId="35">
    <w:name w:val="HTML Acronym"/>
    <w:basedOn w:val="28"/>
    <w:autoRedefine/>
    <w:semiHidden/>
    <w:unhideWhenUsed/>
    <w:qFormat/>
    <w:uiPriority w:val="99"/>
  </w:style>
  <w:style w:type="character" w:styleId="36">
    <w:name w:val="HTML Variable"/>
    <w:basedOn w:val="28"/>
    <w:autoRedefine/>
    <w:semiHidden/>
    <w:unhideWhenUsed/>
    <w:qFormat/>
    <w:uiPriority w:val="99"/>
  </w:style>
  <w:style w:type="character" w:styleId="37">
    <w:name w:val="Hyperlink"/>
    <w:basedOn w:val="28"/>
    <w:autoRedefine/>
    <w:qFormat/>
    <w:uiPriority w:val="99"/>
    <w:rPr>
      <w:rFonts w:cs="Times New Roman"/>
      <w:color w:val="0000FF"/>
      <w:u w:val="single"/>
    </w:rPr>
  </w:style>
  <w:style w:type="character" w:styleId="38">
    <w:name w:val="HTML Code"/>
    <w:basedOn w:val="28"/>
    <w:autoRedefine/>
    <w:semiHidden/>
    <w:unhideWhenUsed/>
    <w:qFormat/>
    <w:uiPriority w:val="99"/>
    <w:rPr>
      <w:rFonts w:hint="default" w:ascii="monospace" w:hAnsi="monospace" w:eastAsia="monospace" w:cs="monospace"/>
      <w:sz w:val="20"/>
    </w:rPr>
  </w:style>
  <w:style w:type="character" w:styleId="39">
    <w:name w:val="HTML Cite"/>
    <w:basedOn w:val="28"/>
    <w:autoRedefine/>
    <w:semiHidden/>
    <w:unhideWhenUsed/>
    <w:qFormat/>
    <w:uiPriority w:val="99"/>
  </w:style>
  <w:style w:type="character" w:styleId="40">
    <w:name w:val="HTML Keyboard"/>
    <w:basedOn w:val="28"/>
    <w:autoRedefine/>
    <w:semiHidden/>
    <w:unhideWhenUsed/>
    <w:qFormat/>
    <w:uiPriority w:val="99"/>
    <w:rPr>
      <w:rFonts w:ascii="monospace" w:hAnsi="monospace" w:eastAsia="monospace" w:cs="monospace"/>
      <w:sz w:val="20"/>
    </w:rPr>
  </w:style>
  <w:style w:type="character" w:styleId="41">
    <w:name w:val="HTML Sample"/>
    <w:basedOn w:val="28"/>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2">
    <w:name w:val="正文缩进1"/>
    <w:basedOn w:val="1"/>
    <w:autoRedefine/>
    <w:qFormat/>
    <w:uiPriority w:val="0"/>
    <w:pPr>
      <w:ind w:firstLine="420" w:firstLineChars="200"/>
    </w:pPr>
  </w:style>
  <w:style w:type="character" w:customStyle="1" w:styleId="43">
    <w:name w:val="正文文本 Char"/>
    <w:basedOn w:val="28"/>
    <w:link w:val="2"/>
    <w:autoRedefine/>
    <w:semiHidden/>
    <w:qFormat/>
    <w:uiPriority w:val="99"/>
    <w:rPr>
      <w:szCs w:val="24"/>
    </w:rPr>
  </w:style>
  <w:style w:type="character" w:customStyle="1" w:styleId="44">
    <w:name w:val="正文首行缩进 Char"/>
    <w:basedOn w:val="43"/>
    <w:link w:val="24"/>
    <w:autoRedefine/>
    <w:semiHidden/>
    <w:qFormat/>
    <w:uiPriority w:val="99"/>
  </w:style>
  <w:style w:type="character" w:customStyle="1" w:styleId="45">
    <w:name w:val="正文文本缩进 Char"/>
    <w:basedOn w:val="28"/>
    <w:link w:val="11"/>
    <w:autoRedefine/>
    <w:semiHidden/>
    <w:qFormat/>
    <w:uiPriority w:val="99"/>
    <w:rPr>
      <w:szCs w:val="24"/>
    </w:rPr>
  </w:style>
  <w:style w:type="character" w:customStyle="1" w:styleId="46">
    <w:name w:val="纯文本 Char"/>
    <w:basedOn w:val="28"/>
    <w:link w:val="13"/>
    <w:autoRedefine/>
    <w:semiHidden/>
    <w:qFormat/>
    <w:uiPriority w:val="99"/>
    <w:rPr>
      <w:rFonts w:ascii="宋体" w:hAnsi="Courier New" w:cs="Courier New"/>
      <w:szCs w:val="21"/>
    </w:rPr>
  </w:style>
  <w:style w:type="character" w:customStyle="1" w:styleId="47">
    <w:name w:val="日期 Char"/>
    <w:basedOn w:val="28"/>
    <w:link w:val="14"/>
    <w:autoRedefine/>
    <w:semiHidden/>
    <w:qFormat/>
    <w:uiPriority w:val="99"/>
    <w:rPr>
      <w:szCs w:val="24"/>
    </w:rPr>
  </w:style>
  <w:style w:type="character" w:customStyle="1" w:styleId="48">
    <w:name w:val="页脚 Char"/>
    <w:basedOn w:val="28"/>
    <w:link w:val="17"/>
    <w:autoRedefine/>
    <w:semiHidden/>
    <w:qFormat/>
    <w:uiPriority w:val="99"/>
    <w:rPr>
      <w:sz w:val="18"/>
      <w:szCs w:val="18"/>
    </w:rPr>
  </w:style>
  <w:style w:type="character" w:customStyle="1" w:styleId="49">
    <w:name w:val="页眉 Char"/>
    <w:basedOn w:val="28"/>
    <w:link w:val="18"/>
    <w:autoRedefine/>
    <w:semiHidden/>
    <w:qFormat/>
    <w:uiPriority w:val="99"/>
    <w:rPr>
      <w:sz w:val="18"/>
      <w:szCs w:val="18"/>
    </w:rPr>
  </w:style>
  <w:style w:type="character" w:customStyle="1" w:styleId="50">
    <w:name w:val="正文文本 2 Char"/>
    <w:basedOn w:val="28"/>
    <w:link w:val="22"/>
    <w:autoRedefine/>
    <w:semiHidden/>
    <w:qFormat/>
    <w:uiPriority w:val="99"/>
    <w:rPr>
      <w:szCs w:val="24"/>
    </w:rPr>
  </w:style>
  <w:style w:type="character" w:customStyle="1" w:styleId="51">
    <w:name w:val="font11"/>
    <w:basedOn w:val="28"/>
    <w:autoRedefine/>
    <w:qFormat/>
    <w:uiPriority w:val="99"/>
    <w:rPr>
      <w:rFonts w:ascii="宋体" w:hAnsi="宋体" w:eastAsia="宋体" w:cs="宋体"/>
      <w:color w:val="000000"/>
      <w:sz w:val="24"/>
      <w:szCs w:val="24"/>
      <w:u w:val="none"/>
      <w:vertAlign w:val="superscript"/>
    </w:rPr>
  </w:style>
  <w:style w:type="paragraph" w:customStyle="1" w:styleId="52">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_Style 4"/>
    <w:basedOn w:val="3"/>
    <w:next w:val="1"/>
    <w:autoRedefine/>
    <w:qFormat/>
    <w:uiPriority w:val="0"/>
    <w:pPr>
      <w:outlineLvl w:val="9"/>
    </w:pPr>
  </w:style>
  <w:style w:type="character" w:customStyle="1" w:styleId="54">
    <w:name w:val="button"/>
    <w:basedOn w:val="28"/>
    <w:autoRedefine/>
    <w:qFormat/>
    <w:uiPriority w:val="0"/>
  </w:style>
  <w:style w:type="character" w:customStyle="1" w:styleId="55">
    <w:name w:val="input-direction"/>
    <w:basedOn w:val="28"/>
    <w:autoRedefine/>
    <w:qFormat/>
    <w:uiPriority w:val="0"/>
    <w:rPr>
      <w:color w:val="FF6600"/>
    </w:rPr>
  </w:style>
  <w:style w:type="character" w:customStyle="1" w:styleId="56">
    <w:name w:val="proollist"/>
    <w:basedOn w:val="28"/>
    <w:autoRedefine/>
    <w:qFormat/>
    <w:uiPriority w:val="0"/>
  </w:style>
  <w:style w:type="character" w:customStyle="1" w:styleId="57">
    <w:name w:val="span-long"/>
    <w:basedOn w:val="28"/>
    <w:autoRedefine/>
    <w:qFormat/>
    <w:uiPriority w:val="0"/>
  </w:style>
  <w:style w:type="character" w:customStyle="1" w:styleId="58">
    <w:name w:val="beforeinfotext"/>
    <w:basedOn w:val="28"/>
    <w:autoRedefine/>
    <w:qFormat/>
    <w:uiPriority w:val="0"/>
    <w:rPr>
      <w:color w:val="666666"/>
    </w:rPr>
  </w:style>
  <w:style w:type="character" w:customStyle="1" w:styleId="59">
    <w:name w:val="active6"/>
    <w:basedOn w:val="28"/>
    <w:autoRedefine/>
    <w:qFormat/>
    <w:uiPriority w:val="0"/>
    <w:rPr>
      <w:color w:val="00FF00"/>
      <w:shd w:val="clear" w:color="auto" w:fill="000000"/>
    </w:rPr>
  </w:style>
  <w:style w:type="character" w:customStyle="1" w:styleId="60">
    <w:name w:val="number"/>
    <w:basedOn w:val="28"/>
    <w:autoRedefine/>
    <w:qFormat/>
    <w:uiPriority w:val="0"/>
    <w:rPr>
      <w:color w:val="FF8833"/>
      <w:sz w:val="18"/>
      <w:szCs w:val="18"/>
    </w:rPr>
  </w:style>
  <w:style w:type="character" w:customStyle="1" w:styleId="61">
    <w:name w:val="stclosebtn"/>
    <w:basedOn w:val="28"/>
    <w:autoRedefine/>
    <w:qFormat/>
    <w:uiPriority w:val="0"/>
  </w:style>
  <w:style w:type="character" w:customStyle="1" w:styleId="62">
    <w:name w:val="phone"/>
    <w:basedOn w:val="28"/>
    <w:autoRedefine/>
    <w:qFormat/>
    <w:uiPriority w:val="0"/>
    <w:rPr>
      <w:color w:val="FF8833"/>
      <w:sz w:val="18"/>
      <w:szCs w:val="18"/>
    </w:rPr>
  </w:style>
  <w:style w:type="character" w:customStyle="1" w:styleId="63">
    <w:name w:val="hilite5"/>
    <w:basedOn w:val="28"/>
    <w:autoRedefine/>
    <w:qFormat/>
    <w:uiPriority w:val="0"/>
    <w:rPr>
      <w:color w:val="FFFFFF"/>
      <w:shd w:val="clear" w:color="auto" w:fill="666677"/>
    </w:rPr>
  </w:style>
  <w:style w:type="character" w:customStyle="1" w:styleId="64">
    <w:name w:val="tmpztreemove_arrow"/>
    <w:basedOn w:val="28"/>
    <w:autoRedefine/>
    <w:qFormat/>
    <w:uiPriority w:val="0"/>
  </w:style>
  <w:style w:type="character" w:customStyle="1" w:styleId="65">
    <w:name w:val="hilite"/>
    <w:basedOn w:val="28"/>
    <w:autoRedefine/>
    <w:qFormat/>
    <w:uiPriority w:val="0"/>
    <w:rPr>
      <w:color w:val="FFFFFF"/>
      <w:shd w:val="clear" w:color="auto" w:fill="666677"/>
    </w:rPr>
  </w:style>
  <w:style w:type="character" w:customStyle="1" w:styleId="66">
    <w:name w:val="button2"/>
    <w:basedOn w:val="28"/>
    <w:autoRedefine/>
    <w:qFormat/>
    <w:uiPriority w:val="0"/>
  </w:style>
  <w:style w:type="character" w:customStyle="1" w:styleId="67">
    <w:name w:val="NormalCharacter"/>
    <w:autoRedefine/>
    <w:qFormat/>
    <w:uiPriority w:val="0"/>
    <w:rPr>
      <w:kern w:val="2"/>
      <w:sz w:val="21"/>
      <w:szCs w:val="22"/>
      <w:lang w:val="en-US" w:eastAsia="zh-CN" w:bidi="ar-SA"/>
    </w:rPr>
  </w:style>
  <w:style w:type="character" w:customStyle="1" w:styleId="68">
    <w:name w:val="批注框文本 Char"/>
    <w:basedOn w:val="28"/>
    <w:link w:val="16"/>
    <w:autoRedefine/>
    <w:semiHidden/>
    <w:qFormat/>
    <w:uiPriority w:val="99"/>
    <w:rPr>
      <w:rFonts w:ascii="Calibri" w:hAnsi="Calibri"/>
      <w:kern w:val="2"/>
      <w:sz w:val="18"/>
      <w:szCs w:val="18"/>
    </w:rPr>
  </w:style>
  <w:style w:type="paragraph" w:customStyle="1" w:styleId="69">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0">
    <w:name w:val="hour_pm"/>
    <w:basedOn w:val="28"/>
    <w:autoRedefine/>
    <w:qFormat/>
    <w:uiPriority w:val="0"/>
  </w:style>
  <w:style w:type="character" w:customStyle="1" w:styleId="71">
    <w:name w:val="old"/>
    <w:basedOn w:val="28"/>
    <w:autoRedefine/>
    <w:qFormat/>
    <w:uiPriority w:val="0"/>
    <w:rPr>
      <w:color w:val="999999"/>
    </w:rPr>
  </w:style>
  <w:style w:type="character" w:customStyle="1" w:styleId="72">
    <w:name w:val="glyphicon4"/>
    <w:basedOn w:val="28"/>
    <w:autoRedefine/>
    <w:qFormat/>
    <w:uiPriority w:val="0"/>
  </w:style>
  <w:style w:type="character" w:customStyle="1" w:styleId="73">
    <w:name w:val="hour_am"/>
    <w:basedOn w:val="28"/>
    <w:autoRedefine/>
    <w:qFormat/>
    <w:uiPriority w:val="0"/>
  </w:style>
  <w:style w:type="character" w:customStyle="1" w:styleId="74">
    <w:name w:val="hover3"/>
    <w:basedOn w:val="28"/>
    <w:autoRedefine/>
    <w:qFormat/>
    <w:uiPriority w:val="0"/>
    <w:rPr>
      <w:shd w:val="clear" w:fill="EEEEEE"/>
    </w:rPr>
  </w:style>
  <w:style w:type="character" w:customStyle="1" w:styleId="75">
    <w:name w:val="indent"/>
    <w:basedOn w:val="28"/>
    <w:autoRedefine/>
    <w:qFormat/>
    <w:uiPriority w:val="0"/>
  </w:style>
  <w:style w:type="character" w:customStyle="1" w:styleId="76">
    <w:name w:val="mini-outputtext1"/>
    <w:basedOn w:val="28"/>
    <w:autoRedefine/>
    <w:qFormat/>
    <w:uiPriority w:val="0"/>
  </w:style>
  <w:style w:type="paragraph" w:customStyle="1" w:styleId="77">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8">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79">
    <w:name w:val="hover26"/>
    <w:basedOn w:val="28"/>
    <w:autoRedefine/>
    <w:qFormat/>
    <w:uiPriority w:val="0"/>
    <w:rPr>
      <w:color w:val="315EFB"/>
    </w:rPr>
  </w:style>
  <w:style w:type="character" w:customStyle="1" w:styleId="80">
    <w:name w:val="hover27"/>
    <w:basedOn w:val="28"/>
    <w:autoRedefine/>
    <w:qFormat/>
    <w:uiPriority w:val="0"/>
  </w:style>
  <w:style w:type="character" w:customStyle="1" w:styleId="81">
    <w:name w:val="hover28"/>
    <w:basedOn w:val="28"/>
    <w:autoRedefine/>
    <w:qFormat/>
    <w:uiPriority w:val="0"/>
    <w:rPr>
      <w:color w:val="315EFB"/>
    </w:rPr>
  </w:style>
  <w:style w:type="character" w:customStyle="1" w:styleId="82">
    <w:name w:val="c-icon26"/>
    <w:basedOn w:val="28"/>
    <w:autoRedefine/>
    <w:qFormat/>
    <w:uiPriority w:val="0"/>
  </w:style>
  <w:style w:type="character" w:customStyle="1" w:styleId="83">
    <w:name w:val="c-icon28"/>
    <w:basedOn w:val="28"/>
    <w:autoRedefine/>
    <w:qFormat/>
    <w:uiPriority w:val="0"/>
  </w:style>
  <w:style w:type="character" w:customStyle="1" w:styleId="84">
    <w:name w:val="font21"/>
    <w:basedOn w:val="28"/>
    <w:autoRedefine/>
    <w:qFormat/>
    <w:uiPriority w:val="0"/>
    <w:rPr>
      <w:rFonts w:ascii="宋体" w:hAnsi="宋体" w:eastAsia="宋体" w:cs="宋体"/>
      <w:b/>
      <w:bCs/>
      <w:color w:val="000000"/>
      <w:sz w:val="18"/>
      <w:szCs w:val="18"/>
      <w:u w:val="none"/>
    </w:rPr>
  </w:style>
  <w:style w:type="character" w:customStyle="1" w:styleId="85">
    <w:name w:val="font31"/>
    <w:basedOn w:val="28"/>
    <w:autoRedefine/>
    <w:qFormat/>
    <w:uiPriority w:val="0"/>
    <w:rPr>
      <w:rFonts w:ascii="宋体" w:hAnsi="宋体" w:eastAsia="宋体" w:cs="宋体"/>
      <w:color w:val="000000"/>
      <w:sz w:val="18"/>
      <w:szCs w:val="18"/>
      <w:u w:val="none"/>
    </w:rPr>
  </w:style>
  <w:style w:type="paragraph" w:customStyle="1" w:styleId="8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87">
    <w:name w:val="表格文字中"/>
    <w:basedOn w:val="1"/>
    <w:qFormat/>
    <w:uiPriority w:val="0"/>
    <w:pPr>
      <w:adjustRightInd w:val="0"/>
      <w:snapToGrid w:val="0"/>
      <w:ind w:left="22" w:leftChars="8"/>
      <w:jc w:val="center"/>
    </w:pPr>
    <w:rPr>
      <w:szCs w:val="24"/>
    </w:rPr>
  </w:style>
  <w:style w:type="paragraph" w:customStyle="1" w:styleId="88">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89">
    <w:name w:val="列出段落1"/>
    <w:basedOn w:val="1"/>
    <w:autoRedefine/>
    <w:qFormat/>
    <w:uiPriority w:val="99"/>
    <w:pPr>
      <w:ind w:firstLine="420" w:firstLineChars="200"/>
    </w:pPr>
  </w:style>
  <w:style w:type="table" w:customStyle="1" w:styleId="90">
    <w:name w:val="Table Normal"/>
    <w:autoRedefine/>
    <w:semiHidden/>
    <w:unhideWhenUsed/>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15959</Words>
  <Characters>16898</Characters>
  <Lines>196</Lines>
  <Paragraphs>55</Paragraphs>
  <TotalTime>35</TotalTime>
  <ScaleCrop>false</ScaleCrop>
  <LinksUpToDate>false</LinksUpToDate>
  <CharactersWithSpaces>17808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WPS_1528011989</cp:lastModifiedBy>
  <cp:lastPrinted>2024-12-06T03:46:00Z</cp:lastPrinted>
  <dcterms:modified xsi:type="dcterms:W3CDTF">2026-01-09T03:55:33Z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5F7A9F838F0D4410A6A7066A2B2B4728_13</vt:lpwstr>
  </property>
  <property fmtid="{D5CDD505-2E9C-101B-9397-08002B2CF9AE}" pid="4" name="KSOTemplateDocerSaveRecord">
    <vt:lpwstr>eyJoZGlkIjoiMGQ2NmIzODMyNmM4ZWRlMzQ2NzE2ODNmZGMxZDZjMWEiLCJ1c2VySWQiOiIzNzU3MTM1MjkifQ==</vt:lpwstr>
  </property>
</Properties>
</file>