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235F0">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政府采购项目</w:t>
      </w:r>
    </w:p>
    <w:p w14:paraId="173DCA96">
      <w:pPr>
        <w:keepLines w:val="0"/>
        <w:shd w:val="clear" w:color="auto" w:fill="auto"/>
        <w:kinsoku/>
        <w:overflowPunct/>
        <w:topLinePunct w:val="0"/>
        <w:bidi w:val="0"/>
        <w:spacing w:line="360" w:lineRule="auto"/>
        <w:outlineLvl w:val="9"/>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zh-CN"/>
        </w:rPr>
        <w:t>项目编号：</w:t>
      </w:r>
      <w:r>
        <w:rPr>
          <w:rFonts w:hint="eastAsia" w:ascii="宋体" w:hAnsi="宋体" w:cs="宋体"/>
          <w:b/>
          <w:sz w:val="32"/>
          <w:szCs w:val="32"/>
          <w:highlight w:val="none"/>
          <w:lang w:val="en-US" w:eastAsia="zh-CN"/>
        </w:rPr>
        <w:t>YC25101040(CGO).1B1</w:t>
      </w:r>
    </w:p>
    <w:p w14:paraId="623430B1">
      <w:pPr>
        <w:shd w:val="clear" w:color="auto" w:fill="auto"/>
        <w:bidi w:val="0"/>
        <w:rPr>
          <w:rFonts w:hint="eastAsia" w:ascii="宋体" w:hAnsi="宋体" w:eastAsia="宋体" w:cs="宋体"/>
          <w:highlight w:val="none"/>
          <w:lang w:val="zh-CN" w:eastAsia="zh-CN"/>
        </w:rPr>
      </w:pPr>
    </w:p>
    <w:p w14:paraId="5516F6B3">
      <w:pPr>
        <w:shd w:val="clear" w:color="auto" w:fill="auto"/>
        <w:bidi w:val="0"/>
        <w:rPr>
          <w:rFonts w:hint="eastAsia" w:ascii="宋体" w:hAnsi="宋体" w:eastAsia="宋体" w:cs="宋体"/>
          <w:highlight w:val="none"/>
          <w:lang w:val="zh-CN" w:eastAsia="zh-CN"/>
        </w:rPr>
      </w:pPr>
    </w:p>
    <w:p w14:paraId="1711B847">
      <w:pPr>
        <w:shd w:val="clear" w:color="auto" w:fill="auto"/>
        <w:bidi w:val="0"/>
        <w:rPr>
          <w:rStyle w:val="40"/>
          <w:rFonts w:hint="eastAsia"/>
          <w:lang w:val="zh-CN" w:eastAsia="zh-CN"/>
          <w:woUserID w:val="0"/>
        </w:rPr>
      </w:pPr>
    </w:p>
    <w:p w14:paraId="6AF373C2">
      <w:pPr>
        <w:shd w:val="clear" w:color="auto" w:fill="auto"/>
        <w:bidi w:val="0"/>
        <w:rPr>
          <w:rFonts w:hint="eastAsia" w:ascii="宋体" w:hAnsi="宋体" w:eastAsia="宋体" w:cs="宋体"/>
          <w:highlight w:val="none"/>
          <w:lang w:val="zh-CN" w:eastAsia="zh-CN"/>
        </w:rPr>
      </w:pPr>
    </w:p>
    <w:p w14:paraId="2F0D338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b/>
          <w:bCs/>
          <w:sz w:val="40"/>
          <w:szCs w:val="40"/>
          <w:highlight w:val="none"/>
          <w:lang w:val="en-US" w:eastAsia="zh-CN"/>
        </w:rPr>
      </w:pPr>
      <w:r>
        <w:rPr>
          <w:rFonts w:hint="eastAsia" w:ascii="宋体" w:hAnsi="宋体" w:eastAsia="宋体" w:cs="宋体"/>
          <w:b/>
          <w:bCs/>
          <w:sz w:val="48"/>
          <w:szCs w:val="48"/>
          <w:highlight w:val="none"/>
          <w:lang w:val="en-US" w:eastAsia="zh-CN"/>
        </w:rPr>
        <w:t>西安市红会医院</w:t>
      </w:r>
      <w:r>
        <w:rPr>
          <w:rFonts w:hint="eastAsia" w:ascii="宋体" w:hAnsi="宋体" w:cs="宋体"/>
          <w:b/>
          <w:bCs/>
          <w:sz w:val="48"/>
          <w:szCs w:val="48"/>
          <w:highlight w:val="none"/>
          <w:lang w:val="en-US" w:eastAsia="zh-CN"/>
        </w:rPr>
        <w:t>配置麻醉便携超声采购项目(二次)</w:t>
      </w:r>
    </w:p>
    <w:p w14:paraId="6FB1E440">
      <w:pPr>
        <w:pStyle w:val="62"/>
        <w:keepLines w:val="0"/>
        <w:shd w:val="clear" w:color="auto" w:fill="auto"/>
        <w:tabs>
          <w:tab w:val="left" w:pos="6758"/>
        </w:tabs>
        <w:kinsoku/>
        <w:overflowPunct/>
        <w:topLinePunct w:val="0"/>
        <w:bidi w:val="0"/>
        <w:spacing w:line="360" w:lineRule="auto"/>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ab/>
      </w:r>
    </w:p>
    <w:p w14:paraId="53E82025">
      <w:pPr>
        <w:keepLines w:val="0"/>
        <w:shd w:val="clear" w:color="auto" w:fill="auto"/>
        <w:kinsoku/>
        <w:overflowPunct/>
        <w:topLinePunct w:val="0"/>
        <w:bidi w:val="0"/>
        <w:spacing w:line="360" w:lineRule="auto"/>
        <w:jc w:val="center"/>
        <w:rPr>
          <w:rFonts w:hint="eastAsia" w:ascii="宋体" w:hAnsi="宋体" w:eastAsia="宋体" w:cs="宋体"/>
          <w:b/>
          <w:bCs/>
          <w:sz w:val="48"/>
          <w:szCs w:val="52"/>
          <w:highlight w:val="none"/>
          <w:lang w:val="zh-CN" w:eastAsia="zh-CN"/>
        </w:rPr>
      </w:pPr>
      <w:r>
        <w:rPr>
          <w:rFonts w:hint="eastAsia" w:ascii="宋体" w:hAnsi="宋体" w:eastAsia="宋体" w:cs="宋体"/>
          <w:b/>
          <w:bCs/>
          <w:sz w:val="48"/>
          <w:szCs w:val="52"/>
          <w:highlight w:val="none"/>
          <w:lang w:val="zh-CN" w:eastAsia="zh-CN"/>
        </w:rPr>
        <w:t>竞争性谈判文件</w:t>
      </w:r>
    </w:p>
    <w:p w14:paraId="3C21F4C7">
      <w:pPr>
        <w:keepLines w:val="0"/>
        <w:shd w:val="clear" w:color="auto" w:fill="auto"/>
        <w:kinsoku/>
        <w:overflowPunct/>
        <w:topLinePunct w:val="0"/>
        <w:bidi w:val="0"/>
        <w:spacing w:line="360" w:lineRule="auto"/>
        <w:jc w:val="center"/>
        <w:rPr>
          <w:rFonts w:hint="eastAsia" w:ascii="宋体" w:hAnsi="宋体" w:eastAsia="宋体" w:cs="宋体"/>
          <w:b/>
          <w:bCs/>
          <w:sz w:val="44"/>
          <w:szCs w:val="48"/>
          <w:highlight w:val="none"/>
          <w:lang w:val="zh-CN" w:eastAsia="zh-CN"/>
        </w:rPr>
      </w:pPr>
      <w:r>
        <w:rPr>
          <w:rFonts w:hint="eastAsia" w:ascii="宋体" w:hAnsi="宋体" w:eastAsia="宋体" w:cs="宋体"/>
          <w:b/>
          <w:bCs/>
          <w:sz w:val="30"/>
          <w:szCs w:val="30"/>
          <w:highlight w:val="none"/>
        </w:rPr>
        <w:drawing>
          <wp:inline distT="0" distB="0" distL="114300" distR="114300">
            <wp:extent cx="2199005" cy="2199005"/>
            <wp:effectExtent l="0" t="0" r="10795" b="10795"/>
            <wp:docPr id="2" name="图片 3" descr="LOGO+文字上下组合 蓝底白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OGO+文字上下组合 蓝底白字"/>
                    <pic:cNvPicPr>
                      <a:picLocks noChangeAspect="1"/>
                    </pic:cNvPicPr>
                  </pic:nvPicPr>
                  <pic:blipFill>
                    <a:blip r:embed="rId11"/>
                    <a:stretch>
                      <a:fillRect/>
                    </a:stretch>
                  </pic:blipFill>
                  <pic:spPr>
                    <a:xfrm>
                      <a:off x="0" y="0"/>
                      <a:ext cx="2199005" cy="2199005"/>
                    </a:xfrm>
                    <a:prstGeom prst="rect">
                      <a:avLst/>
                    </a:prstGeom>
                    <a:noFill/>
                    <a:ln>
                      <a:noFill/>
                    </a:ln>
                  </pic:spPr>
                </pic:pic>
              </a:graphicData>
            </a:graphic>
          </wp:inline>
        </w:drawing>
      </w:r>
    </w:p>
    <w:p w14:paraId="56748CDF">
      <w:pPr>
        <w:shd w:val="clear" w:color="auto" w:fill="auto"/>
        <w:rPr>
          <w:rFonts w:hint="eastAsia" w:ascii="宋体" w:hAnsi="宋体" w:eastAsia="宋体" w:cs="宋体"/>
          <w:highlight w:val="none"/>
          <w:lang w:val="zh-CN"/>
        </w:rPr>
      </w:pPr>
    </w:p>
    <w:p w14:paraId="37A0F5D9">
      <w:pPr>
        <w:pStyle w:val="5"/>
        <w:shd w:val="clear" w:color="auto" w:fill="auto"/>
        <w:rPr>
          <w:rFonts w:hint="eastAsia" w:ascii="宋体" w:hAnsi="宋体" w:eastAsia="宋体" w:cs="宋体"/>
          <w:highlight w:val="none"/>
          <w:lang w:val="zh-CN"/>
        </w:rPr>
      </w:pPr>
    </w:p>
    <w:p w14:paraId="66DDEDFE">
      <w:pPr>
        <w:pStyle w:val="6"/>
        <w:shd w:val="clear" w:color="auto" w:fill="auto"/>
        <w:rPr>
          <w:rFonts w:hint="eastAsia" w:ascii="宋体" w:hAnsi="宋体" w:eastAsia="宋体" w:cs="宋体"/>
          <w:highlight w:val="none"/>
          <w:lang w:val="zh-CN"/>
        </w:rPr>
      </w:pPr>
    </w:p>
    <w:p w14:paraId="7EF1B9B9">
      <w:pPr>
        <w:shd w:val="clear" w:color="auto" w:fill="auto"/>
        <w:rPr>
          <w:rFonts w:hint="eastAsia" w:ascii="宋体" w:hAnsi="宋体" w:eastAsia="宋体" w:cs="宋体"/>
          <w:highlight w:val="none"/>
          <w:lang w:val="zh-CN"/>
        </w:rPr>
      </w:pPr>
    </w:p>
    <w:p w14:paraId="6608B80A">
      <w:pPr>
        <w:keepNext w:val="0"/>
        <w:keepLines w:val="0"/>
        <w:pageBreakBefore w:val="0"/>
        <w:widowControl w:val="0"/>
        <w:shd w:val="clear" w:color="auto" w:fill="auto"/>
        <w:kinsoku/>
        <w:wordWrap/>
        <w:overflowPunct/>
        <w:topLinePunct w:val="0"/>
        <w:autoSpaceDE/>
        <w:autoSpaceDN/>
        <w:bidi w:val="0"/>
        <w:adjustRightInd/>
        <w:snapToGrid/>
        <w:spacing w:line="700" w:lineRule="exact"/>
        <w:ind w:firstLine="643" w:firstLineChars="200"/>
        <w:textAlignment w:val="auto"/>
        <w:outlineLvl w:val="9"/>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val="zh-CN"/>
        </w:rPr>
        <w:t>采</w:t>
      </w:r>
      <w:r>
        <w:rPr>
          <w:rFonts w:hint="eastAsia" w:ascii="宋体" w:hAnsi="宋体" w:eastAsia="宋体" w:cs="宋体"/>
          <w:b/>
          <w:bCs/>
          <w:sz w:val="32"/>
          <w:szCs w:val="32"/>
          <w:highlight w:val="none"/>
        </w:rPr>
        <w:t xml:space="preserve"> </w:t>
      </w:r>
      <w:r>
        <w:rPr>
          <w:rFonts w:hint="eastAsia" w:ascii="宋体" w:hAnsi="宋体" w:eastAsia="宋体" w:cs="宋体"/>
          <w:b/>
          <w:bCs/>
          <w:sz w:val="32"/>
          <w:szCs w:val="32"/>
          <w:highlight w:val="none"/>
          <w:lang w:val="zh-CN"/>
        </w:rPr>
        <w:t>购 单 位 ：</w:t>
      </w:r>
      <w:r>
        <w:rPr>
          <w:rFonts w:hint="eastAsia" w:ascii="宋体" w:hAnsi="宋体" w:eastAsia="宋体" w:cs="宋体"/>
          <w:b/>
          <w:bCs/>
          <w:sz w:val="32"/>
          <w:szCs w:val="32"/>
          <w:highlight w:val="none"/>
          <w:lang w:val="zh-CN" w:eastAsia="zh-CN"/>
        </w:rPr>
        <w:t>西安市红会医院</w:t>
      </w:r>
    </w:p>
    <w:p w14:paraId="4D19C501">
      <w:pPr>
        <w:keepNext w:val="0"/>
        <w:keepLines w:val="0"/>
        <w:pageBreakBefore w:val="0"/>
        <w:widowControl w:val="0"/>
        <w:shd w:val="clear" w:color="auto" w:fill="auto"/>
        <w:kinsoku/>
        <w:wordWrap/>
        <w:overflowPunct/>
        <w:topLinePunct w:val="0"/>
        <w:autoSpaceDE/>
        <w:autoSpaceDN/>
        <w:bidi w:val="0"/>
        <w:adjustRightInd/>
        <w:snapToGrid/>
        <w:spacing w:line="700" w:lineRule="exact"/>
        <w:ind w:firstLine="643" w:firstLineChars="200"/>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zh-CN"/>
        </w:rPr>
        <w:t xml:space="preserve">采购代理机构：亿诚建设项目管理有限公司               </w:t>
      </w:r>
    </w:p>
    <w:p w14:paraId="4DAEBAD5">
      <w:pPr>
        <w:keepNext w:val="0"/>
        <w:keepLines w:val="0"/>
        <w:pageBreakBefore w:val="0"/>
        <w:widowControl w:val="0"/>
        <w:shd w:val="clear" w:color="auto" w:fill="auto"/>
        <w:kinsoku/>
        <w:wordWrap/>
        <w:overflowPunct/>
        <w:topLinePunct w:val="0"/>
        <w:autoSpaceDE/>
        <w:autoSpaceDN/>
        <w:bidi w:val="0"/>
        <w:adjustRightInd/>
        <w:snapToGrid/>
        <w:spacing w:line="700" w:lineRule="exact"/>
        <w:ind w:firstLine="643" w:firstLineChars="200"/>
        <w:textAlignment w:val="auto"/>
        <w:outlineLvl w:val="9"/>
        <w:rPr>
          <w:rFonts w:hint="eastAsia" w:ascii="宋体" w:hAnsi="宋体" w:eastAsia="宋体" w:cs="宋体"/>
          <w:b/>
          <w:bCs/>
          <w:highlight w:val="none"/>
        </w:rPr>
      </w:pPr>
      <w:r>
        <w:rPr>
          <w:rFonts w:hint="eastAsia" w:ascii="宋体" w:hAnsi="宋体" w:eastAsia="宋体" w:cs="宋体"/>
          <w:b/>
          <w:bCs/>
          <w:sz w:val="32"/>
          <w:szCs w:val="32"/>
          <w:highlight w:val="none"/>
          <w:lang w:val="zh-CN"/>
        </w:rPr>
        <w:t>日        期：</w:t>
      </w:r>
      <w:r>
        <w:rPr>
          <w:rFonts w:hint="eastAsia" w:ascii="宋体" w:hAnsi="宋体" w:eastAsia="宋体" w:cs="宋体"/>
          <w:b/>
          <w:bCs/>
          <w:sz w:val="32"/>
          <w:szCs w:val="32"/>
          <w:highlight w:val="none"/>
          <w:lang w:val="en-US" w:eastAsia="zh-CN"/>
        </w:rPr>
        <w:t>2025年11</w:t>
      </w:r>
      <w:r>
        <w:rPr>
          <w:rFonts w:hint="eastAsia" w:ascii="宋体" w:hAnsi="宋体" w:eastAsia="宋体" w:cs="宋体"/>
          <w:b/>
          <w:bCs/>
          <w:sz w:val="32"/>
          <w:szCs w:val="32"/>
          <w:highlight w:val="none"/>
          <w:lang w:val="zh-CN"/>
        </w:rPr>
        <w:t>月</w:t>
      </w:r>
    </w:p>
    <w:p w14:paraId="491AB764">
      <w:pP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br w:type="page"/>
      </w:r>
    </w:p>
    <w:p w14:paraId="6AC5B19E">
      <w:pPr>
        <w:keepLines w:val="0"/>
        <w:shd w:val="clear" w:color="auto" w:fill="auto"/>
        <w:kinsoku/>
        <w:overflowPunct/>
        <w:topLinePunct w:val="0"/>
        <w:bidi w:val="0"/>
        <w:spacing w:line="360" w:lineRule="auto"/>
        <w:ind w:firstLine="3975" w:firstLineChars="900"/>
        <w:outlineLvl w:val="9"/>
        <w:rPr>
          <w:rFonts w:hint="eastAsia" w:ascii="宋体" w:hAnsi="宋体" w:eastAsia="宋体" w:cs="宋体"/>
          <w:b/>
          <w:sz w:val="44"/>
          <w:szCs w:val="44"/>
          <w:highlight w:val="none"/>
        </w:rPr>
      </w:pPr>
      <w:r>
        <w:rPr>
          <w:rFonts w:hint="eastAsia" w:ascii="宋体" w:hAnsi="宋体" w:eastAsia="宋体" w:cs="宋体"/>
          <w:b/>
          <w:bCs/>
          <w:sz w:val="44"/>
          <w:szCs w:val="44"/>
          <w:highlight w:val="none"/>
        </w:rPr>
        <w:br w:type="page"/>
      </w:r>
      <w:r>
        <w:rPr>
          <w:rFonts w:hint="eastAsia" w:ascii="宋体" w:hAnsi="宋体" w:eastAsia="宋体" w:cs="宋体"/>
          <w:b w:val="0"/>
          <w:bCs/>
          <w:sz w:val="44"/>
          <w:szCs w:val="44"/>
          <w:highlight w:val="none"/>
        </w:rPr>
        <w:t>目   录</w:t>
      </w:r>
    </w:p>
    <w:p w14:paraId="65110180">
      <w:pPr>
        <w:pStyle w:val="26"/>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TOC \o "1-2" \h \u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_Toc11380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第一部分</w:t>
      </w:r>
      <w:r>
        <w:rPr>
          <w:rFonts w:hint="eastAsia" w:ascii="宋体" w:hAnsi="宋体" w:eastAsia="宋体" w:cs="宋体"/>
          <w:b w:val="0"/>
          <w:bCs/>
          <w:kern w:val="0"/>
          <w:sz w:val="28"/>
          <w:szCs w:val="28"/>
          <w:highlight w:val="none"/>
        </w:rPr>
        <w:t xml:space="preserve">  </w:t>
      </w:r>
      <w:r>
        <w:rPr>
          <w:rFonts w:hint="eastAsia" w:ascii="宋体" w:hAnsi="宋体" w:eastAsia="宋体" w:cs="宋体"/>
          <w:b w:val="0"/>
          <w:bCs/>
          <w:kern w:val="0"/>
          <w:sz w:val="28"/>
          <w:szCs w:val="28"/>
          <w:highlight w:val="none"/>
          <w:lang w:val="en-US" w:eastAsia="zh-CN"/>
        </w:rPr>
        <w:t>竞争性谈判公告</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_Toc11380 \h </w:instrText>
      </w:r>
      <w:r>
        <w:rPr>
          <w:b w:val="0"/>
          <w:bCs/>
          <w:sz w:val="28"/>
          <w:szCs w:val="28"/>
          <w:highlight w:val="none"/>
        </w:rPr>
        <w:fldChar w:fldCharType="separate"/>
      </w:r>
      <w:r>
        <w:rPr>
          <w:b w:val="0"/>
          <w:bCs/>
          <w:sz w:val="28"/>
          <w:szCs w:val="28"/>
          <w:highlight w:val="none"/>
        </w:rPr>
        <w:t>1</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0667F396">
      <w:pPr>
        <w:pStyle w:val="26"/>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_Toc22759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第二部分  供应商须知前附表</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_Toc22759 \h </w:instrText>
      </w:r>
      <w:r>
        <w:rPr>
          <w:b w:val="0"/>
          <w:bCs/>
          <w:sz w:val="28"/>
          <w:szCs w:val="28"/>
          <w:highlight w:val="none"/>
        </w:rPr>
        <w:fldChar w:fldCharType="separate"/>
      </w:r>
      <w:r>
        <w:rPr>
          <w:b w:val="0"/>
          <w:bCs/>
          <w:sz w:val="28"/>
          <w:szCs w:val="28"/>
          <w:highlight w:val="none"/>
        </w:rPr>
        <w:t>5</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1A5115B4">
      <w:pPr>
        <w:pStyle w:val="26"/>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_Toc11004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第三部分  供应商须知</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_Toc11004 \h </w:instrText>
      </w:r>
      <w:r>
        <w:rPr>
          <w:b w:val="0"/>
          <w:bCs/>
          <w:sz w:val="28"/>
          <w:szCs w:val="28"/>
          <w:highlight w:val="none"/>
        </w:rPr>
        <w:fldChar w:fldCharType="separate"/>
      </w:r>
      <w:r>
        <w:rPr>
          <w:b w:val="0"/>
          <w:bCs/>
          <w:sz w:val="28"/>
          <w:szCs w:val="28"/>
          <w:highlight w:val="none"/>
        </w:rPr>
        <w:t>8</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53975B32">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_Toc4833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一、名词解释</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_Toc4833 \h </w:instrText>
      </w:r>
      <w:r>
        <w:rPr>
          <w:b w:val="0"/>
          <w:bCs/>
          <w:sz w:val="28"/>
          <w:szCs w:val="28"/>
          <w:highlight w:val="none"/>
        </w:rPr>
        <w:fldChar w:fldCharType="separate"/>
      </w:r>
      <w:r>
        <w:rPr>
          <w:b w:val="0"/>
          <w:bCs/>
          <w:sz w:val="28"/>
          <w:szCs w:val="28"/>
          <w:highlight w:val="none"/>
        </w:rPr>
        <w:t>8</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7E85EE97">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_Toc21365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二、谈判文件及要求</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_Toc21365 \h </w:instrText>
      </w:r>
      <w:r>
        <w:rPr>
          <w:b w:val="0"/>
          <w:bCs/>
          <w:sz w:val="28"/>
          <w:szCs w:val="28"/>
          <w:highlight w:val="none"/>
        </w:rPr>
        <w:fldChar w:fldCharType="separate"/>
      </w:r>
      <w:r>
        <w:rPr>
          <w:b w:val="0"/>
          <w:bCs/>
          <w:sz w:val="28"/>
          <w:szCs w:val="28"/>
          <w:highlight w:val="none"/>
        </w:rPr>
        <w:t>8</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0CED30A0">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_Toc12516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三、谈判要求</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_Toc12516 \h </w:instrText>
      </w:r>
      <w:r>
        <w:rPr>
          <w:b w:val="0"/>
          <w:bCs/>
          <w:sz w:val="28"/>
          <w:szCs w:val="28"/>
          <w:highlight w:val="none"/>
        </w:rPr>
        <w:fldChar w:fldCharType="separate"/>
      </w:r>
      <w:r>
        <w:rPr>
          <w:b w:val="0"/>
          <w:bCs/>
          <w:sz w:val="28"/>
          <w:szCs w:val="28"/>
          <w:highlight w:val="none"/>
        </w:rPr>
        <w:t>9</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514B6156">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_Toc25410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四、响应文件的式样和签署</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_Toc25410 \h </w:instrText>
      </w:r>
      <w:r>
        <w:rPr>
          <w:b w:val="0"/>
          <w:bCs/>
          <w:sz w:val="28"/>
          <w:szCs w:val="28"/>
          <w:highlight w:val="none"/>
        </w:rPr>
        <w:fldChar w:fldCharType="separate"/>
      </w:r>
      <w:r>
        <w:rPr>
          <w:b w:val="0"/>
          <w:bCs/>
          <w:sz w:val="28"/>
          <w:szCs w:val="28"/>
          <w:highlight w:val="none"/>
        </w:rPr>
        <w:t>11</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5516469F">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_Toc13207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五、响应文件的密封和递交</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_Toc13207 \h </w:instrText>
      </w:r>
      <w:r>
        <w:rPr>
          <w:b w:val="0"/>
          <w:bCs/>
          <w:sz w:val="28"/>
          <w:szCs w:val="28"/>
          <w:highlight w:val="none"/>
        </w:rPr>
        <w:fldChar w:fldCharType="separate"/>
      </w:r>
      <w:r>
        <w:rPr>
          <w:b w:val="0"/>
          <w:bCs/>
          <w:sz w:val="28"/>
          <w:szCs w:val="28"/>
          <w:highlight w:val="none"/>
        </w:rPr>
        <w:t>11</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5AC5A309">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_Toc30204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六、谈判小组组成及职责</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_Toc30204 \h </w:instrText>
      </w:r>
      <w:r>
        <w:rPr>
          <w:b w:val="0"/>
          <w:bCs/>
          <w:sz w:val="28"/>
          <w:szCs w:val="28"/>
          <w:highlight w:val="none"/>
        </w:rPr>
        <w:fldChar w:fldCharType="separate"/>
      </w:r>
      <w:r>
        <w:rPr>
          <w:b w:val="0"/>
          <w:bCs/>
          <w:sz w:val="28"/>
          <w:szCs w:val="28"/>
          <w:highlight w:val="none"/>
        </w:rPr>
        <w:t>12</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16153C0D">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_Toc6034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七、谈判评审程序及评审办法</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_Toc6034 \h </w:instrText>
      </w:r>
      <w:r>
        <w:rPr>
          <w:b w:val="0"/>
          <w:bCs/>
          <w:sz w:val="28"/>
          <w:szCs w:val="28"/>
          <w:highlight w:val="none"/>
        </w:rPr>
        <w:fldChar w:fldCharType="separate"/>
      </w:r>
      <w:r>
        <w:rPr>
          <w:b w:val="0"/>
          <w:bCs/>
          <w:sz w:val="28"/>
          <w:szCs w:val="28"/>
          <w:highlight w:val="none"/>
        </w:rPr>
        <w:t>13</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73D4CB15">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_Toc12210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八、</w:t>
      </w:r>
      <w:r>
        <w:rPr>
          <w:rFonts w:hint="eastAsia" w:ascii="宋体" w:hAnsi="宋体" w:eastAsia="宋体" w:cs="宋体"/>
          <w:b w:val="0"/>
          <w:bCs/>
          <w:sz w:val="28"/>
          <w:szCs w:val="28"/>
          <w:highlight w:val="none"/>
          <w:lang w:val="zh-CN"/>
        </w:rPr>
        <w:t>推荐成交候选供应商名单</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_Toc12210 \h </w:instrText>
      </w:r>
      <w:r>
        <w:rPr>
          <w:b w:val="0"/>
          <w:bCs/>
          <w:sz w:val="28"/>
          <w:szCs w:val="28"/>
          <w:highlight w:val="none"/>
        </w:rPr>
        <w:fldChar w:fldCharType="separate"/>
      </w:r>
      <w:r>
        <w:rPr>
          <w:b w:val="0"/>
          <w:bCs/>
          <w:sz w:val="28"/>
          <w:szCs w:val="28"/>
          <w:highlight w:val="none"/>
        </w:rPr>
        <w:t>21</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1BDF17D4">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_Toc2840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九、确定成交供应商</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_Toc2840 \h </w:instrText>
      </w:r>
      <w:r>
        <w:rPr>
          <w:b w:val="0"/>
          <w:bCs/>
          <w:sz w:val="28"/>
          <w:szCs w:val="28"/>
          <w:highlight w:val="none"/>
        </w:rPr>
        <w:fldChar w:fldCharType="separate"/>
      </w:r>
      <w:r>
        <w:rPr>
          <w:b w:val="0"/>
          <w:bCs/>
          <w:sz w:val="28"/>
          <w:szCs w:val="28"/>
          <w:highlight w:val="none"/>
        </w:rPr>
        <w:t>21</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018C8A42">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_Toc32328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十、合同</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_Toc32328 \h </w:instrText>
      </w:r>
      <w:r>
        <w:rPr>
          <w:b w:val="0"/>
          <w:bCs/>
          <w:sz w:val="28"/>
          <w:szCs w:val="28"/>
          <w:highlight w:val="none"/>
        </w:rPr>
        <w:fldChar w:fldCharType="separate"/>
      </w:r>
      <w:r>
        <w:rPr>
          <w:b w:val="0"/>
          <w:bCs/>
          <w:sz w:val="28"/>
          <w:szCs w:val="28"/>
          <w:highlight w:val="none"/>
        </w:rPr>
        <w:t>21</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43E1F47E">
      <w:pPr>
        <w:pStyle w:val="28"/>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_Toc639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十一、成交服务费</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_Toc639 \h </w:instrText>
      </w:r>
      <w:r>
        <w:rPr>
          <w:b w:val="0"/>
          <w:bCs/>
          <w:sz w:val="28"/>
          <w:szCs w:val="28"/>
          <w:highlight w:val="none"/>
        </w:rPr>
        <w:fldChar w:fldCharType="separate"/>
      </w:r>
      <w:r>
        <w:rPr>
          <w:b w:val="0"/>
          <w:bCs/>
          <w:sz w:val="28"/>
          <w:szCs w:val="28"/>
          <w:highlight w:val="none"/>
        </w:rPr>
        <w:t>21</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40E5F644">
      <w:pPr>
        <w:pStyle w:val="26"/>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_Toc21171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lang w:val="zh-CN"/>
        </w:rPr>
        <w:t>第四部分  采购要求及内容</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_Toc21171 \h </w:instrText>
      </w:r>
      <w:r>
        <w:rPr>
          <w:b w:val="0"/>
          <w:bCs/>
          <w:sz w:val="28"/>
          <w:szCs w:val="28"/>
          <w:highlight w:val="none"/>
        </w:rPr>
        <w:fldChar w:fldCharType="separate"/>
      </w:r>
      <w:r>
        <w:rPr>
          <w:b w:val="0"/>
          <w:bCs/>
          <w:sz w:val="28"/>
          <w:szCs w:val="28"/>
          <w:highlight w:val="none"/>
        </w:rPr>
        <w:t>27</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2E7969DD">
      <w:pPr>
        <w:pStyle w:val="26"/>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_Toc10493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第五部分  商务及合同主要条款</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_Toc10493 \h </w:instrText>
      </w:r>
      <w:r>
        <w:rPr>
          <w:b w:val="0"/>
          <w:bCs/>
          <w:sz w:val="28"/>
          <w:szCs w:val="28"/>
          <w:highlight w:val="none"/>
        </w:rPr>
        <w:fldChar w:fldCharType="separate"/>
      </w:r>
      <w:r>
        <w:rPr>
          <w:b w:val="0"/>
          <w:bCs/>
          <w:sz w:val="28"/>
          <w:szCs w:val="28"/>
          <w:highlight w:val="none"/>
        </w:rPr>
        <w:t>33</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2302081D">
      <w:pPr>
        <w:pStyle w:val="26"/>
        <w:tabs>
          <w:tab w:val="right" w:leader="dot" w:pos="9746"/>
        </w:tabs>
        <w:spacing w:line="360" w:lineRule="auto"/>
        <w:rPr>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_Toc22705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第六部分  响应文件格式</w:t>
      </w:r>
      <w:r>
        <w:rPr>
          <w:b w:val="0"/>
          <w:bCs/>
          <w:sz w:val="28"/>
          <w:szCs w:val="28"/>
          <w:highlight w:val="none"/>
        </w:rPr>
        <w:tab/>
      </w:r>
      <w:r>
        <w:rPr>
          <w:b w:val="0"/>
          <w:bCs/>
          <w:sz w:val="28"/>
          <w:szCs w:val="28"/>
          <w:highlight w:val="none"/>
        </w:rPr>
        <w:fldChar w:fldCharType="begin"/>
      </w:r>
      <w:r>
        <w:rPr>
          <w:b w:val="0"/>
          <w:bCs/>
          <w:sz w:val="28"/>
          <w:szCs w:val="28"/>
          <w:highlight w:val="none"/>
        </w:rPr>
        <w:instrText xml:space="preserve"> PAGEREF _Toc22705 \h </w:instrText>
      </w:r>
      <w:r>
        <w:rPr>
          <w:b w:val="0"/>
          <w:bCs/>
          <w:sz w:val="28"/>
          <w:szCs w:val="28"/>
          <w:highlight w:val="none"/>
        </w:rPr>
        <w:fldChar w:fldCharType="separate"/>
      </w:r>
      <w:r>
        <w:rPr>
          <w:b w:val="0"/>
          <w:bCs/>
          <w:sz w:val="28"/>
          <w:szCs w:val="28"/>
          <w:highlight w:val="none"/>
        </w:rPr>
        <w:t>39</w:t>
      </w:r>
      <w:r>
        <w:rPr>
          <w:b w:val="0"/>
          <w:bCs/>
          <w:sz w:val="28"/>
          <w:szCs w:val="28"/>
          <w:highlight w:val="none"/>
        </w:rPr>
        <w:fldChar w:fldCharType="end"/>
      </w:r>
      <w:r>
        <w:rPr>
          <w:rFonts w:hint="eastAsia" w:ascii="宋体" w:hAnsi="宋体" w:eastAsia="宋体" w:cs="宋体"/>
          <w:b w:val="0"/>
          <w:bCs/>
          <w:sz w:val="28"/>
          <w:szCs w:val="28"/>
          <w:highlight w:val="none"/>
        </w:rPr>
        <w:fldChar w:fldCharType="end"/>
      </w:r>
    </w:p>
    <w:p w14:paraId="652823A7">
      <w:pPr>
        <w:keepLines w:val="0"/>
        <w:shd w:val="clear" w:color="auto" w:fill="auto"/>
        <w:kinsoku/>
        <w:overflowPunct/>
        <w:topLinePunct w:val="0"/>
        <w:bidi w:val="0"/>
        <w:spacing w:line="360" w:lineRule="auto"/>
        <w:jc w:val="left"/>
        <w:outlineLvl w:val="9"/>
        <w:rPr>
          <w:rFonts w:hint="eastAsia" w:ascii="宋体" w:hAnsi="宋体" w:eastAsia="宋体" w:cs="宋体"/>
          <w:b/>
          <w:bCs/>
          <w:sz w:val="28"/>
          <w:szCs w:val="28"/>
          <w:highlight w:val="none"/>
        </w:rPr>
      </w:pPr>
      <w:r>
        <w:rPr>
          <w:rFonts w:hint="eastAsia" w:ascii="宋体" w:hAnsi="宋体" w:eastAsia="宋体" w:cs="宋体"/>
          <w:b w:val="0"/>
          <w:bCs/>
          <w:sz w:val="28"/>
          <w:szCs w:val="28"/>
          <w:highlight w:val="none"/>
        </w:rPr>
        <w:fldChar w:fldCharType="end"/>
      </w:r>
    </w:p>
    <w:p w14:paraId="1F3BA6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line="360" w:lineRule="auto"/>
        <w:jc w:val="center"/>
        <w:textAlignment w:val="auto"/>
        <w:outlineLvl w:val="0"/>
        <w:rPr>
          <w:rFonts w:hint="eastAsia" w:ascii="宋体" w:hAnsi="宋体" w:eastAsia="宋体" w:cs="宋体"/>
          <w:bCs/>
          <w:kern w:val="0"/>
          <w:sz w:val="44"/>
          <w:szCs w:val="44"/>
          <w:highlight w:val="none"/>
          <w:lang w:val="zh-CN"/>
        </w:rPr>
        <w:sectPr>
          <w:headerReference r:id="rId3" w:type="default"/>
          <w:footerReference r:id="rId4" w:type="default"/>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docGrid w:type="lines" w:linePitch="312" w:charSpace="0"/>
        </w:sectPr>
      </w:pPr>
      <w:bookmarkStart w:id="0" w:name="_Toc24973"/>
      <w:bookmarkStart w:id="1" w:name="_Toc14841"/>
      <w:bookmarkStart w:id="2" w:name="_Toc11380"/>
    </w:p>
    <w:p w14:paraId="48234D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line="360" w:lineRule="auto"/>
        <w:jc w:val="center"/>
        <w:textAlignment w:val="auto"/>
        <w:outlineLvl w:val="0"/>
        <w:rPr>
          <w:rFonts w:hint="eastAsia" w:ascii="宋体" w:hAnsi="宋体" w:eastAsia="宋体" w:cs="宋体"/>
          <w:b/>
          <w:bCs/>
          <w:color w:val="0A82E5"/>
          <w:sz w:val="24"/>
          <w:szCs w:val="24"/>
          <w:highlight w:val="none"/>
          <w:lang w:val="en-US"/>
        </w:rPr>
      </w:pPr>
      <w:r>
        <w:rPr>
          <w:rFonts w:hint="eastAsia" w:ascii="宋体" w:hAnsi="宋体" w:eastAsia="宋体" w:cs="宋体"/>
          <w:bCs/>
          <w:kern w:val="0"/>
          <w:sz w:val="44"/>
          <w:szCs w:val="44"/>
          <w:highlight w:val="none"/>
          <w:lang w:val="zh-CN"/>
        </w:rPr>
        <w:t>第一部分</w:t>
      </w:r>
      <w:r>
        <w:rPr>
          <w:rFonts w:hint="eastAsia" w:ascii="宋体" w:hAnsi="宋体" w:eastAsia="宋体" w:cs="宋体"/>
          <w:bCs/>
          <w:kern w:val="0"/>
          <w:sz w:val="44"/>
          <w:szCs w:val="44"/>
          <w:highlight w:val="none"/>
        </w:rPr>
        <w:t xml:space="preserve">  </w:t>
      </w:r>
      <w:bookmarkEnd w:id="0"/>
      <w:bookmarkEnd w:id="1"/>
      <w:bookmarkStart w:id="3" w:name="_Toc358217233"/>
      <w:r>
        <w:rPr>
          <w:rFonts w:hint="eastAsia" w:ascii="宋体" w:hAnsi="宋体" w:eastAsia="宋体" w:cs="宋体"/>
          <w:bCs/>
          <w:kern w:val="0"/>
          <w:sz w:val="44"/>
          <w:szCs w:val="44"/>
          <w:highlight w:val="none"/>
          <w:lang w:val="en-US" w:eastAsia="zh-CN"/>
        </w:rPr>
        <w:t>竞争性谈判公告</w:t>
      </w:r>
      <w:bookmarkEnd w:id="2"/>
    </w:p>
    <w:p w14:paraId="512512C8">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rPr>
        <w:t>亿诚建设项目管理有限公司受采购人委托对</w:t>
      </w:r>
      <w:r>
        <w:rPr>
          <w:rFonts w:hint="eastAsia" w:eastAsia="宋体" w:cs="宋体"/>
          <w:i w:val="0"/>
          <w:iCs w:val="0"/>
          <w:caps w:val="0"/>
          <w:color w:val="000000"/>
          <w:spacing w:val="0"/>
          <w:kern w:val="0"/>
          <w:sz w:val="24"/>
          <w:szCs w:val="24"/>
          <w:highlight w:val="none"/>
          <w:shd w:val="clear" w:color="auto" w:fill="FFFFFF"/>
          <w:lang w:val="en-US" w:eastAsia="zh-CN"/>
        </w:rPr>
        <w:t>西安市红会医院</w:t>
      </w:r>
      <w:r>
        <w:rPr>
          <w:rFonts w:hint="eastAsia" w:cs="宋体"/>
          <w:i w:val="0"/>
          <w:iCs w:val="0"/>
          <w:caps w:val="0"/>
          <w:color w:val="000000"/>
          <w:spacing w:val="0"/>
          <w:kern w:val="0"/>
          <w:sz w:val="24"/>
          <w:szCs w:val="24"/>
          <w:highlight w:val="none"/>
          <w:shd w:val="clear" w:color="auto" w:fill="FFFFFF"/>
          <w:lang w:val="en-US" w:eastAsia="zh-CN"/>
        </w:rPr>
        <w:t>配置麻醉便携超声采购项目(二次)</w:t>
      </w:r>
      <w:r>
        <w:rPr>
          <w:rFonts w:hint="eastAsia" w:eastAsia="宋体" w:cs="宋体"/>
          <w:i w:val="0"/>
          <w:iCs w:val="0"/>
          <w:caps w:val="0"/>
          <w:color w:val="000000"/>
          <w:spacing w:val="0"/>
          <w:kern w:val="0"/>
          <w:sz w:val="24"/>
          <w:szCs w:val="24"/>
          <w:highlight w:val="none"/>
          <w:shd w:val="clear" w:color="auto" w:fill="FFFFFF"/>
          <w:lang w:val="en-US" w:eastAsia="zh-CN"/>
        </w:rPr>
        <w:t>进行招标</w:t>
      </w:r>
      <w:r>
        <w:rPr>
          <w:rFonts w:hint="eastAsia" w:ascii="宋体" w:hAnsi="宋体" w:eastAsia="宋体" w:cs="宋体"/>
          <w:i w:val="0"/>
          <w:iCs w:val="0"/>
          <w:caps w:val="0"/>
          <w:color w:val="000000"/>
          <w:spacing w:val="0"/>
          <w:kern w:val="0"/>
          <w:sz w:val="24"/>
          <w:szCs w:val="24"/>
          <w:highlight w:val="none"/>
          <w:shd w:val="clear" w:color="auto" w:fill="FFFFFF"/>
          <w:lang w:val="en-US" w:eastAsia="zh-CN"/>
        </w:rPr>
        <w:t>，于</w:t>
      </w:r>
      <w:r>
        <w:rPr>
          <w:rFonts w:hint="eastAsia" w:ascii="宋体" w:hAnsi="宋体" w:cs="宋体"/>
          <w:i w:val="0"/>
          <w:iCs w:val="0"/>
          <w:caps w:val="0"/>
          <w:color w:val="000000"/>
          <w:spacing w:val="0"/>
          <w:kern w:val="0"/>
          <w:sz w:val="24"/>
          <w:szCs w:val="24"/>
          <w:highlight w:val="none"/>
          <w:shd w:val="clear" w:color="auto" w:fill="FFFFFF"/>
          <w:lang w:val="en-US" w:eastAsia="zh-CN"/>
        </w:rPr>
        <w:t>2026年01月07日</w:t>
      </w:r>
      <w:r>
        <w:rPr>
          <w:rFonts w:hint="eastAsia" w:ascii="宋体" w:hAnsi="宋体" w:eastAsia="宋体" w:cs="宋体"/>
          <w:i w:val="0"/>
          <w:iCs w:val="0"/>
          <w:caps w:val="0"/>
          <w:color w:val="000000"/>
          <w:spacing w:val="0"/>
          <w:kern w:val="0"/>
          <w:sz w:val="24"/>
          <w:szCs w:val="24"/>
          <w:highlight w:val="none"/>
          <w:shd w:val="clear" w:color="auto" w:fill="FFFFFF"/>
          <w:lang w:val="en-US" w:eastAsia="zh-CN"/>
        </w:rPr>
        <w:t>发布竞争性谈判公告。本次招标采用竞争性谈判招标方式，现邀请合格供应商参加投标。</w:t>
      </w:r>
    </w:p>
    <w:p w14:paraId="07B2E3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Autospacing="0" w:after="0" w:afterLines="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37"/>
          <w:rFonts w:hint="eastAsia" w:ascii="宋体" w:hAnsi="宋体" w:eastAsia="宋体" w:cs="宋体"/>
          <w:b/>
          <w:bCs/>
          <w:i w:val="0"/>
          <w:iCs w:val="0"/>
          <w:caps w:val="0"/>
          <w:color w:val="333333"/>
          <w:spacing w:val="0"/>
          <w:sz w:val="24"/>
          <w:szCs w:val="24"/>
          <w:highlight w:val="none"/>
          <w:shd w:val="clear" w:color="auto" w:fill="FFFFFF"/>
        </w:rPr>
        <w:t>一、项目基本情况</w:t>
      </w:r>
    </w:p>
    <w:p w14:paraId="74FA7454">
      <w:pPr>
        <w:keepNext w:val="0"/>
        <w:keepLines w:val="0"/>
        <w:pageBreakBefore w:val="0"/>
        <w:shd w:val="clear" w:color="auto" w:fill="auto"/>
        <w:kinsoku/>
        <w:overflowPunct/>
        <w:topLinePunct w:val="0"/>
        <w:autoSpaceDE/>
        <w:autoSpaceDN/>
        <w:bidi w:val="0"/>
        <w:adjustRightInd w:val="0"/>
        <w:snapToGrid w:val="0"/>
        <w:spacing w:line="480" w:lineRule="exact"/>
        <w:ind w:firstLine="480" w:firstLineChars="200"/>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Pr>
        <w:t>项目编号</w:t>
      </w:r>
      <w:r>
        <w:rPr>
          <w:rFonts w:hint="eastAsia" w:ascii="宋体" w:hAnsi="宋体" w:eastAsia="宋体" w:cs="宋体"/>
          <w:i w:val="0"/>
          <w:iCs w:val="0"/>
          <w:caps w:val="0"/>
          <w:color w:val="000000"/>
          <w:spacing w:val="0"/>
          <w:kern w:val="0"/>
          <w:sz w:val="24"/>
          <w:szCs w:val="24"/>
          <w:highlight w:val="none"/>
          <w:shd w:val="clear" w:color="auto" w:fill="FFFFFF"/>
          <w:lang w:val="en-US" w:eastAsia="zh-CN"/>
        </w:rPr>
        <w:t>：</w:t>
      </w:r>
      <w:r>
        <w:rPr>
          <w:rFonts w:hint="eastAsia" w:ascii="宋体" w:hAnsi="宋体" w:cs="宋体"/>
          <w:i w:val="0"/>
          <w:iCs w:val="0"/>
          <w:caps w:val="0"/>
          <w:color w:val="000000"/>
          <w:spacing w:val="0"/>
          <w:kern w:val="0"/>
          <w:sz w:val="24"/>
          <w:szCs w:val="24"/>
          <w:highlight w:val="none"/>
          <w:shd w:val="clear" w:color="auto" w:fill="FFFFFF"/>
          <w:lang w:val="en-US" w:eastAsia="zh-CN"/>
        </w:rPr>
        <w:t>YC25101040(CGO).1B1</w:t>
      </w:r>
    </w:p>
    <w:p w14:paraId="5EE4BDF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000000"/>
          <w:spacing w:val="0"/>
          <w:kern w:val="0"/>
          <w:sz w:val="24"/>
          <w:szCs w:val="24"/>
          <w:highlight w:val="none"/>
          <w:shd w:val="clear" w:color="auto" w:fill="FFFFFF"/>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Pr>
        <w:t>项目名称：</w:t>
      </w:r>
      <w:r>
        <w:rPr>
          <w:rFonts w:hint="eastAsia" w:eastAsia="宋体" w:cs="宋体"/>
          <w:i w:val="0"/>
          <w:iCs w:val="0"/>
          <w:caps w:val="0"/>
          <w:color w:val="000000"/>
          <w:spacing w:val="0"/>
          <w:kern w:val="0"/>
          <w:sz w:val="24"/>
          <w:szCs w:val="24"/>
          <w:highlight w:val="none"/>
          <w:shd w:val="clear" w:color="auto" w:fill="FFFFFF"/>
          <w:lang w:val="en-US" w:eastAsia="zh-CN"/>
        </w:rPr>
        <w:t>西安市红会医院</w:t>
      </w:r>
      <w:r>
        <w:rPr>
          <w:rFonts w:hint="eastAsia" w:cs="宋体"/>
          <w:i w:val="0"/>
          <w:iCs w:val="0"/>
          <w:caps w:val="0"/>
          <w:color w:val="000000"/>
          <w:spacing w:val="0"/>
          <w:kern w:val="0"/>
          <w:sz w:val="24"/>
          <w:szCs w:val="24"/>
          <w:highlight w:val="none"/>
          <w:shd w:val="clear" w:color="auto" w:fill="FFFFFF"/>
          <w:lang w:val="en-US" w:eastAsia="zh-CN"/>
        </w:rPr>
        <w:t>配置麻醉便携超声采购项目(二次)</w:t>
      </w:r>
    </w:p>
    <w:p w14:paraId="28D48FB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rPr>
        <w:t>采购方式：竞争性谈判</w:t>
      </w:r>
    </w:p>
    <w:p w14:paraId="57D564C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rPr>
        <w:t>预算金额：</w:t>
      </w:r>
      <w:r>
        <w:rPr>
          <w:rFonts w:hint="eastAsia" w:eastAsia="宋体" w:cs="宋体"/>
          <w:i w:val="0"/>
          <w:iCs w:val="0"/>
          <w:caps w:val="0"/>
          <w:color w:val="000000"/>
          <w:spacing w:val="0"/>
          <w:kern w:val="0"/>
          <w:sz w:val="24"/>
          <w:szCs w:val="24"/>
          <w:highlight w:val="none"/>
          <w:shd w:val="clear" w:color="auto" w:fill="FFFFFF"/>
          <w:lang w:val="en-US" w:eastAsia="zh-CN"/>
        </w:rPr>
        <w:t>920,000.00</w:t>
      </w:r>
      <w:r>
        <w:rPr>
          <w:rFonts w:hint="eastAsia" w:ascii="宋体" w:hAnsi="宋体" w:eastAsia="宋体" w:cs="宋体"/>
          <w:i w:val="0"/>
          <w:iCs w:val="0"/>
          <w:caps w:val="0"/>
          <w:color w:val="000000"/>
          <w:spacing w:val="0"/>
          <w:kern w:val="0"/>
          <w:sz w:val="24"/>
          <w:szCs w:val="24"/>
          <w:highlight w:val="none"/>
          <w:shd w:val="clear" w:color="auto" w:fill="FFFFFF"/>
        </w:rPr>
        <w:t>元</w:t>
      </w:r>
    </w:p>
    <w:p w14:paraId="23FC31FB">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采购需求：</w:t>
      </w:r>
    </w:p>
    <w:p w14:paraId="5C123D3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color="auto" w:fill="FFFFFF"/>
        </w:rPr>
        <w:t>合同包1(</w:t>
      </w:r>
      <w:r>
        <w:rPr>
          <w:rFonts w:hint="eastAsia" w:eastAsia="宋体" w:cs="宋体"/>
          <w:i w:val="0"/>
          <w:iCs w:val="0"/>
          <w:caps w:val="0"/>
          <w:color w:val="333333"/>
          <w:spacing w:val="0"/>
          <w:sz w:val="24"/>
          <w:szCs w:val="24"/>
          <w:highlight w:val="none"/>
          <w:shd w:val="clear" w:color="auto" w:fill="FFFFFF"/>
          <w:lang w:val="en-US" w:eastAsia="zh-CN"/>
        </w:rPr>
        <w:t>西安市红会医院</w:t>
      </w:r>
      <w:r>
        <w:rPr>
          <w:rFonts w:hint="eastAsia" w:cs="宋体"/>
          <w:i w:val="0"/>
          <w:iCs w:val="0"/>
          <w:caps w:val="0"/>
          <w:color w:val="333333"/>
          <w:spacing w:val="0"/>
          <w:sz w:val="24"/>
          <w:szCs w:val="24"/>
          <w:highlight w:val="none"/>
          <w:shd w:val="clear" w:color="auto" w:fill="FFFFFF"/>
          <w:lang w:val="en-US" w:eastAsia="zh-CN"/>
        </w:rPr>
        <w:t>配置麻醉便携超声采购项目(二次)</w:t>
      </w:r>
      <w:r>
        <w:rPr>
          <w:rFonts w:hint="eastAsia" w:ascii="宋体" w:hAnsi="宋体" w:eastAsia="宋体" w:cs="宋体"/>
          <w:i w:val="0"/>
          <w:iCs w:val="0"/>
          <w:caps w:val="0"/>
          <w:color w:val="333333"/>
          <w:spacing w:val="0"/>
          <w:sz w:val="24"/>
          <w:szCs w:val="24"/>
          <w:highlight w:val="none"/>
          <w:shd w:val="clear" w:color="auto" w:fill="FFFFFF"/>
        </w:rPr>
        <w:t>)</w:t>
      </w:r>
      <w:r>
        <w:rPr>
          <w:rFonts w:hint="eastAsia" w:eastAsia="宋体" w:cs="宋体"/>
          <w:i w:val="0"/>
          <w:iCs w:val="0"/>
          <w:caps w:val="0"/>
          <w:color w:val="333333"/>
          <w:spacing w:val="0"/>
          <w:sz w:val="24"/>
          <w:szCs w:val="24"/>
          <w:highlight w:val="none"/>
          <w:shd w:val="clear" w:color="auto" w:fill="FFFFFF"/>
          <w:lang w:eastAsia="zh-CN"/>
        </w:rPr>
        <w:t>：</w:t>
      </w:r>
    </w:p>
    <w:p w14:paraId="6B91E7C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合同包预算金额：</w:t>
      </w:r>
      <w:r>
        <w:rPr>
          <w:rFonts w:hint="eastAsia" w:eastAsia="宋体" w:cs="宋体"/>
          <w:i w:val="0"/>
          <w:iCs w:val="0"/>
          <w:caps w:val="0"/>
          <w:color w:val="000000"/>
          <w:spacing w:val="0"/>
          <w:kern w:val="0"/>
          <w:sz w:val="24"/>
          <w:szCs w:val="24"/>
          <w:highlight w:val="none"/>
          <w:shd w:val="clear" w:color="auto" w:fill="FFFFFF"/>
          <w:lang w:val="en-US" w:eastAsia="zh-CN"/>
        </w:rPr>
        <w:t>920,000.00</w:t>
      </w:r>
      <w:r>
        <w:rPr>
          <w:rFonts w:hint="eastAsia" w:ascii="宋体" w:hAnsi="宋体" w:eastAsia="宋体" w:cs="宋体"/>
          <w:i w:val="0"/>
          <w:iCs w:val="0"/>
          <w:caps w:val="0"/>
          <w:color w:val="333333"/>
          <w:spacing w:val="0"/>
          <w:sz w:val="24"/>
          <w:szCs w:val="24"/>
          <w:highlight w:val="none"/>
          <w:shd w:val="clear" w:color="auto" w:fill="FFFFFF"/>
        </w:rPr>
        <w:t>元</w:t>
      </w:r>
    </w:p>
    <w:p w14:paraId="46D1A42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合同包最高限价：</w:t>
      </w:r>
      <w:r>
        <w:rPr>
          <w:rFonts w:hint="eastAsia" w:eastAsia="宋体" w:cs="宋体"/>
          <w:i w:val="0"/>
          <w:iCs w:val="0"/>
          <w:caps w:val="0"/>
          <w:color w:val="000000"/>
          <w:spacing w:val="0"/>
          <w:kern w:val="0"/>
          <w:sz w:val="24"/>
          <w:szCs w:val="24"/>
          <w:highlight w:val="none"/>
          <w:shd w:val="clear" w:color="auto" w:fill="FFFFFF"/>
          <w:lang w:val="en-US" w:eastAsia="zh-CN"/>
        </w:rPr>
        <w:t>800,000.00</w:t>
      </w:r>
      <w:r>
        <w:rPr>
          <w:rFonts w:hint="eastAsia" w:ascii="宋体" w:hAnsi="宋体" w:eastAsia="宋体" w:cs="宋体"/>
          <w:i w:val="0"/>
          <w:iCs w:val="0"/>
          <w:caps w:val="0"/>
          <w:color w:val="333333"/>
          <w:spacing w:val="0"/>
          <w:sz w:val="24"/>
          <w:szCs w:val="24"/>
          <w:highlight w:val="none"/>
          <w:shd w:val="clear" w:color="auto" w:fill="FFFFFF"/>
        </w:rPr>
        <w:t>元</w:t>
      </w:r>
    </w:p>
    <w:tbl>
      <w:tblPr>
        <w:tblStyle w:val="34"/>
        <w:tblW w:w="98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37"/>
        <w:gridCol w:w="1174"/>
        <w:gridCol w:w="1893"/>
        <w:gridCol w:w="1271"/>
        <w:gridCol w:w="1600"/>
        <w:gridCol w:w="1571"/>
        <w:gridCol w:w="1572"/>
      </w:tblGrid>
      <w:tr w14:paraId="556BDB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6" w:hRule="atLeast"/>
          <w:tblHeader/>
        </w:trPr>
        <w:tc>
          <w:tcPr>
            <w:tcW w:w="73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26C64943">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174"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761C91CA">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893"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978A1F2">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27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58365D6A">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6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3F4960D4">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57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78D8C33">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157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DCCD0F0">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14:paraId="56AB2F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4" w:hRule="atLeast"/>
        </w:trPr>
        <w:tc>
          <w:tcPr>
            <w:tcW w:w="73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1DB51BE6">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174"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D9C8E39">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医用超声波仪器及设备</w:t>
            </w:r>
          </w:p>
        </w:tc>
        <w:tc>
          <w:tcPr>
            <w:tcW w:w="1893"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300466D7">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西安市红会医院</w:t>
            </w:r>
            <w:r>
              <w:rPr>
                <w:rFonts w:hint="eastAsia" w:ascii="宋体" w:hAnsi="宋体" w:cs="宋体"/>
                <w:sz w:val="24"/>
                <w:szCs w:val="24"/>
                <w:highlight w:val="none"/>
                <w:lang w:val="en-US" w:eastAsia="zh-CN"/>
              </w:rPr>
              <w:t>配置麻醉便携超声采购项目(二次)</w:t>
            </w:r>
          </w:p>
        </w:tc>
        <w:tc>
          <w:tcPr>
            <w:tcW w:w="127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0972370">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val="en-US"/>
              </w:rPr>
            </w:pPr>
            <w:r>
              <w:rPr>
                <w:rFonts w:hint="eastAsia" w:ascii="宋体" w:hAnsi="宋体" w:eastAsia="宋体" w:cs="宋体"/>
                <w:kern w:val="0"/>
                <w:sz w:val="24"/>
                <w:szCs w:val="24"/>
                <w:highlight w:val="none"/>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745E51C4">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详见谈判文件</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191E2A73">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920,000.00</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27817C2D">
            <w:pPr>
              <w:keepNext w:val="0"/>
              <w:keepLines w:val="0"/>
              <w:pageBreakBefore w:val="0"/>
              <w:widowControl/>
              <w:suppressLineNumbers w:val="0"/>
              <w:shd w:val="clear" w:color="auto" w:fill="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800,000.00</w:t>
            </w:r>
          </w:p>
        </w:tc>
      </w:tr>
    </w:tbl>
    <w:p w14:paraId="0B0470D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left="0" w:right="0" w:firstLine="42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color="auto" w:fill="FFFFFF"/>
        </w:rPr>
        <w:t>本合同包不接受联合体</w:t>
      </w:r>
      <w:r>
        <w:rPr>
          <w:rFonts w:hint="eastAsia" w:ascii="宋体" w:hAnsi="宋体" w:eastAsia="宋体" w:cs="宋体"/>
          <w:i w:val="0"/>
          <w:iCs w:val="0"/>
          <w:caps w:val="0"/>
          <w:color w:val="333333"/>
          <w:spacing w:val="0"/>
          <w:sz w:val="24"/>
          <w:szCs w:val="24"/>
          <w:highlight w:val="none"/>
          <w:shd w:val="clear" w:color="auto" w:fill="FFFFFF"/>
          <w:lang w:val="en-US" w:eastAsia="zh-CN"/>
        </w:rPr>
        <w:t>申请。</w:t>
      </w:r>
    </w:p>
    <w:p w14:paraId="133B091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left="0" w:right="0" w:firstLine="42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合同履行期限：自合同签订之日起国产设备</w:t>
      </w:r>
      <w:r>
        <w:rPr>
          <w:rFonts w:hint="eastAsia"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个日历日完成全部项目内容，并交付采购方验收合格</w:t>
      </w:r>
      <w:r>
        <w:rPr>
          <w:rFonts w:hint="eastAsia" w:eastAsia="宋体" w:cs="宋体"/>
          <w:i w:val="0"/>
          <w:iCs w:val="0"/>
          <w:caps w:val="0"/>
          <w:color w:val="auto"/>
          <w:spacing w:val="0"/>
          <w:sz w:val="24"/>
          <w:szCs w:val="24"/>
          <w:highlight w:val="none"/>
          <w:shd w:val="clear" w:color="auto" w:fill="FFFFFF"/>
          <w:lang w:eastAsia="zh-CN"/>
        </w:rPr>
        <w:t>。</w:t>
      </w:r>
    </w:p>
    <w:p w14:paraId="5EB576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Autospacing="0" w:after="0" w:afterLines="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37"/>
          <w:rFonts w:hint="eastAsia" w:ascii="宋体" w:hAnsi="宋体" w:eastAsia="宋体" w:cs="宋体"/>
          <w:b/>
          <w:bCs/>
          <w:i w:val="0"/>
          <w:iCs w:val="0"/>
          <w:caps w:val="0"/>
          <w:color w:val="333333"/>
          <w:spacing w:val="0"/>
          <w:sz w:val="24"/>
          <w:szCs w:val="24"/>
          <w:highlight w:val="none"/>
          <w:shd w:val="clear" w:color="auto" w:fill="FFFFFF"/>
        </w:rPr>
        <w:t>二、申请人的资格要求：</w:t>
      </w:r>
    </w:p>
    <w:p w14:paraId="33DA3198">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1.满足《中华人民共和国政府采购法》第二十二条规定;</w:t>
      </w:r>
    </w:p>
    <w:p w14:paraId="75CB4A52">
      <w:pPr>
        <w:pStyle w:val="62"/>
        <w:keepNext w:val="0"/>
        <w:keepLines w:val="0"/>
        <w:pageBreakBefore w:val="0"/>
        <w:widowControl w:val="0"/>
        <w:shd w:val="clear" w:color="auto" w:fill="auto"/>
        <w:kinsoku/>
        <w:wordWrap/>
        <w:overflowPunct/>
        <w:topLinePunct w:val="0"/>
        <w:autoSpaceDE/>
        <w:autoSpaceDN/>
        <w:bidi w:val="0"/>
        <w:adjustRightInd/>
        <w:snapToGrid w:val="0"/>
        <w:spacing w:line="480" w:lineRule="exact"/>
        <w:ind w:left="480" w:leftChars="240" w:firstLine="0" w:firstLineChars="0"/>
        <w:jc w:val="both"/>
        <w:textAlignment w:val="auto"/>
        <w:rPr>
          <w:rFonts w:hint="eastAsia" w:ascii="宋体" w:hAnsi="宋体" w:eastAsia="宋体" w:cs="宋体"/>
          <w:i w:val="0"/>
          <w:iCs w:val="0"/>
          <w:caps w:val="0"/>
          <w:color w:val="333333"/>
          <w:spacing w:val="0"/>
          <w:sz w:val="24"/>
          <w:szCs w:val="24"/>
          <w:highlight w:val="none"/>
          <w:shd w:val="clear" w:color="auto" w:fill="FFFFFF"/>
          <w:lang w:eastAsia="zh-CN"/>
        </w:rPr>
      </w:pPr>
      <w:r>
        <w:rPr>
          <w:rFonts w:hint="eastAsia" w:ascii="宋体" w:hAnsi="宋体" w:eastAsia="宋体" w:cs="宋体"/>
          <w:i w:val="0"/>
          <w:iCs w:val="0"/>
          <w:caps w:val="0"/>
          <w:color w:val="333333"/>
          <w:spacing w:val="0"/>
          <w:sz w:val="24"/>
          <w:szCs w:val="24"/>
          <w:highlight w:val="none"/>
          <w:shd w:val="clear" w:color="auto" w:fill="FFFFFF"/>
        </w:rPr>
        <w:t>2.落实政府采购政策需满足的资格要求：</w:t>
      </w:r>
    </w:p>
    <w:p w14:paraId="3EAC1C0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highlight w:val="none"/>
          <w:shd w:val="clear" w:color="auto" w:fill="FFFFFF"/>
          <w:lang w:val="en-US" w:eastAsia="zh-CN"/>
        </w:rPr>
        <w:t>本项目为非专门面向中小企业的项目</w:t>
      </w:r>
    </w:p>
    <w:p w14:paraId="02C6558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eastAsia="宋体" w:cs="宋体"/>
          <w:i w:val="0"/>
          <w:iCs w:val="0"/>
          <w:caps w:val="0"/>
          <w:color w:val="333333"/>
          <w:spacing w:val="0"/>
          <w:sz w:val="24"/>
          <w:szCs w:val="24"/>
          <w:highlight w:val="none"/>
          <w:shd w:val="clear" w:color="auto" w:fill="FFFFFF"/>
          <w:lang w:val="en-US" w:eastAsia="zh-CN"/>
        </w:rPr>
        <w:t>（1）</w:t>
      </w:r>
      <w:r>
        <w:rPr>
          <w:rFonts w:hint="eastAsia" w:ascii="宋体" w:hAnsi="宋体" w:eastAsia="宋体" w:cs="宋体"/>
          <w:i w:val="0"/>
          <w:iCs w:val="0"/>
          <w:caps w:val="0"/>
          <w:color w:val="333333"/>
          <w:spacing w:val="0"/>
          <w:sz w:val="24"/>
          <w:szCs w:val="24"/>
          <w:highlight w:val="none"/>
          <w:shd w:val="clear" w:color="auto" w:fill="FFFFFF"/>
          <w:lang w:val="en-US" w:eastAsia="zh-CN"/>
        </w:rPr>
        <w:t>《关于进一步加大政府采购支持中小企业力度的通知》（财库〔2022〕19 号）、《政府采购促进中小企业发展管理办法》（财库〔2020〕46 号）、《财政部 司法部关于政府采购支持监狱企业发展有关问题的通知》（财库〔2014〕68 号）、《关于促进残疾人就业政府采购政策的通知》（财库〔2017〕141 号）。</w:t>
      </w:r>
    </w:p>
    <w:p w14:paraId="35C2176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eastAsia="宋体" w:cs="宋体"/>
          <w:i w:val="0"/>
          <w:iCs w:val="0"/>
          <w:caps w:val="0"/>
          <w:color w:val="333333"/>
          <w:spacing w:val="0"/>
          <w:sz w:val="24"/>
          <w:szCs w:val="24"/>
          <w:highlight w:val="none"/>
          <w:shd w:val="clear" w:color="auto" w:fill="FFFFFF"/>
          <w:lang w:val="en-US" w:eastAsia="zh-CN"/>
        </w:rPr>
        <w:t>（2）</w:t>
      </w:r>
      <w:r>
        <w:rPr>
          <w:rFonts w:hint="eastAsia" w:ascii="宋体" w:hAnsi="宋体" w:eastAsia="宋体" w:cs="宋体"/>
          <w:i w:val="0"/>
          <w:iCs w:val="0"/>
          <w:caps w:val="0"/>
          <w:color w:val="333333"/>
          <w:spacing w:val="0"/>
          <w:sz w:val="24"/>
          <w:szCs w:val="24"/>
          <w:highlight w:val="none"/>
          <w:shd w:val="clear" w:color="auto" w:fill="FFFFFF"/>
          <w:lang w:val="en-US" w:eastAsia="zh-CN"/>
        </w:rPr>
        <w:t>《国务院办公厅关于建立政府强制采购节能产品制度的通知》（国办发〔2007〕251 号）、《财政部 发展改革委 生态环境部 市场监管总局关于调整优化节能产品、环境标志产品政府采购执行机制的通知》（财库〔2019〕9 号）、《关于印发环境标志产品政府采购品目清单的通知》（财库〔2019〕18 号）、《关于印发节能产品政府采购品目清单的通知》（财库〔2019〕19 号）。</w:t>
      </w:r>
    </w:p>
    <w:p w14:paraId="29AF3B3E">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eastAsia="宋体" w:cs="宋体"/>
          <w:i w:val="0"/>
          <w:iCs w:val="0"/>
          <w:caps w:val="0"/>
          <w:color w:val="333333"/>
          <w:spacing w:val="0"/>
          <w:sz w:val="24"/>
          <w:szCs w:val="24"/>
          <w:highlight w:val="none"/>
          <w:shd w:val="clear" w:color="auto" w:fill="FFFFFF"/>
          <w:lang w:val="en-US" w:eastAsia="zh-CN"/>
        </w:rPr>
        <w:t>（3）</w:t>
      </w:r>
      <w:r>
        <w:rPr>
          <w:rFonts w:hint="eastAsia" w:ascii="宋体" w:hAnsi="宋体" w:eastAsia="宋体" w:cs="宋体"/>
          <w:i w:val="0"/>
          <w:iCs w:val="0"/>
          <w:caps w:val="0"/>
          <w:color w:val="333333"/>
          <w:spacing w:val="0"/>
          <w:sz w:val="24"/>
          <w:szCs w:val="24"/>
          <w:highlight w:val="none"/>
          <w:shd w:val="clear" w:color="auto" w:fill="FFFFFF"/>
          <w:lang w:val="en-US" w:eastAsia="zh-CN"/>
        </w:rPr>
        <w:t>《关于运用政府采购政策支持乡村产业振兴的通知》（财库〔2021〕19 号）、《关于印发&lt;关于深入开展政府采购脱贫地区农副产品工作推进乡村产业振兴的实施意见&gt;的通知》（财库〔2021〕20 号）。</w:t>
      </w:r>
    </w:p>
    <w:p w14:paraId="7E75E13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eastAsia="宋体" w:cs="宋体"/>
          <w:i w:val="0"/>
          <w:iCs w:val="0"/>
          <w:caps w:val="0"/>
          <w:color w:val="333333"/>
          <w:spacing w:val="0"/>
          <w:sz w:val="24"/>
          <w:szCs w:val="24"/>
          <w:highlight w:val="none"/>
          <w:shd w:val="clear" w:color="auto" w:fill="FFFFFF"/>
          <w:lang w:val="en-US" w:eastAsia="zh-CN"/>
        </w:rPr>
        <w:t>（4）</w:t>
      </w:r>
      <w:r>
        <w:rPr>
          <w:rFonts w:hint="eastAsia" w:ascii="宋体" w:hAnsi="宋体" w:eastAsia="宋体" w:cs="宋体"/>
          <w:i w:val="0"/>
          <w:iCs w:val="0"/>
          <w:caps w:val="0"/>
          <w:color w:val="333333"/>
          <w:spacing w:val="0"/>
          <w:sz w:val="24"/>
          <w:szCs w:val="24"/>
          <w:highlight w:val="none"/>
          <w:shd w:val="clear" w:color="auto" w:fill="FFFFFF"/>
          <w:lang w:val="en-US" w:eastAsia="zh-CN"/>
        </w:rPr>
        <w:t>《国家互联网信息办公室 工业和信息化部 公安部 财政部 国家认证认可监督管理委员会关于调整网络安全专用产品安全管理有关事项的公告》（2023 年第 1 号）。</w:t>
      </w:r>
    </w:p>
    <w:p w14:paraId="776AF5E5">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eastAsia="宋体" w:cs="宋体"/>
          <w:i w:val="0"/>
          <w:iCs w:val="0"/>
          <w:caps w:val="0"/>
          <w:color w:val="333333"/>
          <w:spacing w:val="0"/>
          <w:sz w:val="24"/>
          <w:szCs w:val="24"/>
          <w:highlight w:val="none"/>
          <w:shd w:val="clear" w:color="auto" w:fill="FFFFFF"/>
          <w:lang w:val="en-US" w:eastAsia="zh-CN"/>
        </w:rPr>
        <w:t>（5）</w:t>
      </w:r>
      <w:r>
        <w:rPr>
          <w:rFonts w:hint="eastAsia" w:ascii="宋体" w:hAnsi="宋体" w:eastAsia="宋体" w:cs="宋体"/>
          <w:i w:val="0"/>
          <w:iCs w:val="0"/>
          <w:caps w:val="0"/>
          <w:color w:val="333333"/>
          <w:spacing w:val="0"/>
          <w:sz w:val="24"/>
          <w:szCs w:val="24"/>
          <w:highlight w:val="none"/>
          <w:shd w:val="clear" w:color="auto" w:fill="FFFFFF"/>
          <w:lang w:val="en-US" w:eastAsia="zh-CN"/>
        </w:rPr>
        <w:t>《陕西省财政厅关于加快推进我省中小企业政府采购信用融资工作的通知》（陕财办采〔2020〕15 号）、《陕西省财政厅关于印发&lt;陕西省中小企业政府采购信用融资办法&gt;的通知》（陕财办采〔2018〕23 号）。</w:t>
      </w:r>
    </w:p>
    <w:p w14:paraId="6B60AC5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eastAsia="宋体" w:cs="宋体"/>
          <w:i w:val="0"/>
          <w:iCs w:val="0"/>
          <w:caps w:val="0"/>
          <w:color w:val="333333"/>
          <w:spacing w:val="0"/>
          <w:sz w:val="24"/>
          <w:szCs w:val="24"/>
          <w:highlight w:val="none"/>
          <w:shd w:val="clear" w:color="auto" w:fill="FFFFFF"/>
          <w:lang w:val="en-US" w:eastAsia="zh-CN"/>
        </w:rPr>
        <w:t>（6）</w:t>
      </w:r>
      <w:r>
        <w:rPr>
          <w:rFonts w:hint="eastAsia" w:ascii="宋体" w:hAnsi="宋体" w:eastAsia="宋体" w:cs="宋体"/>
          <w:i w:val="0"/>
          <w:iCs w:val="0"/>
          <w:caps w:val="0"/>
          <w:color w:val="333333"/>
          <w:spacing w:val="0"/>
          <w:sz w:val="24"/>
          <w:szCs w:val="24"/>
          <w:highlight w:val="none"/>
          <w:shd w:val="clear" w:color="auto" w:fill="FFFFFF"/>
          <w:lang w:val="en-US" w:eastAsia="zh-CN"/>
        </w:rPr>
        <w:t>《关于扩大政府采购支持绿色建材促进建筑品质提升政策实施范围的通知》（财库〔2022〕35 号）、《财政部办公厅 住房城乡建设部办公厅 工业和信息化部办公厅关于印发&lt;政府采购支持绿色建材促进建筑品质提升政策项目实施指南&gt;的通知》（ 财办库〔2023〕52 号）。若享受以上政策优惠的企业，提供相应声明函或品目清单范围内产品的有效认证证书或相关证明。</w:t>
      </w:r>
    </w:p>
    <w:p w14:paraId="5D932A7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3.本项目的特定资格要求：</w:t>
      </w:r>
    </w:p>
    <w:p w14:paraId="3C1B792E">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1）具有独立承担民事责任的能力：提供具有独立承担民事责任能力的法人或其他组织，提供合法有效的营业执照、税务登记证、组织机构代码证（三证合一的企业提供统一社会信用代码的营业执照）（原件的复印件加盖公章）</w:t>
      </w:r>
    </w:p>
    <w:p w14:paraId="6019E163">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2）具有良好的商业信誉和健全的财务会计制度：提供具有财务审计资质单位出具的2024年度审计报告或提供供应商基本存款账户信息及开标日期前90日内其基本存款账户开户银行出具的资信证明。以上形式的证明资料提供任何一种即可。</w:t>
      </w:r>
    </w:p>
    <w:p w14:paraId="5EB98B73">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（3）具有履行合同所必需的设备和专业技术能力：出具履行合同所必需的设备和专业技术能力的书面声明。</w:t>
      </w:r>
    </w:p>
    <w:p w14:paraId="1038C726">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4）有依法缴纳税收和社会保障资金的良好记录：①投标供应商近六个月内（投标截止时间前）任意1个月纳税证明材料：根据税务部门出具的完税凭证或纳税的银行转账汇款单、对账单等判定，如依法免税或不需要纳税的，提供相应证明材料。②投标供应商近六个月内（投标截止时间前）任意1个月缴纳社会保障金证明材料：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p w14:paraId="19BF3390">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5）参加政府采购活动前三年内，在经营活动中没有重大违法记录：不得为“信用中国”网站(http：//www.creditchina.gov.cn)列入“失信被执行人或重大税收违法失信主体或政府采购严重违法失信行为记录名单”的供应商；不得为中国政府采购网(http：//www.ccgp.gov.cn)“政府采购严重违法失信行为记录名单”中的供应商；</w:t>
      </w:r>
    </w:p>
    <w:p w14:paraId="7AA1876D">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（6）法律、行政法规规定的其他条件：供应商满足法律、行政法规规定的其他条件的书面声明。</w:t>
      </w:r>
    </w:p>
    <w:p w14:paraId="70113005">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7）法定代表人身份证明或法定代表人授权委托书：供应商应授权合法的人员参加投标全过程，其中法定代表人直接参加投标的，须出具法人身份证，并与营业执照上信息一致。法定代表人授权代表参加投标的，须出具法定代表人授权书及授权代表身份证、授权代表在投标前6个月内（不含投标当月）任意3个月由供应商缴纳社保证明材料的复印件</w:t>
      </w:r>
    </w:p>
    <w:p w14:paraId="72BBF90A">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（8）关联关系：本项目不接受由西安市红会医院职工及其亲属投资举办的企业参加投标，且单位负责人为同一人或者存在控股、管理关系的不同供应商，不得同时参加本项目采购活动(提供承诺函)</w:t>
      </w:r>
    </w:p>
    <w:p w14:paraId="0FF0AB7D">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9）企业资质：供应商为生产企业的，提供医疗器械生产许可证、医疗器械注册证或备案凭证；供应商为代理销售企业的，须提供①生产企业的医疗器械生产许可证、医疗器械注册证或备案凭证，且须提供②供应商的医疗器械经营许可证或经营备案凭证，提供③产品来源渠道证明；</w:t>
      </w:r>
    </w:p>
    <w:p w14:paraId="04F9065E">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（10）本项目不接受联合体谈判</w:t>
      </w:r>
      <w:r>
        <w:rPr>
          <w:rFonts w:hint="eastAsia" w:ascii="宋体" w:hAnsi="宋体" w:eastAsia="宋体" w:cs="宋体"/>
          <w:color w:val="auto"/>
          <w:sz w:val="24"/>
          <w:szCs w:val="24"/>
          <w:highlight w:val="none"/>
          <w:lang w:val="en-US" w:eastAsia="zh-CN"/>
        </w:rPr>
        <w:t>（提供承诺书）</w:t>
      </w:r>
      <w:r>
        <w:rPr>
          <w:rFonts w:hint="eastAsia" w:ascii="宋体" w:hAnsi="宋体" w:eastAsia="宋体" w:cs="宋体"/>
          <w:i w:val="0"/>
          <w:iCs w:val="0"/>
          <w:caps w:val="0"/>
          <w:color w:val="000000"/>
          <w:spacing w:val="0"/>
          <w:sz w:val="24"/>
          <w:szCs w:val="24"/>
          <w:highlight w:val="none"/>
          <w:shd w:val="clear" w:color="auto" w:fill="FFFFFF"/>
          <w:lang w:val="en-US" w:eastAsia="zh-CN"/>
        </w:rPr>
        <w:t>。</w:t>
      </w:r>
    </w:p>
    <w:p w14:paraId="73E6E3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Autospacing="0" w:after="0" w:afterLines="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37"/>
          <w:rFonts w:hint="eastAsia" w:ascii="宋体" w:hAnsi="宋体" w:eastAsia="宋体" w:cs="宋体"/>
          <w:b/>
          <w:bCs/>
          <w:i w:val="0"/>
          <w:iCs w:val="0"/>
          <w:caps w:val="0"/>
          <w:color w:val="333333"/>
          <w:spacing w:val="0"/>
          <w:sz w:val="24"/>
          <w:szCs w:val="24"/>
          <w:highlight w:val="none"/>
          <w:shd w:val="clear" w:color="auto" w:fill="FFFFFF"/>
        </w:rPr>
        <w:t>三、获取采购文件</w:t>
      </w:r>
    </w:p>
    <w:p w14:paraId="199184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1.时间：</w:t>
      </w:r>
      <w:r>
        <w:rPr>
          <w:rFonts w:hint="eastAsia" w:ascii="宋体" w:hAnsi="宋体" w:cs="宋体"/>
          <w:i w:val="0"/>
          <w:iCs w:val="0"/>
          <w:caps w:val="0"/>
          <w:color w:val="000000"/>
          <w:spacing w:val="0"/>
          <w:sz w:val="24"/>
          <w:szCs w:val="24"/>
          <w:highlight w:val="none"/>
          <w:shd w:val="clear" w:color="auto" w:fill="FFFFFF"/>
          <w:lang w:eastAsia="zh-CN"/>
        </w:rPr>
        <w:t>2026年01月07日至2026年01月09日</w:t>
      </w:r>
      <w:r>
        <w:rPr>
          <w:rFonts w:hint="eastAsia" w:ascii="宋体" w:hAnsi="宋体" w:eastAsia="宋体" w:cs="宋体"/>
          <w:i w:val="0"/>
          <w:iCs w:val="0"/>
          <w:caps w:val="0"/>
          <w:color w:val="000000"/>
          <w:spacing w:val="0"/>
          <w:sz w:val="24"/>
          <w:szCs w:val="24"/>
          <w:highlight w:val="none"/>
          <w:shd w:val="clear" w:color="auto" w:fill="FFFFFF"/>
        </w:rPr>
        <w:t>，每天上午09:00:00至12:00:00，下午14:00:00至17:00:00（北京时间）</w:t>
      </w:r>
    </w:p>
    <w:p w14:paraId="647C56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2.发售地点：网上发售</w:t>
      </w:r>
    </w:p>
    <w:p w14:paraId="6B4BCC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3.领招标文件时需提供以下材料：</w:t>
      </w:r>
    </w:p>
    <w:p w14:paraId="0F24F3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lang w:val="en-US" w:eastAsia="zh-CN"/>
        </w:rPr>
        <w:t>1</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单位介绍信</w:t>
      </w:r>
    </w:p>
    <w:p w14:paraId="7B9CB4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本人身份证复印件加盖公章</w:t>
      </w:r>
    </w:p>
    <w:p w14:paraId="304465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4.申领方式</w:t>
      </w:r>
    </w:p>
    <w:p w14:paraId="11E9BD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邮箱发送。投标人采取发送电子邮件方式提交报名材料，邮件主题：项目名称+公司名称；邮件内容：列明公司名称、法定代表人或授权代表人姓名及联系方式；邮件附件：将单位介绍信及本人身份证复印件加盖公章扫描发送至邮箱</w:t>
      </w:r>
      <w:r>
        <w:rPr>
          <w:rFonts w:hint="default" w:ascii="Times New Roman" w:hAnsi="Times New Roman" w:cs="Times New Roman" w:eastAsiaTheme="majorEastAsia"/>
          <w:i w:val="0"/>
          <w:iCs w:val="0"/>
          <w:caps w:val="0"/>
          <w:color w:val="000000"/>
          <w:spacing w:val="0"/>
          <w:sz w:val="24"/>
          <w:szCs w:val="24"/>
          <w:highlight w:val="none"/>
          <w:shd w:val="clear" w:color="auto" w:fill="FFFFFF"/>
        </w:rPr>
        <w:fldChar w:fldCharType="begin"/>
      </w:r>
      <w:r>
        <w:rPr>
          <w:rFonts w:hint="default" w:ascii="Times New Roman" w:hAnsi="Times New Roman" w:cs="Times New Roman" w:eastAsiaTheme="majorEastAsia"/>
          <w:i w:val="0"/>
          <w:iCs w:val="0"/>
          <w:caps w:val="0"/>
          <w:color w:val="000000"/>
          <w:spacing w:val="0"/>
          <w:sz w:val="24"/>
          <w:szCs w:val="24"/>
          <w:highlight w:val="none"/>
          <w:shd w:val="clear" w:color="auto" w:fill="FFFFFF"/>
        </w:rPr>
        <w:instrText xml:space="preserve"> HYPERLINK "mailto:799589323@qq.com。" </w:instrText>
      </w:r>
      <w:r>
        <w:rPr>
          <w:rFonts w:hint="default" w:ascii="Times New Roman" w:hAnsi="Times New Roman" w:cs="Times New Roman" w:eastAsiaTheme="majorEastAsia"/>
          <w:i w:val="0"/>
          <w:iCs w:val="0"/>
          <w:caps w:val="0"/>
          <w:color w:val="000000"/>
          <w:spacing w:val="0"/>
          <w:sz w:val="24"/>
          <w:szCs w:val="24"/>
          <w:highlight w:val="none"/>
          <w:shd w:val="clear" w:color="auto" w:fill="FFFFFF"/>
        </w:rPr>
        <w:fldChar w:fldCharType="separate"/>
      </w:r>
      <w:r>
        <w:rPr>
          <w:rStyle w:val="41"/>
          <w:rFonts w:hint="default" w:ascii="Times New Roman" w:hAnsi="Times New Roman" w:cs="Times New Roman" w:eastAsiaTheme="majorEastAsia"/>
          <w:i w:val="0"/>
          <w:iCs w:val="0"/>
          <w:caps w:val="0"/>
          <w:spacing w:val="0"/>
          <w:sz w:val="24"/>
          <w:szCs w:val="24"/>
          <w:highlight w:val="none"/>
          <w:shd w:val="clear" w:color="auto" w:fill="FFFFFF"/>
        </w:rPr>
        <w:t>799589323</w:t>
      </w:r>
      <w:r>
        <w:rPr>
          <w:rStyle w:val="41"/>
          <w:rFonts w:hint="default" w:ascii="Times New Roman" w:hAnsi="Times New Roman" w:cs="Times New Roman" w:eastAsiaTheme="majorEastAsia"/>
          <w:i w:val="0"/>
          <w:iCs w:val="0"/>
          <w:caps w:val="0"/>
          <w:spacing w:val="0"/>
          <w:sz w:val="24"/>
          <w:szCs w:val="24"/>
          <w:highlight w:val="none"/>
          <w:shd w:val="clear" w:color="auto" w:fill="FFFFFF"/>
          <w:lang w:val="en-US" w:eastAsia="zh-CN"/>
        </w:rPr>
        <w:t>@</w:t>
      </w:r>
      <w:r>
        <w:rPr>
          <w:rStyle w:val="41"/>
          <w:rFonts w:hint="eastAsia" w:ascii="Times New Roman" w:hAnsi="Times New Roman" w:cs="Times New Roman" w:eastAsiaTheme="majorEastAsia"/>
          <w:i w:val="0"/>
          <w:iCs w:val="0"/>
          <w:caps w:val="0"/>
          <w:spacing w:val="0"/>
          <w:sz w:val="24"/>
          <w:szCs w:val="24"/>
          <w:highlight w:val="none"/>
          <w:shd w:val="clear" w:color="auto" w:fill="FFFFFF"/>
          <w:lang w:val="en-US" w:eastAsia="zh-CN"/>
        </w:rPr>
        <w:t>qq.com</w:t>
      </w:r>
      <w:r>
        <w:rPr>
          <w:rStyle w:val="41"/>
          <w:rFonts w:hint="default" w:ascii="Times New Roman" w:hAnsi="Times New Roman" w:cs="Times New Roman" w:eastAsiaTheme="majorEastAsia"/>
          <w:i w:val="0"/>
          <w:iCs w:val="0"/>
          <w:caps w:val="0"/>
          <w:spacing w:val="0"/>
          <w:sz w:val="24"/>
          <w:szCs w:val="24"/>
          <w:highlight w:val="none"/>
          <w:shd w:val="clear" w:color="auto" w:fill="FFFFFF"/>
        </w:rPr>
        <w:t>。</w:t>
      </w:r>
      <w:r>
        <w:rPr>
          <w:rFonts w:hint="default" w:ascii="Times New Roman" w:hAnsi="Times New Roman" w:cs="Times New Roman" w:eastAsiaTheme="majorEastAsia"/>
          <w:i w:val="0"/>
          <w:iCs w:val="0"/>
          <w:caps w:val="0"/>
          <w:color w:val="000000"/>
          <w:spacing w:val="0"/>
          <w:sz w:val="24"/>
          <w:szCs w:val="24"/>
          <w:highlight w:val="none"/>
          <w:shd w:val="clear" w:color="auto" w:fill="FFFFFF"/>
        </w:rPr>
        <w:fldChar w:fldCharType="end"/>
      </w:r>
    </w:p>
    <w:p w14:paraId="3E58DE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Autospacing="0" w:after="0" w:afterLines="0" w:afterAutospacing="0" w:line="480" w:lineRule="exact"/>
        <w:ind w:left="0" w:right="0" w:firstLine="0"/>
        <w:jc w:val="left"/>
        <w:textAlignment w:val="auto"/>
        <w:rPr>
          <w:rFonts w:hint="eastAsia" w:ascii="宋体" w:hAnsi="宋体" w:eastAsia="宋体" w:cs="宋体"/>
          <w:b w:val="0"/>
          <w:bCs w:val="0"/>
          <w:i w:val="0"/>
          <w:iCs w:val="0"/>
          <w:caps w:val="0"/>
          <w:color w:val="000000"/>
          <w:spacing w:val="0"/>
          <w:sz w:val="24"/>
          <w:szCs w:val="24"/>
          <w:highlight w:val="none"/>
        </w:rPr>
      </w:pPr>
      <w:r>
        <w:rPr>
          <w:rStyle w:val="37"/>
          <w:rFonts w:hint="eastAsia" w:ascii="宋体" w:hAnsi="宋体" w:eastAsia="宋体" w:cs="宋体"/>
          <w:b/>
          <w:bCs/>
          <w:i w:val="0"/>
          <w:iCs w:val="0"/>
          <w:caps w:val="0"/>
          <w:color w:val="000000"/>
          <w:spacing w:val="0"/>
          <w:sz w:val="24"/>
          <w:szCs w:val="24"/>
          <w:highlight w:val="none"/>
          <w:shd w:val="clear" w:color="auto" w:fill="FFFFFF"/>
        </w:rPr>
        <w:t>四、响应文件提交</w:t>
      </w:r>
    </w:p>
    <w:p w14:paraId="4C173DB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截止时间：</w:t>
      </w:r>
      <w:r>
        <w:rPr>
          <w:rFonts w:hint="eastAsia" w:cs="宋体"/>
          <w:i w:val="0"/>
          <w:iCs w:val="0"/>
          <w:caps w:val="0"/>
          <w:color w:val="000000"/>
          <w:spacing w:val="0"/>
          <w:sz w:val="24"/>
          <w:szCs w:val="24"/>
          <w:highlight w:val="none"/>
          <w:shd w:val="clear" w:color="auto" w:fill="FFFFFF"/>
          <w:lang w:eastAsia="zh-CN"/>
        </w:rPr>
        <w:t>2026年01月16日14时30分00秒</w:t>
      </w:r>
      <w:r>
        <w:rPr>
          <w:rFonts w:hint="eastAsia" w:ascii="宋体" w:hAnsi="宋体" w:eastAsia="宋体" w:cs="宋体"/>
          <w:i w:val="0"/>
          <w:iCs w:val="0"/>
          <w:caps w:val="0"/>
          <w:color w:val="000000"/>
          <w:spacing w:val="0"/>
          <w:sz w:val="24"/>
          <w:szCs w:val="24"/>
          <w:highlight w:val="none"/>
          <w:shd w:val="clear" w:color="auto" w:fill="FFFFFF"/>
        </w:rPr>
        <w:t>（北京时间）</w:t>
      </w:r>
    </w:p>
    <w:p w14:paraId="2C0748E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地点：</w:t>
      </w:r>
      <w:r>
        <w:rPr>
          <w:rFonts w:hint="eastAsia" w:eastAsia="宋体" w:cs="宋体"/>
          <w:i w:val="0"/>
          <w:iCs w:val="0"/>
          <w:caps w:val="0"/>
          <w:color w:val="000000"/>
          <w:spacing w:val="0"/>
          <w:sz w:val="24"/>
          <w:szCs w:val="24"/>
          <w:highlight w:val="none"/>
          <w:shd w:val="clear" w:color="auto" w:fill="FFFFFF"/>
          <w:lang w:eastAsia="zh-CN"/>
        </w:rPr>
        <w:t>陕西省西安市高新区丈八五路高科尚都ONE尚城A座10F</w:t>
      </w:r>
      <w:r>
        <w:rPr>
          <w:rFonts w:hint="eastAsia" w:ascii="宋体" w:hAnsi="宋体" w:eastAsia="宋体" w:cs="宋体"/>
          <w:i w:val="0"/>
          <w:iCs w:val="0"/>
          <w:caps w:val="0"/>
          <w:color w:val="000000"/>
          <w:spacing w:val="0"/>
          <w:sz w:val="24"/>
          <w:szCs w:val="24"/>
          <w:highlight w:val="none"/>
          <w:shd w:val="clear" w:color="auto" w:fill="FFFFFF"/>
        </w:rPr>
        <w:t>会议室</w:t>
      </w:r>
    </w:p>
    <w:p w14:paraId="47CD0B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Autospacing="0" w:after="0" w:afterLines="0" w:afterAutospacing="0" w:line="480" w:lineRule="exact"/>
        <w:ind w:left="0" w:right="0" w:firstLine="0"/>
        <w:jc w:val="left"/>
        <w:textAlignment w:val="auto"/>
        <w:rPr>
          <w:rFonts w:hint="eastAsia" w:ascii="宋体" w:hAnsi="宋体" w:eastAsia="宋体" w:cs="宋体"/>
          <w:b w:val="0"/>
          <w:bCs w:val="0"/>
          <w:i w:val="0"/>
          <w:iCs w:val="0"/>
          <w:caps w:val="0"/>
          <w:color w:val="000000"/>
          <w:spacing w:val="0"/>
          <w:sz w:val="24"/>
          <w:szCs w:val="24"/>
          <w:highlight w:val="none"/>
        </w:rPr>
      </w:pPr>
      <w:r>
        <w:rPr>
          <w:rStyle w:val="37"/>
          <w:rFonts w:hint="eastAsia" w:ascii="宋体" w:hAnsi="宋体" w:eastAsia="宋体" w:cs="宋体"/>
          <w:b/>
          <w:bCs/>
          <w:i w:val="0"/>
          <w:iCs w:val="0"/>
          <w:caps w:val="0"/>
          <w:color w:val="000000"/>
          <w:spacing w:val="0"/>
          <w:sz w:val="24"/>
          <w:szCs w:val="24"/>
          <w:highlight w:val="none"/>
          <w:shd w:val="clear" w:color="auto" w:fill="FFFFFF"/>
        </w:rPr>
        <w:t>五、开启</w:t>
      </w:r>
    </w:p>
    <w:p w14:paraId="220D097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时间：</w:t>
      </w:r>
      <w:r>
        <w:rPr>
          <w:rFonts w:hint="eastAsia" w:cs="宋体"/>
          <w:i w:val="0"/>
          <w:iCs w:val="0"/>
          <w:caps w:val="0"/>
          <w:color w:val="000000"/>
          <w:spacing w:val="0"/>
          <w:sz w:val="24"/>
          <w:szCs w:val="24"/>
          <w:highlight w:val="none"/>
          <w:shd w:val="clear" w:color="auto" w:fill="FFFFFF"/>
          <w:lang w:eastAsia="zh-CN"/>
        </w:rPr>
        <w:t>2026年01月16日14时30分00秒</w:t>
      </w:r>
      <w:r>
        <w:rPr>
          <w:rFonts w:hint="eastAsia" w:ascii="宋体" w:hAnsi="宋体" w:eastAsia="宋体" w:cs="宋体"/>
          <w:i w:val="0"/>
          <w:iCs w:val="0"/>
          <w:caps w:val="0"/>
          <w:color w:val="000000"/>
          <w:spacing w:val="0"/>
          <w:sz w:val="24"/>
          <w:szCs w:val="24"/>
          <w:highlight w:val="none"/>
          <w:shd w:val="clear" w:color="auto" w:fill="FFFFFF"/>
        </w:rPr>
        <w:t>（北京时间）</w:t>
      </w:r>
    </w:p>
    <w:p w14:paraId="3DA5576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地点：</w:t>
      </w:r>
      <w:r>
        <w:rPr>
          <w:rFonts w:hint="eastAsia" w:eastAsia="宋体" w:cs="宋体"/>
          <w:i w:val="0"/>
          <w:iCs w:val="0"/>
          <w:caps w:val="0"/>
          <w:color w:val="000000"/>
          <w:spacing w:val="0"/>
          <w:sz w:val="24"/>
          <w:szCs w:val="24"/>
          <w:highlight w:val="none"/>
          <w:shd w:val="clear" w:color="auto" w:fill="FFFFFF"/>
          <w:lang w:eastAsia="zh-CN"/>
        </w:rPr>
        <w:t>陕西省西安市高新区丈八五路高科尚都ONE尚城A座10F</w:t>
      </w:r>
      <w:r>
        <w:rPr>
          <w:rFonts w:hint="eastAsia" w:ascii="宋体" w:hAnsi="宋体" w:eastAsia="宋体" w:cs="宋体"/>
          <w:i w:val="0"/>
          <w:iCs w:val="0"/>
          <w:caps w:val="0"/>
          <w:color w:val="000000"/>
          <w:spacing w:val="0"/>
          <w:sz w:val="24"/>
          <w:szCs w:val="24"/>
          <w:highlight w:val="none"/>
          <w:shd w:val="clear" w:color="auto" w:fill="FFFFFF"/>
        </w:rPr>
        <w:t>会议室</w:t>
      </w:r>
    </w:p>
    <w:p w14:paraId="2059A1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Autospacing="0" w:after="0" w:afterLines="0" w:afterAutospacing="0" w:line="480" w:lineRule="exact"/>
        <w:ind w:left="0" w:right="0" w:firstLine="0"/>
        <w:jc w:val="left"/>
        <w:textAlignment w:val="auto"/>
        <w:rPr>
          <w:rFonts w:hint="eastAsia" w:ascii="宋体" w:hAnsi="宋体" w:eastAsia="宋体" w:cs="宋体"/>
          <w:b w:val="0"/>
          <w:bCs w:val="0"/>
          <w:i w:val="0"/>
          <w:iCs w:val="0"/>
          <w:caps w:val="0"/>
          <w:color w:val="000000"/>
          <w:spacing w:val="0"/>
          <w:sz w:val="24"/>
          <w:szCs w:val="24"/>
          <w:highlight w:val="none"/>
        </w:rPr>
      </w:pPr>
      <w:r>
        <w:rPr>
          <w:rStyle w:val="37"/>
          <w:rFonts w:hint="eastAsia" w:ascii="宋体" w:hAnsi="宋体" w:eastAsia="宋体" w:cs="宋体"/>
          <w:b/>
          <w:bCs/>
          <w:i w:val="0"/>
          <w:iCs w:val="0"/>
          <w:caps w:val="0"/>
          <w:color w:val="000000"/>
          <w:spacing w:val="0"/>
          <w:sz w:val="24"/>
          <w:szCs w:val="24"/>
          <w:highlight w:val="none"/>
          <w:shd w:val="clear" w:color="auto" w:fill="FFFFFF"/>
        </w:rPr>
        <w:t>六、公告期限</w:t>
      </w:r>
    </w:p>
    <w:p w14:paraId="2FB698F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自本公告发布之日起3个工作日。</w:t>
      </w:r>
    </w:p>
    <w:p w14:paraId="15AE60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Autospacing="0" w:after="0" w:afterLines="0" w:afterAutospacing="0" w:line="480" w:lineRule="exact"/>
        <w:ind w:left="0" w:right="0" w:firstLine="0"/>
        <w:jc w:val="left"/>
        <w:textAlignment w:val="auto"/>
        <w:rPr>
          <w:rStyle w:val="37"/>
          <w:rFonts w:hint="eastAsia" w:ascii="宋体" w:hAnsi="宋体" w:eastAsia="宋体" w:cs="宋体"/>
          <w:b/>
          <w:bCs/>
          <w:i w:val="0"/>
          <w:iCs w:val="0"/>
          <w:caps w:val="0"/>
          <w:smallCaps/>
          <w:color w:val="000000"/>
          <w:spacing w:val="0"/>
          <w:sz w:val="24"/>
          <w:szCs w:val="24"/>
          <w:highlight w:val="none"/>
          <w:shd w:val="clear" w:color="auto" w:fill="FFFFFF"/>
        </w:rPr>
      </w:pPr>
      <w:r>
        <w:rPr>
          <w:rStyle w:val="37"/>
          <w:rFonts w:hint="eastAsia" w:ascii="宋体" w:hAnsi="宋体" w:eastAsia="宋体" w:cs="宋体"/>
          <w:b/>
          <w:bCs/>
          <w:i w:val="0"/>
          <w:iCs w:val="0"/>
          <w:caps w:val="0"/>
          <w:smallCaps/>
          <w:color w:val="000000"/>
          <w:spacing w:val="0"/>
          <w:sz w:val="24"/>
          <w:szCs w:val="24"/>
          <w:highlight w:val="none"/>
          <w:shd w:val="clear" w:color="auto" w:fill="FFFFFF"/>
          <w:lang w:val="en-US" w:eastAsia="zh-CN"/>
        </w:rPr>
        <w:t>七、</w:t>
      </w:r>
      <w:r>
        <w:rPr>
          <w:rStyle w:val="37"/>
          <w:rFonts w:hint="eastAsia" w:ascii="宋体" w:hAnsi="宋体" w:eastAsia="宋体" w:cs="宋体"/>
          <w:b/>
          <w:bCs/>
          <w:i w:val="0"/>
          <w:iCs w:val="0"/>
          <w:caps w:val="0"/>
          <w:smallCaps/>
          <w:color w:val="000000"/>
          <w:spacing w:val="0"/>
          <w:sz w:val="24"/>
          <w:szCs w:val="24"/>
          <w:highlight w:val="none"/>
          <w:shd w:val="clear" w:color="auto" w:fill="FFFFFF"/>
        </w:rPr>
        <w:t>其他补充事宜</w:t>
      </w:r>
    </w:p>
    <w:p w14:paraId="0BA967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smallCaps w:val="0"/>
          <w:color w:val="000000"/>
          <w:spacing w:val="0"/>
          <w:kern w:val="0"/>
          <w:sz w:val="24"/>
          <w:szCs w:val="24"/>
          <w:highlight w:val="none"/>
          <w:shd w:val="clear" w:color="auto" w:fill="FFFFFF"/>
          <w:lang w:val="en-US" w:eastAsia="zh-CN"/>
        </w:rPr>
      </w:pPr>
      <w:r>
        <w:rPr>
          <w:rFonts w:hint="eastAsia" w:ascii="宋体" w:hAnsi="宋体" w:eastAsia="宋体" w:cs="宋体"/>
          <w:i w:val="0"/>
          <w:iCs w:val="0"/>
          <w:caps w:val="0"/>
          <w:smallCaps w:val="0"/>
          <w:color w:val="000000"/>
          <w:spacing w:val="0"/>
          <w:kern w:val="0"/>
          <w:sz w:val="24"/>
          <w:szCs w:val="24"/>
          <w:highlight w:val="none"/>
          <w:shd w:val="clear" w:color="auto" w:fill="FFFFFF"/>
          <w:lang w:val="en-US" w:eastAsia="zh-CN"/>
        </w:rPr>
        <w:t>1.请供应商按照陕西省财政厅关于政府采购供应商注册登记有关事项的通知中的要求，通过陕西省政府采购网注册登记加入陕西省政府采购供应商库。</w:t>
      </w:r>
    </w:p>
    <w:p w14:paraId="30BE5E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smallCaps w:val="0"/>
          <w:color w:val="000000"/>
          <w:spacing w:val="0"/>
          <w:kern w:val="0"/>
          <w:sz w:val="24"/>
          <w:szCs w:val="24"/>
          <w:highlight w:val="none"/>
          <w:shd w:val="clear" w:color="auto" w:fill="FFFFFF"/>
          <w:lang w:val="en-US" w:eastAsia="zh-CN"/>
        </w:rPr>
      </w:pPr>
      <w:r>
        <w:rPr>
          <w:rFonts w:hint="eastAsia" w:ascii="宋体" w:hAnsi="宋体" w:eastAsia="宋体" w:cs="宋体"/>
          <w:i w:val="0"/>
          <w:iCs w:val="0"/>
          <w:caps w:val="0"/>
          <w:smallCaps w:val="0"/>
          <w:color w:val="000000"/>
          <w:spacing w:val="0"/>
          <w:kern w:val="0"/>
          <w:sz w:val="24"/>
          <w:szCs w:val="24"/>
          <w:highlight w:val="none"/>
          <w:shd w:val="clear" w:color="auto" w:fill="FFFFFF"/>
          <w:lang w:val="en-US" w:eastAsia="zh-CN"/>
        </w:rPr>
        <w:t>2.逾期送达或者未送达指定地点的响应文件，采购人不予受理。</w:t>
      </w:r>
    </w:p>
    <w:p w14:paraId="583B56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val="0"/>
        <w:spacing w:beforeAutospacing="0" w:after="0" w:afterLines="0" w:afterAutospacing="0" w:line="480" w:lineRule="exact"/>
        <w:ind w:left="0" w:right="0" w:firstLine="480" w:firstLineChars="200"/>
        <w:jc w:val="left"/>
        <w:textAlignment w:val="auto"/>
        <w:rPr>
          <w:rFonts w:hint="eastAsia" w:ascii="宋体" w:hAnsi="宋体" w:eastAsia="宋体" w:cs="宋体"/>
          <w:i w:val="0"/>
          <w:iCs w:val="0"/>
          <w:caps w:val="0"/>
          <w:smallCaps w:val="0"/>
          <w:color w:val="000000"/>
          <w:spacing w:val="0"/>
          <w:kern w:val="0"/>
          <w:sz w:val="24"/>
          <w:szCs w:val="24"/>
          <w:highlight w:val="none"/>
          <w:shd w:val="clear" w:color="auto" w:fill="FFFFFF"/>
        </w:rPr>
      </w:pPr>
      <w:r>
        <w:rPr>
          <w:rFonts w:hint="eastAsia" w:ascii="宋体" w:hAnsi="宋体" w:eastAsia="宋体" w:cs="宋体"/>
          <w:i w:val="0"/>
          <w:iCs w:val="0"/>
          <w:caps w:val="0"/>
          <w:smallCaps w:val="0"/>
          <w:color w:val="000000"/>
          <w:spacing w:val="0"/>
          <w:kern w:val="0"/>
          <w:sz w:val="24"/>
          <w:szCs w:val="24"/>
          <w:highlight w:val="none"/>
          <w:shd w:val="clear" w:color="auto" w:fill="FFFFFF"/>
          <w:lang w:val="en-US" w:eastAsia="zh-CN"/>
        </w:rPr>
        <w:t>3.本项目在陕西省政府采购网以公告形式发布</w:t>
      </w:r>
      <w:r>
        <w:rPr>
          <w:rFonts w:hint="eastAsia" w:ascii="宋体" w:hAnsi="宋体" w:eastAsia="宋体" w:cs="宋体"/>
          <w:i w:val="0"/>
          <w:iCs w:val="0"/>
          <w:caps w:val="0"/>
          <w:smallCaps w:val="0"/>
          <w:color w:val="000000"/>
          <w:spacing w:val="0"/>
          <w:kern w:val="0"/>
          <w:sz w:val="24"/>
          <w:szCs w:val="24"/>
          <w:highlight w:val="none"/>
          <w:shd w:val="clear" w:color="auto" w:fill="FFFFFF"/>
        </w:rPr>
        <w:t>。</w:t>
      </w:r>
    </w:p>
    <w:p w14:paraId="0BD8B3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napToGrid w:val="0"/>
        <w:spacing w:beforeAutospacing="0" w:after="0" w:afterLines="0" w:afterAutospacing="0" w:line="480" w:lineRule="exact"/>
        <w:ind w:left="0" w:right="0" w:firstLine="0"/>
        <w:jc w:val="left"/>
        <w:textAlignment w:val="auto"/>
        <w:rPr>
          <w:rFonts w:hint="eastAsia" w:ascii="宋体" w:hAnsi="宋体" w:eastAsia="宋体" w:cs="宋体"/>
          <w:b w:val="0"/>
          <w:bCs w:val="0"/>
          <w:i w:val="0"/>
          <w:iCs w:val="0"/>
          <w:caps w:val="0"/>
          <w:color w:val="000000"/>
          <w:spacing w:val="0"/>
          <w:sz w:val="24"/>
          <w:szCs w:val="24"/>
          <w:highlight w:val="none"/>
        </w:rPr>
      </w:pPr>
      <w:r>
        <w:rPr>
          <w:rStyle w:val="37"/>
          <w:rFonts w:hint="eastAsia" w:ascii="宋体" w:hAnsi="宋体" w:eastAsia="宋体" w:cs="宋体"/>
          <w:b/>
          <w:bCs/>
          <w:i w:val="0"/>
          <w:iCs w:val="0"/>
          <w:caps w:val="0"/>
          <w:color w:val="000000"/>
          <w:spacing w:val="0"/>
          <w:sz w:val="24"/>
          <w:szCs w:val="24"/>
          <w:highlight w:val="none"/>
          <w:shd w:val="clear" w:color="auto" w:fill="FFFFFF"/>
        </w:rPr>
        <w:t>八、对本次招标提出询问，请按以下方式联系。</w:t>
      </w:r>
    </w:p>
    <w:p w14:paraId="3A7B50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before="0" w:beforeLines="0" w:beforeAutospacing="0" w:after="0" w:afterLines="0" w:afterAutospacing="0" w:line="480" w:lineRule="exact"/>
        <w:ind w:left="0" w:right="0" w:firstLine="0"/>
        <w:jc w:val="left"/>
        <w:textAlignment w:val="auto"/>
        <w:rPr>
          <w:rFonts w:hint="eastAsia" w:ascii="宋体" w:hAnsi="宋体" w:eastAsia="宋体" w:cs="宋体"/>
          <w:b w:val="0"/>
          <w:bCs w:val="0"/>
          <w:i w:val="0"/>
          <w:iCs w:val="0"/>
          <w:caps w:val="0"/>
          <w:color w:val="000000"/>
          <w:spacing w:val="0"/>
          <w:sz w:val="24"/>
          <w:szCs w:val="24"/>
          <w:highlight w:val="none"/>
        </w:rPr>
      </w:pPr>
      <w:r>
        <w:rPr>
          <w:rFonts w:hint="eastAsia" w:ascii="宋体" w:hAnsi="宋体" w:eastAsia="宋体" w:cs="宋体"/>
          <w:b w:val="0"/>
          <w:bCs w:val="0"/>
          <w:i w:val="0"/>
          <w:iCs w:val="0"/>
          <w:caps w:val="0"/>
          <w:color w:val="000000"/>
          <w:spacing w:val="0"/>
          <w:sz w:val="24"/>
          <w:szCs w:val="24"/>
          <w:highlight w:val="none"/>
          <w:shd w:val="clear" w:color="auto" w:fill="FFFFFF"/>
        </w:rPr>
        <w:t>1.采购人信息</w:t>
      </w:r>
    </w:p>
    <w:p w14:paraId="6F02FF5B">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rPr>
        <w:t>名称：</w:t>
      </w:r>
      <w:r>
        <w:rPr>
          <w:rFonts w:hint="eastAsia" w:eastAsia="宋体" w:cs="宋体"/>
          <w:i w:val="0"/>
          <w:iCs w:val="0"/>
          <w:caps w:val="0"/>
          <w:color w:val="000000"/>
          <w:spacing w:val="0"/>
          <w:sz w:val="24"/>
          <w:szCs w:val="24"/>
          <w:highlight w:val="none"/>
          <w:shd w:val="clear" w:color="auto" w:fill="FFFFFF"/>
          <w:lang w:val="en-US" w:eastAsia="zh-CN"/>
        </w:rPr>
        <w:t>西安市红会医院</w:t>
      </w:r>
    </w:p>
    <w:p w14:paraId="4A7B009E">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地址：</w:t>
      </w:r>
      <w:r>
        <w:rPr>
          <w:rFonts w:hint="eastAsia" w:cs="宋体"/>
          <w:i w:val="0"/>
          <w:iCs w:val="0"/>
          <w:caps w:val="0"/>
          <w:color w:val="333333"/>
          <w:spacing w:val="0"/>
          <w:sz w:val="24"/>
          <w:szCs w:val="24"/>
          <w:highlight w:val="none"/>
          <w:shd w:val="clear" w:color="auto" w:fill="FFFFFF"/>
          <w:vertAlign w:val="baseline"/>
          <w:lang w:eastAsia="zh-CN"/>
        </w:rPr>
        <w:t>西安市碑林区南稍门友谊东路555号</w:t>
      </w:r>
    </w:p>
    <w:p w14:paraId="0BF9B2D5">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联系方式：</w:t>
      </w:r>
      <w:r>
        <w:rPr>
          <w:rFonts w:hint="eastAsia" w:eastAsia="宋体" w:cs="宋体"/>
          <w:i w:val="0"/>
          <w:iCs w:val="0"/>
          <w:caps w:val="0"/>
          <w:color w:val="000000"/>
          <w:spacing w:val="0"/>
          <w:sz w:val="24"/>
          <w:szCs w:val="24"/>
          <w:highlight w:val="none"/>
          <w:shd w:val="clear" w:color="auto" w:fill="FFFFFF"/>
          <w:lang w:val="en-US" w:eastAsia="zh-CN"/>
        </w:rPr>
        <w:t>029-86520792</w:t>
      </w:r>
    </w:p>
    <w:p w14:paraId="19CF20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before="0" w:beforeLines="0" w:beforeAutospacing="0" w:after="0" w:afterLines="0" w:afterAutospacing="0" w:line="480" w:lineRule="exact"/>
        <w:ind w:left="0" w:right="0" w:firstLine="0"/>
        <w:jc w:val="left"/>
        <w:textAlignment w:val="auto"/>
        <w:rPr>
          <w:rFonts w:hint="eastAsia" w:ascii="宋体" w:hAnsi="宋体" w:eastAsia="宋体" w:cs="宋体"/>
          <w:b w:val="0"/>
          <w:bCs w:val="0"/>
          <w:i w:val="0"/>
          <w:iCs w:val="0"/>
          <w:caps w:val="0"/>
          <w:color w:val="000000"/>
          <w:spacing w:val="0"/>
          <w:sz w:val="24"/>
          <w:szCs w:val="24"/>
          <w:highlight w:val="none"/>
        </w:rPr>
      </w:pPr>
      <w:r>
        <w:rPr>
          <w:rFonts w:hint="eastAsia" w:ascii="宋体" w:hAnsi="宋体" w:eastAsia="宋体" w:cs="宋体"/>
          <w:b w:val="0"/>
          <w:bCs w:val="0"/>
          <w:i w:val="0"/>
          <w:iCs w:val="0"/>
          <w:caps w:val="0"/>
          <w:color w:val="000000"/>
          <w:spacing w:val="0"/>
          <w:sz w:val="24"/>
          <w:szCs w:val="24"/>
          <w:highlight w:val="none"/>
          <w:shd w:val="clear" w:color="auto" w:fill="FFFFFF"/>
        </w:rPr>
        <w:t>2.采购代理机构信息</w:t>
      </w:r>
    </w:p>
    <w:p w14:paraId="0B4E92A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名称：亿诚建设项目管理有限公司</w:t>
      </w:r>
    </w:p>
    <w:p w14:paraId="2DF9240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地址： 陕西省西安市高新区丈八五路高科尚都ONE尚城A座10F</w:t>
      </w:r>
    </w:p>
    <w:p w14:paraId="74643EB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rPr>
        <w:t>项目联系人：</w:t>
      </w:r>
      <w:r>
        <w:rPr>
          <w:rFonts w:hint="eastAsia" w:eastAsia="宋体" w:cs="宋体"/>
          <w:i w:val="0"/>
          <w:iCs w:val="0"/>
          <w:caps w:val="0"/>
          <w:color w:val="000000"/>
          <w:spacing w:val="0"/>
          <w:sz w:val="24"/>
          <w:szCs w:val="24"/>
          <w:highlight w:val="none"/>
          <w:shd w:val="clear" w:color="auto" w:fill="FFFFFF"/>
          <w:lang w:eastAsia="zh-CN"/>
        </w:rPr>
        <w:t>刘思琦</w:t>
      </w:r>
      <w:r>
        <w:rPr>
          <w:rFonts w:hint="eastAsia" w:cs="宋体"/>
          <w:i w:val="0"/>
          <w:iCs w:val="0"/>
          <w:caps w:val="0"/>
          <w:color w:val="000000"/>
          <w:spacing w:val="0"/>
          <w:sz w:val="24"/>
          <w:szCs w:val="24"/>
          <w:highlight w:val="none"/>
          <w:shd w:val="clear" w:color="auto" w:fill="FFFFFF"/>
          <w:lang w:eastAsia="zh-CN"/>
        </w:rPr>
        <w:t>、李楠、董海龙、屈小军</w:t>
      </w:r>
    </w:p>
    <w:p w14:paraId="6BFAEAB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val="0"/>
        <w:spacing w:before="0" w:beforeLines="0" w:beforeAutospacing="0" w:after="0" w:afterLines="0" w:afterAutospacing="0" w:line="480" w:lineRule="exact"/>
        <w:ind w:left="0" w:right="0" w:firstLine="32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val="en-US" w:eastAsia="zh-CN"/>
        </w:rPr>
        <w:t>联系方式：</w:t>
      </w:r>
      <w:r>
        <w:rPr>
          <w:rFonts w:hint="eastAsia" w:eastAsia="宋体" w:cs="宋体"/>
          <w:i w:val="0"/>
          <w:iCs w:val="0"/>
          <w:caps w:val="0"/>
          <w:color w:val="000000"/>
          <w:spacing w:val="0"/>
          <w:sz w:val="24"/>
          <w:szCs w:val="24"/>
          <w:highlight w:val="none"/>
          <w:shd w:val="clear" w:color="auto" w:fill="FFFFFF"/>
          <w:lang w:val="en-US" w:eastAsia="zh-CN"/>
        </w:rPr>
        <w:t>15353685616</w:t>
      </w:r>
    </w:p>
    <w:bookmarkEnd w:id="3"/>
    <w:p w14:paraId="5E470AA0">
      <w:pPr>
        <w:keepLines w:val="0"/>
        <w:shd w:val="clear" w:color="auto" w:fill="auto"/>
        <w:kinsoku/>
        <w:overflowPunct/>
        <w:topLinePunct w:val="0"/>
        <w:bidi w:val="0"/>
        <w:spacing w:line="360" w:lineRule="auto"/>
        <w:jc w:val="center"/>
        <w:outlineLvl w:val="0"/>
        <w:rPr>
          <w:rFonts w:hint="eastAsia" w:ascii="宋体" w:hAnsi="宋体" w:eastAsia="宋体" w:cs="宋体"/>
          <w:bCs/>
          <w:kern w:val="0"/>
          <w:sz w:val="44"/>
          <w:szCs w:val="44"/>
          <w:highlight w:val="none"/>
          <w:lang w:val="zh-CN"/>
        </w:rPr>
      </w:pPr>
      <w:bookmarkStart w:id="4" w:name="_Toc31708"/>
      <w:bookmarkStart w:id="5" w:name="_Toc13990"/>
      <w:r>
        <w:rPr>
          <w:rFonts w:hint="eastAsia" w:ascii="宋体" w:hAnsi="宋体" w:eastAsia="宋体" w:cs="宋体"/>
          <w:bCs/>
          <w:kern w:val="0"/>
          <w:sz w:val="44"/>
          <w:szCs w:val="44"/>
          <w:highlight w:val="none"/>
          <w:lang w:val="zh-CN"/>
        </w:rPr>
        <w:br w:type="page"/>
      </w:r>
      <w:bookmarkStart w:id="6" w:name="_Toc22759"/>
      <w:bookmarkStart w:id="7" w:name="_Toc24665"/>
      <w:r>
        <w:rPr>
          <w:rFonts w:hint="eastAsia" w:ascii="宋体" w:hAnsi="宋体" w:eastAsia="宋体" w:cs="宋体"/>
          <w:bCs/>
          <w:kern w:val="0"/>
          <w:sz w:val="44"/>
          <w:szCs w:val="44"/>
          <w:highlight w:val="none"/>
          <w:lang w:val="zh-CN"/>
        </w:rPr>
        <w:t>第二部分  供应商须知前附表</w:t>
      </w:r>
      <w:bookmarkEnd w:id="4"/>
      <w:bookmarkEnd w:id="5"/>
      <w:bookmarkEnd w:id="6"/>
      <w:bookmarkEnd w:id="7"/>
    </w:p>
    <w:tbl>
      <w:tblPr>
        <w:tblStyle w:val="34"/>
        <w:tblW w:w="4998" w:type="pct"/>
        <w:jc w:val="center"/>
        <w:tblLayout w:type="autofit"/>
        <w:tblCellMar>
          <w:top w:w="0" w:type="dxa"/>
          <w:left w:w="28" w:type="dxa"/>
          <w:bottom w:w="0" w:type="dxa"/>
          <w:right w:w="28" w:type="dxa"/>
        </w:tblCellMar>
      </w:tblPr>
      <w:tblGrid>
        <w:gridCol w:w="721"/>
        <w:gridCol w:w="1588"/>
        <w:gridCol w:w="7489"/>
      </w:tblGrid>
      <w:tr w14:paraId="303B91C0">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top"/>
          </w:tcPr>
          <w:p w14:paraId="3EE85D63">
            <w:pPr>
              <w:keepNext w:val="0"/>
              <w:keepLines w:val="0"/>
              <w:pageBreakBefore w:val="0"/>
              <w:suppressLineNumbers w:val="0"/>
              <w:shd w:val="clear" w:color="auto" w:fill="auto"/>
              <w:kinsoku/>
              <w:overflowPunct/>
              <w:topLinePunct w:val="0"/>
              <w:bidi w:val="0"/>
              <w:snapToGrid w:val="0"/>
              <w:spacing w:before="156" w:beforeLines="50" w:beforeAutospacing="0" w:after="0" w:afterAutospacing="0" w:line="360" w:lineRule="exact"/>
              <w:ind w:left="0" w:right="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810" w:type="pct"/>
            <w:tcBorders>
              <w:top w:val="single" w:color="auto" w:sz="4" w:space="0"/>
              <w:left w:val="nil"/>
              <w:bottom w:val="single" w:color="auto" w:sz="4" w:space="0"/>
              <w:right w:val="single" w:color="auto" w:sz="4" w:space="0"/>
            </w:tcBorders>
            <w:noWrap w:val="0"/>
            <w:vAlign w:val="center"/>
          </w:tcPr>
          <w:p w14:paraId="42903CDC">
            <w:pPr>
              <w:keepNext w:val="0"/>
              <w:keepLines w:val="0"/>
              <w:pageBreakBefore w:val="0"/>
              <w:suppressLineNumbers w:val="0"/>
              <w:shd w:val="clear" w:color="auto" w:fill="auto"/>
              <w:kinsoku/>
              <w:overflowPunct/>
              <w:topLinePunct w:val="0"/>
              <w:bidi w:val="0"/>
              <w:snapToGrid w:val="0"/>
              <w:spacing w:before="156" w:beforeLines="50" w:beforeAutospacing="0" w:after="0" w:afterAutospacing="0" w:line="360" w:lineRule="exact"/>
              <w:ind w:left="0" w:right="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w:t>
            </w:r>
          </w:p>
        </w:tc>
        <w:tc>
          <w:tcPr>
            <w:tcW w:w="3820" w:type="pct"/>
            <w:tcBorders>
              <w:top w:val="single" w:color="auto" w:sz="4" w:space="0"/>
              <w:left w:val="nil"/>
              <w:bottom w:val="single" w:color="auto" w:sz="4" w:space="0"/>
              <w:right w:val="single" w:color="auto" w:sz="4" w:space="0"/>
            </w:tcBorders>
            <w:noWrap w:val="0"/>
            <w:vAlign w:val="top"/>
          </w:tcPr>
          <w:p w14:paraId="6E62A84B">
            <w:pPr>
              <w:keepNext w:val="0"/>
              <w:keepLines w:val="0"/>
              <w:pageBreakBefore w:val="0"/>
              <w:suppressLineNumbers w:val="0"/>
              <w:shd w:val="clear" w:color="auto" w:fill="auto"/>
              <w:kinsoku/>
              <w:overflowPunct/>
              <w:topLinePunct w:val="0"/>
              <w:bidi w:val="0"/>
              <w:snapToGrid w:val="0"/>
              <w:spacing w:before="156" w:beforeLines="50" w:beforeAutospacing="0" w:after="0" w:afterAutospacing="0" w:line="360" w:lineRule="exact"/>
              <w:ind w:left="0" w:right="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21B050F7">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top"/>
          </w:tcPr>
          <w:p w14:paraId="08A445CB">
            <w:pPr>
              <w:keepNext w:val="0"/>
              <w:keepLines w:val="0"/>
              <w:pageBreakBefore w:val="0"/>
              <w:suppressLineNumbers w:val="0"/>
              <w:shd w:val="clear" w:color="auto" w:fill="auto"/>
              <w:kinsoku/>
              <w:overflowPunct/>
              <w:topLinePunct w:val="0"/>
              <w:bidi w:val="0"/>
              <w:snapToGrid w:val="0"/>
              <w:spacing w:before="156" w:beforeLines="5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810" w:type="pct"/>
            <w:tcBorders>
              <w:top w:val="single" w:color="auto" w:sz="4" w:space="0"/>
              <w:left w:val="nil"/>
              <w:bottom w:val="single" w:color="auto" w:sz="4" w:space="0"/>
              <w:right w:val="single" w:color="auto" w:sz="4" w:space="0"/>
            </w:tcBorders>
            <w:noWrap w:val="0"/>
            <w:vAlign w:val="center"/>
          </w:tcPr>
          <w:p w14:paraId="43BF1D62">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820" w:type="pct"/>
            <w:tcBorders>
              <w:top w:val="single" w:color="auto" w:sz="4" w:space="0"/>
              <w:left w:val="nil"/>
              <w:bottom w:val="single" w:color="auto" w:sz="4" w:space="0"/>
              <w:right w:val="single" w:color="auto" w:sz="4" w:space="0"/>
            </w:tcBorders>
            <w:noWrap w:val="0"/>
            <w:vAlign w:val="center"/>
          </w:tcPr>
          <w:p w14:paraId="7DBC59E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西安市红会医院</w:t>
            </w:r>
            <w:r>
              <w:rPr>
                <w:rFonts w:hint="eastAsia" w:ascii="宋体" w:hAnsi="宋体" w:cs="宋体"/>
                <w:sz w:val="24"/>
                <w:szCs w:val="24"/>
                <w:highlight w:val="none"/>
                <w:lang w:val="en-US" w:eastAsia="zh-CN"/>
              </w:rPr>
              <w:t>配置麻醉便携超声采购项目(二次)</w:t>
            </w:r>
          </w:p>
        </w:tc>
      </w:tr>
      <w:tr w14:paraId="3E03B4ED">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0DBC64A2">
            <w:pPr>
              <w:keepNext w:val="0"/>
              <w:keepLines w:val="0"/>
              <w:pageBreakBefore w:val="0"/>
              <w:suppressLineNumbers w:val="0"/>
              <w:shd w:val="clear" w:color="auto" w:fill="auto"/>
              <w:kinsoku/>
              <w:overflowPunct/>
              <w:topLinePunct w:val="0"/>
              <w:bidi w:val="0"/>
              <w:snapToGrid w:val="0"/>
              <w:spacing w:before="156" w:beforeLines="5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810" w:type="pct"/>
            <w:tcBorders>
              <w:top w:val="single" w:color="auto" w:sz="4" w:space="0"/>
              <w:left w:val="nil"/>
              <w:bottom w:val="single" w:color="auto" w:sz="4" w:space="0"/>
              <w:right w:val="single" w:color="auto" w:sz="4" w:space="0"/>
            </w:tcBorders>
            <w:noWrap w:val="0"/>
            <w:vAlign w:val="center"/>
          </w:tcPr>
          <w:p w14:paraId="4428EA3E">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3820" w:type="pct"/>
            <w:tcBorders>
              <w:top w:val="single" w:color="auto" w:sz="4" w:space="0"/>
              <w:left w:val="nil"/>
              <w:bottom w:val="single" w:color="auto" w:sz="4" w:space="0"/>
              <w:right w:val="single" w:color="auto" w:sz="4" w:space="0"/>
            </w:tcBorders>
            <w:noWrap w:val="0"/>
            <w:vAlign w:val="center"/>
          </w:tcPr>
          <w:p w14:paraId="33815F66">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360" w:lineRule="exact"/>
              <w:ind w:left="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lang w:val="en-US" w:eastAsia="zh-CN"/>
              </w:rPr>
              <w:t>西安市红会医院</w:t>
            </w:r>
          </w:p>
          <w:p w14:paraId="00EFAE07">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360" w:lineRule="exact"/>
              <w:ind w:left="0"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zh-CN" w:eastAsia="zh-CN"/>
              </w:rPr>
              <w:t>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sz w:val="24"/>
                <w:szCs w:val="24"/>
                <w:highlight w:val="none"/>
                <w:lang w:val="zh-CN" w:eastAsia="zh-CN"/>
              </w:rPr>
              <w:t>址：</w:t>
            </w:r>
            <w:r>
              <w:rPr>
                <w:rFonts w:hint="eastAsia" w:ascii="宋体" w:hAnsi="宋体" w:cs="宋体"/>
                <w:sz w:val="24"/>
                <w:szCs w:val="24"/>
                <w:highlight w:val="none"/>
                <w:lang w:val="en-US" w:eastAsia="zh-CN"/>
              </w:rPr>
              <w:t>西安市碑林区南稍门友谊东路555号</w:t>
            </w:r>
          </w:p>
          <w:p w14:paraId="207EA380">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360" w:lineRule="exact"/>
              <w:ind w:left="0" w:right="0" w:rightChars="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联系人：刘老师</w:t>
            </w:r>
          </w:p>
          <w:p w14:paraId="4A6A01FA">
            <w:pPr>
              <w:keepNext w:val="0"/>
              <w:keepLines w:val="0"/>
              <w:pageBreakBefore w:val="0"/>
              <w:widowControl w:val="0"/>
              <w:suppressLineNumbers w:val="0"/>
              <w:shd w:val="clear" w:color="auto" w:fill="auto"/>
              <w:kinsoku/>
              <w:wordWrap/>
              <w:overflowPunct/>
              <w:topLinePunct w:val="0"/>
              <w:autoSpaceDE w:val="0"/>
              <w:autoSpaceDN w:val="0"/>
              <w:bidi w:val="0"/>
              <w:adjustRightInd/>
              <w:snapToGrid w:val="0"/>
              <w:spacing w:before="0" w:beforeAutospacing="0" w:after="0" w:afterAutospacing="0" w:line="360" w:lineRule="exact"/>
              <w:ind w:left="0" w:right="0" w:rightChars="0"/>
              <w:textAlignment w:val="auto"/>
              <w:rPr>
                <w:rFonts w:hint="eastAsia" w:ascii="宋体" w:hAnsi="宋体" w:eastAsia="宋体" w:cs="宋体"/>
                <w:kern w:val="0"/>
                <w:sz w:val="24"/>
                <w:szCs w:val="24"/>
                <w:highlight w:val="none"/>
                <w:lang w:val="en-US"/>
              </w:rPr>
            </w:pPr>
            <w:r>
              <w:rPr>
                <w:rFonts w:hint="eastAsia" w:ascii="宋体" w:hAnsi="宋体" w:eastAsia="宋体" w:cs="宋体"/>
                <w:sz w:val="24"/>
                <w:szCs w:val="24"/>
                <w:highlight w:val="none"/>
                <w:lang w:val="zh-CN" w:eastAsia="zh-CN"/>
              </w:rPr>
              <w:t>电 话：029-86520792</w:t>
            </w:r>
          </w:p>
        </w:tc>
      </w:tr>
      <w:tr w14:paraId="55105FCF">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47C56AC0">
            <w:pPr>
              <w:keepNext w:val="0"/>
              <w:keepLines w:val="0"/>
              <w:pageBreakBefore w:val="0"/>
              <w:suppressLineNumbers w:val="0"/>
              <w:shd w:val="clear" w:color="auto" w:fill="auto"/>
              <w:kinsoku/>
              <w:overflowPunct/>
              <w:topLinePunct w:val="0"/>
              <w:bidi w:val="0"/>
              <w:snapToGrid w:val="0"/>
              <w:spacing w:before="156" w:beforeLines="5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810" w:type="pct"/>
            <w:tcBorders>
              <w:top w:val="single" w:color="auto" w:sz="4" w:space="0"/>
              <w:left w:val="nil"/>
              <w:bottom w:val="single" w:color="auto" w:sz="4" w:space="0"/>
              <w:right w:val="single" w:color="auto" w:sz="4" w:space="0"/>
            </w:tcBorders>
            <w:noWrap w:val="0"/>
            <w:vAlign w:val="center"/>
          </w:tcPr>
          <w:p w14:paraId="3C86C72D">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3820" w:type="pct"/>
            <w:tcBorders>
              <w:top w:val="single" w:color="auto" w:sz="4" w:space="0"/>
              <w:left w:val="nil"/>
              <w:bottom w:val="single" w:color="auto" w:sz="4" w:space="0"/>
              <w:right w:val="single" w:color="auto" w:sz="4" w:space="0"/>
            </w:tcBorders>
            <w:noWrap w:val="0"/>
            <w:vAlign w:val="center"/>
          </w:tcPr>
          <w:p w14:paraId="4808FCDC">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采购代理机构：亿诚建设项目管理有限公司</w:t>
            </w:r>
          </w:p>
          <w:p w14:paraId="4B8AEAEB">
            <w:pPr>
              <w:pStyle w:val="62"/>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none"/>
                <w:lang w:val="en-US" w:eastAsia="zh-CN"/>
              </w:rPr>
              <w:t>陕西省西安市高新区丈八五路高科尚都ONE尚城A座10F</w:t>
            </w:r>
          </w:p>
          <w:p w14:paraId="4162C869">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刘思琦</w:t>
            </w:r>
            <w:r>
              <w:rPr>
                <w:rFonts w:hint="eastAsia" w:ascii="宋体" w:hAnsi="宋体" w:cs="宋体"/>
                <w:sz w:val="24"/>
                <w:szCs w:val="24"/>
                <w:highlight w:val="none"/>
                <w:lang w:val="en-US" w:eastAsia="zh-CN"/>
              </w:rPr>
              <w:t>、李楠、董海龙、屈小军</w:t>
            </w:r>
          </w:p>
          <w:p w14:paraId="0F8E6799">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15353685616</w:t>
            </w:r>
          </w:p>
        </w:tc>
      </w:tr>
      <w:tr w14:paraId="145F760F">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71042EA">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810" w:type="pct"/>
            <w:tcBorders>
              <w:top w:val="single" w:color="auto" w:sz="4" w:space="0"/>
              <w:left w:val="nil"/>
              <w:bottom w:val="single" w:color="auto" w:sz="4" w:space="0"/>
              <w:right w:val="single" w:color="auto" w:sz="4" w:space="0"/>
            </w:tcBorders>
            <w:noWrap w:val="0"/>
            <w:vAlign w:val="center"/>
          </w:tcPr>
          <w:p w14:paraId="6B971180">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联合</w:t>
            </w:r>
          </w:p>
          <w:p w14:paraId="40641E32">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体形式</w:t>
            </w:r>
          </w:p>
        </w:tc>
        <w:tc>
          <w:tcPr>
            <w:tcW w:w="3820" w:type="pct"/>
            <w:tcBorders>
              <w:top w:val="single" w:color="auto" w:sz="4" w:space="0"/>
              <w:left w:val="nil"/>
              <w:bottom w:val="single" w:color="auto" w:sz="4" w:space="0"/>
              <w:right w:val="single" w:color="auto" w:sz="4" w:space="0"/>
            </w:tcBorders>
            <w:noWrap w:val="0"/>
            <w:vAlign w:val="center"/>
          </w:tcPr>
          <w:p w14:paraId="7057386B">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不允许联合体谈判</w:t>
            </w:r>
          </w:p>
        </w:tc>
      </w:tr>
      <w:tr w14:paraId="3A349AD5">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512F16DE">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810" w:type="pct"/>
            <w:tcBorders>
              <w:top w:val="single" w:color="auto" w:sz="4" w:space="0"/>
              <w:left w:val="nil"/>
              <w:bottom w:val="single" w:color="auto" w:sz="4" w:space="0"/>
              <w:right w:val="single" w:color="auto" w:sz="4" w:space="0"/>
            </w:tcBorders>
            <w:noWrap w:val="0"/>
            <w:vAlign w:val="center"/>
          </w:tcPr>
          <w:p w14:paraId="114CAF7A">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备选</w:t>
            </w:r>
          </w:p>
          <w:p w14:paraId="592ED416">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p>
        </w:tc>
        <w:tc>
          <w:tcPr>
            <w:tcW w:w="3820" w:type="pct"/>
            <w:tcBorders>
              <w:top w:val="single" w:color="auto" w:sz="4" w:space="0"/>
              <w:left w:val="nil"/>
              <w:bottom w:val="single" w:color="auto" w:sz="4" w:space="0"/>
              <w:right w:val="single" w:color="auto" w:sz="4" w:space="0"/>
            </w:tcBorders>
            <w:noWrap w:val="0"/>
            <w:vAlign w:val="center"/>
          </w:tcPr>
          <w:p w14:paraId="0DE4B99C">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不允许提供</w:t>
            </w:r>
          </w:p>
        </w:tc>
      </w:tr>
      <w:tr w14:paraId="2E1B74BB">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5AE47898">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810" w:type="pct"/>
            <w:tcBorders>
              <w:top w:val="single" w:color="auto" w:sz="4" w:space="0"/>
              <w:left w:val="nil"/>
              <w:bottom w:val="single" w:color="auto" w:sz="4" w:space="0"/>
              <w:right w:val="single" w:color="auto" w:sz="4" w:space="0"/>
            </w:tcBorders>
            <w:noWrap w:val="0"/>
            <w:vAlign w:val="center"/>
          </w:tcPr>
          <w:p w14:paraId="2ECD740A">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打包</w:t>
            </w:r>
          </w:p>
        </w:tc>
        <w:tc>
          <w:tcPr>
            <w:tcW w:w="3820" w:type="pct"/>
            <w:tcBorders>
              <w:top w:val="single" w:color="auto" w:sz="4" w:space="0"/>
              <w:left w:val="nil"/>
              <w:bottom w:val="single" w:color="auto" w:sz="4" w:space="0"/>
              <w:right w:val="single" w:color="auto" w:sz="4" w:space="0"/>
            </w:tcBorders>
            <w:noWrap w:val="0"/>
            <w:vAlign w:val="center"/>
          </w:tcPr>
          <w:p w14:paraId="55547BCF">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本次采购采用整体打包方式，供应商可根据自身的资质情况和经营范围对本项目进</w:t>
            </w:r>
            <w:r>
              <w:rPr>
                <w:rFonts w:hint="eastAsia" w:ascii="宋体" w:hAnsi="宋体" w:eastAsia="宋体" w:cs="宋体"/>
                <w:sz w:val="24"/>
                <w:szCs w:val="24"/>
                <w:highlight w:val="none"/>
                <w:lang w:val="en-US" w:eastAsia="zh-CN"/>
              </w:rPr>
              <w:t>行谈判</w:t>
            </w:r>
            <w:r>
              <w:rPr>
                <w:rFonts w:hint="eastAsia" w:ascii="宋体" w:hAnsi="宋体" w:eastAsia="宋体" w:cs="宋体"/>
                <w:sz w:val="24"/>
                <w:szCs w:val="24"/>
                <w:highlight w:val="none"/>
              </w:rPr>
              <w:t>，不得将其自行分解或只对本次项目中的品目进行不完</w:t>
            </w:r>
            <w:r>
              <w:rPr>
                <w:rFonts w:hint="eastAsia" w:ascii="宋体" w:hAnsi="宋体" w:eastAsia="宋体" w:cs="宋体"/>
                <w:sz w:val="24"/>
                <w:szCs w:val="24"/>
                <w:highlight w:val="none"/>
                <w:lang w:val="en-US" w:eastAsia="zh-CN"/>
              </w:rPr>
              <w:t>全谈判</w:t>
            </w:r>
            <w:r>
              <w:rPr>
                <w:rFonts w:hint="eastAsia" w:ascii="宋体" w:hAnsi="宋体" w:eastAsia="宋体" w:cs="宋体"/>
                <w:sz w:val="24"/>
                <w:szCs w:val="24"/>
                <w:highlight w:val="none"/>
              </w:rPr>
              <w:t>，任何不完全的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将按无效</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处理。</w:t>
            </w:r>
          </w:p>
        </w:tc>
      </w:tr>
      <w:tr w14:paraId="74988910">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36A56DDB">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810" w:type="pct"/>
            <w:tcBorders>
              <w:top w:val="single" w:color="auto" w:sz="4" w:space="0"/>
              <w:left w:val="nil"/>
              <w:bottom w:val="single" w:color="auto" w:sz="4" w:space="0"/>
              <w:right w:val="single" w:color="auto" w:sz="4" w:space="0"/>
            </w:tcBorders>
            <w:noWrap w:val="0"/>
            <w:vAlign w:val="center"/>
          </w:tcPr>
          <w:p w14:paraId="1D7B180C">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谈判</w:t>
            </w:r>
          </w:p>
          <w:p w14:paraId="2E165E97">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有效期</w:t>
            </w:r>
          </w:p>
        </w:tc>
        <w:tc>
          <w:tcPr>
            <w:tcW w:w="3820" w:type="pct"/>
            <w:tcBorders>
              <w:top w:val="single" w:color="auto" w:sz="4" w:space="0"/>
              <w:left w:val="nil"/>
              <w:bottom w:val="single" w:color="auto" w:sz="4" w:space="0"/>
              <w:right w:val="single" w:color="auto" w:sz="4" w:space="0"/>
            </w:tcBorders>
            <w:noWrap w:val="0"/>
            <w:vAlign w:val="center"/>
          </w:tcPr>
          <w:p w14:paraId="56C69108">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谈判响应文件从</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之日起，有效期为90日历天。</w:t>
            </w:r>
          </w:p>
        </w:tc>
      </w:tr>
      <w:tr w14:paraId="7AD628B5">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1DDCBA2A">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810" w:type="pct"/>
            <w:tcBorders>
              <w:top w:val="single" w:color="auto" w:sz="4" w:space="0"/>
              <w:left w:val="nil"/>
              <w:bottom w:val="single" w:color="auto" w:sz="4" w:space="0"/>
              <w:right w:val="single" w:color="auto" w:sz="4" w:space="0"/>
            </w:tcBorders>
            <w:noWrap w:val="0"/>
            <w:vAlign w:val="center"/>
          </w:tcPr>
          <w:p w14:paraId="4DBE5A15">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资格、符合性要求</w:t>
            </w:r>
          </w:p>
        </w:tc>
        <w:tc>
          <w:tcPr>
            <w:tcW w:w="3820" w:type="pct"/>
            <w:tcBorders>
              <w:top w:val="single" w:color="auto" w:sz="4" w:space="0"/>
              <w:left w:val="nil"/>
              <w:bottom w:val="single" w:color="auto" w:sz="4" w:space="0"/>
              <w:right w:val="single" w:color="auto" w:sz="4" w:space="0"/>
            </w:tcBorders>
            <w:noWrap w:val="0"/>
            <w:vAlign w:val="top"/>
          </w:tcPr>
          <w:p w14:paraId="508DC19D">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1.资格性要求：</w:t>
            </w:r>
          </w:p>
          <w:p w14:paraId="7D6454D8">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1）具有独立承担民事责任的能力：提供具有独立承担民事责任能力的法人或其他组织，提供合法有效的营业执照、税务登记证、组织机构代码证（三证合一的企业提供统一社会信用代码的营业执照）（原件的复印件加盖公章）</w:t>
            </w:r>
          </w:p>
          <w:p w14:paraId="3AB8699D">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2）具有良好的商业信誉和健全的财务会计制度：提供具有财务审计资质单位出具的2024年度审计报告或提供供应商基本存款账户信息及开标日期前90日内其基本存款账户开户银行出具的资信证明。以上形式的证明资料提供任何一种即可。</w:t>
            </w:r>
          </w:p>
          <w:p w14:paraId="0F333A6C">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（3）具有履行合同所必需的设备和专业技术能力：出具履行合同所必需的设备和专业技术能力的书面声明。</w:t>
            </w:r>
          </w:p>
          <w:p w14:paraId="15D4D0E9">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4）有依法缴纳税收和社会保障资金的良好记录：①投标供应商近六个月内（投标截止时间前）任意1个月纳税证明材料：根据税务部门出具的完税凭证或纳税的银行转账汇款单、对账单等判定，如依法免税或不需要纳税的，提供相应证明材料。②投标供应商近六个月内（投标截止时间前）任意1个月缴纳社会保障金证明材料：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p w14:paraId="693F3014">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5）参加政府采购活动前三年内，在经营活动中没有重大违法记录：不得为“信用中国”网站(http：//www.creditchina.gov.cn)列入“失信被执行人或重大税收违法失信主体或政府采购严重违法失信行为记录名单”的供应商；不得为中国政府采购网(http：//www.ccgp.gov.cn)“政府采购严重违法失信行为记录名单”中的供应商；</w:t>
            </w:r>
          </w:p>
          <w:p w14:paraId="7A5B5D04">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（6）法律、行政法规规定的其他条件：供应商满足法律、行政法规规定的其他条件的书面声明。</w:t>
            </w:r>
          </w:p>
          <w:p w14:paraId="44419F0A">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7）法定代表人身份证明或法定代表人授权委托书：供应商应授权合法的人员参加投标全过程，其中法定代表人直接参加投标的，须出具法人身份证，并与营业执照上信息一致。法定代表人授权代表参加投标的，须出具法定代表人授权书及授权代表身份证、授权代表在投标前6个月内（不含投标当月）任意3个月由供应商缴纳社保证明材料的复印件</w:t>
            </w:r>
          </w:p>
          <w:p w14:paraId="7E480527">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（8）关联关系：本项目不接受由西安市红会医院职工及其亲属投资举办的企业参加投标，且单位负责人为同一人或者存在控股、管理关系的不同供应商，不得同时参加本项目采购活动(提供承诺函)</w:t>
            </w:r>
          </w:p>
          <w:p w14:paraId="022C37DF">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9）企业资质：供应商为生产企业的，提供医疗器械生产许可证、医疗器械注册证或备案凭证；供应商为代理销售企业的，须提供①生产企业的医疗器械生产许可证、医疗器械注册证或备案凭证，且须提供②供应商的医疗器械经营许可证或经营备案凭证，提供③产品来源渠道证明；</w:t>
            </w:r>
          </w:p>
          <w:p w14:paraId="6A315EEC">
            <w:pPr>
              <w:keepNext w:val="0"/>
              <w:keepLines w:val="0"/>
              <w:pageBreakBefore w:val="0"/>
              <w:widowControl w:val="0"/>
              <w:suppressLineNumbers w:val="0"/>
              <w:shd w:val="clear" w:color="auto" w:fill="auto"/>
              <w:kinsoku/>
              <w:wordWrap w:val="0"/>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（10）本项目不接受联合体谈判</w:t>
            </w:r>
            <w:r>
              <w:rPr>
                <w:rFonts w:hint="eastAsia" w:ascii="宋体" w:hAnsi="宋体" w:eastAsia="宋体" w:cs="宋体"/>
                <w:color w:val="auto"/>
                <w:sz w:val="24"/>
                <w:szCs w:val="24"/>
                <w:highlight w:val="none"/>
                <w:lang w:val="en-US" w:eastAsia="zh-CN"/>
              </w:rPr>
              <w:t>（提供承诺书）</w:t>
            </w:r>
            <w:r>
              <w:rPr>
                <w:rFonts w:hint="eastAsia" w:ascii="宋体" w:hAnsi="宋体" w:eastAsia="宋体" w:cs="宋体"/>
                <w:i w:val="0"/>
                <w:iCs w:val="0"/>
                <w:caps w:val="0"/>
                <w:color w:val="000000"/>
                <w:spacing w:val="0"/>
                <w:sz w:val="24"/>
                <w:szCs w:val="24"/>
                <w:highlight w:val="none"/>
                <w:shd w:val="clear" w:color="auto" w:fill="FFFFFF"/>
                <w:lang w:val="en-US" w:eastAsia="zh-CN"/>
              </w:rPr>
              <w:t>。</w:t>
            </w:r>
          </w:p>
          <w:p w14:paraId="44CEC338">
            <w:pPr>
              <w:pStyle w:val="30"/>
              <w:keepNext w:val="0"/>
              <w:keepLines w:val="0"/>
              <w:pageBreakBefore w:val="0"/>
              <w:suppressLineNumbers w:val="0"/>
              <w:shd w:val="clear" w:color="auto" w:fill="auto"/>
              <w:kinsoku/>
              <w:wordWrap/>
              <w:overflowPunct/>
              <w:topLinePunct w:val="0"/>
              <w:autoSpaceDE/>
              <w:autoSpaceDN/>
              <w:bidi w:val="0"/>
              <w:adjustRightInd/>
              <w:snapToGrid w:val="0"/>
              <w:spacing w:before="0" w:beforeLines="0" w:beforeAutospacing="0" w:after="0" w:afterLines="0" w:afterAutospacing="0" w:line="360" w:lineRule="exact"/>
              <w:ind w:left="0" w:leftChars="0" w:right="0" w:rightChars="0" w:firstLine="482" w:firstLineChars="200"/>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以上资质均为必备资质，不得缺项。</w:t>
            </w:r>
            <w:r>
              <w:rPr>
                <w:rFonts w:hint="eastAsia" w:ascii="宋体" w:hAnsi="宋体" w:eastAsia="宋体" w:cs="宋体"/>
                <w:b/>
                <w:sz w:val="24"/>
                <w:szCs w:val="24"/>
                <w:highlight w:val="none"/>
                <w:lang w:val="en-US" w:eastAsia="zh-CN"/>
              </w:rPr>
              <w:t>谈判</w:t>
            </w:r>
            <w:r>
              <w:rPr>
                <w:rFonts w:hint="eastAsia" w:ascii="宋体" w:hAnsi="宋体" w:eastAsia="宋体" w:cs="宋体"/>
                <w:b/>
                <w:sz w:val="24"/>
                <w:szCs w:val="24"/>
                <w:highlight w:val="none"/>
              </w:rPr>
              <w:t>时应提供上述所有原件，以便进行资质审查。必备资质中缺一项或某项达不到要求，按无效</w:t>
            </w:r>
            <w:r>
              <w:rPr>
                <w:rFonts w:hint="eastAsia" w:ascii="宋体" w:hAnsi="宋体" w:eastAsia="宋体" w:cs="宋体"/>
                <w:b/>
                <w:sz w:val="24"/>
                <w:szCs w:val="24"/>
                <w:highlight w:val="none"/>
                <w:lang w:val="en-US" w:eastAsia="zh-CN"/>
              </w:rPr>
              <w:t>响应</w:t>
            </w:r>
            <w:r>
              <w:rPr>
                <w:rFonts w:hint="eastAsia" w:ascii="宋体" w:hAnsi="宋体" w:eastAsia="宋体" w:cs="宋体"/>
                <w:b/>
                <w:sz w:val="24"/>
                <w:szCs w:val="24"/>
                <w:highlight w:val="none"/>
              </w:rPr>
              <w:t>处理。</w:t>
            </w:r>
          </w:p>
          <w:p w14:paraId="7C88390C">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2.符合性要求：</w:t>
            </w:r>
          </w:p>
          <w:p w14:paraId="6538E76B">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（1）审查因素：</w:t>
            </w:r>
          </w:p>
          <w:p w14:paraId="7A80124F">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①完整性：</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rPr>
              <w:t>文件格式要求，</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rPr>
              <w:t>文件格式编写符合</w:t>
            </w:r>
            <w:r>
              <w:rPr>
                <w:rFonts w:hint="eastAsia" w:ascii="宋体" w:hAnsi="宋体" w:eastAsia="宋体" w:cs="宋体"/>
                <w:color w:val="000000"/>
                <w:sz w:val="24"/>
                <w:szCs w:val="24"/>
                <w:highlight w:val="none"/>
                <w:lang w:val="en-US" w:eastAsia="zh-CN"/>
              </w:rPr>
              <w:t>谈判</w:t>
            </w:r>
            <w:r>
              <w:rPr>
                <w:rFonts w:hint="eastAsia" w:ascii="宋体" w:hAnsi="宋体" w:eastAsia="宋体" w:cs="宋体"/>
                <w:color w:val="000000"/>
                <w:sz w:val="24"/>
                <w:szCs w:val="24"/>
                <w:highlight w:val="none"/>
                <w:lang w:val="zh-CN"/>
              </w:rPr>
              <w:t>文件格式部分的要求。</w:t>
            </w:r>
          </w:p>
          <w:p w14:paraId="773EC743">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②有效性：</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rPr>
              <w:t>文件盖章签字，按照</w:t>
            </w:r>
            <w:r>
              <w:rPr>
                <w:rFonts w:hint="eastAsia" w:ascii="宋体" w:hAnsi="宋体" w:eastAsia="宋体" w:cs="宋体"/>
                <w:color w:val="000000"/>
                <w:sz w:val="24"/>
                <w:szCs w:val="24"/>
                <w:highlight w:val="none"/>
                <w:lang w:val="en-US" w:eastAsia="zh-CN"/>
              </w:rPr>
              <w:t>谈判</w:t>
            </w:r>
            <w:r>
              <w:rPr>
                <w:rFonts w:hint="eastAsia" w:ascii="宋体" w:hAnsi="宋体" w:eastAsia="宋体" w:cs="宋体"/>
                <w:color w:val="000000"/>
                <w:sz w:val="24"/>
                <w:szCs w:val="24"/>
                <w:highlight w:val="none"/>
                <w:lang w:val="zh-CN"/>
              </w:rPr>
              <w:t>文件格式要求中需要签字或盖章的要求进行签字盖章。</w:t>
            </w:r>
          </w:p>
          <w:p w14:paraId="5EC017B8">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③</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rPr>
              <w:t>性：</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rPr>
              <w:t>文件响应</w:t>
            </w:r>
            <w:r>
              <w:rPr>
                <w:rFonts w:hint="eastAsia" w:ascii="宋体" w:hAnsi="宋体" w:eastAsia="宋体" w:cs="宋体"/>
                <w:color w:val="000000"/>
                <w:sz w:val="24"/>
                <w:szCs w:val="24"/>
                <w:highlight w:val="none"/>
                <w:lang w:val="en-US" w:eastAsia="zh-CN"/>
              </w:rPr>
              <w:t>谈判</w:t>
            </w:r>
            <w:r>
              <w:rPr>
                <w:rFonts w:hint="eastAsia" w:ascii="宋体" w:hAnsi="宋体" w:eastAsia="宋体" w:cs="宋体"/>
                <w:color w:val="000000"/>
                <w:sz w:val="24"/>
                <w:szCs w:val="24"/>
                <w:highlight w:val="none"/>
                <w:lang w:val="zh-CN"/>
              </w:rPr>
              <w:t>文件</w:t>
            </w:r>
            <w:r>
              <w:rPr>
                <w:rFonts w:hint="eastAsia" w:ascii="宋体" w:hAnsi="宋体" w:eastAsia="宋体" w:cs="宋体"/>
                <w:color w:val="000000"/>
                <w:sz w:val="24"/>
                <w:szCs w:val="24"/>
                <w:highlight w:val="none"/>
                <w:lang w:val="en-US" w:eastAsia="zh-CN"/>
              </w:rPr>
              <w:t>对报价、交货期、质量、保证金、响应文件有效期等方面的要求</w:t>
            </w:r>
            <w:r>
              <w:rPr>
                <w:rFonts w:hint="eastAsia" w:ascii="宋体" w:hAnsi="宋体" w:eastAsia="宋体" w:cs="宋体"/>
                <w:color w:val="000000"/>
                <w:sz w:val="24"/>
                <w:szCs w:val="24"/>
                <w:highlight w:val="none"/>
                <w:lang w:val="zh-CN"/>
              </w:rPr>
              <w:t>。</w:t>
            </w:r>
          </w:p>
          <w:p w14:paraId="401E66E1">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（2）审查方法：</w:t>
            </w:r>
          </w:p>
          <w:p w14:paraId="63EFDD86">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firstLine="482"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按照审查</w:t>
            </w:r>
            <w:r>
              <w:rPr>
                <w:rFonts w:hint="eastAsia" w:ascii="宋体" w:hAnsi="宋体" w:eastAsia="宋体" w:cs="宋体"/>
                <w:b/>
                <w:bCs/>
                <w:sz w:val="24"/>
                <w:szCs w:val="24"/>
                <w:highlight w:val="none"/>
                <w:lang w:eastAsia="zh-CN"/>
              </w:rPr>
              <w:t>因素</w:t>
            </w:r>
            <w:r>
              <w:rPr>
                <w:rFonts w:hint="eastAsia" w:ascii="宋体" w:hAnsi="宋体" w:eastAsia="宋体" w:cs="宋体"/>
                <w:b/>
                <w:bCs/>
                <w:sz w:val="24"/>
                <w:szCs w:val="24"/>
                <w:highlight w:val="none"/>
              </w:rPr>
              <w:t>中的</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项要求逐项审查，缺一项或某项达不到要求，按无效</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rPr>
              <w:t>文件处理。</w:t>
            </w:r>
          </w:p>
        </w:tc>
      </w:tr>
      <w:tr w14:paraId="3D05C16B">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50C67CF">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810" w:type="pct"/>
            <w:tcBorders>
              <w:top w:val="single" w:color="auto" w:sz="4" w:space="0"/>
              <w:left w:val="nil"/>
              <w:bottom w:val="single" w:color="auto" w:sz="4" w:space="0"/>
              <w:right w:val="single" w:color="auto" w:sz="4" w:space="0"/>
            </w:tcBorders>
            <w:noWrap w:val="0"/>
            <w:vAlign w:val="center"/>
          </w:tcPr>
          <w:p w14:paraId="33B309FF">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w:t>
            </w:r>
          </w:p>
          <w:p w14:paraId="2BB46F01">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文件</w:t>
            </w:r>
          </w:p>
        </w:tc>
        <w:tc>
          <w:tcPr>
            <w:tcW w:w="3820" w:type="pct"/>
            <w:tcBorders>
              <w:top w:val="single" w:color="auto" w:sz="4" w:space="0"/>
              <w:left w:val="nil"/>
              <w:bottom w:val="single" w:color="auto" w:sz="4" w:space="0"/>
              <w:right w:val="single" w:color="auto" w:sz="4" w:space="0"/>
            </w:tcBorders>
            <w:noWrap w:val="0"/>
            <w:vAlign w:val="center"/>
          </w:tcPr>
          <w:p w14:paraId="071DEBE0">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firstLine="482"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响应文件正本一份、副本二份</w:t>
            </w:r>
            <w:r>
              <w:rPr>
                <w:rFonts w:hint="eastAsia" w:ascii="宋体" w:hAnsi="宋体" w:eastAsia="宋体" w:cs="宋体"/>
                <w:sz w:val="24"/>
                <w:szCs w:val="24"/>
                <w:highlight w:val="none"/>
              </w:rPr>
              <w:t>，分别胶装装订成册，且封面须清楚地标明“正本”、“副本”、“电子版”；若正本和副本不符，以正本书面文件为准；同时提供与正本内容一致的电子版</w:t>
            </w:r>
            <w:r>
              <w:rPr>
                <w:rFonts w:hint="eastAsia" w:ascii="宋体" w:hAnsi="宋体" w:eastAsia="宋体" w:cs="宋体"/>
                <w:sz w:val="24"/>
                <w:szCs w:val="24"/>
                <w:highlight w:val="none"/>
                <w:lang w:val="en-US" w:eastAsia="zh-CN"/>
              </w:rPr>
              <w:t>二份</w:t>
            </w:r>
            <w:r>
              <w:rPr>
                <w:rFonts w:hint="eastAsia" w:ascii="宋体" w:hAnsi="宋体" w:eastAsia="宋体" w:cs="宋体"/>
                <w:sz w:val="24"/>
                <w:szCs w:val="24"/>
                <w:highlight w:val="none"/>
              </w:rPr>
              <w:t>（U盘《</w:t>
            </w:r>
            <w:r>
              <w:rPr>
                <w:rFonts w:hint="eastAsia" w:ascii="宋体" w:hAnsi="宋体" w:eastAsia="宋体" w:cs="宋体"/>
                <w:b/>
                <w:bCs/>
                <w:sz w:val="24"/>
                <w:szCs w:val="24"/>
                <w:highlight w:val="none"/>
              </w:rPr>
              <w:t>电子文档应为PDF</w:t>
            </w:r>
            <w:r>
              <w:rPr>
                <w:rFonts w:hint="eastAsia" w:ascii="宋体" w:hAnsi="宋体" w:eastAsia="宋体" w:cs="宋体"/>
                <w:b/>
                <w:bCs/>
                <w:sz w:val="24"/>
                <w:szCs w:val="24"/>
                <w:highlight w:val="none"/>
                <w:lang w:val="en-US" w:eastAsia="zh-CN"/>
              </w:rPr>
              <w:t>和</w:t>
            </w:r>
            <w:r>
              <w:rPr>
                <w:rFonts w:hint="eastAsia" w:ascii="宋体" w:hAnsi="宋体" w:eastAsia="宋体" w:cs="宋体"/>
                <w:b/>
                <w:bCs/>
                <w:sz w:val="24"/>
                <w:szCs w:val="24"/>
                <w:highlight w:val="none"/>
              </w:rPr>
              <w:t>WORD格式</w:t>
            </w:r>
            <w:r>
              <w:rPr>
                <w:rFonts w:hint="eastAsia" w:ascii="宋体" w:hAnsi="宋体" w:eastAsia="宋体" w:cs="宋体"/>
                <w:sz w:val="24"/>
                <w:szCs w:val="24"/>
                <w:highlight w:val="none"/>
              </w:rPr>
              <w:t>》）。</w:t>
            </w:r>
          </w:p>
        </w:tc>
      </w:tr>
      <w:tr w14:paraId="2CF01484">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059252D">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810" w:type="pct"/>
            <w:tcBorders>
              <w:top w:val="single" w:color="auto" w:sz="4" w:space="0"/>
              <w:left w:val="nil"/>
              <w:bottom w:val="single" w:color="auto" w:sz="4" w:space="0"/>
              <w:right w:val="single" w:color="auto" w:sz="4" w:space="0"/>
            </w:tcBorders>
            <w:noWrap w:val="0"/>
            <w:vAlign w:val="center"/>
          </w:tcPr>
          <w:p w14:paraId="5BF43897">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评审办法</w:t>
            </w:r>
          </w:p>
        </w:tc>
        <w:tc>
          <w:tcPr>
            <w:tcW w:w="3820" w:type="pct"/>
            <w:tcBorders>
              <w:top w:val="single" w:color="auto" w:sz="4" w:space="0"/>
              <w:left w:val="nil"/>
              <w:bottom w:val="single" w:color="auto" w:sz="4" w:space="0"/>
              <w:right w:val="single" w:color="auto" w:sz="4" w:space="0"/>
            </w:tcBorders>
            <w:noWrap w:val="0"/>
            <w:vAlign w:val="center"/>
          </w:tcPr>
          <w:p w14:paraId="1CBC5637">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低价</w:t>
            </w:r>
            <w:r>
              <w:rPr>
                <w:rFonts w:hint="eastAsia" w:ascii="宋体" w:hAnsi="宋体" w:eastAsia="宋体" w:cs="宋体"/>
                <w:bCs/>
                <w:sz w:val="24"/>
                <w:szCs w:val="24"/>
                <w:highlight w:val="none"/>
                <w:lang w:eastAsia="zh-CN"/>
              </w:rPr>
              <w:t>成交</w:t>
            </w:r>
            <w:r>
              <w:rPr>
                <w:rFonts w:hint="eastAsia" w:ascii="宋体" w:hAnsi="宋体" w:eastAsia="宋体" w:cs="宋体"/>
                <w:bCs/>
                <w:sz w:val="24"/>
                <w:szCs w:val="24"/>
                <w:highlight w:val="none"/>
              </w:rPr>
              <w:t>法（详见第四部分）</w:t>
            </w:r>
          </w:p>
        </w:tc>
      </w:tr>
      <w:tr w14:paraId="49AE5DE5">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4938D625">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810" w:type="pct"/>
            <w:tcBorders>
              <w:top w:val="single" w:color="auto" w:sz="4" w:space="0"/>
              <w:left w:val="nil"/>
              <w:bottom w:val="single" w:color="auto" w:sz="4" w:space="0"/>
              <w:right w:val="single" w:color="auto" w:sz="4" w:space="0"/>
            </w:tcBorders>
            <w:noWrap w:val="0"/>
            <w:vAlign w:val="center"/>
          </w:tcPr>
          <w:p w14:paraId="280FD06B">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勘踏现场</w:t>
            </w:r>
          </w:p>
        </w:tc>
        <w:tc>
          <w:tcPr>
            <w:tcW w:w="3820" w:type="pct"/>
            <w:tcBorders>
              <w:top w:val="single" w:color="auto" w:sz="4" w:space="0"/>
              <w:left w:val="nil"/>
              <w:bottom w:val="single" w:color="auto" w:sz="4" w:space="0"/>
              <w:right w:val="single" w:color="auto" w:sz="4" w:space="0"/>
            </w:tcBorders>
            <w:noWrap w:val="0"/>
            <w:vAlign w:val="center"/>
          </w:tcPr>
          <w:p w14:paraId="69F37499">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firstLine="240" w:firstLineChars="1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14:paraId="1824BDBC">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33B1D91A">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810" w:type="pct"/>
            <w:tcBorders>
              <w:top w:val="single" w:color="auto" w:sz="4" w:space="0"/>
              <w:left w:val="nil"/>
              <w:bottom w:val="single" w:color="auto" w:sz="4" w:space="0"/>
              <w:right w:val="single" w:color="auto" w:sz="4" w:space="0"/>
            </w:tcBorders>
            <w:noWrap w:val="0"/>
            <w:vAlign w:val="center"/>
          </w:tcPr>
          <w:p w14:paraId="7BAB316E">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进口产品</w:t>
            </w:r>
          </w:p>
        </w:tc>
        <w:tc>
          <w:tcPr>
            <w:tcW w:w="3820" w:type="pct"/>
            <w:tcBorders>
              <w:top w:val="single" w:color="auto" w:sz="4" w:space="0"/>
              <w:left w:val="nil"/>
              <w:bottom w:val="single" w:color="auto" w:sz="4" w:space="0"/>
              <w:right w:val="single" w:color="auto" w:sz="4" w:space="0"/>
            </w:tcBorders>
            <w:noWrap w:val="0"/>
            <w:vAlign w:val="center"/>
          </w:tcPr>
          <w:p w14:paraId="31377B2A">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firstLine="240" w:firstLineChars="1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14:paraId="2E542D0D">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5DF5901">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810" w:type="pct"/>
            <w:tcBorders>
              <w:top w:val="single" w:color="auto" w:sz="4" w:space="0"/>
              <w:left w:val="nil"/>
              <w:bottom w:val="single" w:color="auto" w:sz="4" w:space="0"/>
              <w:right w:val="single" w:color="auto" w:sz="4" w:space="0"/>
            </w:tcBorders>
            <w:noWrap w:val="0"/>
            <w:vAlign w:val="center"/>
          </w:tcPr>
          <w:p w14:paraId="56212704">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样品</w:t>
            </w:r>
          </w:p>
        </w:tc>
        <w:tc>
          <w:tcPr>
            <w:tcW w:w="3820" w:type="pct"/>
            <w:tcBorders>
              <w:top w:val="single" w:color="auto" w:sz="4" w:space="0"/>
              <w:left w:val="nil"/>
              <w:bottom w:val="single" w:color="auto" w:sz="4" w:space="0"/>
              <w:right w:val="single" w:color="auto" w:sz="4" w:space="0"/>
            </w:tcBorders>
            <w:noWrap w:val="0"/>
            <w:vAlign w:val="center"/>
          </w:tcPr>
          <w:p w14:paraId="0DF8F094">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firstLine="240" w:firstLineChars="1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14:paraId="6E998DB2">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4B2D4C99">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810" w:type="pct"/>
            <w:tcBorders>
              <w:top w:val="single" w:color="auto" w:sz="4" w:space="0"/>
              <w:left w:val="nil"/>
              <w:bottom w:val="single" w:color="auto" w:sz="4" w:space="0"/>
              <w:right w:val="single" w:color="auto" w:sz="4" w:space="0"/>
            </w:tcBorders>
            <w:noWrap w:val="0"/>
            <w:vAlign w:val="center"/>
          </w:tcPr>
          <w:p w14:paraId="35988AD1">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履约</w:t>
            </w:r>
          </w:p>
          <w:p w14:paraId="17D8CB2F">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保证金</w:t>
            </w:r>
          </w:p>
        </w:tc>
        <w:tc>
          <w:tcPr>
            <w:tcW w:w="3820" w:type="pct"/>
            <w:tcBorders>
              <w:top w:val="single" w:color="auto" w:sz="4" w:space="0"/>
              <w:left w:val="nil"/>
              <w:bottom w:val="single" w:color="auto" w:sz="4" w:space="0"/>
              <w:right w:val="single" w:color="auto" w:sz="4" w:space="0"/>
            </w:tcBorders>
            <w:noWrap w:val="0"/>
            <w:vAlign w:val="center"/>
          </w:tcPr>
          <w:p w14:paraId="3C4E3FCA">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采购人如有特殊需求，</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在与采购人签订合同之前，需向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缴纳成交价的5%作为履约保证金</w:t>
            </w:r>
            <w:r>
              <w:rPr>
                <w:rFonts w:hint="eastAsia" w:ascii="宋体" w:hAnsi="宋体" w:eastAsia="宋体" w:cs="宋体"/>
                <w:color w:val="auto"/>
                <w:sz w:val="24"/>
                <w:szCs w:val="24"/>
                <w:highlight w:val="none"/>
                <w:lang w:eastAsia="zh-CN"/>
              </w:rPr>
              <w:t>。</w:t>
            </w:r>
          </w:p>
        </w:tc>
      </w:tr>
      <w:tr w14:paraId="3A78FCA2">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3065427F">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810" w:type="pct"/>
            <w:tcBorders>
              <w:top w:val="single" w:color="auto" w:sz="4" w:space="0"/>
              <w:left w:val="nil"/>
              <w:bottom w:val="single" w:color="auto" w:sz="4" w:space="0"/>
              <w:right w:val="single" w:color="auto" w:sz="4" w:space="0"/>
            </w:tcBorders>
            <w:noWrap w:val="0"/>
            <w:vAlign w:val="center"/>
          </w:tcPr>
          <w:p w14:paraId="2B77F536">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重新</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rPr>
              <w:t>或者变更采购方式</w:t>
            </w:r>
          </w:p>
        </w:tc>
        <w:tc>
          <w:tcPr>
            <w:tcW w:w="3820" w:type="pct"/>
            <w:tcBorders>
              <w:top w:val="single" w:color="auto" w:sz="4" w:space="0"/>
              <w:left w:val="nil"/>
              <w:bottom w:val="single" w:color="auto" w:sz="4" w:space="0"/>
              <w:right w:val="single" w:color="auto" w:sz="4" w:space="0"/>
            </w:tcBorders>
            <w:noWrap w:val="0"/>
            <w:vAlign w:val="center"/>
          </w:tcPr>
          <w:p w14:paraId="16F1B8DC">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重新招标或转变采购方式情形须按照《政府采购非招标采购方式管理办法》(财政部令第74号)规定的相关原则处理。</w:t>
            </w:r>
          </w:p>
        </w:tc>
      </w:tr>
      <w:tr w14:paraId="0E14E424">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010622DB">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16</w:t>
            </w:r>
          </w:p>
        </w:tc>
        <w:tc>
          <w:tcPr>
            <w:tcW w:w="810" w:type="pct"/>
            <w:tcBorders>
              <w:top w:val="single" w:color="auto" w:sz="4" w:space="0"/>
              <w:left w:val="nil"/>
              <w:bottom w:val="single" w:color="auto" w:sz="4" w:space="0"/>
              <w:right w:val="single" w:color="auto" w:sz="4" w:space="0"/>
            </w:tcBorders>
            <w:noWrap w:val="0"/>
            <w:vAlign w:val="center"/>
          </w:tcPr>
          <w:p w14:paraId="6C89EF9F">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法律依据</w:t>
            </w:r>
          </w:p>
        </w:tc>
        <w:tc>
          <w:tcPr>
            <w:tcW w:w="3820" w:type="pct"/>
            <w:tcBorders>
              <w:top w:val="single" w:color="auto" w:sz="4" w:space="0"/>
              <w:left w:val="nil"/>
              <w:bottom w:val="single" w:color="auto" w:sz="4" w:space="0"/>
              <w:right w:val="single" w:color="auto" w:sz="4" w:space="0"/>
            </w:tcBorders>
            <w:noWrap w:val="0"/>
            <w:vAlign w:val="center"/>
          </w:tcPr>
          <w:p w14:paraId="5B4772A6">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本招标根据《中华人民共和国政府采购法》、《中华人民共和国政府采购法实施条例》等相关政府采购相关法规制定，若有本谈判文件未尽事宜按照政府采购相关法规执行。</w:t>
            </w:r>
          </w:p>
        </w:tc>
      </w:tr>
      <w:tr w14:paraId="7735B1A9">
        <w:tblPrEx>
          <w:tblCellMar>
            <w:top w:w="0" w:type="dxa"/>
            <w:left w:w="28" w:type="dxa"/>
            <w:bottom w:w="0" w:type="dxa"/>
            <w:right w:w="28" w:type="dxa"/>
          </w:tblCellMar>
        </w:tblPrEx>
        <w:trPr>
          <w:trHeight w:val="567"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4010C3B4">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default" w:ascii="宋体" w:hAnsi="宋体" w:eastAsia="宋体" w:cs="宋体"/>
                <w:bCs/>
                <w:sz w:val="24"/>
                <w:szCs w:val="24"/>
                <w:highlight w:val="none"/>
                <w:lang w:val="en-US" w:eastAsia="zh-CN"/>
              </w:rPr>
            </w:pPr>
            <w:bookmarkStart w:id="8" w:name="_Toc495913681"/>
            <w:r>
              <w:rPr>
                <w:rFonts w:hint="eastAsia" w:ascii="宋体" w:hAnsi="宋体" w:eastAsia="宋体" w:cs="宋体"/>
                <w:bCs/>
                <w:sz w:val="24"/>
                <w:szCs w:val="24"/>
                <w:highlight w:val="none"/>
                <w:lang w:val="en-US" w:eastAsia="zh-CN"/>
              </w:rPr>
              <w:t>17</w:t>
            </w:r>
          </w:p>
        </w:tc>
        <w:tc>
          <w:tcPr>
            <w:tcW w:w="810" w:type="pct"/>
            <w:tcBorders>
              <w:top w:val="single" w:color="auto" w:sz="4" w:space="0"/>
              <w:left w:val="nil"/>
              <w:bottom w:val="single" w:color="auto" w:sz="4" w:space="0"/>
              <w:right w:val="single" w:color="auto" w:sz="4" w:space="0"/>
            </w:tcBorders>
            <w:noWrap w:val="0"/>
            <w:vAlign w:val="center"/>
          </w:tcPr>
          <w:p w14:paraId="096D44C5">
            <w:pPr>
              <w:keepNext w:val="0"/>
              <w:keepLines w:val="0"/>
              <w:pageBreakBefore w:val="0"/>
              <w:suppressLineNumbers w:val="0"/>
              <w:shd w:val="clear" w:color="auto" w:fill="auto"/>
              <w:kinsoku/>
              <w:overflowPunct/>
              <w:topLinePunct w:val="0"/>
              <w:bidi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招标服务费</w:t>
            </w:r>
          </w:p>
        </w:tc>
        <w:tc>
          <w:tcPr>
            <w:tcW w:w="3820" w:type="pct"/>
            <w:tcBorders>
              <w:top w:val="single" w:color="auto" w:sz="4" w:space="0"/>
              <w:left w:val="nil"/>
              <w:bottom w:val="single" w:color="auto" w:sz="4" w:space="0"/>
              <w:right w:val="single" w:color="auto" w:sz="4" w:space="0"/>
            </w:tcBorders>
            <w:noWrap w:val="0"/>
            <w:vAlign w:val="center"/>
          </w:tcPr>
          <w:p w14:paraId="295B390E">
            <w:pPr>
              <w:keepNext w:val="0"/>
              <w:keepLines w:val="0"/>
              <w:pageBreakBefore w:val="0"/>
              <w:widowControl w:val="0"/>
              <w:suppressLineNumbers w:val="0"/>
              <w:shd w:val="clear" w:color="auto" w:fill="auto"/>
              <w:kinsoku/>
              <w:wordWrap/>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招标服务费：</w:t>
            </w:r>
          </w:p>
          <w:p w14:paraId="5A56F344">
            <w:pPr>
              <w:keepNext w:val="0"/>
              <w:keepLines w:val="0"/>
              <w:pageBreakBefore w:val="0"/>
              <w:widowControl w:val="0"/>
              <w:suppressLineNumbers w:val="0"/>
              <w:shd w:val="clear" w:color="auto" w:fill="auto"/>
              <w:kinsoku/>
              <w:wordWrap/>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须向招标机构按如下标准和规定交纳招标服务费：</w:t>
            </w:r>
          </w:p>
          <w:p w14:paraId="7DDE4E68">
            <w:pPr>
              <w:keepNext w:val="0"/>
              <w:keepLines w:val="0"/>
              <w:pageBreakBefore w:val="0"/>
              <w:widowControl w:val="0"/>
              <w:suppressLineNumbers w:val="0"/>
              <w:shd w:val="clear" w:color="auto" w:fill="auto"/>
              <w:kinsoku/>
              <w:wordWrap/>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收费标准参照原国家计委计价格[2002]1980号文、国家发改委发改办价格[2003]857号文和发改办价格[2011]534号文的收费标准</w:t>
            </w:r>
            <w:r>
              <w:rPr>
                <w:rFonts w:hint="eastAsia" w:ascii="宋体" w:hAnsi="宋体" w:eastAsia="宋体" w:cs="宋体"/>
                <w:sz w:val="24"/>
                <w:szCs w:val="24"/>
                <w:highlight w:val="none"/>
                <w:lang w:val="en-US" w:eastAsia="zh-CN"/>
              </w:rPr>
              <w:t>下浮20%</w:t>
            </w:r>
            <w:r>
              <w:rPr>
                <w:rFonts w:hint="eastAsia" w:ascii="宋体" w:hAnsi="宋体" w:eastAsia="宋体" w:cs="宋体"/>
                <w:sz w:val="24"/>
                <w:szCs w:val="24"/>
                <w:highlight w:val="none"/>
              </w:rPr>
              <w:t>计取。</w:t>
            </w:r>
          </w:p>
          <w:p w14:paraId="594B2BAF">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360" w:lineRule="exact"/>
              <w:ind w:left="0"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2.成</w:t>
            </w:r>
            <w:r>
              <w:rPr>
                <w:rFonts w:hint="eastAsia" w:ascii="宋体" w:hAnsi="宋体" w:eastAsia="宋体" w:cs="宋体"/>
                <w:sz w:val="24"/>
                <w:szCs w:val="24"/>
                <w:highlight w:val="none"/>
              </w:rPr>
              <w:t>交供应商服务费交纳信息</w:t>
            </w:r>
          </w:p>
          <w:p w14:paraId="488286CB">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360" w:lineRule="exact"/>
              <w:ind w:left="0" w:leftChars="0" w:right="0" w:firstLine="63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户名：亿诚建设项目管理有限公司</w:t>
            </w:r>
          </w:p>
          <w:p w14:paraId="5A4944B5">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360" w:lineRule="exact"/>
              <w:ind w:left="0" w:leftChars="0" w:right="0" w:firstLine="63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账号：699295538</w:t>
            </w:r>
          </w:p>
          <w:p w14:paraId="73CBF0BA">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360" w:lineRule="exact"/>
              <w:ind w:left="0" w:leftChars="0" w:right="0" w:firstLine="63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开户行：中国民生银行西安吉祥路支行</w:t>
            </w:r>
          </w:p>
          <w:p w14:paraId="215BFA87">
            <w:pPr>
              <w:keepNext w:val="0"/>
              <w:keepLines w:val="0"/>
              <w:pageBreakBefore w:val="0"/>
              <w:widowControl w:val="0"/>
              <w:suppressLineNumbers w:val="0"/>
              <w:shd w:val="clear" w:color="auto" w:fill="auto"/>
              <w:kinsoku/>
              <w:wordWrap/>
              <w:overflowPunct/>
              <w:topLinePunct w:val="0"/>
              <w:bidi w:val="0"/>
              <w:snapToGrid w:val="0"/>
              <w:spacing w:before="0" w:beforeAutospacing="0" w:after="0" w:afterAutospacing="0" w:line="360" w:lineRule="exact"/>
              <w:ind w:left="0"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3.成交供应商</w:t>
            </w:r>
            <w:r>
              <w:rPr>
                <w:rFonts w:hint="eastAsia" w:ascii="宋体" w:hAnsi="宋体" w:eastAsia="宋体" w:cs="宋体"/>
                <w:sz w:val="24"/>
                <w:szCs w:val="24"/>
                <w:highlight w:val="none"/>
              </w:rPr>
              <w:t>在领取中标通知书的同时，按规定的标准一次性向招标机构交清招标服务费。</w:t>
            </w:r>
          </w:p>
        </w:tc>
      </w:tr>
    </w:tbl>
    <w:p w14:paraId="7FB626F1">
      <w:pPr>
        <w:keepLines w:val="0"/>
        <w:shd w:val="clear" w:color="auto" w:fill="auto"/>
        <w:kinsoku/>
        <w:overflowPunct/>
        <w:topLinePunct w:val="0"/>
        <w:bidi w:val="0"/>
        <w:spacing w:line="360" w:lineRule="auto"/>
        <w:jc w:val="center"/>
        <w:outlineLvl w:val="0"/>
        <w:rPr>
          <w:rFonts w:hint="eastAsia" w:ascii="宋体" w:hAnsi="宋体" w:eastAsia="宋体" w:cs="宋体"/>
          <w:bCs/>
          <w:sz w:val="44"/>
          <w:szCs w:val="44"/>
          <w:highlight w:val="none"/>
        </w:rPr>
      </w:pPr>
      <w:bookmarkStart w:id="9" w:name="_Toc4304"/>
      <w:bookmarkEnd w:id="9"/>
      <w:bookmarkStart w:id="10" w:name="_Toc19272"/>
      <w:r>
        <w:rPr>
          <w:rFonts w:hint="eastAsia" w:ascii="宋体" w:hAnsi="宋体" w:eastAsia="宋体" w:cs="宋体"/>
          <w:b/>
          <w:color w:val="0000FF"/>
          <w:sz w:val="44"/>
          <w:szCs w:val="44"/>
          <w:highlight w:val="none"/>
        </w:rPr>
        <w:br w:type="page"/>
      </w:r>
      <w:bookmarkStart w:id="11" w:name="_Toc30434"/>
      <w:bookmarkStart w:id="12" w:name="_Toc23380"/>
      <w:bookmarkStart w:id="13" w:name="_Toc9063_WPSOffice_Level1"/>
      <w:bookmarkStart w:id="14" w:name="_Toc496524263"/>
      <w:bookmarkStart w:id="15" w:name="_Toc496523727"/>
      <w:bookmarkStart w:id="16" w:name="_Toc15213"/>
      <w:bookmarkStart w:id="17" w:name="_Toc11004"/>
      <w:r>
        <w:rPr>
          <w:rFonts w:hint="eastAsia" w:ascii="宋体" w:hAnsi="宋体" w:eastAsia="宋体" w:cs="宋体"/>
          <w:bCs/>
          <w:kern w:val="0"/>
          <w:sz w:val="44"/>
          <w:szCs w:val="44"/>
          <w:highlight w:val="none"/>
          <w:lang w:val="zh-CN"/>
        </w:rPr>
        <w:t>第三部分</w:t>
      </w:r>
      <w:bookmarkEnd w:id="10"/>
      <w:r>
        <w:rPr>
          <w:rFonts w:hint="eastAsia" w:ascii="宋体" w:hAnsi="宋体" w:eastAsia="宋体" w:cs="宋体"/>
          <w:bCs/>
          <w:kern w:val="0"/>
          <w:sz w:val="44"/>
          <w:szCs w:val="44"/>
          <w:highlight w:val="none"/>
          <w:lang w:val="zh-CN"/>
        </w:rPr>
        <w:t xml:space="preserve">  供应商须知</w:t>
      </w:r>
      <w:bookmarkEnd w:id="8"/>
      <w:bookmarkEnd w:id="11"/>
      <w:bookmarkEnd w:id="12"/>
      <w:bookmarkEnd w:id="13"/>
      <w:bookmarkEnd w:id="14"/>
      <w:bookmarkEnd w:id="15"/>
      <w:bookmarkEnd w:id="16"/>
      <w:bookmarkEnd w:id="17"/>
    </w:p>
    <w:p w14:paraId="08DC438F">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jc w:val="both"/>
        <w:textAlignment w:val="auto"/>
        <w:outlineLvl w:val="1"/>
        <w:rPr>
          <w:rFonts w:hint="eastAsia" w:ascii="宋体" w:hAnsi="宋体" w:eastAsia="宋体" w:cs="宋体"/>
          <w:b/>
          <w:bCs/>
          <w:kern w:val="0"/>
          <w:sz w:val="24"/>
          <w:szCs w:val="24"/>
          <w:highlight w:val="none"/>
        </w:rPr>
      </w:pPr>
      <w:bookmarkStart w:id="18" w:name="_Toc7700"/>
      <w:bookmarkEnd w:id="18"/>
      <w:bookmarkStart w:id="19" w:name="_Toc28723"/>
      <w:bookmarkStart w:id="20" w:name="_Toc496523728"/>
      <w:bookmarkStart w:id="21" w:name="_Toc27402"/>
      <w:bookmarkStart w:id="22" w:name="_Toc496524264"/>
      <w:bookmarkStart w:id="23" w:name="_Toc25089"/>
      <w:bookmarkStart w:id="24" w:name="_Toc495913682"/>
      <w:bookmarkStart w:id="25" w:name="_Toc4833"/>
      <w:r>
        <w:rPr>
          <w:rFonts w:hint="eastAsia" w:ascii="宋体" w:hAnsi="宋体" w:eastAsia="宋体" w:cs="宋体"/>
          <w:b/>
          <w:bCs/>
          <w:kern w:val="0"/>
          <w:sz w:val="24"/>
          <w:szCs w:val="24"/>
          <w:highlight w:val="none"/>
        </w:rPr>
        <w:t>一、名词解释</w:t>
      </w:r>
      <w:bookmarkEnd w:id="19"/>
      <w:bookmarkEnd w:id="20"/>
      <w:bookmarkEnd w:id="21"/>
      <w:bookmarkEnd w:id="22"/>
      <w:bookmarkEnd w:id="23"/>
      <w:bookmarkEnd w:id="24"/>
      <w:bookmarkEnd w:id="25"/>
    </w:p>
    <w:p w14:paraId="1D0F651C">
      <w:pPr>
        <w:keepNext w:val="0"/>
        <w:keepLines w:val="0"/>
        <w:pageBreakBefore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（一）采 购 人：</w:t>
      </w:r>
      <w:r>
        <w:rPr>
          <w:rFonts w:hint="eastAsia" w:ascii="宋体" w:hAnsi="宋体" w:eastAsia="宋体" w:cs="宋体"/>
          <w:sz w:val="24"/>
          <w:szCs w:val="24"/>
          <w:highlight w:val="none"/>
          <w:lang w:val="en-US" w:eastAsia="zh-CN"/>
        </w:rPr>
        <w:t>西安市红会医院</w:t>
      </w:r>
    </w:p>
    <w:p w14:paraId="7FD00949">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）采购代理机构：</w:t>
      </w:r>
      <w:r>
        <w:rPr>
          <w:rFonts w:hint="eastAsia" w:ascii="宋体" w:hAnsi="宋体" w:eastAsia="宋体" w:cs="宋体"/>
          <w:sz w:val="24"/>
          <w:szCs w:val="24"/>
          <w:highlight w:val="none"/>
          <w:lang w:eastAsia="zh-CN"/>
        </w:rPr>
        <w:t>亿诚建设项目管理有限公司</w:t>
      </w:r>
    </w:p>
    <w:p w14:paraId="3C3DE9B3">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供应商：响应竞争性谈判并且符合竞争性谈判文件规定资格条件和参加竞争谈判的法人</w:t>
      </w:r>
      <w:r>
        <w:rPr>
          <w:rFonts w:hint="eastAsia" w:ascii="宋体" w:hAnsi="宋体" w:eastAsia="宋体" w:cs="宋体"/>
          <w:sz w:val="24"/>
          <w:szCs w:val="24"/>
          <w:highlight w:val="none"/>
          <w:lang w:val="en-US" w:eastAsia="zh-CN"/>
        </w:rPr>
        <w:t>或自然人</w:t>
      </w:r>
      <w:r>
        <w:rPr>
          <w:rFonts w:hint="eastAsia" w:ascii="宋体" w:hAnsi="宋体" w:eastAsia="宋体" w:cs="宋体"/>
          <w:sz w:val="24"/>
          <w:szCs w:val="24"/>
          <w:highlight w:val="none"/>
          <w:lang w:eastAsia="zh-CN"/>
        </w:rPr>
        <w:t>。</w:t>
      </w:r>
    </w:p>
    <w:p w14:paraId="0A34D6AD">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）谈判文件：</w:t>
      </w:r>
      <w:r>
        <w:rPr>
          <w:rFonts w:hint="eastAsia" w:ascii="宋体" w:hAnsi="宋体" w:eastAsia="宋体" w:cs="宋体"/>
          <w:sz w:val="24"/>
          <w:szCs w:val="24"/>
          <w:highlight w:val="none"/>
          <w:lang w:val="zh-CN"/>
        </w:rPr>
        <w:t>含澄清、修改内容的书面资料和谈判文件格式的统称</w:t>
      </w:r>
    </w:p>
    <w:p w14:paraId="6CA93C36">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jc w:val="both"/>
        <w:textAlignment w:val="auto"/>
        <w:outlineLvl w:val="1"/>
        <w:rPr>
          <w:rFonts w:hint="eastAsia" w:ascii="宋体" w:hAnsi="宋体" w:eastAsia="宋体" w:cs="宋体"/>
          <w:b/>
          <w:bCs/>
          <w:kern w:val="0"/>
          <w:sz w:val="24"/>
          <w:szCs w:val="24"/>
          <w:highlight w:val="none"/>
        </w:rPr>
      </w:pPr>
      <w:bookmarkStart w:id="26" w:name="_Toc14634"/>
      <w:bookmarkEnd w:id="26"/>
      <w:bookmarkStart w:id="27" w:name="_Toc496523729"/>
      <w:bookmarkStart w:id="28" w:name="_Toc10581"/>
      <w:bookmarkStart w:id="29" w:name="_Toc496524265"/>
      <w:bookmarkStart w:id="30" w:name="_Toc21365"/>
      <w:bookmarkStart w:id="31" w:name="_Toc495913683"/>
      <w:bookmarkStart w:id="32" w:name="_Toc8096"/>
      <w:bookmarkStart w:id="33" w:name="_Toc21928"/>
      <w:r>
        <w:rPr>
          <w:rFonts w:hint="eastAsia" w:ascii="宋体" w:hAnsi="宋体" w:eastAsia="宋体" w:cs="宋体"/>
          <w:b/>
          <w:bCs/>
          <w:kern w:val="0"/>
          <w:sz w:val="24"/>
          <w:szCs w:val="24"/>
          <w:highlight w:val="none"/>
        </w:rPr>
        <w:t>二、谈判文件及要求</w:t>
      </w:r>
      <w:bookmarkEnd w:id="27"/>
      <w:bookmarkEnd w:id="28"/>
      <w:bookmarkEnd w:id="29"/>
      <w:bookmarkEnd w:id="30"/>
      <w:bookmarkEnd w:id="31"/>
      <w:bookmarkEnd w:id="32"/>
      <w:bookmarkEnd w:id="33"/>
    </w:p>
    <w:p w14:paraId="63212B3E">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谈判文件以中文编制，谈判文件封面盖有“</w:t>
      </w:r>
      <w:r>
        <w:rPr>
          <w:rFonts w:hint="eastAsia" w:ascii="宋体" w:hAnsi="宋体" w:eastAsia="宋体" w:cs="宋体"/>
          <w:sz w:val="24"/>
          <w:szCs w:val="24"/>
          <w:highlight w:val="none"/>
          <w:lang w:eastAsia="zh-CN"/>
        </w:rPr>
        <w:t>亿诚建设项目管理有限公司</w:t>
      </w:r>
      <w:r>
        <w:rPr>
          <w:rFonts w:hint="eastAsia" w:ascii="宋体" w:hAnsi="宋体" w:eastAsia="宋体" w:cs="宋体"/>
          <w:sz w:val="24"/>
          <w:szCs w:val="24"/>
          <w:highlight w:val="none"/>
        </w:rPr>
        <w:t>”字样的圆形红章。谈判文件包括六部分，各供应商应根据谈判文件中的所有内容及要求提交全部资料。</w:t>
      </w:r>
    </w:p>
    <w:p w14:paraId="2E6B83DC">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（一）谈判文件组成：谈判文件是根据本项目的特点和需求编制，包括以下内容：</w:t>
      </w:r>
    </w:p>
    <w:p w14:paraId="1B94D497">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1.竞争性谈判公告</w:t>
      </w:r>
    </w:p>
    <w:p w14:paraId="563ACD33">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2.供应商须知前附表</w:t>
      </w:r>
    </w:p>
    <w:p w14:paraId="06AD2358">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3.供应商须知</w:t>
      </w:r>
    </w:p>
    <w:p w14:paraId="3E1A521C">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4.采购要求</w:t>
      </w:r>
    </w:p>
    <w:p w14:paraId="1D955230">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5.合同主要条款</w:t>
      </w:r>
    </w:p>
    <w:p w14:paraId="50ECD17C">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6.响应文件格式</w:t>
      </w:r>
    </w:p>
    <w:p w14:paraId="34A2C5A1">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57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（二）谈判文件的澄清或修改：</w:t>
      </w:r>
    </w:p>
    <w:p w14:paraId="4C5CB07C">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提交首次响应文件截止之日前，采购代理机构或者采购人可以对已发出的谈判文件进行必要的澄清或者修改。澄清或者修改的内容作为谈判文件的组成部分。澄清或者修改的内容可能影响响应文件编制的，采购人或者采购代理机构应当在提交首次响应文件截止时间至少3</w:t>
      </w:r>
      <w:r>
        <w:rPr>
          <w:rFonts w:hint="eastAsia" w:ascii="宋体" w:hAnsi="宋体" w:eastAsia="宋体" w:cs="宋体"/>
          <w:sz w:val="24"/>
          <w:szCs w:val="24"/>
          <w:highlight w:val="none"/>
          <w:lang w:val="en-US" w:eastAsia="zh-CN"/>
        </w:rPr>
        <w:t>个工作日</w:t>
      </w:r>
      <w:r>
        <w:rPr>
          <w:rFonts w:hint="eastAsia" w:ascii="宋体" w:hAnsi="宋体" w:eastAsia="宋体" w:cs="宋体"/>
          <w:sz w:val="24"/>
          <w:szCs w:val="24"/>
          <w:highlight w:val="none"/>
        </w:rPr>
        <w:t>前，以书面形式通知所有获取谈判文件的供应商；不足3</w:t>
      </w:r>
      <w:r>
        <w:rPr>
          <w:rFonts w:hint="eastAsia" w:ascii="宋体" w:hAnsi="宋体" w:eastAsia="宋体" w:cs="宋体"/>
          <w:sz w:val="24"/>
          <w:szCs w:val="24"/>
          <w:highlight w:val="none"/>
          <w:lang w:val="en-US" w:eastAsia="zh-CN"/>
        </w:rPr>
        <w:t>个工作</w:t>
      </w:r>
      <w:r>
        <w:rPr>
          <w:rFonts w:hint="eastAsia" w:ascii="宋体" w:hAnsi="宋体" w:eastAsia="宋体" w:cs="宋体"/>
          <w:sz w:val="24"/>
          <w:szCs w:val="24"/>
          <w:highlight w:val="none"/>
        </w:rPr>
        <w:t>日的，采购人、采购代理机构应当顺延提交首次响应文件的截止时间。</w:t>
      </w:r>
    </w:p>
    <w:p w14:paraId="2675EC1C">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2.供应商应仔细阅读和检查谈判文件的全部内容。如发现缺页或附件不全，应及时向采购人提出，以便补齐。供应商如对谈判文件或采购活动事项有询问的在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截止时间前五日以书面形式，要求采购人对谈判文件予以澄清。供应商对谈判文件或采购活动事项有质疑，应在采购文件公告期限届满之日以书面形式，要求采购人对采购文件质疑事项予以澄清。谈判文件的询问澄清答复将在收到供应商询问函后3日内，以书面形式发给所有</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谈判文件的供应商，但不指明澄清问题的来源。谈判文件的质疑澄清答复将在收到供应商质疑函后七个工作日内，以书面形式发给所有</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谈判文件的供应商，但不指明澄清问题的来源。</w:t>
      </w:r>
    </w:p>
    <w:p w14:paraId="7A041836">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供应商在收到澄清后，应在谈判文件澄清发出后24小时以内以书面形式通知采购人，确认己收到该澄清。若供应商未在规定时间回复的视为已收到该澄清文件。供应商未按照澄清后的谈判文件进行响应的，由此带来的不利后果由供应商自行承担。</w:t>
      </w:r>
    </w:p>
    <w:p w14:paraId="3D1A5C88">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（三）供应商必须从采购代理机构</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谈判文件，供应商自行转让或复制谈判文件视为无效。谈判文件一经售出，一律不退，仅作为本次招标使用。</w:t>
      </w:r>
    </w:p>
    <w:p w14:paraId="46518573">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（四）谈判文件的解释权归采购代理机构。</w:t>
      </w:r>
    </w:p>
    <w:p w14:paraId="6A350911">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jc w:val="both"/>
        <w:textAlignment w:val="auto"/>
        <w:outlineLvl w:val="1"/>
        <w:rPr>
          <w:rFonts w:hint="eastAsia" w:ascii="宋体" w:hAnsi="宋体" w:eastAsia="宋体" w:cs="宋体"/>
          <w:b/>
          <w:bCs/>
          <w:kern w:val="0"/>
          <w:sz w:val="24"/>
          <w:szCs w:val="24"/>
          <w:highlight w:val="none"/>
        </w:rPr>
      </w:pPr>
      <w:bookmarkStart w:id="34" w:name="_Toc12724"/>
      <w:bookmarkEnd w:id="34"/>
      <w:bookmarkStart w:id="35" w:name="_Toc496523730"/>
      <w:bookmarkStart w:id="36" w:name="_Toc20347"/>
      <w:bookmarkStart w:id="37" w:name="_Toc15139"/>
      <w:bookmarkStart w:id="38" w:name="_Toc495913684"/>
      <w:bookmarkStart w:id="39" w:name="_Toc28447"/>
      <w:bookmarkStart w:id="40" w:name="_Toc496524266"/>
      <w:bookmarkStart w:id="41" w:name="_Toc12516"/>
      <w:r>
        <w:rPr>
          <w:rFonts w:hint="eastAsia" w:ascii="宋体" w:hAnsi="宋体" w:eastAsia="宋体" w:cs="宋体"/>
          <w:b/>
          <w:bCs/>
          <w:kern w:val="0"/>
          <w:sz w:val="24"/>
          <w:szCs w:val="24"/>
          <w:highlight w:val="none"/>
        </w:rPr>
        <w:t>三、谈判要求</w:t>
      </w:r>
      <w:bookmarkEnd w:id="35"/>
      <w:bookmarkEnd w:id="36"/>
      <w:bookmarkEnd w:id="37"/>
      <w:bookmarkEnd w:id="38"/>
      <w:bookmarkEnd w:id="39"/>
      <w:bookmarkEnd w:id="40"/>
      <w:bookmarkEnd w:id="41"/>
    </w:p>
    <w:p w14:paraId="5DCBA536">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（一）谈判内容：本次谈判内容</w:t>
      </w:r>
      <w:r>
        <w:rPr>
          <w:rFonts w:hint="eastAsia" w:ascii="宋体" w:hAnsi="宋体" w:eastAsia="宋体" w:cs="宋体"/>
          <w:sz w:val="24"/>
          <w:szCs w:val="24"/>
          <w:highlight w:val="none"/>
          <w:u w:val="none"/>
        </w:rPr>
        <w:t>为</w:t>
      </w:r>
      <w:r>
        <w:rPr>
          <w:rFonts w:hint="eastAsia" w:ascii="宋体" w:hAnsi="宋体" w:eastAsia="宋体" w:cs="宋体"/>
          <w:sz w:val="24"/>
          <w:szCs w:val="24"/>
          <w:highlight w:val="none"/>
          <w:u w:val="single"/>
          <w:lang w:val="en-US" w:eastAsia="zh-CN"/>
        </w:rPr>
        <w:t>西安市红会医院</w:t>
      </w:r>
      <w:r>
        <w:rPr>
          <w:rFonts w:hint="eastAsia" w:ascii="宋体" w:hAnsi="宋体" w:cs="宋体"/>
          <w:sz w:val="24"/>
          <w:szCs w:val="24"/>
          <w:highlight w:val="none"/>
          <w:u w:val="single"/>
          <w:lang w:val="en-US" w:eastAsia="zh-CN"/>
        </w:rPr>
        <w:t>配置麻醉便携超声采购项目(二次)</w:t>
      </w:r>
      <w:r>
        <w:rPr>
          <w:rFonts w:hint="eastAsia" w:ascii="宋体" w:hAnsi="宋体" w:eastAsia="宋体" w:cs="宋体"/>
          <w:color w:val="auto"/>
          <w:sz w:val="24"/>
          <w:szCs w:val="24"/>
          <w:highlight w:val="none"/>
          <w:u w:val="none"/>
          <w:lang w:eastAsia="zh-CN"/>
        </w:rPr>
        <w:t>，</w:t>
      </w:r>
      <w:r>
        <w:rPr>
          <w:rFonts w:hint="eastAsia" w:ascii="宋体" w:hAnsi="宋体" w:eastAsia="宋体" w:cs="宋体"/>
          <w:bCs/>
          <w:color w:val="auto"/>
          <w:sz w:val="24"/>
          <w:szCs w:val="24"/>
          <w:highlight w:val="none"/>
        </w:rPr>
        <w:t>各供应商应</w:t>
      </w:r>
      <w:r>
        <w:rPr>
          <w:rFonts w:hint="eastAsia" w:ascii="宋体" w:hAnsi="宋体" w:eastAsia="宋体" w:cs="宋体"/>
          <w:bCs/>
          <w:sz w:val="24"/>
          <w:szCs w:val="24"/>
          <w:highlight w:val="none"/>
        </w:rPr>
        <w:t>仔细阅读谈判文件中</w:t>
      </w:r>
      <w:r>
        <w:rPr>
          <w:rFonts w:hint="eastAsia" w:ascii="宋体" w:hAnsi="宋体" w:eastAsia="宋体" w:cs="宋体"/>
          <w:sz w:val="24"/>
          <w:szCs w:val="24"/>
          <w:highlight w:val="none"/>
        </w:rPr>
        <w:t>的所有事项、格式、条款和要求，对谈判文件的全部内容及要求做出实质性响应，提交相应资料。不得在其中选项</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或将其中内容再行分解，否则</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无效。</w:t>
      </w:r>
    </w:p>
    <w:p w14:paraId="42062F48">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（二）合格供应商要求</w:t>
      </w:r>
    </w:p>
    <w:p w14:paraId="381CC84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1.供应商资格要求：</w:t>
      </w:r>
    </w:p>
    <w:p w14:paraId="4242C2CB">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rPr>
        <w:t>本次项目采用竞争性谈判的方式进行，具备本次谈判文件要求资质的供应商均可参加本次谈判活动，在参加谈判时应提供以下资质证明文件，由</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进行资格审查， 具体内容及审查办法详见供应商须知前附表。</w:t>
      </w:r>
    </w:p>
    <w:p w14:paraId="749C818B">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2.限制</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要求</w:t>
      </w:r>
    </w:p>
    <w:p w14:paraId="7FECB027">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（1）供应商单位负责人为同一人或者存在直接控股、管理关系的不同供应商，不得参加同一项目或同一标段的政府采购活动。</w:t>
      </w:r>
    </w:p>
    <w:p w14:paraId="463AE7C4">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（2）除单一来源采购项目外，为采购项目提供整体设计、规范编制或者项目管理、监理、检测等服务的供应商，不得再参加同一项目的其他采购活动。</w:t>
      </w:r>
    </w:p>
    <w:p w14:paraId="4205E652">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3.本次采购项目</w:t>
      </w:r>
      <w:r>
        <w:rPr>
          <w:rFonts w:hint="eastAsia" w:ascii="宋体" w:hAnsi="宋体" w:eastAsia="宋体" w:cs="宋体"/>
          <w:sz w:val="24"/>
          <w:szCs w:val="24"/>
          <w:highlight w:val="none"/>
          <w:u w:val="single"/>
        </w:rPr>
        <w:t>（不允许）</w:t>
      </w:r>
      <w:r>
        <w:rPr>
          <w:rFonts w:hint="eastAsia" w:ascii="宋体" w:hAnsi="宋体" w:eastAsia="宋体" w:cs="宋体"/>
          <w:sz w:val="24"/>
          <w:szCs w:val="24"/>
          <w:highlight w:val="none"/>
        </w:rPr>
        <w:t>联合体谈判。</w:t>
      </w:r>
    </w:p>
    <w:p w14:paraId="53FA1362">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（三）响应文件的编制：</w:t>
      </w:r>
    </w:p>
    <w:p w14:paraId="51336223">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1.未从采购代理机构处直接</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谈判文件的供应商，谢绝报价。响应文件必须根据采购代理机构发售的响应文件格式编写，各供应商对谈判文件做出实质性响应。具体内容包括：</w:t>
      </w:r>
    </w:p>
    <w:p w14:paraId="59FB14A4">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（1）对</w:t>
      </w:r>
      <w:r>
        <w:rPr>
          <w:rFonts w:hint="eastAsia" w:ascii="宋体" w:hAnsi="宋体" w:eastAsia="宋体" w:cs="宋体"/>
          <w:sz w:val="24"/>
          <w:szCs w:val="24"/>
          <w:highlight w:val="none"/>
          <w:lang w:val="zh-CN"/>
        </w:rPr>
        <w:t>谈判响应函</w:t>
      </w:r>
      <w:r>
        <w:rPr>
          <w:rFonts w:hint="eastAsia" w:ascii="宋体" w:hAnsi="宋体" w:eastAsia="宋体" w:cs="宋体"/>
          <w:sz w:val="24"/>
          <w:szCs w:val="24"/>
          <w:highlight w:val="none"/>
        </w:rPr>
        <w:t>中内容的响应；</w:t>
      </w:r>
    </w:p>
    <w:p w14:paraId="183D71F3">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）第一次谈判响应函（报价表）。谈判货币用人民币，单位为元，精确到小数点后两位。</w:t>
      </w:r>
    </w:p>
    <w:p w14:paraId="0A4CE33F">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）供应商出具的合格供应商要求文件，证明参加供应商是响应本项目谈判的合格供应商。</w:t>
      </w:r>
    </w:p>
    <w:p w14:paraId="41F4914F">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）供应商为本次采购活动编制的实施方案，具有履行合同所必须的专业技术能力，配备了相应的商务和技术人员，项目在组织实施、财务保证及技术支持等方面具体做法和保障措施。</w:t>
      </w:r>
    </w:p>
    <w:p w14:paraId="3DE2F0E3">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供应商根据谈判文件载明采购活动的实际情况，拟在成交后将成交项目非主体、非关键性工作交由他人完成的，应当在谈判响应文件中注明，并提供交由完成供应商的营业执照、相应资质等内容，且其允许的资质范围包含本项目项下的内容。</w:t>
      </w:r>
    </w:p>
    <w:p w14:paraId="72FB811A">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2.响应文件的编写:</w:t>
      </w:r>
    </w:p>
    <w:p w14:paraId="43D7358D">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（1）响应文件格式：</w:t>
      </w:r>
      <w:r>
        <w:rPr>
          <w:rFonts w:hint="eastAsia" w:ascii="宋体" w:hAnsi="宋体" w:eastAsia="宋体" w:cs="宋体"/>
          <w:color w:val="auto"/>
          <w:sz w:val="24"/>
          <w:szCs w:val="24"/>
          <w:highlight w:val="none"/>
        </w:rPr>
        <w:t>供应商必须按谈判文件的“第六部分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响应文件格式”编写响应文件，供应商不得对格式做任何修改。如有必要，可以增加附页，作为响应文件的组成部分。</w:t>
      </w:r>
    </w:p>
    <w:p w14:paraId="7B3F2787">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（2）响应文件编写说明:</w:t>
      </w:r>
    </w:p>
    <w:p w14:paraId="230E31C8">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a.供应商应仔细阅读谈判文件，充分理解谈判文件的要求。凡与谈判文件的规定有重大不符合的谈判响应文件，</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val="zh-CN"/>
        </w:rPr>
        <w:t>可能被拒绝。</w:t>
      </w:r>
    </w:p>
    <w:p w14:paraId="468743BF">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b.凡没有按谈判响应文件格式和内容编写、谈判响应文件组成不全的供应商，</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val="zh-CN"/>
        </w:rPr>
        <w:t>可能被拒绝。</w:t>
      </w:r>
    </w:p>
    <w:p w14:paraId="51C747B2">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c.供应商必须对谈判文件的所有规定和要求做出实质性响应，否则</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val="zh-CN"/>
        </w:rPr>
        <w:t>可能被拒绝。</w:t>
      </w:r>
    </w:p>
    <w:p w14:paraId="437E5E92">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d.供应商应仔细阅读谈判文件的所有内容，按谈判文件的要求提供谈判响应文件，并保证所提供的全部资料的真实性，否则</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val="zh-CN"/>
        </w:rPr>
        <w:t>可能被拒绝。</w:t>
      </w:r>
    </w:p>
    <w:p w14:paraId="6F07DA02">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谈判报价</w:t>
      </w:r>
    </w:p>
    <w:p w14:paraId="7402EFD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（1）供应商应在谈判采购响应文件中的第一次谈判报价表上（唱价报告），标明谈判总报价、</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lang w:val="zh-CN"/>
        </w:rPr>
        <w:t>期等，任何有选择的报价，采购人和采购代理机构不予接受。</w:t>
      </w:r>
    </w:p>
    <w:p w14:paraId="4158C2D3">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（2）谈判报价是完成</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内容所需的全部费用，包括但不限于含税、运费、安装、技术工作费、资料费、利润、税金、劳保费、保险费、合同包含的所有风险与责任、政策性文件规定的各项应有的一切费用及其它相关的费用。</w:t>
      </w:r>
    </w:p>
    <w:p w14:paraId="53F9EFB6">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（3）谈判报价表成交明的价格在合同执行过程中，不得以任何理由变更。</w:t>
      </w:r>
    </w:p>
    <w:p w14:paraId="23E303E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（4）凡因供应商对谈判文件阅读不深、理解不透、误解、疏漏、或因市场行情了解不清造成的后果和风险均由供应商自负。</w:t>
      </w:r>
    </w:p>
    <w:p w14:paraId="5275B4B0">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（5）供应商应按各自的能力，结合</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内容、完成期限、人员投入等各种因素，综合测定后报价。</w:t>
      </w:r>
    </w:p>
    <w:p w14:paraId="1267BFB4">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（6）采购预算：第一次报价超出采购预算的供应商不进入下一步谈判程序。</w:t>
      </w:r>
    </w:p>
    <w:p w14:paraId="71D7EDBC">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（7）谈判过程中所产生的一切费用由供应商自行承担。</w:t>
      </w:r>
    </w:p>
    <w:p w14:paraId="6787022C">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4.报价货币：人民币。单位：元（精确到小数点后两位）。</w:t>
      </w:r>
    </w:p>
    <w:p w14:paraId="43207491">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5.报价语言：汉语语言文字。</w:t>
      </w:r>
    </w:p>
    <w:p w14:paraId="2F31B8A4">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（四）谈判保证金：</w:t>
      </w:r>
      <w:r>
        <w:rPr>
          <w:rFonts w:hint="eastAsia" w:ascii="宋体" w:hAnsi="宋体" w:eastAsia="宋体" w:cs="宋体"/>
          <w:b/>
          <w:bCs/>
          <w:color w:val="auto"/>
          <w:sz w:val="24"/>
          <w:szCs w:val="24"/>
          <w:highlight w:val="none"/>
          <w:lang w:val="en-US" w:eastAsia="zh-CN"/>
        </w:rPr>
        <w:t>本项目不缴纳投标保证金。</w:t>
      </w:r>
    </w:p>
    <w:p w14:paraId="6395FFDE">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（五）响应文件有效期</w:t>
      </w:r>
    </w:p>
    <w:p w14:paraId="3A1B4109">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响应文件有效期为自谈判之日起九十（90）个日历日，在有效期内响应文件对供应商具有法律约束力，以保证采购人完成评标、定标以及合同签订事项。成交供应商的响应文件有效期自动延长至合同执行完毕。</w:t>
      </w:r>
      <w:bookmarkStart w:id="42" w:name="_Toc29541"/>
      <w:bookmarkEnd w:id="42"/>
      <w:bookmarkStart w:id="43" w:name="_Toc495913685"/>
    </w:p>
    <w:p w14:paraId="5AD2FBC3">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jc w:val="both"/>
        <w:textAlignment w:val="auto"/>
        <w:outlineLvl w:val="1"/>
        <w:rPr>
          <w:rFonts w:hint="eastAsia" w:ascii="宋体" w:hAnsi="宋体" w:eastAsia="宋体" w:cs="宋体"/>
          <w:b/>
          <w:bCs w:val="0"/>
          <w:kern w:val="0"/>
          <w:sz w:val="24"/>
          <w:szCs w:val="24"/>
          <w:highlight w:val="none"/>
        </w:rPr>
      </w:pPr>
      <w:bookmarkStart w:id="44" w:name="_Toc18481"/>
      <w:bookmarkStart w:id="45" w:name="_Toc8392"/>
      <w:bookmarkStart w:id="46" w:name="_Toc25410"/>
      <w:bookmarkStart w:id="47" w:name="_Toc496524267"/>
      <w:bookmarkStart w:id="48" w:name="_Toc21057"/>
      <w:bookmarkStart w:id="49" w:name="_Toc496523731"/>
      <w:r>
        <w:rPr>
          <w:rFonts w:hint="eastAsia" w:ascii="宋体" w:hAnsi="宋体" w:eastAsia="宋体" w:cs="宋体"/>
          <w:b/>
          <w:bCs w:val="0"/>
          <w:kern w:val="0"/>
          <w:sz w:val="24"/>
          <w:szCs w:val="24"/>
          <w:highlight w:val="none"/>
        </w:rPr>
        <w:t>四、响应文件的式样和签署</w:t>
      </w:r>
      <w:bookmarkEnd w:id="43"/>
      <w:bookmarkEnd w:id="44"/>
      <w:bookmarkEnd w:id="45"/>
      <w:bookmarkEnd w:id="46"/>
      <w:bookmarkEnd w:id="47"/>
      <w:bookmarkEnd w:id="48"/>
      <w:bookmarkEnd w:id="49"/>
    </w:p>
    <w:p w14:paraId="4FAE8466">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color w:val="0C0C0C"/>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color w:val="0C0C0C"/>
          <w:sz w:val="24"/>
          <w:szCs w:val="24"/>
          <w:highlight w:val="none"/>
        </w:rPr>
        <w:t>供应商应按照谈判文件格式，准备响应文件正本一份、副本二份及响应文件电子版</w:t>
      </w:r>
      <w:r>
        <w:rPr>
          <w:rFonts w:hint="eastAsia" w:ascii="宋体" w:hAnsi="宋体" w:cs="宋体"/>
          <w:color w:val="0C0C0C"/>
          <w:sz w:val="24"/>
          <w:szCs w:val="24"/>
          <w:highlight w:val="none"/>
          <w:lang w:val="en-US" w:eastAsia="zh-CN"/>
        </w:rPr>
        <w:t>2</w:t>
      </w:r>
      <w:r>
        <w:rPr>
          <w:rFonts w:hint="eastAsia" w:ascii="宋体" w:hAnsi="宋体" w:eastAsia="宋体" w:cs="宋体"/>
          <w:color w:val="0C0C0C"/>
          <w:sz w:val="24"/>
          <w:szCs w:val="24"/>
          <w:highlight w:val="none"/>
        </w:rPr>
        <w:t>份（U盘），并各自装订成册，响应文件的封面上应清楚地标记“正本”、“副本”或“电子版”字样，正本和副本如有不一致之处，以正本为准。</w:t>
      </w:r>
    </w:p>
    <w:p w14:paraId="75B96160">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（二）响应文件的正本和所有的副本均需打印或用不褪色蓝（黑）墨水（汁）书写，统一装订。因字迹不清、表达不准或不按给定的响应文件格式编制的响应文件，所引起的不利后果由供应商自负。</w:t>
      </w:r>
    </w:p>
    <w:p w14:paraId="4D1A45A8">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（三）响应文件的正本和所有的副本在需要盖公章处必须加盖供应商红色公章。</w:t>
      </w:r>
    </w:p>
    <w:p w14:paraId="163B78A2">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（四）除供应商对错处做必要修改外，响应文件不得行间插字、涂改和增删，如有修改错漏处，必须由供应商法定代表人或其授权人代表签字或盖章。</w:t>
      </w:r>
    </w:p>
    <w:p w14:paraId="462E20D0">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（五）响应文件的打印应清楚工整，统一采用A4纸编制（如部分附表需要用其他规格的复印纸编写，则应按A4复印纸折叠）。</w:t>
      </w:r>
    </w:p>
    <w:p w14:paraId="2EA8C603">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响应文件应牢固装订成册，不可插页抽页。牢固装订成册是指用适当的办法,书脊涂有胶粘剂以保证响应文件不至于散开或用简单办法不能将任何一页在没有任何损坏的情况下取出或插入。各种用活页夹、文件夹、塑料方便式书脊（插入式或穿孔式）装订均不认为是牢固装订。</w:t>
      </w:r>
    </w:p>
    <w:p w14:paraId="03B4C5C6">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jc w:val="both"/>
        <w:textAlignment w:val="auto"/>
        <w:outlineLvl w:val="1"/>
        <w:rPr>
          <w:rFonts w:hint="eastAsia" w:ascii="宋体" w:hAnsi="宋体" w:eastAsia="宋体" w:cs="宋体"/>
          <w:bCs/>
          <w:kern w:val="0"/>
          <w:sz w:val="24"/>
          <w:szCs w:val="24"/>
          <w:highlight w:val="none"/>
        </w:rPr>
      </w:pPr>
      <w:bookmarkStart w:id="50" w:name="_Toc21073"/>
      <w:bookmarkEnd w:id="50"/>
      <w:bookmarkStart w:id="51" w:name="_Toc495913686"/>
      <w:bookmarkStart w:id="52" w:name="_Toc13293"/>
      <w:bookmarkStart w:id="53" w:name="_Toc496523732"/>
      <w:bookmarkStart w:id="54" w:name="_Toc26262"/>
      <w:bookmarkStart w:id="55" w:name="_Toc496524268"/>
      <w:bookmarkStart w:id="56" w:name="_Toc12784"/>
      <w:bookmarkStart w:id="57" w:name="_Toc13207"/>
      <w:r>
        <w:rPr>
          <w:rFonts w:hint="eastAsia" w:ascii="宋体" w:hAnsi="宋体" w:eastAsia="宋体" w:cs="宋体"/>
          <w:b/>
          <w:bCs w:val="0"/>
          <w:kern w:val="0"/>
          <w:sz w:val="24"/>
          <w:szCs w:val="24"/>
          <w:highlight w:val="none"/>
        </w:rPr>
        <w:t>五、响应文件的密封和递交</w:t>
      </w:r>
      <w:bookmarkEnd w:id="51"/>
      <w:bookmarkEnd w:id="52"/>
      <w:bookmarkEnd w:id="53"/>
      <w:bookmarkEnd w:id="54"/>
      <w:bookmarkEnd w:id="55"/>
      <w:bookmarkEnd w:id="56"/>
      <w:bookmarkEnd w:id="57"/>
    </w:p>
    <w:p w14:paraId="356F4904">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（一）响应文件密封</w:t>
      </w:r>
    </w:p>
    <w:p w14:paraId="206F8292">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1.供应商应将响应文件的正本、所有副本及响应文件电子版，用单独的信封分别密封，且在信封上标明“正本”、“副本”、“电子版”字样。在规定的提交响应文件截止时间前，响应文件须当面递交。</w:t>
      </w:r>
    </w:p>
    <w:p w14:paraId="0263C540">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封套应加封条密封，在封线处加盖公章（骑缝章），标明项目编号、项目名称，供应商全称（公章）等内容。 </w:t>
      </w:r>
    </w:p>
    <w:p w14:paraId="1B92DBF0">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 如果响应文件未按要求密封和加写标记，采购代理机构对误投或过早启封的响应文件概不负责。</w:t>
      </w:r>
    </w:p>
    <w:p w14:paraId="6D0ED91D">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（二）响应文件的递交</w:t>
      </w:r>
    </w:p>
    <w:p w14:paraId="5EDCB522">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采购代理机构收到响应文件的时间不得迟于谈判文件规定的截止时间；谈判文件规定的截止时间以后送达的响应文件，将被拒绝接受，采购代理机构在谈判文件规定的响应文件递交截止时间前，只负责响应文件的接收、登记和组织工作，对其响应文件的有效性不负任何责任。采购代理机构将拒绝并原封退回在截止期后收到的任何响应文件。</w:t>
      </w:r>
    </w:p>
    <w:p w14:paraId="45A12E24">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2.响应文件递送后，在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截止期前，经采购代理机构同意后供应商可以修改或撤回其响应文件。修改或撤回的内容应按谈判文件的规定编制、密封、标记和发送。并在封套上加注“修改”或“撤回”字样。</w:t>
      </w:r>
    </w:p>
    <w:p w14:paraId="09164F8A">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3.递交截止期后，供应商不得对其响应文件做任何修改。</w:t>
      </w:r>
    </w:p>
    <w:p w14:paraId="110330DF">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4.在递交截止期后到谈判文件规定的响应文件有效期满之间的这段时间内，供应商不得撤回其响应文件，否则，其谈判保证金将被没收。</w:t>
      </w:r>
    </w:p>
    <w:p w14:paraId="6C246AC7">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jc w:val="both"/>
        <w:textAlignment w:val="auto"/>
        <w:outlineLvl w:val="1"/>
        <w:rPr>
          <w:rFonts w:hint="eastAsia" w:ascii="宋体" w:hAnsi="宋体" w:eastAsia="宋体" w:cs="宋体"/>
          <w:bCs/>
          <w:kern w:val="0"/>
          <w:sz w:val="24"/>
          <w:szCs w:val="24"/>
          <w:highlight w:val="none"/>
        </w:rPr>
      </w:pPr>
      <w:bookmarkStart w:id="58" w:name="_Toc6082"/>
      <w:bookmarkEnd w:id="58"/>
      <w:bookmarkStart w:id="59" w:name="_Toc6441"/>
      <w:bookmarkStart w:id="60" w:name="_Toc11746"/>
      <w:bookmarkStart w:id="61" w:name="_Toc30204"/>
      <w:bookmarkStart w:id="62" w:name="_Toc9658"/>
      <w:bookmarkStart w:id="63" w:name="_Toc496524272"/>
      <w:bookmarkStart w:id="64" w:name="_Toc495913690"/>
      <w:bookmarkStart w:id="65" w:name="_Toc496523742"/>
      <w:r>
        <w:rPr>
          <w:rFonts w:hint="eastAsia" w:ascii="宋体" w:hAnsi="宋体" w:eastAsia="宋体" w:cs="宋体"/>
          <w:b/>
          <w:bCs w:val="0"/>
          <w:kern w:val="0"/>
          <w:sz w:val="24"/>
          <w:szCs w:val="24"/>
          <w:highlight w:val="none"/>
        </w:rPr>
        <w:t>六、谈判小组组成及职责</w:t>
      </w:r>
      <w:bookmarkEnd w:id="59"/>
      <w:bookmarkEnd w:id="60"/>
      <w:bookmarkEnd w:id="61"/>
      <w:bookmarkEnd w:id="62"/>
    </w:p>
    <w:p w14:paraId="32C371E5">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（一）</w:t>
      </w:r>
      <w:r>
        <w:rPr>
          <w:rFonts w:hint="eastAsia" w:ascii="宋体" w:hAnsi="宋体" w:eastAsia="宋体" w:cs="宋体"/>
          <w:sz w:val="24"/>
          <w:szCs w:val="24"/>
          <w:highlight w:val="none"/>
        </w:rPr>
        <w:t>为确保谈判工作公平、公正，根据有关规定成立谈判小组。谈判小组由采购人代表及有关专家组成，专家比例不少于谈判小组成员总数的三分之二。谈判小组成员</w:t>
      </w:r>
      <w:r>
        <w:rPr>
          <w:rFonts w:hint="eastAsia" w:ascii="宋体" w:hAnsi="宋体" w:eastAsia="宋体" w:cs="宋体"/>
          <w:sz w:val="24"/>
          <w:szCs w:val="24"/>
          <w:highlight w:val="none"/>
          <w:lang w:val="en-US" w:eastAsia="zh-CN"/>
        </w:rPr>
        <w:t>专家</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专家库中随机抽取。谈判小组成员应当遵守并履行下列义务：</w:t>
      </w:r>
    </w:p>
    <w:p w14:paraId="36EDDE94">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1.遵纪守法，客观、公正、廉洁地履行职责，审查谈判响应文件是否符合竞争性谈判文件的要求，并做出评价；</w:t>
      </w:r>
    </w:p>
    <w:p w14:paraId="553734A9">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2.要求供应商对谈判响应文件有关事项做出解释或者澄清；</w:t>
      </w:r>
    </w:p>
    <w:p w14:paraId="64F02A7B">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3.按照竞争性谈判文件的要求和谈判办法进行评审，推荐成交候选供应商名单，对评审意见承担个人责任；</w:t>
      </w:r>
    </w:p>
    <w:p w14:paraId="7D04E274">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4.对评审过程和结果以及供应商的商业秘密保密；</w:t>
      </w:r>
    </w:p>
    <w:p w14:paraId="27DBC7F7">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5.编写谈判评审报告；</w:t>
      </w:r>
    </w:p>
    <w:p w14:paraId="6EDF4787">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6.配合采购代理机构答复供应商提出的质疑；</w:t>
      </w:r>
    </w:p>
    <w:p w14:paraId="04DC9D65">
      <w:pPr>
        <w:keepNext w:val="0"/>
        <w:keepLines w:val="0"/>
        <w:pageBreakBefore w:val="0"/>
        <w:widowControl w:val="0"/>
        <w:shd w:val="clear" w:color="auto" w:fill="auto"/>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7.配合财政部门的投诉处理工作；</w:t>
      </w:r>
    </w:p>
    <w:p w14:paraId="4479FFE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8.依据政府采购法有关精神，有权对谈判过程中出现的一切问题做出处理决定。</w:t>
      </w:r>
    </w:p>
    <w:p w14:paraId="0E242F5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（二）</w:t>
      </w:r>
      <w:r>
        <w:rPr>
          <w:rFonts w:hint="eastAsia" w:ascii="宋体" w:hAnsi="宋体" w:eastAsia="宋体" w:cs="宋体"/>
          <w:sz w:val="24"/>
          <w:szCs w:val="24"/>
          <w:highlight w:val="none"/>
        </w:rPr>
        <w:t>谈判小组的职能：</w:t>
      </w:r>
    </w:p>
    <w:p w14:paraId="58A3F1D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1.审查参加谈判供应商的资质文件是否齐全、合法、有效；</w:t>
      </w:r>
    </w:p>
    <w:p w14:paraId="01FBBA41">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2.与各供应商就谈判响应文件（含澄清、说明或补正的内容）中的设计方案、实施方案、谈判报价、商务响应等进行谈判；</w:t>
      </w:r>
    </w:p>
    <w:p w14:paraId="61937B26">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3.依据谈判文件，并视谈判响应情况，确定进入最终谈判的供应商；</w:t>
      </w:r>
    </w:p>
    <w:p w14:paraId="44E9F5C2">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4.排序推荐成交侯选供应商；</w:t>
      </w:r>
    </w:p>
    <w:p w14:paraId="3086CDBA">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5.协商处理谈判过程中出现的其它相关问题。</w:t>
      </w:r>
    </w:p>
    <w:p w14:paraId="1D4E4C27">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（三）</w:t>
      </w:r>
      <w:r>
        <w:rPr>
          <w:rFonts w:hint="eastAsia" w:ascii="宋体" w:hAnsi="宋体" w:eastAsia="宋体" w:cs="宋体"/>
          <w:sz w:val="24"/>
          <w:szCs w:val="24"/>
          <w:highlight w:val="none"/>
        </w:rPr>
        <w:t>竞争性谈判开始后，直到与成交的供应商签订合同为止，凡与审查、澄清、评价和比较各供应商的有关资料及意见等内容，谈判小组均不得向供应商及与谈判无关的其他人透露。</w:t>
      </w:r>
    </w:p>
    <w:p w14:paraId="3F0C1368">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jc w:val="both"/>
        <w:textAlignment w:val="auto"/>
        <w:outlineLvl w:val="1"/>
        <w:rPr>
          <w:rFonts w:hint="eastAsia" w:ascii="宋体" w:hAnsi="宋体" w:eastAsia="宋体" w:cs="宋体"/>
          <w:bCs/>
          <w:kern w:val="0"/>
          <w:sz w:val="24"/>
          <w:szCs w:val="24"/>
          <w:highlight w:val="none"/>
        </w:rPr>
      </w:pPr>
      <w:bookmarkStart w:id="66" w:name="_Toc28988"/>
      <w:bookmarkStart w:id="67" w:name="_Toc31981"/>
      <w:bookmarkStart w:id="68" w:name="_Toc25222"/>
      <w:bookmarkStart w:id="69" w:name="_Toc6034"/>
      <w:r>
        <w:rPr>
          <w:rFonts w:hint="eastAsia" w:ascii="宋体" w:hAnsi="宋体" w:eastAsia="宋体" w:cs="宋体"/>
          <w:b/>
          <w:bCs w:val="0"/>
          <w:kern w:val="0"/>
          <w:sz w:val="24"/>
          <w:szCs w:val="24"/>
          <w:highlight w:val="none"/>
        </w:rPr>
        <w:t>七、谈判评审程序及评审办法</w:t>
      </w:r>
      <w:bookmarkEnd w:id="66"/>
      <w:bookmarkEnd w:id="67"/>
      <w:bookmarkEnd w:id="68"/>
      <w:bookmarkEnd w:id="69"/>
    </w:p>
    <w:p w14:paraId="3C88B94A">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（一）谈判会议</w:t>
      </w:r>
    </w:p>
    <w:p w14:paraId="33FF9E32">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1.在谈判文件规定的时间和地点，由采购代理机构组织谈判工作，供应商须委派代表参加，签名报到以证明其出席。谈判整个过程接受监督机构的监督和管理。</w:t>
      </w:r>
    </w:p>
    <w:p w14:paraId="63A21004">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2.竞争性谈判第一次报价记录前，由供应商或其推荐的代表与采购监督人共同检查谈判响应文件的密封情况，经检查无误后，签字确认。</w:t>
      </w:r>
    </w:p>
    <w:p w14:paraId="3C4DF9B0">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3.采购代理机构工作人员将第一次谈判报价表的内容进行记录。</w:t>
      </w:r>
    </w:p>
    <w:p w14:paraId="217811FF">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4.谈判过程由采购代理机构指定专人记录。</w:t>
      </w:r>
    </w:p>
    <w:p w14:paraId="1763510C">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5.谈判响应文件出现下列情况，修正原则为：</w:t>
      </w:r>
    </w:p>
    <w:p w14:paraId="782B7D6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（1）谈判时，谈判响应文件中谈判报价表内容与谈判响应文件中明细表内容不一致的，以谈判一览表为准；</w:t>
      </w:r>
    </w:p>
    <w:p w14:paraId="45420968">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（2）谈判响应文件的大写金额和小写金额不一致的，以大写金额为准；</w:t>
      </w:r>
    </w:p>
    <w:p w14:paraId="7AFE6316">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（3）总价金额与按单价汇总金额不一致的，以单价金额计算结果为准；单价金额小数点有明显错位的，应以总价为准，并修改单价； </w:t>
      </w:r>
    </w:p>
    <w:p w14:paraId="749DA97F">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（4）文字与图表不符以文字为准；</w:t>
      </w:r>
    </w:p>
    <w:p w14:paraId="4066A5E3">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（5）正本与副本不符以正本为准。</w:t>
      </w:r>
    </w:p>
    <w:p w14:paraId="62D9888B">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（二）谈判响应文件有效性、完整性和响应程度审查：</w:t>
      </w:r>
    </w:p>
    <w:p w14:paraId="5A22D907">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对各个供应商的谈判响应文件先进行资格有效性审查、再</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谈判小组进行完整性审查、最后进行响应程度审查。审查全都合格的供应商才有参加谈判的资格。</w:t>
      </w:r>
    </w:p>
    <w:p w14:paraId="09A6A6DC">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1.资格有效性审查内容为谈判文件要求的供应商资格要求内容，供应商应在谈判响应文件中附以相应资格证明文件。</w:t>
      </w:r>
    </w:p>
    <w:p w14:paraId="1DB96A7F">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2.符合性审查内容为：</w:t>
      </w:r>
    </w:p>
    <w:p w14:paraId="21E9C6B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rPr>
        <w:t>期是否完全响应;</w:t>
      </w:r>
    </w:p>
    <w:p w14:paraId="3D4FFB8A">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（2）付款方式是否完全响应;</w:t>
      </w:r>
      <w:r>
        <w:rPr>
          <w:rFonts w:hint="eastAsia" w:ascii="宋体" w:hAnsi="宋体" w:eastAsia="宋体" w:cs="宋体"/>
          <w:sz w:val="24"/>
          <w:szCs w:val="24"/>
          <w:highlight w:val="none"/>
        </w:rPr>
        <w:tab/>
      </w:r>
    </w:p>
    <w:p w14:paraId="65B7F36C">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（3）谈判响应文件的数量是否合格;</w:t>
      </w:r>
    </w:p>
    <w:p w14:paraId="2DE61674">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（4）谈判响应文件有效期是否合格;</w:t>
      </w:r>
    </w:p>
    <w:p w14:paraId="47833080">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（5）谈判响应文件的签字盖章是否合格;</w:t>
      </w:r>
      <w:r>
        <w:rPr>
          <w:rFonts w:hint="eastAsia" w:ascii="宋体" w:hAnsi="宋体" w:eastAsia="宋体" w:cs="宋体"/>
          <w:sz w:val="24"/>
          <w:szCs w:val="24"/>
          <w:highlight w:val="none"/>
        </w:rPr>
        <w:tab/>
      </w:r>
    </w:p>
    <w:p w14:paraId="39BAA1C2">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（6）谈判响应文件内容是否齐全，字迹是否清晰可辨，格式是否符合谈判文件规定的格式要求;</w:t>
      </w:r>
    </w:p>
    <w:p w14:paraId="50BA6B7E">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（7）谈判文件规定的其他要求。</w:t>
      </w:r>
      <w:r>
        <w:rPr>
          <w:rFonts w:hint="eastAsia" w:ascii="宋体" w:hAnsi="宋体" w:eastAsia="宋体" w:cs="宋体"/>
          <w:sz w:val="24"/>
          <w:szCs w:val="24"/>
          <w:highlight w:val="none"/>
        </w:rPr>
        <w:tab/>
      </w:r>
    </w:p>
    <w:p w14:paraId="44DEE69A">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 响应程度审查内容为：</w:t>
      </w:r>
    </w:p>
    <w:p w14:paraId="5B8D407C">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（1）实施方案是否满足谈判文件要求；</w:t>
      </w:r>
    </w:p>
    <w:p w14:paraId="2823180D">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（2）实施方案是否按照谈判文件要求进行；</w:t>
      </w:r>
    </w:p>
    <w:p w14:paraId="75EB1940">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（3）谈判文件规定的其他情形。</w:t>
      </w:r>
    </w:p>
    <w:p w14:paraId="011D8702">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谈判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B0FA39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谈判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14:paraId="4D9B134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6.谈判小组对供应商谈判响应文件进行有效性、完整性和响应程度审查，出现下列情况之一者不得进入谈判程序。</w:t>
      </w:r>
    </w:p>
    <w:p w14:paraId="70425240">
      <w:pPr>
        <w:keepNext w:val="0"/>
        <w:keepLines w:val="0"/>
        <w:pageBreakBefore w:val="0"/>
        <w:widowControl w:val="0"/>
        <w:shd w:val="clear" w:color="auto" w:fill="auto"/>
        <w:tabs>
          <w:tab w:val="left" w:pos="9030"/>
        </w:tabs>
        <w:kinsoku/>
        <w:wordWrap/>
        <w:overflowPunct/>
        <w:topLinePunct w:val="0"/>
        <w:bidi w:val="0"/>
        <w:snapToGrid w:val="0"/>
        <w:spacing w:line="480" w:lineRule="exact"/>
        <w:ind w:left="0" w:leftChars="0" w:right="-65"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（1）供应商没有经过正常渠道</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lang w:val="zh-CN"/>
        </w:rPr>
        <w:t>谈判文件或供应商的名称与登记领取谈判文件单位的名称不符。</w:t>
      </w:r>
    </w:p>
    <w:p w14:paraId="79A0CC0A">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（2）谈判响应文件中未提交法定代表人授权书（法定代表人直接参与谈判未按要求提交其有效身份证）或授权书的合法性或有效性不符合谈判文件规定。</w:t>
      </w:r>
    </w:p>
    <w:p w14:paraId="2C83E3C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必备资质的有效性或符合性不符合要求的。供应商提供的资质与谈判文件所附的复印件不一致的，要求提交原件未提交原件的。</w:t>
      </w:r>
    </w:p>
    <w:p w14:paraId="3736CEE8">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（4）谈判响应文件内容不全或字迹模糊辨认不清，导致谈判响应文件不满足谈判文件实质性要求的。 </w:t>
      </w:r>
    </w:p>
    <w:p w14:paraId="3954DEEC">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（5）谈判响应文件未按谈判文件规定要求签署、盖章。</w:t>
      </w:r>
    </w:p>
    <w:p w14:paraId="78B6B283">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（6）谈判响应文件的商务响应与谈判文件商务要求（</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lang w:val="zh-CN"/>
        </w:rPr>
        <w:t>期、付款、验收、质量保证、售后服务等项）出现重大偏离的或附加了采购人难以接受的条件。</w:t>
      </w:r>
    </w:p>
    <w:p w14:paraId="2C8D378B">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w:t>
      </w:r>
      <w:r>
        <w:rPr>
          <w:rFonts w:hint="eastAsia" w:ascii="宋体" w:hAnsi="宋体" w:eastAsia="宋体" w:cs="宋体"/>
          <w:sz w:val="24"/>
          <w:szCs w:val="24"/>
          <w:highlight w:val="none"/>
        </w:rPr>
        <w:t>谈判响应文件中</w:t>
      </w:r>
      <w:r>
        <w:rPr>
          <w:rFonts w:hint="eastAsia" w:ascii="宋体" w:hAnsi="宋体" w:eastAsia="宋体" w:cs="宋体"/>
          <w:sz w:val="24"/>
          <w:szCs w:val="24"/>
          <w:highlight w:val="none"/>
          <w:lang w:val="zh-CN"/>
        </w:rPr>
        <w:t>出现漏项或</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lang w:val="zh-CN"/>
        </w:rPr>
        <w:t>方案与要求不符的。</w:t>
      </w:r>
    </w:p>
    <w:p w14:paraId="7E5B9D30">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（8）</w:t>
      </w:r>
      <w:r>
        <w:rPr>
          <w:rFonts w:hint="eastAsia" w:ascii="宋体" w:hAnsi="宋体" w:eastAsia="宋体" w:cs="宋体"/>
          <w:sz w:val="24"/>
          <w:szCs w:val="24"/>
          <w:highlight w:val="none"/>
        </w:rPr>
        <w:t>谈判响应文件中必须响应的技术参数出现重大偏离导致达不到采购要求的。</w:t>
      </w:r>
    </w:p>
    <w:p w14:paraId="04384CAC">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（9）供应商针对同一采购内容递交两份或多份内容不同的谈判响应文件，未书面声明哪一份是有效的或出现选择性报价的。</w:t>
      </w:r>
    </w:p>
    <w:p w14:paraId="40E98E6D">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（10）未提</w:t>
      </w:r>
      <w:bookmarkStart w:id="171" w:name="_GoBack"/>
      <w:bookmarkEnd w:id="171"/>
      <w:r>
        <w:rPr>
          <w:rFonts w:hint="eastAsia" w:ascii="宋体" w:hAnsi="宋体" w:eastAsia="宋体" w:cs="宋体"/>
          <w:sz w:val="24"/>
          <w:szCs w:val="24"/>
          <w:highlight w:val="none"/>
        </w:rPr>
        <w:t>交保证金缴纳凭据的。</w:t>
      </w:r>
    </w:p>
    <w:p w14:paraId="7E6AF48D">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（11）提供虚假证明，开具虚假资质，出现虚假应答的。</w:t>
      </w:r>
    </w:p>
    <w:p w14:paraId="69A1DEDE">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（12）第一次谈判报价超出采购预算的。</w:t>
      </w:r>
    </w:p>
    <w:p w14:paraId="7096A19E">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（三）谈判：谈判小组所有成员集中与单一供应商分别进行谈判，并给所有参加谈判供应商平等的谈判机会。</w:t>
      </w:r>
    </w:p>
    <w:p w14:paraId="7C6E7CBA">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1.在谈判过程中，谈判小组可以根据谈判文件和谈判情况实质性变动采购需求中的技术、</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rPr>
        <w:t>要求以及合同草案条款，但不得变动谈判文件中的其他内容。实质性变动的内容，须经采购人代表确认。</w:t>
      </w:r>
    </w:p>
    <w:p w14:paraId="7B8D2E89">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2.对谈判文件作出的实质性变动是谈判文件的有效组成部分，谈判小组应当及时以书面形式同时通知所有参加谈判的供应商。</w:t>
      </w:r>
    </w:p>
    <w:p w14:paraId="7434A7BD">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12CDE3B">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（四）最终报价</w:t>
      </w:r>
    </w:p>
    <w:p w14:paraId="34936F29">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1.谈判文件能够详细列明采购的技术、</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rPr>
        <w:t>要求的，谈判结束后，谈判小组应当要求所有实质性响应的供应商在规定时间内提交最后报价，提交最后报价的供应商不得少于3家。</w:t>
      </w:r>
    </w:p>
    <w:p w14:paraId="680C8070">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2.谈判文件不能详细列明采购的技术、</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rPr>
        <w:t>要求，需经谈判由供应商提供最终设计方案或解决方案的，谈判结束后，谈判小组应当按照少数服从多数的原则投票推荐3家以上供应商的设计方案或者解决方案，并要求其在规定时间内提交最后报价。</w:t>
      </w:r>
    </w:p>
    <w:p w14:paraId="2B25611E">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（五）评审办法</w:t>
      </w:r>
    </w:p>
    <w:p w14:paraId="071CE6A2">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bCs/>
          <w:snapToGrid w:val="0"/>
          <w:kern w:val="0"/>
          <w:sz w:val="24"/>
          <w:szCs w:val="24"/>
          <w:highlight w:val="none"/>
        </w:rPr>
        <w:t>1.</w:t>
      </w:r>
      <w:r>
        <w:rPr>
          <w:rFonts w:hint="eastAsia" w:ascii="宋体" w:hAnsi="宋体" w:eastAsia="宋体" w:cs="宋体"/>
          <w:sz w:val="24"/>
          <w:szCs w:val="24"/>
          <w:highlight w:val="none"/>
        </w:rPr>
        <w:t>评审原则</w:t>
      </w:r>
    </w:p>
    <w:p w14:paraId="23A8D9D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bCs/>
          <w:snapToGrid w:val="0"/>
          <w:kern w:val="0"/>
          <w:sz w:val="24"/>
          <w:szCs w:val="24"/>
          <w:highlight w:val="none"/>
        </w:rPr>
      </w:pPr>
      <w:r>
        <w:rPr>
          <w:rFonts w:hint="eastAsia" w:ascii="宋体" w:hAnsi="宋体" w:eastAsia="宋体" w:cs="宋体"/>
          <w:sz w:val="24"/>
          <w:szCs w:val="24"/>
          <w:highlight w:val="none"/>
        </w:rPr>
        <w:t>依据《中华人民共和国政府采购法》、《政府采购非招标采购方式管理办法》(74号令)及有关法律、法规，进行竞争性谈判，在满足竞争性谈判文件要求的前提下，按最终报价以最低价确定成交单位。</w:t>
      </w:r>
    </w:p>
    <w:p w14:paraId="7AC0D199">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bCs/>
          <w:snapToGrid w:val="0"/>
          <w:kern w:val="0"/>
          <w:sz w:val="24"/>
          <w:szCs w:val="24"/>
          <w:highlight w:val="none"/>
        </w:rPr>
      </w:pPr>
      <w:r>
        <w:rPr>
          <w:rFonts w:hint="eastAsia" w:ascii="宋体" w:hAnsi="宋体" w:eastAsia="宋体" w:cs="宋体"/>
          <w:bCs/>
          <w:snapToGrid w:val="0"/>
          <w:kern w:val="0"/>
          <w:sz w:val="24"/>
          <w:szCs w:val="24"/>
          <w:highlight w:val="none"/>
        </w:rPr>
        <w:t>2.评审方法：</w:t>
      </w:r>
    </w:p>
    <w:p w14:paraId="23D35E20">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（1）审查供应商资质</w:t>
      </w:r>
      <w:r>
        <w:rPr>
          <w:rFonts w:hint="eastAsia" w:ascii="宋体" w:hAnsi="宋体" w:eastAsia="宋体" w:cs="宋体"/>
          <w:sz w:val="24"/>
          <w:szCs w:val="24"/>
          <w:highlight w:val="none"/>
          <w:lang w:eastAsia="zh-CN"/>
        </w:rPr>
        <w:t>（由采购人代表对供应商的资格进行审查）；</w:t>
      </w:r>
    </w:p>
    <w:p w14:paraId="7207EC43">
      <w:pPr>
        <w:keepNext w:val="0"/>
        <w:keepLines w:val="0"/>
        <w:pageBreakBefore w:val="0"/>
        <w:shd w:val="clear" w:color="auto" w:fill="auto"/>
        <w:kinsoku/>
        <w:wordWrap/>
        <w:overflowPunct/>
        <w:topLinePunct w:val="0"/>
        <w:bidi w:val="0"/>
        <w:snapToGrid w:val="0"/>
        <w:spacing w:line="480" w:lineRule="exact"/>
        <w:rPr>
          <w:rFonts w:hint="eastAsia" w:ascii="宋体" w:hAnsi="宋体" w:eastAsia="宋体" w:cs="宋体"/>
          <w:sz w:val="24"/>
          <w:szCs w:val="24"/>
          <w:highlight w:val="none"/>
          <w:lang w:eastAsia="zh-CN"/>
        </w:rPr>
      </w:pPr>
    </w:p>
    <w:tbl>
      <w:tblPr>
        <w:tblStyle w:val="35"/>
        <w:tblW w:w="4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6774"/>
        <w:gridCol w:w="1807"/>
      </w:tblGrid>
      <w:tr w14:paraId="083B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91" w:type="pct"/>
            <w:noWrap w:val="0"/>
            <w:vAlign w:val="center"/>
          </w:tcPr>
          <w:p w14:paraId="6DBEF734">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序号</w:t>
            </w:r>
          </w:p>
        </w:tc>
        <w:tc>
          <w:tcPr>
            <w:tcW w:w="3558" w:type="pct"/>
            <w:noWrap w:val="0"/>
            <w:vAlign w:val="center"/>
          </w:tcPr>
          <w:p w14:paraId="7834225D">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240" w:firstLineChars="10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资格审查内容</w:t>
            </w:r>
          </w:p>
        </w:tc>
        <w:tc>
          <w:tcPr>
            <w:tcW w:w="949" w:type="pct"/>
            <w:noWrap w:val="0"/>
            <w:vAlign w:val="center"/>
          </w:tcPr>
          <w:p w14:paraId="385D189A">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240" w:firstLineChars="10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结论</w:t>
            </w:r>
          </w:p>
        </w:tc>
      </w:tr>
      <w:tr w14:paraId="2FC0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noWrap w:val="0"/>
            <w:vAlign w:val="center"/>
          </w:tcPr>
          <w:p w14:paraId="426FC27E">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3558" w:type="pct"/>
            <w:noWrap w:val="0"/>
            <w:vAlign w:val="center"/>
          </w:tcPr>
          <w:p w14:paraId="61D5106E">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具有独立承担民事责任的能力：提供具有独立承担民事责任能力的法人或其他组织，提供合法有效的营业执照、税务登记证、组织机构代码证（三证合一的企业提供统一社会信用代码的营业执照）（原件的复印件加盖公章）</w:t>
            </w:r>
          </w:p>
        </w:tc>
        <w:tc>
          <w:tcPr>
            <w:tcW w:w="949" w:type="pct"/>
            <w:noWrap w:val="0"/>
            <w:vAlign w:val="center"/>
          </w:tcPr>
          <w:p w14:paraId="18C1571B">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1F55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noWrap w:val="0"/>
            <w:vAlign w:val="center"/>
          </w:tcPr>
          <w:p w14:paraId="783DA2D2">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3558" w:type="pct"/>
            <w:noWrap w:val="0"/>
            <w:vAlign w:val="center"/>
          </w:tcPr>
          <w:p w14:paraId="07020AC4">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具有良好的商业信誉和健全的财务会计制度：提供具有财务审计资质单位出具的2024年度审计报告或提供供应商基本存款账户信息及开标日期前90日内其基本存款账户开户银行出具的资信证明。以上形式的证明资料提供任何一种即可。</w:t>
            </w:r>
          </w:p>
        </w:tc>
        <w:tc>
          <w:tcPr>
            <w:tcW w:w="949" w:type="pct"/>
            <w:noWrap w:val="0"/>
            <w:vAlign w:val="center"/>
          </w:tcPr>
          <w:p w14:paraId="79DA1939">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430E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noWrap w:val="0"/>
            <w:vAlign w:val="center"/>
          </w:tcPr>
          <w:p w14:paraId="243F4560">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3558" w:type="pct"/>
            <w:noWrap w:val="0"/>
            <w:vAlign w:val="center"/>
          </w:tcPr>
          <w:p w14:paraId="31050108">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具有履行合同所必需的设备和专业技术能力：出具履行合同所必需的设备和专业技术能力的书面声明。</w:t>
            </w:r>
          </w:p>
        </w:tc>
        <w:tc>
          <w:tcPr>
            <w:tcW w:w="949" w:type="pct"/>
            <w:noWrap w:val="0"/>
            <w:vAlign w:val="center"/>
          </w:tcPr>
          <w:p w14:paraId="64CD874E">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6D9C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noWrap w:val="0"/>
            <w:vAlign w:val="center"/>
          </w:tcPr>
          <w:p w14:paraId="4139906E">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3558" w:type="pct"/>
            <w:noWrap w:val="0"/>
            <w:vAlign w:val="center"/>
          </w:tcPr>
          <w:p w14:paraId="6AD11760">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有依法缴纳税收和社会保障资金的良好记录：①投标供应商近六个月内（投标截止时间前）任意1个月纳税证明材料：根据税务部门出具的完税凭证或纳税的银行转账汇款单、对账单等判定，如依法免税或不需要纳税的，提供相应证明材料。②投标供应商近六个月内（投标截止时间前）任意1个月缴纳社会保障金证明材料：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c>
          <w:tcPr>
            <w:tcW w:w="949" w:type="pct"/>
            <w:noWrap w:val="0"/>
            <w:vAlign w:val="center"/>
          </w:tcPr>
          <w:p w14:paraId="2DF58B2D">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16B9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noWrap w:val="0"/>
            <w:vAlign w:val="center"/>
          </w:tcPr>
          <w:p w14:paraId="7D4A242C">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3558" w:type="pct"/>
            <w:noWrap w:val="0"/>
            <w:vAlign w:val="center"/>
          </w:tcPr>
          <w:p w14:paraId="4E69E305">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参加政府采购活动前三年内，在经营活动中没有重大违法记录：不得为“信用中国”网站(http：//www.creditchina.gov.cn)列入“失信被执行人或重大税收违法失信主体或政府采购严重违法失信行为记录名单”的供应商；不得为中国政府采购网(http：//www.ccgp.gov.cn)“政府采购严重违法失信行为记录名单”中的供应商；</w:t>
            </w:r>
          </w:p>
        </w:tc>
        <w:tc>
          <w:tcPr>
            <w:tcW w:w="949" w:type="pct"/>
            <w:noWrap w:val="0"/>
            <w:vAlign w:val="center"/>
          </w:tcPr>
          <w:p w14:paraId="4B85F01B">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56E9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noWrap w:val="0"/>
            <w:vAlign w:val="center"/>
          </w:tcPr>
          <w:p w14:paraId="6FCC31AF">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3558" w:type="pct"/>
            <w:noWrap w:val="0"/>
            <w:vAlign w:val="center"/>
          </w:tcPr>
          <w:p w14:paraId="2B5D7C26">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法律、行政法规规定的其他条件：供应商满足法律、行政法规规定的其他条件的书面声明。</w:t>
            </w:r>
          </w:p>
        </w:tc>
        <w:tc>
          <w:tcPr>
            <w:tcW w:w="949" w:type="pct"/>
            <w:noWrap w:val="0"/>
            <w:vAlign w:val="center"/>
          </w:tcPr>
          <w:p w14:paraId="5CA67F88">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0F6C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91" w:type="pct"/>
            <w:noWrap w:val="0"/>
            <w:vAlign w:val="center"/>
          </w:tcPr>
          <w:p w14:paraId="5D353A34">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3558" w:type="pct"/>
            <w:noWrap w:val="0"/>
            <w:vAlign w:val="center"/>
          </w:tcPr>
          <w:p w14:paraId="691E839E">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法定代表人身份证明或法定代表人授权委托书：供应商应授权合法的人员参加投标全过程，其中法定代表人直接参加投标的，须出具法人身份证，并与营业执照上信息一致。法定代表人授权代表参加投标的，须出具法定代表人授权书及授权代表身份证、授权代表在投标前6个月内（不含投标当月）任意3个月由供应商缴纳社保证明材料的复印件</w:t>
            </w:r>
          </w:p>
        </w:tc>
        <w:tc>
          <w:tcPr>
            <w:tcW w:w="949" w:type="pct"/>
            <w:noWrap w:val="0"/>
            <w:vAlign w:val="center"/>
          </w:tcPr>
          <w:p w14:paraId="6FE15778">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7D37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91" w:type="pct"/>
            <w:noWrap w:val="0"/>
            <w:vAlign w:val="center"/>
          </w:tcPr>
          <w:p w14:paraId="50243F5D">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w:t>
            </w:r>
          </w:p>
        </w:tc>
        <w:tc>
          <w:tcPr>
            <w:tcW w:w="3558" w:type="pct"/>
            <w:noWrap w:val="0"/>
            <w:vAlign w:val="center"/>
          </w:tcPr>
          <w:p w14:paraId="3FE8E60C">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关联关系：本项目不接受由西安市红会医院职工及其亲属投资举办的企业参加投标，且单位负责人为同一人或者存在控股、管理关系的不同供应商，不得同时参加本项目采购活动(提供承诺函)</w:t>
            </w:r>
          </w:p>
        </w:tc>
        <w:tc>
          <w:tcPr>
            <w:tcW w:w="949" w:type="pct"/>
            <w:noWrap w:val="0"/>
            <w:vAlign w:val="center"/>
          </w:tcPr>
          <w:p w14:paraId="33723D41">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453B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noWrap w:val="0"/>
            <w:vAlign w:val="center"/>
          </w:tcPr>
          <w:p w14:paraId="3151E51B">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w:t>
            </w:r>
          </w:p>
        </w:tc>
        <w:tc>
          <w:tcPr>
            <w:tcW w:w="3558" w:type="pct"/>
            <w:noWrap w:val="0"/>
            <w:vAlign w:val="center"/>
          </w:tcPr>
          <w:p w14:paraId="78886913">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rPr>
              <w:t>企业资质：供应商为生产企业的，提供医疗器械生产许可证、医疗器械注册证或备案凭证；供应商为代理销售企业的，须提供①生产企业的医疗器械生产许可证、医疗器械注册证或备案凭证，且须提供②供应商的医疗器械经营许可证或经营备案凭证，提供③产品来源渠道证明；</w:t>
            </w:r>
          </w:p>
        </w:tc>
        <w:tc>
          <w:tcPr>
            <w:tcW w:w="949" w:type="pct"/>
            <w:noWrap w:val="0"/>
            <w:vAlign w:val="center"/>
          </w:tcPr>
          <w:p w14:paraId="780700E8">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286A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91" w:type="pct"/>
            <w:noWrap w:val="0"/>
            <w:vAlign w:val="center"/>
          </w:tcPr>
          <w:p w14:paraId="6C2F4A05">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3558" w:type="pct"/>
            <w:noWrap w:val="0"/>
            <w:vAlign w:val="center"/>
          </w:tcPr>
          <w:p w14:paraId="3491616E">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left"/>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本项目不接受联合体谈判（提供承诺书）。</w:t>
            </w:r>
          </w:p>
        </w:tc>
        <w:tc>
          <w:tcPr>
            <w:tcW w:w="949" w:type="pct"/>
            <w:noWrap w:val="0"/>
            <w:vAlign w:val="center"/>
          </w:tcPr>
          <w:p w14:paraId="514ECFCE">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bl>
    <w:p w14:paraId="39F46BD3">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对资质审查合格供应商的谈判响应文件第一次报价进行记录，并对谈判响应文件进行符合性审查。谈判响应文件对竞争性谈判文件作出实质性响应的，即为有效报价文件，否则判为无效报价文件。供应商资质及谈判响应文件均合格的，进入竞争性谈判。</w:t>
      </w:r>
    </w:p>
    <w:tbl>
      <w:tblPr>
        <w:tblStyle w:val="35"/>
        <w:tblW w:w="48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6811"/>
        <w:gridCol w:w="1795"/>
      </w:tblGrid>
      <w:tr w14:paraId="4DB8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6ED5793B">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序号</w:t>
            </w:r>
          </w:p>
        </w:tc>
        <w:tc>
          <w:tcPr>
            <w:tcW w:w="3536" w:type="pct"/>
            <w:noWrap w:val="0"/>
            <w:vAlign w:val="center"/>
          </w:tcPr>
          <w:p w14:paraId="25A97A6E">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符合性审查内容</w:t>
            </w:r>
          </w:p>
        </w:tc>
        <w:tc>
          <w:tcPr>
            <w:tcW w:w="932" w:type="pct"/>
            <w:noWrap w:val="0"/>
            <w:vAlign w:val="center"/>
          </w:tcPr>
          <w:p w14:paraId="359A0F4E">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结论</w:t>
            </w:r>
          </w:p>
        </w:tc>
      </w:tr>
      <w:tr w14:paraId="5DA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1C0FB889">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3536" w:type="pct"/>
            <w:noWrap w:val="0"/>
            <w:vAlign w:val="center"/>
          </w:tcPr>
          <w:p w14:paraId="634F704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纸质响应文件正、副本数量及装订方式是否符合谈判文件要求</w:t>
            </w:r>
          </w:p>
        </w:tc>
        <w:tc>
          <w:tcPr>
            <w:tcW w:w="932" w:type="pct"/>
            <w:noWrap w:val="0"/>
            <w:vAlign w:val="center"/>
          </w:tcPr>
          <w:p w14:paraId="17ABEFAF">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1C6F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6C24AF4B">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3536" w:type="pct"/>
            <w:noWrap w:val="0"/>
            <w:vAlign w:val="center"/>
          </w:tcPr>
          <w:p w14:paraId="5A2B3D8A">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响应文件封面、响应函、法定代表人授权委托书的项目名称、项目编号均无遗漏，且与所投项目名称、项目编号完全一致。</w:t>
            </w:r>
          </w:p>
        </w:tc>
        <w:tc>
          <w:tcPr>
            <w:tcW w:w="932" w:type="pct"/>
            <w:noWrap w:val="0"/>
            <w:vAlign w:val="center"/>
          </w:tcPr>
          <w:p w14:paraId="1998113C">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3188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3E9334A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3536" w:type="pct"/>
            <w:noWrap w:val="0"/>
            <w:vAlign w:val="center"/>
          </w:tcPr>
          <w:p w14:paraId="5F728B2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响应文件签署、盖章是否符合谈判文件要求</w:t>
            </w:r>
          </w:p>
        </w:tc>
        <w:tc>
          <w:tcPr>
            <w:tcW w:w="932" w:type="pct"/>
            <w:noWrap w:val="0"/>
            <w:vAlign w:val="center"/>
          </w:tcPr>
          <w:p w14:paraId="16E48D30">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6D93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3E4FCE7C">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3536" w:type="pct"/>
            <w:noWrap w:val="0"/>
            <w:vAlign w:val="center"/>
          </w:tcPr>
          <w:p w14:paraId="0782DAD2">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供货期是否满足谈判文件要求；</w:t>
            </w:r>
          </w:p>
        </w:tc>
        <w:tc>
          <w:tcPr>
            <w:tcW w:w="932" w:type="pct"/>
            <w:noWrap w:val="0"/>
            <w:vAlign w:val="center"/>
          </w:tcPr>
          <w:p w14:paraId="5D612CCC">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32D1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5BAC479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3536" w:type="pct"/>
            <w:noWrap w:val="0"/>
            <w:vAlign w:val="center"/>
          </w:tcPr>
          <w:p w14:paraId="60F8EA90">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响应有效期是否满足谈判文件最低要求；</w:t>
            </w:r>
          </w:p>
        </w:tc>
        <w:tc>
          <w:tcPr>
            <w:tcW w:w="932" w:type="pct"/>
            <w:noWrap w:val="0"/>
            <w:vAlign w:val="center"/>
          </w:tcPr>
          <w:p w14:paraId="1E2E29EB">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5660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058950B6">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3536" w:type="pct"/>
            <w:noWrap w:val="0"/>
            <w:vAlign w:val="center"/>
          </w:tcPr>
          <w:p w14:paraId="29D951BC">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第一次谈判报价表：</w:t>
            </w:r>
          </w:p>
          <w:p w14:paraId="70D26292">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（1）第一次谈判报价表填写符合要求；</w:t>
            </w:r>
          </w:p>
          <w:p w14:paraId="23174C3F">
            <w:pPr>
              <w:keepNext w:val="0"/>
              <w:keepLines w:val="0"/>
              <w:pageBreakBefore w:val="0"/>
              <w:widowControl w:val="0"/>
              <w:numPr>
                <w:ilvl w:val="0"/>
                <w:numId w:val="1"/>
              </w:numPr>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计量单位、报价货币均符合谈判文件要求；</w:t>
            </w:r>
          </w:p>
          <w:p w14:paraId="361E3E81">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（3）第一次谈判报价未超出采购预算或谈判文件规定的最高限价。</w:t>
            </w:r>
          </w:p>
        </w:tc>
        <w:tc>
          <w:tcPr>
            <w:tcW w:w="932" w:type="pct"/>
            <w:noWrap w:val="0"/>
            <w:vAlign w:val="center"/>
          </w:tcPr>
          <w:p w14:paraId="25A33C55">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6307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741537B6">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3536" w:type="pct"/>
            <w:noWrap w:val="0"/>
            <w:vAlign w:val="center"/>
          </w:tcPr>
          <w:p w14:paraId="458CCB8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采购要求及内容没有偏离；</w:t>
            </w:r>
          </w:p>
        </w:tc>
        <w:tc>
          <w:tcPr>
            <w:tcW w:w="932" w:type="pct"/>
            <w:noWrap w:val="0"/>
            <w:vAlign w:val="center"/>
          </w:tcPr>
          <w:p w14:paraId="53431050">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0A7B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762A5D18">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w:t>
            </w:r>
          </w:p>
        </w:tc>
        <w:tc>
          <w:tcPr>
            <w:tcW w:w="3536" w:type="pct"/>
            <w:noWrap w:val="0"/>
            <w:vAlign w:val="center"/>
          </w:tcPr>
          <w:p w14:paraId="6A7036B9">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无其他谈判文件或法规明确规定响应无效的事项；</w:t>
            </w:r>
          </w:p>
        </w:tc>
        <w:tc>
          <w:tcPr>
            <w:tcW w:w="932" w:type="pct"/>
            <w:noWrap w:val="0"/>
            <w:vAlign w:val="center"/>
          </w:tcPr>
          <w:p w14:paraId="66F197A6">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r w14:paraId="1B34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pct"/>
            <w:noWrap w:val="0"/>
            <w:vAlign w:val="center"/>
          </w:tcPr>
          <w:p w14:paraId="1FF27459">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w:t>
            </w:r>
          </w:p>
        </w:tc>
        <w:tc>
          <w:tcPr>
            <w:tcW w:w="3536" w:type="pct"/>
            <w:noWrap w:val="0"/>
            <w:vAlign w:val="center"/>
          </w:tcPr>
          <w:p w14:paraId="64FDB853">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合同条款：是否完全理解并接受谈判文件合同基本条款要求的描述</w:t>
            </w:r>
          </w:p>
        </w:tc>
        <w:tc>
          <w:tcPr>
            <w:tcW w:w="932" w:type="pct"/>
            <w:noWrap w:val="0"/>
            <w:vAlign w:val="center"/>
          </w:tcPr>
          <w:p w14:paraId="5CBAA955">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合格/不合格</w:t>
            </w:r>
          </w:p>
        </w:tc>
      </w:tr>
    </w:tbl>
    <w:p w14:paraId="6905BA44">
      <w:pPr>
        <w:keepNext w:val="0"/>
        <w:keepLines w:val="0"/>
        <w:pageBreakBefore w:val="0"/>
        <w:widowControl w:val="0"/>
        <w:shd w:val="clear" w:color="auto" w:fill="auto"/>
        <w:kinsoku/>
        <w:wordWrap/>
        <w:overflowPunct/>
        <w:topLinePunct w:val="0"/>
        <w:bidi w:val="0"/>
        <w:snapToGrid w:val="0"/>
        <w:spacing w:line="480" w:lineRule="exact"/>
        <w:textAlignment w:val="auto"/>
        <w:outlineLvl w:val="9"/>
        <w:rPr>
          <w:rFonts w:hint="eastAsia" w:ascii="宋体" w:hAnsi="宋体" w:eastAsia="宋体" w:cs="宋体"/>
          <w:sz w:val="24"/>
          <w:szCs w:val="24"/>
          <w:highlight w:val="none"/>
        </w:rPr>
      </w:pPr>
    </w:p>
    <w:p w14:paraId="5AAE9B28">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（3）谈判小组所有成员集中与资格审查及符合性审查合格的供应商单独进行谈判。</w:t>
      </w:r>
    </w:p>
    <w:p w14:paraId="6C281E5D">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（4）谈判结束后，所有合格供应商在规定的时间内，进行最后报价。在满足竞争性谈判文件要求的前提下，以最低价确定</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w:t>
      </w:r>
    </w:p>
    <w:p w14:paraId="5497F04B">
      <w:pPr>
        <w:keepNext w:val="0"/>
        <w:keepLines w:val="0"/>
        <w:pageBreakBefore w:val="0"/>
        <w:widowControl w:val="0"/>
        <w:numPr>
          <w:ilvl w:val="0"/>
          <w:numId w:val="2"/>
        </w:numPr>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若最低报价相同，则参照以往业绩、承诺、售后服务及培训进行比较，择优确定成交单位。</w:t>
      </w:r>
    </w:p>
    <w:p w14:paraId="63D7DF64">
      <w:pPr>
        <w:keepNext w:val="0"/>
        <w:keepLines w:val="0"/>
        <w:pageBreakBefore w:val="0"/>
        <w:kinsoku/>
        <w:wordWrap/>
        <w:overflowPunct/>
        <w:topLinePunct w:val="0"/>
        <w:bidi w:val="0"/>
        <w:snapToGrid w:val="0"/>
        <w:spacing w:line="480" w:lineRule="exact"/>
        <w:rPr>
          <w:rFonts w:hint="eastAsia" w:ascii="宋体" w:hAnsi="宋体"/>
          <w:color w:val="auto"/>
          <w:sz w:val="24"/>
          <w:szCs w:val="24"/>
          <w:highlight w:val="none"/>
        </w:rPr>
      </w:pPr>
      <w:r>
        <w:rPr>
          <w:rFonts w:hint="eastAsia" w:ascii="宋体" w:hAnsi="宋体" w:eastAsia="宋体" w:cs="宋体"/>
          <w:sz w:val="24"/>
          <w:szCs w:val="24"/>
          <w:highlight w:val="none"/>
          <w:lang w:val="en-US" w:eastAsia="zh-CN"/>
        </w:rPr>
        <w:t xml:space="preserve">  注：</w:t>
      </w:r>
      <w:r>
        <w:rPr>
          <w:rFonts w:hint="eastAsia" w:ascii="宋体" w:hAnsi="宋体" w:eastAsia="宋体" w:cs="宋体"/>
          <w:sz w:val="24"/>
          <w:szCs w:val="24"/>
          <w:highlight w:val="none"/>
        </w:rPr>
        <w:t xml:space="preserve">评标价的确定： </w:t>
      </w:r>
    </w:p>
    <w:p w14:paraId="7AE27CC7">
      <w:pPr>
        <w:keepNext w:val="0"/>
        <w:keepLines w:val="0"/>
        <w:pageBreakBefore w:val="0"/>
        <w:kinsoku/>
        <w:wordWrap/>
        <w:overflowPunct/>
        <w:topLinePunct w:val="0"/>
        <w:bidi w:val="0"/>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文件经审查合格的，为有效投标。对于所有有效投标按照以下规则进行评标价的确定。</w:t>
      </w:r>
    </w:p>
    <w:p w14:paraId="3A7EB6ED">
      <w:pPr>
        <w:keepNext w:val="0"/>
        <w:keepLines w:val="0"/>
        <w:pageBreakBefore w:val="0"/>
        <w:kinsoku/>
        <w:wordWrap/>
        <w:overflowPunct/>
        <w:topLinePunct w:val="0"/>
        <w:bidi w:val="0"/>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①</w:t>
      </w:r>
      <w:r>
        <w:rPr>
          <w:rFonts w:hint="eastAsia" w:ascii="宋体" w:hAnsi="宋体"/>
          <w:color w:val="auto"/>
          <w:sz w:val="24"/>
          <w:szCs w:val="24"/>
          <w:highlight w:val="none"/>
        </w:rPr>
        <w:t>对于符合政策性优惠的，其评标价按照以下规则进行计算调整。</w:t>
      </w:r>
    </w:p>
    <w:p w14:paraId="3ECC5FE4">
      <w:pPr>
        <w:keepNext w:val="0"/>
        <w:keepLines w:val="0"/>
        <w:pageBreakBefore w:val="0"/>
        <w:kinsoku/>
        <w:wordWrap/>
        <w:overflowPunct/>
        <w:topLinePunct w:val="0"/>
        <w:bidi w:val="0"/>
        <w:snapToGrid w:val="0"/>
        <w:spacing w:line="480" w:lineRule="exact"/>
        <w:ind w:firstLine="480" w:firstLineChars="200"/>
        <w:rPr>
          <w:rFonts w:hint="eastAsia" w:ascii="宋体" w:hAnsi="宋体"/>
          <w:color w:val="auto"/>
          <w:sz w:val="24"/>
          <w:szCs w:val="24"/>
          <w:highlight w:val="none"/>
        </w:rPr>
      </w:pPr>
    </w:p>
    <w:tbl>
      <w:tblPr>
        <w:tblStyle w:val="34"/>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
        <w:gridCol w:w="1856"/>
        <w:gridCol w:w="1894"/>
        <w:gridCol w:w="1090"/>
        <w:gridCol w:w="4252"/>
      </w:tblGrid>
      <w:tr w14:paraId="6BCB5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28" w:type="pct"/>
            <w:vAlign w:val="center"/>
          </w:tcPr>
          <w:p w14:paraId="592C0FEF">
            <w:pPr>
              <w:pStyle w:val="89"/>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933" w:type="pct"/>
            <w:vAlign w:val="center"/>
          </w:tcPr>
          <w:p w14:paraId="54537431">
            <w:pPr>
              <w:pStyle w:val="89"/>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情形</w:t>
            </w:r>
          </w:p>
        </w:tc>
        <w:tc>
          <w:tcPr>
            <w:tcW w:w="952" w:type="pct"/>
            <w:vAlign w:val="center"/>
          </w:tcPr>
          <w:p w14:paraId="4773DE72">
            <w:pPr>
              <w:pStyle w:val="89"/>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适用对象</w:t>
            </w:r>
          </w:p>
        </w:tc>
        <w:tc>
          <w:tcPr>
            <w:tcW w:w="548" w:type="pct"/>
            <w:vAlign w:val="center"/>
          </w:tcPr>
          <w:p w14:paraId="2132A657">
            <w:pPr>
              <w:pStyle w:val="89"/>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比例</w:t>
            </w:r>
          </w:p>
        </w:tc>
        <w:tc>
          <w:tcPr>
            <w:tcW w:w="2137" w:type="pct"/>
            <w:vAlign w:val="center"/>
          </w:tcPr>
          <w:p w14:paraId="0EE237FC">
            <w:pPr>
              <w:pStyle w:val="89"/>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4A032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25" w:hRule="atLeast"/>
        </w:trPr>
        <w:tc>
          <w:tcPr>
            <w:tcW w:w="428" w:type="pct"/>
            <w:vAlign w:val="center"/>
          </w:tcPr>
          <w:p w14:paraId="6DEC04CF">
            <w:pPr>
              <w:pStyle w:val="89"/>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33" w:type="pct"/>
            <w:vAlign w:val="center"/>
          </w:tcPr>
          <w:p w14:paraId="386FFC82">
            <w:pPr>
              <w:pStyle w:val="89"/>
              <w:keepNext w:val="0"/>
              <w:keepLines w:val="0"/>
              <w:widowControl/>
              <w:suppressLineNumbers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小型、微型企业，监狱企业，残疾人福利性单位</w:t>
            </w:r>
          </w:p>
        </w:tc>
        <w:tc>
          <w:tcPr>
            <w:tcW w:w="952" w:type="pct"/>
            <w:vAlign w:val="center"/>
          </w:tcPr>
          <w:p w14:paraId="47459DFD">
            <w:pPr>
              <w:pStyle w:val="89"/>
              <w:keepNext w:val="0"/>
              <w:keepLines w:val="0"/>
              <w:widowControl/>
              <w:suppressLineNumbers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为小型、微型企业</w:t>
            </w:r>
          </w:p>
        </w:tc>
        <w:tc>
          <w:tcPr>
            <w:tcW w:w="548" w:type="pct"/>
            <w:vAlign w:val="center"/>
          </w:tcPr>
          <w:p w14:paraId="10852531">
            <w:pPr>
              <w:pStyle w:val="89"/>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2137" w:type="pct"/>
            <w:vAlign w:val="center"/>
          </w:tcPr>
          <w:p w14:paraId="4EF74074">
            <w:pPr>
              <w:pStyle w:val="89"/>
              <w:keepNext w:val="0"/>
              <w:keepLines w:val="0"/>
              <w:widowControl/>
              <w:suppressLineNumbers w:val="0"/>
              <w:spacing w:before="0" w:beforeAutospacing="0" w:after="0" w:afterAutospacing="0"/>
              <w:ind w:left="0" w:right="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监狱企业与残疾人福利性单位视同小型、微型企业，享受同等价格扣除，当企业属性重复时，不重复价格扣除</w:t>
            </w:r>
            <w:r>
              <w:rPr>
                <w:rFonts w:hint="eastAsia" w:ascii="宋体" w:hAnsi="宋体" w:eastAsia="宋体" w:cs="宋体"/>
                <w:sz w:val="24"/>
                <w:szCs w:val="24"/>
                <w:highlight w:val="none"/>
                <w:lang w:val="en-US" w:eastAsia="zh-CN"/>
              </w:rPr>
              <w:t>.</w:t>
            </w:r>
          </w:p>
        </w:tc>
      </w:tr>
    </w:tbl>
    <w:p w14:paraId="119F57E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（6）谈判成交后放弃者，保证金将作为违约金扣除，由采购人按有关规定处理。</w:t>
      </w:r>
    </w:p>
    <w:p w14:paraId="4264CC0E">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bookmarkStart w:id="70" w:name="_Toc7869"/>
      <w:bookmarkStart w:id="71" w:name="_Toc11338"/>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）需要落实的政府采购政策</w:t>
      </w:r>
    </w:p>
    <w:p w14:paraId="61ACF08F">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1.供应商政府采购政策</w:t>
      </w:r>
    </w:p>
    <w:p w14:paraId="118D9694">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（1）落实政府采购政策</w:t>
      </w:r>
    </w:p>
    <w:p w14:paraId="07B495D2">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应符合《政府采购促进</w:t>
      </w:r>
      <w:r>
        <w:rPr>
          <w:rFonts w:hint="eastAsia" w:ascii="宋体" w:hAnsi="宋体" w:eastAsia="宋体" w:cs="宋体"/>
          <w:sz w:val="24"/>
          <w:szCs w:val="24"/>
          <w:highlight w:val="none"/>
          <w:lang w:eastAsia="zh-CN"/>
        </w:rPr>
        <w:t>中小企业</w:t>
      </w:r>
      <w:r>
        <w:rPr>
          <w:rFonts w:hint="eastAsia" w:ascii="宋体" w:hAnsi="宋体" w:eastAsia="宋体" w:cs="宋体"/>
          <w:sz w:val="24"/>
          <w:szCs w:val="24"/>
          <w:highlight w:val="none"/>
        </w:rPr>
        <w:t>发展管理办法》（财库〔2020〕46号）的规定。供应商出具《</w:t>
      </w:r>
      <w:r>
        <w:rPr>
          <w:rFonts w:hint="eastAsia" w:ascii="宋体" w:hAnsi="宋体" w:eastAsia="宋体" w:cs="宋体"/>
          <w:sz w:val="24"/>
          <w:szCs w:val="24"/>
          <w:highlight w:val="none"/>
          <w:lang w:eastAsia="zh-CN"/>
        </w:rPr>
        <w:t>中小企业</w:t>
      </w:r>
      <w:r>
        <w:rPr>
          <w:rFonts w:hint="eastAsia" w:ascii="宋体" w:hAnsi="宋体" w:eastAsia="宋体" w:cs="宋体"/>
          <w:sz w:val="24"/>
          <w:szCs w:val="24"/>
          <w:highlight w:val="none"/>
        </w:rPr>
        <w:t>声明函》，符合条件的企业享受政府采购政策。</w:t>
      </w:r>
    </w:p>
    <w:p w14:paraId="6AFF168F">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）监狱和戒毒企业应符合《财政部司法部关于政府采购支持监狱企业发展有关问题的通知》—财库〔2014〕68号，并提供由省级以上监狱管理局、戒毒管理局(含新疆生产建设兵团)出具的属于监狱企业的证明。</w:t>
      </w:r>
    </w:p>
    <w:p w14:paraId="209EE132">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）残疾人福利性单位应符合《三部门联合发布关于促进残疾人就业政府采购政策的通知》—财库〔2017〕141号 ，参加</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时提供本通知规定的《残疾人福利性单位声明函》，并对声明的真实性负责。供应商提供的《残疾人福利性单位声明函》与事实不符的，依照《政府采购法》第七十七条第一款的规定追究法律责任。</w:t>
      </w:r>
    </w:p>
    <w:p w14:paraId="3707B829">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）进一步加大政府采购支持</w:t>
      </w:r>
      <w:r>
        <w:rPr>
          <w:rFonts w:hint="eastAsia" w:ascii="宋体" w:hAnsi="宋体" w:eastAsia="宋体" w:cs="宋体"/>
          <w:sz w:val="24"/>
          <w:szCs w:val="24"/>
          <w:highlight w:val="none"/>
          <w:lang w:eastAsia="zh-CN"/>
        </w:rPr>
        <w:t>中小企业</w:t>
      </w:r>
      <w:r>
        <w:rPr>
          <w:rFonts w:hint="eastAsia" w:ascii="宋体" w:hAnsi="宋体" w:eastAsia="宋体" w:cs="宋体"/>
          <w:sz w:val="24"/>
          <w:szCs w:val="24"/>
          <w:highlight w:val="none"/>
        </w:rPr>
        <w:t>力度的通知财〔2022〕19号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符合条件的企业享受政府采购政策。</w:t>
      </w:r>
    </w:p>
    <w:p w14:paraId="21E38DB6">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陕西省财政厅关于进一步加大政府采购支持中小企业力度的通知陕财办采〔2022〕5号，</w:t>
      </w:r>
      <w:r>
        <w:rPr>
          <w:rFonts w:hint="eastAsia" w:ascii="宋体" w:hAnsi="宋体" w:eastAsia="宋体" w:cs="宋体"/>
          <w:sz w:val="24"/>
          <w:szCs w:val="24"/>
          <w:highlight w:val="none"/>
        </w:rPr>
        <w:t>符合条件的企业享受政府采购政策。</w:t>
      </w:r>
    </w:p>
    <w:p w14:paraId="5A29A09B">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《陕西省财政厅关于印发&lt;陕西省中小企业政府采购信用融资办法&gt;的通知》（陕财办采〔2018〕23号）。</w:t>
      </w:r>
      <w:r>
        <w:rPr>
          <w:rFonts w:hint="eastAsia" w:ascii="宋体" w:hAnsi="宋体" w:eastAsia="宋体" w:cs="宋体"/>
          <w:sz w:val="24"/>
          <w:szCs w:val="24"/>
          <w:highlight w:val="none"/>
        </w:rPr>
        <w:t>符合条件的企业享受政府采购政策。</w:t>
      </w:r>
    </w:p>
    <w:p w14:paraId="31C05B9B">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供应商应如实提供以上证明文件，如存在虚假应标，将取消其</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资格。</w:t>
      </w:r>
    </w:p>
    <w:p w14:paraId="70B884A3">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（8）本项目为</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专门面向中小企业采购的采购项目。</w:t>
      </w:r>
    </w:p>
    <w:p w14:paraId="40642708">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2.产品政府采购政策</w:t>
      </w:r>
    </w:p>
    <w:p w14:paraId="2326FDFC">
      <w:pPr>
        <w:keepNext w:val="0"/>
        <w:keepLines w:val="0"/>
        <w:pageBreakBefore w:val="0"/>
        <w:widowControl w:val="0"/>
        <w:shd w:val="clear" w:color="auto" w:fill="auto"/>
        <w:kinsoku/>
        <w:wordWrap/>
        <w:overflowPunct/>
        <w:topLinePunct w:val="0"/>
        <w:bidi w:val="0"/>
        <w:adjustRightInd/>
        <w:snapToGrid w:val="0"/>
        <w:spacing w:line="48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（1）节能产品根据《国务院办公厅关于建立政府强制采购节能产品制度的通知》（国办发〔2007〕51号）的规定，以中国政府采购网（http://www.ccgp.gov.cn/）公布的最新一期节能产品政府采购清单为准。</w:t>
      </w:r>
    </w:p>
    <w:p w14:paraId="0DE2A1A6">
      <w:pPr>
        <w:keepNext w:val="0"/>
        <w:keepLines w:val="0"/>
        <w:pageBreakBefore w:val="0"/>
        <w:widowControl w:val="0"/>
        <w:shd w:val="clear" w:color="auto" w:fill="auto"/>
        <w:kinsoku/>
        <w:wordWrap/>
        <w:overflowPunct/>
        <w:topLinePunct w:val="0"/>
        <w:bidi w:val="0"/>
        <w:adjustRightInd/>
        <w:snapToGrid w:val="0"/>
        <w:spacing w:line="48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供应商在响应文件中对产品为节能、环保、环境标志产品清单中的产品，在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报价时必须对此类产品单独分项报价，计算出小计及占</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 xml:space="preserve">报价总金额的百分比，并提供属于清单内产品的证明资料（从中国政府采购网上下载的网页公告等），未提供节能、环保、环境标志产品计分明细表及属于清单内产品的证明资料的不给予计分。 </w:t>
      </w:r>
    </w:p>
    <w:p w14:paraId="698686AA">
      <w:pPr>
        <w:keepNext w:val="0"/>
        <w:keepLines w:val="0"/>
        <w:pageBreakBefore w:val="0"/>
        <w:widowControl w:val="0"/>
        <w:shd w:val="clear" w:color="auto" w:fill="auto"/>
        <w:kinsoku/>
        <w:wordWrap/>
        <w:overflowPunct/>
        <w:topLinePunct w:val="0"/>
        <w:bidi w:val="0"/>
        <w:adjustRightInd/>
        <w:snapToGrid w:val="0"/>
        <w:spacing w:line="48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）若节能、环保、环境标志清单内的产品仅是构成产品的部件、组件或零件的，则该产品不享受鼓励优惠政策。</w:t>
      </w:r>
    </w:p>
    <w:p w14:paraId="382E968C">
      <w:pPr>
        <w:keepNext w:val="0"/>
        <w:keepLines w:val="0"/>
        <w:pageBreakBefore w:val="0"/>
        <w:widowControl w:val="0"/>
        <w:shd w:val="clear" w:color="auto" w:fill="auto"/>
        <w:kinsoku/>
        <w:wordWrap/>
        <w:overflowPunct/>
        <w:topLinePunct w:val="0"/>
        <w:bidi w:val="0"/>
        <w:adjustRightInd/>
        <w:snapToGrid w:val="0"/>
        <w:spacing w:line="48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）同一项目的节能、环保、环境标志产品部分计分只对属于清单内的非强制类产品进行计分，强制类产品不给予计分。 </w:t>
      </w:r>
    </w:p>
    <w:p w14:paraId="2B510F15">
      <w:pPr>
        <w:keepNext w:val="0"/>
        <w:keepLines w:val="0"/>
        <w:pageBreakBefore w:val="0"/>
        <w:widowControl w:val="0"/>
        <w:shd w:val="clear" w:color="auto" w:fill="auto"/>
        <w:kinsoku/>
        <w:wordWrap/>
        <w:overflowPunct/>
        <w:topLinePunct w:val="0"/>
        <w:bidi w:val="0"/>
        <w:adjustRightInd/>
        <w:snapToGrid w:val="0"/>
        <w:spacing w:line="48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）节能、环保、环境标志产品不重复计分；同时列入国家级清单和省级清单的产品不重复计分。 </w:t>
      </w:r>
    </w:p>
    <w:p w14:paraId="1F369EE2">
      <w:pPr>
        <w:keepNext w:val="0"/>
        <w:keepLines w:val="0"/>
        <w:pageBreakBefore w:val="0"/>
        <w:widowControl w:val="0"/>
        <w:shd w:val="clear" w:color="auto" w:fill="auto"/>
        <w:kinsoku/>
        <w:wordWrap/>
        <w:overflowPunct/>
        <w:topLinePunct w:val="0"/>
        <w:bidi w:val="0"/>
        <w:adjustRightInd/>
        <w:snapToGrid w:val="0"/>
        <w:spacing w:line="48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）获得上述认证的产品在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时应提供有效证明材料。以上所有证明文件复印件须加盖供应商公章并注明“与原件一致”，否则不予计分。</w:t>
      </w:r>
    </w:p>
    <w:p w14:paraId="60B713DC">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3.质疑和投诉</w:t>
      </w:r>
    </w:p>
    <w:p w14:paraId="27393DB8">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3.1供应商如果认为谈判文件(包括谈判内容及采购要求、供应商资格条件、商务条款等) 使自身的合法权益受到损害，可以在获取谈判文件之日起7个工作日内，以书面形式向采购人提出质疑；供应商如果认为采购过程或成交结果使自身的合法权益受到损害，可以在知道或者应知其权益受到损害之日起7个工作日内，以书面形式向亿诚建设项目管理有限公司提出质疑。</w:t>
      </w:r>
    </w:p>
    <w:p w14:paraId="6856DB46">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3.2供应商提出质疑应当提交质疑函和必要的证明材料，并按财政部 《质疑函范本》 给定的格式进行填写，范本下载详见【财政部国库司( gks.mof.gov.cn)】 网站〖首页• 〉政府采购管理〗栏目中的《政府采购供应商质疑函范本》。</w:t>
      </w:r>
    </w:p>
    <w:p w14:paraId="5CB80846">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《政府采购供应商质疑函范本》链接地址：</w:t>
      </w:r>
    </w:p>
    <w:p w14:paraId="06AA0016">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http://gks.mof.gov.cn/zhengfucaigouguanli/201802/t20180201_2804589.html</w:t>
      </w:r>
    </w:p>
    <w:p w14:paraId="6240B9E5">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480165C0">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3.4在法定质疑期内，针对同一采购程序环节的质疑应当一次性提出。采购代理机构或采购人将在收到书面质疑后7个工作日内做出答复，并以书面形式通知质疑人和其他有关供应商。</w:t>
      </w:r>
    </w:p>
    <w:p w14:paraId="6B032E1B">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3.5有下列情形之一的，属于无效质疑，采购代理机构和采购人不予受理：</w:t>
      </w:r>
    </w:p>
    <w:p w14:paraId="2DDDE226">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质疑人不是参与本次政府采购项目的供应商或潜在供应商；</w:t>
      </w:r>
    </w:p>
    <w:p w14:paraId="5BA8B669">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质疑人与质疑事项不存在利害关系的；</w:t>
      </w:r>
    </w:p>
    <w:p w14:paraId="0E85095A">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未在法定期限内提出质疑的；</w:t>
      </w:r>
    </w:p>
    <w:p w14:paraId="7AAC75A0">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质疑未以书面形式提出，或质疑函主要内容构成不完整的，或缺乏必要的证明材料及证明材料不完整的；</w:t>
      </w:r>
    </w:p>
    <w:p w14:paraId="68CD5561">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质疑函没有合法有效的签字、盖章或授权的；</w:t>
      </w:r>
    </w:p>
    <w:p w14:paraId="57C2DB80">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以非法手段取得证据、材料的；</w:t>
      </w:r>
    </w:p>
    <w:p w14:paraId="7FD996B5">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质疑答复后，同一质疑人就同一事项再次提出质疑的；</w:t>
      </w:r>
    </w:p>
    <w:p w14:paraId="2B636015">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不符合法律、法规、规章和政府采购监管机构规定的其他条件的。</w:t>
      </w:r>
    </w:p>
    <w:p w14:paraId="243C054B">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3.6质疑人对采购代理机构或采购人的答复不满意，以及采购代理机构或采购人未在规定时间内做出答复的，可以在答复期满后15个工作日内向政府采购监管机构提出投诉。</w:t>
      </w:r>
    </w:p>
    <w:p w14:paraId="3ADED537">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3.7供应商投诉的事项不得超出已质疑事项的范围。</w:t>
      </w:r>
    </w:p>
    <w:p w14:paraId="27818472">
      <w:pPr>
        <w:keepNext w:val="0"/>
        <w:keepLines w:val="0"/>
        <w:pageBreakBefore w:val="0"/>
        <w:widowControl w:val="0"/>
        <w:shd w:val="clear" w:color="auto" w:fill="auto"/>
        <w:kinsoku/>
        <w:wordWrap/>
        <w:overflowPunct/>
        <w:topLinePunct w:val="0"/>
        <w:autoSpaceDE w:val="0"/>
        <w:autoSpaceDN w:val="0"/>
        <w:bidi w:val="0"/>
        <w:adjustRightInd/>
        <w:snapToGrid w:val="0"/>
        <w:spacing w:line="4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3.8质疑函递交地址：亿诚建设项目管理有限公司（陕西省西安市高新区丈八五路高科尚都ONE尚城A座10F） 联系人：刘思琦 联系电话：15353685616 邮编：716000</w:t>
      </w:r>
    </w:p>
    <w:p w14:paraId="0F738F25">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textAlignment w:val="auto"/>
        <w:outlineLvl w:val="1"/>
        <w:rPr>
          <w:rFonts w:hint="eastAsia" w:ascii="宋体" w:hAnsi="宋体" w:eastAsia="宋体" w:cs="宋体"/>
          <w:b/>
          <w:sz w:val="24"/>
          <w:szCs w:val="24"/>
          <w:highlight w:val="none"/>
          <w:lang w:val="zh-CN"/>
        </w:rPr>
      </w:pPr>
      <w:bookmarkStart w:id="72" w:name="_Toc12210"/>
      <w:bookmarkStart w:id="73" w:name="_Toc2261"/>
      <w:r>
        <w:rPr>
          <w:rFonts w:hint="eastAsia" w:ascii="宋体" w:hAnsi="宋体" w:eastAsia="宋体" w:cs="宋体"/>
          <w:b/>
          <w:sz w:val="24"/>
          <w:szCs w:val="24"/>
          <w:highlight w:val="none"/>
        </w:rPr>
        <w:t>八、</w:t>
      </w:r>
      <w:r>
        <w:rPr>
          <w:rFonts w:hint="eastAsia" w:ascii="宋体" w:hAnsi="宋体" w:eastAsia="宋体" w:cs="宋体"/>
          <w:b/>
          <w:sz w:val="24"/>
          <w:szCs w:val="24"/>
          <w:highlight w:val="none"/>
          <w:lang w:val="zh-CN"/>
        </w:rPr>
        <w:t>推荐成交候选供应商名单</w:t>
      </w:r>
      <w:bookmarkEnd w:id="70"/>
      <w:bookmarkEnd w:id="71"/>
      <w:bookmarkEnd w:id="72"/>
      <w:bookmarkEnd w:id="73"/>
    </w:p>
    <w:p w14:paraId="4468DC0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谈判小组根据最终报价情况，按照最终报价金额由低到高顺序推荐成交候选供应商，并编写评审报告。</w:t>
      </w:r>
    </w:p>
    <w:p w14:paraId="6A977591">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textAlignment w:val="auto"/>
        <w:outlineLvl w:val="1"/>
        <w:rPr>
          <w:rFonts w:hint="eastAsia" w:ascii="宋体" w:hAnsi="宋体" w:eastAsia="宋体" w:cs="宋体"/>
          <w:b/>
          <w:sz w:val="24"/>
          <w:szCs w:val="24"/>
          <w:highlight w:val="none"/>
        </w:rPr>
      </w:pPr>
      <w:bookmarkStart w:id="74" w:name="_Toc2840"/>
      <w:bookmarkStart w:id="75" w:name="_Toc11220"/>
      <w:bookmarkStart w:id="76" w:name="_Toc22179"/>
      <w:bookmarkStart w:id="77" w:name="_Toc625"/>
      <w:r>
        <w:rPr>
          <w:rFonts w:hint="eastAsia" w:ascii="宋体" w:hAnsi="宋体" w:eastAsia="宋体" w:cs="宋体"/>
          <w:b/>
          <w:sz w:val="24"/>
          <w:szCs w:val="24"/>
          <w:highlight w:val="none"/>
        </w:rPr>
        <w:t>九、确定成交供应商</w:t>
      </w:r>
      <w:bookmarkEnd w:id="74"/>
      <w:bookmarkEnd w:id="75"/>
      <w:bookmarkEnd w:id="76"/>
      <w:bookmarkEnd w:id="77"/>
    </w:p>
    <w:p w14:paraId="3DA2AA2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（一）采购代理机构应在评审结束后两个工作日内，将评审报告送采购人确定成交供应商。</w:t>
      </w:r>
    </w:p>
    <w:p w14:paraId="464B7116">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napToGrid w:val="0"/>
          <w:kern w:val="0"/>
          <w:sz w:val="24"/>
          <w:szCs w:val="24"/>
          <w:highlight w:val="none"/>
        </w:rPr>
      </w:pPr>
      <w:r>
        <w:rPr>
          <w:rFonts w:hint="eastAsia" w:ascii="宋体" w:hAnsi="宋体" w:eastAsia="宋体" w:cs="宋体"/>
          <w:sz w:val="24"/>
          <w:szCs w:val="24"/>
          <w:highlight w:val="none"/>
        </w:rPr>
        <w:t>（二）采购人在收到评审报告后五个工作日内，从评审报告提出的成交候选供应商中，</w:t>
      </w:r>
      <w:r>
        <w:rPr>
          <w:rFonts w:hint="eastAsia" w:ascii="宋体" w:hAnsi="宋体" w:eastAsia="宋体" w:cs="宋体"/>
          <w:snapToGrid w:val="0"/>
          <w:kern w:val="0"/>
          <w:sz w:val="24"/>
          <w:szCs w:val="24"/>
          <w:highlight w:val="none"/>
        </w:rPr>
        <w:t>按照排序由高到低的原则确定成交供应商，也可以书面授权谈判小组直接确定成交供应商。</w:t>
      </w:r>
    </w:p>
    <w:p w14:paraId="20086111">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napToGrid w:val="0"/>
          <w:kern w:val="0"/>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napToGrid w:val="0"/>
          <w:kern w:val="0"/>
          <w:sz w:val="24"/>
          <w:szCs w:val="24"/>
          <w:highlight w:val="none"/>
        </w:rPr>
        <w:t>采购人逾期未确定成交供应商且不提出异议的，视为确定评审报告提出的排序第一的供应商为成交供应商。</w:t>
      </w:r>
    </w:p>
    <w:p w14:paraId="3DAA80C0">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（四）采购代理机构在接到采购人的“成交复函”确认文件后两个工作日内，在</w:t>
      </w:r>
      <w:r>
        <w:rPr>
          <w:rFonts w:hint="eastAsia" w:ascii="宋体" w:hAnsi="宋体" w:eastAsia="宋体" w:cs="宋体"/>
          <w:snapToGrid w:val="0"/>
          <w:kern w:val="0"/>
          <w:sz w:val="24"/>
          <w:szCs w:val="24"/>
          <w:highlight w:val="none"/>
        </w:rPr>
        <w:t>省级以上财政部门指定的政府采购信息发布媒体上公告成交结果，同时向成交供应商发出成交通知书。</w:t>
      </w:r>
    </w:p>
    <w:p w14:paraId="1645EBDD">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（五）采购代理机构将评审过程及成交供应商情况书面报监督机构备案。</w:t>
      </w:r>
    </w:p>
    <w:p w14:paraId="3B006306">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textAlignment w:val="auto"/>
        <w:outlineLvl w:val="1"/>
        <w:rPr>
          <w:rFonts w:hint="eastAsia" w:ascii="宋体" w:hAnsi="宋体" w:eastAsia="宋体" w:cs="宋体"/>
          <w:b/>
          <w:sz w:val="24"/>
          <w:szCs w:val="24"/>
          <w:highlight w:val="none"/>
        </w:rPr>
      </w:pPr>
      <w:bookmarkStart w:id="78" w:name="_Toc14466"/>
      <w:bookmarkStart w:id="79" w:name="_Toc16071"/>
      <w:bookmarkStart w:id="80" w:name="_Toc32328"/>
      <w:bookmarkStart w:id="81" w:name="_Toc13523"/>
      <w:r>
        <w:rPr>
          <w:rFonts w:hint="eastAsia" w:ascii="宋体" w:hAnsi="宋体" w:eastAsia="宋体" w:cs="宋体"/>
          <w:b/>
          <w:sz w:val="24"/>
          <w:szCs w:val="24"/>
          <w:highlight w:val="none"/>
        </w:rPr>
        <w:t>十、合同</w:t>
      </w:r>
      <w:bookmarkEnd w:id="78"/>
      <w:bookmarkEnd w:id="79"/>
      <w:bookmarkEnd w:id="80"/>
      <w:bookmarkEnd w:id="81"/>
    </w:p>
    <w:p w14:paraId="1AF015C7">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（一）采购人与成交供应商应当在成交通知书发出之日起</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日内，按照谈判文件确定的合同文本以及采购标底、规格型号、采购金额、采购数量、技术和服务要求等事项签订政府采购合同。</w:t>
      </w:r>
    </w:p>
    <w:p w14:paraId="67FFE4F5">
      <w:pPr>
        <w:keepNext w:val="0"/>
        <w:keepLines w:val="0"/>
        <w:pageBreakBefore w:val="0"/>
        <w:widowControl w:val="0"/>
        <w:shd w:val="clear" w:color="auto" w:fill="auto"/>
        <w:kinsoku/>
        <w:wordWrap/>
        <w:overflowPunct/>
        <w:topLinePunct w:val="0"/>
        <w:bidi w:val="0"/>
        <w:snapToGrid w:val="0"/>
        <w:spacing w:line="480" w:lineRule="exact"/>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定标后，成交供应商无正当理由拖延或拒签合同，采购人有权取消其成交资格，并按评审结果顺序重新确定成交供应商。同时报请监督机构通报，取消其进入政府采购市场的资格，按规定予以处罚，并没收其谈判保证金。</w:t>
      </w:r>
    </w:p>
    <w:bookmarkEnd w:id="63"/>
    <w:bookmarkEnd w:id="64"/>
    <w:bookmarkEnd w:id="65"/>
    <w:p w14:paraId="643E32A6">
      <w:pPr>
        <w:keepNext w:val="0"/>
        <w:keepLines w:val="0"/>
        <w:pageBreakBefore w:val="0"/>
        <w:widowControl w:val="0"/>
        <w:shd w:val="clear" w:color="auto" w:fill="auto"/>
        <w:kinsoku/>
        <w:wordWrap/>
        <w:overflowPunct/>
        <w:topLinePunct w:val="0"/>
        <w:bidi w:val="0"/>
        <w:snapToGrid w:val="0"/>
        <w:spacing w:line="480" w:lineRule="exact"/>
        <w:ind w:left="0" w:leftChars="0" w:firstLine="482" w:firstLineChars="200"/>
        <w:textAlignment w:val="auto"/>
        <w:outlineLvl w:val="1"/>
        <w:rPr>
          <w:rFonts w:hint="eastAsia" w:ascii="宋体" w:hAnsi="宋体" w:eastAsia="宋体" w:cs="宋体"/>
          <w:b/>
          <w:sz w:val="24"/>
          <w:szCs w:val="24"/>
          <w:highlight w:val="none"/>
        </w:rPr>
      </w:pPr>
      <w:bookmarkStart w:id="82" w:name="_Toc22347"/>
      <w:bookmarkEnd w:id="82"/>
      <w:bookmarkStart w:id="83" w:name="_Toc496524273"/>
      <w:bookmarkStart w:id="84" w:name="_Toc639"/>
      <w:bookmarkStart w:id="85" w:name="_Toc18590"/>
      <w:bookmarkStart w:id="86" w:name="_Toc6784"/>
      <w:bookmarkStart w:id="87" w:name="_Toc495913691"/>
      <w:bookmarkStart w:id="88" w:name="_Toc496523743"/>
      <w:bookmarkStart w:id="89" w:name="_Toc9772"/>
      <w:r>
        <w:rPr>
          <w:rFonts w:hint="eastAsia" w:ascii="宋体" w:hAnsi="宋体" w:eastAsia="宋体" w:cs="宋体"/>
          <w:b/>
          <w:sz w:val="24"/>
          <w:szCs w:val="24"/>
          <w:highlight w:val="none"/>
        </w:rPr>
        <w:t>十一、成交服务费</w:t>
      </w:r>
      <w:bookmarkEnd w:id="83"/>
      <w:bookmarkEnd w:id="84"/>
      <w:bookmarkEnd w:id="85"/>
      <w:bookmarkEnd w:id="86"/>
      <w:bookmarkEnd w:id="87"/>
      <w:bookmarkEnd w:id="88"/>
      <w:bookmarkEnd w:id="89"/>
    </w:p>
    <w:p w14:paraId="51CE08A9">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630"/>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sz w:val="24"/>
          <w:szCs w:val="24"/>
          <w:highlight w:val="none"/>
        </w:rPr>
        <w:t>（一）</w:t>
      </w:r>
      <w:r>
        <w:rPr>
          <w:rFonts w:hint="eastAsia" w:ascii="宋体" w:hAnsi="宋体" w:eastAsia="宋体" w:cs="宋体"/>
          <w:color w:val="auto"/>
          <w:sz w:val="24"/>
          <w:szCs w:val="24"/>
          <w:highlight w:val="none"/>
          <w:shd w:val="clear" w:color="auto" w:fill="auto"/>
        </w:rPr>
        <w:t>本项目</w:t>
      </w:r>
      <w:r>
        <w:rPr>
          <w:rFonts w:hint="eastAsia" w:ascii="宋体" w:hAnsi="宋体" w:eastAsia="宋体" w:cs="宋体"/>
          <w:color w:val="auto"/>
          <w:sz w:val="24"/>
          <w:szCs w:val="24"/>
          <w:highlight w:val="none"/>
          <w:shd w:val="clear" w:color="auto" w:fill="auto"/>
          <w:lang w:val="en-US" w:eastAsia="zh-CN"/>
        </w:rPr>
        <w:t>采购代理</w:t>
      </w:r>
      <w:r>
        <w:rPr>
          <w:rFonts w:hint="eastAsia" w:ascii="宋体" w:hAnsi="宋体" w:eastAsia="宋体" w:cs="宋体"/>
          <w:color w:val="auto"/>
          <w:sz w:val="24"/>
          <w:szCs w:val="24"/>
          <w:highlight w:val="none"/>
          <w:shd w:val="clear" w:color="auto" w:fill="auto"/>
        </w:rPr>
        <w:t>服务费由</w:t>
      </w:r>
      <w:r>
        <w:rPr>
          <w:rFonts w:hint="eastAsia" w:ascii="宋体" w:hAnsi="宋体" w:eastAsia="宋体" w:cs="宋体"/>
          <w:color w:val="auto"/>
          <w:sz w:val="24"/>
          <w:szCs w:val="24"/>
          <w:highlight w:val="none"/>
          <w:shd w:val="clear" w:color="auto" w:fill="auto"/>
          <w:lang w:val="en-US" w:eastAsia="zh-CN"/>
        </w:rPr>
        <w:t>成交人</w:t>
      </w:r>
      <w:r>
        <w:rPr>
          <w:rFonts w:hint="eastAsia" w:ascii="宋体" w:hAnsi="宋体" w:eastAsia="宋体" w:cs="宋体"/>
          <w:color w:val="auto"/>
          <w:sz w:val="24"/>
          <w:szCs w:val="24"/>
          <w:highlight w:val="none"/>
          <w:shd w:val="clear" w:color="auto" w:fill="auto"/>
        </w:rPr>
        <w:t>向采购代理机构支付。</w:t>
      </w:r>
    </w:p>
    <w:p w14:paraId="0B419AD0">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630"/>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（二）收费标准参照原国家计委计价格[2002]1980号文、国家发改委发改办价格[2003]857号文和发改办价格[2011]534号文的收费标准下浮20%计取。</w:t>
      </w:r>
    </w:p>
    <w:p w14:paraId="3D1B03E7">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63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（三）成交供应商服务费交纳信息</w:t>
      </w:r>
    </w:p>
    <w:p w14:paraId="7A438D9F">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630"/>
        <w:textAlignment w:val="auto"/>
        <w:outlineLvl w:val="9"/>
        <w:rPr>
          <w:rFonts w:hint="eastAsia" w:ascii="宋体" w:hAnsi="宋体" w:eastAsia="宋体" w:cs="宋体"/>
          <w:sz w:val="24"/>
          <w:szCs w:val="24"/>
          <w:highlight w:val="none"/>
        </w:rPr>
      </w:pPr>
      <w:bookmarkStart w:id="90" w:name="_Toc20592"/>
      <w:bookmarkStart w:id="91" w:name="_Toc16331"/>
      <w:r>
        <w:rPr>
          <w:rFonts w:hint="eastAsia" w:ascii="宋体" w:hAnsi="宋体" w:eastAsia="宋体" w:cs="宋体"/>
          <w:sz w:val="24"/>
          <w:szCs w:val="24"/>
          <w:highlight w:val="none"/>
        </w:rPr>
        <w:t>户名：亿诚建设项目管理有限公司</w:t>
      </w:r>
    </w:p>
    <w:p w14:paraId="5B3405D3">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63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账号：699295538</w:t>
      </w:r>
    </w:p>
    <w:p w14:paraId="5B84FA00">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63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开户行：中国民生银行西安吉祥路支行</w:t>
      </w:r>
    </w:p>
    <w:p w14:paraId="3335E56C">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63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十二、重新采购</w:t>
      </w:r>
      <w:bookmarkEnd w:id="90"/>
      <w:bookmarkEnd w:id="91"/>
    </w:p>
    <w:p w14:paraId="17D556C0">
      <w:pPr>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left="0" w:leftChars="0" w:firstLine="63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在竞争性谈判采购活动中，提交最后报价的供应商不足3家时，采购代理机构应当终止竞争性谈判活动，发布项目终止公告并说明原因，重新开展采购活动。</w:t>
      </w:r>
    </w:p>
    <w:p w14:paraId="540F37AD">
      <w:pPr>
        <w:pStyle w:val="18"/>
        <w:keepNext w:val="0"/>
        <w:keepLines w:val="0"/>
        <w:pageBreakBefore w:val="0"/>
        <w:numPr>
          <w:ilvl w:val="0"/>
          <w:numId w:val="0"/>
        </w:numPr>
        <w:shd w:val="clear" w:color="auto" w:fill="auto"/>
        <w:kinsoku/>
        <w:wordWrap/>
        <w:overflowPunct/>
        <w:topLinePunct w:val="0"/>
        <w:bidi w:val="0"/>
        <w:snapToGrid w:val="0"/>
        <w:spacing w:line="480" w:lineRule="exact"/>
        <w:ind w:leftChars="200"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（二）为支持和促进中小企业发展，进一步发挥政府采购政</w:t>
      </w:r>
    </w:p>
    <w:p w14:paraId="343C90D7">
      <w:pPr>
        <w:pStyle w:val="18"/>
        <w:keepNext w:val="0"/>
        <w:keepLines w:val="0"/>
        <w:pageBreakBefore w:val="0"/>
        <w:widowControl w:val="0"/>
        <w:numPr>
          <w:ilvl w:val="0"/>
          <w:numId w:val="0"/>
        </w:numPr>
        <w:shd w:val="clear" w:color="auto" w:fill="auto"/>
        <w:kinsoku/>
        <w:wordWrap w:val="0"/>
        <w:overflowPunct/>
        <w:topLinePunct w:val="0"/>
        <w:autoSpaceDE/>
        <w:autoSpaceDN/>
        <w:bidi w:val="0"/>
        <w:adjustRightInd/>
        <w:snapToGrid w:val="0"/>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策功能作用，有效缓解中小企业融资难等问题，根据财政部财库【2011】124号文件的精神，陕西省财政厅制订了（陕西省财政厅关于印发《陕西省中小企业政府采购信用融资办法》）陕财办采〔2018〕23号，为参与陕西省政府采购项目的谈判供应商提供政府采购信用担保，并按照程序确定了合作的担保机构。谈判供应商在缴纳谈判保证金时可自愿选择通过担保机构保函的形式缴纳；成交谈判供应商如果需要融资贷款服务的，可凭成交通知书、政府采购合同等相关资料，按照《陕西省财政厅关于印发&lt;陕西省中小企业政府采购信用融资办法&gt;的通知》（陕财办采〔2018〕23号）相关政策、业务流程、办理平台（</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"http://www.ccgp-shaanxi.gov.cn/zcdservice/zcd/shanxi/"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http://www.ccgp-shaanxi.gov.cn/zcdservice/zcd/shanxi/</w:t>
      </w:r>
      <w:r>
        <w:rPr>
          <w:rFonts w:hint="eastAsia" w:ascii="宋体" w:hAnsi="宋体" w:eastAsia="宋体" w:cs="宋体"/>
          <w:sz w:val="24"/>
          <w:szCs w:val="24"/>
          <w:highlight w:val="none"/>
          <w:lang w:eastAsia="zh-CN"/>
        </w:rPr>
        <w:fldChar w:fldCharType="end"/>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的程序办理</w:t>
      </w:r>
      <w:r>
        <w:rPr>
          <w:rFonts w:hint="eastAsia" w:ascii="宋体" w:hAnsi="宋体" w:eastAsia="宋体" w:cs="宋体"/>
          <w:sz w:val="24"/>
          <w:szCs w:val="24"/>
          <w:highlight w:val="none"/>
          <w:lang w:eastAsia="zh-CN"/>
        </w:rPr>
        <w:t>。</w:t>
      </w:r>
    </w:p>
    <w:p w14:paraId="1ED29657">
      <w:pPr>
        <w:keepNext w:val="0"/>
        <w:keepLines w:val="0"/>
        <w:pageBreakBefore w:val="0"/>
        <w:shd w:val="clear" w:color="auto" w:fill="auto"/>
        <w:kinsoku/>
        <w:wordWrap/>
        <w:overflowPunct/>
        <w:topLinePunct w:val="0"/>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附件1</w:t>
      </w:r>
    </w:p>
    <w:p w14:paraId="0E69016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质疑函范本</w:t>
      </w:r>
    </w:p>
    <w:p w14:paraId="66B4016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一、质疑供应商基本信息</w:t>
      </w:r>
    </w:p>
    <w:p w14:paraId="410B465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质疑供应商：                                        </w:t>
      </w:r>
    </w:p>
    <w:p w14:paraId="6AA6D5B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邮编：                               </w:t>
      </w:r>
    </w:p>
    <w:p w14:paraId="185F9A4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联系电话：                             </w:t>
      </w:r>
    </w:p>
    <w:p w14:paraId="75FEBEB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授权代表：                                          </w:t>
      </w:r>
    </w:p>
    <w:p w14:paraId="3FED75F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p>
    <w:p w14:paraId="17A6A7B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邮编：                                </w:t>
      </w:r>
    </w:p>
    <w:p w14:paraId="2F58620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二、质疑项目基本情况</w:t>
      </w:r>
    </w:p>
    <w:p w14:paraId="46B80FC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质疑项目的名称：                                      </w:t>
      </w:r>
    </w:p>
    <w:p w14:paraId="7B2E131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质疑项目的编号：                                      </w:t>
      </w:r>
    </w:p>
    <w:p w14:paraId="0D889DC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采购人名称：                                          </w:t>
      </w:r>
    </w:p>
    <w:p w14:paraId="0E3A106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招标文件获取日期：                                    </w:t>
      </w:r>
    </w:p>
    <w:p w14:paraId="55EFE83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三、质疑事项具体内容</w:t>
      </w:r>
    </w:p>
    <w:p w14:paraId="1388506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质疑事项1：                                         </w:t>
      </w:r>
    </w:p>
    <w:p w14:paraId="1E2BAD7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事实依据：                                           </w:t>
      </w:r>
    </w:p>
    <w:p w14:paraId="26EA064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法律依据：                                           </w:t>
      </w:r>
    </w:p>
    <w:p w14:paraId="3193258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质疑事项2</w:t>
      </w:r>
    </w:p>
    <w:p w14:paraId="6B4273F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F76D0C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四、与质疑事项相关的质疑请求</w:t>
      </w:r>
    </w:p>
    <w:p w14:paraId="725684B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请求：                                               </w:t>
      </w:r>
    </w:p>
    <w:p w14:paraId="21B7903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p>
    <w:p w14:paraId="140BEF2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签字(签字或盖章)：                   公章：                      </w:t>
      </w:r>
    </w:p>
    <w:p w14:paraId="1A0231B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1AC939F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p>
    <w:p w14:paraId="5CF8880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质疑函制作说明：</w:t>
      </w:r>
    </w:p>
    <w:p w14:paraId="58708BF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1.供应商提出质疑时，应提交质疑函和必要的证明材料。</w:t>
      </w:r>
    </w:p>
    <w:p w14:paraId="30D442E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3B614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3.质疑供应商若对项目的某一分包进行质疑，质疑函中应列明具体分包号。</w:t>
      </w:r>
    </w:p>
    <w:p w14:paraId="4627B84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4.质疑函的质疑事项应具体、明确，并有必要的事实依据和法律依据。</w:t>
      </w:r>
    </w:p>
    <w:p w14:paraId="3EC720D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5.质疑函的质疑请求应与质疑事项相关。</w:t>
      </w:r>
    </w:p>
    <w:p w14:paraId="4C78071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6.质疑供应商为自然人的，质疑函应由本人签字；质疑供应商为法人或者其他组织的，质疑函应由法定代表人、主要负责人，或者其授权代表签字或者盖章，并加盖公章。</w:t>
      </w:r>
    </w:p>
    <w:p w14:paraId="42363209">
      <w:pPr>
        <w:keepNext w:val="0"/>
        <w:keepLines w:val="0"/>
        <w:pageBreakBefore w:val="0"/>
        <w:shd w:val="clear" w:color="auto" w:fill="auto"/>
        <w:kinsoku/>
        <w:wordWrap/>
        <w:overflowPunct/>
        <w:topLinePunct w:val="0"/>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附件2</w:t>
      </w:r>
    </w:p>
    <w:p w14:paraId="70C8E6D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投诉书范本</w:t>
      </w:r>
    </w:p>
    <w:p w14:paraId="590873E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14:paraId="5CB727F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投诉人：                                               </w:t>
      </w:r>
    </w:p>
    <w:p w14:paraId="4DF6619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67C2061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法定代表人/主要负责人：                                </w:t>
      </w:r>
    </w:p>
    <w:p w14:paraId="5EBF006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p>
    <w:p w14:paraId="3DFC87F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授权代表：               联系电话：                    </w:t>
      </w:r>
    </w:p>
    <w:p w14:paraId="392BABD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0BCBE65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被投诉人1：                                            </w:t>
      </w:r>
    </w:p>
    <w:p w14:paraId="40C6E86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292B346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联系电话：                      </w:t>
      </w:r>
    </w:p>
    <w:p w14:paraId="08D06E5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14:paraId="700F2BC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D6C846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相关供应商：                                           </w:t>
      </w:r>
    </w:p>
    <w:p w14:paraId="110973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67A01A7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联系电话：                      </w:t>
      </w:r>
    </w:p>
    <w:p w14:paraId="13AE0A0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14:paraId="25A898E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采购项目名称：                                         </w:t>
      </w:r>
    </w:p>
    <w:p w14:paraId="4FB1842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采购项目编号：                                        </w:t>
      </w:r>
    </w:p>
    <w:p w14:paraId="6480C66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采购人名称：                                           </w:t>
      </w:r>
    </w:p>
    <w:p w14:paraId="041059B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代理机构名称：                                         </w:t>
      </w:r>
    </w:p>
    <w:p w14:paraId="66E810A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招标文件公告:是/否     公告期限：                      </w:t>
      </w:r>
    </w:p>
    <w:p w14:paraId="57D523A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采购结果公告:是/否     公告期限：                      </w:t>
      </w:r>
    </w:p>
    <w:p w14:paraId="22D8760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14:paraId="13169E8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投诉人于       年   月  日,向                      提出质疑，质疑事项为：                                </w:t>
      </w:r>
    </w:p>
    <w:p w14:paraId="158E04D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采购人/代理机构于      年   月   日,就质疑事项作出了答复/没有在法定期限内作出答复。</w:t>
      </w:r>
    </w:p>
    <w:p w14:paraId="214C292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14:paraId="76B5D24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投诉事项 1：                                       </w:t>
      </w:r>
    </w:p>
    <w:p w14:paraId="00C682B7">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事实依据：                                         </w:t>
      </w:r>
    </w:p>
    <w:p w14:paraId="05DAB8E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法律依据：                                         </w:t>
      </w:r>
    </w:p>
    <w:p w14:paraId="05E1DD2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14:paraId="01865DB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3DDD1FE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14:paraId="4D98A80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请求：                                             </w:t>
      </w:r>
    </w:p>
    <w:p w14:paraId="3372CC1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p>
    <w:p w14:paraId="4CC4538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签字(签字或盖章)：                   公章：                      </w:t>
      </w:r>
    </w:p>
    <w:p w14:paraId="5C913D3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573CE545">
      <w:pPr>
        <w:keepNext w:val="0"/>
        <w:keepLines w:val="0"/>
        <w:pageBreakBefore w:val="0"/>
        <w:shd w:val="clear" w:color="auto" w:fill="auto"/>
        <w:kinsoku/>
        <w:wordWrap/>
        <w:overflowPunct/>
        <w:topLinePunct w:val="0"/>
        <w:bidi w:val="0"/>
        <w:snapToGrid w:val="0"/>
        <w:spacing w:line="480" w:lineRule="exact"/>
        <w:outlineLvl w:val="9"/>
        <w:rPr>
          <w:rFonts w:hint="eastAsia" w:ascii="宋体" w:hAnsi="宋体" w:eastAsia="宋体" w:cs="宋体"/>
          <w:sz w:val="24"/>
          <w:szCs w:val="24"/>
          <w:highlight w:val="none"/>
        </w:rPr>
      </w:pPr>
    </w:p>
    <w:p w14:paraId="28B7CF43">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宋体" w:hAnsi="宋体" w:eastAsia="宋体" w:cs="宋体"/>
          <w:sz w:val="24"/>
          <w:szCs w:val="24"/>
          <w:highlight w:val="none"/>
        </w:rPr>
      </w:pPr>
    </w:p>
    <w:p w14:paraId="3E7DA1CB">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宋体" w:hAnsi="宋体" w:eastAsia="宋体" w:cs="宋体"/>
          <w:sz w:val="24"/>
          <w:szCs w:val="24"/>
          <w:highlight w:val="none"/>
        </w:rPr>
      </w:pPr>
    </w:p>
    <w:p w14:paraId="0D2FFEF0">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宋体" w:hAnsi="宋体" w:eastAsia="宋体" w:cs="宋体"/>
          <w:sz w:val="24"/>
          <w:szCs w:val="24"/>
          <w:highlight w:val="none"/>
        </w:rPr>
      </w:pPr>
    </w:p>
    <w:p w14:paraId="45960DC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投诉书制作说明：</w:t>
      </w:r>
    </w:p>
    <w:p w14:paraId="54B97F0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1.投诉人提起投诉时，应当提交投诉书和必要的证明材料，并按照被投诉人和与投诉事项有关的供应商数量提供投诉书副本。</w:t>
      </w:r>
    </w:p>
    <w:p w14:paraId="0351841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D8BDB77">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3.投诉人若对项目的某一分包进行投诉，投诉书应列明具体分包号。</w:t>
      </w:r>
    </w:p>
    <w:p w14:paraId="062F819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4.投诉书应简要列明质疑事项，质疑函、质疑答复等作为附件材料提供。</w:t>
      </w:r>
    </w:p>
    <w:p w14:paraId="393E07E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5.投诉书的投诉事项应具体、明确，并有必要的事实依据和法律依据。</w:t>
      </w:r>
    </w:p>
    <w:p w14:paraId="3285B06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6.投诉书的投诉请求应与投诉事项相关。</w:t>
      </w:r>
    </w:p>
    <w:p w14:paraId="056A6E76">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7.投诉人为自然人的，投诉书应当由本人签字；投诉人为法人或者其他组织的，投诉书应当由法定代表人、主要负责人，或者其授权代表签字或者盖章，并加盖公章。</w:t>
      </w:r>
    </w:p>
    <w:p w14:paraId="3B004E2D">
      <w:pPr>
        <w:keepLines w:val="0"/>
        <w:shd w:val="clear" w:color="auto" w:fill="auto"/>
        <w:kinsoku/>
        <w:overflowPunct/>
        <w:topLinePunct w:val="0"/>
        <w:bidi w:val="0"/>
        <w:spacing w:line="360" w:lineRule="auto"/>
        <w:rPr>
          <w:rFonts w:hint="eastAsia" w:ascii="宋体" w:hAnsi="宋体" w:eastAsia="宋体" w:cs="宋体"/>
          <w:sz w:val="32"/>
          <w:szCs w:val="32"/>
          <w:highlight w:val="none"/>
        </w:rPr>
        <w:sectPr>
          <w:footerReference r:id="rId5" w:type="default"/>
          <w:pgSz w:w="11906" w:h="16838"/>
          <w:pgMar w:top="1440" w:right="1080" w:bottom="1440" w:left="1080"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7DA6BF02">
      <w:pPr>
        <w:keepLines w:val="0"/>
        <w:shd w:val="clear" w:color="auto" w:fill="auto"/>
        <w:kinsoku/>
        <w:overflowPunct/>
        <w:topLinePunct w:val="0"/>
        <w:bidi w:val="0"/>
        <w:spacing w:line="360" w:lineRule="auto"/>
        <w:jc w:val="center"/>
        <w:outlineLvl w:val="0"/>
        <w:rPr>
          <w:rFonts w:hint="eastAsia" w:ascii="宋体" w:hAnsi="宋体" w:eastAsia="宋体" w:cs="宋体"/>
          <w:b w:val="0"/>
          <w:bCs w:val="0"/>
          <w:sz w:val="44"/>
          <w:highlight w:val="none"/>
          <w:lang w:val="zh-CN"/>
        </w:rPr>
      </w:pPr>
      <w:bookmarkStart w:id="92" w:name="_Toc262"/>
      <w:bookmarkEnd w:id="92"/>
      <w:bookmarkStart w:id="93" w:name="_Toc18121"/>
      <w:bookmarkStart w:id="94" w:name="_Toc495913693"/>
      <w:bookmarkStart w:id="95" w:name="_Toc11447"/>
      <w:bookmarkStart w:id="96" w:name="_Toc496524274"/>
      <w:bookmarkStart w:id="97" w:name="_Toc20780_WPSOffice_Level1"/>
      <w:bookmarkStart w:id="98" w:name="_Toc496523744"/>
      <w:bookmarkStart w:id="99" w:name="_Toc18867"/>
      <w:bookmarkStart w:id="100" w:name="_Toc9132"/>
      <w:bookmarkStart w:id="101" w:name="_Toc21171"/>
      <w:r>
        <w:rPr>
          <w:rFonts w:hint="eastAsia" w:ascii="宋体" w:hAnsi="宋体" w:eastAsia="宋体" w:cs="宋体"/>
          <w:b w:val="0"/>
          <w:bCs w:val="0"/>
          <w:sz w:val="44"/>
          <w:szCs w:val="44"/>
          <w:highlight w:val="none"/>
          <w:lang w:val="zh-CN"/>
        </w:rPr>
        <w:t>第</w:t>
      </w:r>
      <w:bookmarkEnd w:id="93"/>
      <w:r>
        <w:rPr>
          <w:rFonts w:hint="eastAsia" w:ascii="宋体" w:hAnsi="宋体" w:eastAsia="宋体" w:cs="宋体"/>
          <w:b w:val="0"/>
          <w:bCs w:val="0"/>
          <w:sz w:val="44"/>
          <w:szCs w:val="44"/>
          <w:highlight w:val="none"/>
          <w:lang w:val="zh-CN"/>
        </w:rPr>
        <w:t>四部分  采购要求及</w:t>
      </w:r>
      <w:bookmarkEnd w:id="94"/>
      <w:bookmarkEnd w:id="95"/>
      <w:bookmarkEnd w:id="96"/>
      <w:bookmarkEnd w:id="97"/>
      <w:bookmarkEnd w:id="98"/>
      <w:r>
        <w:rPr>
          <w:rFonts w:hint="eastAsia" w:ascii="宋体" w:hAnsi="宋体" w:eastAsia="宋体" w:cs="宋体"/>
          <w:b w:val="0"/>
          <w:bCs w:val="0"/>
          <w:sz w:val="44"/>
          <w:szCs w:val="44"/>
          <w:highlight w:val="none"/>
          <w:lang w:val="zh-CN"/>
        </w:rPr>
        <w:t>内容</w:t>
      </w:r>
      <w:bookmarkEnd w:id="99"/>
      <w:bookmarkEnd w:id="100"/>
      <w:bookmarkEnd w:id="101"/>
    </w:p>
    <w:p w14:paraId="236C1644">
      <w:pPr>
        <w:pBdr>
          <w:bottom w:val="none" w:color="auto" w:sz="0" w:space="1"/>
        </w:pBdr>
        <w:spacing w:beforeLines="100"/>
        <w:ind w:left="420" w:hanging="420"/>
        <w:rPr>
          <w:rFonts w:hint="eastAsia" w:ascii="宋体" w:hAnsi="宋体" w:eastAsia="宋体" w:cs="宋体"/>
          <w:b/>
          <w:color w:val="auto"/>
          <w:sz w:val="24"/>
          <w:szCs w:val="24"/>
          <w:highlight w:val="none"/>
        </w:rPr>
      </w:pPr>
      <w:bookmarkStart w:id="102" w:name="_Toc6835"/>
      <w:bookmarkEnd w:id="102"/>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、采购内容（包括采购品目、规格和数量）</w:t>
      </w:r>
    </w:p>
    <w:p w14:paraId="7ADBECFE">
      <w:pPr>
        <w:numPr>
          <w:ilvl w:val="-1"/>
          <w:numId w:val="0"/>
        </w:numPr>
        <w:pBdr>
          <w:bottom w:val="none" w:color="auto" w:sz="0" w:space="0"/>
        </w:pBdr>
        <w:spacing w:beforeLines="-2147483648" w:line="240" w:lineRule="auto"/>
        <w:jc w:val="left"/>
        <w:rPr>
          <w:rFonts w:hint="eastAsia" w:ascii="宋体" w:hAnsi="宋体" w:eastAsia="宋体" w:cs="宋体"/>
          <w:b/>
          <w:bCs w:val="0"/>
          <w:color w:val="auto"/>
          <w:kern w:val="2"/>
          <w:sz w:val="24"/>
          <w:szCs w:val="24"/>
          <w:highlight w:val="none"/>
          <w:lang w:val="en-US" w:eastAsia="zh-CN" w:bidi="ar-SA"/>
        </w:rPr>
      </w:pP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664"/>
        <w:gridCol w:w="1152"/>
        <w:gridCol w:w="1800"/>
        <w:gridCol w:w="2553"/>
        <w:gridCol w:w="1641"/>
      </w:tblGrid>
      <w:tr w14:paraId="697F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76" w:type="pct"/>
            <w:tcBorders>
              <w:top w:val="single" w:color="auto" w:sz="4" w:space="0"/>
              <w:left w:val="single" w:color="auto" w:sz="4" w:space="0"/>
              <w:bottom w:val="single" w:color="auto" w:sz="4" w:space="0"/>
            </w:tcBorders>
            <w:noWrap w:val="0"/>
            <w:vAlign w:val="center"/>
          </w:tcPr>
          <w:p w14:paraId="7E3B1D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序号</w:t>
            </w:r>
          </w:p>
        </w:tc>
        <w:tc>
          <w:tcPr>
            <w:tcW w:w="835" w:type="pct"/>
            <w:tcBorders>
              <w:top w:val="single" w:color="auto" w:sz="4" w:space="0"/>
              <w:bottom w:val="single" w:color="auto" w:sz="4" w:space="0"/>
            </w:tcBorders>
            <w:noWrap w:val="0"/>
            <w:vAlign w:val="center"/>
          </w:tcPr>
          <w:p w14:paraId="3A261A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578" w:type="pct"/>
            <w:tcBorders>
              <w:top w:val="single" w:color="auto" w:sz="4" w:space="0"/>
              <w:bottom w:val="single" w:color="auto" w:sz="4" w:space="0"/>
            </w:tcBorders>
            <w:noWrap w:val="0"/>
            <w:vAlign w:val="center"/>
          </w:tcPr>
          <w:p w14:paraId="1AF3D65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03" w:type="pct"/>
            <w:tcBorders>
              <w:top w:val="single" w:color="auto" w:sz="4" w:space="0"/>
            </w:tcBorders>
            <w:noWrap w:val="0"/>
            <w:vAlign w:val="center"/>
          </w:tcPr>
          <w:p w14:paraId="346ECF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p w14:paraId="0C8885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281" w:type="pct"/>
            <w:tcBorders>
              <w:top w:val="single" w:color="auto" w:sz="4" w:space="0"/>
              <w:left w:val="single" w:color="auto" w:sz="4" w:space="0"/>
              <w:bottom w:val="single" w:color="auto" w:sz="4" w:space="0"/>
              <w:right w:val="single" w:color="auto" w:sz="4" w:space="0"/>
            </w:tcBorders>
            <w:noWrap w:val="0"/>
            <w:vAlign w:val="center"/>
          </w:tcPr>
          <w:p w14:paraId="23F13F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823" w:type="pct"/>
            <w:tcBorders>
              <w:top w:val="single" w:color="auto" w:sz="4" w:space="0"/>
              <w:left w:val="single" w:color="auto" w:sz="4" w:space="0"/>
              <w:bottom w:val="single" w:color="auto" w:sz="4" w:space="0"/>
              <w:right w:val="double" w:color="auto" w:sz="4" w:space="0"/>
            </w:tcBorders>
            <w:noWrap w:val="0"/>
            <w:vAlign w:val="center"/>
          </w:tcPr>
          <w:p w14:paraId="569CFAB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r>
      <w:tr w14:paraId="40A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76" w:type="pct"/>
            <w:tcBorders>
              <w:left w:val="single" w:color="auto" w:sz="4" w:space="0"/>
              <w:bottom w:val="single" w:color="auto" w:sz="4" w:space="0"/>
            </w:tcBorders>
            <w:noWrap w:val="0"/>
            <w:vAlign w:val="center"/>
          </w:tcPr>
          <w:p w14:paraId="66BEFE4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835" w:type="pct"/>
            <w:tcBorders>
              <w:bottom w:val="single" w:color="auto" w:sz="4" w:space="0"/>
            </w:tcBorders>
            <w:noWrap w:val="0"/>
            <w:vAlign w:val="center"/>
          </w:tcPr>
          <w:p w14:paraId="437B7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麻醉便携超声</w:t>
            </w:r>
          </w:p>
        </w:tc>
        <w:tc>
          <w:tcPr>
            <w:tcW w:w="578" w:type="pct"/>
            <w:tcBorders>
              <w:bottom w:val="single" w:color="auto" w:sz="4" w:space="0"/>
            </w:tcBorders>
            <w:noWrap w:val="0"/>
            <w:vAlign w:val="center"/>
          </w:tcPr>
          <w:p w14:paraId="1DBBC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w:t>
            </w:r>
          </w:p>
        </w:tc>
        <w:tc>
          <w:tcPr>
            <w:tcW w:w="903" w:type="pct"/>
            <w:tcBorders>
              <w:bottom w:val="single" w:color="auto" w:sz="4" w:space="0"/>
            </w:tcBorders>
            <w:noWrap w:val="0"/>
            <w:vAlign w:val="center"/>
          </w:tcPr>
          <w:p w14:paraId="49440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92</w:t>
            </w:r>
          </w:p>
        </w:tc>
        <w:tc>
          <w:tcPr>
            <w:tcW w:w="1281" w:type="pct"/>
            <w:tcBorders>
              <w:left w:val="single" w:color="auto" w:sz="4" w:space="0"/>
              <w:bottom w:val="single" w:color="auto" w:sz="4" w:space="0"/>
              <w:right w:val="single" w:color="auto" w:sz="4" w:space="0"/>
            </w:tcBorders>
            <w:noWrap w:val="0"/>
            <w:vAlign w:val="center"/>
          </w:tcPr>
          <w:p w14:paraId="17B811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自合同签订之日起国产设备</w:t>
            </w:r>
            <w:r>
              <w:rPr>
                <w:rFonts w:hint="eastAsia" w:ascii="宋体" w:hAnsi="宋体" w:cs="宋体"/>
                <w:b w:val="0"/>
                <w:color w:val="auto"/>
                <w:kern w:val="2"/>
                <w:sz w:val="24"/>
                <w:szCs w:val="24"/>
                <w:highlight w:val="none"/>
                <w:lang w:val="en-US" w:eastAsia="zh-CN"/>
              </w:rPr>
              <w:t>30</w:t>
            </w:r>
            <w:r>
              <w:rPr>
                <w:rFonts w:hint="eastAsia" w:ascii="宋体" w:hAnsi="宋体" w:eastAsia="宋体" w:cs="宋体"/>
                <w:b w:val="0"/>
                <w:color w:val="auto"/>
                <w:kern w:val="2"/>
                <w:sz w:val="24"/>
                <w:szCs w:val="24"/>
                <w:highlight w:val="none"/>
                <w:lang w:val="en-US" w:eastAsia="zh-CN"/>
              </w:rPr>
              <w:t>个日历日完成全部项目内容，并交付采购方验收合格。</w:t>
            </w:r>
          </w:p>
        </w:tc>
        <w:tc>
          <w:tcPr>
            <w:tcW w:w="823" w:type="pct"/>
            <w:tcBorders>
              <w:left w:val="single" w:color="auto" w:sz="4" w:space="0"/>
              <w:bottom w:val="single" w:color="auto" w:sz="4" w:space="0"/>
              <w:right w:val="double" w:color="auto" w:sz="4" w:space="0"/>
            </w:tcBorders>
            <w:noWrap w:val="0"/>
            <w:vAlign w:val="center"/>
          </w:tcPr>
          <w:p w14:paraId="7F7D2A1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西安市红会医院指定地点</w:t>
            </w:r>
          </w:p>
        </w:tc>
      </w:tr>
    </w:tbl>
    <w:p w14:paraId="037A9684">
      <w:pPr>
        <w:numPr>
          <w:ilvl w:val="0"/>
          <w:numId w:val="0"/>
        </w:numPr>
        <w:pBdr>
          <w:bottom w:val="none" w:color="auto" w:sz="0" w:space="0"/>
        </w:pBdr>
        <w:spacing w:beforeLines="-2147483648" w:line="240" w:lineRule="auto"/>
        <w:jc w:val="left"/>
        <w:rPr>
          <w:rFonts w:hint="eastAsia" w:ascii="宋体" w:hAnsi="宋体" w:eastAsia="宋体" w:cs="宋体"/>
          <w:b/>
          <w:bCs w:val="0"/>
          <w:color w:val="auto"/>
          <w:sz w:val="24"/>
          <w:szCs w:val="24"/>
          <w:highlight w:val="none"/>
          <w:lang w:val="en-US" w:eastAsia="zh-CN"/>
        </w:rPr>
      </w:pPr>
    </w:p>
    <w:p w14:paraId="12DA03E6">
      <w:pPr>
        <w:keepNext w:val="0"/>
        <w:keepLines w:val="0"/>
        <w:pageBreakBefore w:val="0"/>
        <w:numPr>
          <w:ilvl w:val="0"/>
          <w:numId w:val="0"/>
        </w:numPr>
        <w:pBdr>
          <w:bottom w:val="none" w:color="auto" w:sz="0" w:space="0"/>
        </w:pBdr>
        <w:kinsoku/>
        <w:wordWrap/>
        <w:overflowPunct/>
        <w:topLinePunct w:val="0"/>
        <w:autoSpaceDE/>
        <w:autoSpaceDN/>
        <w:bidi w:val="0"/>
        <w:adjustRightInd/>
        <w:snapToGrid/>
        <w:spacing w:beforeLines="-2147483648" w:line="480" w:lineRule="exact"/>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二、技术参数</w:t>
      </w:r>
    </w:p>
    <w:p w14:paraId="0FCF0A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i w:val="0"/>
          <w:iCs w:val="0"/>
          <w:color w:val="auto"/>
          <w:kern w:val="2"/>
          <w:sz w:val="24"/>
          <w:szCs w:val="24"/>
          <w:highlight w:val="none"/>
          <w:u w:val="none"/>
          <w:lang w:val="en-US" w:eastAsia="zh-CN" w:bidi="ar"/>
        </w:rPr>
        <w:t>麻醉便携超声</w:t>
      </w:r>
    </w:p>
    <w:p w14:paraId="2BA1686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en-US" w:bidi="ar-SA"/>
        </w:rPr>
        <w:t>1.</w:t>
      </w:r>
      <w:r>
        <w:rPr>
          <w:rFonts w:hint="eastAsia" w:ascii="宋体" w:hAnsi="宋体" w:eastAsia="宋体" w:cs="宋体"/>
          <w:sz w:val="24"/>
          <w:szCs w:val="24"/>
          <w:highlight w:val="none"/>
        </w:rPr>
        <w:t>主要用于麻醉科、疼痛科、康复科、介入科、外科等超声下可视化引导研究和临床实践；</w:t>
      </w:r>
    </w:p>
    <w:p w14:paraId="77DFEEEA">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en-US" w:bidi="ar-SA"/>
        </w:rPr>
        <w:t>2.</w:t>
      </w:r>
      <w:r>
        <w:rPr>
          <w:rFonts w:hint="eastAsia" w:ascii="宋体" w:hAnsi="宋体" w:eastAsia="宋体" w:cs="宋体"/>
          <w:sz w:val="24"/>
          <w:szCs w:val="24"/>
          <w:highlight w:val="none"/>
        </w:rPr>
        <w:t>触摸屏≥17英寸，支持单点、多点、滑动、缩放操作</w:t>
      </w:r>
      <w:r>
        <w:rPr>
          <w:rFonts w:hint="eastAsia" w:ascii="宋体" w:hAnsi="宋体" w:cs="宋体"/>
          <w:sz w:val="24"/>
          <w:szCs w:val="24"/>
          <w:highlight w:val="none"/>
          <w:lang w:val="en-US" w:eastAsia="zh-CN"/>
        </w:rPr>
        <w:t>等功能；</w:t>
      </w:r>
    </w:p>
    <w:p w14:paraId="115C8539">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en-US" w:bidi="ar-SA"/>
        </w:rPr>
        <w:t>3.</w:t>
      </w:r>
      <w:r>
        <w:rPr>
          <w:rFonts w:hint="eastAsia" w:ascii="宋体" w:hAnsi="宋体" w:eastAsia="宋体" w:cs="宋体"/>
          <w:sz w:val="24"/>
          <w:szCs w:val="24"/>
          <w:highlight w:val="none"/>
        </w:rPr>
        <w:t>电池的续航时间(实时连续扫查)≥240分钟</w:t>
      </w:r>
      <w:r>
        <w:rPr>
          <w:rFonts w:hint="eastAsia" w:ascii="宋体" w:hAnsi="宋体" w:cs="宋体"/>
          <w:sz w:val="24"/>
          <w:szCs w:val="24"/>
          <w:highlight w:val="none"/>
          <w:lang w:eastAsia="zh-CN"/>
        </w:rPr>
        <w:t>；</w:t>
      </w:r>
    </w:p>
    <w:p w14:paraId="5D0DC306">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z w:val="24"/>
          <w:szCs w:val="24"/>
          <w:highlight w:val="none"/>
        </w:rPr>
        <w:t>一体化的台车，带储物盒功能，可独立显示电池电量</w:t>
      </w:r>
      <w:r>
        <w:rPr>
          <w:rFonts w:hint="eastAsia" w:ascii="宋体" w:hAnsi="宋体" w:cs="宋体"/>
          <w:sz w:val="24"/>
          <w:szCs w:val="24"/>
          <w:highlight w:val="none"/>
          <w:lang w:eastAsia="zh-CN"/>
        </w:rPr>
        <w:t>；</w:t>
      </w:r>
    </w:p>
    <w:p w14:paraId="6BC2C15F">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台车上自带专业的消毒</w:t>
      </w:r>
      <w:r>
        <w:rPr>
          <w:rFonts w:hint="eastAsia" w:ascii="宋体" w:hAnsi="宋体" w:cs="宋体"/>
          <w:sz w:val="24"/>
          <w:szCs w:val="24"/>
          <w:highlight w:val="none"/>
          <w:lang w:val="en-US" w:eastAsia="zh-CN"/>
        </w:rPr>
        <w:t>用具</w:t>
      </w:r>
      <w:r>
        <w:rPr>
          <w:rFonts w:hint="eastAsia" w:ascii="宋体" w:hAnsi="宋体" w:cs="宋体"/>
          <w:sz w:val="24"/>
          <w:szCs w:val="24"/>
          <w:highlight w:val="none"/>
          <w:lang w:eastAsia="zh-CN"/>
        </w:rPr>
        <w:t>；</w:t>
      </w:r>
    </w:p>
    <w:p w14:paraId="6B1CDED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全数字化超宽频带波束形成器</w:t>
      </w:r>
      <w:r>
        <w:rPr>
          <w:rFonts w:hint="eastAsia" w:ascii="宋体" w:hAnsi="宋体" w:cs="宋体"/>
          <w:sz w:val="24"/>
          <w:szCs w:val="24"/>
          <w:highlight w:val="none"/>
          <w:lang w:val="en-US" w:eastAsia="zh-CN"/>
        </w:rPr>
        <w:t>；</w:t>
      </w:r>
    </w:p>
    <w:p w14:paraId="5874BD7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数字化高分辨率二维灰阶成像</w:t>
      </w:r>
      <w:r>
        <w:rPr>
          <w:rFonts w:hint="eastAsia" w:ascii="宋体" w:hAnsi="宋体" w:cs="宋体"/>
          <w:sz w:val="24"/>
          <w:szCs w:val="24"/>
          <w:highlight w:val="none"/>
          <w:lang w:eastAsia="zh-CN"/>
        </w:rPr>
        <w:t>；</w:t>
      </w:r>
    </w:p>
    <w:p w14:paraId="43DCCFE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9.具备</w:t>
      </w:r>
      <w:r>
        <w:rPr>
          <w:rFonts w:hint="eastAsia" w:ascii="宋体" w:hAnsi="宋体" w:eastAsia="宋体" w:cs="宋体"/>
          <w:sz w:val="24"/>
          <w:szCs w:val="24"/>
          <w:highlight w:val="none"/>
        </w:rPr>
        <w:t>谐波成像技术</w:t>
      </w:r>
      <w:r>
        <w:rPr>
          <w:rFonts w:hint="eastAsia" w:ascii="宋体" w:hAnsi="宋体" w:cs="宋体"/>
          <w:sz w:val="24"/>
          <w:szCs w:val="24"/>
          <w:highlight w:val="none"/>
          <w:lang w:eastAsia="zh-CN"/>
        </w:rPr>
        <w:t>；</w:t>
      </w:r>
    </w:p>
    <w:p w14:paraId="2777D93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彩色多普勒</w:t>
      </w:r>
      <w:r>
        <w:rPr>
          <w:rFonts w:hint="eastAsia" w:ascii="宋体" w:hAnsi="宋体" w:cs="宋体"/>
          <w:sz w:val="24"/>
          <w:szCs w:val="24"/>
          <w:highlight w:val="none"/>
          <w:lang w:eastAsia="zh-CN"/>
        </w:rPr>
        <w:t>；</w:t>
      </w:r>
    </w:p>
    <w:p w14:paraId="46F1A74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能量多普勒 (CDE/PDI),方向能量图</w:t>
      </w:r>
      <w:r>
        <w:rPr>
          <w:rFonts w:hint="eastAsia" w:ascii="宋体" w:hAnsi="宋体" w:cs="宋体"/>
          <w:sz w:val="24"/>
          <w:szCs w:val="24"/>
          <w:highlight w:val="none"/>
          <w:lang w:eastAsia="zh-CN"/>
        </w:rPr>
        <w:t>；</w:t>
      </w:r>
    </w:p>
    <w:p w14:paraId="7340965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M模式</w:t>
      </w:r>
      <w:r>
        <w:rPr>
          <w:rFonts w:hint="eastAsia" w:ascii="宋体" w:hAnsi="宋体" w:cs="宋体"/>
          <w:sz w:val="24"/>
          <w:szCs w:val="24"/>
          <w:highlight w:val="none"/>
          <w:lang w:eastAsia="zh-CN"/>
        </w:rPr>
        <w:t>；</w:t>
      </w:r>
    </w:p>
    <w:p w14:paraId="39EAA746">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脉冲波多普勒</w:t>
      </w:r>
      <w:r>
        <w:rPr>
          <w:rFonts w:hint="eastAsia" w:ascii="宋体" w:hAnsi="宋体" w:cs="宋体"/>
          <w:sz w:val="24"/>
          <w:szCs w:val="24"/>
          <w:highlight w:val="none"/>
          <w:lang w:eastAsia="zh-CN"/>
        </w:rPr>
        <w:t>；</w:t>
      </w:r>
    </w:p>
    <w:p w14:paraId="60D89E2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实时血流三同步</w:t>
      </w:r>
      <w:r>
        <w:rPr>
          <w:rFonts w:hint="eastAsia" w:ascii="宋体" w:hAnsi="宋体" w:cs="宋体"/>
          <w:sz w:val="24"/>
          <w:szCs w:val="24"/>
          <w:highlight w:val="none"/>
          <w:lang w:eastAsia="zh-CN"/>
        </w:rPr>
        <w:t>；</w:t>
      </w:r>
    </w:p>
    <w:p w14:paraId="5B992ED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血流的自动频谱包络分析测量</w:t>
      </w:r>
      <w:r>
        <w:rPr>
          <w:rFonts w:hint="eastAsia" w:ascii="宋体" w:hAnsi="宋体" w:cs="宋体"/>
          <w:sz w:val="24"/>
          <w:szCs w:val="24"/>
          <w:highlight w:val="none"/>
          <w:lang w:eastAsia="zh-CN"/>
        </w:rPr>
        <w:t>；</w:t>
      </w:r>
    </w:p>
    <w:p w14:paraId="287147D2">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.具备</w:t>
      </w:r>
      <w:r>
        <w:rPr>
          <w:rFonts w:hint="eastAsia" w:ascii="宋体" w:hAnsi="宋体" w:eastAsia="宋体" w:cs="宋体"/>
          <w:sz w:val="24"/>
          <w:szCs w:val="24"/>
          <w:highlight w:val="none"/>
        </w:rPr>
        <w:t>实时空间复合成像技术，同时用作发射和接收</w:t>
      </w:r>
      <w:r>
        <w:rPr>
          <w:rFonts w:hint="eastAsia" w:ascii="宋体" w:hAnsi="宋体" w:cs="宋体"/>
          <w:sz w:val="24"/>
          <w:szCs w:val="24"/>
          <w:highlight w:val="none"/>
          <w:lang w:eastAsia="zh-CN"/>
        </w:rPr>
        <w:t>；</w:t>
      </w:r>
    </w:p>
    <w:p w14:paraId="730BCB8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.具备</w:t>
      </w:r>
      <w:r>
        <w:rPr>
          <w:rFonts w:hint="eastAsia" w:ascii="宋体" w:hAnsi="宋体" w:eastAsia="宋体" w:cs="宋体"/>
          <w:sz w:val="24"/>
          <w:szCs w:val="24"/>
          <w:highlight w:val="none"/>
        </w:rPr>
        <w:t>全域聚焦技术，无需调节焦点，即可拥有清晰的图像</w:t>
      </w:r>
      <w:r>
        <w:rPr>
          <w:rFonts w:hint="eastAsia" w:ascii="宋体" w:hAnsi="宋体" w:cs="宋体"/>
          <w:sz w:val="24"/>
          <w:szCs w:val="24"/>
          <w:highlight w:val="none"/>
          <w:lang w:eastAsia="zh-CN"/>
        </w:rPr>
        <w:t>；</w:t>
      </w:r>
    </w:p>
    <w:p w14:paraId="04EF4AC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val="en-US" w:eastAsia="zh-CN"/>
        </w:rPr>
        <w:t>.具备</w:t>
      </w:r>
      <w:r>
        <w:rPr>
          <w:rFonts w:hint="eastAsia" w:ascii="宋体" w:hAnsi="宋体" w:eastAsia="宋体" w:cs="宋体"/>
          <w:sz w:val="24"/>
          <w:szCs w:val="24"/>
          <w:highlight w:val="none"/>
        </w:rPr>
        <w:t>自适应图像增强技术，清除斑点噪声，提高组织边界对比分辨率</w:t>
      </w:r>
      <w:r>
        <w:rPr>
          <w:rFonts w:hint="eastAsia" w:ascii="宋体" w:hAnsi="宋体" w:cs="宋体"/>
          <w:sz w:val="24"/>
          <w:szCs w:val="24"/>
          <w:highlight w:val="none"/>
          <w:lang w:eastAsia="zh-CN"/>
        </w:rPr>
        <w:t>；</w:t>
      </w:r>
    </w:p>
    <w:p w14:paraId="61B9856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频率复合技术，根据深度自适应调整发射频率，并进行复合</w:t>
      </w:r>
      <w:r>
        <w:rPr>
          <w:rFonts w:hint="eastAsia" w:ascii="宋体" w:hAnsi="宋体" w:cs="宋体"/>
          <w:sz w:val="24"/>
          <w:szCs w:val="24"/>
          <w:highlight w:val="none"/>
          <w:lang w:eastAsia="zh-CN"/>
        </w:rPr>
        <w:t>；</w:t>
      </w:r>
    </w:p>
    <w:p w14:paraId="67E694E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.具备</w:t>
      </w:r>
      <w:r>
        <w:rPr>
          <w:rFonts w:hint="eastAsia" w:ascii="宋体" w:hAnsi="宋体" w:eastAsia="宋体" w:cs="宋体"/>
          <w:sz w:val="24"/>
          <w:szCs w:val="24"/>
          <w:highlight w:val="none"/>
        </w:rPr>
        <w:t>智能穿刺增强技术，线阵探头下穿刺针增强显影自适应调整</w:t>
      </w:r>
      <w:r>
        <w:rPr>
          <w:rFonts w:hint="eastAsia" w:ascii="宋体" w:hAnsi="宋体" w:cs="宋体"/>
          <w:sz w:val="24"/>
          <w:szCs w:val="24"/>
          <w:highlight w:val="none"/>
          <w:lang w:eastAsia="zh-CN"/>
        </w:rPr>
        <w:t>；</w:t>
      </w:r>
    </w:p>
    <w:p w14:paraId="3EF53C9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内置专业教学软件，包括疼痛、康复等应用的教学内容。内含解剖图谱、超声图像及操作手法，包含多部位的教学视频</w:t>
      </w:r>
      <w:r>
        <w:rPr>
          <w:rFonts w:hint="eastAsia" w:ascii="宋体" w:hAnsi="宋体" w:cs="宋体"/>
          <w:sz w:val="24"/>
          <w:szCs w:val="24"/>
          <w:highlight w:val="none"/>
          <w:lang w:eastAsia="zh-CN"/>
        </w:rPr>
        <w:t>；</w:t>
      </w:r>
    </w:p>
    <w:p w14:paraId="390D2D8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测量和分析 (B 模式，M 模式，多普勒模式，彩色模式)</w:t>
      </w:r>
      <w:r>
        <w:rPr>
          <w:rFonts w:hint="eastAsia" w:ascii="宋体" w:hAnsi="宋体" w:cs="宋体"/>
          <w:sz w:val="24"/>
          <w:szCs w:val="24"/>
          <w:highlight w:val="none"/>
          <w:lang w:eastAsia="zh-CN"/>
        </w:rPr>
        <w:t>；</w:t>
      </w:r>
    </w:p>
    <w:p w14:paraId="5A5BE4B2">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一般测量(距离、面积、周长、体积、角度、时间、斜率、心率、流速、压力、流速比等)</w:t>
      </w:r>
      <w:r>
        <w:rPr>
          <w:rFonts w:hint="eastAsia" w:ascii="宋体" w:hAnsi="宋体" w:cs="宋体"/>
          <w:sz w:val="24"/>
          <w:szCs w:val="24"/>
          <w:highlight w:val="none"/>
          <w:lang w:eastAsia="zh-CN"/>
        </w:rPr>
        <w:t>；</w:t>
      </w:r>
    </w:p>
    <w:p w14:paraId="445877F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多普勒血流测量与分析多普勒血流测量与分析</w:t>
      </w:r>
      <w:r>
        <w:rPr>
          <w:rFonts w:hint="eastAsia" w:ascii="宋体" w:hAnsi="宋体" w:cs="宋体"/>
          <w:sz w:val="24"/>
          <w:szCs w:val="24"/>
          <w:highlight w:val="none"/>
          <w:lang w:eastAsia="zh-CN"/>
        </w:rPr>
        <w:t>；</w:t>
      </w:r>
    </w:p>
    <w:p w14:paraId="3D1C816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全自动血流多普勒包络分析</w:t>
      </w:r>
      <w:r>
        <w:rPr>
          <w:rFonts w:hint="eastAsia" w:ascii="宋体" w:hAnsi="宋体" w:cs="宋体"/>
          <w:sz w:val="24"/>
          <w:szCs w:val="24"/>
          <w:highlight w:val="none"/>
          <w:lang w:eastAsia="zh-CN"/>
        </w:rPr>
        <w:t>；</w:t>
      </w:r>
    </w:p>
    <w:p w14:paraId="1A61C31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一体化图像存储(电影)回放重现及病案管理部件</w:t>
      </w:r>
      <w:r>
        <w:rPr>
          <w:rFonts w:hint="eastAsia" w:ascii="宋体" w:hAnsi="宋体" w:cs="宋体"/>
          <w:sz w:val="24"/>
          <w:szCs w:val="24"/>
          <w:highlight w:val="none"/>
          <w:lang w:eastAsia="zh-CN"/>
        </w:rPr>
        <w:t>；</w:t>
      </w:r>
    </w:p>
    <w:p w14:paraId="113AE77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超声图像静态、动态存储、原始数据回放重现</w:t>
      </w:r>
      <w:r>
        <w:rPr>
          <w:rFonts w:hint="eastAsia" w:ascii="宋体" w:hAnsi="宋体" w:cs="宋体"/>
          <w:sz w:val="24"/>
          <w:szCs w:val="24"/>
          <w:highlight w:val="none"/>
          <w:lang w:eastAsia="zh-CN"/>
        </w:rPr>
        <w:t>；</w:t>
      </w:r>
    </w:p>
    <w:p w14:paraId="2B03957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病案管理部件包括：病人资料、报告、图像等存储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修改、检索和打印</w:t>
      </w:r>
      <w:r>
        <w:rPr>
          <w:rFonts w:hint="eastAsia" w:ascii="宋体" w:hAnsi="宋体" w:cs="宋体"/>
          <w:sz w:val="24"/>
          <w:szCs w:val="24"/>
          <w:highlight w:val="none"/>
          <w:lang w:eastAsia="zh-CN"/>
        </w:rPr>
        <w:t>；</w:t>
      </w:r>
    </w:p>
    <w:p w14:paraId="5FE3BB0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输入/输出信号及参考信号：</w:t>
      </w:r>
    </w:p>
    <w:p w14:paraId="51CAD125">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输入：</w:t>
      </w:r>
      <w:r>
        <w:rPr>
          <w:rFonts w:hint="eastAsia" w:ascii="宋体" w:hAnsi="宋体" w:cs="宋体"/>
          <w:sz w:val="24"/>
          <w:szCs w:val="24"/>
          <w:highlight w:val="none"/>
          <w:lang w:val="en-US" w:eastAsia="zh-CN"/>
        </w:rPr>
        <w:t>具有网络远程操作功能；</w:t>
      </w:r>
    </w:p>
    <w:p w14:paraId="171CAD9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输出：HDMI, USB</w:t>
      </w:r>
      <w:r>
        <w:rPr>
          <w:rFonts w:hint="eastAsia" w:ascii="宋体" w:hAnsi="宋体" w:cs="宋体"/>
          <w:sz w:val="24"/>
          <w:szCs w:val="24"/>
          <w:highlight w:val="none"/>
          <w:lang w:eastAsia="zh-CN"/>
        </w:rPr>
        <w:t>；</w:t>
      </w:r>
    </w:p>
    <w:p w14:paraId="5029536B">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sz w:val="24"/>
          <w:szCs w:val="24"/>
          <w:highlight w:val="none"/>
          <w:lang w:eastAsia="zh-CN"/>
        </w:rPr>
      </w:pPr>
      <w:r>
        <w:rPr>
          <w:rFonts w:hint="eastAsia" w:ascii="宋体" w:hAnsi="宋体" w:cs="宋体"/>
          <w:color w:val="auto"/>
          <w:sz w:val="24"/>
          <w:szCs w:val="24"/>
          <w:highlight w:val="none"/>
          <w:lang w:val="en-US" w:eastAsia="zh-CN"/>
        </w:rPr>
        <w:t>25.</w:t>
      </w:r>
      <w:r>
        <w:rPr>
          <w:rFonts w:hint="eastAsia" w:ascii="宋体" w:hAnsi="宋体" w:cs="宋体"/>
          <w:sz w:val="24"/>
          <w:szCs w:val="24"/>
          <w:highlight w:val="none"/>
          <w:lang w:val="en-US" w:eastAsia="zh-CN"/>
        </w:rPr>
        <w:t>支持</w:t>
      </w:r>
      <w:r>
        <w:rPr>
          <w:rFonts w:hint="eastAsia" w:ascii="宋体" w:hAnsi="宋体" w:eastAsia="宋体" w:cs="宋体"/>
          <w:sz w:val="24"/>
          <w:szCs w:val="24"/>
          <w:highlight w:val="none"/>
        </w:rPr>
        <w:t>无线网</w:t>
      </w:r>
      <w:r>
        <w:rPr>
          <w:rFonts w:hint="eastAsia" w:ascii="宋体" w:hAnsi="宋体" w:cs="宋体"/>
          <w:sz w:val="24"/>
          <w:szCs w:val="24"/>
          <w:highlight w:val="none"/>
          <w:lang w:val="en-US" w:eastAsia="zh-CN"/>
        </w:rPr>
        <w:t>络</w:t>
      </w:r>
      <w:r>
        <w:rPr>
          <w:rFonts w:hint="eastAsia" w:ascii="宋体" w:hAnsi="宋体" w:eastAsia="宋体" w:cs="宋体"/>
          <w:sz w:val="24"/>
          <w:szCs w:val="24"/>
          <w:highlight w:val="none"/>
        </w:rPr>
        <w:t>及超声工作站，便于超声影像的快速获取和快速分享，可实现临床超声远程诊断及远程教学</w:t>
      </w:r>
    </w:p>
    <w:p w14:paraId="6DCA0330">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napToGrid w:val="0"/>
          <w:color w:val="000000"/>
          <w:kern w:val="0"/>
          <w:sz w:val="24"/>
          <w:szCs w:val="24"/>
          <w:highlight w:val="none"/>
          <w:lang w:val="en-US" w:eastAsia="zh-CN" w:bidi="ar-SA"/>
        </w:rPr>
        <w:t>26</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 xml:space="preserve"> 探头规格：</w:t>
      </w:r>
    </w:p>
    <w:p w14:paraId="0DAFA0E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探头频率范围1.0-15.0MHz</w:t>
      </w:r>
    </w:p>
    <w:p w14:paraId="1EA6CA9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支持探头类型：凸阵，线阵</w:t>
      </w:r>
    </w:p>
    <w:p w14:paraId="1A504FC6">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线阵探头有效阵元≥19</w:t>
      </w:r>
      <w:r>
        <w:rPr>
          <w:rFonts w:hint="eastAsia" w:ascii="宋体" w:hAnsi="宋体" w:cs="宋体"/>
          <w:sz w:val="24"/>
          <w:szCs w:val="24"/>
          <w:highlight w:val="none"/>
          <w:lang w:val="en-US" w:eastAsia="zh-CN"/>
        </w:rPr>
        <w:t>0</w:t>
      </w:r>
    </w:p>
    <w:p w14:paraId="492FC66D">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cs="宋体"/>
          <w:snapToGrid w:val="0"/>
          <w:color w:val="000000"/>
          <w:kern w:val="0"/>
          <w:sz w:val="24"/>
          <w:szCs w:val="24"/>
          <w:highlight w:val="none"/>
          <w:lang w:val="en-US" w:eastAsia="zh-CN" w:bidi="ar-SA"/>
        </w:rPr>
        <w:t>27</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二维图像主要参数：</w:t>
      </w:r>
    </w:p>
    <w:p w14:paraId="6FA615F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腹部凸阵探头频率</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-5.0MHz 线阵探头频率4.0-15.0MHz</w:t>
      </w:r>
    </w:p>
    <w:p w14:paraId="10E1334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接收方式：可视可调动态范围≥</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0</w:t>
      </w:r>
    </w:p>
    <w:p w14:paraId="556DC1C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二维灰阶≥256</w:t>
      </w:r>
    </w:p>
    <w:p w14:paraId="7C4962D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rPr>
        <w:t>数字式声束形成器：数字式全程动态聚焦，数字式可变孔径及动态变速 ，A/D≥12BIT</w:t>
      </w:r>
    </w:p>
    <w:p w14:paraId="7A70635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 xml:space="preserve">.5 </w:t>
      </w:r>
      <w:r>
        <w:rPr>
          <w:rFonts w:hint="eastAsia" w:ascii="宋体" w:hAnsi="宋体" w:eastAsia="宋体" w:cs="宋体"/>
          <w:sz w:val="24"/>
          <w:szCs w:val="24"/>
          <w:highlight w:val="none"/>
        </w:rPr>
        <w:t>电影回放：灰阶图像回放≥1500幅</w:t>
      </w:r>
    </w:p>
    <w:p w14:paraId="6F87A45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 xml:space="preserve">.6 </w:t>
      </w:r>
      <w:r>
        <w:rPr>
          <w:rFonts w:hint="eastAsia" w:ascii="宋体" w:hAnsi="宋体" w:eastAsia="宋体" w:cs="宋体"/>
          <w:sz w:val="24"/>
          <w:szCs w:val="24"/>
          <w:highlight w:val="none"/>
        </w:rPr>
        <w:t>预设条件：针对不同的检查脏器，预置最佳化图像的检查条件，减少操作时的调节及常用所需的外部调节及组合调节</w:t>
      </w:r>
    </w:p>
    <w:p w14:paraId="537B940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 xml:space="preserve">.7 </w:t>
      </w:r>
      <w:r>
        <w:rPr>
          <w:rFonts w:hint="eastAsia" w:ascii="宋体" w:hAnsi="宋体" w:eastAsia="宋体" w:cs="宋体"/>
          <w:sz w:val="24"/>
          <w:szCs w:val="24"/>
          <w:highlight w:val="none"/>
        </w:rPr>
        <w:t>谐波：所选探头均支持脉冲反相谐波</w:t>
      </w:r>
    </w:p>
    <w:p w14:paraId="7D0110E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 xml:space="preserve">.8 </w:t>
      </w:r>
      <w:r>
        <w:rPr>
          <w:rFonts w:hint="eastAsia" w:ascii="宋体" w:hAnsi="宋体" w:eastAsia="宋体" w:cs="宋体"/>
          <w:sz w:val="24"/>
          <w:szCs w:val="24"/>
          <w:highlight w:val="none"/>
        </w:rPr>
        <w:t>扫描深度≥29cm</w:t>
      </w:r>
    </w:p>
    <w:p w14:paraId="5A99B0A6">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频谱多普勒成像技术参数：</w:t>
      </w:r>
    </w:p>
    <w:p w14:paraId="76675FB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支持方式：PWD 、HPRF</w:t>
      </w:r>
    </w:p>
    <w:p w14:paraId="2F0C753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最大测量速度：PWD:  血流速度最大8.5m/s</w:t>
      </w:r>
    </w:p>
    <w:p w14:paraId="1B1A8B1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显示方式：B 、B/PWD 、B/HPRF, 、B/M 、B/B 、B/CFI/D</w:t>
      </w:r>
    </w:p>
    <w:p w14:paraId="6E058A7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rPr>
        <w:t>取样宽度及位置范围：宽度1-28mm;</w:t>
      </w:r>
    </w:p>
    <w:p w14:paraId="64EC7B8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彩色多普勒</w:t>
      </w:r>
    </w:p>
    <w:p w14:paraId="787C9A9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显示方式：能量显示、速度显示、方向能量多普勒显示</w:t>
      </w:r>
    </w:p>
    <w:p w14:paraId="6DB0F0E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支持二维、彩色、频谱三同步显示</w:t>
      </w:r>
    </w:p>
    <w:p w14:paraId="5C7667F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显示控制：零位移动≥8级可调，黑白与彩色比较双实时彩色对比</w:t>
      </w:r>
    </w:p>
    <w:p w14:paraId="2367C48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rPr>
        <w:t>彩色增强功能：彩色多普勒能量图 (CDE)及方向性能量图</w:t>
      </w:r>
    </w:p>
    <w:p w14:paraId="23AA81A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 xml:space="preserve">.5 </w:t>
      </w:r>
      <w:r>
        <w:rPr>
          <w:rFonts w:hint="eastAsia" w:ascii="宋体" w:hAnsi="宋体" w:eastAsia="宋体" w:cs="宋体"/>
          <w:sz w:val="24"/>
          <w:szCs w:val="24"/>
          <w:highlight w:val="none"/>
        </w:rPr>
        <w:t>超声输出功率调节：B/M 、CWD 、PWD 、Color Doppler输出功率可调。</w:t>
      </w:r>
    </w:p>
    <w:p w14:paraId="286B58AC">
      <w:pPr>
        <w:keepNext w:val="0"/>
        <w:keepLines w:val="0"/>
        <w:pageBreakBefore w:val="0"/>
        <w:pBdr>
          <w:bottom w:val="none" w:color="auto" w:sz="0" w:space="1"/>
        </w:pBdr>
        <w:kinsoku/>
        <w:wordWrap/>
        <w:overflowPunct/>
        <w:topLinePunct w:val="0"/>
        <w:autoSpaceDE/>
        <w:autoSpaceDN/>
        <w:bidi w:val="0"/>
        <w:adjustRightInd/>
        <w:snapToGrid/>
        <w:spacing w:beforeLines="100" w:line="480" w:lineRule="exact"/>
        <w:ind w:left="420" w:hanging="420"/>
        <w:textAlignment w:val="auto"/>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lang w:val="en-US" w:eastAsia="zh-CN"/>
        </w:rPr>
        <w:t>三</w:t>
      </w:r>
      <w:r>
        <w:rPr>
          <w:rFonts w:hint="eastAsia" w:ascii="宋体" w:hAnsi="宋体" w:eastAsia="宋体" w:cs="宋体"/>
          <w:b/>
          <w:color w:val="auto"/>
          <w:sz w:val="24"/>
          <w:szCs w:val="24"/>
          <w:highlight w:val="none"/>
          <w:u w:val="none"/>
        </w:rPr>
        <w:t>、服务要求</w:t>
      </w:r>
    </w:p>
    <w:p w14:paraId="606A756C">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（一）运输</w:t>
      </w:r>
    </w:p>
    <w:p w14:paraId="0FB8FD60">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运输由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负责，运杂费已包含在合同总价内，包括从货物供应地点所含的运输费、装卸费、仓储费、保险费等全部费用。</w:t>
      </w:r>
    </w:p>
    <w:p w14:paraId="7E4C342E">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运输方式由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自行选择，但必须保证按期交货。</w:t>
      </w:r>
    </w:p>
    <w:p w14:paraId="15F2FBF0">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运输过程中的产品质量及风险由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全部承担。</w:t>
      </w:r>
    </w:p>
    <w:p w14:paraId="53E23EF3">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（二）质量保证</w:t>
      </w:r>
    </w:p>
    <w:p w14:paraId="046335C0">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所供货物必须执行下列条款：</w:t>
      </w:r>
    </w:p>
    <w:p w14:paraId="558D419C">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保证设备技术指标先进、产品全新、质量性能可靠、进货渠道正常，配置合理，全面满足</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要求。</w:t>
      </w:r>
    </w:p>
    <w:p w14:paraId="37D6A201">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符合国家有关规范要求和技术标准，确保达到最佳运行状态。</w:t>
      </w:r>
    </w:p>
    <w:p w14:paraId="4F49603D">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具有良好的外观，适合安装场所的使用。</w:t>
      </w:r>
    </w:p>
    <w:p w14:paraId="1B7074DC">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提供的设备须为原厂生产全新产品，如果</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提供产品非原厂生产全新产品，一经查实，</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有权要求</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更换符合招标文件所要求的全新产品，一切经济损失由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全部承担。</w:t>
      </w:r>
    </w:p>
    <w:p w14:paraId="675C6BF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（三）售后服务</w:t>
      </w:r>
    </w:p>
    <w:p w14:paraId="11525A5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质保期内：</w:t>
      </w:r>
    </w:p>
    <w:p w14:paraId="7F769E7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设备发生质量问题，在接到</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通知后，</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服务响应时间不超过2小时，4小时内派出专业的维修人员进行现场检测维修，解决问题不超过24小时。对问题较大、短期内不能解决的，为不影响</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正常工作，</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在7日内免费提供替代产品，所发生的全部费用由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承担。若需返厂维修，相关一切费用由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承担。20个工作日内仍无法修复的，需免费更换同规格、同型号原厂全新产品，更换产品所产生的相关费用均由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承担。质保期期内设备停机时间自动计算为免费质保延长时间。</w:t>
      </w:r>
    </w:p>
    <w:p w14:paraId="677DBBF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销售及原厂维修人员须定期寻访医院，及时解决相关设备的各种问题。保修期内保证每年不低于四次的设备维护保养工作。</w:t>
      </w:r>
    </w:p>
    <w:p w14:paraId="5A2C617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在质保期结束前，对设备进行系统测试，全面保养维护，确保设备正常运行。</w:t>
      </w:r>
    </w:p>
    <w:p w14:paraId="1FA30D3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质保期满后：</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提供每年不低于四次的巡访，以保证设备正常运行。如</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须提供长期的优惠有偿维修服务，并负责长期成本价供应设备所需的原厂备品、备件，提供主要易损备件报价单。设备出现的故障，</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应提供及时、有效的技术支持和售后服务，维修更换的配件、备件质保时间为12个月，</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保证所提供的零备件按成本价收取费用，免工时费。</w:t>
      </w:r>
    </w:p>
    <w:p w14:paraId="2933790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使用培训：设备安装调试完成后，</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须安排原厂工程师</w:t>
      </w:r>
      <w:r>
        <w:rPr>
          <w:rFonts w:hint="eastAsia" w:ascii="宋体" w:hAnsi="宋体" w:cs="宋体"/>
          <w:color w:val="auto"/>
          <w:sz w:val="24"/>
          <w:szCs w:val="24"/>
          <w:highlight w:val="none"/>
          <w:lang w:val="en-US" w:eastAsia="zh-CN"/>
        </w:rPr>
        <w:t>负责</w:t>
      </w:r>
      <w:r>
        <w:rPr>
          <w:rFonts w:hint="eastAsia" w:ascii="宋体" w:hAnsi="宋体" w:eastAsia="宋体" w:cs="宋体"/>
          <w:color w:val="auto"/>
          <w:sz w:val="24"/>
          <w:szCs w:val="24"/>
          <w:highlight w:val="none"/>
        </w:rPr>
        <w:t>对设备使用人员进行免费的设备安装调试及操作应用等技术培训，直至使用人员熟练掌握该设备的全部功能操作</w:t>
      </w:r>
      <w:r>
        <w:rPr>
          <w:rFonts w:hint="eastAsia" w:ascii="宋体" w:hAnsi="宋体" w:cs="宋体"/>
          <w:color w:val="auto"/>
          <w:sz w:val="24"/>
          <w:szCs w:val="24"/>
          <w:highlight w:val="none"/>
          <w:lang w:val="en-US" w:eastAsia="zh-CN"/>
        </w:rPr>
        <w:t>负责</w:t>
      </w:r>
      <w:r>
        <w:rPr>
          <w:rFonts w:hint="eastAsia" w:ascii="宋体" w:hAnsi="宋体" w:eastAsia="宋体" w:cs="宋体"/>
          <w:color w:val="auto"/>
          <w:sz w:val="24"/>
          <w:szCs w:val="24"/>
          <w:highlight w:val="none"/>
        </w:rPr>
        <w:t>。长期提供每年不低于2次的免费理论和操作应用培训。</w:t>
      </w:r>
    </w:p>
    <w:p w14:paraId="47134A68">
      <w:pPr>
        <w:pStyle w:val="18"/>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5.开机率：全年≥98%（全年按365天计），停机每超过一天，保修期顺延5天。</w:t>
      </w:r>
    </w:p>
    <w:p w14:paraId="32453461">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技术与服务</w:t>
      </w:r>
    </w:p>
    <w:p w14:paraId="0996A6AA">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技术资料：</w:t>
      </w:r>
    </w:p>
    <w:p w14:paraId="440E6613">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货物合格证；</w:t>
      </w:r>
    </w:p>
    <w:p w14:paraId="6E9D9166">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货物使用说明书（中文）；</w:t>
      </w:r>
    </w:p>
    <w:p w14:paraId="6400E1A8">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检验测试报告(厂家出厂带就有，如厂家不带的话就没有，以合格证为主）；</w:t>
      </w:r>
    </w:p>
    <w:p w14:paraId="34B0F594">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其它资料</w:t>
      </w:r>
      <w:r>
        <w:rPr>
          <w:rFonts w:hint="eastAsia" w:ascii="宋体" w:hAnsi="宋体" w:eastAsia="宋体" w:cs="宋体"/>
          <w:color w:val="auto"/>
          <w:sz w:val="24"/>
          <w:szCs w:val="24"/>
          <w:highlight w:val="none"/>
          <w:lang w:val="en-US" w:eastAsia="zh-CN"/>
        </w:rPr>
        <w:t>。</w:t>
      </w:r>
    </w:p>
    <w:p w14:paraId="4B191DCF">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服务承诺：</w:t>
      </w:r>
    </w:p>
    <w:p w14:paraId="4A244F6F">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保修期内提供完全免费服务，不收取任何费用</w:t>
      </w:r>
      <w:r>
        <w:rPr>
          <w:rFonts w:hint="eastAsia" w:ascii="宋体" w:hAnsi="宋体" w:eastAsia="宋体" w:cs="宋体"/>
          <w:color w:val="auto"/>
          <w:sz w:val="24"/>
          <w:szCs w:val="24"/>
          <w:highlight w:val="none"/>
          <w:lang w:eastAsia="zh-CN"/>
        </w:rPr>
        <w:t>；</w:t>
      </w:r>
    </w:p>
    <w:p w14:paraId="1C474860">
      <w:pPr>
        <w:keepNext w:val="0"/>
        <w:keepLines w:val="0"/>
        <w:pageBreakBefore w:val="0"/>
        <w:widowControl w:val="0"/>
        <w:tabs>
          <w:tab w:val="left" w:pos="480"/>
        </w:tabs>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设备所需备件充足，并保证不低于10年的供应期。</w:t>
      </w:r>
    </w:p>
    <w:p w14:paraId="164374F6">
      <w:pPr>
        <w:keepNext w:val="0"/>
        <w:keepLines w:val="0"/>
        <w:pageBreakBefore w:val="0"/>
        <w:widowControl w:val="0"/>
        <w:pBdr>
          <w:bottom w:val="none" w:color="auto" w:sz="0" w:space="1"/>
        </w:pBdr>
        <w:kinsoku/>
        <w:wordWrap/>
        <w:overflowPunct/>
        <w:topLinePunct w:val="0"/>
        <w:autoSpaceDE/>
        <w:autoSpaceDN/>
        <w:bidi w:val="0"/>
        <w:adjustRightInd/>
        <w:snapToGrid w:val="0"/>
        <w:spacing w:line="480" w:lineRule="exact"/>
        <w:ind w:left="420" w:hanging="42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、商务要求</w:t>
      </w:r>
    </w:p>
    <w:p w14:paraId="09188AB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交货期：自合同签订之日起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个日历日完成全部项目内容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并交付</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验收合格。</w:t>
      </w:r>
    </w:p>
    <w:p w14:paraId="63060ED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款项结算：</w:t>
      </w:r>
    </w:p>
    <w:p w14:paraId="1107EBC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（1）中标方应当在中标结果公示发布后五个工作日内将项目履约保证金（中标总额的5%）转账至招标方基本户, 合同约定事宜完成，所有设备功能完好，退还履约保证金。</w:t>
      </w:r>
    </w:p>
    <w:p w14:paraId="3400598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（2）合同全部设备安装、调试完毕，经甲乙双方验收合格后，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30 日向</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支付合同总额的100%货款。</w:t>
      </w:r>
    </w:p>
    <w:p w14:paraId="72EA417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3.配套耗材：</w:t>
      </w:r>
      <w:r>
        <w:rPr>
          <w:rFonts w:hint="eastAsia" w:ascii="宋体" w:hAnsi="宋体" w:eastAsia="宋体" w:cs="宋体"/>
          <w:color w:val="auto"/>
          <w:sz w:val="24"/>
          <w:szCs w:val="24"/>
          <w:highlight w:val="none"/>
        </w:rPr>
        <w:t>提供配套使用耗材、易损备件招标报价</w:t>
      </w:r>
      <w:r>
        <w:rPr>
          <w:rFonts w:hint="eastAsia" w:ascii="宋体" w:hAnsi="宋体" w:eastAsia="宋体" w:cs="宋体"/>
          <w:color w:val="auto"/>
          <w:sz w:val="24"/>
          <w:szCs w:val="24"/>
          <w:highlight w:val="none"/>
          <w:lang w:eastAsia="zh-CN"/>
        </w:rPr>
        <w:t>。</w:t>
      </w:r>
    </w:p>
    <w:p w14:paraId="2B453F8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维修备件：提供质保期外维修备件厂家优惠报价表。</w:t>
      </w:r>
    </w:p>
    <w:p w14:paraId="7040BD2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5.维保服务：</w:t>
      </w:r>
      <w:r>
        <w:rPr>
          <w:rFonts w:hint="eastAsia" w:ascii="宋体" w:hAnsi="宋体" w:eastAsia="宋体" w:cs="宋体"/>
          <w:color w:val="auto"/>
          <w:sz w:val="24"/>
          <w:szCs w:val="24"/>
          <w:highlight w:val="none"/>
        </w:rPr>
        <w:t>提供质保期外厂家</w:t>
      </w:r>
      <w:r>
        <w:rPr>
          <w:rFonts w:hint="eastAsia" w:ascii="宋体" w:hAnsi="宋体" w:eastAsia="宋体" w:cs="宋体"/>
          <w:color w:val="auto"/>
          <w:sz w:val="24"/>
          <w:szCs w:val="24"/>
          <w:highlight w:val="none"/>
          <w:lang w:val="en-US" w:eastAsia="zh-CN"/>
        </w:rPr>
        <w:t>维保服务方案及</w:t>
      </w:r>
      <w:r>
        <w:rPr>
          <w:rFonts w:hint="eastAsia" w:ascii="宋体" w:hAnsi="宋体" w:eastAsia="宋体" w:cs="宋体"/>
          <w:color w:val="auto"/>
          <w:sz w:val="24"/>
          <w:szCs w:val="24"/>
          <w:highlight w:val="none"/>
        </w:rPr>
        <w:t>优惠报价表。</w:t>
      </w:r>
    </w:p>
    <w:p w14:paraId="0689925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6.提供原厂质量保证维保承诺书</w:t>
      </w:r>
    </w:p>
    <w:p w14:paraId="286DFD5D">
      <w:pPr>
        <w:keepNext w:val="0"/>
        <w:keepLines w:val="0"/>
        <w:pageBreakBefore w:val="0"/>
        <w:widowControl w:val="0"/>
        <w:pBdr>
          <w:bottom w:val="none" w:color="auto" w:sz="0" w:space="1"/>
        </w:pBdr>
        <w:kinsoku/>
        <w:wordWrap/>
        <w:overflowPunct/>
        <w:topLinePunct w:val="0"/>
        <w:autoSpaceDE/>
        <w:autoSpaceDN/>
        <w:bidi w:val="0"/>
        <w:adjustRightInd/>
        <w:snapToGrid w:val="0"/>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、其他</w:t>
      </w:r>
    </w:p>
    <w:p w14:paraId="585ECF63">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验收</w:t>
      </w:r>
    </w:p>
    <w:p w14:paraId="4BE3DCC5">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货物到达</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指定地点后，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根据合同要求，进行外观验收，确认产地、规格、型号和数量。</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双方须在约定的时间和地点共同开箱检验。</w:t>
      </w:r>
    </w:p>
    <w:p w14:paraId="1E7C17AA">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设备安装、调试、自检正常，且可正常使用后，由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书面通知</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p>
    <w:p w14:paraId="26750060">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核查</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提供的设备自检正常报告后，开始进行设备验收。设备验收合格后，填写设备</w:t>
      </w:r>
      <w:r>
        <w:rPr>
          <w:rFonts w:hint="eastAsia" w:ascii="宋体" w:hAnsi="宋体" w:eastAsia="宋体" w:cs="宋体"/>
          <w:bCs/>
          <w:color w:val="auto"/>
          <w:sz w:val="24"/>
          <w:szCs w:val="24"/>
          <w:highlight w:val="none"/>
        </w:rPr>
        <w:t>验收单</w:t>
      </w:r>
      <w:r>
        <w:rPr>
          <w:rFonts w:hint="eastAsia" w:ascii="宋体" w:hAnsi="宋体" w:eastAsia="宋体" w:cs="宋体"/>
          <w:color w:val="auto"/>
          <w:sz w:val="24"/>
          <w:szCs w:val="24"/>
          <w:highlight w:val="none"/>
        </w:rPr>
        <w:t>作为对货物的最终认可。</w:t>
      </w:r>
    </w:p>
    <w:p w14:paraId="45C395AD">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提交货物实施过程中的所有资料，以便</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日后管理和维护。</w:t>
      </w:r>
    </w:p>
    <w:p w14:paraId="0051BB80">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验收依据：</w:t>
      </w:r>
    </w:p>
    <w:p w14:paraId="42649BA4">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本合同及附件文本；</w:t>
      </w:r>
    </w:p>
    <w:p w14:paraId="0CE0C6E2">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国家相应的标准、规范；</w:t>
      </w:r>
    </w:p>
    <w:p w14:paraId="766A15D4">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招标文件、投标文件、澄清表（函）</w:t>
      </w:r>
      <w:r>
        <w:rPr>
          <w:rFonts w:hint="eastAsia" w:ascii="宋体" w:hAnsi="宋体" w:eastAsia="宋体" w:cs="宋体"/>
          <w:color w:val="auto"/>
          <w:sz w:val="24"/>
          <w:szCs w:val="24"/>
          <w:highlight w:val="none"/>
          <w:lang w:eastAsia="zh-CN"/>
        </w:rPr>
        <w:t>；</w:t>
      </w:r>
    </w:p>
    <w:p w14:paraId="2F3A984E">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易损配件、备件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耗材</w:t>
      </w:r>
      <w:r>
        <w:rPr>
          <w:rFonts w:hint="eastAsia" w:ascii="宋体" w:hAnsi="宋体" w:eastAsia="宋体" w:cs="宋体"/>
          <w:color w:val="auto"/>
          <w:sz w:val="24"/>
          <w:szCs w:val="24"/>
          <w:highlight w:val="none"/>
        </w:rPr>
        <w:t>报价单</w:t>
      </w:r>
      <w:r>
        <w:rPr>
          <w:rFonts w:hint="eastAsia" w:ascii="宋体" w:hAnsi="宋体" w:eastAsia="宋体" w:cs="宋体"/>
          <w:color w:val="auto"/>
          <w:sz w:val="24"/>
          <w:szCs w:val="24"/>
          <w:highlight w:val="none"/>
          <w:lang w:eastAsia="zh-CN"/>
        </w:rPr>
        <w:t>；</w:t>
      </w:r>
    </w:p>
    <w:p w14:paraId="786D16FD">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提供原厂</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质量保证维保</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(质保期限与合同一致）</w:t>
      </w:r>
      <w:r>
        <w:rPr>
          <w:rFonts w:hint="eastAsia" w:ascii="宋体" w:hAnsi="宋体" w:eastAsia="宋体" w:cs="宋体"/>
          <w:color w:val="auto"/>
          <w:sz w:val="24"/>
          <w:szCs w:val="24"/>
          <w:highlight w:val="none"/>
        </w:rPr>
        <w:t>。</w:t>
      </w:r>
    </w:p>
    <w:p w14:paraId="389E3CF9">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）产品质保期</w:t>
      </w:r>
    </w:p>
    <w:p w14:paraId="7235A91F">
      <w:pPr>
        <w:pStyle w:val="75"/>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麻醉便携超声</w:t>
      </w:r>
      <w:r>
        <w:rPr>
          <w:rFonts w:hint="eastAsia" w:ascii="宋体" w:hAnsi="宋体" w:cs="宋体"/>
          <w:b w:val="0"/>
          <w:bCs w:val="0"/>
          <w:color w:val="auto"/>
          <w:sz w:val="24"/>
          <w:szCs w:val="24"/>
          <w:highlight w:val="none"/>
          <w:lang w:eastAsia="zh-CN"/>
        </w:rPr>
        <w:t>整机</w:t>
      </w:r>
      <w:r>
        <w:rPr>
          <w:rFonts w:hint="eastAsia" w:ascii="宋体" w:hAnsi="宋体" w:eastAsia="宋体" w:cs="宋体"/>
          <w:b w:val="0"/>
          <w:bCs w:val="0"/>
          <w:color w:val="auto"/>
          <w:sz w:val="24"/>
          <w:szCs w:val="24"/>
          <w:highlight w:val="none"/>
        </w:rPr>
        <w:t>原厂质保≥1 年，质保期结束后免费延保≥</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提供原厂质保文件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，全部软件终生免费升级</w:t>
      </w:r>
      <w:r>
        <w:rPr>
          <w:rFonts w:hint="eastAsia" w:ascii="宋体" w:hAnsi="宋体" w:eastAsia="宋体" w:cs="宋体"/>
          <w:b w:val="0"/>
          <w:bCs w:val="0"/>
          <w:color w:val="auto"/>
          <w:sz w:val="24"/>
          <w:szCs w:val="24"/>
          <w:highlight w:val="none"/>
          <w:lang w:eastAsia="zh-CN"/>
        </w:rPr>
        <w:t>。</w:t>
      </w:r>
    </w:p>
    <w:p w14:paraId="5EAF045B">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）违约责任</w:t>
      </w:r>
    </w:p>
    <w:p w14:paraId="6F2F97B4">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按《政府采购法》、《民法典》中的相关条款执行。</w:t>
      </w:r>
    </w:p>
    <w:p w14:paraId="6892B3A4">
      <w:pPr>
        <w:keepNext w:val="0"/>
        <w:keepLines w:val="0"/>
        <w:pageBreakBefore w:val="0"/>
        <w:widowControl w:val="0"/>
        <w:tabs>
          <w:tab w:val="left" w:pos="480"/>
        </w:tabs>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未按合同要求提供货物或质量不能满足谈判技术要求，</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必须无条件更换，提高技术，完善质量，否则，</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有权终止合同，并对</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的违约行为报监管机构进行相应的处罚。</w:t>
      </w:r>
    </w:p>
    <w:p w14:paraId="64910D98">
      <w:pPr>
        <w:keepNext w:val="0"/>
        <w:keepLines w:val="0"/>
        <w:pageBreakBefore w:val="0"/>
        <w:widowControl w:val="0"/>
        <w:shd w:val="clear" w:color="auto" w:fill="auto"/>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未按合同要求交货期送达</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指定地点的，按每逾期1日，扣除合同总金额的1%。逾期超过10个工作日，</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有权解除合同，合同自</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书面解除通知到达</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时解除，</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应全部返还</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已支付费用，且</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应按照合同总价的30%向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支付违约金。如给</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造成损失的，还应根据损失情况赔偿损失，包括但不限于律师费、诉讼费、差旅费等费用。</w:t>
      </w:r>
    </w:p>
    <w:p w14:paraId="001128CC">
      <w:pPr>
        <w:shd w:val="clear" w:color="auto" w:fill="auto"/>
        <w:bidi w:val="0"/>
        <w:rPr>
          <w:rFonts w:hint="eastAsia" w:ascii="宋体" w:hAnsi="宋体" w:eastAsia="宋体" w:cs="宋体"/>
          <w:highlight w:val="none"/>
          <w:lang w:val="en-US" w:eastAsia="zh-CN"/>
        </w:rPr>
      </w:pPr>
    </w:p>
    <w:p w14:paraId="3CF3DF84">
      <w:pPr>
        <w:shd w:val="clear" w:color="auto" w:fill="auto"/>
        <w:bidi w:val="0"/>
        <w:rPr>
          <w:rFonts w:hint="eastAsia" w:ascii="宋体" w:hAnsi="宋体" w:eastAsia="宋体" w:cs="宋体"/>
          <w:highlight w:val="none"/>
          <w:lang w:val="en-US" w:eastAsia="zh-CN"/>
        </w:rPr>
      </w:pPr>
    </w:p>
    <w:p w14:paraId="3E4B2DF4">
      <w:pPr>
        <w:pStyle w:val="5"/>
        <w:shd w:val="clear" w:color="auto" w:fill="auto"/>
        <w:rPr>
          <w:rFonts w:hint="eastAsia" w:ascii="宋体" w:hAnsi="宋体" w:eastAsia="宋体" w:cs="宋体"/>
          <w:highlight w:val="none"/>
          <w:lang w:val="zh-CN" w:eastAsia="zh-CN"/>
        </w:rPr>
      </w:pPr>
    </w:p>
    <w:p w14:paraId="66B6D64D">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52"/>
          <w:szCs w:val="52"/>
          <w:highlight w:val="none"/>
          <w:u w:val="none"/>
          <w:lang w:val="en-US" w:eastAsia="zh-CN" w:bidi="ar"/>
        </w:rPr>
        <w:sectPr>
          <w:pgSz w:w="11906"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6" w:charSpace="0"/>
        </w:sectPr>
      </w:pPr>
    </w:p>
    <w:p w14:paraId="54497241">
      <w:pPr>
        <w:pStyle w:val="3"/>
        <w:keepNext/>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宋体" w:hAnsi="宋体" w:eastAsia="宋体" w:cs="宋体"/>
          <w:bCs/>
          <w:kern w:val="0"/>
          <w:sz w:val="44"/>
          <w:szCs w:val="44"/>
          <w:highlight w:val="none"/>
          <w:lang w:val="zh-CN"/>
        </w:rPr>
      </w:pPr>
      <w:bookmarkStart w:id="103" w:name="_Toc15647"/>
      <w:bookmarkStart w:id="104" w:name="_Toc10493"/>
      <w:bookmarkStart w:id="105" w:name="_Toc27617"/>
      <w:bookmarkStart w:id="106" w:name="_Toc496524275"/>
      <w:bookmarkStart w:id="107" w:name="_Toc1921"/>
      <w:bookmarkStart w:id="108" w:name="_Toc32324_WPSOffice_Level1"/>
      <w:bookmarkStart w:id="109" w:name="_Toc495913694"/>
      <w:bookmarkStart w:id="110" w:name="_Toc496523745"/>
      <w:bookmarkStart w:id="111" w:name="_Toc20825"/>
      <w:r>
        <w:rPr>
          <w:rFonts w:hint="eastAsia" w:ascii="宋体" w:hAnsi="宋体" w:eastAsia="宋体" w:cs="宋体"/>
          <w:bCs/>
          <w:kern w:val="0"/>
          <w:sz w:val="44"/>
          <w:szCs w:val="44"/>
          <w:highlight w:val="none"/>
          <w:lang w:val="zh-CN"/>
        </w:rPr>
        <w:t>第</w:t>
      </w:r>
      <w:bookmarkEnd w:id="103"/>
      <w:r>
        <w:rPr>
          <w:rFonts w:hint="eastAsia" w:ascii="宋体" w:hAnsi="宋体" w:eastAsia="宋体" w:cs="宋体"/>
          <w:bCs/>
          <w:kern w:val="0"/>
          <w:sz w:val="44"/>
          <w:szCs w:val="44"/>
          <w:highlight w:val="none"/>
          <w:lang w:val="zh-CN"/>
        </w:rPr>
        <w:t>五部分  合同主要条款</w:t>
      </w:r>
      <w:bookmarkEnd w:id="104"/>
      <w:bookmarkEnd w:id="105"/>
      <w:bookmarkEnd w:id="106"/>
      <w:bookmarkEnd w:id="107"/>
      <w:bookmarkEnd w:id="108"/>
      <w:bookmarkEnd w:id="109"/>
      <w:bookmarkEnd w:id="110"/>
      <w:bookmarkEnd w:id="111"/>
    </w:p>
    <w:p w14:paraId="221173E5">
      <w:pPr>
        <w:pStyle w:val="89"/>
        <w:jc w:val="center"/>
        <w:outlineLvl w:val="1"/>
        <w:rPr>
          <w:rFonts w:hint="eastAsia" w:ascii="仿宋" w:hAnsi="仿宋" w:eastAsia="仿宋" w:cs="仿宋"/>
          <w:b/>
          <w:sz w:val="36"/>
          <w:highlight w:val="none"/>
        </w:rPr>
      </w:pPr>
      <w:bookmarkStart w:id="112" w:name="_Toc5713"/>
      <w:bookmarkEnd w:id="112"/>
      <w:bookmarkStart w:id="113" w:name="_Toc2234"/>
      <w:bookmarkStart w:id="114" w:name="_Toc496524276"/>
      <w:bookmarkStart w:id="115" w:name="_Toc496523747"/>
      <w:bookmarkStart w:id="116" w:name="_Toc495913695"/>
      <w:bookmarkStart w:id="117" w:name="_Toc5886"/>
      <w:bookmarkStart w:id="118" w:name="_Toc10874_WPSOffice_Level1"/>
    </w:p>
    <w:p w14:paraId="15E662E2">
      <w:pPr>
        <w:pStyle w:val="89"/>
        <w:jc w:val="center"/>
        <w:outlineLvl w:val="1"/>
        <w:rPr>
          <w:rFonts w:hint="eastAsia" w:ascii="仿宋" w:hAnsi="仿宋" w:eastAsia="仿宋" w:cs="仿宋"/>
          <w:sz w:val="28"/>
          <w:szCs w:val="28"/>
          <w:highlight w:val="none"/>
          <w:lang w:val="en-US" w:eastAsia="zh-CN"/>
        </w:rPr>
      </w:pPr>
      <w:r>
        <w:rPr>
          <w:rFonts w:hint="eastAsia" w:ascii="仿宋" w:hAnsi="仿宋" w:eastAsia="仿宋" w:cs="仿宋"/>
          <w:b/>
          <w:sz w:val="36"/>
          <w:highlight w:val="none"/>
        </w:rPr>
        <w:t>拟签订合同文本</w:t>
      </w:r>
    </w:p>
    <w:p w14:paraId="7D31311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440889A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甲方：西安市红会医院</w:t>
      </w:r>
    </w:p>
    <w:p w14:paraId="37ACA2E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住所地：西安市碑林区南稍门友谊东路555号</w:t>
      </w:r>
    </w:p>
    <w:p w14:paraId="0273F2E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法定代表人：</w:t>
      </w:r>
    </w:p>
    <w:p w14:paraId="3E780DB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w:t>
      </w:r>
    </w:p>
    <w:p w14:paraId="7FE93FD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35EE1DC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乙方：xxxx</w:t>
      </w:r>
    </w:p>
    <w:p w14:paraId="26E5A3F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住所地：</w:t>
      </w:r>
    </w:p>
    <w:p w14:paraId="67AE545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法定代表人：</w:t>
      </w:r>
    </w:p>
    <w:p w14:paraId="452D309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w:t>
      </w:r>
    </w:p>
    <w:p w14:paraId="2225867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6F360A2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西安市红会医院（以下简称甲方）所需本合同项目下的</w:t>
      </w:r>
      <w:r>
        <w:rPr>
          <w:rFonts w:hint="eastAsia" w:eastAsia="宋体" w:cs="宋体"/>
          <w:i w:val="0"/>
          <w:iCs w:val="0"/>
          <w:caps w:val="0"/>
          <w:color w:val="000000"/>
          <w:spacing w:val="0"/>
          <w:kern w:val="0"/>
          <w:sz w:val="24"/>
          <w:szCs w:val="24"/>
          <w:highlight w:val="none"/>
          <w:shd w:val="clear" w:color="auto" w:fill="FFFFFF"/>
          <w:lang w:val="en-US" w:eastAsia="zh-CN"/>
        </w:rPr>
        <w:t>西安市红会医院</w:t>
      </w:r>
      <w:r>
        <w:rPr>
          <w:rFonts w:hint="eastAsia" w:cs="宋体"/>
          <w:i w:val="0"/>
          <w:iCs w:val="0"/>
          <w:caps w:val="0"/>
          <w:color w:val="000000"/>
          <w:spacing w:val="0"/>
          <w:kern w:val="0"/>
          <w:sz w:val="24"/>
          <w:szCs w:val="24"/>
          <w:highlight w:val="none"/>
          <w:shd w:val="clear" w:color="auto" w:fill="FFFFFF"/>
          <w:lang w:val="en-US" w:eastAsia="zh-CN"/>
        </w:rPr>
        <w:t>配置麻醉便携超声采购项目(二次)</w:t>
      </w:r>
      <w:r>
        <w:rPr>
          <w:rFonts w:hint="eastAsia" w:ascii="宋体" w:hAnsi="宋体" w:eastAsia="宋体" w:cs="宋体"/>
          <w:kern w:val="0"/>
          <w:sz w:val="24"/>
          <w:szCs w:val="24"/>
          <w:highlight w:val="none"/>
          <w:lang w:val="en-US" w:eastAsia="zh-CN"/>
        </w:rPr>
        <w:t>，在西安市财政局政府采购管理处的监督管理下，按照政府采购程序组织招标，确定xxxx（以下简称乙方）为中标人。依据《中华人民共和国政府采购法》、《中华人民共和国民法典》以及招标文件、中标单位投标文件正本和澄清表（函）、中标通知书，经甲、乙双方协商，达成如下条款。</w:t>
      </w:r>
    </w:p>
    <w:p w14:paraId="0DAFE8D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567C43F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一、合同标的物内容及数量（以投标文件正本和澄清表〈函〉为准）</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966"/>
        <w:gridCol w:w="1419"/>
        <w:gridCol w:w="1419"/>
        <w:gridCol w:w="1420"/>
        <w:gridCol w:w="1420"/>
      </w:tblGrid>
      <w:tr w14:paraId="3121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14:paraId="386E30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1153" w:type="pct"/>
            <w:vAlign w:val="center"/>
          </w:tcPr>
          <w:p w14:paraId="2A53B3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产品名称</w:t>
            </w:r>
          </w:p>
        </w:tc>
        <w:tc>
          <w:tcPr>
            <w:tcW w:w="832" w:type="pct"/>
            <w:vAlign w:val="center"/>
          </w:tcPr>
          <w:p w14:paraId="4AE93B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生产厂家</w:t>
            </w:r>
          </w:p>
        </w:tc>
        <w:tc>
          <w:tcPr>
            <w:tcW w:w="832" w:type="pct"/>
            <w:vAlign w:val="center"/>
          </w:tcPr>
          <w:p w14:paraId="55AD3C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尺寸规格</w:t>
            </w:r>
          </w:p>
        </w:tc>
        <w:tc>
          <w:tcPr>
            <w:tcW w:w="833" w:type="pct"/>
            <w:vAlign w:val="center"/>
          </w:tcPr>
          <w:p w14:paraId="2EFADF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单价（元）</w:t>
            </w:r>
          </w:p>
        </w:tc>
        <w:tc>
          <w:tcPr>
            <w:tcW w:w="833" w:type="pct"/>
            <w:vAlign w:val="center"/>
          </w:tcPr>
          <w:p w14:paraId="436D47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备注</w:t>
            </w:r>
          </w:p>
        </w:tc>
      </w:tr>
      <w:tr w14:paraId="6211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14:paraId="0A2928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153" w:type="pct"/>
            <w:vAlign w:val="center"/>
          </w:tcPr>
          <w:p w14:paraId="509074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2" w:type="pct"/>
            <w:vAlign w:val="center"/>
          </w:tcPr>
          <w:p w14:paraId="5AE8CC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2" w:type="pct"/>
            <w:vAlign w:val="center"/>
          </w:tcPr>
          <w:p w14:paraId="6E9B2C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3" w:type="pct"/>
            <w:vAlign w:val="center"/>
          </w:tcPr>
          <w:p w14:paraId="37C083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3" w:type="pct"/>
            <w:vAlign w:val="center"/>
          </w:tcPr>
          <w:p w14:paraId="7E37F6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r>
      <w:tr w14:paraId="774B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14:paraId="0100DA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153" w:type="pct"/>
            <w:vAlign w:val="center"/>
          </w:tcPr>
          <w:p w14:paraId="0499C5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2" w:type="pct"/>
            <w:vAlign w:val="center"/>
          </w:tcPr>
          <w:p w14:paraId="037424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2" w:type="pct"/>
            <w:vAlign w:val="center"/>
          </w:tcPr>
          <w:p w14:paraId="06EB74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3" w:type="pct"/>
            <w:vAlign w:val="center"/>
          </w:tcPr>
          <w:p w14:paraId="407DB8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3" w:type="pct"/>
            <w:vAlign w:val="center"/>
          </w:tcPr>
          <w:p w14:paraId="699524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r>
      <w:tr w14:paraId="6DD3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14:paraId="3D6AF2D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w:t>
            </w:r>
          </w:p>
        </w:tc>
        <w:tc>
          <w:tcPr>
            <w:tcW w:w="1153" w:type="pct"/>
            <w:vAlign w:val="center"/>
          </w:tcPr>
          <w:p w14:paraId="44CF21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2" w:type="pct"/>
            <w:vAlign w:val="center"/>
          </w:tcPr>
          <w:p w14:paraId="47891D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2" w:type="pct"/>
            <w:vAlign w:val="center"/>
          </w:tcPr>
          <w:p w14:paraId="714F60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3" w:type="pct"/>
            <w:vAlign w:val="center"/>
          </w:tcPr>
          <w:p w14:paraId="4DF2A2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c>
          <w:tcPr>
            <w:tcW w:w="833" w:type="pct"/>
            <w:vAlign w:val="center"/>
          </w:tcPr>
          <w:p w14:paraId="474784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kern w:val="0"/>
                <w:sz w:val="24"/>
                <w:szCs w:val="24"/>
                <w:highlight w:val="none"/>
                <w:lang w:val="en-US" w:eastAsia="zh-CN"/>
              </w:rPr>
            </w:pPr>
          </w:p>
        </w:tc>
      </w:tr>
    </w:tbl>
    <w:p w14:paraId="4882D92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0AA47EA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二、合同价款</w:t>
      </w:r>
    </w:p>
    <w:p w14:paraId="0456618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（一）合同服务期内总价款不能超过人民币捌拾万元（￥800000.00元）。</w:t>
      </w:r>
    </w:p>
    <w:p w14:paraId="1858BEE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（二）单价合计包括：货物费、运输费（含保险费）、装卸、验收、税及其它全部费用。</w:t>
      </w:r>
    </w:p>
    <w:p w14:paraId="6D3B76F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（三）单价一次性包死，乙方不得再增加，不受市场价格变化因素的影响。</w:t>
      </w:r>
    </w:p>
    <w:p w14:paraId="1667059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三、款项结算</w:t>
      </w:r>
    </w:p>
    <w:p w14:paraId="6E27C0F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1.合同全部设备安装、调试完毕，经甲乙双方验收合格后，</w:t>
      </w:r>
      <w:r>
        <w:rPr>
          <w:rFonts w:hint="eastAsia" w:ascii="宋体" w:hAnsi="宋体" w:eastAsia="宋体" w:cs="宋体"/>
          <w:kern w:val="0"/>
          <w:sz w:val="24"/>
          <w:szCs w:val="24"/>
          <w:highlight w:val="none"/>
          <w:lang w:val="en-US" w:eastAsia="zh-CN"/>
        </w:rPr>
        <w:t>乙方开具等额合规发票。</w:t>
      </w:r>
      <w:r>
        <w:rPr>
          <w:rFonts w:hint="eastAsia" w:ascii="宋体" w:hAnsi="宋体" w:eastAsia="宋体" w:cs="宋体"/>
          <w:color w:val="auto"/>
          <w:kern w:val="0"/>
          <w:sz w:val="24"/>
          <w:szCs w:val="24"/>
          <w:highlight w:val="none"/>
          <w:lang w:val="en-US" w:eastAsia="zh-CN"/>
        </w:rPr>
        <w:t>甲方收到发票后，30 日向乙方支付合同总额的100%货款。</w:t>
      </w:r>
    </w:p>
    <w:p w14:paraId="0A57DFC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u w:val="single"/>
          <w:lang w:val="en-US" w:eastAsia="zh-CN"/>
        </w:rPr>
        <w:t>履约保证金收取与退还：乙方应当在中标通知书领取后五个工作日内将项目履约保证金（预算总金额的5%）转账至甲方基本户,未按照招标文件要求按时足额缴纳履约保证金的，甲方将取消乙方中标资格（《中华人民共和国招标投标法实施条例》第七十四条 ），且无需承担任何责任，甲方按照评审报告推荐的成交候选人名单排序，确定下一候选人为中标或者成交供应商（《中华人民共和国政府采购法实施条例》第四十九条）。质保期满一年无质量问题后，无息退还履约保证金。</w:t>
      </w:r>
    </w:p>
    <w:p w14:paraId="045DCB6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3.支付方式：银行转账</w:t>
      </w:r>
    </w:p>
    <w:p w14:paraId="19B1557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采购人基本户户名：西安市红会医院</w:t>
      </w:r>
    </w:p>
    <w:p w14:paraId="4DD62D7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账号：102407334632</w:t>
      </w:r>
    </w:p>
    <w:p w14:paraId="740E4E6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开户行：中行西安长安路支行</w:t>
      </w:r>
    </w:p>
    <w:p w14:paraId="55521D0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注：转账请注明用途</w:t>
      </w:r>
    </w:p>
    <w:p w14:paraId="517338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四、交货条件</w:t>
      </w:r>
    </w:p>
    <w:p w14:paraId="46E0EC2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（一）交货地点：西安市红会医院指定地点。</w:t>
      </w:r>
    </w:p>
    <w:p w14:paraId="42FB160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（二）交货期：</w:t>
      </w:r>
      <w:r>
        <w:rPr>
          <w:rFonts w:hint="eastAsia" w:ascii="宋体" w:hAnsi="宋体" w:eastAsia="宋体" w:cs="宋体"/>
          <w:color w:val="auto"/>
          <w:sz w:val="24"/>
          <w:szCs w:val="24"/>
          <w:highlight w:val="none"/>
        </w:rPr>
        <w:t>自合同签订之日起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个日历日完成全部项目内容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并交付</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验收合格</w:t>
      </w:r>
      <w:r>
        <w:rPr>
          <w:rFonts w:hint="eastAsia" w:ascii="宋体" w:hAnsi="宋体" w:eastAsia="宋体" w:cs="宋体"/>
          <w:kern w:val="0"/>
          <w:sz w:val="24"/>
          <w:szCs w:val="24"/>
          <w:highlight w:val="none"/>
          <w:lang w:val="en-US" w:eastAsia="zh-CN"/>
        </w:rPr>
        <w:t>。</w:t>
      </w:r>
    </w:p>
    <w:p w14:paraId="1F28F8D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（三）验收：</w:t>
      </w:r>
    </w:p>
    <w:p w14:paraId="5B5E417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1.货物到达甲方指定地点后，甲方根据合同要求，进行外观验收，确认产地、规格、型号和数量。甲方、乙双方须在约定的时间和地点共同开箱检验。</w:t>
      </w:r>
    </w:p>
    <w:p w14:paraId="19F4A68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2.设备安装、调试、自检正常，且可正常使用后，由乙方书面通知甲方。</w:t>
      </w:r>
    </w:p>
    <w:p w14:paraId="02E327E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3.甲方核查乙方提供的设备自检正常报告后，开始进行设备验收。设备验收合格后，填写设备验收单作为对货物的最终认可。</w:t>
      </w:r>
    </w:p>
    <w:p w14:paraId="581DEE7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4.乙方须向甲方提交货物实施过程中的所有资料，以便甲方日后管理和维护。</w:t>
      </w:r>
    </w:p>
    <w:p w14:paraId="67D44E2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5.验收依据：</w:t>
      </w:r>
    </w:p>
    <w:p w14:paraId="2F746C4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（1）本合同及附件文本；</w:t>
      </w:r>
    </w:p>
    <w:p w14:paraId="2CC1B69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（2）国家相应的标准、规范；</w:t>
      </w:r>
    </w:p>
    <w:p w14:paraId="78FFBA1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（3）招标文件、投标文件、澄清表（函）；</w:t>
      </w:r>
    </w:p>
    <w:p w14:paraId="441B712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（4）易损配件、备件、耗材报价单；</w:t>
      </w:r>
    </w:p>
    <w:p w14:paraId="1F1689F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（5）提供原厂免费质量保证维保文件(质保期限与合同一致）。</w:t>
      </w:r>
    </w:p>
    <w:p w14:paraId="29008C2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五、运输</w:t>
      </w:r>
    </w:p>
    <w:p w14:paraId="772E6458">
      <w:pPr>
        <w:keepNext w:val="0"/>
        <w:keepLines w:val="0"/>
        <w:pageBreakBefore w:val="0"/>
        <w:widowControl w:val="0"/>
        <w:kinsoku/>
        <w:wordWrap/>
        <w:overflowPunct/>
        <w:topLinePunct w:val="0"/>
        <w:autoSpaceDE/>
        <w:autoSpaceDN/>
        <w:bidi w:val="0"/>
        <w:adjustRightInd/>
        <w:snapToGrid w:val="0"/>
        <w:spacing w:line="480" w:lineRule="exact"/>
        <w:ind w:firstLine="0" w:firstLine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（一）运输由乙方负责，运杂费已包含在合同总价内，包括从货物供应地点所含的运输费、装卸费、仓储费、保险费等全部费用。</w:t>
      </w:r>
    </w:p>
    <w:p w14:paraId="0F9D0960">
      <w:pPr>
        <w:keepNext w:val="0"/>
        <w:keepLines w:val="0"/>
        <w:pageBreakBefore w:val="0"/>
        <w:widowControl w:val="0"/>
        <w:kinsoku/>
        <w:wordWrap/>
        <w:overflowPunct/>
        <w:topLinePunct w:val="0"/>
        <w:autoSpaceDE/>
        <w:autoSpaceDN/>
        <w:bidi w:val="0"/>
        <w:adjustRightInd/>
        <w:snapToGrid w:val="0"/>
        <w:spacing w:line="480" w:lineRule="exact"/>
        <w:ind w:firstLine="0" w:firstLine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（二）运输方式由乙方自行选择，但必须保证按期交货。</w:t>
      </w:r>
    </w:p>
    <w:p w14:paraId="24036F96">
      <w:pPr>
        <w:keepNext w:val="0"/>
        <w:keepLines w:val="0"/>
        <w:pageBreakBefore w:val="0"/>
        <w:widowControl w:val="0"/>
        <w:kinsoku/>
        <w:wordWrap/>
        <w:overflowPunct/>
        <w:topLinePunct w:val="0"/>
        <w:autoSpaceDE/>
        <w:autoSpaceDN/>
        <w:bidi w:val="0"/>
        <w:adjustRightInd/>
        <w:snapToGrid w:val="0"/>
        <w:spacing w:line="480" w:lineRule="exact"/>
        <w:ind w:firstLine="0" w:firstLine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（三）运输过程中的产品质量及风险由乙方全部承担。</w:t>
      </w:r>
    </w:p>
    <w:p w14:paraId="70007EB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六、质量保证</w:t>
      </w:r>
    </w:p>
    <w:p w14:paraId="0BD113D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（一）保证设备技术指标先进、产品全新、质量性能可靠、进货渠道正常，配置合理，全面满足甲方要求。</w:t>
      </w:r>
    </w:p>
    <w:p w14:paraId="5F925D8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（二）符合国家有关规范要求和技术标准，确保达到最佳运行状态。</w:t>
      </w:r>
    </w:p>
    <w:p w14:paraId="358EA64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（三）具有良好的外观，适合安装场所的使用。</w:t>
      </w:r>
    </w:p>
    <w:p w14:paraId="52C5168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（四）乙方为甲方提供的设备须为原厂生产全新产品，如果乙方提供产品非原厂生产全新产品，一经查实，甲方有权要求乙方更换符合招标文件所要求的全新产品，一切经济损失由乙方全部承担。</w:t>
      </w:r>
    </w:p>
    <w:p w14:paraId="6EDF2C9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（五）麻醉便携超声</w:t>
      </w:r>
      <w:r>
        <w:rPr>
          <w:rFonts w:hint="eastAsia" w:ascii="宋体" w:hAnsi="宋体" w:cs="宋体"/>
          <w:kern w:val="0"/>
          <w:sz w:val="24"/>
          <w:szCs w:val="24"/>
          <w:highlight w:val="none"/>
          <w:lang w:val="en-US" w:eastAsia="zh-CN"/>
        </w:rPr>
        <w:t>整机</w:t>
      </w:r>
      <w:r>
        <w:rPr>
          <w:rFonts w:hint="eastAsia" w:ascii="宋体" w:hAnsi="宋体" w:eastAsia="宋体" w:cs="宋体"/>
          <w:kern w:val="0"/>
          <w:sz w:val="24"/>
          <w:szCs w:val="24"/>
          <w:highlight w:val="none"/>
          <w:lang w:val="en-US" w:eastAsia="zh-CN"/>
        </w:rPr>
        <w:t>原厂质保≥1年，质保期结束后免费延保≥2年（提供原厂质保文件），全部软件终生免费升级。</w:t>
      </w:r>
    </w:p>
    <w:p w14:paraId="041C676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七、服务要求</w:t>
      </w:r>
    </w:p>
    <w:p w14:paraId="76E2B76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（一）质保期内：</w:t>
      </w:r>
    </w:p>
    <w:p w14:paraId="3560BD8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设备发生质量问题，在接到甲方通知后，乙方服务响应时间不超过2小时，4小时内派出专业的维修人员进行现场检测维修，解决问题不超过24小时。对问题较大、短期内不能解决的，为不影响甲方正常工作，乙方在7日内免费提供替代产品，所发生的全部费用由乙方承担。若需返厂维修，相关一切费用由乙方承担。20个工作日内仍无法修复的，需免费更换同规格、同型号原厂全新产品，更换产品所产生的相关费用均由乙方承担。质保期期内设备停机时间自动计算为免费质保延长时间。</w:t>
      </w:r>
    </w:p>
    <w:p w14:paraId="0EEC87D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2.乙方销售及原厂维修人员须定期寻访医院，及时解决相关设备的各种问题。保修期内保证每年不低于四次的设备维护保养工作。</w:t>
      </w:r>
    </w:p>
    <w:p w14:paraId="6E3D427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（二）乙方在质保期结束前，对设备进行系统测试，全面保养维护，确保设备正常运行。</w:t>
      </w:r>
    </w:p>
    <w:p w14:paraId="6A29C45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质保期满后：乙方提供每年不低于四次的巡访，以保证设备正常运行。如甲方要求，乙方须提供长期的优惠有偿维修服务，并负责长期成本价供应设备所需的原厂备品、备件，提供主要易损备件报价单。设备出现的故障，乙方应提供及时、有效的技术支持和售后服务，维修更换的配件、备件质保时间为12个月，乙方保证所提供的零备件按成本价收取费用，免工时费。</w:t>
      </w:r>
    </w:p>
    <w:p w14:paraId="56FBEFD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使用培训：设备安装调试完成后，乙方须安排原厂工程师对设备使用人员进行免费的设备安装调试及操作应用等技术培训，直至使用人员熟练掌握该设备的全部功能操作。长期提供每年不低于2次的免费理论和操作应用培训。</w:t>
      </w:r>
    </w:p>
    <w:p w14:paraId="2623D41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（五）开机率：全年≥98%（全年按365天计），停机每超过一天，保修期顺延5天。</w:t>
      </w:r>
    </w:p>
    <w:p w14:paraId="4E7FBC2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八、技术与服务</w:t>
      </w:r>
    </w:p>
    <w:p w14:paraId="4ED22E7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（一）技术资料：</w:t>
      </w:r>
    </w:p>
    <w:p w14:paraId="59E3673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1.货物合格证；</w:t>
      </w:r>
    </w:p>
    <w:p w14:paraId="59D59E6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2.货物使用说明书（中文）；</w:t>
      </w:r>
    </w:p>
    <w:p w14:paraId="70F74DA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3.检验测试报告(厂家出厂带就有，如厂家不带的话就没有，以合格证为主）；</w:t>
      </w:r>
    </w:p>
    <w:p w14:paraId="29B772B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4.其它资料（进口设备报关单等）。</w:t>
      </w:r>
    </w:p>
    <w:p w14:paraId="07EB9E6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（二）服务承诺：</w:t>
      </w:r>
    </w:p>
    <w:p w14:paraId="588B30D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1.保修期内提供完全免费服务，不收取任何费用；</w:t>
      </w:r>
    </w:p>
    <w:p w14:paraId="03229FC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2.设备所需备件充足，并保证不低于10年的供应期。</w:t>
      </w:r>
    </w:p>
    <w:p w14:paraId="7D43FC9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九、违约责任</w:t>
      </w:r>
    </w:p>
    <w:p w14:paraId="08594DF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（一）按《政府采购法》、《民法典》中的相关条款执行。</w:t>
      </w:r>
    </w:p>
    <w:p w14:paraId="2232511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（二）未按合同要求提供货物或质量不能满足谈判技术要求，乙方必须无条件更换，提高技术，完善质量，否则，甲方会同鉴证方有权终止合同，并对乙方的违约行为报监管机构进行相应的处罚。</w:t>
      </w:r>
    </w:p>
    <w:p w14:paraId="52DC09D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乙方未按合同要求交货期送达甲方指定地点的，按每逾期1日，扣除合同总金额的1%。逾期超过10个工作日，甲方有权解除合同，合同自甲方书面解除通知到达乙方时解除，乙方应全部返还甲方已支付费用，且乙方应按照合同总价的30%向甲方支付违约金。如给甲方造成损失的，还应根据损失情况赔偿损失，包括但不限于律师费、诉讼费、差旅费等费用。</w:t>
      </w:r>
    </w:p>
    <w:p w14:paraId="7595610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十、合同争议解决的方式</w:t>
      </w:r>
    </w:p>
    <w:p w14:paraId="5B5BE64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本合同在履行过程中发生的争议，由甲、乙双方当事人协商解决，协商不成的依法向甲方所在地人民法院起诉。</w:t>
      </w:r>
    </w:p>
    <w:p w14:paraId="0E5F6FF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十一、合同生效</w:t>
      </w:r>
    </w:p>
    <w:p w14:paraId="46D4BAF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本合同一式陆份，甲方肆份，乙方壹份，本合同经甲方、乙方双方签字盖章后生效，质保期结束后，自动终止（但合同的服务承诺除外）。</w:t>
      </w:r>
    </w:p>
    <w:p w14:paraId="490E87F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十二、其他事项</w:t>
      </w:r>
    </w:p>
    <w:p w14:paraId="2F97967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（一）西安市财政局政府采购管理处在合同的履行期间以及履行期后，可以随时检查项目的执行情况，对采购内容、标准进行调查核实，并对发现的问题进行处理。</w:t>
      </w:r>
    </w:p>
    <w:p w14:paraId="0E39547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（二）招标文件、投标文件、澄清表（函）、中标通知书、合同附件均成为合同不可分割的部分。</w:t>
      </w:r>
    </w:p>
    <w:p w14:paraId="77B24BC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（三）合同未尽事宜，由甲、乙双方协商，签订补充协议，与原合同具有同等法律效力。</w:t>
      </w:r>
    </w:p>
    <w:p w14:paraId="7D263A3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（四）合同一经签订，不得擅自变更、中止或终止合同。对确需变更、调整或中止、终止合同的，有法律规定的按照法律规定，除合同约定外，由甲乙双方再行协商，协商一致前，原合同或条款继续履行。</w:t>
      </w:r>
    </w:p>
    <w:p w14:paraId="69F03B3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（五）本合同按照中华人民共和国的现行法律进行解释。</w:t>
      </w:r>
    </w:p>
    <w:p w14:paraId="449281F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（六）本合同附件作为本合同的组成部分，与本合同具有同等法律效力。</w:t>
      </w:r>
    </w:p>
    <w:p w14:paraId="13CB96E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3334EA5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3E0547F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12910B1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58A5957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p>
    <w:p w14:paraId="2F33A16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（以下无正文）</w:t>
      </w:r>
    </w:p>
    <w:p w14:paraId="71B0BA02">
      <w:pPr>
        <w:tabs>
          <w:tab w:val="left" w:pos="480"/>
        </w:tabs>
        <w:spacing w:line="360" w:lineRule="auto"/>
        <w:rPr>
          <w:rFonts w:hint="eastAsia" w:ascii="宋体" w:hAnsi="宋体" w:cs="宋体"/>
          <w:szCs w:val="21"/>
          <w:highlight w:val="none"/>
        </w:rPr>
      </w:pPr>
    </w:p>
    <w:p w14:paraId="1D58C82A">
      <w:pPr>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甲  方（法人公章）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乙  方（法人公章）</w:t>
      </w:r>
    </w:p>
    <w:p w14:paraId="5EBD1D0F">
      <w:pPr>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单位名称：西安市红会医院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单位名称:</w:t>
      </w:r>
    </w:p>
    <w:p w14:paraId="78C0160A">
      <w:pPr>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址：西安市碑林区南稍门友谊东路555号  地   址：</w:t>
      </w:r>
    </w:p>
    <w:p w14:paraId="7E0EFA9E">
      <w:pPr>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法定代表人：           （签字）           法定代表人：       （签字） </w:t>
      </w:r>
    </w:p>
    <w:p w14:paraId="1971564F">
      <w:pPr>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代理人：              （签字）            代 理 人：          （签字）</w:t>
      </w:r>
    </w:p>
    <w:p w14:paraId="1D231A3B">
      <w:pPr>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开户银行：</w:t>
      </w:r>
    </w:p>
    <w:p w14:paraId="666D7E36">
      <w:pPr>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经办人：                                  帐    号：</w:t>
      </w:r>
    </w:p>
    <w:p w14:paraId="2E8F6216">
      <w:pPr>
        <w:snapToGrid w:val="0"/>
        <w:spacing w:line="480" w:lineRule="exact"/>
        <w:ind w:firstLine="5040" w:firstLineChars="2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    话：</w:t>
      </w:r>
    </w:p>
    <w:p w14:paraId="72436C53">
      <w:pPr>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签订日期：2025年  月   日                签订日期：2025年  月   日</w:t>
      </w:r>
    </w:p>
    <w:p w14:paraId="4D62E4DD">
      <w:pPr>
        <w:snapToGrid w:val="0"/>
        <w:spacing w:line="480" w:lineRule="exact"/>
        <w:rPr>
          <w:rFonts w:hint="eastAsia" w:ascii="宋体" w:hAnsi="宋体" w:eastAsia="宋体" w:cs="宋体"/>
          <w:sz w:val="24"/>
          <w:szCs w:val="24"/>
          <w:highlight w:val="none"/>
          <w:lang w:val="en-US" w:eastAsia="zh-CN"/>
        </w:rPr>
      </w:pPr>
    </w:p>
    <w:p w14:paraId="2A8F061A">
      <w:pPr>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注：合同生效日期自甲乙双方签字确认后开始执行</w:t>
      </w:r>
    </w:p>
    <w:p w14:paraId="4780E0B2">
      <w:pPr>
        <w:snapToGrid w:val="0"/>
        <w:spacing w:line="480" w:lineRule="exact"/>
        <w:rPr>
          <w:rFonts w:hint="eastAsia" w:ascii="宋体" w:hAnsi="宋体" w:eastAsia="宋体" w:cs="宋体"/>
          <w:sz w:val="24"/>
          <w:szCs w:val="24"/>
          <w:highlight w:val="none"/>
          <w:lang w:val="en-US" w:eastAsia="zh-CN"/>
        </w:rPr>
      </w:pPr>
    </w:p>
    <w:p w14:paraId="12181EA0">
      <w:pPr>
        <w:snapToGrid w:val="0"/>
        <w:spacing w:line="480" w:lineRule="exact"/>
        <w:rPr>
          <w:rFonts w:hint="eastAsia" w:ascii="宋体" w:hAnsi="宋体" w:eastAsia="宋体" w:cs="宋体"/>
          <w:sz w:val="24"/>
          <w:szCs w:val="24"/>
          <w:highlight w:val="none"/>
          <w:lang w:val="en-US" w:eastAsia="zh-CN"/>
        </w:rPr>
      </w:pPr>
    </w:p>
    <w:p w14:paraId="5B99A0F3">
      <w:pPr>
        <w:snapToGrid w:val="0"/>
        <w:spacing w:line="480" w:lineRule="exact"/>
        <w:rPr>
          <w:rFonts w:hint="eastAsia" w:ascii="宋体" w:hAnsi="宋体" w:eastAsia="宋体" w:cs="宋体"/>
          <w:sz w:val="24"/>
          <w:szCs w:val="24"/>
          <w:highlight w:val="none"/>
          <w:lang w:val="en-US" w:eastAsia="zh-CN"/>
        </w:rPr>
      </w:pPr>
    </w:p>
    <w:p w14:paraId="2A317A4C">
      <w:pPr>
        <w:snapToGrid w:val="0"/>
        <w:spacing w:line="480" w:lineRule="exact"/>
        <w:rPr>
          <w:rFonts w:hint="eastAsia" w:ascii="宋体" w:hAnsi="宋体" w:eastAsia="宋体" w:cs="宋体"/>
          <w:sz w:val="24"/>
          <w:szCs w:val="24"/>
          <w:highlight w:val="none"/>
          <w:lang w:val="en-US" w:eastAsia="zh-CN"/>
        </w:rPr>
      </w:pPr>
    </w:p>
    <w:p w14:paraId="64A223F4">
      <w:pPr>
        <w:snapToGrid w:val="0"/>
        <w:spacing w:line="480" w:lineRule="exact"/>
        <w:rPr>
          <w:rFonts w:hint="eastAsia" w:ascii="宋体" w:hAnsi="宋体" w:eastAsia="宋体" w:cs="宋体"/>
          <w:sz w:val="24"/>
          <w:szCs w:val="24"/>
          <w:highlight w:val="none"/>
          <w:lang w:val="en-US" w:eastAsia="zh-CN"/>
        </w:rPr>
      </w:pPr>
    </w:p>
    <w:p w14:paraId="39E11BA6">
      <w:pPr>
        <w:snapToGrid w:val="0"/>
        <w:spacing w:line="480" w:lineRule="exact"/>
        <w:rPr>
          <w:rFonts w:hint="eastAsia" w:ascii="宋体" w:hAnsi="宋体" w:eastAsia="宋体" w:cs="宋体"/>
          <w:sz w:val="24"/>
          <w:szCs w:val="24"/>
          <w:highlight w:val="none"/>
          <w:lang w:val="en-US" w:eastAsia="zh-CN"/>
        </w:rPr>
      </w:pPr>
    </w:p>
    <w:p w14:paraId="5831D894">
      <w:pPr>
        <w:snapToGrid w:val="0"/>
        <w:spacing w:line="480" w:lineRule="exact"/>
        <w:rPr>
          <w:rFonts w:hint="eastAsia" w:ascii="宋体" w:hAnsi="宋体" w:eastAsia="宋体" w:cs="宋体"/>
          <w:sz w:val="24"/>
          <w:szCs w:val="24"/>
          <w:highlight w:val="none"/>
          <w:lang w:val="en-US" w:eastAsia="zh-CN"/>
        </w:rPr>
      </w:pPr>
    </w:p>
    <w:p w14:paraId="65F01506">
      <w:pPr>
        <w:snapToGrid w:val="0"/>
        <w:spacing w:line="480" w:lineRule="exact"/>
        <w:rPr>
          <w:rFonts w:hint="eastAsia" w:ascii="宋体" w:hAnsi="宋体" w:eastAsia="宋体" w:cs="宋体"/>
          <w:sz w:val="24"/>
          <w:szCs w:val="24"/>
          <w:highlight w:val="none"/>
          <w:lang w:val="en-US" w:eastAsia="zh-CN"/>
        </w:rPr>
      </w:pPr>
    </w:p>
    <w:p w14:paraId="64927F36">
      <w:pPr>
        <w:snapToGrid w:val="0"/>
        <w:spacing w:line="480" w:lineRule="exact"/>
        <w:rPr>
          <w:rFonts w:hint="eastAsia" w:ascii="宋体" w:hAnsi="宋体" w:eastAsia="宋体" w:cs="宋体"/>
          <w:sz w:val="24"/>
          <w:szCs w:val="24"/>
          <w:highlight w:val="none"/>
          <w:lang w:val="en-US" w:eastAsia="zh-CN"/>
        </w:rPr>
      </w:pPr>
    </w:p>
    <w:p w14:paraId="56FA7C37">
      <w:pPr>
        <w:snapToGrid w:val="0"/>
        <w:spacing w:line="480" w:lineRule="exact"/>
        <w:rPr>
          <w:rFonts w:hint="eastAsia" w:ascii="宋体" w:hAnsi="宋体" w:eastAsia="宋体" w:cs="宋体"/>
          <w:sz w:val="24"/>
          <w:szCs w:val="24"/>
          <w:highlight w:val="none"/>
          <w:lang w:val="en-US" w:eastAsia="zh-CN"/>
        </w:rPr>
      </w:pPr>
    </w:p>
    <w:p w14:paraId="52F8F1BD">
      <w:pPr>
        <w:snapToGrid w:val="0"/>
        <w:spacing w:line="480" w:lineRule="exact"/>
        <w:rPr>
          <w:rFonts w:hint="eastAsia" w:ascii="宋体" w:hAnsi="宋体" w:eastAsia="宋体" w:cs="宋体"/>
          <w:sz w:val="24"/>
          <w:szCs w:val="24"/>
          <w:highlight w:val="none"/>
          <w:lang w:val="en-US" w:eastAsia="zh-CN"/>
        </w:rPr>
      </w:pPr>
    </w:p>
    <w:p w14:paraId="48750669">
      <w:pPr>
        <w:snapToGrid w:val="0"/>
        <w:spacing w:line="480" w:lineRule="exact"/>
        <w:rPr>
          <w:rFonts w:hint="eastAsia" w:ascii="宋体" w:hAnsi="宋体" w:eastAsia="宋体" w:cs="宋体"/>
          <w:sz w:val="24"/>
          <w:szCs w:val="24"/>
          <w:highlight w:val="none"/>
          <w:lang w:val="en-US" w:eastAsia="zh-CN"/>
        </w:rPr>
      </w:pPr>
    </w:p>
    <w:p w14:paraId="1C0449F5">
      <w:pPr>
        <w:snapToGrid w:val="0"/>
        <w:spacing w:line="480" w:lineRule="exact"/>
        <w:rPr>
          <w:rFonts w:hint="eastAsia" w:ascii="宋体" w:hAnsi="宋体" w:eastAsia="宋体" w:cs="宋体"/>
          <w:sz w:val="24"/>
          <w:szCs w:val="24"/>
          <w:highlight w:val="none"/>
          <w:lang w:val="en-US" w:eastAsia="zh-CN"/>
        </w:rPr>
      </w:pPr>
    </w:p>
    <w:p w14:paraId="41F66CE1">
      <w:pPr>
        <w:snapToGrid w:val="0"/>
        <w:spacing w:line="480" w:lineRule="exact"/>
        <w:rPr>
          <w:rFonts w:hint="eastAsia" w:ascii="宋体" w:hAnsi="宋体" w:eastAsia="宋体" w:cs="宋体"/>
          <w:sz w:val="24"/>
          <w:szCs w:val="24"/>
          <w:highlight w:val="none"/>
          <w:lang w:val="en-US" w:eastAsia="zh-CN"/>
        </w:rPr>
      </w:pPr>
    </w:p>
    <w:p w14:paraId="58BBD230">
      <w:pPr>
        <w:snapToGrid w:val="0"/>
        <w:spacing w:line="480" w:lineRule="exact"/>
        <w:rPr>
          <w:rFonts w:hint="eastAsia" w:ascii="宋体" w:hAnsi="宋体" w:eastAsia="宋体" w:cs="宋体"/>
          <w:sz w:val="24"/>
          <w:szCs w:val="24"/>
          <w:highlight w:val="none"/>
          <w:lang w:val="en-US" w:eastAsia="zh-CN"/>
        </w:rPr>
      </w:pPr>
    </w:p>
    <w:p w14:paraId="180187A2">
      <w:pPr>
        <w:keepLines w:val="0"/>
        <w:shd w:val="clear" w:color="auto" w:fill="auto"/>
        <w:kinsoku/>
        <w:overflowPunct/>
        <w:topLinePunct w:val="0"/>
        <w:bidi w:val="0"/>
        <w:spacing w:line="360" w:lineRule="auto"/>
        <w:jc w:val="both"/>
        <w:outlineLvl w:val="0"/>
        <w:rPr>
          <w:rFonts w:hint="eastAsia" w:ascii="宋体" w:hAnsi="宋体" w:eastAsia="宋体" w:cs="宋体"/>
          <w:bCs/>
          <w:kern w:val="0"/>
          <w:sz w:val="44"/>
          <w:szCs w:val="44"/>
          <w:highlight w:val="none"/>
          <w:lang w:val="zh-CN"/>
        </w:rPr>
      </w:pPr>
      <w:bookmarkStart w:id="119" w:name="_Toc3065"/>
    </w:p>
    <w:p w14:paraId="02FAA485">
      <w:pPr>
        <w:keepLines w:val="0"/>
        <w:shd w:val="clear" w:color="auto" w:fill="auto"/>
        <w:kinsoku/>
        <w:overflowPunct/>
        <w:topLinePunct w:val="0"/>
        <w:bidi w:val="0"/>
        <w:spacing w:line="360" w:lineRule="auto"/>
        <w:jc w:val="center"/>
        <w:outlineLvl w:val="0"/>
        <w:rPr>
          <w:rFonts w:hint="eastAsia" w:ascii="宋体" w:hAnsi="宋体" w:eastAsia="宋体" w:cs="宋体"/>
          <w:b/>
          <w:sz w:val="44"/>
          <w:szCs w:val="44"/>
          <w:highlight w:val="none"/>
        </w:rPr>
      </w:pPr>
      <w:bookmarkStart w:id="120" w:name="_Toc22705"/>
      <w:bookmarkStart w:id="121" w:name="_Toc25382"/>
      <w:r>
        <w:rPr>
          <w:rFonts w:hint="eastAsia" w:ascii="宋体" w:hAnsi="宋体" w:eastAsia="宋体" w:cs="宋体"/>
          <w:bCs/>
          <w:kern w:val="0"/>
          <w:sz w:val="44"/>
          <w:szCs w:val="44"/>
          <w:highlight w:val="none"/>
          <w:lang w:val="zh-CN"/>
        </w:rPr>
        <w:t>第</w:t>
      </w:r>
      <w:bookmarkEnd w:id="113"/>
      <w:r>
        <w:rPr>
          <w:rFonts w:hint="eastAsia" w:ascii="宋体" w:hAnsi="宋体" w:eastAsia="宋体" w:cs="宋体"/>
          <w:bCs/>
          <w:kern w:val="0"/>
          <w:sz w:val="44"/>
          <w:szCs w:val="44"/>
          <w:highlight w:val="none"/>
          <w:lang w:val="zh-CN"/>
        </w:rPr>
        <w:t>六部分  响应文件格式</w:t>
      </w:r>
      <w:bookmarkEnd w:id="114"/>
      <w:bookmarkEnd w:id="115"/>
      <w:bookmarkEnd w:id="116"/>
      <w:bookmarkEnd w:id="117"/>
      <w:bookmarkEnd w:id="118"/>
      <w:bookmarkEnd w:id="119"/>
      <w:bookmarkEnd w:id="120"/>
      <w:bookmarkEnd w:id="121"/>
    </w:p>
    <w:p w14:paraId="0FB86507">
      <w:pPr>
        <w:keepLines w:val="0"/>
        <w:shd w:val="clear" w:color="auto" w:fill="auto"/>
        <w:kinsoku/>
        <w:overflowPunct/>
        <w:topLinePunct w:val="0"/>
        <w:autoSpaceDE w:val="0"/>
        <w:autoSpaceDN w:val="0"/>
        <w:bidi w:val="0"/>
        <w:adjustRightInd w:val="0"/>
        <w:spacing w:line="360" w:lineRule="auto"/>
        <w:jc w:val="right"/>
        <w:outlineLvl w:val="9"/>
        <w:rPr>
          <w:rFonts w:hint="eastAsia" w:ascii="宋体" w:hAnsi="宋体" w:eastAsia="宋体" w:cs="宋体"/>
          <w:b/>
          <w:bCs/>
          <w:sz w:val="32"/>
          <w:szCs w:val="32"/>
          <w:highlight w:val="none"/>
        </w:rPr>
      </w:pPr>
      <w:bookmarkStart w:id="122" w:name="_Toc18252_WPSOffice_Level1"/>
      <w:r>
        <w:rPr>
          <w:rFonts w:hint="eastAsia" w:ascii="宋体" w:hAnsi="宋体" w:eastAsia="宋体" w:cs="宋体"/>
          <w:b/>
          <w:bCs/>
          <w:sz w:val="32"/>
          <w:szCs w:val="32"/>
          <w:highlight w:val="none"/>
        </w:rPr>
        <w:t>正本/副本</w:t>
      </w:r>
      <w:bookmarkEnd w:id="122"/>
    </w:p>
    <w:p w14:paraId="22B87D3F">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b/>
          <w:bCs/>
          <w:sz w:val="32"/>
          <w:szCs w:val="32"/>
          <w:highlight w:val="none"/>
        </w:rPr>
      </w:pPr>
      <w:bookmarkStart w:id="123" w:name="_Toc6310_WPSOffice_Level1"/>
      <w:r>
        <w:rPr>
          <w:rFonts w:hint="eastAsia" w:ascii="宋体" w:hAnsi="宋体" w:eastAsia="宋体" w:cs="宋体"/>
          <w:b/>
          <w:bCs/>
          <w:sz w:val="32"/>
          <w:szCs w:val="32"/>
          <w:highlight w:val="none"/>
        </w:rPr>
        <w:t>政府采购项目</w:t>
      </w:r>
      <w:bookmarkEnd w:id="123"/>
    </w:p>
    <w:p w14:paraId="430355AE">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b/>
          <w:bCs/>
          <w:sz w:val="32"/>
          <w:szCs w:val="32"/>
          <w:highlight w:val="none"/>
        </w:rPr>
      </w:pPr>
      <w:bookmarkStart w:id="124" w:name="_Toc18584_WPSOffice_Level1"/>
      <w:r>
        <w:rPr>
          <w:rFonts w:hint="eastAsia" w:ascii="宋体" w:hAnsi="宋体" w:eastAsia="宋体" w:cs="宋体"/>
          <w:b/>
          <w:bCs/>
          <w:sz w:val="32"/>
          <w:szCs w:val="32"/>
          <w:highlight w:val="none"/>
        </w:rPr>
        <w:t>项目编号：</w:t>
      </w:r>
      <w:bookmarkEnd w:id="124"/>
      <w:r>
        <w:rPr>
          <w:rFonts w:hint="eastAsia" w:ascii="宋体" w:hAnsi="宋体" w:cs="宋体"/>
          <w:b/>
          <w:bCs/>
          <w:sz w:val="32"/>
          <w:szCs w:val="32"/>
          <w:highlight w:val="none"/>
          <w:lang w:val="en-US" w:eastAsia="zh-CN"/>
        </w:rPr>
        <w:t>YC25101040(CGO).1B1</w:t>
      </w:r>
    </w:p>
    <w:p w14:paraId="5F8AF88C">
      <w:pPr>
        <w:pStyle w:val="32"/>
        <w:keepLines w:val="0"/>
        <w:shd w:val="clear" w:color="auto" w:fill="auto"/>
        <w:kinsoku/>
        <w:overflowPunct/>
        <w:topLinePunct w:val="0"/>
        <w:bidi w:val="0"/>
        <w:spacing w:line="360" w:lineRule="auto"/>
        <w:rPr>
          <w:rFonts w:hint="eastAsia" w:ascii="宋体" w:hAnsi="宋体" w:eastAsia="宋体" w:cs="宋体"/>
          <w:highlight w:val="none"/>
        </w:rPr>
      </w:pPr>
    </w:p>
    <w:p w14:paraId="7FC4C67C">
      <w:pPr>
        <w:pStyle w:val="18"/>
        <w:keepLines w:val="0"/>
        <w:shd w:val="clear" w:color="auto" w:fill="auto"/>
        <w:kinsoku/>
        <w:overflowPunct/>
        <w:topLinePunct w:val="0"/>
        <w:bidi w:val="0"/>
        <w:spacing w:line="360" w:lineRule="auto"/>
        <w:jc w:val="center"/>
        <w:outlineLvl w:val="9"/>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西安市红会医院</w:t>
      </w:r>
      <w:r>
        <w:rPr>
          <w:rFonts w:hint="eastAsia" w:ascii="宋体" w:hAnsi="宋体" w:cs="宋体"/>
          <w:b/>
          <w:bCs/>
          <w:sz w:val="36"/>
          <w:szCs w:val="36"/>
          <w:highlight w:val="none"/>
          <w:lang w:val="en-US" w:eastAsia="zh-CN"/>
        </w:rPr>
        <w:t>配置麻醉便携超声采购项目(二次)</w:t>
      </w:r>
    </w:p>
    <w:p w14:paraId="0B46AA97">
      <w:pPr>
        <w:keepLines w:val="0"/>
        <w:shd w:val="clear" w:color="auto" w:fill="auto"/>
        <w:kinsoku/>
        <w:overflowPunct/>
        <w:topLinePunct w:val="0"/>
        <w:bidi w:val="0"/>
        <w:spacing w:line="360" w:lineRule="auto"/>
        <w:rPr>
          <w:rFonts w:hint="eastAsia" w:ascii="宋体" w:hAnsi="宋体" w:eastAsia="宋体" w:cs="宋体"/>
          <w:b/>
          <w:bCs/>
          <w:sz w:val="48"/>
          <w:szCs w:val="48"/>
          <w:highlight w:val="none"/>
        </w:rPr>
      </w:pPr>
    </w:p>
    <w:p w14:paraId="7301FAB5">
      <w:pPr>
        <w:pStyle w:val="62"/>
        <w:keepLines w:val="0"/>
        <w:shd w:val="clear" w:color="auto" w:fill="auto"/>
        <w:kinsoku/>
        <w:overflowPunct/>
        <w:topLinePunct w:val="0"/>
        <w:bidi w:val="0"/>
        <w:spacing w:line="360" w:lineRule="auto"/>
        <w:rPr>
          <w:rFonts w:hint="eastAsia" w:ascii="宋体" w:hAnsi="宋体" w:eastAsia="宋体" w:cs="宋体"/>
          <w:b/>
          <w:bCs/>
          <w:sz w:val="48"/>
          <w:szCs w:val="48"/>
          <w:highlight w:val="none"/>
        </w:rPr>
      </w:pPr>
    </w:p>
    <w:p w14:paraId="4A93A622">
      <w:pPr>
        <w:pStyle w:val="62"/>
        <w:keepLines w:val="0"/>
        <w:shd w:val="clear" w:color="auto" w:fill="auto"/>
        <w:kinsoku/>
        <w:overflowPunct/>
        <w:topLinePunct w:val="0"/>
        <w:bidi w:val="0"/>
        <w:spacing w:line="360" w:lineRule="auto"/>
        <w:rPr>
          <w:rFonts w:hint="eastAsia" w:ascii="宋体" w:hAnsi="宋体" w:eastAsia="宋体" w:cs="宋体"/>
          <w:b/>
          <w:bCs/>
          <w:sz w:val="48"/>
          <w:szCs w:val="48"/>
          <w:highlight w:val="none"/>
        </w:rPr>
      </w:pPr>
    </w:p>
    <w:p w14:paraId="58E5C81A">
      <w:pPr>
        <w:keepLines w:val="0"/>
        <w:shd w:val="clear" w:color="auto" w:fill="auto"/>
        <w:kinsoku/>
        <w:overflowPunct/>
        <w:topLinePunct w:val="0"/>
        <w:autoSpaceDE w:val="0"/>
        <w:autoSpaceDN w:val="0"/>
        <w:bidi w:val="0"/>
        <w:adjustRightInd w:val="0"/>
        <w:spacing w:line="360" w:lineRule="auto"/>
        <w:jc w:val="center"/>
        <w:outlineLvl w:val="9"/>
        <w:rPr>
          <w:rFonts w:hint="eastAsia" w:ascii="宋体" w:hAnsi="宋体" w:eastAsia="宋体" w:cs="宋体"/>
          <w:b/>
          <w:bCs/>
          <w:sz w:val="36"/>
          <w:szCs w:val="36"/>
          <w:highlight w:val="none"/>
          <w:lang w:val="zh-CN" w:eastAsia="zh-CN"/>
        </w:rPr>
      </w:pPr>
      <w:r>
        <w:rPr>
          <w:rFonts w:hint="eastAsia" w:ascii="宋体" w:hAnsi="宋体" w:eastAsia="宋体" w:cs="宋体"/>
          <w:b/>
          <w:bCs/>
          <w:sz w:val="36"/>
          <w:szCs w:val="36"/>
          <w:highlight w:val="none"/>
          <w:lang w:val="zh-CN" w:eastAsia="zh-CN"/>
        </w:rPr>
        <w:t xml:space="preserve">竞争性谈判响应文件 </w:t>
      </w:r>
    </w:p>
    <w:p w14:paraId="49F5DE36">
      <w:pPr>
        <w:keepLines w:val="0"/>
        <w:shd w:val="clear" w:color="auto" w:fill="auto"/>
        <w:kinsoku/>
        <w:overflowPunct/>
        <w:topLinePunct w:val="0"/>
        <w:autoSpaceDE w:val="0"/>
        <w:autoSpaceDN w:val="0"/>
        <w:bidi w:val="0"/>
        <w:adjustRightInd w:val="0"/>
        <w:spacing w:line="360" w:lineRule="auto"/>
        <w:jc w:val="center"/>
        <w:outlineLvl w:val="9"/>
        <w:rPr>
          <w:rFonts w:hint="eastAsia" w:ascii="宋体" w:hAnsi="宋体" w:eastAsia="宋体" w:cs="宋体"/>
          <w:sz w:val="42"/>
          <w:szCs w:val="42"/>
          <w:highlight w:val="none"/>
        </w:rPr>
      </w:pPr>
      <w:r>
        <w:rPr>
          <w:rFonts w:hint="eastAsia" w:ascii="宋体" w:hAnsi="宋体" w:eastAsia="宋体" w:cs="宋体"/>
          <w:sz w:val="42"/>
          <w:szCs w:val="42"/>
          <w:highlight w:val="none"/>
        </w:rPr>
        <w:t xml:space="preserve"> </w:t>
      </w:r>
    </w:p>
    <w:p w14:paraId="04A7CEDB">
      <w:pPr>
        <w:keepLines w:val="0"/>
        <w:shd w:val="clear" w:color="auto" w:fill="auto"/>
        <w:kinsoku/>
        <w:overflowPunct/>
        <w:topLinePunct w:val="0"/>
        <w:autoSpaceDE w:val="0"/>
        <w:autoSpaceDN w:val="0"/>
        <w:bidi w:val="0"/>
        <w:adjustRightInd w:val="0"/>
        <w:spacing w:line="360" w:lineRule="auto"/>
        <w:jc w:val="center"/>
        <w:outlineLvl w:val="9"/>
        <w:rPr>
          <w:rFonts w:hint="eastAsia" w:ascii="宋体" w:hAnsi="宋体" w:eastAsia="宋体" w:cs="宋体"/>
          <w:sz w:val="42"/>
          <w:szCs w:val="42"/>
          <w:highlight w:val="none"/>
        </w:rPr>
      </w:pPr>
      <w:r>
        <w:rPr>
          <w:rFonts w:hint="eastAsia" w:ascii="宋体" w:hAnsi="宋体" w:eastAsia="宋体" w:cs="宋体"/>
          <w:sz w:val="42"/>
          <w:szCs w:val="42"/>
          <w:highlight w:val="none"/>
        </w:rPr>
        <w:t xml:space="preserve"> </w:t>
      </w:r>
    </w:p>
    <w:p w14:paraId="42D34E06">
      <w:pPr>
        <w:pStyle w:val="18"/>
        <w:keepLines w:val="0"/>
        <w:shd w:val="clear" w:color="auto" w:fill="auto"/>
        <w:kinsoku/>
        <w:overflowPunct/>
        <w:topLinePunct w:val="0"/>
        <w:bidi w:val="0"/>
        <w:spacing w:line="360" w:lineRule="auto"/>
        <w:rPr>
          <w:rFonts w:hint="eastAsia" w:ascii="宋体" w:hAnsi="宋体" w:eastAsia="宋体" w:cs="宋体"/>
          <w:highlight w:val="none"/>
        </w:rPr>
      </w:pPr>
    </w:p>
    <w:p w14:paraId="7561A1B8">
      <w:pPr>
        <w:pStyle w:val="18"/>
        <w:keepLines w:val="0"/>
        <w:shd w:val="clear" w:color="auto" w:fill="auto"/>
        <w:kinsoku/>
        <w:overflowPunct/>
        <w:topLinePunct w:val="0"/>
        <w:bidi w:val="0"/>
        <w:spacing w:line="360" w:lineRule="auto"/>
        <w:outlineLvl w:val="9"/>
        <w:rPr>
          <w:rFonts w:hint="eastAsia" w:ascii="宋体" w:hAnsi="宋体" w:eastAsia="宋体" w:cs="宋体"/>
          <w:highlight w:val="none"/>
        </w:rPr>
      </w:pPr>
    </w:p>
    <w:p w14:paraId="5EF13F2A">
      <w:pPr>
        <w:keepLines w:val="0"/>
        <w:shd w:val="clear" w:color="auto" w:fill="auto"/>
        <w:kinsoku/>
        <w:overflowPunct/>
        <w:topLinePunct w:val="0"/>
        <w:bidi w:val="0"/>
        <w:spacing w:line="360" w:lineRule="auto"/>
        <w:ind w:firstLine="321" w:firstLineChars="100"/>
        <w:jc w:val="center"/>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供应商：</w:t>
      </w:r>
      <w:r>
        <w:rPr>
          <w:rFonts w:hint="eastAsia" w:ascii="宋体" w:hAnsi="宋体" w:eastAsia="宋体" w:cs="宋体"/>
          <w:b/>
          <w:bCs w:val="0"/>
          <w:sz w:val="32"/>
          <w:szCs w:val="32"/>
          <w:highlight w:val="none"/>
          <w:u w:val="single"/>
        </w:rPr>
        <w:t xml:space="preserve">                      </w:t>
      </w:r>
      <w:r>
        <w:rPr>
          <w:rFonts w:hint="eastAsia" w:ascii="宋体" w:hAnsi="宋体" w:eastAsia="宋体" w:cs="宋体"/>
          <w:b/>
          <w:bCs w:val="0"/>
          <w:sz w:val="32"/>
          <w:szCs w:val="32"/>
          <w:highlight w:val="none"/>
        </w:rPr>
        <w:t>（盖单位公章）</w:t>
      </w:r>
    </w:p>
    <w:p w14:paraId="62D29105">
      <w:pPr>
        <w:keepLines w:val="0"/>
        <w:shd w:val="clear" w:color="auto" w:fill="auto"/>
        <w:kinsoku/>
        <w:overflowPunct/>
        <w:topLinePunct w:val="0"/>
        <w:bidi w:val="0"/>
        <w:spacing w:line="360" w:lineRule="auto"/>
        <w:jc w:val="center"/>
        <w:outlineLvl w:val="9"/>
        <w:rPr>
          <w:rFonts w:hint="eastAsia" w:ascii="宋体" w:hAnsi="宋体" w:eastAsia="宋体" w:cs="宋体"/>
          <w:b/>
          <w:bCs w:val="0"/>
          <w:sz w:val="32"/>
          <w:szCs w:val="32"/>
          <w:highlight w:val="none"/>
        </w:rPr>
      </w:pPr>
    </w:p>
    <w:p w14:paraId="1A5FB869">
      <w:pPr>
        <w:keepLines w:val="0"/>
        <w:shd w:val="clear" w:color="auto" w:fill="auto"/>
        <w:kinsoku/>
        <w:overflowPunct/>
        <w:topLinePunct w:val="0"/>
        <w:bidi w:val="0"/>
        <w:spacing w:line="360" w:lineRule="auto"/>
        <w:ind w:firstLine="321" w:firstLineChars="100"/>
        <w:jc w:val="center"/>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法定代表人或授权代表：</w:t>
      </w:r>
      <w:r>
        <w:rPr>
          <w:rFonts w:hint="eastAsia" w:ascii="宋体" w:hAnsi="宋体" w:eastAsia="宋体" w:cs="宋体"/>
          <w:b/>
          <w:bCs w:val="0"/>
          <w:sz w:val="32"/>
          <w:szCs w:val="32"/>
          <w:highlight w:val="none"/>
          <w:u w:val="single"/>
        </w:rPr>
        <w:t xml:space="preserve">        </w:t>
      </w:r>
      <w:r>
        <w:rPr>
          <w:rFonts w:hint="eastAsia" w:ascii="宋体" w:hAnsi="宋体" w:eastAsia="宋体" w:cs="宋体"/>
          <w:b/>
          <w:bCs w:val="0"/>
          <w:sz w:val="32"/>
          <w:szCs w:val="32"/>
          <w:highlight w:val="none"/>
        </w:rPr>
        <w:t>（签字或盖章）</w:t>
      </w:r>
    </w:p>
    <w:p w14:paraId="1136B09A">
      <w:pPr>
        <w:keepLines w:val="0"/>
        <w:shd w:val="clear" w:color="auto" w:fill="auto"/>
        <w:kinsoku/>
        <w:overflowPunct/>
        <w:topLinePunct w:val="0"/>
        <w:bidi w:val="0"/>
        <w:spacing w:line="360" w:lineRule="auto"/>
        <w:jc w:val="center"/>
        <w:outlineLvl w:val="9"/>
        <w:rPr>
          <w:rFonts w:hint="eastAsia" w:ascii="宋体" w:hAnsi="宋体" w:eastAsia="宋体" w:cs="宋体"/>
          <w:b/>
          <w:bCs w:val="0"/>
          <w:sz w:val="32"/>
          <w:szCs w:val="32"/>
          <w:highlight w:val="none"/>
        </w:rPr>
      </w:pPr>
    </w:p>
    <w:p w14:paraId="6CC063AA">
      <w:pPr>
        <w:keepLines w:val="0"/>
        <w:shd w:val="clear" w:color="auto" w:fill="auto"/>
        <w:kinsoku/>
        <w:overflowPunct/>
        <w:topLinePunct w:val="0"/>
        <w:bidi w:val="0"/>
        <w:spacing w:line="360" w:lineRule="auto"/>
        <w:ind w:firstLine="1606" w:firstLineChars="500"/>
        <w:jc w:val="both"/>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日        期：</w:t>
      </w:r>
      <w:r>
        <w:rPr>
          <w:rFonts w:hint="eastAsia" w:ascii="宋体" w:hAnsi="宋体" w:eastAsia="宋体" w:cs="宋体"/>
          <w:b/>
          <w:bCs w:val="0"/>
          <w:sz w:val="32"/>
          <w:szCs w:val="32"/>
          <w:highlight w:val="none"/>
          <w:u w:val="single"/>
        </w:rPr>
        <w:t xml:space="preserve">  </w:t>
      </w:r>
      <w:r>
        <w:rPr>
          <w:rFonts w:hint="eastAsia" w:ascii="宋体" w:hAnsi="宋体" w:eastAsia="宋体" w:cs="宋体"/>
          <w:b/>
          <w:bCs w:val="0"/>
          <w:sz w:val="32"/>
          <w:szCs w:val="32"/>
          <w:highlight w:val="none"/>
          <w:u w:val="single"/>
          <w:lang w:val="en-US" w:eastAsia="zh-CN"/>
        </w:rPr>
        <w:t xml:space="preserve">  </w:t>
      </w:r>
      <w:r>
        <w:rPr>
          <w:rFonts w:hint="eastAsia" w:ascii="宋体" w:hAnsi="宋体" w:eastAsia="宋体" w:cs="宋体"/>
          <w:b/>
          <w:bCs w:val="0"/>
          <w:sz w:val="32"/>
          <w:szCs w:val="32"/>
          <w:highlight w:val="none"/>
          <w:u w:val="single"/>
        </w:rPr>
        <w:t xml:space="preserve">  </w:t>
      </w:r>
      <w:r>
        <w:rPr>
          <w:rFonts w:hint="eastAsia" w:ascii="宋体" w:hAnsi="宋体" w:eastAsia="宋体" w:cs="宋体"/>
          <w:b/>
          <w:bCs w:val="0"/>
          <w:sz w:val="32"/>
          <w:szCs w:val="32"/>
          <w:highlight w:val="none"/>
        </w:rPr>
        <w:t>年</w:t>
      </w:r>
      <w:r>
        <w:rPr>
          <w:rFonts w:hint="eastAsia" w:ascii="宋体" w:hAnsi="宋体" w:eastAsia="宋体" w:cs="宋体"/>
          <w:b/>
          <w:bCs w:val="0"/>
          <w:sz w:val="32"/>
          <w:szCs w:val="32"/>
          <w:highlight w:val="none"/>
          <w:u w:val="single"/>
        </w:rPr>
        <w:t xml:space="preserve"> </w:t>
      </w:r>
      <w:r>
        <w:rPr>
          <w:rFonts w:hint="eastAsia" w:ascii="宋体" w:hAnsi="宋体" w:eastAsia="宋体" w:cs="宋体"/>
          <w:b/>
          <w:bCs w:val="0"/>
          <w:sz w:val="32"/>
          <w:szCs w:val="32"/>
          <w:highlight w:val="none"/>
          <w:u w:val="single"/>
          <w:lang w:val="en-US" w:eastAsia="zh-CN"/>
        </w:rPr>
        <w:t xml:space="preserve">  </w:t>
      </w:r>
      <w:r>
        <w:rPr>
          <w:rFonts w:hint="eastAsia" w:ascii="宋体" w:hAnsi="宋体" w:eastAsia="宋体" w:cs="宋体"/>
          <w:b/>
          <w:bCs w:val="0"/>
          <w:sz w:val="32"/>
          <w:szCs w:val="32"/>
          <w:highlight w:val="none"/>
          <w:u w:val="single"/>
        </w:rPr>
        <w:t xml:space="preserve">  </w:t>
      </w:r>
      <w:r>
        <w:rPr>
          <w:rFonts w:hint="eastAsia" w:ascii="宋体" w:hAnsi="宋体" w:eastAsia="宋体" w:cs="宋体"/>
          <w:b/>
          <w:bCs w:val="0"/>
          <w:sz w:val="32"/>
          <w:szCs w:val="32"/>
          <w:highlight w:val="none"/>
        </w:rPr>
        <w:t>月</w:t>
      </w:r>
      <w:r>
        <w:rPr>
          <w:rFonts w:hint="eastAsia" w:ascii="宋体" w:hAnsi="宋体" w:eastAsia="宋体" w:cs="宋体"/>
          <w:b/>
          <w:bCs w:val="0"/>
          <w:sz w:val="32"/>
          <w:szCs w:val="32"/>
          <w:highlight w:val="none"/>
          <w:u w:val="single"/>
        </w:rPr>
        <w:t xml:space="preserve"> </w:t>
      </w:r>
      <w:r>
        <w:rPr>
          <w:rFonts w:hint="eastAsia" w:ascii="宋体" w:hAnsi="宋体" w:eastAsia="宋体" w:cs="宋体"/>
          <w:b/>
          <w:bCs w:val="0"/>
          <w:sz w:val="32"/>
          <w:szCs w:val="32"/>
          <w:highlight w:val="none"/>
          <w:u w:val="single"/>
          <w:lang w:val="en-US" w:eastAsia="zh-CN"/>
        </w:rPr>
        <w:t xml:space="preserve">  </w:t>
      </w:r>
      <w:r>
        <w:rPr>
          <w:rFonts w:hint="eastAsia" w:ascii="宋体" w:hAnsi="宋体" w:eastAsia="宋体" w:cs="宋体"/>
          <w:b/>
          <w:bCs w:val="0"/>
          <w:sz w:val="32"/>
          <w:szCs w:val="32"/>
          <w:highlight w:val="none"/>
          <w:u w:val="single"/>
        </w:rPr>
        <w:t xml:space="preserve">  </w:t>
      </w:r>
      <w:r>
        <w:rPr>
          <w:rFonts w:hint="eastAsia" w:ascii="宋体" w:hAnsi="宋体" w:eastAsia="宋体" w:cs="宋体"/>
          <w:b/>
          <w:bCs w:val="0"/>
          <w:sz w:val="32"/>
          <w:szCs w:val="32"/>
          <w:highlight w:val="none"/>
        </w:rPr>
        <w:t>日</w:t>
      </w:r>
    </w:p>
    <w:p w14:paraId="420DCA0C">
      <w:pPr>
        <w:keepLines w:val="0"/>
        <w:pageBreakBefore/>
        <w:shd w:val="clear" w:color="auto" w:fill="auto"/>
        <w:kinsoku/>
        <w:overflowPunct/>
        <w:topLinePunct w:val="0"/>
        <w:bidi w:val="0"/>
        <w:spacing w:before="316" w:beforeLines="100" w:after="474" w:afterLines="150" w:line="360" w:lineRule="auto"/>
        <w:ind w:firstLine="883" w:firstLineChars="200"/>
        <w:jc w:val="center"/>
        <w:outlineLvl w:val="9"/>
        <w:rPr>
          <w:rFonts w:hint="eastAsia" w:ascii="宋体" w:hAnsi="宋体" w:eastAsia="宋体" w:cs="宋体"/>
          <w:b/>
          <w:bCs w:val="0"/>
          <w:sz w:val="44"/>
          <w:szCs w:val="44"/>
          <w:highlight w:val="none"/>
        </w:rPr>
        <w:sectPr>
          <w:pgSz w:w="11906" w:h="16838"/>
          <w:pgMar w:top="1440" w:right="1800" w:bottom="1440" w:left="1800" w:header="850" w:footer="850" w:gutter="0"/>
          <w:pgBorders>
            <w:top w:val="none" w:sz="0" w:space="0"/>
            <w:left w:val="none" w:sz="0" w:space="0"/>
            <w:bottom w:val="none" w:sz="0" w:space="0"/>
            <w:right w:val="none" w:sz="0" w:space="0"/>
          </w:pgBorders>
          <w:pgNumType w:fmt="decimal"/>
          <w:cols w:space="720" w:num="1"/>
          <w:rtlGutter w:val="0"/>
          <w:docGrid w:type="lines" w:linePitch="316" w:charSpace="0"/>
        </w:sectPr>
      </w:pPr>
    </w:p>
    <w:p w14:paraId="6545B047">
      <w:pPr>
        <w:keepLines w:val="0"/>
        <w:pageBreakBefore/>
        <w:shd w:val="clear" w:color="auto" w:fill="auto"/>
        <w:kinsoku/>
        <w:overflowPunct/>
        <w:topLinePunct w:val="0"/>
        <w:bidi w:val="0"/>
        <w:spacing w:before="316" w:beforeLines="100" w:after="474" w:afterLines="150" w:line="360" w:lineRule="auto"/>
        <w:jc w:val="center"/>
        <w:outlineLvl w:val="9"/>
        <w:rPr>
          <w:rFonts w:hint="eastAsia" w:ascii="宋体" w:hAnsi="宋体" w:eastAsia="宋体" w:cs="宋体"/>
          <w:sz w:val="44"/>
          <w:szCs w:val="44"/>
          <w:highlight w:val="none"/>
        </w:rPr>
      </w:pPr>
      <w:r>
        <w:rPr>
          <w:rFonts w:hint="eastAsia" w:ascii="宋体" w:hAnsi="宋体" w:eastAsia="宋体" w:cs="宋体"/>
          <w:sz w:val="44"/>
          <w:szCs w:val="44"/>
          <w:highlight w:val="none"/>
        </w:rPr>
        <w:t>目 录</w:t>
      </w:r>
    </w:p>
    <w:p w14:paraId="283819A3">
      <w:pPr>
        <w:pStyle w:val="21"/>
        <w:keepLines w:val="0"/>
        <w:shd w:val="clear" w:color="auto" w:fill="auto"/>
        <w:kinsoku/>
        <w:overflowPunct/>
        <w:topLinePunct w:val="0"/>
        <w:bidi w:val="0"/>
        <w:snapToGrid w:val="0"/>
        <w:spacing w:line="360" w:lineRule="auto"/>
        <w:ind w:firstLine="643" w:firstLineChars="200"/>
        <w:jc w:val="left"/>
        <w:outlineLvl w:val="9"/>
        <w:rPr>
          <w:rFonts w:hint="eastAsia" w:ascii="宋体" w:hAnsi="宋体" w:eastAsia="宋体" w:cs="宋体"/>
          <w:b/>
          <w:bCs/>
          <w:sz w:val="32"/>
          <w:szCs w:val="32"/>
          <w:highlight w:val="none"/>
        </w:rPr>
      </w:pPr>
      <w:bookmarkStart w:id="125" w:name="_Toc1900_WPSOffice_Level1"/>
      <w:r>
        <w:rPr>
          <w:rFonts w:hint="eastAsia" w:ascii="宋体" w:hAnsi="宋体" w:eastAsia="宋体" w:cs="宋体"/>
          <w:b/>
          <w:bCs/>
          <w:sz w:val="32"/>
          <w:szCs w:val="32"/>
          <w:highlight w:val="none"/>
        </w:rPr>
        <w:t>第一部分   谈判响应函</w:t>
      </w:r>
      <w:bookmarkEnd w:id="125"/>
    </w:p>
    <w:p w14:paraId="5E8DB3C2">
      <w:pPr>
        <w:pStyle w:val="21"/>
        <w:keepLines w:val="0"/>
        <w:shd w:val="clear" w:color="auto" w:fill="auto"/>
        <w:kinsoku/>
        <w:overflowPunct/>
        <w:topLinePunct w:val="0"/>
        <w:bidi w:val="0"/>
        <w:snapToGrid w:val="0"/>
        <w:spacing w:line="360" w:lineRule="auto"/>
        <w:ind w:firstLine="643" w:firstLineChars="200"/>
        <w:jc w:val="left"/>
        <w:outlineLvl w:val="9"/>
        <w:rPr>
          <w:rFonts w:hint="eastAsia" w:ascii="宋体" w:hAnsi="宋体" w:eastAsia="宋体" w:cs="宋体"/>
          <w:b/>
          <w:bCs/>
          <w:sz w:val="32"/>
          <w:szCs w:val="32"/>
          <w:highlight w:val="none"/>
        </w:rPr>
      </w:pPr>
      <w:bookmarkStart w:id="126" w:name="_Toc4882_WPSOffice_Level1"/>
      <w:r>
        <w:rPr>
          <w:rFonts w:hint="eastAsia" w:ascii="宋体" w:hAnsi="宋体" w:eastAsia="宋体" w:cs="宋体"/>
          <w:b/>
          <w:bCs/>
          <w:sz w:val="32"/>
          <w:szCs w:val="32"/>
          <w:highlight w:val="none"/>
        </w:rPr>
        <w:t>第二部分   第一次谈判报价表</w:t>
      </w:r>
      <w:bookmarkEnd w:id="126"/>
    </w:p>
    <w:p w14:paraId="29A7394F">
      <w:pPr>
        <w:pStyle w:val="21"/>
        <w:keepLines w:val="0"/>
        <w:shd w:val="clear" w:color="auto" w:fill="auto"/>
        <w:kinsoku/>
        <w:overflowPunct/>
        <w:topLinePunct w:val="0"/>
        <w:bidi w:val="0"/>
        <w:snapToGrid w:val="0"/>
        <w:spacing w:line="360" w:lineRule="auto"/>
        <w:ind w:firstLine="643" w:firstLineChars="200"/>
        <w:jc w:val="left"/>
        <w:outlineLvl w:val="9"/>
        <w:rPr>
          <w:rFonts w:hint="eastAsia" w:ascii="宋体" w:hAnsi="宋体" w:eastAsia="宋体" w:cs="宋体"/>
          <w:b/>
          <w:bCs/>
          <w:kern w:val="0"/>
          <w:sz w:val="32"/>
          <w:szCs w:val="32"/>
          <w:highlight w:val="none"/>
        </w:rPr>
      </w:pPr>
      <w:bookmarkStart w:id="127" w:name="_Toc19424_WPSOffice_Level1"/>
      <w:r>
        <w:rPr>
          <w:rFonts w:hint="eastAsia" w:ascii="宋体" w:hAnsi="宋体" w:eastAsia="宋体" w:cs="宋体"/>
          <w:b/>
          <w:bCs/>
          <w:sz w:val="32"/>
          <w:szCs w:val="32"/>
          <w:highlight w:val="none"/>
        </w:rPr>
        <w:t xml:space="preserve">第三部分   </w:t>
      </w:r>
      <w:r>
        <w:rPr>
          <w:rFonts w:hint="eastAsia" w:ascii="宋体" w:hAnsi="宋体" w:eastAsia="宋体" w:cs="宋体"/>
          <w:b/>
          <w:bCs/>
          <w:sz w:val="32"/>
          <w:szCs w:val="32"/>
          <w:highlight w:val="none"/>
          <w:lang w:val="zh-CN"/>
        </w:rPr>
        <w:t>谈判响应方案说明</w:t>
      </w:r>
      <w:bookmarkEnd w:id="127"/>
    </w:p>
    <w:p w14:paraId="40995804">
      <w:pPr>
        <w:pStyle w:val="21"/>
        <w:keepLines w:val="0"/>
        <w:shd w:val="clear" w:color="auto" w:fill="auto"/>
        <w:kinsoku/>
        <w:overflowPunct/>
        <w:topLinePunct w:val="0"/>
        <w:bidi w:val="0"/>
        <w:snapToGrid w:val="0"/>
        <w:spacing w:line="360" w:lineRule="auto"/>
        <w:ind w:firstLine="643" w:firstLineChars="200"/>
        <w:jc w:val="left"/>
        <w:outlineLvl w:val="9"/>
        <w:rPr>
          <w:rFonts w:hint="eastAsia" w:ascii="宋体" w:hAnsi="宋体" w:eastAsia="宋体" w:cs="宋体"/>
          <w:b/>
          <w:bCs/>
          <w:sz w:val="32"/>
          <w:szCs w:val="32"/>
          <w:highlight w:val="none"/>
          <w:lang w:val="zh-CN"/>
        </w:rPr>
      </w:pPr>
      <w:bookmarkStart w:id="128" w:name="_Toc12328_WPSOffice_Level1"/>
      <w:r>
        <w:rPr>
          <w:rFonts w:hint="eastAsia" w:ascii="宋体" w:hAnsi="宋体" w:eastAsia="宋体" w:cs="宋体"/>
          <w:b/>
          <w:bCs/>
          <w:kern w:val="0"/>
          <w:sz w:val="32"/>
          <w:szCs w:val="32"/>
          <w:highlight w:val="none"/>
        </w:rPr>
        <w:t xml:space="preserve">第四部分   </w:t>
      </w:r>
      <w:r>
        <w:rPr>
          <w:rFonts w:hint="eastAsia" w:ascii="宋体" w:hAnsi="宋体" w:eastAsia="宋体" w:cs="宋体"/>
          <w:b/>
          <w:bCs/>
          <w:sz w:val="32"/>
          <w:szCs w:val="32"/>
          <w:highlight w:val="none"/>
          <w:lang w:val="zh-CN"/>
        </w:rPr>
        <w:t>供应商承诺书</w:t>
      </w:r>
      <w:bookmarkEnd w:id="128"/>
    </w:p>
    <w:p w14:paraId="5BD4619D">
      <w:pPr>
        <w:pStyle w:val="21"/>
        <w:keepLines w:val="0"/>
        <w:shd w:val="clear" w:color="auto" w:fill="auto"/>
        <w:kinsoku/>
        <w:overflowPunct/>
        <w:topLinePunct w:val="0"/>
        <w:bidi w:val="0"/>
        <w:snapToGrid w:val="0"/>
        <w:spacing w:line="360" w:lineRule="auto"/>
        <w:ind w:firstLine="643" w:firstLineChars="200"/>
        <w:jc w:val="left"/>
        <w:outlineLvl w:val="9"/>
        <w:rPr>
          <w:rFonts w:hint="eastAsia" w:ascii="宋体" w:hAnsi="宋体" w:eastAsia="宋体" w:cs="宋体"/>
          <w:b/>
          <w:bCs/>
          <w:sz w:val="32"/>
          <w:szCs w:val="32"/>
          <w:highlight w:val="none"/>
        </w:rPr>
      </w:pPr>
      <w:bookmarkStart w:id="129" w:name="_Toc12652_WPSOffice_Level1"/>
      <w:r>
        <w:rPr>
          <w:rFonts w:hint="eastAsia" w:ascii="宋体" w:hAnsi="宋体" w:eastAsia="宋体" w:cs="宋体"/>
          <w:b/>
          <w:bCs/>
          <w:sz w:val="32"/>
          <w:szCs w:val="32"/>
          <w:highlight w:val="none"/>
        </w:rPr>
        <w:t>第五部分   供应商资格证明文件</w:t>
      </w:r>
      <w:bookmarkEnd w:id="129"/>
    </w:p>
    <w:p w14:paraId="3B732190">
      <w:pPr>
        <w:pStyle w:val="21"/>
        <w:keepLines w:val="0"/>
        <w:shd w:val="clear" w:color="auto" w:fill="auto"/>
        <w:kinsoku/>
        <w:overflowPunct/>
        <w:topLinePunct w:val="0"/>
        <w:bidi w:val="0"/>
        <w:snapToGrid w:val="0"/>
        <w:spacing w:line="360" w:lineRule="auto"/>
        <w:ind w:firstLine="643" w:firstLineChars="200"/>
        <w:jc w:val="left"/>
        <w:outlineLvl w:val="9"/>
        <w:rPr>
          <w:rFonts w:hint="eastAsia" w:ascii="宋体" w:hAnsi="宋体" w:eastAsia="宋体" w:cs="宋体"/>
          <w:b/>
          <w:bCs/>
          <w:sz w:val="32"/>
          <w:szCs w:val="32"/>
          <w:highlight w:val="none"/>
        </w:rPr>
      </w:pPr>
      <w:bookmarkStart w:id="130" w:name="_Toc21686_WPSOffice_Level1"/>
      <w:r>
        <w:rPr>
          <w:rFonts w:hint="eastAsia" w:ascii="宋体" w:hAnsi="宋体" w:eastAsia="宋体" w:cs="宋体"/>
          <w:b/>
          <w:bCs/>
          <w:sz w:val="32"/>
          <w:szCs w:val="32"/>
          <w:highlight w:val="none"/>
        </w:rPr>
        <w:t>第六部分   供应商认为有必要说明的其他问题</w:t>
      </w:r>
      <w:bookmarkEnd w:id="130"/>
    </w:p>
    <w:p w14:paraId="1AAC72E1">
      <w:pPr>
        <w:keepLines w:val="0"/>
        <w:shd w:val="clear" w:color="auto" w:fill="auto"/>
        <w:kinsoku/>
        <w:overflowPunct/>
        <w:topLinePunct w:val="0"/>
        <w:bidi w:val="0"/>
        <w:snapToGrid w:val="0"/>
        <w:spacing w:line="360" w:lineRule="auto"/>
        <w:ind w:firstLine="643" w:firstLineChars="200"/>
        <w:jc w:val="left"/>
        <w:outlineLvl w:val="9"/>
        <w:rPr>
          <w:rFonts w:hint="eastAsia" w:ascii="宋体" w:hAnsi="宋体" w:eastAsia="宋体" w:cs="宋体"/>
          <w:b/>
          <w:bCs/>
          <w:sz w:val="32"/>
          <w:highlight w:val="none"/>
        </w:rPr>
      </w:pPr>
      <w:bookmarkStart w:id="131" w:name="_Toc8516_WPSOffice_Level1"/>
      <w:r>
        <w:rPr>
          <w:rFonts w:hint="eastAsia" w:ascii="宋体" w:hAnsi="宋体" w:eastAsia="宋体" w:cs="宋体"/>
          <w:b/>
          <w:bCs/>
          <w:sz w:val="32"/>
          <w:szCs w:val="32"/>
          <w:highlight w:val="none"/>
        </w:rPr>
        <w:t xml:space="preserve">第七部分   </w:t>
      </w:r>
      <w:r>
        <w:rPr>
          <w:rFonts w:hint="eastAsia" w:ascii="宋体" w:hAnsi="宋体" w:eastAsia="宋体" w:cs="宋体"/>
          <w:b/>
          <w:bCs/>
          <w:sz w:val="32"/>
          <w:highlight w:val="none"/>
        </w:rPr>
        <w:t>拒绝政府采购领域商业贿赂承诺书</w:t>
      </w:r>
      <w:bookmarkEnd w:id="131"/>
    </w:p>
    <w:p w14:paraId="21A59F35">
      <w:pPr>
        <w:keepLines w:val="0"/>
        <w:shd w:val="clear" w:color="auto" w:fill="auto"/>
        <w:kinsoku/>
        <w:overflowPunct/>
        <w:topLinePunct w:val="0"/>
        <w:bidi w:val="0"/>
        <w:snapToGrid w:val="0"/>
        <w:spacing w:line="360" w:lineRule="auto"/>
        <w:ind w:firstLine="643" w:firstLineChars="200"/>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第八部分   谈判响应文件封袋正面标识式样</w:t>
      </w:r>
    </w:p>
    <w:p w14:paraId="5ABB5C8F">
      <w:pPr>
        <w:keepLines w:val="0"/>
        <w:shd w:val="clear" w:color="auto" w:fill="auto"/>
        <w:kinsoku/>
        <w:overflowPunct/>
        <w:topLinePunct w:val="0"/>
        <w:bidi w:val="0"/>
        <w:snapToGrid w:val="0"/>
        <w:spacing w:line="360" w:lineRule="auto"/>
        <w:ind w:firstLine="643" w:firstLineChars="200"/>
        <w:jc w:val="left"/>
        <w:outlineLvl w:val="9"/>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第九部分   附件</w:t>
      </w:r>
    </w:p>
    <w:p w14:paraId="653ADAAF">
      <w:pPr>
        <w:keepLines w:val="0"/>
        <w:shd w:val="clear" w:color="auto" w:fill="auto"/>
        <w:kinsoku/>
        <w:overflowPunct/>
        <w:topLinePunct w:val="0"/>
        <w:bidi w:val="0"/>
        <w:spacing w:line="360" w:lineRule="auto"/>
        <w:jc w:val="center"/>
        <w:outlineLvl w:val="9"/>
        <w:rPr>
          <w:rFonts w:hint="eastAsia" w:ascii="宋体" w:hAnsi="宋体" w:eastAsia="宋体" w:cs="宋体"/>
          <w:b/>
          <w:bCs w:val="0"/>
          <w:kern w:val="0"/>
          <w:sz w:val="32"/>
          <w:szCs w:val="48"/>
          <w:highlight w:val="none"/>
        </w:rPr>
      </w:pPr>
      <w:bookmarkStart w:id="132" w:name="_Toc2536"/>
      <w:bookmarkEnd w:id="132"/>
      <w:bookmarkStart w:id="133" w:name="_Toc25407"/>
      <w:bookmarkStart w:id="134" w:name="_Toc495913696"/>
      <w:r>
        <w:rPr>
          <w:rFonts w:hint="eastAsia" w:ascii="宋体" w:hAnsi="宋体" w:eastAsia="宋体" w:cs="宋体"/>
          <w:bCs/>
          <w:color w:val="0000FF"/>
          <w:kern w:val="0"/>
          <w:szCs w:val="36"/>
          <w:highlight w:val="none"/>
        </w:rPr>
        <w:br w:type="page"/>
      </w:r>
      <w:bookmarkStart w:id="135" w:name="_Toc496524277"/>
      <w:bookmarkStart w:id="136" w:name="_Toc496523748"/>
      <w:bookmarkStart w:id="137" w:name="_Toc21833_WPSOffice_Level1"/>
      <w:r>
        <w:rPr>
          <w:rFonts w:hint="eastAsia" w:ascii="宋体" w:hAnsi="宋体" w:eastAsia="宋体" w:cs="宋体"/>
          <w:b/>
          <w:bCs w:val="0"/>
          <w:kern w:val="0"/>
          <w:sz w:val="32"/>
          <w:szCs w:val="48"/>
          <w:highlight w:val="none"/>
        </w:rPr>
        <w:t>第一部分</w:t>
      </w:r>
      <w:bookmarkEnd w:id="133"/>
      <w:r>
        <w:rPr>
          <w:rFonts w:hint="eastAsia" w:ascii="宋体" w:hAnsi="宋体" w:eastAsia="宋体" w:cs="宋体"/>
          <w:b/>
          <w:bCs w:val="0"/>
          <w:kern w:val="0"/>
          <w:sz w:val="32"/>
          <w:szCs w:val="48"/>
          <w:highlight w:val="none"/>
        </w:rPr>
        <w:t xml:space="preserve">  </w:t>
      </w:r>
      <w:bookmarkEnd w:id="134"/>
      <w:bookmarkEnd w:id="135"/>
      <w:bookmarkEnd w:id="136"/>
      <w:r>
        <w:rPr>
          <w:rFonts w:hint="eastAsia" w:ascii="宋体" w:hAnsi="宋体" w:eastAsia="宋体" w:cs="宋体"/>
          <w:b/>
          <w:bCs w:val="0"/>
          <w:kern w:val="0"/>
          <w:sz w:val="32"/>
          <w:szCs w:val="48"/>
          <w:highlight w:val="none"/>
        </w:rPr>
        <w:t>谈判响应函</w:t>
      </w:r>
      <w:bookmarkEnd w:id="137"/>
    </w:p>
    <w:p w14:paraId="0B82BCC0">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b/>
          <w:bCs/>
          <w:sz w:val="24"/>
          <w:szCs w:val="24"/>
          <w:highlight w:val="none"/>
        </w:rPr>
      </w:pPr>
      <w:bookmarkStart w:id="138" w:name="_Toc30042_WPSOffice_Level1"/>
      <w:r>
        <w:rPr>
          <w:rFonts w:hint="eastAsia" w:ascii="宋体" w:hAnsi="宋体" w:eastAsia="宋体" w:cs="宋体"/>
          <w:b/>
          <w:bCs/>
          <w:sz w:val="24"/>
          <w:szCs w:val="24"/>
          <w:highlight w:val="none"/>
          <w:lang w:eastAsia="zh-CN"/>
        </w:rPr>
        <w:t>亿诚建设项目管理有限公司</w:t>
      </w:r>
      <w:r>
        <w:rPr>
          <w:rFonts w:hint="eastAsia" w:ascii="宋体" w:hAnsi="宋体" w:eastAsia="宋体" w:cs="宋体"/>
          <w:b/>
          <w:bCs/>
          <w:sz w:val="24"/>
          <w:szCs w:val="24"/>
          <w:highlight w:val="none"/>
        </w:rPr>
        <w:t>：</w:t>
      </w:r>
      <w:bookmarkEnd w:id="138"/>
    </w:p>
    <w:p w14:paraId="5FD20069">
      <w:pPr>
        <w:keepLines w:val="0"/>
        <w:shd w:val="clear" w:color="auto" w:fill="auto"/>
        <w:kinsoku/>
        <w:overflowPunct/>
        <w:topLinePunct w:val="0"/>
        <w:bidi w:val="0"/>
        <w:spacing w:line="360" w:lineRule="auto"/>
        <w:ind w:firstLine="480" w:firstLineChars="200"/>
        <w:outlineLvl w:val="9"/>
        <w:rPr>
          <w:rFonts w:hint="eastAsia" w:ascii="宋体" w:hAnsi="宋体" w:eastAsia="宋体" w:cs="宋体"/>
          <w:sz w:val="24"/>
          <w:szCs w:val="24"/>
          <w:highlight w:val="none"/>
        </w:rPr>
      </w:pPr>
      <w:bookmarkStart w:id="139" w:name="_Toc28494"/>
      <w:bookmarkEnd w:id="139"/>
      <w:bookmarkStart w:id="140" w:name="_Toc2953"/>
      <w:bookmarkStart w:id="141" w:name="_Toc495913697"/>
      <w:r>
        <w:rPr>
          <w:rFonts w:hint="eastAsia" w:ascii="宋体" w:hAnsi="宋体" w:eastAsia="宋体" w:cs="宋体"/>
          <w:sz w:val="24"/>
          <w:szCs w:val="24"/>
          <w:highlight w:val="none"/>
          <w:lang w:eastAsia="zh-CN"/>
        </w:rPr>
        <w:t>我单位收到贵公司</w:t>
      </w:r>
      <w:r>
        <w:rPr>
          <w:rFonts w:hint="eastAsia" w:ascii="宋体" w:hAnsi="宋体" w:eastAsia="宋体" w:cs="宋体"/>
          <w:sz w:val="24"/>
          <w:szCs w:val="24"/>
          <w:highlight w:val="none"/>
          <w:lang w:val="en-US" w:eastAsia="zh-CN"/>
        </w:rPr>
        <w:t>西安市红会医院</w:t>
      </w:r>
      <w:r>
        <w:rPr>
          <w:rFonts w:hint="eastAsia" w:ascii="宋体" w:hAnsi="宋体" w:cs="宋体"/>
          <w:sz w:val="24"/>
          <w:szCs w:val="24"/>
          <w:highlight w:val="none"/>
          <w:lang w:val="en-US" w:eastAsia="zh-CN"/>
        </w:rPr>
        <w:t>配置麻醉便携超声采购项目(二次)</w:t>
      </w:r>
      <w:r>
        <w:rPr>
          <w:rFonts w:hint="eastAsia" w:ascii="宋体" w:hAnsi="宋体" w:eastAsia="宋体" w:cs="宋体"/>
          <w:sz w:val="24"/>
          <w:szCs w:val="24"/>
          <w:highlight w:val="none"/>
          <w:lang w:eastAsia="zh-CN"/>
        </w:rPr>
        <w:t>（项目编号：</w:t>
      </w:r>
      <w:r>
        <w:rPr>
          <w:rFonts w:hint="eastAsia" w:ascii="宋体" w:hAnsi="宋体" w:cs="宋体"/>
          <w:sz w:val="24"/>
          <w:szCs w:val="24"/>
          <w:highlight w:val="none"/>
          <w:lang w:val="en-US" w:eastAsia="zh-CN"/>
        </w:rPr>
        <w:t>YC25101040(CGO).1B1</w:t>
      </w:r>
      <w:r>
        <w:rPr>
          <w:rFonts w:hint="eastAsia" w:ascii="宋体" w:hAnsi="宋体" w:eastAsia="宋体" w:cs="宋体"/>
          <w:sz w:val="24"/>
          <w:szCs w:val="24"/>
          <w:highlight w:val="none"/>
          <w:lang w:eastAsia="zh-CN"/>
        </w:rPr>
        <w:t>）竞争性谈判文件，经详细研究，我们决定参加本次采购活动。为此，我方郑重声明以下诸点，</w:t>
      </w:r>
      <w:r>
        <w:rPr>
          <w:rFonts w:hint="eastAsia" w:ascii="宋体" w:hAnsi="宋体" w:eastAsia="宋体" w:cs="宋体"/>
          <w:sz w:val="24"/>
          <w:szCs w:val="24"/>
          <w:highlight w:val="none"/>
        </w:rPr>
        <w:t>并负法律责任。</w:t>
      </w:r>
    </w:p>
    <w:p w14:paraId="3E8023C8">
      <w:pPr>
        <w:keepNext w:val="0"/>
        <w:keepLines w:val="0"/>
        <w:pageBreakBefore w:val="0"/>
        <w:widowControl w:val="0"/>
        <w:shd w:val="clear" w:color="auto" w:fill="auto"/>
        <w:kinsoku/>
        <w:wordWrap/>
        <w:overflowPunct/>
        <w:topLinePunct w:val="0"/>
        <w:bidi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一、愿意按照谈判文件中的要求，提供相应的</w:t>
      </w:r>
      <w:r>
        <w:rPr>
          <w:rFonts w:hint="eastAsia" w:ascii="宋体" w:hAnsi="宋体" w:eastAsia="宋体" w:cs="宋体"/>
          <w:sz w:val="24"/>
          <w:szCs w:val="24"/>
          <w:highlight w:val="none"/>
          <w:lang w:val="en-US" w:eastAsia="zh-CN"/>
        </w:rPr>
        <w:t>货物及</w:t>
      </w:r>
      <w:r>
        <w:rPr>
          <w:rFonts w:hint="eastAsia" w:ascii="宋体" w:hAnsi="宋体" w:eastAsia="宋体" w:cs="宋体"/>
          <w:sz w:val="24"/>
          <w:szCs w:val="24"/>
          <w:highlight w:val="none"/>
        </w:rPr>
        <w:t>技术服务，完成合同的责任和义务。</w:t>
      </w:r>
    </w:p>
    <w:p w14:paraId="3210D336">
      <w:pPr>
        <w:keepNext w:val="0"/>
        <w:keepLines w:val="0"/>
        <w:pageBreakBefore w:val="0"/>
        <w:widowControl w:val="0"/>
        <w:shd w:val="clear" w:color="auto" w:fill="auto"/>
        <w:kinsoku/>
        <w:wordWrap/>
        <w:overflowPunct/>
        <w:topLinePunct w:val="0"/>
        <w:bidi w:val="0"/>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二、按谈判文件的规定，我公司的第一次谈判总报价为：人民币（大写）：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元），并对其后的谈判报价负法律责任。</w:t>
      </w:r>
    </w:p>
    <w:p w14:paraId="639F41F8">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我方承诺遵守《中华人民共和国政府采购法》及其实施条例的有关规定，保证在获得成交资格后按照谈判文件确定的事项签订政府采购合同，履行双方所签订的合同，并承担合同规定的责任和义务，保证合同签订生效后</w:t>
      </w: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rPr>
        <w:t>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506F87A5">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四、我方提交的谈判响应文件正本一份、副本二份、电子版</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w:t>
      </w:r>
    </w:p>
    <w:p w14:paraId="262093E7">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五、我方已详细阅读了谈判文件，并同意和放弃对谈判文件不明或误解而询问、质疑和投诉的权利。</w:t>
      </w:r>
    </w:p>
    <w:p w14:paraId="148D220A">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后在规定的谈判有效期内撤回</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rPr>
        <w:t>，我们愿接受政府招标的有关处罚决定。</w:t>
      </w:r>
    </w:p>
    <w:p w14:paraId="06215A13">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、同意向贵方提供可能要求的，与本次谈判有关的任何证据或资料。我们完全理解最低谈判报价不作为成交的唯一条件，且尊重谈判小组的评审结论和成交结果。</w:t>
      </w:r>
    </w:p>
    <w:p w14:paraId="34F58FC7">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、我方的谈判响应文件在开标后有效期为90个日历天，若我成交，谈判响应文件有效期自动延长至合同执行完毕。</w:t>
      </w:r>
    </w:p>
    <w:p w14:paraId="0EEA275B">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、有关于本</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的函电，请按下列地址联系。</w:t>
      </w:r>
    </w:p>
    <w:p w14:paraId="4621A8A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供应商全称（公章）：</w:t>
      </w:r>
      <w:r>
        <w:rPr>
          <w:rFonts w:hint="eastAsia" w:ascii="宋体" w:hAnsi="宋体" w:eastAsia="宋体" w:cs="宋体"/>
          <w:b/>
          <w:sz w:val="24"/>
          <w:szCs w:val="24"/>
          <w:highlight w:val="none"/>
          <w:u w:val="single"/>
        </w:rPr>
        <w:t xml:space="preserve">                                </w:t>
      </w:r>
    </w:p>
    <w:p w14:paraId="79A4074D">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b/>
          <w:sz w:val="24"/>
          <w:szCs w:val="24"/>
          <w:highlight w:val="none"/>
          <w:u w:val="single"/>
        </w:rPr>
        <w:t xml:space="preserve">                                          </w:t>
      </w:r>
    </w:p>
    <w:p w14:paraId="199D2A9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b/>
          <w:sz w:val="24"/>
          <w:szCs w:val="24"/>
          <w:highlight w:val="none"/>
          <w:u w:val="single"/>
        </w:rPr>
        <w:t xml:space="preserve">                                          </w:t>
      </w:r>
    </w:p>
    <w:p w14:paraId="2C6F4A3A">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帐    号：</w:t>
      </w:r>
      <w:r>
        <w:rPr>
          <w:rFonts w:hint="eastAsia" w:ascii="宋体" w:hAnsi="宋体" w:eastAsia="宋体" w:cs="宋体"/>
          <w:b/>
          <w:sz w:val="24"/>
          <w:szCs w:val="24"/>
          <w:highlight w:val="none"/>
          <w:u w:val="single"/>
        </w:rPr>
        <w:t xml:space="preserve">                                          </w:t>
      </w:r>
    </w:p>
    <w:p w14:paraId="5391D774">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b/>
          <w:sz w:val="24"/>
          <w:szCs w:val="24"/>
          <w:highlight w:val="none"/>
          <w:u w:val="single"/>
        </w:rPr>
        <w:t xml:space="preserve">                                          </w:t>
      </w:r>
    </w:p>
    <w:p w14:paraId="5E1E8EE0">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b/>
          <w:sz w:val="24"/>
          <w:szCs w:val="24"/>
          <w:highlight w:val="none"/>
          <w:u w:val="single"/>
        </w:rPr>
        <w:t xml:space="preserve">                                          </w:t>
      </w:r>
    </w:p>
    <w:p w14:paraId="357344A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right="208" w:rightChars="104"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法定代表人/授权代表(签字)：</w:t>
      </w:r>
      <w:r>
        <w:rPr>
          <w:rFonts w:hint="eastAsia" w:ascii="宋体" w:hAnsi="宋体" w:eastAsia="宋体" w:cs="宋体"/>
          <w:b/>
          <w:sz w:val="24"/>
          <w:szCs w:val="24"/>
          <w:highlight w:val="none"/>
          <w:u w:val="single"/>
        </w:rPr>
        <w:t xml:space="preserve">                         </w:t>
      </w:r>
    </w:p>
    <w:p w14:paraId="02F5E5B9">
      <w:pPr>
        <w:keepLines w:val="0"/>
        <w:shd w:val="clear" w:color="auto" w:fill="auto"/>
        <w:kinsoku/>
        <w:overflowPunct/>
        <w:topLinePunct w:val="0"/>
        <w:autoSpaceDE w:val="0"/>
        <w:autoSpaceDN w:val="0"/>
        <w:bidi w:val="0"/>
        <w:adjustRightInd w:val="0"/>
        <w:snapToGrid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BBC2482">
      <w:pPr>
        <w:keepLines w:val="0"/>
        <w:shd w:val="clear" w:color="auto" w:fill="auto"/>
        <w:kinsoku/>
        <w:overflowPunct/>
        <w:topLinePunct w:val="0"/>
        <w:bidi w:val="0"/>
        <w:spacing w:line="360" w:lineRule="auto"/>
        <w:jc w:val="center"/>
        <w:outlineLvl w:val="9"/>
        <w:rPr>
          <w:rFonts w:hint="eastAsia" w:ascii="宋体" w:hAnsi="宋体" w:eastAsia="宋体" w:cs="宋体"/>
          <w:bCs/>
          <w:highlight w:val="none"/>
        </w:rPr>
      </w:pPr>
      <w:r>
        <w:rPr>
          <w:rFonts w:hint="eastAsia" w:ascii="宋体" w:hAnsi="宋体" w:eastAsia="宋体" w:cs="宋体"/>
          <w:kern w:val="0"/>
          <w:sz w:val="24"/>
          <w:szCs w:val="24"/>
          <w:highlight w:val="none"/>
        </w:rPr>
        <w:br w:type="page"/>
      </w:r>
      <w:bookmarkStart w:id="142" w:name="_Toc496524278"/>
      <w:bookmarkStart w:id="143" w:name="_Toc1339_WPSOffice_Level1"/>
      <w:bookmarkStart w:id="144" w:name="_Toc496523749"/>
      <w:r>
        <w:rPr>
          <w:rFonts w:hint="eastAsia" w:ascii="宋体" w:hAnsi="宋体" w:eastAsia="宋体" w:cs="宋体"/>
          <w:b/>
          <w:bCs w:val="0"/>
          <w:sz w:val="32"/>
          <w:szCs w:val="32"/>
          <w:highlight w:val="none"/>
        </w:rPr>
        <w:t>第二部分</w:t>
      </w:r>
      <w:bookmarkEnd w:id="140"/>
      <w:r>
        <w:rPr>
          <w:rFonts w:hint="eastAsia" w:ascii="宋体" w:hAnsi="宋体" w:eastAsia="宋体" w:cs="宋体"/>
          <w:b/>
          <w:bCs w:val="0"/>
          <w:sz w:val="32"/>
          <w:szCs w:val="32"/>
          <w:highlight w:val="none"/>
        </w:rPr>
        <w:t xml:space="preserve">  </w:t>
      </w:r>
      <w:bookmarkEnd w:id="141"/>
      <w:r>
        <w:rPr>
          <w:rFonts w:hint="eastAsia" w:ascii="宋体" w:hAnsi="宋体" w:eastAsia="宋体" w:cs="宋体"/>
          <w:b/>
          <w:bCs w:val="0"/>
          <w:sz w:val="32"/>
          <w:szCs w:val="32"/>
          <w:highlight w:val="none"/>
        </w:rPr>
        <w:t>第一次谈判报价表</w:t>
      </w:r>
      <w:bookmarkEnd w:id="142"/>
      <w:bookmarkEnd w:id="143"/>
      <w:bookmarkEnd w:id="144"/>
      <w:bookmarkStart w:id="145" w:name="_Toc496523750"/>
    </w:p>
    <w:p w14:paraId="3C35B42D">
      <w:pPr>
        <w:keepLines w:val="0"/>
        <w:shd w:val="clear" w:color="auto" w:fill="auto"/>
        <w:kinsoku/>
        <w:overflowPunct/>
        <w:topLinePunct w:val="0"/>
        <w:autoSpaceDE w:val="0"/>
        <w:autoSpaceDN w:val="0"/>
        <w:bidi w:val="0"/>
        <w:adjustRightInd w:val="0"/>
        <w:spacing w:line="360" w:lineRule="auto"/>
        <w:ind w:firstLine="63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单位 ：元</w:t>
      </w:r>
      <w:bookmarkEnd w:id="145"/>
      <w:r>
        <w:rPr>
          <w:rFonts w:hint="eastAsia" w:ascii="宋体" w:hAnsi="宋体" w:eastAsia="宋体" w:cs="宋体"/>
          <w:sz w:val="24"/>
          <w:szCs w:val="24"/>
          <w:highlight w:val="none"/>
        </w:rPr>
        <w:t xml:space="preserve"> </w:t>
      </w:r>
    </w:p>
    <w:tbl>
      <w:tblPr>
        <w:tblStyle w:val="34"/>
        <w:tblW w:w="4996" w:type="pct"/>
        <w:jc w:val="center"/>
        <w:tblLayout w:type="autofit"/>
        <w:tblCellMar>
          <w:top w:w="0" w:type="dxa"/>
          <w:left w:w="108" w:type="dxa"/>
          <w:bottom w:w="0" w:type="dxa"/>
          <w:right w:w="108" w:type="dxa"/>
        </w:tblCellMar>
      </w:tblPr>
      <w:tblGrid>
        <w:gridCol w:w="3325"/>
        <w:gridCol w:w="2413"/>
        <w:gridCol w:w="2104"/>
        <w:gridCol w:w="2112"/>
      </w:tblGrid>
      <w:tr w14:paraId="2380D46A">
        <w:tblPrEx>
          <w:tblCellMar>
            <w:top w:w="0" w:type="dxa"/>
            <w:left w:w="108" w:type="dxa"/>
            <w:bottom w:w="0" w:type="dxa"/>
            <w:right w:w="108" w:type="dxa"/>
          </w:tblCellMar>
        </w:tblPrEx>
        <w:trPr>
          <w:trHeight w:val="1564" w:hRule="atLeast"/>
          <w:jc w:val="center"/>
        </w:trPr>
        <w:tc>
          <w:tcPr>
            <w:tcW w:w="1670" w:type="pct"/>
            <w:tcBorders>
              <w:top w:val="single" w:color="auto" w:sz="6" w:space="0"/>
              <w:left w:val="single" w:color="auto" w:sz="6" w:space="0"/>
              <w:bottom w:val="single" w:color="auto" w:sz="6" w:space="0"/>
              <w:right w:val="single" w:color="auto" w:sz="6" w:space="0"/>
              <w:tl2br w:val="single" w:color="auto" w:sz="4" w:space="0"/>
            </w:tcBorders>
            <w:noWrap w:val="0"/>
            <w:vAlign w:val="top"/>
          </w:tcPr>
          <w:p w14:paraId="298A3F34">
            <w:pPr>
              <w:keepNext w:val="0"/>
              <w:keepLines w:val="0"/>
              <w:suppressLineNumbers w:val="0"/>
              <w:shd w:val="clear" w:color="auto" w:fill="auto"/>
              <w:kinsoku/>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报价内容</w:t>
            </w:r>
          </w:p>
          <w:p w14:paraId="11DB4DB7">
            <w:pPr>
              <w:keepNext w:val="0"/>
              <w:keepLines w:val="0"/>
              <w:suppressLineNumbers w:val="0"/>
              <w:shd w:val="clear" w:color="auto" w:fill="auto"/>
              <w:kinsoku/>
              <w:overflowPunct/>
              <w:topLinePunct w:val="0"/>
              <w:autoSpaceDE w:val="0"/>
              <w:autoSpaceDN w:val="0"/>
              <w:bidi w:val="0"/>
              <w:adjustRightInd w:val="0"/>
              <w:spacing w:before="0" w:beforeAutospacing="0" w:after="0" w:afterAutospacing="0" w:line="360" w:lineRule="auto"/>
              <w:ind w:left="-1" w:right="0" w:hanging="419"/>
              <w:outlineLvl w:val="9"/>
              <w:rPr>
                <w:rFonts w:hint="eastAsia" w:ascii="宋体" w:hAnsi="宋体" w:eastAsia="宋体" w:cs="宋体"/>
                <w:sz w:val="24"/>
                <w:szCs w:val="24"/>
                <w:highlight w:val="none"/>
              </w:rPr>
            </w:pPr>
          </w:p>
          <w:p w14:paraId="498A0F11">
            <w:pPr>
              <w:keepNext w:val="0"/>
              <w:keepLines w:val="0"/>
              <w:suppressLineNumbers w:val="0"/>
              <w:shd w:val="clear" w:color="auto" w:fill="auto"/>
              <w:kinsoku/>
              <w:overflowPunct/>
              <w:topLinePunct w:val="0"/>
              <w:autoSpaceDE w:val="0"/>
              <w:autoSpaceDN w:val="0"/>
              <w:bidi w:val="0"/>
              <w:adjustRightInd w:val="0"/>
              <w:spacing w:before="0" w:beforeAutospacing="0" w:after="0" w:afterAutospacing="0" w:line="360" w:lineRule="auto"/>
              <w:ind w:left="0" w:right="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tc>
        <w:tc>
          <w:tcPr>
            <w:tcW w:w="1212" w:type="pct"/>
            <w:tcBorders>
              <w:top w:val="single" w:color="auto" w:sz="6" w:space="0"/>
              <w:left w:val="nil"/>
              <w:bottom w:val="single" w:color="auto" w:sz="6" w:space="0"/>
              <w:right w:val="single" w:color="auto" w:sz="6" w:space="0"/>
            </w:tcBorders>
            <w:noWrap w:val="0"/>
            <w:vAlign w:val="center"/>
          </w:tcPr>
          <w:p w14:paraId="0218DAA5">
            <w:pPr>
              <w:keepNext w:val="0"/>
              <w:keepLines w:val="0"/>
              <w:suppressLineNumbers w:val="0"/>
              <w:shd w:val="clear" w:color="auto" w:fill="auto"/>
              <w:kinsoku/>
              <w:overflowPunct/>
              <w:topLinePunct w:val="0"/>
              <w:bidi w:val="0"/>
              <w:spacing w:before="0" w:beforeAutospacing="0" w:after="0" w:afterAutospacing="0" w:line="360" w:lineRule="auto"/>
              <w:ind w:left="0" w:right="0"/>
              <w:jc w:val="center"/>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lang w:bidi="ar"/>
              </w:rPr>
              <w:t>谈判总报价</w:t>
            </w:r>
          </w:p>
        </w:tc>
        <w:tc>
          <w:tcPr>
            <w:tcW w:w="1057" w:type="pct"/>
            <w:tcBorders>
              <w:top w:val="single" w:color="auto" w:sz="6" w:space="0"/>
              <w:left w:val="nil"/>
              <w:bottom w:val="single" w:color="auto" w:sz="6" w:space="0"/>
              <w:right w:val="single" w:color="auto" w:sz="6" w:space="0"/>
            </w:tcBorders>
            <w:noWrap w:val="0"/>
            <w:vAlign w:val="center"/>
          </w:tcPr>
          <w:p w14:paraId="5275A10E">
            <w:pPr>
              <w:keepNext w:val="0"/>
              <w:keepLines w:val="0"/>
              <w:suppressLineNumbers w:val="0"/>
              <w:shd w:val="clear" w:color="auto" w:fill="auto"/>
              <w:kinsoku/>
              <w:overflowPunct/>
              <w:topLinePunct w:val="0"/>
              <w:bidi w:val="0"/>
              <w:spacing w:before="0" w:beforeAutospacing="0" w:after="0" w:afterAutospacing="0" w:line="360" w:lineRule="auto"/>
              <w:ind w:left="0" w:right="0"/>
              <w:jc w:val="center"/>
              <w:outlineLvl w:val="9"/>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质保期</w:t>
            </w:r>
          </w:p>
        </w:tc>
        <w:tc>
          <w:tcPr>
            <w:tcW w:w="1059" w:type="pct"/>
            <w:tcBorders>
              <w:top w:val="single" w:color="auto" w:sz="6" w:space="0"/>
              <w:left w:val="nil"/>
              <w:bottom w:val="single" w:color="auto" w:sz="6" w:space="0"/>
              <w:right w:val="single" w:color="auto" w:sz="6" w:space="0"/>
            </w:tcBorders>
            <w:noWrap w:val="0"/>
            <w:vAlign w:val="center"/>
          </w:tcPr>
          <w:p w14:paraId="49F84F57">
            <w:pPr>
              <w:keepNext w:val="0"/>
              <w:keepLines w:val="0"/>
              <w:suppressLineNumbers w:val="0"/>
              <w:shd w:val="clear" w:color="auto" w:fill="auto"/>
              <w:kinsoku/>
              <w:overflowPunct/>
              <w:topLinePunct w:val="0"/>
              <w:bidi w:val="0"/>
              <w:spacing w:before="0" w:beforeAutospacing="0" w:after="0" w:afterAutospacing="0" w:line="360" w:lineRule="auto"/>
              <w:ind w:left="0" w:right="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延保期</w:t>
            </w:r>
          </w:p>
        </w:tc>
      </w:tr>
      <w:tr w14:paraId="75FC9435">
        <w:tblPrEx>
          <w:tblCellMar>
            <w:top w:w="0" w:type="dxa"/>
            <w:left w:w="108" w:type="dxa"/>
            <w:bottom w:w="0" w:type="dxa"/>
            <w:right w:w="108" w:type="dxa"/>
          </w:tblCellMar>
        </w:tblPrEx>
        <w:trPr>
          <w:trHeight w:val="1866" w:hRule="atLeast"/>
          <w:jc w:val="center"/>
        </w:trPr>
        <w:tc>
          <w:tcPr>
            <w:tcW w:w="1670" w:type="pct"/>
            <w:tcBorders>
              <w:top w:val="single" w:color="auto" w:sz="6" w:space="0"/>
              <w:left w:val="single" w:color="auto" w:sz="6" w:space="0"/>
              <w:bottom w:val="single" w:color="auto" w:sz="6" w:space="0"/>
              <w:right w:val="single" w:color="auto" w:sz="6" w:space="0"/>
            </w:tcBorders>
            <w:noWrap w:val="0"/>
            <w:vAlign w:val="center"/>
          </w:tcPr>
          <w:p w14:paraId="65E6B6B5">
            <w:pPr>
              <w:keepNext w:val="0"/>
              <w:keepLines w:val="0"/>
              <w:suppressLineNumbers w:val="0"/>
              <w:shd w:val="clear" w:color="auto" w:fill="auto"/>
              <w:kinsoku/>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西安市红会医院</w:t>
            </w:r>
            <w:r>
              <w:rPr>
                <w:rFonts w:hint="eastAsia" w:ascii="宋体" w:hAnsi="宋体" w:cs="宋体"/>
                <w:sz w:val="24"/>
                <w:szCs w:val="24"/>
                <w:highlight w:val="none"/>
                <w:lang w:val="en-US" w:eastAsia="zh-CN"/>
              </w:rPr>
              <w:t>配置麻醉便携超声采购项目(二次)</w:t>
            </w:r>
          </w:p>
        </w:tc>
        <w:tc>
          <w:tcPr>
            <w:tcW w:w="1212" w:type="pct"/>
            <w:tcBorders>
              <w:top w:val="single" w:color="auto" w:sz="6" w:space="0"/>
              <w:left w:val="nil"/>
              <w:bottom w:val="single" w:color="auto" w:sz="6" w:space="0"/>
              <w:right w:val="single" w:color="auto" w:sz="6" w:space="0"/>
            </w:tcBorders>
            <w:noWrap w:val="0"/>
            <w:vAlign w:val="center"/>
          </w:tcPr>
          <w:p w14:paraId="21C1366B">
            <w:pPr>
              <w:keepNext w:val="0"/>
              <w:keepLines w:val="0"/>
              <w:suppressLineNumbers w:val="0"/>
              <w:shd w:val="clear" w:color="auto" w:fill="auto"/>
              <w:kinsoku/>
              <w:overflowPunct/>
              <w:topLinePunct w:val="0"/>
              <w:autoSpaceDE w:val="0"/>
              <w:autoSpaceDN w:val="0"/>
              <w:bidi w:val="0"/>
              <w:adjustRightInd w:val="0"/>
              <w:spacing w:before="0" w:beforeAutospacing="0" w:after="0" w:afterAutospacing="0" w:line="360" w:lineRule="auto"/>
              <w:ind w:left="0" w:right="0"/>
              <w:outlineLvl w:val="9"/>
              <w:rPr>
                <w:rFonts w:hint="eastAsia" w:ascii="宋体" w:hAnsi="宋体" w:eastAsia="宋体" w:cs="宋体"/>
                <w:sz w:val="24"/>
                <w:szCs w:val="24"/>
                <w:highlight w:val="none"/>
              </w:rPr>
            </w:pPr>
          </w:p>
        </w:tc>
        <w:tc>
          <w:tcPr>
            <w:tcW w:w="1057" w:type="pct"/>
            <w:tcBorders>
              <w:top w:val="single" w:color="auto" w:sz="6" w:space="0"/>
              <w:left w:val="nil"/>
              <w:bottom w:val="single" w:color="auto" w:sz="6" w:space="0"/>
              <w:right w:val="single" w:color="auto" w:sz="6" w:space="0"/>
            </w:tcBorders>
            <w:noWrap w:val="0"/>
            <w:vAlign w:val="center"/>
          </w:tcPr>
          <w:p w14:paraId="777A2CF2">
            <w:pPr>
              <w:keepNext w:val="0"/>
              <w:keepLines w:val="0"/>
              <w:suppressLineNumbers w:val="0"/>
              <w:shd w:val="clear" w:color="auto" w:fill="auto"/>
              <w:kinsoku/>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sz w:val="24"/>
                <w:szCs w:val="24"/>
                <w:highlight w:val="none"/>
                <w:lang w:val="en-US" w:eastAsia="zh-CN"/>
              </w:rPr>
            </w:pPr>
          </w:p>
        </w:tc>
        <w:tc>
          <w:tcPr>
            <w:tcW w:w="1059" w:type="pct"/>
            <w:tcBorders>
              <w:top w:val="single" w:color="auto" w:sz="6" w:space="0"/>
              <w:left w:val="nil"/>
              <w:bottom w:val="single" w:color="auto" w:sz="6" w:space="0"/>
              <w:right w:val="single" w:color="auto" w:sz="6" w:space="0"/>
            </w:tcBorders>
            <w:noWrap w:val="0"/>
            <w:vAlign w:val="center"/>
          </w:tcPr>
          <w:p w14:paraId="2AFF3257">
            <w:pPr>
              <w:keepNext w:val="0"/>
              <w:keepLines w:val="0"/>
              <w:suppressLineNumbers w:val="0"/>
              <w:shd w:val="clear" w:color="auto" w:fill="auto"/>
              <w:kinsoku/>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1D2C85F8">
        <w:tblPrEx>
          <w:tblCellMar>
            <w:top w:w="0" w:type="dxa"/>
            <w:left w:w="108" w:type="dxa"/>
            <w:bottom w:w="0" w:type="dxa"/>
            <w:right w:w="108" w:type="dxa"/>
          </w:tblCellMar>
        </w:tblPrEx>
        <w:trPr>
          <w:trHeight w:val="1244"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14:paraId="4522EB41">
            <w:pPr>
              <w:keepNext w:val="0"/>
              <w:keepLines w:val="0"/>
              <w:suppressLineNumbers w:val="0"/>
              <w:shd w:val="clear" w:color="auto" w:fill="auto"/>
              <w:kinsoku/>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合计：（人民币大写）                      ¥       元 </w:t>
            </w:r>
          </w:p>
        </w:tc>
      </w:tr>
      <w:tr w14:paraId="60F08839">
        <w:tblPrEx>
          <w:tblCellMar>
            <w:top w:w="0" w:type="dxa"/>
            <w:left w:w="108" w:type="dxa"/>
            <w:bottom w:w="0" w:type="dxa"/>
            <w:right w:w="108" w:type="dxa"/>
          </w:tblCellMar>
        </w:tblPrEx>
        <w:trPr>
          <w:trHeight w:val="1450"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14:paraId="46E816B2">
            <w:pPr>
              <w:keepNext w:val="0"/>
              <w:keepLines w:val="0"/>
              <w:suppressLineNumbers w:val="0"/>
              <w:shd w:val="clear" w:color="auto" w:fill="auto"/>
              <w:kinsoku/>
              <w:overflowPunct/>
              <w:topLinePunct w:val="0"/>
              <w:autoSpaceDE w:val="0"/>
              <w:autoSpaceDN w:val="0"/>
              <w:bidi w:val="0"/>
              <w:adjustRightInd w:val="0"/>
              <w:spacing w:before="0" w:beforeAutospacing="0" w:after="0" w:afterAutospacing="0" w:line="360" w:lineRule="auto"/>
              <w:ind w:left="0" w:right="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备注：表内报价内容以元为单位，保留小数点后两位。</w:t>
            </w:r>
          </w:p>
        </w:tc>
      </w:tr>
    </w:tbl>
    <w:p w14:paraId="7D2510E1">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p>
    <w:p w14:paraId="2D810D00">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p>
    <w:p w14:paraId="0ECBBA8B">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法定代表人/授权代表（签字）：</w:t>
      </w:r>
      <w:r>
        <w:rPr>
          <w:rFonts w:hint="eastAsia" w:ascii="宋体" w:hAnsi="宋体" w:eastAsia="宋体" w:cs="宋体"/>
          <w:sz w:val="24"/>
          <w:szCs w:val="24"/>
          <w:highlight w:val="none"/>
          <w:u w:val="single"/>
          <w:lang w:val="en-US" w:eastAsia="zh-CN"/>
        </w:rPr>
        <w:t xml:space="preserve">          </w:t>
      </w:r>
    </w:p>
    <w:p w14:paraId="5ABA6ED9">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32"/>
          <w:szCs w:val="32"/>
          <w:highlight w:val="none"/>
          <w:u w:val="single"/>
        </w:rPr>
        <w:sectPr>
          <w:pgSz w:w="11906"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6" w:charSpace="0"/>
        </w:sect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32"/>
          <w:szCs w:val="32"/>
          <w:highlight w:val="none"/>
          <w:u w:val="single"/>
        </w:rPr>
        <w:t xml:space="preserve"> </w:t>
      </w:r>
    </w:p>
    <w:p w14:paraId="66B6619A">
      <w:pPr>
        <w:keepLines w:val="0"/>
        <w:shd w:val="clear" w:color="auto" w:fill="auto"/>
        <w:kinsoku/>
        <w:overflowPunct/>
        <w:topLinePunct w:val="0"/>
        <w:autoSpaceDE w:val="0"/>
        <w:autoSpaceDN w:val="0"/>
        <w:bidi w:val="0"/>
        <w:adjustRightInd w:val="0"/>
        <w:spacing w:line="360" w:lineRule="auto"/>
        <w:jc w:val="center"/>
        <w:outlineLvl w:val="9"/>
        <w:rPr>
          <w:rFonts w:hint="eastAsia" w:ascii="宋体" w:hAnsi="宋体" w:eastAsia="宋体" w:cs="宋体"/>
          <w:b/>
          <w:bCs/>
          <w:kern w:val="0"/>
          <w:sz w:val="32"/>
          <w:szCs w:val="22"/>
          <w:highlight w:val="none"/>
          <w:lang w:val="en-US" w:eastAsia="zh-CN"/>
        </w:rPr>
      </w:pPr>
      <w:bookmarkStart w:id="146" w:name="_Toc24056"/>
      <w:bookmarkEnd w:id="146"/>
      <w:bookmarkStart w:id="147" w:name="_Toc26622"/>
      <w:bookmarkEnd w:id="147"/>
      <w:bookmarkStart w:id="148" w:name="_Toc22835"/>
      <w:bookmarkEnd w:id="148"/>
      <w:bookmarkStart w:id="149" w:name="_Toc496524281"/>
      <w:bookmarkStart w:id="150" w:name="_Toc495913702"/>
      <w:bookmarkStart w:id="151" w:name="_Toc8251_WPSOffice_Level1"/>
      <w:bookmarkStart w:id="152" w:name="_Toc496523753"/>
      <w:r>
        <w:rPr>
          <w:rFonts w:hint="eastAsia" w:ascii="宋体" w:hAnsi="宋体" w:eastAsia="宋体" w:cs="宋体"/>
          <w:b/>
          <w:bCs/>
          <w:kern w:val="0"/>
          <w:sz w:val="32"/>
          <w:szCs w:val="22"/>
          <w:highlight w:val="none"/>
          <w:lang w:val="en-US" w:eastAsia="zh-CN"/>
        </w:rPr>
        <w:t>分项报价表</w:t>
      </w:r>
    </w:p>
    <w:p w14:paraId="1693E868">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项目名称：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p>
    <w:p w14:paraId="7C6DE1DE">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w:t>
      </w:r>
    </w:p>
    <w:p w14:paraId="64FFA676">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w:t>
      </w:r>
      <w:r>
        <w:rPr>
          <w:rFonts w:hint="eastAsia" w:ascii="宋体" w:hAnsi="宋体" w:eastAsia="宋体" w:cs="宋体"/>
          <w:color w:val="000000"/>
          <w:sz w:val="24"/>
          <w:highlight w:val="none"/>
          <w:lang w:eastAsia="zh-CN"/>
        </w:rPr>
        <w:t>名称</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单位：元                   </w:t>
      </w:r>
    </w:p>
    <w:p w14:paraId="7F469341">
      <w:pPr>
        <w:rPr>
          <w:rFonts w:hint="eastAsia" w:ascii="宋体" w:hAnsi="宋体" w:eastAsia="宋体" w:cs="宋体"/>
          <w:color w:val="000000"/>
          <w:sz w:val="24"/>
          <w:highlight w:val="none"/>
        </w:rPr>
      </w:pPr>
    </w:p>
    <w:tbl>
      <w:tblPr>
        <w:tblStyle w:val="34"/>
        <w:tblpPr w:leftFromText="180" w:rightFromText="180" w:vertAnchor="text" w:horzAnchor="page" w:tblpX="992" w:tblpY="2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095"/>
        <w:gridCol w:w="1417"/>
        <w:gridCol w:w="1509"/>
        <w:gridCol w:w="1164"/>
        <w:gridCol w:w="1164"/>
        <w:gridCol w:w="1164"/>
        <w:gridCol w:w="1515"/>
      </w:tblGrid>
      <w:tr w14:paraId="7915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466" w:type="pct"/>
            <w:noWrap w:val="0"/>
            <w:vAlign w:val="center"/>
          </w:tcPr>
          <w:p w14:paraId="2AA33D92">
            <w:pPr>
              <w:pStyle w:val="21"/>
              <w:keepNext w:val="0"/>
              <w:keepLines w:val="0"/>
              <w:suppressLineNumbers w:val="0"/>
              <w:spacing w:before="0" w:beforeAutospacing="0" w:after="0" w:afterAutospacing="0"/>
              <w:ind w:left="0" w:right="0"/>
              <w:jc w:val="center"/>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序号</w:t>
            </w:r>
          </w:p>
        </w:tc>
        <w:tc>
          <w:tcPr>
            <w:tcW w:w="550" w:type="pct"/>
            <w:noWrap w:val="0"/>
            <w:vAlign w:val="center"/>
          </w:tcPr>
          <w:p w14:paraId="3150FF63">
            <w:pPr>
              <w:pStyle w:val="21"/>
              <w:keepNext w:val="0"/>
              <w:keepLines w:val="0"/>
              <w:suppressLineNumbers w:val="0"/>
              <w:spacing w:before="0" w:beforeAutospacing="0" w:after="0" w:afterAutospacing="0"/>
              <w:ind w:left="0" w:right="0"/>
              <w:jc w:val="center"/>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lang w:eastAsia="zh-CN"/>
              </w:rPr>
              <w:t>产品</w:t>
            </w:r>
            <w:r>
              <w:rPr>
                <w:rFonts w:hint="eastAsia" w:ascii="宋体" w:hAnsi="宋体" w:eastAsia="宋体" w:cs="宋体"/>
                <w:spacing w:val="-20"/>
                <w:sz w:val="24"/>
                <w:szCs w:val="24"/>
                <w:highlight w:val="none"/>
              </w:rPr>
              <w:t>名称</w:t>
            </w:r>
          </w:p>
        </w:tc>
        <w:tc>
          <w:tcPr>
            <w:tcW w:w="711" w:type="pct"/>
            <w:noWrap w:val="0"/>
            <w:vAlign w:val="center"/>
          </w:tcPr>
          <w:p w14:paraId="21124DE0">
            <w:pPr>
              <w:pStyle w:val="21"/>
              <w:keepNext w:val="0"/>
              <w:keepLines w:val="0"/>
              <w:suppressLineNumbers w:val="0"/>
              <w:spacing w:before="0" w:beforeAutospacing="0" w:after="0" w:afterAutospacing="0"/>
              <w:ind w:left="0" w:right="0"/>
              <w:jc w:val="center"/>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品牌</w:t>
            </w:r>
          </w:p>
          <w:p w14:paraId="4DCF40D1">
            <w:pPr>
              <w:pStyle w:val="21"/>
              <w:keepNext w:val="0"/>
              <w:keepLines w:val="0"/>
              <w:suppressLineNumbers w:val="0"/>
              <w:spacing w:before="0" w:beforeAutospacing="0" w:after="0" w:afterAutospacing="0"/>
              <w:ind w:left="0" w:right="0"/>
              <w:jc w:val="center"/>
              <w:rPr>
                <w:rFonts w:hint="eastAsia" w:ascii="宋体" w:hAnsi="宋体" w:eastAsia="宋体" w:cs="宋体"/>
                <w:spacing w:val="-20"/>
                <w:sz w:val="24"/>
                <w:szCs w:val="24"/>
                <w:highlight w:val="none"/>
                <w:lang w:eastAsia="zh-CN"/>
              </w:rPr>
            </w:pPr>
            <w:r>
              <w:rPr>
                <w:rFonts w:hint="eastAsia" w:ascii="宋体" w:hAnsi="宋体" w:eastAsia="宋体" w:cs="宋体"/>
                <w:spacing w:val="-20"/>
                <w:sz w:val="24"/>
                <w:szCs w:val="24"/>
                <w:highlight w:val="none"/>
                <w:lang w:eastAsia="zh-CN"/>
              </w:rPr>
              <w:t>型号</w:t>
            </w:r>
          </w:p>
        </w:tc>
        <w:tc>
          <w:tcPr>
            <w:tcW w:w="757" w:type="pct"/>
            <w:noWrap w:val="0"/>
            <w:vAlign w:val="center"/>
          </w:tcPr>
          <w:p w14:paraId="37C90787">
            <w:pPr>
              <w:pStyle w:val="21"/>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生产厂家</w:t>
            </w:r>
          </w:p>
        </w:tc>
        <w:tc>
          <w:tcPr>
            <w:tcW w:w="584" w:type="pct"/>
            <w:noWrap w:val="0"/>
            <w:vAlign w:val="center"/>
          </w:tcPr>
          <w:p w14:paraId="334B35C6">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584" w:type="pct"/>
            <w:noWrap w:val="0"/>
            <w:vAlign w:val="center"/>
          </w:tcPr>
          <w:p w14:paraId="775FA6C4">
            <w:pPr>
              <w:pStyle w:val="21"/>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w:t>
            </w:r>
          </w:p>
        </w:tc>
        <w:tc>
          <w:tcPr>
            <w:tcW w:w="584" w:type="pct"/>
            <w:noWrap w:val="0"/>
            <w:vAlign w:val="center"/>
          </w:tcPr>
          <w:p w14:paraId="122F8FDA">
            <w:pPr>
              <w:pStyle w:val="21"/>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 价</w:t>
            </w:r>
          </w:p>
        </w:tc>
        <w:tc>
          <w:tcPr>
            <w:tcW w:w="760" w:type="pct"/>
            <w:noWrap w:val="0"/>
            <w:vAlign w:val="center"/>
          </w:tcPr>
          <w:p w14:paraId="5B13D98A">
            <w:pPr>
              <w:pStyle w:val="21"/>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合 计</w:t>
            </w:r>
          </w:p>
        </w:tc>
      </w:tr>
      <w:tr w14:paraId="30A8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6" w:type="pct"/>
            <w:noWrap w:val="0"/>
            <w:vAlign w:val="center"/>
          </w:tcPr>
          <w:p w14:paraId="2FBC8FC2">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550" w:type="pct"/>
            <w:noWrap w:val="0"/>
            <w:vAlign w:val="center"/>
          </w:tcPr>
          <w:p w14:paraId="2BF5BD44">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c>
          <w:tcPr>
            <w:tcW w:w="711" w:type="pct"/>
            <w:noWrap w:val="0"/>
            <w:vAlign w:val="center"/>
          </w:tcPr>
          <w:p w14:paraId="14341B49">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c>
          <w:tcPr>
            <w:tcW w:w="757" w:type="pct"/>
            <w:noWrap w:val="0"/>
            <w:vAlign w:val="center"/>
          </w:tcPr>
          <w:p w14:paraId="3C10B7F4">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584" w:type="pct"/>
            <w:noWrap w:val="0"/>
            <w:vAlign w:val="center"/>
          </w:tcPr>
          <w:p w14:paraId="2C02BECC">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584" w:type="pct"/>
            <w:noWrap w:val="0"/>
            <w:vAlign w:val="center"/>
          </w:tcPr>
          <w:p w14:paraId="3471E6E9">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584" w:type="pct"/>
            <w:noWrap w:val="0"/>
            <w:vAlign w:val="center"/>
          </w:tcPr>
          <w:p w14:paraId="6F9A2F88">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760" w:type="pct"/>
            <w:noWrap w:val="0"/>
            <w:vAlign w:val="center"/>
          </w:tcPr>
          <w:p w14:paraId="77A99FDB">
            <w:pPr>
              <w:pStyle w:val="21"/>
              <w:keepNext w:val="0"/>
              <w:keepLines w:val="0"/>
              <w:suppressLineNumbers w:val="0"/>
              <w:spacing w:before="0" w:beforeAutospacing="0" w:after="0" w:afterAutospacing="0"/>
              <w:ind w:left="0" w:right="0"/>
              <w:rPr>
                <w:rFonts w:hint="eastAsia" w:ascii="宋体" w:hAnsi="宋体" w:eastAsia="宋体" w:cs="宋体"/>
                <w:spacing w:val="-6"/>
                <w:sz w:val="24"/>
                <w:szCs w:val="24"/>
                <w:highlight w:val="none"/>
              </w:rPr>
            </w:pPr>
          </w:p>
        </w:tc>
      </w:tr>
      <w:tr w14:paraId="5DC4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6" w:type="pct"/>
            <w:noWrap w:val="0"/>
            <w:vAlign w:val="center"/>
          </w:tcPr>
          <w:p w14:paraId="3E33BF9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550" w:type="pct"/>
            <w:noWrap w:val="0"/>
            <w:vAlign w:val="center"/>
          </w:tcPr>
          <w:p w14:paraId="208C678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c>
          <w:tcPr>
            <w:tcW w:w="711" w:type="pct"/>
            <w:noWrap w:val="0"/>
            <w:vAlign w:val="center"/>
          </w:tcPr>
          <w:p w14:paraId="0AB88EAA">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c>
          <w:tcPr>
            <w:tcW w:w="757" w:type="pct"/>
            <w:noWrap w:val="0"/>
            <w:vAlign w:val="center"/>
          </w:tcPr>
          <w:p w14:paraId="7C7FA138">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584" w:type="pct"/>
            <w:noWrap w:val="0"/>
            <w:vAlign w:val="center"/>
          </w:tcPr>
          <w:p w14:paraId="40001AF7">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584" w:type="pct"/>
            <w:noWrap w:val="0"/>
            <w:vAlign w:val="center"/>
          </w:tcPr>
          <w:p w14:paraId="79D7FA9A">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584" w:type="pct"/>
            <w:noWrap w:val="0"/>
            <w:vAlign w:val="center"/>
          </w:tcPr>
          <w:p w14:paraId="10D792B0">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760" w:type="pct"/>
            <w:noWrap w:val="0"/>
            <w:vAlign w:val="center"/>
          </w:tcPr>
          <w:p w14:paraId="33B08F32">
            <w:pPr>
              <w:pStyle w:val="21"/>
              <w:keepNext w:val="0"/>
              <w:keepLines w:val="0"/>
              <w:suppressLineNumbers w:val="0"/>
              <w:spacing w:before="0" w:beforeAutospacing="0" w:after="0" w:afterAutospacing="0"/>
              <w:ind w:left="0" w:right="0"/>
              <w:rPr>
                <w:rFonts w:hint="eastAsia" w:ascii="宋体" w:hAnsi="宋体" w:eastAsia="宋体" w:cs="宋体"/>
                <w:spacing w:val="-6"/>
                <w:sz w:val="24"/>
                <w:szCs w:val="24"/>
                <w:highlight w:val="none"/>
              </w:rPr>
            </w:pPr>
          </w:p>
        </w:tc>
      </w:tr>
      <w:tr w14:paraId="1A6A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66" w:type="pct"/>
            <w:noWrap w:val="0"/>
            <w:vAlign w:val="center"/>
          </w:tcPr>
          <w:p w14:paraId="2550BDBB">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N</w:t>
            </w:r>
          </w:p>
        </w:tc>
        <w:tc>
          <w:tcPr>
            <w:tcW w:w="550" w:type="pct"/>
            <w:noWrap w:val="0"/>
            <w:vAlign w:val="center"/>
          </w:tcPr>
          <w:p w14:paraId="0EBD391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c>
          <w:tcPr>
            <w:tcW w:w="711" w:type="pct"/>
            <w:noWrap w:val="0"/>
            <w:vAlign w:val="center"/>
          </w:tcPr>
          <w:p w14:paraId="3380B31C">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c>
          <w:tcPr>
            <w:tcW w:w="757" w:type="pct"/>
            <w:noWrap w:val="0"/>
            <w:vAlign w:val="center"/>
          </w:tcPr>
          <w:p w14:paraId="2B0C2511">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584" w:type="pct"/>
            <w:noWrap w:val="0"/>
            <w:vAlign w:val="center"/>
          </w:tcPr>
          <w:p w14:paraId="621BEF17">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584" w:type="pct"/>
            <w:noWrap w:val="0"/>
            <w:vAlign w:val="center"/>
          </w:tcPr>
          <w:p w14:paraId="1EA3A1CC">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584" w:type="pct"/>
            <w:noWrap w:val="0"/>
            <w:vAlign w:val="center"/>
          </w:tcPr>
          <w:p w14:paraId="02D1DEE8">
            <w:pPr>
              <w:pStyle w:val="21"/>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760" w:type="pct"/>
            <w:noWrap w:val="0"/>
            <w:vAlign w:val="center"/>
          </w:tcPr>
          <w:p w14:paraId="49DFD660">
            <w:pPr>
              <w:pStyle w:val="21"/>
              <w:keepNext w:val="0"/>
              <w:keepLines w:val="0"/>
              <w:suppressLineNumbers w:val="0"/>
              <w:spacing w:before="0" w:beforeAutospacing="0" w:after="0" w:afterAutospacing="0"/>
              <w:ind w:left="0" w:right="0"/>
              <w:rPr>
                <w:rFonts w:hint="eastAsia" w:ascii="宋体" w:hAnsi="宋体" w:eastAsia="宋体" w:cs="宋体"/>
                <w:spacing w:val="-6"/>
                <w:sz w:val="24"/>
                <w:szCs w:val="24"/>
                <w:highlight w:val="none"/>
              </w:rPr>
            </w:pPr>
          </w:p>
        </w:tc>
      </w:tr>
    </w:tbl>
    <w:p w14:paraId="50D4A60B">
      <w:pPr>
        <w:rPr>
          <w:rFonts w:hint="eastAsia" w:ascii="宋体" w:hAnsi="宋体" w:eastAsia="宋体" w:cs="宋体"/>
          <w:color w:val="000000"/>
          <w:sz w:val="24"/>
          <w:highlight w:val="none"/>
        </w:rPr>
      </w:pPr>
    </w:p>
    <w:p w14:paraId="7CB84231">
      <w:pPr>
        <w:rPr>
          <w:rFonts w:hint="eastAsia" w:ascii="宋体" w:hAnsi="宋体" w:eastAsia="宋体" w:cs="宋体"/>
          <w:color w:val="000000"/>
          <w:sz w:val="24"/>
          <w:highlight w:val="none"/>
        </w:rPr>
      </w:pPr>
    </w:p>
    <w:p w14:paraId="1794DA73">
      <w:pPr>
        <w:rPr>
          <w:rFonts w:hint="eastAsia" w:ascii="宋体" w:hAnsi="宋体" w:eastAsia="宋体" w:cs="宋体"/>
          <w:color w:val="000000"/>
          <w:sz w:val="24"/>
          <w:highlight w:val="none"/>
        </w:rPr>
      </w:pPr>
    </w:p>
    <w:p w14:paraId="0751B178">
      <w:pPr>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 xml:space="preserve">  </w:t>
      </w:r>
      <w:r>
        <w:rPr>
          <w:rFonts w:hint="eastAsia" w:ascii="宋体" w:hAnsi="宋体" w:eastAsia="宋体" w:cs="宋体"/>
          <w:color w:val="000000"/>
          <w:sz w:val="24"/>
          <w:highlight w:val="none"/>
        </w:rPr>
        <w:t>谈判供应商（全称并加盖公章）：</w:t>
      </w:r>
      <w:r>
        <w:rPr>
          <w:rFonts w:hint="eastAsia" w:ascii="宋体" w:hAnsi="宋体" w:eastAsia="宋体" w:cs="宋体"/>
          <w:color w:val="000000"/>
          <w:sz w:val="24"/>
          <w:highlight w:val="none"/>
          <w:u w:val="single"/>
        </w:rPr>
        <w:t xml:space="preserve">                   </w:t>
      </w:r>
    </w:p>
    <w:p w14:paraId="51913ABD">
      <w:pPr>
        <w:spacing w:line="360" w:lineRule="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  法定代表人/被授权人</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签字</w:t>
      </w:r>
      <w:r>
        <w:rPr>
          <w:rFonts w:hint="eastAsia" w:ascii="宋体" w:hAnsi="宋体" w:eastAsia="宋体" w:cs="宋体"/>
          <w:color w:val="000000"/>
          <w:sz w:val="24"/>
          <w:highlight w:val="none"/>
          <w:lang w:eastAsia="zh-CN"/>
        </w:rPr>
        <w:t>或盖章）</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p>
    <w:p w14:paraId="48842461">
      <w:pPr>
        <w:spacing w:line="360" w:lineRule="auto"/>
        <w:ind w:right="514" w:rightChars="25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1A4AB52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注：1、如果按单价计算的结果与总价不一致，以单价为准修正总价。</w:t>
      </w:r>
    </w:p>
    <w:p w14:paraId="1804544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2、供应商可适当调整该表格式，但不得减少信息内容。</w:t>
      </w:r>
    </w:p>
    <w:p w14:paraId="11A29C26">
      <w:pPr>
        <w:keepLines w:val="0"/>
        <w:shd w:val="clear" w:color="auto" w:fill="auto"/>
        <w:kinsoku/>
        <w:overflowPunct/>
        <w:topLinePunct w:val="0"/>
        <w:bidi w:val="0"/>
        <w:spacing w:line="360" w:lineRule="auto"/>
        <w:rPr>
          <w:rFonts w:hint="eastAsia" w:ascii="宋体" w:hAnsi="宋体" w:eastAsia="宋体" w:cs="宋体"/>
          <w:highlight w:val="none"/>
        </w:rPr>
      </w:pPr>
    </w:p>
    <w:p w14:paraId="2269C10A">
      <w:pPr>
        <w:keepLines w:val="0"/>
        <w:shd w:val="clear" w:color="auto" w:fill="auto"/>
        <w:kinsoku/>
        <w:overflowPunct/>
        <w:topLinePunct w:val="0"/>
        <w:bidi w:val="0"/>
        <w:spacing w:line="360" w:lineRule="auto"/>
        <w:jc w:val="center"/>
        <w:outlineLvl w:val="9"/>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br w:type="page"/>
      </w:r>
      <w:r>
        <w:rPr>
          <w:rFonts w:hint="eastAsia" w:ascii="宋体" w:hAnsi="宋体" w:eastAsia="宋体" w:cs="宋体"/>
          <w:b/>
          <w:bCs w:val="0"/>
          <w:color w:val="auto"/>
          <w:kern w:val="0"/>
          <w:sz w:val="32"/>
          <w:szCs w:val="32"/>
          <w:highlight w:val="none"/>
        </w:rPr>
        <w:t>第三部分  谈判响应方案说明</w:t>
      </w:r>
    </w:p>
    <w:p w14:paraId="18A91164">
      <w:pPr>
        <w:pStyle w:val="62"/>
        <w:keepLines w:val="0"/>
        <w:shd w:val="clear" w:color="auto" w:fill="auto"/>
        <w:kinsoku/>
        <w:overflowPunct/>
        <w:topLinePunct w:val="0"/>
        <w:bidi w:val="0"/>
        <w:spacing w:line="360" w:lineRule="auto"/>
        <w:rPr>
          <w:rFonts w:hint="eastAsia" w:ascii="宋体" w:hAnsi="宋体" w:eastAsia="宋体" w:cs="宋体"/>
          <w:highlight w:val="none"/>
        </w:rPr>
      </w:pPr>
    </w:p>
    <w:p w14:paraId="71DE9DC3">
      <w:pPr>
        <w:keepLines w:val="0"/>
        <w:shd w:val="clear" w:color="auto" w:fill="auto"/>
        <w:kinsoku/>
        <w:overflowPunct/>
        <w:topLinePunct w:val="0"/>
        <w:bidi w:val="0"/>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谈判响应方案必须含有</w:t>
      </w:r>
      <w:r>
        <w:rPr>
          <w:rFonts w:hint="eastAsia" w:ascii="宋体" w:hAnsi="宋体" w:eastAsia="宋体" w:cs="宋体"/>
          <w:color w:val="auto"/>
          <w:sz w:val="24"/>
          <w:szCs w:val="24"/>
          <w:highlight w:val="none"/>
          <w:lang w:val="en-US" w:eastAsia="zh-CN"/>
        </w:rPr>
        <w:t>详细的供货方案，具体</w:t>
      </w:r>
      <w:r>
        <w:rPr>
          <w:rFonts w:hint="eastAsia" w:ascii="宋体" w:hAnsi="宋体" w:eastAsia="宋体" w:cs="宋体"/>
          <w:color w:val="auto"/>
          <w:sz w:val="24"/>
          <w:szCs w:val="24"/>
          <w:highlight w:val="none"/>
        </w:rPr>
        <w:t>包括以下内容</w:t>
      </w:r>
      <w:r>
        <w:rPr>
          <w:rFonts w:hint="eastAsia" w:ascii="宋体" w:hAnsi="宋体" w:eastAsia="宋体" w:cs="宋体"/>
          <w:color w:val="auto"/>
          <w:sz w:val="24"/>
          <w:szCs w:val="24"/>
          <w:highlight w:val="none"/>
          <w:lang w:val="en-US" w:eastAsia="zh-CN"/>
        </w:rPr>
        <w:t>但不限于以下内容</w:t>
      </w:r>
      <w:r>
        <w:rPr>
          <w:rFonts w:hint="eastAsia" w:ascii="宋体" w:hAnsi="宋体" w:eastAsia="宋体" w:cs="宋体"/>
          <w:color w:val="auto"/>
          <w:sz w:val="24"/>
          <w:szCs w:val="24"/>
          <w:highlight w:val="none"/>
        </w:rPr>
        <w:t>：</w:t>
      </w:r>
    </w:p>
    <w:p w14:paraId="6035F87E">
      <w:pPr>
        <w:keepLines w:val="0"/>
        <w:shd w:val="clear" w:color="auto" w:fill="auto"/>
        <w:kinsoku/>
        <w:overflowPunct/>
        <w:topLinePunct w:val="0"/>
        <w:bidi w:val="0"/>
        <w:adjustRightInd w:val="0"/>
        <w:snapToGrid w:val="0"/>
        <w:spacing w:line="360" w:lineRule="auto"/>
        <w:ind w:firstLine="240" w:firstLineChars="1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（1）技术要求及质量保证措施</w:t>
      </w:r>
      <w:r>
        <w:rPr>
          <w:rFonts w:hint="eastAsia" w:ascii="宋体" w:hAnsi="宋体" w:eastAsia="宋体" w:cs="宋体"/>
          <w:color w:val="auto"/>
          <w:sz w:val="24"/>
          <w:szCs w:val="24"/>
          <w:highlight w:val="none"/>
          <w:lang w:val="en-US" w:eastAsia="zh-CN"/>
        </w:rPr>
        <w:t>；</w:t>
      </w:r>
    </w:p>
    <w:p w14:paraId="167266D7">
      <w:pPr>
        <w:keepLines w:val="0"/>
        <w:shd w:val="clear" w:color="auto" w:fill="auto"/>
        <w:kinsoku/>
        <w:overflowPunct/>
        <w:topLinePunct w:val="0"/>
        <w:bidi w:val="0"/>
        <w:adjustRightInd w:val="0"/>
        <w:snapToGrid w:val="0"/>
        <w:spacing w:line="360" w:lineRule="auto"/>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）包装运输</w:t>
      </w:r>
      <w:r>
        <w:rPr>
          <w:rFonts w:hint="eastAsia" w:ascii="宋体" w:hAnsi="宋体" w:eastAsia="宋体" w:cs="宋体"/>
          <w:color w:val="auto"/>
          <w:sz w:val="24"/>
          <w:szCs w:val="24"/>
          <w:highlight w:val="none"/>
          <w:lang w:val="en-US" w:eastAsia="zh-CN"/>
        </w:rPr>
        <w:t>；</w:t>
      </w:r>
    </w:p>
    <w:p w14:paraId="32937E1E">
      <w:pPr>
        <w:keepLines w:val="0"/>
        <w:shd w:val="clear" w:color="auto" w:fill="auto"/>
        <w:kinsoku/>
        <w:overflowPunct/>
        <w:topLinePunct w:val="0"/>
        <w:bidi w:val="0"/>
        <w:adjustRightInd w:val="0"/>
        <w:snapToGrid w:val="0"/>
        <w:spacing w:line="360" w:lineRule="auto"/>
        <w:ind w:firstLine="240" w:firstLineChars="1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val="en-US" w:eastAsia="zh-CN"/>
        </w:rPr>
        <w:t>；</w:t>
      </w:r>
    </w:p>
    <w:p w14:paraId="2BFE6240">
      <w:pPr>
        <w:keepLines w:val="0"/>
        <w:shd w:val="clear" w:color="auto" w:fill="auto"/>
        <w:kinsoku/>
        <w:overflowPunct/>
        <w:topLinePunct w:val="0"/>
        <w:bidi w:val="0"/>
        <w:spacing w:line="360" w:lineRule="auto"/>
        <w:outlineLvl w:val="9"/>
        <w:rPr>
          <w:rFonts w:hint="eastAsia" w:ascii="宋体" w:hAnsi="宋体" w:eastAsia="宋体" w:cs="宋体"/>
          <w:bCs/>
          <w:kern w:val="0"/>
          <w:sz w:val="24"/>
          <w:szCs w:val="24"/>
          <w:highlight w:val="none"/>
        </w:rPr>
      </w:pPr>
    </w:p>
    <w:p w14:paraId="13F20AA8">
      <w:pPr>
        <w:pStyle w:val="5"/>
        <w:keepLines w:val="0"/>
        <w:shd w:val="clear" w:color="auto" w:fill="auto"/>
        <w:kinsoku/>
        <w:overflowPunct/>
        <w:topLinePunct w:val="0"/>
        <w:bidi w:val="0"/>
        <w:spacing w:line="360" w:lineRule="auto"/>
        <w:outlineLvl w:val="9"/>
        <w:rPr>
          <w:rFonts w:hint="eastAsia" w:ascii="宋体" w:hAnsi="宋体" w:eastAsia="宋体" w:cs="宋体"/>
          <w:b/>
          <w:bCs/>
          <w:kern w:val="0"/>
          <w:sz w:val="24"/>
          <w:szCs w:val="24"/>
          <w:highlight w:val="none"/>
        </w:rPr>
      </w:pPr>
    </w:p>
    <w:p w14:paraId="1B28EC16">
      <w:pPr>
        <w:pStyle w:val="5"/>
        <w:keepLines w:val="0"/>
        <w:shd w:val="clear" w:color="auto" w:fill="auto"/>
        <w:kinsoku/>
        <w:overflowPunct/>
        <w:topLinePunct w:val="0"/>
        <w:bidi w:val="0"/>
        <w:spacing w:line="360" w:lineRule="auto"/>
        <w:outlineLvl w:val="9"/>
        <w:rPr>
          <w:rFonts w:hint="eastAsia" w:ascii="宋体" w:hAnsi="宋体" w:eastAsia="宋体" w:cs="宋体"/>
          <w:b/>
          <w:bCs/>
          <w:kern w:val="0"/>
          <w:sz w:val="32"/>
          <w:highlight w:val="none"/>
        </w:rPr>
      </w:pPr>
    </w:p>
    <w:p w14:paraId="164DB6AA">
      <w:pPr>
        <w:pStyle w:val="5"/>
        <w:keepLines w:val="0"/>
        <w:shd w:val="clear" w:color="auto" w:fill="auto"/>
        <w:kinsoku/>
        <w:overflowPunct/>
        <w:topLinePunct w:val="0"/>
        <w:bidi w:val="0"/>
        <w:spacing w:line="360" w:lineRule="auto"/>
        <w:outlineLvl w:val="9"/>
        <w:rPr>
          <w:rFonts w:hint="eastAsia" w:ascii="宋体" w:hAnsi="宋体" w:eastAsia="宋体" w:cs="宋体"/>
          <w:b/>
          <w:bCs/>
          <w:kern w:val="0"/>
          <w:sz w:val="32"/>
          <w:highlight w:val="none"/>
        </w:rPr>
      </w:pPr>
    </w:p>
    <w:p w14:paraId="17E0D352">
      <w:pPr>
        <w:pStyle w:val="5"/>
        <w:keepLines w:val="0"/>
        <w:shd w:val="clear" w:color="auto" w:fill="auto"/>
        <w:kinsoku/>
        <w:overflowPunct/>
        <w:topLinePunct w:val="0"/>
        <w:bidi w:val="0"/>
        <w:spacing w:line="360" w:lineRule="auto"/>
        <w:outlineLvl w:val="9"/>
        <w:rPr>
          <w:rFonts w:hint="eastAsia" w:ascii="宋体" w:hAnsi="宋体" w:eastAsia="宋体" w:cs="宋体"/>
          <w:b/>
          <w:bCs/>
          <w:kern w:val="0"/>
          <w:sz w:val="32"/>
          <w:highlight w:val="none"/>
        </w:rPr>
      </w:pPr>
    </w:p>
    <w:p w14:paraId="4F3660EF">
      <w:pPr>
        <w:pStyle w:val="5"/>
        <w:keepLines w:val="0"/>
        <w:shd w:val="clear" w:color="auto" w:fill="auto"/>
        <w:kinsoku/>
        <w:overflowPunct/>
        <w:topLinePunct w:val="0"/>
        <w:bidi w:val="0"/>
        <w:spacing w:line="360" w:lineRule="auto"/>
        <w:outlineLvl w:val="9"/>
        <w:rPr>
          <w:rFonts w:hint="eastAsia" w:ascii="宋体" w:hAnsi="宋体" w:eastAsia="宋体" w:cs="宋体"/>
          <w:b/>
          <w:bCs/>
          <w:kern w:val="0"/>
          <w:sz w:val="32"/>
          <w:highlight w:val="none"/>
        </w:rPr>
      </w:pPr>
    </w:p>
    <w:p w14:paraId="63EDD467">
      <w:pPr>
        <w:pStyle w:val="5"/>
        <w:keepLines w:val="0"/>
        <w:shd w:val="clear" w:color="auto" w:fill="auto"/>
        <w:kinsoku/>
        <w:overflowPunct/>
        <w:topLinePunct w:val="0"/>
        <w:bidi w:val="0"/>
        <w:spacing w:line="360" w:lineRule="auto"/>
        <w:outlineLvl w:val="9"/>
        <w:rPr>
          <w:rFonts w:hint="eastAsia" w:ascii="宋体" w:hAnsi="宋体" w:eastAsia="宋体" w:cs="宋体"/>
          <w:b/>
          <w:bCs/>
          <w:kern w:val="0"/>
          <w:sz w:val="32"/>
          <w:highlight w:val="none"/>
        </w:rPr>
      </w:pPr>
    </w:p>
    <w:p w14:paraId="35BFABE8">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b/>
          <w:bCs/>
          <w:sz w:val="24"/>
          <w:szCs w:val="24"/>
          <w:highlight w:val="none"/>
        </w:rPr>
      </w:pPr>
      <w:r>
        <w:rPr>
          <w:rFonts w:hint="eastAsia" w:ascii="宋体" w:hAnsi="宋体" w:eastAsia="宋体" w:cs="宋体"/>
          <w:sz w:val="32"/>
          <w:szCs w:val="32"/>
          <w:highlight w:val="none"/>
        </w:rPr>
        <w:br w:type="page"/>
      </w:r>
      <w:r>
        <w:rPr>
          <w:rFonts w:hint="eastAsia" w:ascii="宋体" w:hAnsi="宋体" w:eastAsia="宋体" w:cs="宋体"/>
          <w:sz w:val="24"/>
          <w:szCs w:val="24"/>
          <w:highlight w:val="none"/>
        </w:rPr>
        <w:t>附表1</w:t>
      </w:r>
    </w:p>
    <w:p w14:paraId="2E332171">
      <w:pPr>
        <w:keepLines w:val="0"/>
        <w:shd w:val="clear" w:color="auto" w:fill="auto"/>
        <w:kinsoku/>
        <w:overflowPunct/>
        <w:topLinePunct w:val="0"/>
        <w:bidi w:val="0"/>
        <w:adjustRightInd w:val="0"/>
        <w:snapToGrid w:val="0"/>
        <w:spacing w:line="360" w:lineRule="auto"/>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商务要求偏差表</w:t>
      </w:r>
    </w:p>
    <w:p w14:paraId="1EE4DC5E">
      <w:pPr>
        <w:keepLines w:val="0"/>
        <w:shd w:val="clear" w:color="auto" w:fill="auto"/>
        <w:kinsoku/>
        <w:overflowPunct/>
        <w:topLinePunct w:val="0"/>
        <w:autoSpaceDE w:val="0"/>
        <w:autoSpaceDN w:val="0"/>
        <w:bidi w:val="0"/>
        <w:adjustRightInd w:val="0"/>
        <w:snapToGrid w:val="0"/>
        <w:spacing w:line="360" w:lineRule="auto"/>
        <w:ind w:left="640" w:hanging="480" w:hangingChars="200"/>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共  页，第  页</w:t>
      </w:r>
    </w:p>
    <w:tbl>
      <w:tblPr>
        <w:tblStyle w:val="34"/>
        <w:tblW w:w="4997" w:type="pct"/>
        <w:jc w:val="center"/>
        <w:tblLayout w:type="autofit"/>
        <w:tblCellMar>
          <w:top w:w="0" w:type="dxa"/>
          <w:left w:w="28" w:type="dxa"/>
          <w:bottom w:w="0" w:type="dxa"/>
          <w:right w:w="28" w:type="dxa"/>
        </w:tblCellMar>
      </w:tblPr>
      <w:tblGrid>
        <w:gridCol w:w="759"/>
        <w:gridCol w:w="2543"/>
        <w:gridCol w:w="2375"/>
        <w:gridCol w:w="1429"/>
        <w:gridCol w:w="1345"/>
        <w:gridCol w:w="1345"/>
      </w:tblGrid>
      <w:tr w14:paraId="08F26CD3">
        <w:tblPrEx>
          <w:tblCellMar>
            <w:top w:w="0" w:type="dxa"/>
            <w:left w:w="28" w:type="dxa"/>
            <w:bottom w:w="0" w:type="dxa"/>
            <w:right w:w="28" w:type="dxa"/>
          </w:tblCellMar>
        </w:tblPrEx>
        <w:trPr>
          <w:trHeight w:val="586" w:hRule="atLeast"/>
          <w:jc w:val="center"/>
        </w:trPr>
        <w:tc>
          <w:tcPr>
            <w:tcW w:w="387" w:type="pct"/>
            <w:tcBorders>
              <w:top w:val="single" w:color="auto" w:sz="4" w:space="0"/>
              <w:left w:val="single" w:color="auto" w:sz="4" w:space="0"/>
              <w:bottom w:val="single" w:color="auto" w:sz="4" w:space="0"/>
              <w:right w:val="single" w:color="000000" w:sz="6" w:space="0"/>
            </w:tcBorders>
            <w:noWrap w:val="0"/>
            <w:vAlign w:val="center"/>
          </w:tcPr>
          <w:p w14:paraId="28F287AD">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97" w:type="pct"/>
            <w:tcBorders>
              <w:top w:val="single" w:color="000000" w:sz="6" w:space="0"/>
              <w:left w:val="nil"/>
              <w:bottom w:val="single" w:color="000000" w:sz="6" w:space="0"/>
              <w:right w:val="single" w:color="000000" w:sz="6" w:space="0"/>
            </w:tcBorders>
            <w:noWrap w:val="0"/>
            <w:vAlign w:val="center"/>
          </w:tcPr>
          <w:p w14:paraId="39E9A64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谈判文件商务要求</w:t>
            </w:r>
          </w:p>
        </w:tc>
        <w:tc>
          <w:tcPr>
            <w:tcW w:w="1211" w:type="pct"/>
            <w:tcBorders>
              <w:top w:val="single" w:color="000000" w:sz="6" w:space="0"/>
              <w:left w:val="nil"/>
              <w:bottom w:val="single" w:color="000000" w:sz="6" w:space="0"/>
              <w:right w:val="single" w:color="000000" w:sz="6" w:space="0"/>
            </w:tcBorders>
            <w:noWrap w:val="0"/>
            <w:vAlign w:val="center"/>
          </w:tcPr>
          <w:p w14:paraId="5587206C">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响应文件商务响应</w:t>
            </w:r>
          </w:p>
        </w:tc>
        <w:tc>
          <w:tcPr>
            <w:tcW w:w="729" w:type="pct"/>
            <w:tcBorders>
              <w:top w:val="single" w:color="000000" w:sz="6" w:space="0"/>
              <w:left w:val="nil"/>
              <w:bottom w:val="single" w:color="000000" w:sz="6" w:space="0"/>
              <w:right w:val="single" w:color="000000" w:sz="6" w:space="0"/>
            </w:tcBorders>
            <w:noWrap w:val="0"/>
            <w:vAlign w:val="center"/>
          </w:tcPr>
          <w:p w14:paraId="292AB38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是否偏离</w:t>
            </w:r>
          </w:p>
        </w:tc>
        <w:tc>
          <w:tcPr>
            <w:tcW w:w="686" w:type="pct"/>
            <w:tcBorders>
              <w:top w:val="single" w:color="000000" w:sz="6" w:space="0"/>
              <w:left w:val="nil"/>
              <w:bottom w:val="single" w:color="000000" w:sz="6" w:space="0"/>
              <w:right w:val="single" w:color="000000" w:sz="6" w:space="0"/>
            </w:tcBorders>
            <w:noWrap w:val="0"/>
            <w:vAlign w:val="center"/>
          </w:tcPr>
          <w:p w14:paraId="3520F8A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偏离简述</w:t>
            </w:r>
          </w:p>
        </w:tc>
        <w:tc>
          <w:tcPr>
            <w:tcW w:w="686" w:type="pct"/>
            <w:tcBorders>
              <w:top w:val="single" w:color="000000" w:sz="6" w:space="0"/>
              <w:left w:val="nil"/>
              <w:bottom w:val="single" w:color="000000" w:sz="6" w:space="0"/>
              <w:right w:val="single" w:color="000000" w:sz="6" w:space="0"/>
            </w:tcBorders>
            <w:noWrap w:val="0"/>
            <w:vAlign w:val="center"/>
          </w:tcPr>
          <w:p w14:paraId="4F26321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页码</w:t>
            </w:r>
          </w:p>
        </w:tc>
      </w:tr>
      <w:tr w14:paraId="7907BFC3">
        <w:tblPrEx>
          <w:tblCellMar>
            <w:top w:w="0" w:type="dxa"/>
            <w:left w:w="28" w:type="dxa"/>
            <w:bottom w:w="0" w:type="dxa"/>
            <w:right w:w="28" w:type="dxa"/>
          </w:tblCellMar>
        </w:tblPrEx>
        <w:trPr>
          <w:cantSplit/>
          <w:trHeight w:val="606" w:hRule="atLeast"/>
          <w:jc w:val="center"/>
        </w:trPr>
        <w:tc>
          <w:tcPr>
            <w:tcW w:w="387" w:type="pct"/>
            <w:tcBorders>
              <w:top w:val="single" w:color="auto" w:sz="4" w:space="0"/>
              <w:left w:val="single" w:color="auto" w:sz="4" w:space="0"/>
              <w:bottom w:val="single" w:color="auto" w:sz="4" w:space="0"/>
              <w:right w:val="single" w:color="000000" w:sz="6" w:space="0"/>
            </w:tcBorders>
            <w:noWrap w:val="0"/>
            <w:vAlign w:val="center"/>
          </w:tcPr>
          <w:p w14:paraId="40A6356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7" w:type="pct"/>
            <w:tcBorders>
              <w:top w:val="single" w:color="000000" w:sz="6" w:space="0"/>
              <w:left w:val="nil"/>
              <w:bottom w:val="single" w:color="000000" w:sz="6" w:space="0"/>
              <w:right w:val="single" w:color="000000" w:sz="6" w:space="0"/>
            </w:tcBorders>
            <w:noWrap w:val="0"/>
            <w:vAlign w:val="center"/>
          </w:tcPr>
          <w:p w14:paraId="644A866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11" w:type="pct"/>
            <w:tcBorders>
              <w:top w:val="single" w:color="000000" w:sz="6" w:space="0"/>
              <w:left w:val="nil"/>
              <w:bottom w:val="single" w:color="000000" w:sz="6" w:space="0"/>
              <w:right w:val="single" w:color="000000" w:sz="6" w:space="0"/>
            </w:tcBorders>
            <w:noWrap w:val="0"/>
            <w:vAlign w:val="center"/>
          </w:tcPr>
          <w:p w14:paraId="027CDA2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29" w:type="pct"/>
            <w:tcBorders>
              <w:top w:val="single" w:color="000000" w:sz="6" w:space="0"/>
              <w:left w:val="nil"/>
              <w:bottom w:val="single" w:color="000000" w:sz="6" w:space="0"/>
              <w:right w:val="single" w:color="000000" w:sz="6" w:space="0"/>
            </w:tcBorders>
            <w:noWrap w:val="0"/>
            <w:vAlign w:val="center"/>
          </w:tcPr>
          <w:p w14:paraId="7F92B4C5">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10FD3747">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27CD5EA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57CC5D08">
        <w:tblPrEx>
          <w:tblCellMar>
            <w:top w:w="0" w:type="dxa"/>
            <w:left w:w="28" w:type="dxa"/>
            <w:bottom w:w="0" w:type="dxa"/>
            <w:right w:w="28" w:type="dxa"/>
          </w:tblCellMar>
        </w:tblPrEx>
        <w:trPr>
          <w:cantSplit/>
          <w:trHeight w:val="607" w:hRule="atLeast"/>
          <w:jc w:val="center"/>
        </w:trPr>
        <w:tc>
          <w:tcPr>
            <w:tcW w:w="387" w:type="pct"/>
            <w:tcBorders>
              <w:top w:val="single" w:color="auto" w:sz="4" w:space="0"/>
              <w:left w:val="single" w:color="auto" w:sz="4" w:space="0"/>
              <w:bottom w:val="single" w:color="auto" w:sz="4" w:space="0"/>
              <w:right w:val="single" w:color="000000" w:sz="6" w:space="0"/>
            </w:tcBorders>
            <w:noWrap w:val="0"/>
            <w:vAlign w:val="center"/>
          </w:tcPr>
          <w:p w14:paraId="294F29E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97" w:type="pct"/>
            <w:tcBorders>
              <w:top w:val="single" w:color="000000" w:sz="6" w:space="0"/>
              <w:left w:val="nil"/>
              <w:bottom w:val="single" w:color="000000" w:sz="6" w:space="0"/>
              <w:right w:val="single" w:color="000000" w:sz="6" w:space="0"/>
            </w:tcBorders>
            <w:noWrap w:val="0"/>
            <w:vAlign w:val="center"/>
          </w:tcPr>
          <w:p w14:paraId="4CF34A2C">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11" w:type="pct"/>
            <w:tcBorders>
              <w:top w:val="single" w:color="000000" w:sz="6" w:space="0"/>
              <w:left w:val="nil"/>
              <w:bottom w:val="single" w:color="000000" w:sz="6" w:space="0"/>
              <w:right w:val="single" w:color="000000" w:sz="6" w:space="0"/>
            </w:tcBorders>
            <w:noWrap w:val="0"/>
            <w:vAlign w:val="center"/>
          </w:tcPr>
          <w:p w14:paraId="53A44D5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29" w:type="pct"/>
            <w:tcBorders>
              <w:top w:val="single" w:color="000000" w:sz="6" w:space="0"/>
              <w:left w:val="nil"/>
              <w:bottom w:val="single" w:color="000000" w:sz="6" w:space="0"/>
              <w:right w:val="single" w:color="000000" w:sz="6" w:space="0"/>
            </w:tcBorders>
            <w:noWrap w:val="0"/>
            <w:vAlign w:val="center"/>
          </w:tcPr>
          <w:p w14:paraId="1C660A87">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3CE30F8B">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0CCE7EE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77C5CBF9">
        <w:tblPrEx>
          <w:tblCellMar>
            <w:top w:w="0" w:type="dxa"/>
            <w:left w:w="28" w:type="dxa"/>
            <w:bottom w:w="0" w:type="dxa"/>
            <w:right w:w="28" w:type="dxa"/>
          </w:tblCellMar>
        </w:tblPrEx>
        <w:trPr>
          <w:cantSplit/>
          <w:trHeight w:val="606" w:hRule="atLeast"/>
          <w:jc w:val="center"/>
        </w:trPr>
        <w:tc>
          <w:tcPr>
            <w:tcW w:w="387" w:type="pct"/>
            <w:tcBorders>
              <w:top w:val="single" w:color="auto" w:sz="4" w:space="0"/>
              <w:left w:val="single" w:color="auto" w:sz="4" w:space="0"/>
              <w:bottom w:val="single" w:color="auto" w:sz="4" w:space="0"/>
              <w:right w:val="single" w:color="000000" w:sz="6" w:space="0"/>
            </w:tcBorders>
            <w:noWrap w:val="0"/>
            <w:vAlign w:val="center"/>
          </w:tcPr>
          <w:p w14:paraId="67A621BF">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97" w:type="pct"/>
            <w:tcBorders>
              <w:top w:val="single" w:color="000000" w:sz="6" w:space="0"/>
              <w:left w:val="nil"/>
              <w:bottom w:val="single" w:color="000000" w:sz="6" w:space="0"/>
              <w:right w:val="single" w:color="000000" w:sz="6" w:space="0"/>
            </w:tcBorders>
            <w:noWrap w:val="0"/>
            <w:vAlign w:val="center"/>
          </w:tcPr>
          <w:p w14:paraId="7FC8291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11" w:type="pct"/>
            <w:tcBorders>
              <w:top w:val="single" w:color="000000" w:sz="6" w:space="0"/>
              <w:left w:val="nil"/>
              <w:bottom w:val="single" w:color="000000" w:sz="6" w:space="0"/>
              <w:right w:val="single" w:color="000000" w:sz="6" w:space="0"/>
            </w:tcBorders>
            <w:noWrap w:val="0"/>
            <w:vAlign w:val="center"/>
          </w:tcPr>
          <w:p w14:paraId="66E3C68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29" w:type="pct"/>
            <w:tcBorders>
              <w:top w:val="single" w:color="000000" w:sz="6" w:space="0"/>
              <w:left w:val="nil"/>
              <w:bottom w:val="single" w:color="000000" w:sz="6" w:space="0"/>
              <w:right w:val="single" w:color="000000" w:sz="6" w:space="0"/>
            </w:tcBorders>
            <w:noWrap w:val="0"/>
            <w:vAlign w:val="center"/>
          </w:tcPr>
          <w:p w14:paraId="202AC21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38F32CD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5B2D3505">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45B49844">
        <w:trPr>
          <w:cantSplit/>
          <w:trHeight w:val="607" w:hRule="atLeast"/>
          <w:jc w:val="center"/>
        </w:trPr>
        <w:tc>
          <w:tcPr>
            <w:tcW w:w="387" w:type="pct"/>
            <w:tcBorders>
              <w:top w:val="single" w:color="auto" w:sz="4" w:space="0"/>
              <w:left w:val="single" w:color="auto" w:sz="4" w:space="0"/>
              <w:bottom w:val="single" w:color="auto" w:sz="4" w:space="0"/>
              <w:right w:val="single" w:color="000000" w:sz="6" w:space="0"/>
            </w:tcBorders>
            <w:noWrap w:val="0"/>
            <w:vAlign w:val="center"/>
          </w:tcPr>
          <w:p w14:paraId="17D0640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97" w:type="pct"/>
            <w:tcBorders>
              <w:top w:val="single" w:color="000000" w:sz="6" w:space="0"/>
              <w:left w:val="nil"/>
              <w:bottom w:val="single" w:color="000000" w:sz="6" w:space="0"/>
              <w:right w:val="single" w:color="000000" w:sz="6" w:space="0"/>
            </w:tcBorders>
            <w:noWrap w:val="0"/>
            <w:vAlign w:val="center"/>
          </w:tcPr>
          <w:p w14:paraId="2E16E6AF">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11" w:type="pct"/>
            <w:tcBorders>
              <w:top w:val="single" w:color="000000" w:sz="6" w:space="0"/>
              <w:left w:val="nil"/>
              <w:bottom w:val="single" w:color="000000" w:sz="6" w:space="0"/>
              <w:right w:val="single" w:color="000000" w:sz="6" w:space="0"/>
            </w:tcBorders>
            <w:noWrap w:val="0"/>
            <w:vAlign w:val="center"/>
          </w:tcPr>
          <w:p w14:paraId="1B8C497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29" w:type="pct"/>
            <w:tcBorders>
              <w:top w:val="single" w:color="000000" w:sz="6" w:space="0"/>
              <w:left w:val="nil"/>
              <w:bottom w:val="single" w:color="000000" w:sz="6" w:space="0"/>
              <w:right w:val="single" w:color="000000" w:sz="6" w:space="0"/>
            </w:tcBorders>
            <w:noWrap w:val="0"/>
            <w:vAlign w:val="center"/>
          </w:tcPr>
          <w:p w14:paraId="2D13429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1599DCF7">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38DF0286">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04259BA3">
        <w:tblPrEx>
          <w:tblCellMar>
            <w:top w:w="0" w:type="dxa"/>
            <w:left w:w="28" w:type="dxa"/>
            <w:bottom w:w="0" w:type="dxa"/>
            <w:right w:w="28" w:type="dxa"/>
          </w:tblCellMar>
        </w:tblPrEx>
        <w:trPr>
          <w:cantSplit/>
          <w:trHeight w:val="606" w:hRule="atLeast"/>
          <w:jc w:val="center"/>
        </w:trPr>
        <w:tc>
          <w:tcPr>
            <w:tcW w:w="387" w:type="pct"/>
            <w:tcBorders>
              <w:top w:val="single" w:color="auto" w:sz="4" w:space="0"/>
              <w:left w:val="single" w:color="auto" w:sz="4" w:space="0"/>
              <w:bottom w:val="single" w:color="auto" w:sz="4" w:space="0"/>
              <w:right w:val="single" w:color="000000" w:sz="6" w:space="0"/>
            </w:tcBorders>
            <w:noWrap w:val="0"/>
            <w:vAlign w:val="center"/>
          </w:tcPr>
          <w:p w14:paraId="7D791E3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297" w:type="pct"/>
            <w:tcBorders>
              <w:top w:val="single" w:color="000000" w:sz="6" w:space="0"/>
              <w:left w:val="nil"/>
              <w:bottom w:val="single" w:color="000000" w:sz="6" w:space="0"/>
              <w:right w:val="single" w:color="000000" w:sz="6" w:space="0"/>
            </w:tcBorders>
            <w:noWrap w:val="0"/>
            <w:vAlign w:val="center"/>
          </w:tcPr>
          <w:p w14:paraId="3A923D4D">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11" w:type="pct"/>
            <w:tcBorders>
              <w:top w:val="single" w:color="000000" w:sz="6" w:space="0"/>
              <w:left w:val="nil"/>
              <w:bottom w:val="single" w:color="000000" w:sz="6" w:space="0"/>
              <w:right w:val="single" w:color="000000" w:sz="6" w:space="0"/>
            </w:tcBorders>
            <w:noWrap w:val="0"/>
            <w:vAlign w:val="center"/>
          </w:tcPr>
          <w:p w14:paraId="5486028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29" w:type="pct"/>
            <w:tcBorders>
              <w:top w:val="single" w:color="000000" w:sz="6" w:space="0"/>
              <w:left w:val="nil"/>
              <w:bottom w:val="single" w:color="000000" w:sz="6" w:space="0"/>
              <w:right w:val="single" w:color="000000" w:sz="6" w:space="0"/>
            </w:tcBorders>
            <w:noWrap w:val="0"/>
            <w:vAlign w:val="center"/>
          </w:tcPr>
          <w:p w14:paraId="08B4F0C6">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0FBDC4A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4F15730F">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1F755ED4">
        <w:tblPrEx>
          <w:tblCellMar>
            <w:top w:w="0" w:type="dxa"/>
            <w:left w:w="28" w:type="dxa"/>
            <w:bottom w:w="0" w:type="dxa"/>
            <w:right w:w="28" w:type="dxa"/>
          </w:tblCellMar>
        </w:tblPrEx>
        <w:trPr>
          <w:cantSplit/>
          <w:trHeight w:val="607" w:hRule="atLeast"/>
          <w:jc w:val="center"/>
        </w:trPr>
        <w:tc>
          <w:tcPr>
            <w:tcW w:w="387" w:type="pct"/>
            <w:tcBorders>
              <w:top w:val="single" w:color="auto" w:sz="4" w:space="0"/>
              <w:left w:val="single" w:color="auto" w:sz="4" w:space="0"/>
              <w:bottom w:val="single" w:color="auto" w:sz="4" w:space="0"/>
              <w:right w:val="single" w:color="000000" w:sz="6" w:space="0"/>
            </w:tcBorders>
            <w:noWrap w:val="0"/>
            <w:vAlign w:val="center"/>
          </w:tcPr>
          <w:p w14:paraId="3D390F27">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297" w:type="pct"/>
            <w:tcBorders>
              <w:top w:val="single" w:color="000000" w:sz="6" w:space="0"/>
              <w:left w:val="nil"/>
              <w:bottom w:val="single" w:color="000000" w:sz="6" w:space="0"/>
              <w:right w:val="single" w:color="000000" w:sz="6" w:space="0"/>
            </w:tcBorders>
            <w:noWrap w:val="0"/>
            <w:vAlign w:val="center"/>
          </w:tcPr>
          <w:p w14:paraId="71A6C7B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11" w:type="pct"/>
            <w:tcBorders>
              <w:top w:val="single" w:color="000000" w:sz="6" w:space="0"/>
              <w:left w:val="nil"/>
              <w:bottom w:val="single" w:color="000000" w:sz="6" w:space="0"/>
              <w:right w:val="single" w:color="000000" w:sz="6" w:space="0"/>
            </w:tcBorders>
            <w:noWrap w:val="0"/>
            <w:vAlign w:val="center"/>
          </w:tcPr>
          <w:p w14:paraId="67793C7D">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29" w:type="pct"/>
            <w:tcBorders>
              <w:top w:val="single" w:color="000000" w:sz="6" w:space="0"/>
              <w:left w:val="nil"/>
              <w:bottom w:val="single" w:color="000000" w:sz="6" w:space="0"/>
              <w:right w:val="single" w:color="000000" w:sz="6" w:space="0"/>
            </w:tcBorders>
            <w:noWrap w:val="0"/>
            <w:vAlign w:val="center"/>
          </w:tcPr>
          <w:p w14:paraId="3A0D9D1B">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557577B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0FB28448">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72CE06CD">
        <w:tblPrEx>
          <w:tblCellMar>
            <w:top w:w="0" w:type="dxa"/>
            <w:left w:w="28" w:type="dxa"/>
            <w:bottom w:w="0" w:type="dxa"/>
            <w:right w:w="28" w:type="dxa"/>
          </w:tblCellMar>
        </w:tblPrEx>
        <w:trPr>
          <w:cantSplit/>
          <w:trHeight w:val="606" w:hRule="atLeast"/>
          <w:jc w:val="center"/>
        </w:trPr>
        <w:tc>
          <w:tcPr>
            <w:tcW w:w="387" w:type="pct"/>
            <w:tcBorders>
              <w:top w:val="single" w:color="auto" w:sz="4" w:space="0"/>
              <w:left w:val="single" w:color="auto" w:sz="4" w:space="0"/>
              <w:bottom w:val="single" w:color="auto" w:sz="4" w:space="0"/>
              <w:right w:val="single" w:color="000000" w:sz="6" w:space="0"/>
            </w:tcBorders>
            <w:noWrap w:val="0"/>
            <w:vAlign w:val="center"/>
          </w:tcPr>
          <w:p w14:paraId="08B58927">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297" w:type="pct"/>
            <w:tcBorders>
              <w:top w:val="single" w:color="000000" w:sz="6" w:space="0"/>
              <w:left w:val="nil"/>
              <w:bottom w:val="single" w:color="000000" w:sz="6" w:space="0"/>
              <w:right w:val="single" w:color="000000" w:sz="6" w:space="0"/>
            </w:tcBorders>
            <w:noWrap w:val="0"/>
            <w:vAlign w:val="center"/>
          </w:tcPr>
          <w:p w14:paraId="5F26F955">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11" w:type="pct"/>
            <w:tcBorders>
              <w:top w:val="single" w:color="000000" w:sz="6" w:space="0"/>
              <w:left w:val="nil"/>
              <w:bottom w:val="single" w:color="000000" w:sz="6" w:space="0"/>
              <w:right w:val="single" w:color="000000" w:sz="6" w:space="0"/>
            </w:tcBorders>
            <w:noWrap w:val="0"/>
            <w:vAlign w:val="center"/>
          </w:tcPr>
          <w:p w14:paraId="6B52372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29" w:type="pct"/>
            <w:tcBorders>
              <w:top w:val="single" w:color="000000" w:sz="6" w:space="0"/>
              <w:left w:val="nil"/>
              <w:bottom w:val="single" w:color="000000" w:sz="6" w:space="0"/>
              <w:right w:val="single" w:color="000000" w:sz="6" w:space="0"/>
            </w:tcBorders>
            <w:noWrap w:val="0"/>
            <w:vAlign w:val="center"/>
          </w:tcPr>
          <w:p w14:paraId="76F39F38">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614C788F">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701940ED">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2F90C423">
        <w:tblPrEx>
          <w:tblCellMar>
            <w:top w:w="0" w:type="dxa"/>
            <w:left w:w="28" w:type="dxa"/>
            <w:bottom w:w="0" w:type="dxa"/>
            <w:right w:w="28" w:type="dxa"/>
          </w:tblCellMar>
        </w:tblPrEx>
        <w:trPr>
          <w:cantSplit/>
          <w:trHeight w:val="607" w:hRule="atLeast"/>
          <w:jc w:val="center"/>
        </w:trPr>
        <w:tc>
          <w:tcPr>
            <w:tcW w:w="387" w:type="pct"/>
            <w:tcBorders>
              <w:top w:val="single" w:color="auto" w:sz="4" w:space="0"/>
              <w:left w:val="single" w:color="auto" w:sz="4" w:space="0"/>
              <w:bottom w:val="single" w:color="auto" w:sz="4" w:space="0"/>
              <w:right w:val="single" w:color="000000" w:sz="6" w:space="0"/>
            </w:tcBorders>
            <w:noWrap w:val="0"/>
            <w:vAlign w:val="center"/>
          </w:tcPr>
          <w:p w14:paraId="3EBC12A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297" w:type="pct"/>
            <w:tcBorders>
              <w:top w:val="single" w:color="000000" w:sz="6" w:space="0"/>
              <w:left w:val="nil"/>
              <w:bottom w:val="single" w:color="000000" w:sz="6" w:space="0"/>
              <w:right w:val="single" w:color="000000" w:sz="6" w:space="0"/>
            </w:tcBorders>
            <w:noWrap w:val="0"/>
            <w:vAlign w:val="center"/>
          </w:tcPr>
          <w:p w14:paraId="06F1F90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11" w:type="pct"/>
            <w:tcBorders>
              <w:top w:val="single" w:color="000000" w:sz="6" w:space="0"/>
              <w:left w:val="nil"/>
              <w:bottom w:val="single" w:color="000000" w:sz="6" w:space="0"/>
              <w:right w:val="single" w:color="000000" w:sz="6" w:space="0"/>
            </w:tcBorders>
            <w:noWrap w:val="0"/>
            <w:vAlign w:val="center"/>
          </w:tcPr>
          <w:p w14:paraId="20AED0A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29" w:type="pct"/>
            <w:tcBorders>
              <w:top w:val="single" w:color="000000" w:sz="6" w:space="0"/>
              <w:left w:val="nil"/>
              <w:bottom w:val="single" w:color="000000" w:sz="6" w:space="0"/>
              <w:right w:val="single" w:color="000000" w:sz="6" w:space="0"/>
            </w:tcBorders>
            <w:noWrap w:val="0"/>
            <w:vAlign w:val="center"/>
          </w:tcPr>
          <w:p w14:paraId="5885DBED">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407C96E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86" w:type="pct"/>
            <w:tcBorders>
              <w:top w:val="single" w:color="000000" w:sz="6" w:space="0"/>
              <w:left w:val="nil"/>
              <w:bottom w:val="single" w:color="000000" w:sz="6" w:space="0"/>
              <w:right w:val="single" w:color="000000" w:sz="6" w:space="0"/>
            </w:tcBorders>
            <w:noWrap w:val="0"/>
            <w:vAlign w:val="center"/>
          </w:tcPr>
          <w:p w14:paraId="2B387778">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bl>
    <w:p w14:paraId="024B5474">
      <w:pPr>
        <w:keepLines w:val="0"/>
        <w:shd w:val="clear" w:color="auto" w:fill="auto"/>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注：1.是否偏离填写：无偏离、正偏离、负偏离；</w:t>
      </w:r>
    </w:p>
    <w:p w14:paraId="7AEC4AA9">
      <w:pPr>
        <w:keepLines w:val="0"/>
        <w:numPr>
          <w:ilvl w:val="0"/>
          <w:numId w:val="4"/>
        </w:numPr>
        <w:shd w:val="clear" w:color="auto" w:fill="auto"/>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表格不够用，各供应商可按此表复制；</w:t>
      </w:r>
    </w:p>
    <w:p w14:paraId="6612DECE">
      <w:pPr>
        <w:pStyle w:val="18"/>
        <w:keepLines w:val="0"/>
        <w:numPr>
          <w:ilvl w:val="0"/>
          <w:numId w:val="4"/>
        </w:numPr>
        <w:shd w:val="clear" w:color="auto" w:fill="auto"/>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商务要求参照谈判文件第五部分填写</w:t>
      </w:r>
      <w:r>
        <w:rPr>
          <w:rFonts w:hint="eastAsia" w:ascii="宋体" w:hAnsi="宋体" w:eastAsia="宋体" w:cs="宋体"/>
          <w:sz w:val="24"/>
          <w:szCs w:val="24"/>
          <w:highlight w:val="none"/>
          <w:lang w:eastAsia="zh-CN"/>
        </w:rPr>
        <w:t>；</w:t>
      </w:r>
    </w:p>
    <w:p w14:paraId="10E8A5DC">
      <w:pPr>
        <w:keepLines w:val="0"/>
        <w:shd w:val="clear" w:color="auto" w:fill="auto"/>
        <w:kinsoku/>
        <w:overflowPunct/>
        <w:topLinePunct w:val="0"/>
        <w:bidi w:val="0"/>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4.若有偏离应按竞争性谈判文件要求全部体现在偏离表中，否则视为无偏离。</w:t>
      </w:r>
    </w:p>
    <w:p w14:paraId="2000BE70">
      <w:pPr>
        <w:keepLines w:val="0"/>
        <w:shd w:val="clear" w:color="auto" w:fill="auto"/>
        <w:kinsoku/>
        <w:overflowPunct/>
        <w:topLinePunct w:val="0"/>
        <w:bidi w:val="0"/>
        <w:spacing w:line="360" w:lineRule="auto"/>
        <w:outlineLvl w:val="9"/>
        <w:rPr>
          <w:rFonts w:hint="eastAsia" w:ascii="宋体" w:hAnsi="宋体" w:eastAsia="宋体" w:cs="宋体"/>
          <w:sz w:val="24"/>
          <w:szCs w:val="24"/>
          <w:highlight w:val="none"/>
        </w:rPr>
      </w:pPr>
    </w:p>
    <w:p w14:paraId="7D74B216">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p>
    <w:p w14:paraId="428B8424">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法定代表人/授权代表（签字）：</w:t>
      </w:r>
      <w:r>
        <w:rPr>
          <w:rFonts w:hint="eastAsia" w:ascii="宋体" w:hAnsi="宋体" w:eastAsia="宋体" w:cs="宋体"/>
          <w:sz w:val="24"/>
          <w:szCs w:val="24"/>
          <w:highlight w:val="none"/>
          <w:u w:val="single"/>
          <w:lang w:val="en-US" w:eastAsia="zh-CN"/>
        </w:rPr>
        <w:t xml:space="preserve">          </w:t>
      </w:r>
    </w:p>
    <w:p w14:paraId="1A5E7B40">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996990F">
      <w:pPr>
        <w:keepLines w:val="0"/>
        <w:shd w:val="clear" w:color="auto" w:fill="auto"/>
        <w:kinsoku/>
        <w:overflowPunct/>
        <w:topLinePunct w:val="0"/>
        <w:bidi w:val="0"/>
        <w:adjustRightInd w:val="0"/>
        <w:snapToGrid w:val="0"/>
        <w:spacing w:line="360" w:lineRule="auto"/>
        <w:jc w:val="center"/>
        <w:outlineLvl w:val="9"/>
        <w:rPr>
          <w:rFonts w:hint="eastAsia" w:ascii="宋体" w:hAnsi="宋体" w:eastAsia="宋体" w:cs="宋体"/>
          <w:b/>
          <w:bCs/>
          <w:sz w:val="32"/>
          <w:szCs w:val="32"/>
          <w:highlight w:val="none"/>
        </w:rPr>
      </w:pPr>
      <w:r>
        <w:rPr>
          <w:rFonts w:hint="eastAsia" w:ascii="宋体" w:hAnsi="宋体" w:eastAsia="宋体" w:cs="宋体"/>
          <w:bCs/>
          <w:kern w:val="0"/>
          <w:highlight w:val="none"/>
        </w:rPr>
        <w:br w:type="page"/>
      </w:r>
      <w:r>
        <w:rPr>
          <w:rFonts w:hint="eastAsia" w:ascii="宋体" w:hAnsi="宋体" w:eastAsia="宋体" w:cs="宋体"/>
          <w:b/>
          <w:bCs w:val="0"/>
          <w:sz w:val="32"/>
          <w:szCs w:val="32"/>
          <w:highlight w:val="none"/>
          <w:lang w:val="en-US" w:eastAsia="zh-CN"/>
        </w:rPr>
        <w:t>技术</w:t>
      </w:r>
      <w:r>
        <w:rPr>
          <w:rFonts w:hint="eastAsia" w:ascii="宋体" w:hAnsi="宋体" w:eastAsia="宋体" w:cs="宋体"/>
          <w:b/>
          <w:bCs w:val="0"/>
          <w:sz w:val="32"/>
          <w:szCs w:val="32"/>
          <w:highlight w:val="none"/>
        </w:rPr>
        <w:t>要求偏差表</w:t>
      </w:r>
    </w:p>
    <w:p w14:paraId="0B90C01C">
      <w:pPr>
        <w:keepLines w:val="0"/>
        <w:shd w:val="clear" w:color="auto" w:fill="auto"/>
        <w:kinsoku/>
        <w:overflowPunct/>
        <w:topLinePunct w:val="0"/>
        <w:autoSpaceDE w:val="0"/>
        <w:autoSpaceDN w:val="0"/>
        <w:bidi w:val="0"/>
        <w:adjustRightInd w:val="0"/>
        <w:snapToGrid w:val="0"/>
        <w:spacing w:line="360" w:lineRule="auto"/>
        <w:ind w:left="640" w:hanging="480" w:hangingChars="200"/>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共  页，第  页</w:t>
      </w:r>
    </w:p>
    <w:tbl>
      <w:tblPr>
        <w:tblStyle w:val="34"/>
        <w:tblW w:w="4998" w:type="pct"/>
        <w:jc w:val="center"/>
        <w:tblLayout w:type="autofit"/>
        <w:tblCellMar>
          <w:top w:w="0" w:type="dxa"/>
          <w:left w:w="28" w:type="dxa"/>
          <w:bottom w:w="0" w:type="dxa"/>
          <w:right w:w="28" w:type="dxa"/>
        </w:tblCellMar>
      </w:tblPr>
      <w:tblGrid>
        <w:gridCol w:w="756"/>
        <w:gridCol w:w="2535"/>
        <w:gridCol w:w="2368"/>
        <w:gridCol w:w="1327"/>
        <w:gridCol w:w="1406"/>
        <w:gridCol w:w="1406"/>
      </w:tblGrid>
      <w:tr w14:paraId="66F6C1B1">
        <w:tblPrEx>
          <w:tblCellMar>
            <w:top w:w="0" w:type="dxa"/>
            <w:left w:w="28" w:type="dxa"/>
            <w:bottom w:w="0" w:type="dxa"/>
            <w:right w:w="28" w:type="dxa"/>
          </w:tblCellMar>
        </w:tblPrEx>
        <w:trPr>
          <w:trHeight w:val="586" w:hRule="atLeast"/>
          <w:jc w:val="center"/>
        </w:trPr>
        <w:tc>
          <w:tcPr>
            <w:tcW w:w="386" w:type="pct"/>
            <w:tcBorders>
              <w:top w:val="single" w:color="auto" w:sz="4" w:space="0"/>
              <w:left w:val="single" w:color="auto" w:sz="4" w:space="0"/>
              <w:bottom w:val="single" w:color="auto" w:sz="4" w:space="0"/>
              <w:right w:val="single" w:color="000000" w:sz="6" w:space="0"/>
            </w:tcBorders>
            <w:noWrap w:val="0"/>
            <w:vAlign w:val="center"/>
          </w:tcPr>
          <w:p w14:paraId="1063710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93" w:type="pct"/>
            <w:tcBorders>
              <w:top w:val="single" w:color="000000" w:sz="6" w:space="0"/>
              <w:left w:val="nil"/>
              <w:bottom w:val="single" w:color="000000" w:sz="6" w:space="0"/>
              <w:right w:val="single" w:color="000000" w:sz="6" w:space="0"/>
            </w:tcBorders>
            <w:noWrap w:val="0"/>
            <w:vAlign w:val="center"/>
          </w:tcPr>
          <w:p w14:paraId="0DCEEFC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谈判文件</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要求</w:t>
            </w:r>
          </w:p>
        </w:tc>
        <w:tc>
          <w:tcPr>
            <w:tcW w:w="1208" w:type="pct"/>
            <w:tcBorders>
              <w:top w:val="single" w:color="000000" w:sz="6" w:space="0"/>
              <w:left w:val="nil"/>
              <w:bottom w:val="single" w:color="000000" w:sz="6" w:space="0"/>
              <w:right w:val="single" w:color="000000" w:sz="6" w:space="0"/>
            </w:tcBorders>
            <w:noWrap w:val="0"/>
            <w:vAlign w:val="center"/>
          </w:tcPr>
          <w:p w14:paraId="6FC0553D">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响应文件</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响应</w:t>
            </w:r>
          </w:p>
        </w:tc>
        <w:tc>
          <w:tcPr>
            <w:tcW w:w="677" w:type="pct"/>
            <w:tcBorders>
              <w:top w:val="single" w:color="000000" w:sz="6" w:space="0"/>
              <w:left w:val="nil"/>
              <w:bottom w:val="single" w:color="000000" w:sz="6" w:space="0"/>
              <w:right w:val="single" w:color="000000" w:sz="6" w:space="0"/>
            </w:tcBorders>
            <w:noWrap w:val="0"/>
            <w:vAlign w:val="center"/>
          </w:tcPr>
          <w:p w14:paraId="0786FA5B">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是否偏离</w:t>
            </w:r>
          </w:p>
        </w:tc>
        <w:tc>
          <w:tcPr>
            <w:tcW w:w="717" w:type="pct"/>
            <w:tcBorders>
              <w:top w:val="single" w:color="000000" w:sz="6" w:space="0"/>
              <w:left w:val="nil"/>
              <w:bottom w:val="single" w:color="000000" w:sz="6" w:space="0"/>
              <w:right w:val="single" w:color="000000" w:sz="6" w:space="0"/>
            </w:tcBorders>
            <w:noWrap w:val="0"/>
            <w:vAlign w:val="center"/>
          </w:tcPr>
          <w:p w14:paraId="614C4DB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偏离简述</w:t>
            </w:r>
          </w:p>
        </w:tc>
        <w:tc>
          <w:tcPr>
            <w:tcW w:w="717" w:type="pct"/>
            <w:tcBorders>
              <w:top w:val="single" w:color="000000" w:sz="6" w:space="0"/>
              <w:left w:val="nil"/>
              <w:bottom w:val="single" w:color="000000" w:sz="6" w:space="0"/>
              <w:right w:val="single" w:color="000000" w:sz="6" w:space="0"/>
            </w:tcBorders>
            <w:noWrap w:val="0"/>
            <w:vAlign w:val="center"/>
          </w:tcPr>
          <w:p w14:paraId="5184BDF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页码</w:t>
            </w:r>
          </w:p>
        </w:tc>
      </w:tr>
      <w:tr w14:paraId="333E082F">
        <w:tblPrEx>
          <w:tblCellMar>
            <w:top w:w="0" w:type="dxa"/>
            <w:left w:w="28" w:type="dxa"/>
            <w:bottom w:w="0" w:type="dxa"/>
            <w:right w:w="28" w:type="dxa"/>
          </w:tblCellMar>
        </w:tblPrEx>
        <w:trPr>
          <w:cantSplit/>
          <w:trHeight w:val="606" w:hRule="atLeast"/>
          <w:jc w:val="center"/>
        </w:trPr>
        <w:tc>
          <w:tcPr>
            <w:tcW w:w="386" w:type="pct"/>
            <w:tcBorders>
              <w:top w:val="single" w:color="auto" w:sz="4" w:space="0"/>
              <w:left w:val="single" w:color="auto" w:sz="4" w:space="0"/>
              <w:bottom w:val="single" w:color="auto" w:sz="4" w:space="0"/>
              <w:right w:val="single" w:color="000000" w:sz="6" w:space="0"/>
            </w:tcBorders>
            <w:noWrap w:val="0"/>
            <w:vAlign w:val="center"/>
          </w:tcPr>
          <w:p w14:paraId="704995D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3" w:type="pct"/>
            <w:tcBorders>
              <w:top w:val="single" w:color="000000" w:sz="6" w:space="0"/>
              <w:left w:val="nil"/>
              <w:bottom w:val="single" w:color="000000" w:sz="6" w:space="0"/>
              <w:right w:val="single" w:color="000000" w:sz="6" w:space="0"/>
            </w:tcBorders>
            <w:noWrap w:val="0"/>
            <w:vAlign w:val="center"/>
          </w:tcPr>
          <w:p w14:paraId="2841BC2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08" w:type="pct"/>
            <w:tcBorders>
              <w:top w:val="single" w:color="000000" w:sz="6" w:space="0"/>
              <w:left w:val="nil"/>
              <w:bottom w:val="single" w:color="000000" w:sz="6" w:space="0"/>
              <w:right w:val="single" w:color="000000" w:sz="6" w:space="0"/>
            </w:tcBorders>
            <w:noWrap w:val="0"/>
            <w:vAlign w:val="center"/>
          </w:tcPr>
          <w:p w14:paraId="7721483B">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77" w:type="pct"/>
            <w:tcBorders>
              <w:top w:val="single" w:color="000000" w:sz="6" w:space="0"/>
              <w:left w:val="nil"/>
              <w:bottom w:val="single" w:color="000000" w:sz="6" w:space="0"/>
              <w:right w:val="single" w:color="000000" w:sz="6" w:space="0"/>
            </w:tcBorders>
            <w:noWrap w:val="0"/>
            <w:vAlign w:val="center"/>
          </w:tcPr>
          <w:p w14:paraId="238BBF1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742557F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4B017AB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08F6BAC8">
        <w:tblPrEx>
          <w:tblCellMar>
            <w:top w:w="0" w:type="dxa"/>
            <w:left w:w="28" w:type="dxa"/>
            <w:bottom w:w="0" w:type="dxa"/>
            <w:right w:w="28" w:type="dxa"/>
          </w:tblCellMar>
        </w:tblPrEx>
        <w:trPr>
          <w:cantSplit/>
          <w:trHeight w:val="607" w:hRule="atLeast"/>
          <w:jc w:val="center"/>
        </w:trPr>
        <w:tc>
          <w:tcPr>
            <w:tcW w:w="386" w:type="pct"/>
            <w:tcBorders>
              <w:top w:val="single" w:color="auto" w:sz="4" w:space="0"/>
              <w:left w:val="single" w:color="auto" w:sz="4" w:space="0"/>
              <w:bottom w:val="single" w:color="auto" w:sz="4" w:space="0"/>
              <w:right w:val="single" w:color="000000" w:sz="6" w:space="0"/>
            </w:tcBorders>
            <w:noWrap w:val="0"/>
            <w:vAlign w:val="center"/>
          </w:tcPr>
          <w:p w14:paraId="0C41E6A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93" w:type="pct"/>
            <w:tcBorders>
              <w:top w:val="single" w:color="000000" w:sz="6" w:space="0"/>
              <w:left w:val="nil"/>
              <w:bottom w:val="single" w:color="000000" w:sz="6" w:space="0"/>
              <w:right w:val="single" w:color="000000" w:sz="6" w:space="0"/>
            </w:tcBorders>
            <w:noWrap w:val="0"/>
            <w:vAlign w:val="center"/>
          </w:tcPr>
          <w:p w14:paraId="772189F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08" w:type="pct"/>
            <w:tcBorders>
              <w:top w:val="single" w:color="000000" w:sz="6" w:space="0"/>
              <w:left w:val="nil"/>
              <w:bottom w:val="single" w:color="000000" w:sz="6" w:space="0"/>
              <w:right w:val="single" w:color="000000" w:sz="6" w:space="0"/>
            </w:tcBorders>
            <w:noWrap w:val="0"/>
            <w:vAlign w:val="center"/>
          </w:tcPr>
          <w:p w14:paraId="45B1140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77" w:type="pct"/>
            <w:tcBorders>
              <w:top w:val="single" w:color="000000" w:sz="6" w:space="0"/>
              <w:left w:val="nil"/>
              <w:bottom w:val="single" w:color="000000" w:sz="6" w:space="0"/>
              <w:right w:val="single" w:color="000000" w:sz="6" w:space="0"/>
            </w:tcBorders>
            <w:noWrap w:val="0"/>
            <w:vAlign w:val="center"/>
          </w:tcPr>
          <w:p w14:paraId="6BABF79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69E4ECA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19081C78">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336FD99D">
        <w:tblPrEx>
          <w:tblCellMar>
            <w:top w:w="0" w:type="dxa"/>
            <w:left w:w="28" w:type="dxa"/>
            <w:bottom w:w="0" w:type="dxa"/>
            <w:right w:w="28" w:type="dxa"/>
          </w:tblCellMar>
        </w:tblPrEx>
        <w:trPr>
          <w:cantSplit/>
          <w:trHeight w:val="606" w:hRule="atLeast"/>
          <w:jc w:val="center"/>
        </w:trPr>
        <w:tc>
          <w:tcPr>
            <w:tcW w:w="386" w:type="pct"/>
            <w:tcBorders>
              <w:top w:val="single" w:color="auto" w:sz="4" w:space="0"/>
              <w:left w:val="single" w:color="auto" w:sz="4" w:space="0"/>
              <w:bottom w:val="single" w:color="auto" w:sz="4" w:space="0"/>
              <w:right w:val="single" w:color="000000" w:sz="6" w:space="0"/>
            </w:tcBorders>
            <w:noWrap w:val="0"/>
            <w:vAlign w:val="center"/>
          </w:tcPr>
          <w:p w14:paraId="4D710AC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93" w:type="pct"/>
            <w:tcBorders>
              <w:top w:val="single" w:color="000000" w:sz="6" w:space="0"/>
              <w:left w:val="nil"/>
              <w:bottom w:val="single" w:color="000000" w:sz="6" w:space="0"/>
              <w:right w:val="single" w:color="000000" w:sz="6" w:space="0"/>
            </w:tcBorders>
            <w:noWrap w:val="0"/>
            <w:vAlign w:val="center"/>
          </w:tcPr>
          <w:p w14:paraId="13B571EB">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08" w:type="pct"/>
            <w:tcBorders>
              <w:top w:val="single" w:color="000000" w:sz="6" w:space="0"/>
              <w:left w:val="nil"/>
              <w:bottom w:val="single" w:color="000000" w:sz="6" w:space="0"/>
              <w:right w:val="single" w:color="000000" w:sz="6" w:space="0"/>
            </w:tcBorders>
            <w:noWrap w:val="0"/>
            <w:vAlign w:val="center"/>
          </w:tcPr>
          <w:p w14:paraId="08530EBD">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77" w:type="pct"/>
            <w:tcBorders>
              <w:top w:val="single" w:color="000000" w:sz="6" w:space="0"/>
              <w:left w:val="nil"/>
              <w:bottom w:val="single" w:color="000000" w:sz="6" w:space="0"/>
              <w:right w:val="single" w:color="000000" w:sz="6" w:space="0"/>
            </w:tcBorders>
            <w:noWrap w:val="0"/>
            <w:vAlign w:val="center"/>
          </w:tcPr>
          <w:p w14:paraId="2A199B6B">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7825FBD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3399EA0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29945236">
        <w:tblPrEx>
          <w:tblCellMar>
            <w:top w:w="0" w:type="dxa"/>
            <w:left w:w="28" w:type="dxa"/>
            <w:bottom w:w="0" w:type="dxa"/>
            <w:right w:w="28" w:type="dxa"/>
          </w:tblCellMar>
        </w:tblPrEx>
        <w:trPr>
          <w:cantSplit/>
          <w:trHeight w:val="607" w:hRule="atLeast"/>
          <w:jc w:val="center"/>
        </w:trPr>
        <w:tc>
          <w:tcPr>
            <w:tcW w:w="386" w:type="pct"/>
            <w:tcBorders>
              <w:top w:val="single" w:color="auto" w:sz="4" w:space="0"/>
              <w:left w:val="single" w:color="auto" w:sz="4" w:space="0"/>
              <w:bottom w:val="single" w:color="auto" w:sz="4" w:space="0"/>
              <w:right w:val="single" w:color="000000" w:sz="6" w:space="0"/>
            </w:tcBorders>
            <w:noWrap w:val="0"/>
            <w:vAlign w:val="center"/>
          </w:tcPr>
          <w:p w14:paraId="4A86708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93" w:type="pct"/>
            <w:tcBorders>
              <w:top w:val="single" w:color="000000" w:sz="6" w:space="0"/>
              <w:left w:val="nil"/>
              <w:bottom w:val="single" w:color="000000" w:sz="6" w:space="0"/>
              <w:right w:val="single" w:color="000000" w:sz="6" w:space="0"/>
            </w:tcBorders>
            <w:noWrap w:val="0"/>
            <w:vAlign w:val="center"/>
          </w:tcPr>
          <w:p w14:paraId="716BC928">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08" w:type="pct"/>
            <w:tcBorders>
              <w:top w:val="single" w:color="000000" w:sz="6" w:space="0"/>
              <w:left w:val="nil"/>
              <w:bottom w:val="single" w:color="000000" w:sz="6" w:space="0"/>
              <w:right w:val="single" w:color="000000" w:sz="6" w:space="0"/>
            </w:tcBorders>
            <w:noWrap w:val="0"/>
            <w:vAlign w:val="center"/>
          </w:tcPr>
          <w:p w14:paraId="621A78E7">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77" w:type="pct"/>
            <w:tcBorders>
              <w:top w:val="single" w:color="000000" w:sz="6" w:space="0"/>
              <w:left w:val="nil"/>
              <w:bottom w:val="single" w:color="000000" w:sz="6" w:space="0"/>
              <w:right w:val="single" w:color="000000" w:sz="6" w:space="0"/>
            </w:tcBorders>
            <w:noWrap w:val="0"/>
            <w:vAlign w:val="center"/>
          </w:tcPr>
          <w:p w14:paraId="6D7CBB7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6093BD8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7341D32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029B543A">
        <w:tblPrEx>
          <w:tblCellMar>
            <w:top w:w="0" w:type="dxa"/>
            <w:left w:w="28" w:type="dxa"/>
            <w:bottom w:w="0" w:type="dxa"/>
            <w:right w:w="28" w:type="dxa"/>
          </w:tblCellMar>
        </w:tblPrEx>
        <w:trPr>
          <w:cantSplit/>
          <w:trHeight w:val="606" w:hRule="atLeast"/>
          <w:jc w:val="center"/>
        </w:trPr>
        <w:tc>
          <w:tcPr>
            <w:tcW w:w="386" w:type="pct"/>
            <w:tcBorders>
              <w:top w:val="single" w:color="auto" w:sz="4" w:space="0"/>
              <w:left w:val="single" w:color="auto" w:sz="4" w:space="0"/>
              <w:bottom w:val="single" w:color="auto" w:sz="4" w:space="0"/>
              <w:right w:val="single" w:color="000000" w:sz="6" w:space="0"/>
            </w:tcBorders>
            <w:noWrap w:val="0"/>
            <w:vAlign w:val="center"/>
          </w:tcPr>
          <w:p w14:paraId="3265871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293" w:type="pct"/>
            <w:tcBorders>
              <w:top w:val="single" w:color="000000" w:sz="6" w:space="0"/>
              <w:left w:val="nil"/>
              <w:bottom w:val="single" w:color="000000" w:sz="6" w:space="0"/>
              <w:right w:val="single" w:color="000000" w:sz="6" w:space="0"/>
            </w:tcBorders>
            <w:noWrap w:val="0"/>
            <w:vAlign w:val="center"/>
          </w:tcPr>
          <w:p w14:paraId="2F3B17E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08" w:type="pct"/>
            <w:tcBorders>
              <w:top w:val="single" w:color="000000" w:sz="6" w:space="0"/>
              <w:left w:val="nil"/>
              <w:bottom w:val="single" w:color="000000" w:sz="6" w:space="0"/>
              <w:right w:val="single" w:color="000000" w:sz="6" w:space="0"/>
            </w:tcBorders>
            <w:noWrap w:val="0"/>
            <w:vAlign w:val="center"/>
          </w:tcPr>
          <w:p w14:paraId="34E2DCB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77" w:type="pct"/>
            <w:tcBorders>
              <w:top w:val="single" w:color="000000" w:sz="6" w:space="0"/>
              <w:left w:val="nil"/>
              <w:bottom w:val="single" w:color="000000" w:sz="6" w:space="0"/>
              <w:right w:val="single" w:color="000000" w:sz="6" w:space="0"/>
            </w:tcBorders>
            <w:noWrap w:val="0"/>
            <w:vAlign w:val="center"/>
          </w:tcPr>
          <w:p w14:paraId="3BFD467C">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34CEAB5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362CCFD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263A6C81">
        <w:tblPrEx>
          <w:tblCellMar>
            <w:top w:w="0" w:type="dxa"/>
            <w:left w:w="28" w:type="dxa"/>
            <w:bottom w:w="0" w:type="dxa"/>
            <w:right w:w="28" w:type="dxa"/>
          </w:tblCellMar>
        </w:tblPrEx>
        <w:trPr>
          <w:cantSplit/>
          <w:trHeight w:val="607" w:hRule="atLeast"/>
          <w:jc w:val="center"/>
        </w:trPr>
        <w:tc>
          <w:tcPr>
            <w:tcW w:w="386" w:type="pct"/>
            <w:tcBorders>
              <w:top w:val="single" w:color="auto" w:sz="4" w:space="0"/>
              <w:left w:val="single" w:color="auto" w:sz="4" w:space="0"/>
              <w:bottom w:val="single" w:color="auto" w:sz="4" w:space="0"/>
              <w:right w:val="single" w:color="000000" w:sz="6" w:space="0"/>
            </w:tcBorders>
            <w:noWrap w:val="0"/>
            <w:vAlign w:val="center"/>
          </w:tcPr>
          <w:p w14:paraId="2660F296">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293" w:type="pct"/>
            <w:tcBorders>
              <w:top w:val="single" w:color="000000" w:sz="6" w:space="0"/>
              <w:left w:val="nil"/>
              <w:bottom w:val="single" w:color="000000" w:sz="6" w:space="0"/>
              <w:right w:val="single" w:color="000000" w:sz="6" w:space="0"/>
            </w:tcBorders>
            <w:noWrap w:val="0"/>
            <w:vAlign w:val="center"/>
          </w:tcPr>
          <w:p w14:paraId="1CBE308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08" w:type="pct"/>
            <w:tcBorders>
              <w:top w:val="single" w:color="000000" w:sz="6" w:space="0"/>
              <w:left w:val="nil"/>
              <w:bottom w:val="single" w:color="000000" w:sz="6" w:space="0"/>
              <w:right w:val="single" w:color="000000" w:sz="6" w:space="0"/>
            </w:tcBorders>
            <w:noWrap w:val="0"/>
            <w:vAlign w:val="center"/>
          </w:tcPr>
          <w:p w14:paraId="7C5272D6">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77" w:type="pct"/>
            <w:tcBorders>
              <w:top w:val="single" w:color="000000" w:sz="6" w:space="0"/>
              <w:left w:val="nil"/>
              <w:bottom w:val="single" w:color="000000" w:sz="6" w:space="0"/>
              <w:right w:val="single" w:color="000000" w:sz="6" w:space="0"/>
            </w:tcBorders>
            <w:noWrap w:val="0"/>
            <w:vAlign w:val="center"/>
          </w:tcPr>
          <w:p w14:paraId="10D8D56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2350D18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60886BD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584AE6A2">
        <w:tblPrEx>
          <w:tblCellMar>
            <w:top w:w="0" w:type="dxa"/>
            <w:left w:w="28" w:type="dxa"/>
            <w:bottom w:w="0" w:type="dxa"/>
            <w:right w:w="28" w:type="dxa"/>
          </w:tblCellMar>
        </w:tblPrEx>
        <w:trPr>
          <w:cantSplit/>
          <w:trHeight w:val="606" w:hRule="atLeast"/>
          <w:jc w:val="center"/>
        </w:trPr>
        <w:tc>
          <w:tcPr>
            <w:tcW w:w="386" w:type="pct"/>
            <w:tcBorders>
              <w:top w:val="single" w:color="auto" w:sz="4" w:space="0"/>
              <w:left w:val="single" w:color="auto" w:sz="4" w:space="0"/>
              <w:bottom w:val="single" w:color="auto" w:sz="4" w:space="0"/>
              <w:right w:val="single" w:color="000000" w:sz="6" w:space="0"/>
            </w:tcBorders>
            <w:noWrap w:val="0"/>
            <w:vAlign w:val="center"/>
          </w:tcPr>
          <w:p w14:paraId="2F2E192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293" w:type="pct"/>
            <w:tcBorders>
              <w:top w:val="single" w:color="000000" w:sz="6" w:space="0"/>
              <w:left w:val="nil"/>
              <w:bottom w:val="single" w:color="000000" w:sz="6" w:space="0"/>
              <w:right w:val="single" w:color="000000" w:sz="6" w:space="0"/>
            </w:tcBorders>
            <w:noWrap w:val="0"/>
            <w:vAlign w:val="center"/>
          </w:tcPr>
          <w:p w14:paraId="58E558C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08" w:type="pct"/>
            <w:tcBorders>
              <w:top w:val="single" w:color="000000" w:sz="6" w:space="0"/>
              <w:left w:val="nil"/>
              <w:bottom w:val="single" w:color="000000" w:sz="6" w:space="0"/>
              <w:right w:val="single" w:color="000000" w:sz="6" w:space="0"/>
            </w:tcBorders>
            <w:noWrap w:val="0"/>
            <w:vAlign w:val="center"/>
          </w:tcPr>
          <w:p w14:paraId="0720EC2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77" w:type="pct"/>
            <w:tcBorders>
              <w:top w:val="single" w:color="000000" w:sz="6" w:space="0"/>
              <w:left w:val="nil"/>
              <w:bottom w:val="single" w:color="000000" w:sz="6" w:space="0"/>
              <w:right w:val="single" w:color="000000" w:sz="6" w:space="0"/>
            </w:tcBorders>
            <w:noWrap w:val="0"/>
            <w:vAlign w:val="center"/>
          </w:tcPr>
          <w:p w14:paraId="70248AB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39C73E1D">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6B546536">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r w14:paraId="35D89169">
        <w:tblPrEx>
          <w:tblCellMar>
            <w:top w:w="0" w:type="dxa"/>
            <w:left w:w="28" w:type="dxa"/>
            <w:bottom w:w="0" w:type="dxa"/>
            <w:right w:w="28" w:type="dxa"/>
          </w:tblCellMar>
        </w:tblPrEx>
        <w:trPr>
          <w:cantSplit/>
          <w:trHeight w:val="607" w:hRule="atLeast"/>
          <w:jc w:val="center"/>
        </w:trPr>
        <w:tc>
          <w:tcPr>
            <w:tcW w:w="386" w:type="pct"/>
            <w:tcBorders>
              <w:top w:val="single" w:color="auto" w:sz="4" w:space="0"/>
              <w:left w:val="single" w:color="auto" w:sz="4" w:space="0"/>
              <w:bottom w:val="single" w:color="auto" w:sz="4" w:space="0"/>
              <w:right w:val="single" w:color="000000" w:sz="6" w:space="0"/>
            </w:tcBorders>
            <w:noWrap w:val="0"/>
            <w:vAlign w:val="center"/>
          </w:tcPr>
          <w:p w14:paraId="260D4D9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293" w:type="pct"/>
            <w:tcBorders>
              <w:top w:val="single" w:color="000000" w:sz="6" w:space="0"/>
              <w:left w:val="nil"/>
              <w:bottom w:val="single" w:color="000000" w:sz="6" w:space="0"/>
              <w:right w:val="single" w:color="000000" w:sz="6" w:space="0"/>
            </w:tcBorders>
            <w:noWrap w:val="0"/>
            <w:vAlign w:val="center"/>
          </w:tcPr>
          <w:p w14:paraId="3DC8B3A8">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1208" w:type="pct"/>
            <w:tcBorders>
              <w:top w:val="single" w:color="000000" w:sz="6" w:space="0"/>
              <w:left w:val="nil"/>
              <w:bottom w:val="single" w:color="000000" w:sz="6" w:space="0"/>
              <w:right w:val="single" w:color="000000" w:sz="6" w:space="0"/>
            </w:tcBorders>
            <w:noWrap w:val="0"/>
            <w:vAlign w:val="center"/>
          </w:tcPr>
          <w:p w14:paraId="7E66231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677" w:type="pct"/>
            <w:tcBorders>
              <w:top w:val="single" w:color="000000" w:sz="6" w:space="0"/>
              <w:left w:val="nil"/>
              <w:bottom w:val="single" w:color="000000" w:sz="6" w:space="0"/>
              <w:right w:val="single" w:color="000000" w:sz="6" w:space="0"/>
            </w:tcBorders>
            <w:noWrap w:val="0"/>
            <w:vAlign w:val="center"/>
          </w:tcPr>
          <w:p w14:paraId="5402C0D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56102BB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c>
          <w:tcPr>
            <w:tcW w:w="717" w:type="pct"/>
            <w:tcBorders>
              <w:top w:val="single" w:color="000000" w:sz="6" w:space="0"/>
              <w:left w:val="nil"/>
              <w:bottom w:val="single" w:color="000000" w:sz="6" w:space="0"/>
              <w:right w:val="single" w:color="000000" w:sz="6" w:space="0"/>
            </w:tcBorders>
            <w:noWrap w:val="0"/>
            <w:vAlign w:val="center"/>
          </w:tcPr>
          <w:p w14:paraId="54FED885">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宋体" w:hAnsi="宋体" w:eastAsia="宋体" w:cs="宋体"/>
                <w:sz w:val="24"/>
                <w:szCs w:val="24"/>
                <w:highlight w:val="none"/>
              </w:rPr>
            </w:pPr>
          </w:p>
        </w:tc>
      </w:tr>
    </w:tbl>
    <w:p w14:paraId="463165CB">
      <w:pPr>
        <w:keepLines w:val="0"/>
        <w:shd w:val="clear" w:color="auto" w:fill="auto"/>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注：1.是否偏离填写：无偏离、正偏离、负偏离；</w:t>
      </w:r>
    </w:p>
    <w:p w14:paraId="316A69ED">
      <w:pPr>
        <w:keepLines w:val="0"/>
        <w:numPr>
          <w:ilvl w:val="0"/>
          <w:numId w:val="5"/>
        </w:numPr>
        <w:shd w:val="clear" w:color="auto" w:fill="auto"/>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表格不够用，各供应商可按此表复制；</w:t>
      </w:r>
    </w:p>
    <w:p w14:paraId="3C126DF1">
      <w:pPr>
        <w:pStyle w:val="18"/>
        <w:keepLines w:val="0"/>
        <w:numPr>
          <w:ilvl w:val="0"/>
          <w:numId w:val="5"/>
        </w:numPr>
        <w:shd w:val="clear" w:color="auto" w:fill="auto"/>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要求参照谈判文件第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部分填写</w:t>
      </w:r>
      <w:r>
        <w:rPr>
          <w:rFonts w:hint="eastAsia" w:ascii="宋体" w:hAnsi="宋体" w:eastAsia="宋体" w:cs="宋体"/>
          <w:sz w:val="24"/>
          <w:szCs w:val="24"/>
          <w:highlight w:val="none"/>
          <w:lang w:eastAsia="zh-CN"/>
        </w:rPr>
        <w:t>；</w:t>
      </w:r>
    </w:p>
    <w:p w14:paraId="4BC83024">
      <w:pPr>
        <w:keepLines w:val="0"/>
        <w:numPr>
          <w:ilvl w:val="0"/>
          <w:numId w:val="5"/>
        </w:numPr>
        <w:shd w:val="clear" w:color="auto" w:fill="auto"/>
        <w:kinsoku/>
        <w:overflowPunct/>
        <w:topLinePunct w:val="0"/>
        <w:bidi w:val="0"/>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若有偏离应按竞争性谈判文件要求全部体现在偏离表中，否则视为无偏离。</w:t>
      </w:r>
    </w:p>
    <w:p w14:paraId="73B23176">
      <w:pPr>
        <w:keepLines w:val="0"/>
        <w:numPr>
          <w:ilvl w:val="0"/>
          <w:numId w:val="5"/>
        </w:numPr>
        <w:shd w:val="clear" w:color="auto" w:fill="auto"/>
        <w:kinsoku/>
        <w:overflowPunct/>
        <w:topLinePunct w:val="0"/>
        <w:bidi w:val="0"/>
        <w:spacing w:line="360" w:lineRule="auto"/>
        <w:ind w:left="0" w:leftChars="0" w:firstLine="482" w:firstLineChars="200"/>
        <w:rPr>
          <w:rFonts w:hint="default" w:ascii="宋体" w:hAnsi="宋体" w:eastAsia="宋体" w:cs="宋体"/>
          <w:b/>
          <w:bCs/>
          <w:sz w:val="24"/>
          <w:szCs w:val="24"/>
          <w:highlight w:val="none"/>
          <w:lang w:val="en-US"/>
        </w:rPr>
      </w:pPr>
      <w:r>
        <w:rPr>
          <w:rFonts w:hint="eastAsia" w:ascii="宋体" w:hAnsi="宋体" w:cs="宋体"/>
          <w:b/>
          <w:bCs/>
          <w:sz w:val="24"/>
          <w:szCs w:val="24"/>
          <w:highlight w:val="none"/>
          <w:lang w:val="en-US" w:eastAsia="zh-CN"/>
        </w:rPr>
        <w:t>页码栏需填写该项技术响应内容证明材料的具体页码。（证明材料中可量化的技术指标须提供包括不限于：产品规格表、产品宣传彩页、技术白皮书、制造商官方网站发布的产品信息、说明书、检测机构出具的检测报告等技术资料支持；不可量化的技术指标可提供承诺并加盖公章。）</w:t>
      </w:r>
    </w:p>
    <w:p w14:paraId="45903C1B">
      <w:pPr>
        <w:keepLines w:val="0"/>
        <w:shd w:val="clear" w:color="auto" w:fill="auto"/>
        <w:kinsoku/>
        <w:overflowPunct/>
        <w:topLinePunct w:val="0"/>
        <w:bidi w:val="0"/>
        <w:spacing w:line="360" w:lineRule="auto"/>
        <w:outlineLvl w:val="9"/>
        <w:rPr>
          <w:rFonts w:hint="eastAsia" w:ascii="宋体" w:hAnsi="宋体" w:eastAsia="宋体" w:cs="宋体"/>
          <w:sz w:val="24"/>
          <w:szCs w:val="24"/>
          <w:highlight w:val="none"/>
        </w:rPr>
      </w:pPr>
    </w:p>
    <w:p w14:paraId="7493BC5C">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p>
    <w:p w14:paraId="1CC4E15F">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法定代表人/授权代表（签字）：</w:t>
      </w:r>
      <w:r>
        <w:rPr>
          <w:rFonts w:hint="eastAsia" w:ascii="宋体" w:hAnsi="宋体" w:eastAsia="宋体" w:cs="宋体"/>
          <w:sz w:val="24"/>
          <w:szCs w:val="24"/>
          <w:highlight w:val="none"/>
          <w:u w:val="single"/>
          <w:lang w:val="en-US" w:eastAsia="zh-CN"/>
        </w:rPr>
        <w:t xml:space="preserve">          </w:t>
      </w:r>
    </w:p>
    <w:p w14:paraId="2011E532">
      <w:pPr>
        <w:keepLines w:val="0"/>
        <w:shd w:val="clear" w:color="auto" w:fill="auto"/>
        <w:kinsoku/>
        <w:overflowPunct/>
        <w:topLinePunct w:val="0"/>
        <w:bidi w:val="0"/>
        <w:spacing w:line="360" w:lineRule="auto"/>
        <w:ind w:firstLine="1920" w:firstLineChars="800"/>
        <w:jc w:val="both"/>
        <w:outlineLvl w:val="9"/>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EE89BFD">
      <w:pPr>
        <w:keepLines w:val="0"/>
        <w:shd w:val="clear" w:color="auto" w:fill="auto"/>
        <w:kinsoku/>
        <w:overflowPunct/>
        <w:topLinePunct w:val="0"/>
        <w:bidi w:val="0"/>
        <w:spacing w:line="360" w:lineRule="auto"/>
        <w:jc w:val="center"/>
        <w:outlineLvl w:val="9"/>
        <w:rPr>
          <w:rFonts w:hint="eastAsia" w:ascii="宋体" w:hAnsi="宋体" w:eastAsia="宋体" w:cs="宋体"/>
          <w:bCs/>
          <w:kern w:val="0"/>
          <w:highlight w:val="none"/>
        </w:rPr>
      </w:pPr>
    </w:p>
    <w:p w14:paraId="06D74039">
      <w:pPr>
        <w:keepLines w:val="0"/>
        <w:shd w:val="clear" w:color="auto" w:fill="auto"/>
        <w:kinsoku/>
        <w:overflowPunct/>
        <w:topLinePunct w:val="0"/>
        <w:bidi w:val="0"/>
        <w:spacing w:line="360" w:lineRule="auto"/>
        <w:jc w:val="center"/>
        <w:outlineLvl w:val="9"/>
        <w:rPr>
          <w:rFonts w:hint="eastAsia" w:ascii="宋体" w:hAnsi="宋体" w:eastAsia="宋体" w:cs="宋体"/>
          <w:bCs/>
          <w:kern w:val="0"/>
          <w:highlight w:val="none"/>
        </w:rPr>
      </w:pPr>
    </w:p>
    <w:p w14:paraId="264514CE">
      <w:pPr>
        <w:keepLines w:val="0"/>
        <w:shd w:val="clear" w:color="auto" w:fill="auto"/>
        <w:kinsoku/>
        <w:overflowPunct/>
        <w:topLinePunct w:val="0"/>
        <w:bidi w:val="0"/>
        <w:spacing w:line="360" w:lineRule="auto"/>
        <w:jc w:val="center"/>
        <w:outlineLvl w:val="9"/>
        <w:rPr>
          <w:rFonts w:hint="eastAsia" w:ascii="宋体" w:hAnsi="宋体" w:eastAsia="宋体" w:cs="宋体"/>
          <w:bCs/>
          <w:kern w:val="0"/>
          <w:highlight w:val="none"/>
        </w:rPr>
      </w:pPr>
      <w:r>
        <w:rPr>
          <w:rFonts w:hint="eastAsia" w:ascii="宋体" w:hAnsi="宋体" w:eastAsia="宋体" w:cs="宋体"/>
          <w:b/>
          <w:bCs w:val="0"/>
          <w:kern w:val="0"/>
          <w:sz w:val="32"/>
          <w:szCs w:val="32"/>
          <w:highlight w:val="none"/>
        </w:rPr>
        <w:br w:type="page"/>
      </w:r>
      <w:r>
        <w:rPr>
          <w:rFonts w:hint="eastAsia" w:ascii="宋体" w:hAnsi="宋体" w:eastAsia="宋体" w:cs="宋体"/>
          <w:b/>
          <w:bCs w:val="0"/>
          <w:kern w:val="0"/>
          <w:sz w:val="32"/>
          <w:szCs w:val="32"/>
          <w:highlight w:val="none"/>
        </w:rPr>
        <w:t>第四部分  供应商承诺书</w:t>
      </w:r>
      <w:bookmarkEnd w:id="149"/>
      <w:bookmarkEnd w:id="150"/>
      <w:bookmarkEnd w:id="151"/>
      <w:bookmarkEnd w:id="152"/>
    </w:p>
    <w:p w14:paraId="6E8149F2">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亿诚建设项目管理有限公司</w:t>
      </w:r>
      <w:r>
        <w:rPr>
          <w:rFonts w:hint="eastAsia" w:ascii="宋体" w:hAnsi="宋体" w:eastAsia="宋体" w:cs="宋体"/>
          <w:sz w:val="24"/>
          <w:szCs w:val="24"/>
          <w:highlight w:val="none"/>
        </w:rPr>
        <w:t>：</w:t>
      </w:r>
    </w:p>
    <w:p w14:paraId="60A80C6B">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做为参加贵单位组织的</w:t>
      </w:r>
      <w:r>
        <w:rPr>
          <w:rFonts w:hint="eastAsia" w:ascii="宋体" w:hAnsi="宋体" w:eastAsia="宋体" w:cs="宋体"/>
          <w:sz w:val="24"/>
          <w:szCs w:val="24"/>
          <w:highlight w:val="none"/>
          <w:lang w:val="en-US" w:eastAsia="zh-CN"/>
        </w:rPr>
        <w:t>西安市红会医院</w:t>
      </w:r>
      <w:r>
        <w:rPr>
          <w:rFonts w:hint="eastAsia" w:ascii="宋体" w:hAnsi="宋体" w:cs="宋体"/>
          <w:sz w:val="24"/>
          <w:szCs w:val="24"/>
          <w:highlight w:val="none"/>
          <w:lang w:val="en-US" w:eastAsia="zh-CN"/>
        </w:rPr>
        <w:t>配置麻醉便携超声采购项目(二次)</w:t>
      </w:r>
      <w:r>
        <w:rPr>
          <w:rFonts w:hint="eastAsia" w:ascii="宋体" w:hAnsi="宋体" w:eastAsia="宋体" w:cs="宋体"/>
          <w:sz w:val="24"/>
          <w:szCs w:val="24"/>
          <w:highlight w:val="none"/>
        </w:rPr>
        <w:t>的谈判供应商，本公司郑重承诺：</w:t>
      </w:r>
    </w:p>
    <w:p w14:paraId="6E8E80D4">
      <w:pPr>
        <w:keepLines w:val="0"/>
        <w:shd w:val="clear" w:color="auto" w:fill="auto"/>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一、在参加本次政府采购活动之前不存在被依法禁止经营行为、财产被接管或冻结的情况，如有隐瞒实情，愿承担一切责任及后果。</w:t>
      </w:r>
    </w:p>
    <w:p w14:paraId="4C3A5607">
      <w:pPr>
        <w:keepLines w:val="0"/>
        <w:shd w:val="clear" w:color="auto" w:fill="auto"/>
        <w:kinsoku/>
        <w:overflowPunct/>
        <w:topLinePunct w:val="0"/>
        <w:autoSpaceDE w:val="0"/>
        <w:autoSpaceDN w:val="0"/>
        <w:bidi w:val="0"/>
        <w:adjustRightInd w:val="0"/>
        <w:spacing w:line="360" w:lineRule="auto"/>
        <w:ind w:firstLine="482" w:firstLineChars="200"/>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sz w:val="24"/>
          <w:szCs w:val="24"/>
          <w:highlight w:val="none"/>
        </w:rPr>
        <w:t>近三年受到有关行政主管部门的行政处理、不良行为记录为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次（没有填零），如有隐瞒实情，愿承担一切责任及后果。</w:t>
      </w:r>
    </w:p>
    <w:p w14:paraId="30A85A58">
      <w:pPr>
        <w:keepLines w:val="0"/>
        <w:shd w:val="clear" w:color="auto" w:fill="auto"/>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三、参加本次采购活动提交的所有资质证明文件及业绩证明文件是真实的、有效的，如有隐瞒实情，愿承担一切责任及后果。</w:t>
      </w:r>
    </w:p>
    <w:p w14:paraId="0F6FA43A">
      <w:pPr>
        <w:keepLines w:val="0"/>
        <w:shd w:val="clear" w:color="auto" w:fill="auto"/>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四、近三年因货物的供货问题（水货、替代品、次品、翻新品等）的不法行为记录为</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次（没有填零），如有隐瞒实情，愿承担一切责任及后果。</w:t>
      </w:r>
    </w:p>
    <w:p w14:paraId="099A9503">
      <w:pPr>
        <w:pStyle w:val="18"/>
        <w:keepLines w:val="0"/>
        <w:shd w:val="clear" w:color="auto" w:fill="auto"/>
        <w:kinsoku/>
        <w:overflowPunct/>
        <w:topLinePunct w:val="0"/>
        <w:bidi w:val="0"/>
        <w:spacing w:line="360" w:lineRule="auto"/>
        <w:outlineLvl w:val="9"/>
        <w:rPr>
          <w:rFonts w:hint="eastAsia" w:ascii="宋体" w:hAnsi="宋体" w:eastAsia="宋体" w:cs="宋体"/>
          <w:sz w:val="24"/>
          <w:szCs w:val="24"/>
          <w:highlight w:val="none"/>
        </w:rPr>
      </w:pPr>
    </w:p>
    <w:p w14:paraId="54F2B5E0">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b/>
          <w:bCs/>
          <w:sz w:val="24"/>
          <w:szCs w:val="24"/>
          <w:highlight w:val="none"/>
        </w:rPr>
      </w:pPr>
    </w:p>
    <w:p w14:paraId="6279F66F">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p>
    <w:p w14:paraId="79961F6E">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法定代表人/授权代表（签字）：</w:t>
      </w:r>
      <w:r>
        <w:rPr>
          <w:rFonts w:hint="eastAsia" w:ascii="宋体" w:hAnsi="宋体" w:eastAsia="宋体" w:cs="宋体"/>
          <w:sz w:val="24"/>
          <w:szCs w:val="24"/>
          <w:highlight w:val="none"/>
          <w:u w:val="single"/>
          <w:lang w:val="en-US" w:eastAsia="zh-CN"/>
        </w:rPr>
        <w:t xml:space="preserve">          </w:t>
      </w:r>
    </w:p>
    <w:p w14:paraId="776034B3">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b/>
          <w:bCs/>
          <w:sz w:val="28"/>
          <w:szCs w:val="28"/>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14:paraId="4A083C47">
      <w:pPr>
        <w:keepLines w:val="0"/>
        <w:shd w:val="clear" w:color="auto" w:fill="auto"/>
        <w:kinsoku/>
        <w:overflowPunct/>
        <w:topLinePunct w:val="0"/>
        <w:autoSpaceDE w:val="0"/>
        <w:autoSpaceDN w:val="0"/>
        <w:bidi w:val="0"/>
        <w:adjustRightInd w:val="0"/>
        <w:spacing w:line="360" w:lineRule="auto"/>
        <w:ind w:firstLine="419" w:firstLineChars="131"/>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14:paraId="7EC9724E">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 </w:t>
      </w:r>
    </w:p>
    <w:p w14:paraId="38EC8DC8">
      <w:pPr>
        <w:keepLines w:val="0"/>
        <w:shd w:val="clear" w:color="auto" w:fill="auto"/>
        <w:kinsoku/>
        <w:overflowPunct/>
        <w:topLinePunct w:val="0"/>
        <w:bidi w:val="0"/>
        <w:spacing w:line="360" w:lineRule="auto"/>
        <w:ind w:firstLine="883" w:firstLineChars="200"/>
        <w:jc w:val="center"/>
        <w:outlineLvl w:val="9"/>
        <w:rPr>
          <w:rFonts w:hint="eastAsia" w:ascii="宋体" w:hAnsi="宋体" w:eastAsia="宋体" w:cs="宋体"/>
          <w:b/>
          <w:bCs w:val="0"/>
          <w:sz w:val="32"/>
          <w:szCs w:val="32"/>
          <w:highlight w:val="none"/>
        </w:rPr>
      </w:pPr>
      <w:r>
        <w:rPr>
          <w:rFonts w:hint="eastAsia" w:ascii="宋体" w:hAnsi="宋体" w:eastAsia="宋体" w:cs="宋体"/>
          <w:b/>
          <w:bCs/>
          <w:sz w:val="44"/>
          <w:szCs w:val="44"/>
          <w:highlight w:val="none"/>
        </w:rPr>
        <w:br w:type="page"/>
      </w:r>
      <w:r>
        <w:rPr>
          <w:rFonts w:hint="eastAsia" w:ascii="宋体" w:hAnsi="宋体" w:eastAsia="宋体" w:cs="宋体"/>
          <w:b/>
          <w:bCs w:val="0"/>
          <w:sz w:val="32"/>
          <w:szCs w:val="32"/>
          <w:highlight w:val="none"/>
        </w:rPr>
        <w:t>参加本次政府采购活动前三年内</w:t>
      </w:r>
    </w:p>
    <w:p w14:paraId="201E9050">
      <w:pPr>
        <w:keepLines w:val="0"/>
        <w:shd w:val="clear" w:color="auto" w:fill="auto"/>
        <w:kinsoku/>
        <w:overflowPunct/>
        <w:topLinePunct w:val="0"/>
        <w:bidi w:val="0"/>
        <w:spacing w:line="360" w:lineRule="auto"/>
        <w:ind w:firstLine="643" w:firstLineChars="200"/>
        <w:jc w:val="center"/>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在经营活动中没有重大违法记录的书面声明函</w:t>
      </w:r>
    </w:p>
    <w:p w14:paraId="2711E1B1">
      <w:pPr>
        <w:keepLines w:val="0"/>
        <w:shd w:val="clear" w:color="auto" w:fill="auto"/>
        <w:kinsoku/>
        <w:overflowPunct/>
        <w:topLinePunct w:val="0"/>
        <w:autoSpaceDE w:val="0"/>
        <w:autoSpaceDN w:val="0"/>
        <w:bidi w:val="0"/>
        <w:adjustRightInd w:val="0"/>
        <w:spacing w:line="360" w:lineRule="auto"/>
        <w:ind w:firstLine="640" w:firstLineChars="200"/>
        <w:jc w:val="left"/>
        <w:outlineLvl w:val="9"/>
        <w:rPr>
          <w:rFonts w:hint="eastAsia" w:ascii="宋体" w:hAnsi="宋体" w:eastAsia="宋体" w:cs="宋体"/>
          <w:sz w:val="32"/>
          <w:szCs w:val="32"/>
          <w:highlight w:val="none"/>
          <w:lang w:eastAsia="zh-CN"/>
        </w:rPr>
      </w:pPr>
    </w:p>
    <w:p w14:paraId="0A188D64">
      <w:pPr>
        <w:keepLines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亿诚建设项目管理有限公司</w:t>
      </w:r>
      <w:r>
        <w:rPr>
          <w:rFonts w:hint="eastAsia" w:ascii="宋体" w:hAnsi="宋体" w:eastAsia="宋体" w:cs="宋体"/>
          <w:sz w:val="24"/>
          <w:szCs w:val="24"/>
          <w:highlight w:val="none"/>
        </w:rPr>
        <w:t>：</w:t>
      </w:r>
    </w:p>
    <w:p w14:paraId="716B8C67">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（供应商名称）郑重声明在参加本次政府采购活动前3年内的经营活动没有重大违法记录。如有不实，我方将无条件地退出本项目的采购活动，并遵照《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p>
    <w:p w14:paraId="5E45CA8C">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特此声明。</w:t>
      </w:r>
    </w:p>
    <w:p w14:paraId="6F87ADFB">
      <w:pPr>
        <w:keepLines w:val="0"/>
        <w:shd w:val="clear" w:color="auto" w:fill="auto"/>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B7CA2EE">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42B533BC">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p>
    <w:p w14:paraId="3E8F22D2">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法定代表人/授权代表（签字）：</w:t>
      </w:r>
      <w:r>
        <w:rPr>
          <w:rFonts w:hint="eastAsia" w:ascii="宋体" w:hAnsi="宋体" w:eastAsia="宋体" w:cs="宋体"/>
          <w:sz w:val="24"/>
          <w:szCs w:val="24"/>
          <w:highlight w:val="none"/>
          <w:u w:val="single"/>
          <w:lang w:val="en-US" w:eastAsia="zh-CN"/>
        </w:rPr>
        <w:t xml:space="preserve">          </w:t>
      </w:r>
    </w:p>
    <w:p w14:paraId="73710B5C">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6C2EA1">
      <w:pPr>
        <w:keepLines w:val="0"/>
        <w:shd w:val="clear" w:color="auto" w:fill="auto"/>
        <w:kinsoku/>
        <w:overflowPunct/>
        <w:topLinePunct w:val="0"/>
        <w:autoSpaceDE w:val="0"/>
        <w:autoSpaceDN w:val="0"/>
        <w:bidi w:val="0"/>
        <w:adjustRightInd w:val="0"/>
        <w:spacing w:line="360" w:lineRule="auto"/>
        <w:jc w:val="center"/>
        <w:outlineLvl w:val="9"/>
        <w:rPr>
          <w:rFonts w:hint="eastAsia" w:ascii="宋体" w:hAnsi="宋体" w:eastAsia="宋体" w:cs="宋体"/>
          <w:bCs/>
          <w:color w:val="auto"/>
          <w:kern w:val="0"/>
          <w:highlight w:val="none"/>
        </w:rPr>
      </w:pPr>
      <w:r>
        <w:rPr>
          <w:rFonts w:hint="eastAsia" w:ascii="宋体" w:hAnsi="宋体" w:eastAsia="宋体" w:cs="宋体"/>
          <w:b/>
          <w:bCs/>
          <w:sz w:val="44"/>
          <w:szCs w:val="44"/>
          <w:highlight w:val="none"/>
        </w:rPr>
        <w:br w:type="page"/>
      </w:r>
      <w:bookmarkStart w:id="153" w:name="_Toc26937"/>
      <w:bookmarkEnd w:id="153"/>
      <w:bookmarkStart w:id="154" w:name="_Toc22766"/>
      <w:bookmarkEnd w:id="154"/>
      <w:bookmarkStart w:id="155" w:name="_Toc28160_WPSOffice_Level1"/>
      <w:bookmarkStart w:id="156" w:name="_Toc496523755"/>
      <w:bookmarkStart w:id="157" w:name="_Toc496524283"/>
      <w:bookmarkStart w:id="158" w:name="_Toc495913704"/>
      <w:r>
        <w:rPr>
          <w:rFonts w:hint="eastAsia" w:ascii="宋体" w:hAnsi="宋体" w:eastAsia="宋体" w:cs="宋体"/>
          <w:b/>
          <w:bCs w:val="0"/>
          <w:color w:val="auto"/>
          <w:kern w:val="0"/>
          <w:sz w:val="32"/>
          <w:szCs w:val="32"/>
          <w:highlight w:val="none"/>
        </w:rPr>
        <w:t>第五部分  供应商资格证明文件</w:t>
      </w:r>
      <w:bookmarkEnd w:id="155"/>
      <w:bookmarkEnd w:id="156"/>
      <w:bookmarkEnd w:id="157"/>
      <w:bookmarkEnd w:id="158"/>
    </w:p>
    <w:p w14:paraId="4CA8CA4A">
      <w:pPr>
        <w:keepLines w:val="0"/>
        <w:numPr>
          <w:ilvl w:val="0"/>
          <w:numId w:val="6"/>
        </w:numPr>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根据谈判文件资格项要求，自行拟制</w:t>
      </w:r>
      <w:r>
        <w:rPr>
          <w:rFonts w:hint="eastAsia" w:ascii="宋体" w:hAnsi="宋体" w:eastAsia="宋体" w:cs="宋体"/>
          <w:kern w:val="0"/>
          <w:sz w:val="24"/>
          <w:szCs w:val="24"/>
          <w:highlight w:val="none"/>
          <w:lang w:val="zh-CN"/>
        </w:rPr>
        <w:t>；</w:t>
      </w:r>
    </w:p>
    <w:p w14:paraId="088230C6">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.所有资格、符合性证明文件内容复印件须附在此处并须加盖供应商红色公章。</w:t>
      </w:r>
    </w:p>
    <w:p w14:paraId="5CC584FD">
      <w:pPr>
        <w:pStyle w:val="30"/>
        <w:keepLines w:val="0"/>
        <w:widowControl w:val="0"/>
        <w:shd w:val="clear" w:color="auto" w:fill="auto"/>
        <w:kinsoku/>
        <w:overflowPunct/>
        <w:topLinePunct w:val="0"/>
        <w:bidi w:val="0"/>
        <w:spacing w:before="0" w:beforeAutospacing="0" w:after="120" w:afterAutospacing="0" w:line="360" w:lineRule="auto"/>
        <w:ind w:firstLine="640" w:firstLineChars="200"/>
        <w:jc w:val="both"/>
        <w:outlineLvl w:val="9"/>
        <w:rPr>
          <w:rFonts w:hint="eastAsia" w:ascii="宋体" w:hAnsi="宋体" w:eastAsia="宋体" w:cs="宋体"/>
          <w:bCs/>
          <w:kern w:val="2"/>
          <w:sz w:val="32"/>
          <w:szCs w:val="32"/>
          <w:highlight w:val="none"/>
          <w:lang w:bidi="ar"/>
        </w:rPr>
      </w:pPr>
    </w:p>
    <w:p w14:paraId="5BDB3365">
      <w:pPr>
        <w:keepLines w:val="0"/>
        <w:shd w:val="clear" w:color="auto" w:fill="auto"/>
        <w:kinsoku/>
        <w:overflowPunct/>
        <w:topLinePunct w:val="0"/>
        <w:bidi w:val="0"/>
        <w:spacing w:line="360" w:lineRule="auto"/>
        <w:jc w:val="both"/>
        <w:outlineLvl w:val="9"/>
        <w:rPr>
          <w:rFonts w:hint="eastAsia" w:ascii="宋体" w:hAnsi="宋体" w:eastAsia="宋体" w:cs="宋体"/>
          <w:sz w:val="32"/>
          <w:szCs w:val="32"/>
          <w:highlight w:val="none"/>
        </w:rPr>
        <w:sectPr>
          <w:pgSz w:w="11906" w:h="16838"/>
          <w:pgMar w:top="1440" w:right="1080" w:bottom="1440" w:left="1080" w:header="851" w:footer="850" w:gutter="0"/>
          <w:pgBorders>
            <w:top w:val="none" w:sz="0" w:space="0"/>
            <w:left w:val="none" w:sz="0" w:space="0"/>
            <w:bottom w:val="none" w:sz="0" w:space="0"/>
            <w:right w:val="none" w:sz="0" w:space="0"/>
          </w:pgBorders>
          <w:pgNumType w:fmt="decimal"/>
          <w:cols w:space="720" w:num="1"/>
          <w:rtlGutter w:val="0"/>
          <w:docGrid w:type="lines" w:linePitch="312" w:charSpace="0"/>
        </w:sectPr>
      </w:pPr>
      <w:bookmarkStart w:id="159" w:name="_Toc7844"/>
      <w:bookmarkEnd w:id="159"/>
    </w:p>
    <w:p w14:paraId="3B461526">
      <w:pPr>
        <w:keepLines w:val="0"/>
        <w:shd w:val="clear" w:color="auto" w:fill="auto"/>
        <w:kinsoku/>
        <w:overflowPunct/>
        <w:topLinePunct w:val="0"/>
        <w:bidi w:val="0"/>
        <w:spacing w:line="360" w:lineRule="auto"/>
        <w:ind w:firstLine="643" w:firstLineChars="200"/>
        <w:jc w:val="center"/>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法定代表人证明书</w:t>
      </w:r>
    </w:p>
    <w:tbl>
      <w:tblPr>
        <w:tblStyle w:val="3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825"/>
        <w:gridCol w:w="2059"/>
        <w:gridCol w:w="341"/>
        <w:gridCol w:w="1610"/>
        <w:gridCol w:w="1924"/>
      </w:tblGrid>
      <w:tr w14:paraId="61A1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0" w:type="dxa"/>
            <w:gridSpan w:val="6"/>
            <w:noWrap w:val="0"/>
            <w:vAlign w:val="center"/>
          </w:tcPr>
          <w:p w14:paraId="489C7361">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lang w:val="zh-CN"/>
              </w:rPr>
              <w:t>致：</w:t>
            </w:r>
            <w:r>
              <w:rPr>
                <w:rFonts w:hint="eastAsia" w:ascii="宋体" w:hAnsi="宋体" w:eastAsia="宋体" w:cs="宋体"/>
                <w:kern w:val="0"/>
                <w:sz w:val="24"/>
                <w:szCs w:val="24"/>
                <w:highlight w:val="none"/>
                <w:lang w:val="en-US" w:eastAsia="zh-CN"/>
              </w:rPr>
              <w:t>亿诚建设项目管理有限公司</w:t>
            </w:r>
          </w:p>
        </w:tc>
      </w:tr>
      <w:tr w14:paraId="4ECF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restart"/>
            <w:noWrap w:val="0"/>
            <w:vAlign w:val="center"/>
          </w:tcPr>
          <w:p w14:paraId="14EA05FA">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企</w:t>
            </w:r>
          </w:p>
          <w:p w14:paraId="61ACB968">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p w14:paraId="773B027E">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业</w:t>
            </w:r>
          </w:p>
          <w:p w14:paraId="555E5BC4">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p w14:paraId="7FC5D0E6">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法</w:t>
            </w:r>
          </w:p>
          <w:p w14:paraId="55532862">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p w14:paraId="3F4B9642">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人</w:t>
            </w:r>
          </w:p>
        </w:tc>
        <w:tc>
          <w:tcPr>
            <w:tcW w:w="2825" w:type="dxa"/>
            <w:noWrap w:val="0"/>
            <w:vAlign w:val="center"/>
          </w:tcPr>
          <w:p w14:paraId="2D02F380">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企业名称</w:t>
            </w:r>
          </w:p>
        </w:tc>
        <w:tc>
          <w:tcPr>
            <w:tcW w:w="5934" w:type="dxa"/>
            <w:gridSpan w:val="4"/>
            <w:noWrap w:val="0"/>
            <w:vAlign w:val="center"/>
          </w:tcPr>
          <w:p w14:paraId="38BCF050">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r>
      <w:tr w14:paraId="344A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continue"/>
            <w:noWrap w:val="0"/>
            <w:vAlign w:val="center"/>
          </w:tcPr>
          <w:p w14:paraId="1EBEDE87">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c>
          <w:tcPr>
            <w:tcW w:w="2825" w:type="dxa"/>
            <w:noWrap w:val="0"/>
            <w:vAlign w:val="center"/>
          </w:tcPr>
          <w:p w14:paraId="084D98F7">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法定地址</w:t>
            </w:r>
          </w:p>
        </w:tc>
        <w:tc>
          <w:tcPr>
            <w:tcW w:w="5934" w:type="dxa"/>
            <w:gridSpan w:val="4"/>
            <w:noWrap w:val="0"/>
            <w:vAlign w:val="center"/>
          </w:tcPr>
          <w:p w14:paraId="7144CEF7">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r>
      <w:tr w14:paraId="400C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continue"/>
            <w:noWrap w:val="0"/>
            <w:vAlign w:val="center"/>
          </w:tcPr>
          <w:p w14:paraId="0FEA1C54">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c>
          <w:tcPr>
            <w:tcW w:w="2825" w:type="dxa"/>
            <w:noWrap w:val="0"/>
            <w:vAlign w:val="center"/>
          </w:tcPr>
          <w:p w14:paraId="0A407CE6">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邮政编码</w:t>
            </w:r>
          </w:p>
        </w:tc>
        <w:tc>
          <w:tcPr>
            <w:tcW w:w="5934" w:type="dxa"/>
            <w:gridSpan w:val="4"/>
            <w:noWrap w:val="0"/>
            <w:vAlign w:val="center"/>
          </w:tcPr>
          <w:p w14:paraId="6EAA2D03">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r>
      <w:tr w14:paraId="3FF7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continue"/>
            <w:noWrap w:val="0"/>
            <w:vAlign w:val="center"/>
          </w:tcPr>
          <w:p w14:paraId="7059FB48">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c>
          <w:tcPr>
            <w:tcW w:w="2825" w:type="dxa"/>
            <w:noWrap w:val="0"/>
            <w:vAlign w:val="center"/>
          </w:tcPr>
          <w:p w14:paraId="3E58A545">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工商登记机关</w:t>
            </w:r>
          </w:p>
        </w:tc>
        <w:tc>
          <w:tcPr>
            <w:tcW w:w="5934" w:type="dxa"/>
            <w:gridSpan w:val="4"/>
            <w:noWrap w:val="0"/>
            <w:vAlign w:val="center"/>
          </w:tcPr>
          <w:p w14:paraId="16630B40">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r>
      <w:tr w14:paraId="2FE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continue"/>
            <w:noWrap w:val="0"/>
            <w:vAlign w:val="center"/>
          </w:tcPr>
          <w:p w14:paraId="1FC83E9C">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c>
          <w:tcPr>
            <w:tcW w:w="2825" w:type="dxa"/>
            <w:noWrap w:val="0"/>
            <w:vAlign w:val="center"/>
          </w:tcPr>
          <w:p w14:paraId="09E05F0C">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统一社会信用代码</w:t>
            </w:r>
          </w:p>
        </w:tc>
        <w:tc>
          <w:tcPr>
            <w:tcW w:w="5934" w:type="dxa"/>
            <w:gridSpan w:val="4"/>
            <w:noWrap w:val="0"/>
            <w:vAlign w:val="center"/>
          </w:tcPr>
          <w:p w14:paraId="3BE7141D">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r>
      <w:tr w14:paraId="4CC2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restart"/>
            <w:noWrap w:val="0"/>
            <w:vAlign w:val="center"/>
          </w:tcPr>
          <w:p w14:paraId="49B7A898">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法定代表人</w:t>
            </w:r>
          </w:p>
        </w:tc>
        <w:tc>
          <w:tcPr>
            <w:tcW w:w="2825" w:type="dxa"/>
            <w:noWrap w:val="0"/>
            <w:vAlign w:val="center"/>
          </w:tcPr>
          <w:p w14:paraId="5EAD2E51">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姓名</w:t>
            </w:r>
          </w:p>
        </w:tc>
        <w:tc>
          <w:tcPr>
            <w:tcW w:w="2400" w:type="dxa"/>
            <w:gridSpan w:val="2"/>
            <w:noWrap w:val="0"/>
            <w:vAlign w:val="center"/>
          </w:tcPr>
          <w:p w14:paraId="37E1111B">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0"/>
                <w:sz w:val="24"/>
                <w:szCs w:val="24"/>
                <w:highlight w:val="none"/>
                <w:lang w:val="zh-CN"/>
              </w:rPr>
            </w:pPr>
          </w:p>
        </w:tc>
        <w:tc>
          <w:tcPr>
            <w:tcW w:w="1610" w:type="dxa"/>
            <w:noWrap w:val="0"/>
            <w:vAlign w:val="center"/>
          </w:tcPr>
          <w:p w14:paraId="3E8EC2B6">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性别</w:t>
            </w:r>
          </w:p>
        </w:tc>
        <w:tc>
          <w:tcPr>
            <w:tcW w:w="1924" w:type="dxa"/>
            <w:noWrap w:val="0"/>
            <w:vAlign w:val="center"/>
          </w:tcPr>
          <w:p w14:paraId="159372ED">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r>
      <w:tr w14:paraId="461F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continue"/>
            <w:noWrap w:val="0"/>
            <w:vAlign w:val="center"/>
          </w:tcPr>
          <w:p w14:paraId="3A6CD3CF">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c>
          <w:tcPr>
            <w:tcW w:w="2825" w:type="dxa"/>
            <w:noWrap w:val="0"/>
            <w:vAlign w:val="center"/>
          </w:tcPr>
          <w:p w14:paraId="7A0E2C8A">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职务</w:t>
            </w:r>
          </w:p>
        </w:tc>
        <w:tc>
          <w:tcPr>
            <w:tcW w:w="2400" w:type="dxa"/>
            <w:gridSpan w:val="2"/>
            <w:noWrap w:val="0"/>
            <w:vAlign w:val="center"/>
          </w:tcPr>
          <w:p w14:paraId="2A416FCA">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c>
          <w:tcPr>
            <w:tcW w:w="1610" w:type="dxa"/>
            <w:noWrap w:val="0"/>
            <w:vAlign w:val="center"/>
          </w:tcPr>
          <w:p w14:paraId="4F3F2F64">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传真</w:t>
            </w:r>
          </w:p>
        </w:tc>
        <w:tc>
          <w:tcPr>
            <w:tcW w:w="1924" w:type="dxa"/>
            <w:noWrap w:val="0"/>
            <w:vAlign w:val="center"/>
          </w:tcPr>
          <w:p w14:paraId="7FFE439D">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r>
      <w:tr w14:paraId="3A15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continue"/>
            <w:noWrap w:val="0"/>
            <w:vAlign w:val="center"/>
          </w:tcPr>
          <w:p w14:paraId="2E98FACF">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c>
          <w:tcPr>
            <w:tcW w:w="2825" w:type="dxa"/>
            <w:noWrap w:val="0"/>
            <w:vAlign w:val="center"/>
          </w:tcPr>
          <w:p w14:paraId="7BBC1777">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联系电话</w:t>
            </w:r>
          </w:p>
        </w:tc>
        <w:tc>
          <w:tcPr>
            <w:tcW w:w="5934" w:type="dxa"/>
            <w:gridSpan w:val="4"/>
            <w:noWrap w:val="0"/>
            <w:vAlign w:val="center"/>
          </w:tcPr>
          <w:p w14:paraId="53681A41">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r>
      <w:tr w14:paraId="5639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restart"/>
            <w:noWrap w:val="0"/>
            <w:vAlign w:val="center"/>
          </w:tcPr>
          <w:p w14:paraId="686695E6">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法定</w:t>
            </w:r>
          </w:p>
          <w:p w14:paraId="5EDA3C2E">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代表</w:t>
            </w:r>
          </w:p>
          <w:p w14:paraId="610F1CEB">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人身</w:t>
            </w:r>
          </w:p>
          <w:p w14:paraId="5B9F30CA">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份证</w:t>
            </w:r>
          </w:p>
          <w:p w14:paraId="71019554">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复印</w:t>
            </w:r>
          </w:p>
          <w:p w14:paraId="201BC22B">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件</w:t>
            </w:r>
          </w:p>
        </w:tc>
        <w:tc>
          <w:tcPr>
            <w:tcW w:w="4884" w:type="dxa"/>
            <w:gridSpan w:val="2"/>
            <w:vMerge w:val="restart"/>
            <w:noWrap w:val="0"/>
            <w:vAlign w:val="center"/>
          </w:tcPr>
          <w:p w14:paraId="16439F7C">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（复印件粘贴处）</w:t>
            </w:r>
          </w:p>
        </w:tc>
        <w:tc>
          <w:tcPr>
            <w:tcW w:w="3875" w:type="dxa"/>
            <w:gridSpan w:val="3"/>
            <w:noWrap w:val="0"/>
            <w:vAlign w:val="center"/>
          </w:tcPr>
          <w:p w14:paraId="0998623B">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法定代表人签字</w:t>
            </w:r>
          </w:p>
        </w:tc>
      </w:tr>
      <w:tr w14:paraId="1D74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Merge w:val="continue"/>
            <w:noWrap w:val="0"/>
            <w:vAlign w:val="center"/>
          </w:tcPr>
          <w:p w14:paraId="07930935">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c>
          <w:tcPr>
            <w:tcW w:w="4884" w:type="dxa"/>
            <w:gridSpan w:val="2"/>
            <w:vMerge w:val="continue"/>
            <w:noWrap w:val="0"/>
            <w:vAlign w:val="center"/>
          </w:tcPr>
          <w:p w14:paraId="1D8EFA45">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p>
        </w:tc>
        <w:tc>
          <w:tcPr>
            <w:tcW w:w="3875" w:type="dxa"/>
            <w:gridSpan w:val="3"/>
            <w:noWrap w:val="0"/>
            <w:vAlign w:val="center"/>
          </w:tcPr>
          <w:p w14:paraId="581FDE9B">
            <w:pPr>
              <w:keepNext w:val="0"/>
              <w:keepLines w:val="0"/>
              <w:pageBreakBefore w:val="0"/>
              <w:widowControl w:val="0"/>
              <w:suppressLineNumbers w:val="0"/>
              <w:shd w:val="clear" w:color="auto" w:fill="auto"/>
              <w:tabs>
                <w:tab w:val="left" w:pos="210"/>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（公章）</w:t>
            </w:r>
          </w:p>
        </w:tc>
      </w:tr>
    </w:tbl>
    <w:p w14:paraId="1621A4A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rPr>
      </w:pPr>
      <w:r>
        <w:rPr>
          <w:rFonts w:hint="eastAsia" w:ascii="宋体" w:hAnsi="宋体" w:eastAsia="宋体" w:cs="宋体"/>
          <w:b/>
          <w:color w:val="auto"/>
          <w:kern w:val="0"/>
          <w:sz w:val="24"/>
          <w:szCs w:val="24"/>
          <w:highlight w:val="none"/>
        </w:rPr>
        <w:t>（法定代表人直接</w:t>
      </w:r>
      <w:r>
        <w:rPr>
          <w:rFonts w:hint="eastAsia" w:ascii="宋体" w:hAnsi="宋体" w:eastAsia="宋体" w:cs="宋体"/>
          <w:b/>
          <w:color w:val="auto"/>
          <w:kern w:val="0"/>
          <w:sz w:val="24"/>
          <w:szCs w:val="24"/>
          <w:highlight w:val="none"/>
          <w:lang w:val="en-US" w:eastAsia="zh-CN"/>
        </w:rPr>
        <w:t>参加谈判活动</w:t>
      </w:r>
      <w:r>
        <w:rPr>
          <w:rFonts w:hint="eastAsia" w:ascii="宋体" w:hAnsi="宋体" w:eastAsia="宋体" w:cs="宋体"/>
          <w:b/>
          <w:color w:val="auto"/>
          <w:kern w:val="0"/>
          <w:sz w:val="24"/>
          <w:szCs w:val="24"/>
          <w:highlight w:val="none"/>
        </w:rPr>
        <w:t>，只须提供法定代表人证明书及身份证原件）</w:t>
      </w:r>
    </w:p>
    <w:p w14:paraId="26E3B2A4">
      <w:pPr>
        <w:keepLines w:val="0"/>
        <w:shd w:val="clear" w:color="auto" w:fill="auto"/>
        <w:kinsoku/>
        <w:overflowPunct/>
        <w:topLinePunct w:val="0"/>
        <w:bidi w:val="0"/>
        <w:spacing w:line="360" w:lineRule="auto"/>
        <w:ind w:firstLine="720" w:firstLineChars="200"/>
        <w:jc w:val="center"/>
        <w:outlineLvl w:val="9"/>
        <w:rPr>
          <w:rFonts w:hint="eastAsia" w:ascii="宋体" w:hAnsi="宋体" w:eastAsia="宋体" w:cs="宋体"/>
          <w:b/>
          <w:bCs/>
          <w:sz w:val="44"/>
          <w:szCs w:val="44"/>
          <w:highlight w:val="none"/>
        </w:rPr>
      </w:pPr>
      <w:bookmarkStart w:id="160" w:name="_Toc6249"/>
      <w:bookmarkEnd w:id="160"/>
      <w:bookmarkStart w:id="161" w:name="_Toc496523756"/>
      <w:bookmarkStart w:id="162" w:name="_Toc495913705"/>
      <w:bookmarkStart w:id="163" w:name="_Toc6418_WPSOffice_Level1"/>
      <w:bookmarkStart w:id="164" w:name="_Toc496524284"/>
      <w:bookmarkStart w:id="165" w:name="_Toc495913706"/>
      <w:bookmarkStart w:id="166" w:name="_Toc496523757"/>
      <w:r>
        <w:rPr>
          <w:rFonts w:hint="eastAsia" w:ascii="宋体" w:hAnsi="宋体" w:eastAsia="宋体" w:cs="宋体"/>
          <w:bCs/>
          <w:sz w:val="36"/>
          <w:szCs w:val="36"/>
          <w:highlight w:val="none"/>
        </w:rPr>
        <w:br w:type="page"/>
      </w:r>
      <w:r>
        <w:rPr>
          <w:rFonts w:hint="eastAsia" w:ascii="宋体" w:hAnsi="宋体" w:eastAsia="宋体" w:cs="宋体"/>
          <w:b/>
          <w:bCs w:val="0"/>
          <w:sz w:val="32"/>
          <w:szCs w:val="32"/>
          <w:highlight w:val="none"/>
        </w:rPr>
        <w:t>法定代表人授权书</w:t>
      </w:r>
      <w:bookmarkEnd w:id="161"/>
      <w:bookmarkEnd w:id="162"/>
    </w:p>
    <w:p w14:paraId="2979F5FC">
      <w:pPr>
        <w:keepLines w:val="0"/>
        <w:shd w:val="clear" w:color="auto" w:fill="auto"/>
        <w:kinsoku/>
        <w:overflowPunct/>
        <w:topLinePunct w:val="0"/>
        <w:autoSpaceDE w:val="0"/>
        <w:autoSpaceDN w:val="0"/>
        <w:bidi w:val="0"/>
        <w:adjustRightIn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亿诚建设项目管理有限公司</w:t>
      </w:r>
      <w:r>
        <w:rPr>
          <w:rFonts w:hint="eastAsia" w:ascii="宋体" w:hAnsi="宋体" w:eastAsia="宋体" w:cs="宋体"/>
          <w:sz w:val="24"/>
          <w:szCs w:val="24"/>
          <w:highlight w:val="none"/>
        </w:rPr>
        <w:t>：</w:t>
      </w:r>
    </w:p>
    <w:p w14:paraId="457B5D34">
      <w:pPr>
        <w:keepLines w:val="0"/>
        <w:shd w:val="clear" w:color="auto" w:fill="auto"/>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（供应商名称）</w:t>
      </w:r>
      <w:r>
        <w:rPr>
          <w:rFonts w:hint="eastAsia" w:ascii="宋体" w:hAnsi="宋体" w:eastAsia="宋体" w:cs="宋体"/>
          <w:sz w:val="24"/>
          <w:szCs w:val="24"/>
          <w:highlight w:val="none"/>
        </w:rPr>
        <w:t>的法定代表人，现委托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（姓名）</w:t>
      </w:r>
      <w:r>
        <w:rPr>
          <w:rFonts w:hint="eastAsia" w:ascii="宋体" w:hAnsi="宋体" w:eastAsia="宋体" w:cs="宋体"/>
          <w:sz w:val="24"/>
          <w:szCs w:val="24"/>
          <w:highlight w:val="none"/>
        </w:rPr>
        <w:t>为我方代理人。代理人根据授权，以我方名义签署、澄清、说明、递交、撤回、修改</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rPr>
        <w:t>响应文件、签订合同和处理有关事宜，其法律后果由我方承担。</w:t>
      </w:r>
    </w:p>
    <w:p w14:paraId="56FCE63D">
      <w:pPr>
        <w:keepLines w:val="0"/>
        <w:shd w:val="clear" w:color="auto" w:fill="auto"/>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代理人无转委托权。 </w:t>
      </w:r>
    </w:p>
    <w:p w14:paraId="10D1DA11">
      <w:pPr>
        <w:keepLines w:val="0"/>
        <w:shd w:val="clear" w:color="auto" w:fill="auto"/>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14:paraId="45259370">
      <w:pPr>
        <w:keepLines w:val="0"/>
        <w:shd w:val="clear" w:color="auto" w:fill="auto"/>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     字）</w:t>
      </w:r>
    </w:p>
    <w:p w14:paraId="72C5A9F1">
      <w:pPr>
        <w:keepLines w:val="0"/>
        <w:shd w:val="clear" w:color="auto" w:fill="auto"/>
        <w:kinsoku/>
        <w:overflowPunct/>
        <w:topLinePunct w:val="0"/>
        <w:bidi w:val="0"/>
        <w:spacing w:line="360" w:lineRule="auto"/>
        <w:ind w:firstLine="480" w:firstLineChars="200"/>
        <w:outlineLvl w:val="9"/>
        <w:rPr>
          <w:rFonts w:hint="eastAsia" w:ascii="宋体" w:hAnsi="宋体" w:eastAsia="宋体" w:cs="宋体"/>
          <w:color w:val="FFFFFF"/>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582032AC">
      <w:pPr>
        <w:keepLines w:val="0"/>
        <w:shd w:val="clear" w:color="auto" w:fill="auto"/>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     字）</w:t>
      </w:r>
    </w:p>
    <w:p w14:paraId="08A39D09">
      <w:pPr>
        <w:keepLines w:val="0"/>
        <w:shd w:val="clear" w:color="auto" w:fill="auto"/>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8654F7A">
      <w:pPr>
        <w:keepLines w:val="0"/>
        <w:shd w:val="clear" w:color="auto" w:fill="auto"/>
        <w:kinsoku/>
        <w:overflowPunct/>
        <w:topLinePunct w:val="0"/>
        <w:bidi w:val="0"/>
        <w:spacing w:line="360" w:lineRule="auto"/>
        <w:ind w:firstLine="2248" w:firstLineChars="937"/>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D30B637">
      <w:pPr>
        <w:keepLines w:val="0"/>
        <w:shd w:val="clear" w:color="auto" w:fill="auto"/>
        <w:kinsoku/>
        <w:overflowPunct/>
        <w:topLinePunct w:val="0"/>
        <w:bidi w:val="0"/>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2729230" cy="1518285"/>
            <wp:effectExtent l="0" t="0" r="13970" b="5715"/>
            <wp:docPr id="3" name="图片 3" descr="wps1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1DFC"/>
                    <pic:cNvPicPr>
                      <a:picLocks noChangeAspect="1"/>
                    </pic:cNvPicPr>
                  </pic:nvPicPr>
                  <pic:blipFill>
                    <a:blip r:embed="rId12"/>
                    <a:stretch>
                      <a:fillRect/>
                    </a:stretch>
                  </pic:blipFill>
                  <pic:spPr>
                    <a:xfrm>
                      <a:off x="0" y="0"/>
                      <a:ext cx="2729230" cy="1518285"/>
                    </a:xfrm>
                    <a:prstGeom prst="rect">
                      <a:avLst/>
                    </a:prstGeom>
                    <a:noFill/>
                    <a:ln>
                      <a:noFill/>
                    </a:ln>
                  </pic:spPr>
                </pic:pic>
              </a:graphicData>
            </a:graphic>
          </wp:inline>
        </w:drawing>
      </w:r>
      <w:r>
        <w:rPr>
          <w:rFonts w:hint="eastAsia" w:ascii="宋体" w:hAnsi="宋体" w:eastAsia="宋体" w:cs="宋体"/>
          <w:sz w:val="24"/>
          <w:szCs w:val="24"/>
          <w:highlight w:val="none"/>
        </w:rPr>
        <w:drawing>
          <wp:inline distT="0" distB="0" distL="114300" distR="114300">
            <wp:extent cx="2729230" cy="1511935"/>
            <wp:effectExtent l="0" t="0" r="13970" b="12065"/>
            <wp:docPr id="4" name="图片 4" descr="wps1D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1DFD"/>
                    <pic:cNvPicPr>
                      <a:picLocks noChangeAspect="1"/>
                    </pic:cNvPicPr>
                  </pic:nvPicPr>
                  <pic:blipFill>
                    <a:blip r:embed="rId13"/>
                    <a:stretch>
                      <a:fillRect/>
                    </a:stretch>
                  </pic:blipFill>
                  <pic:spPr>
                    <a:xfrm>
                      <a:off x="0" y="0"/>
                      <a:ext cx="2729230" cy="1511935"/>
                    </a:xfrm>
                    <a:prstGeom prst="rect">
                      <a:avLst/>
                    </a:prstGeom>
                    <a:noFill/>
                    <a:ln>
                      <a:noFill/>
                    </a:ln>
                  </pic:spPr>
                </pic:pic>
              </a:graphicData>
            </a:graphic>
          </wp:inline>
        </w:drawing>
      </w:r>
      <w:r>
        <w:rPr>
          <w:rFonts w:hint="eastAsia" w:ascii="宋体" w:hAnsi="宋体" w:eastAsia="宋体" w:cs="宋体"/>
          <w:sz w:val="24"/>
          <w:szCs w:val="24"/>
          <w:highlight w:val="none"/>
        </w:rPr>
        <w:t xml:space="preserve"> </w:t>
      </w:r>
    </w:p>
    <w:p w14:paraId="0B6E7E72">
      <w:pPr>
        <w:keepLines w:val="0"/>
        <w:shd w:val="clear" w:color="auto" w:fill="auto"/>
        <w:kinsoku/>
        <w:overflowPunct/>
        <w:topLinePunct w:val="0"/>
        <w:bidi w:val="0"/>
        <w:spacing w:line="360" w:lineRule="auto"/>
        <w:jc w:val="center"/>
        <w:outlineLvl w:val="9"/>
        <w:rPr>
          <w:rFonts w:hint="eastAsia" w:ascii="宋体" w:hAnsi="宋体" w:eastAsia="宋体" w:cs="宋体"/>
          <w:sz w:val="24"/>
          <w:szCs w:val="24"/>
          <w:highlight w:val="none"/>
        </w:rPr>
      </w:pPr>
    </w:p>
    <w:p w14:paraId="7A8E30BD">
      <w:pPr>
        <w:keepLines w:val="0"/>
        <w:shd w:val="clear" w:color="auto" w:fill="auto"/>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本授权有效期：    年    月   日至     年   月   日</w:t>
      </w:r>
    </w:p>
    <w:p w14:paraId="556554C3">
      <w:pPr>
        <w:keepLines w:val="0"/>
        <w:shd w:val="clear" w:color="auto" w:fill="auto"/>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(要求：本授权有效期为自开标之日起不少于90天)</w:t>
      </w:r>
    </w:p>
    <w:p w14:paraId="7191F7AA">
      <w:pPr>
        <w:keepLines w:val="0"/>
        <w:shd w:val="clear" w:color="auto" w:fill="auto"/>
        <w:kinsoku/>
        <w:overflowPunct/>
        <w:topLinePunct w:val="0"/>
        <w:bidi w:val="0"/>
        <w:spacing w:line="360" w:lineRule="auto"/>
        <w:jc w:val="center"/>
        <w:outlineLvl w:val="9"/>
        <w:rPr>
          <w:rFonts w:hint="eastAsia" w:ascii="宋体" w:hAnsi="宋体" w:eastAsia="宋体" w:cs="宋体"/>
          <w:sz w:val="24"/>
          <w:szCs w:val="24"/>
          <w:highlight w:val="none"/>
        </w:rPr>
      </w:pPr>
    </w:p>
    <w:p w14:paraId="42B330C1">
      <w:pPr>
        <w:keepLines w:val="0"/>
        <w:shd w:val="clear" w:color="auto" w:fill="auto"/>
        <w:kinsoku/>
        <w:overflowPunct/>
        <w:topLinePunct w:val="0"/>
        <w:bidi w:val="0"/>
        <w:spacing w:line="360" w:lineRule="auto"/>
        <w:jc w:val="center"/>
        <w:outlineLvl w:val="9"/>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后附：授权代表在投标前6个月内（不含投标当月）任意3个月由供应商缴纳社保证明材料的复印件；</w:t>
      </w:r>
    </w:p>
    <w:p w14:paraId="293F59F6">
      <w:pPr>
        <w:keepLines w:val="0"/>
        <w:shd w:val="clear" w:color="auto" w:fill="auto"/>
        <w:kinsoku/>
        <w:overflowPunct/>
        <w:topLinePunct w:val="0"/>
        <w:bidi w:val="0"/>
        <w:spacing w:line="360" w:lineRule="auto"/>
        <w:jc w:val="center"/>
        <w:outlineLvl w:val="9"/>
        <w:rPr>
          <w:rFonts w:hint="eastAsia" w:ascii="宋体" w:hAnsi="宋体" w:eastAsia="宋体" w:cs="宋体"/>
          <w:color w:val="auto"/>
          <w:kern w:val="2"/>
          <w:sz w:val="24"/>
          <w:szCs w:val="24"/>
          <w:highlight w:val="none"/>
          <w:lang w:val="en-US" w:eastAsia="zh-CN"/>
        </w:rPr>
        <w:sectPr>
          <w:pgSz w:w="11906" w:h="16838"/>
          <w:pgMar w:top="1440" w:right="1080" w:bottom="1440" w:left="1080" w:header="851" w:footer="850"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CFB5633">
      <w:pPr>
        <w:keepLines w:val="0"/>
        <w:shd w:val="clear" w:color="auto" w:fill="auto"/>
        <w:kinsoku/>
        <w:overflowPunct/>
        <w:topLinePunct w:val="0"/>
        <w:bidi w:val="0"/>
        <w:spacing w:line="360" w:lineRule="auto"/>
        <w:ind w:firstLine="643" w:firstLineChars="200"/>
        <w:jc w:val="center"/>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承诺函</w:t>
      </w:r>
    </w:p>
    <w:p w14:paraId="4FB5DA25">
      <w:pPr>
        <w:pStyle w:val="33"/>
        <w:shd w:val="clear" w:color="auto" w:fill="auto"/>
        <w:spacing w:line="360" w:lineRule="auto"/>
        <w:ind w:firstLine="240"/>
        <w:rPr>
          <w:rFonts w:hint="eastAsia" w:ascii="宋体" w:hAnsi="宋体" w:eastAsia="宋体" w:cs="宋体"/>
          <w:sz w:val="24"/>
          <w:szCs w:val="24"/>
          <w:highlight w:val="none"/>
        </w:rPr>
      </w:pPr>
    </w:p>
    <w:p w14:paraId="2248DE67">
      <w:pPr>
        <w:shd w:val="clear" w:color="auto" w:fill="auto"/>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（采购人名称）</w:t>
      </w:r>
    </w:p>
    <w:p w14:paraId="538035EA">
      <w:pPr>
        <w:pStyle w:val="33"/>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我单位作为参加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，现郑重承诺我单位具备《中华人民共和国政府采购法》第二十二条供应商参加政府采购活动的基本资格条件： </w:t>
      </w:r>
    </w:p>
    <w:p w14:paraId="627E0082">
      <w:pPr>
        <w:pStyle w:val="33"/>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（一）我单位具有独立承担民事责任的能力； </w:t>
      </w:r>
    </w:p>
    <w:p w14:paraId="6C05ED0B">
      <w:pPr>
        <w:pStyle w:val="33"/>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（二）我单位具有良好的商业信誉和健全的财务会计制度；</w:t>
      </w:r>
    </w:p>
    <w:p w14:paraId="72A3BC86">
      <w:pPr>
        <w:pStyle w:val="33"/>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（三）我单位具有履行合同所必需的设备和专业技术能力； </w:t>
      </w:r>
    </w:p>
    <w:p w14:paraId="07C6491C">
      <w:pPr>
        <w:pStyle w:val="33"/>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（四）我单位有依法缴纳税收和社会保障资金的良好记录； </w:t>
      </w:r>
    </w:p>
    <w:p w14:paraId="42D769B5">
      <w:pPr>
        <w:pStyle w:val="33"/>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（五）我单位参加政府采购活动前三年内，在经营活动中没有重大违法记录； </w:t>
      </w:r>
    </w:p>
    <w:p w14:paraId="1B9203C9">
      <w:pPr>
        <w:pStyle w:val="33"/>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（六）我单位满足法律、行政法规规定的其他条件。</w:t>
      </w:r>
    </w:p>
    <w:p w14:paraId="3D337392">
      <w:pPr>
        <w:pStyle w:val="33"/>
        <w:shd w:val="clear" w:color="auto" w:fill="auto"/>
        <w:spacing w:line="360" w:lineRule="auto"/>
        <w:ind w:firstLine="480" w:firstLineChars="200"/>
        <w:rPr>
          <w:rFonts w:hint="eastAsia" w:ascii="宋体" w:hAnsi="宋体" w:eastAsia="宋体" w:cs="宋体"/>
          <w:sz w:val="24"/>
          <w:szCs w:val="24"/>
          <w:highlight w:val="none"/>
        </w:rPr>
      </w:pPr>
    </w:p>
    <w:p w14:paraId="658CE418">
      <w:pPr>
        <w:shd w:val="clear" w:color="auto" w:fill="auto"/>
        <w:spacing w:line="360" w:lineRule="auto"/>
        <w:ind w:firstLine="482" w:firstLineChars="200"/>
        <w:rPr>
          <w:rFonts w:hint="eastAsia" w:ascii="宋体" w:hAnsi="宋体" w:eastAsia="宋体" w:cs="宋体"/>
          <w:b/>
          <w:color w:val="000000"/>
          <w:sz w:val="24"/>
          <w:szCs w:val="24"/>
          <w:highlight w:val="none"/>
        </w:rPr>
      </w:pPr>
    </w:p>
    <w:p w14:paraId="314B3765">
      <w:pPr>
        <w:shd w:val="clear" w:color="auto" w:fill="auto"/>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供应商：</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 xml:space="preserve">（盖章）  </w:t>
      </w:r>
    </w:p>
    <w:p w14:paraId="5AC87FE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法定代表人</w:t>
      </w:r>
      <w:r>
        <w:rPr>
          <w:rFonts w:hint="eastAsia" w:ascii="宋体" w:hAnsi="宋体" w:eastAsia="宋体" w:cs="宋体"/>
          <w:b w:val="0"/>
          <w:bCs/>
          <w:color w:val="000000"/>
          <w:sz w:val="24"/>
          <w:szCs w:val="24"/>
          <w:highlight w:val="none"/>
          <w:lang w:eastAsia="zh-CN"/>
        </w:rPr>
        <w:t>或</w:t>
      </w:r>
    </w:p>
    <w:p w14:paraId="21F2872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w:t>
      </w:r>
      <w:r>
        <w:rPr>
          <w:rFonts w:hint="eastAsia" w:ascii="宋体" w:hAnsi="宋体" w:eastAsia="宋体" w:cs="宋体"/>
          <w:b w:val="0"/>
          <w:bCs/>
          <w:color w:val="000000"/>
          <w:sz w:val="24"/>
          <w:szCs w:val="24"/>
          <w:highlight w:val="none"/>
          <w:lang w:eastAsia="zh-CN"/>
        </w:rPr>
        <w:t>盖章</w:t>
      </w:r>
      <w:r>
        <w:rPr>
          <w:rFonts w:hint="eastAsia" w:ascii="宋体" w:hAnsi="宋体" w:eastAsia="宋体" w:cs="宋体"/>
          <w:b w:val="0"/>
          <w:bCs/>
          <w:color w:val="000000"/>
          <w:sz w:val="24"/>
          <w:szCs w:val="24"/>
          <w:highlight w:val="none"/>
        </w:rPr>
        <w:t xml:space="preserve">）  </w:t>
      </w:r>
    </w:p>
    <w:p w14:paraId="6BFE0F83">
      <w:pPr>
        <w:shd w:val="clear" w:color="auto" w:fill="auto"/>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日    期：  年  月  日</w:t>
      </w:r>
    </w:p>
    <w:p w14:paraId="52D36CFD">
      <w:pPr>
        <w:keepLines w:val="0"/>
        <w:shd w:val="clear" w:color="auto" w:fill="auto"/>
        <w:kinsoku/>
        <w:overflowPunct/>
        <w:topLinePunct w:val="0"/>
        <w:bidi w:val="0"/>
        <w:spacing w:line="360" w:lineRule="auto"/>
        <w:ind w:firstLine="640" w:firstLineChars="200"/>
        <w:jc w:val="center"/>
        <w:outlineLvl w:val="9"/>
        <w:rPr>
          <w:rFonts w:hint="eastAsia" w:ascii="宋体" w:hAnsi="宋体" w:eastAsia="宋体" w:cs="宋体"/>
          <w:b/>
          <w:color w:val="000000"/>
          <w:sz w:val="30"/>
          <w:szCs w:val="30"/>
          <w:highlight w:val="none"/>
        </w:rPr>
      </w:pPr>
      <w:r>
        <w:rPr>
          <w:rFonts w:hint="eastAsia" w:ascii="宋体" w:hAnsi="宋体" w:eastAsia="宋体" w:cs="宋体"/>
          <w:b w:val="0"/>
          <w:bCs/>
          <w:color w:val="000000"/>
          <w:sz w:val="32"/>
          <w:szCs w:val="32"/>
          <w:highlight w:val="none"/>
        </w:rPr>
        <w:br w:type="page"/>
      </w:r>
      <w:r>
        <w:rPr>
          <w:rFonts w:hint="eastAsia" w:ascii="宋体" w:hAnsi="宋体" w:eastAsia="宋体" w:cs="宋体"/>
          <w:b/>
          <w:bCs w:val="0"/>
          <w:sz w:val="32"/>
          <w:szCs w:val="32"/>
          <w:highlight w:val="none"/>
        </w:rPr>
        <w:t>非联合体投标声明</w:t>
      </w:r>
    </w:p>
    <w:p w14:paraId="761E76FF">
      <w:pPr>
        <w:shd w:val="clear" w:color="auto" w:fill="auto"/>
        <w:spacing w:line="360" w:lineRule="auto"/>
        <w:jc w:val="center"/>
        <w:rPr>
          <w:rFonts w:hint="eastAsia" w:ascii="宋体" w:hAnsi="宋体" w:eastAsia="宋体" w:cs="宋体"/>
          <w:b/>
          <w:color w:val="000000"/>
          <w:sz w:val="44"/>
          <w:szCs w:val="44"/>
          <w:highlight w:val="none"/>
        </w:rPr>
      </w:pPr>
    </w:p>
    <w:p w14:paraId="658C9738">
      <w:pPr>
        <w:shd w:val="clear" w:color="auto" w:fill="auto"/>
        <w:spacing w:line="360" w:lineRule="auto"/>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（采购人名称）</w:t>
      </w:r>
    </w:p>
    <w:p w14:paraId="4BE0C930">
      <w:pPr>
        <w:shd w:val="clear" w:color="auto" w:fill="auto"/>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我公司收到贵单位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采购项目</w:t>
      </w:r>
      <w:r>
        <w:rPr>
          <w:rFonts w:hint="eastAsia" w:ascii="宋体" w:hAnsi="宋体" w:eastAsia="宋体" w:cs="宋体"/>
          <w:color w:val="000000"/>
          <w:sz w:val="24"/>
          <w:szCs w:val="24"/>
          <w:highlight w:val="none"/>
          <w:lang w:val="en-US" w:eastAsia="zh-CN"/>
        </w:rPr>
        <w:t>竞争性谈判</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文件，经详细研究，我们决定参加该项目的</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活动。为此，我方郑重声明以下内容，并负法律责任。</w:t>
      </w:r>
    </w:p>
    <w:p w14:paraId="090D45D5">
      <w:pPr>
        <w:shd w:val="clear" w:color="auto" w:fill="auto"/>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1.本项目我公司以自己的名义参加投标，不存在联合体投标的情况。</w:t>
      </w:r>
    </w:p>
    <w:p w14:paraId="0A3D8A2A">
      <w:pPr>
        <w:pStyle w:val="30"/>
        <w:shd w:val="clear" w:color="auto" w:fill="auto"/>
        <w:spacing w:before="0" w:beforeAutospacing="0" w:after="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2.我公司愿按《中华人民共和国</w:t>
      </w:r>
      <w:r>
        <w:rPr>
          <w:rFonts w:hint="eastAsia" w:ascii="宋体" w:hAnsi="宋体" w:eastAsia="宋体" w:cs="宋体"/>
          <w:color w:val="000000"/>
          <w:sz w:val="24"/>
          <w:szCs w:val="24"/>
          <w:highlight w:val="none"/>
          <w:lang w:val="en-US" w:eastAsia="zh-CN"/>
        </w:rPr>
        <w:t>民法典</w:t>
      </w:r>
      <w:r>
        <w:rPr>
          <w:rFonts w:hint="eastAsia" w:ascii="宋体" w:hAnsi="宋体" w:eastAsia="宋体" w:cs="宋体"/>
          <w:color w:val="000000"/>
          <w:sz w:val="24"/>
          <w:szCs w:val="24"/>
          <w:highlight w:val="none"/>
        </w:rPr>
        <w:t>》履行自己的全部责任。</w:t>
      </w:r>
    </w:p>
    <w:p w14:paraId="6B9A888B">
      <w:pPr>
        <w:pStyle w:val="30"/>
        <w:shd w:val="clear" w:color="auto" w:fill="auto"/>
        <w:spacing w:before="0" w:beforeAutospacing="0" w:after="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14:paraId="2165C405">
      <w:pPr>
        <w:pStyle w:val="30"/>
        <w:shd w:val="clear" w:color="auto" w:fill="auto"/>
        <w:spacing w:before="0" w:beforeAutospacing="0" w:after="0" w:afterAutospacing="0" w:line="360" w:lineRule="auto"/>
        <w:ind w:firstLine="480" w:firstLineChars="200"/>
        <w:rPr>
          <w:rFonts w:hint="eastAsia" w:ascii="宋体" w:hAnsi="宋体" w:eastAsia="宋体" w:cs="宋体"/>
          <w:color w:val="000000"/>
          <w:sz w:val="24"/>
          <w:szCs w:val="24"/>
          <w:highlight w:val="none"/>
        </w:rPr>
      </w:pPr>
    </w:p>
    <w:p w14:paraId="1425B6A1">
      <w:pPr>
        <w:pStyle w:val="30"/>
        <w:shd w:val="clear" w:color="auto" w:fill="auto"/>
        <w:spacing w:before="0" w:beforeAutospacing="0" w:after="0" w:afterAutospacing="0" w:line="360" w:lineRule="auto"/>
        <w:ind w:firstLine="480" w:firstLineChars="200"/>
        <w:rPr>
          <w:rFonts w:hint="eastAsia" w:ascii="宋体" w:hAnsi="宋体" w:eastAsia="宋体" w:cs="宋体"/>
          <w:color w:val="000000"/>
          <w:sz w:val="24"/>
          <w:szCs w:val="24"/>
          <w:highlight w:val="none"/>
        </w:rPr>
      </w:pPr>
    </w:p>
    <w:p w14:paraId="382EAC59">
      <w:pPr>
        <w:shd w:val="clear" w:color="auto" w:fill="auto"/>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供应商</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（盖章）</w:t>
      </w:r>
    </w:p>
    <w:p w14:paraId="528A116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法定代表人</w:t>
      </w:r>
      <w:r>
        <w:rPr>
          <w:rFonts w:hint="eastAsia" w:ascii="宋体" w:hAnsi="宋体" w:eastAsia="宋体" w:cs="宋体"/>
          <w:b w:val="0"/>
          <w:bCs/>
          <w:color w:val="000000"/>
          <w:sz w:val="24"/>
          <w:szCs w:val="24"/>
          <w:highlight w:val="none"/>
          <w:lang w:eastAsia="zh-CN"/>
        </w:rPr>
        <w:t>或</w:t>
      </w:r>
    </w:p>
    <w:p w14:paraId="014644D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w:t>
      </w:r>
      <w:r>
        <w:rPr>
          <w:rFonts w:hint="eastAsia" w:ascii="宋体" w:hAnsi="宋体" w:eastAsia="宋体" w:cs="宋体"/>
          <w:b w:val="0"/>
          <w:bCs/>
          <w:color w:val="000000"/>
          <w:sz w:val="24"/>
          <w:szCs w:val="24"/>
          <w:highlight w:val="none"/>
          <w:lang w:eastAsia="zh-CN"/>
        </w:rPr>
        <w:t>盖章</w:t>
      </w:r>
      <w:r>
        <w:rPr>
          <w:rFonts w:hint="eastAsia" w:ascii="宋体" w:hAnsi="宋体" w:eastAsia="宋体" w:cs="宋体"/>
          <w:b w:val="0"/>
          <w:bCs/>
          <w:color w:val="000000"/>
          <w:sz w:val="24"/>
          <w:szCs w:val="24"/>
          <w:highlight w:val="none"/>
        </w:rPr>
        <w:t>）</w:t>
      </w:r>
    </w:p>
    <w:p w14:paraId="483F2E1F">
      <w:pPr>
        <w:shd w:val="clear" w:color="auto" w:fill="auto"/>
        <w:spacing w:line="360" w:lineRule="auto"/>
        <w:ind w:right="514" w:rightChars="257"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日期：  年  月  日</w:t>
      </w:r>
    </w:p>
    <w:p w14:paraId="66DEFA93">
      <w:pPr>
        <w:keepLines w:val="0"/>
        <w:shd w:val="clear" w:color="auto" w:fill="auto"/>
        <w:kinsoku/>
        <w:overflowPunct/>
        <w:topLinePunct w:val="0"/>
        <w:bidi w:val="0"/>
        <w:spacing w:line="360" w:lineRule="auto"/>
        <w:ind w:firstLine="640" w:firstLineChars="200"/>
        <w:jc w:val="center"/>
        <w:outlineLvl w:val="9"/>
        <w:rPr>
          <w:rFonts w:hint="eastAsia" w:ascii="宋体" w:hAnsi="宋体" w:eastAsia="宋体" w:cs="宋体"/>
          <w:b/>
          <w:bCs w:val="0"/>
          <w:sz w:val="32"/>
          <w:szCs w:val="32"/>
          <w:highlight w:val="none"/>
        </w:rPr>
      </w:pPr>
      <w:r>
        <w:rPr>
          <w:rFonts w:hint="eastAsia" w:ascii="宋体" w:hAnsi="宋体" w:eastAsia="宋体" w:cs="宋体"/>
          <w:b w:val="0"/>
          <w:bCs/>
          <w:color w:val="000000"/>
          <w:sz w:val="32"/>
          <w:szCs w:val="32"/>
          <w:highlight w:val="none"/>
        </w:rPr>
        <w:br w:type="page"/>
      </w:r>
      <w:r>
        <w:rPr>
          <w:rFonts w:hint="eastAsia" w:ascii="宋体" w:hAnsi="宋体" w:eastAsia="宋体" w:cs="宋体"/>
          <w:b/>
          <w:bCs w:val="0"/>
          <w:sz w:val="32"/>
          <w:szCs w:val="32"/>
          <w:highlight w:val="none"/>
          <w:lang w:val="en-US" w:eastAsia="zh-CN"/>
        </w:rPr>
        <w:t>关联</w:t>
      </w:r>
      <w:r>
        <w:rPr>
          <w:rFonts w:hint="eastAsia" w:ascii="宋体" w:hAnsi="宋体" w:eastAsia="宋体" w:cs="宋体"/>
          <w:b/>
          <w:bCs w:val="0"/>
          <w:sz w:val="32"/>
          <w:szCs w:val="32"/>
          <w:highlight w:val="none"/>
        </w:rPr>
        <w:t>关系承诺书</w:t>
      </w:r>
    </w:p>
    <w:p w14:paraId="7989AE6A">
      <w:pPr>
        <w:shd w:val="clear" w:color="auto" w:fill="auto"/>
        <w:jc w:val="center"/>
        <w:rPr>
          <w:rFonts w:hint="eastAsia" w:ascii="宋体" w:hAnsi="宋体" w:eastAsia="宋体" w:cs="宋体"/>
          <w:highlight w:val="none"/>
        </w:rPr>
      </w:pPr>
    </w:p>
    <w:p w14:paraId="36178F9E">
      <w:pPr>
        <w:shd w:val="clear" w:color="auto" w:fill="auto"/>
        <w:spacing w:line="70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（采购人名称）</w:t>
      </w:r>
    </w:p>
    <w:p w14:paraId="7F4BBD15">
      <w:pPr>
        <w:shd w:val="clear" w:color="auto" w:fill="auto"/>
        <w:spacing w:line="7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我公司参加贵单位组织的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（项目名称） </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val="en-US" w:eastAsia="zh-CN"/>
        </w:rPr>
        <w:t>编</w:t>
      </w:r>
      <w:r>
        <w:rPr>
          <w:rFonts w:hint="eastAsia" w:ascii="宋体" w:hAnsi="宋体" w:eastAsia="宋体" w:cs="宋体"/>
          <w:color w:val="000000"/>
          <w:sz w:val="24"/>
          <w:szCs w:val="24"/>
          <w:highlight w:val="none"/>
        </w:rPr>
        <w:t>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）的投标，现我公司向贵单位承诺：</w:t>
      </w:r>
    </w:p>
    <w:p w14:paraId="439CB545">
      <w:pPr>
        <w:shd w:val="clear" w:color="auto" w:fill="auto"/>
        <w:spacing w:line="7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我公司郑重承诺，我公司参加此次项目的投标，</w:t>
      </w:r>
      <w:r>
        <w:rPr>
          <w:rFonts w:hint="eastAsia" w:ascii="宋体" w:hAnsi="宋体" w:cs="宋体"/>
          <w:color w:val="000000"/>
          <w:sz w:val="24"/>
          <w:szCs w:val="24"/>
          <w:highlight w:val="none"/>
          <w:lang w:val="en-US" w:eastAsia="zh-CN"/>
        </w:rPr>
        <w:t>我公司非</w:t>
      </w:r>
      <w:r>
        <w:rPr>
          <w:rFonts w:hint="eastAsia" w:ascii="宋体" w:hAnsi="宋体" w:eastAsia="宋体" w:cs="宋体"/>
          <w:color w:val="auto"/>
          <w:kern w:val="2"/>
          <w:sz w:val="24"/>
          <w:szCs w:val="24"/>
          <w:highlight w:val="none"/>
          <w:lang w:val="en-US" w:eastAsia="zh-CN"/>
        </w:rPr>
        <w:t>西安市红会医院职工及其亲属投资举办的企业，且</w:t>
      </w:r>
      <w:r>
        <w:rPr>
          <w:rFonts w:hint="eastAsia" w:ascii="宋体" w:hAnsi="宋体" w:eastAsia="宋体" w:cs="宋体"/>
          <w:color w:val="000000"/>
          <w:sz w:val="24"/>
          <w:szCs w:val="24"/>
          <w:highlight w:val="none"/>
        </w:rPr>
        <w:t>不存在</w:t>
      </w:r>
      <w:r>
        <w:rPr>
          <w:rFonts w:hint="eastAsia" w:ascii="宋体" w:hAnsi="宋体" w:cs="宋体"/>
          <w:color w:val="000000"/>
          <w:sz w:val="24"/>
          <w:szCs w:val="24"/>
          <w:highlight w:val="none"/>
          <w:lang w:val="en-US" w:eastAsia="zh-CN"/>
        </w:rPr>
        <w:t>单</w:t>
      </w:r>
      <w:r>
        <w:rPr>
          <w:rFonts w:hint="eastAsia" w:ascii="宋体" w:hAnsi="宋体" w:eastAsia="宋体" w:cs="宋体"/>
          <w:color w:val="auto"/>
          <w:kern w:val="2"/>
          <w:sz w:val="24"/>
          <w:szCs w:val="24"/>
          <w:highlight w:val="none"/>
          <w:lang w:val="en-US" w:eastAsia="zh-CN"/>
        </w:rPr>
        <w:t>位负责人为同一人或者存在控股、管理关系的不同供应商，同时参加本项目采购活动</w:t>
      </w:r>
      <w:r>
        <w:rPr>
          <w:rFonts w:hint="eastAsia" w:ascii="宋体" w:hAnsi="宋体" w:cs="宋体"/>
          <w:color w:val="auto"/>
          <w:kern w:val="2"/>
          <w:sz w:val="24"/>
          <w:szCs w:val="24"/>
          <w:highlight w:val="none"/>
          <w:lang w:val="en-US" w:eastAsia="zh-CN"/>
        </w:rPr>
        <w:t>。</w:t>
      </w:r>
      <w:r>
        <w:rPr>
          <w:rFonts w:hint="eastAsia" w:ascii="宋体" w:hAnsi="宋体" w:eastAsia="宋体" w:cs="宋体"/>
          <w:color w:val="000000"/>
          <w:sz w:val="24"/>
          <w:szCs w:val="24"/>
          <w:highlight w:val="none"/>
        </w:rPr>
        <w:t>如有虚假或隐瞒，我公司愿承担一切后果。</w:t>
      </w:r>
    </w:p>
    <w:p w14:paraId="59DECF48">
      <w:pPr>
        <w:shd w:val="clear" w:color="auto" w:fill="auto"/>
        <w:spacing w:line="7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14:paraId="5DDD7F17">
      <w:pPr>
        <w:shd w:val="clear" w:color="auto" w:fill="auto"/>
        <w:spacing w:line="700" w:lineRule="exact"/>
        <w:ind w:firstLine="3614" w:firstLineChars="1500"/>
        <w:rPr>
          <w:rFonts w:hint="eastAsia" w:ascii="宋体" w:hAnsi="宋体" w:eastAsia="宋体" w:cs="宋体"/>
          <w:b/>
          <w:color w:val="000000"/>
          <w:sz w:val="24"/>
          <w:szCs w:val="24"/>
          <w:highlight w:val="none"/>
        </w:rPr>
      </w:pPr>
    </w:p>
    <w:p w14:paraId="70E870E5">
      <w:pPr>
        <w:shd w:val="clear" w:color="auto" w:fill="auto"/>
        <w:spacing w:line="700" w:lineRule="exact"/>
        <w:ind w:firstLine="3614" w:firstLineChars="1500"/>
        <w:rPr>
          <w:rFonts w:hint="eastAsia" w:ascii="宋体" w:hAnsi="宋体" w:eastAsia="宋体" w:cs="宋体"/>
          <w:b/>
          <w:color w:val="000000"/>
          <w:sz w:val="24"/>
          <w:szCs w:val="24"/>
          <w:highlight w:val="none"/>
        </w:rPr>
      </w:pPr>
    </w:p>
    <w:p w14:paraId="65665311">
      <w:pPr>
        <w:shd w:val="clear" w:color="auto" w:fill="auto"/>
        <w:spacing w:line="700" w:lineRule="exact"/>
        <w:ind w:firstLine="3614" w:firstLineChars="1500"/>
        <w:rPr>
          <w:rFonts w:hint="eastAsia" w:ascii="宋体" w:hAnsi="宋体" w:eastAsia="宋体" w:cs="宋体"/>
          <w:b/>
          <w:color w:val="000000"/>
          <w:sz w:val="24"/>
          <w:szCs w:val="24"/>
          <w:highlight w:val="none"/>
        </w:rPr>
      </w:pPr>
    </w:p>
    <w:p w14:paraId="42567A3F">
      <w:pPr>
        <w:shd w:val="clear" w:color="auto" w:fill="auto"/>
        <w:spacing w:line="700" w:lineRule="exact"/>
        <w:ind w:firstLine="3600" w:firstLineChars="15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供应商：</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（盖章）</w:t>
      </w:r>
    </w:p>
    <w:p w14:paraId="53F6D285">
      <w:pPr>
        <w:pStyle w:val="18"/>
        <w:shd w:val="clear" w:color="auto" w:fill="auto"/>
        <w:rPr>
          <w:rFonts w:hint="eastAsia" w:ascii="宋体" w:hAnsi="宋体" w:eastAsia="宋体" w:cs="宋体"/>
          <w:b w:val="0"/>
          <w:bCs/>
          <w:sz w:val="24"/>
          <w:szCs w:val="24"/>
          <w:highlight w:val="none"/>
        </w:rPr>
      </w:pPr>
    </w:p>
    <w:p w14:paraId="15D9C48E">
      <w:pPr>
        <w:shd w:val="clear" w:color="auto" w:fill="auto"/>
        <w:spacing w:line="360" w:lineRule="auto"/>
        <w:ind w:firstLine="3840" w:firstLineChars="1600"/>
        <w:jc w:val="left"/>
        <w:rPr>
          <w:rFonts w:hint="eastAsia" w:ascii="宋体" w:hAnsi="宋体" w:eastAsia="宋体" w:cs="宋体"/>
          <w:b w:val="0"/>
          <w:bCs/>
          <w:color w:val="000000"/>
          <w:sz w:val="24"/>
          <w:szCs w:val="24"/>
          <w:highlight w:val="none"/>
        </w:rPr>
        <w:sectPr>
          <w:footerReference r:id="rId7" w:type="first"/>
          <w:footerReference r:id="rId6" w:type="default"/>
          <w:pgSz w:w="11906" w:h="16838"/>
          <w:pgMar w:top="1440" w:right="1440" w:bottom="1440" w:left="1440" w:header="851" w:footer="992" w:gutter="0"/>
          <w:lnNumType w:countBy="0" w:distance="360"/>
          <w:pgNumType w:fmt="decimal"/>
          <w:cols w:space="720" w:num="1"/>
          <w:titlePg/>
          <w:docGrid w:linePitch="312" w:charSpace="889"/>
        </w:sectPr>
      </w:pPr>
      <w:r>
        <w:rPr>
          <w:rFonts w:hint="eastAsia" w:ascii="宋体" w:hAnsi="宋体" w:eastAsia="宋体" w:cs="宋体"/>
          <w:b w:val="0"/>
          <w:bCs/>
          <w:color w:val="000000"/>
          <w:sz w:val="24"/>
          <w:szCs w:val="24"/>
          <w:highlight w:val="none"/>
        </w:rPr>
        <w:t>日期：   年   月    日</w:t>
      </w:r>
    </w:p>
    <w:p w14:paraId="14BCCCAA">
      <w:pPr>
        <w:keepLines w:val="0"/>
        <w:shd w:val="clear" w:color="auto" w:fill="auto"/>
        <w:kinsoku/>
        <w:overflowPunct/>
        <w:topLinePunct w:val="0"/>
        <w:bidi w:val="0"/>
        <w:spacing w:line="360" w:lineRule="auto"/>
        <w:jc w:val="center"/>
        <w:outlineLvl w:val="9"/>
        <w:rPr>
          <w:rFonts w:hint="eastAsia" w:ascii="宋体" w:hAnsi="宋体" w:eastAsia="宋体" w:cs="宋体"/>
          <w:bCs/>
          <w:kern w:val="0"/>
          <w:highlight w:val="none"/>
        </w:rPr>
      </w:pPr>
      <w:r>
        <w:rPr>
          <w:rFonts w:hint="eastAsia" w:ascii="宋体" w:hAnsi="宋体" w:eastAsia="宋体" w:cs="宋体"/>
          <w:b/>
          <w:bCs w:val="0"/>
          <w:kern w:val="0"/>
          <w:sz w:val="32"/>
          <w:szCs w:val="32"/>
          <w:highlight w:val="none"/>
        </w:rPr>
        <w:t>第六部分  供应商认为有必要说明的其他问题</w:t>
      </w:r>
      <w:bookmarkEnd w:id="163"/>
    </w:p>
    <w:p w14:paraId="44822D0F">
      <w:pPr>
        <w:keepLines w:val="0"/>
        <w:shd w:val="clear" w:color="auto" w:fill="auto"/>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供应商若符合下列政策的在此提供对应的证明材料，若未在此提供证明材料的，后果自负。供应商应按照自身情况如实编写此部分内容，若不符合下述政策的，此部分写“无”。政策如下：</w:t>
      </w:r>
    </w:p>
    <w:p w14:paraId="2434B983">
      <w:pPr>
        <w:keepLines w:val="0"/>
        <w:shd w:val="clear" w:color="auto" w:fill="auto"/>
        <w:kinsoku/>
        <w:overflowPunct/>
        <w:topLinePunct w:val="0"/>
        <w:bidi w:val="0"/>
        <w:adjustRightInd w:val="0"/>
        <w:snapToGrid w:val="0"/>
        <w:spacing w:line="360" w:lineRule="auto"/>
        <w:ind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（1）《政府采购促进中小企业发展管理办法》（财库〔2020〕46号）；</w:t>
      </w:r>
    </w:p>
    <w:p w14:paraId="1A0965EB">
      <w:pPr>
        <w:keepLines w:val="0"/>
        <w:shd w:val="clear" w:color="auto" w:fill="auto"/>
        <w:kinsoku/>
        <w:overflowPunct/>
        <w:topLinePunct w:val="0"/>
        <w:bidi w:val="0"/>
        <w:adjustRightInd w:val="0"/>
        <w:snapToGrid w:val="0"/>
        <w:spacing w:line="360" w:lineRule="auto"/>
        <w:ind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（2）《关于政府采购支持监狱企业发展有关问题的通知》（财库〔2014〕68号）；</w:t>
      </w:r>
    </w:p>
    <w:p w14:paraId="2019110E">
      <w:pPr>
        <w:keepLines w:val="0"/>
        <w:shd w:val="clear" w:color="auto" w:fill="auto"/>
        <w:kinsoku/>
        <w:overflowPunct/>
        <w:topLinePunct w:val="0"/>
        <w:bidi w:val="0"/>
        <w:adjustRightInd w:val="0"/>
        <w:snapToGrid w:val="0"/>
        <w:spacing w:line="360" w:lineRule="auto"/>
        <w:ind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（3）《国务院办公厅关于建立政府强制采购节能产品制度的通知》（国办发〔200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〕51号）；</w:t>
      </w:r>
    </w:p>
    <w:p w14:paraId="3AC31C0D">
      <w:pPr>
        <w:keepLines w:val="0"/>
        <w:shd w:val="clear" w:color="auto" w:fill="auto"/>
        <w:kinsoku/>
        <w:overflowPunct/>
        <w:topLinePunct w:val="0"/>
        <w:bidi w:val="0"/>
        <w:adjustRightInd w:val="0"/>
        <w:snapToGrid w:val="0"/>
        <w:spacing w:line="360" w:lineRule="auto"/>
        <w:ind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）《关于促进残疾人就业政府采购政策的通知》（财库〔2017〕141号）。</w:t>
      </w:r>
    </w:p>
    <w:p w14:paraId="67576E42">
      <w:pPr>
        <w:keepLines w:val="0"/>
        <w:shd w:val="clear" w:color="auto" w:fill="auto"/>
        <w:kinsoku/>
        <w:overflowPunct/>
        <w:topLinePunct w:val="0"/>
        <w:bidi w:val="0"/>
        <w:adjustRightInd w:val="0"/>
        <w:snapToGrid w:val="0"/>
        <w:spacing w:line="360" w:lineRule="auto"/>
        <w:ind w:firstLine="480" w:firstLineChars="200"/>
        <w:jc w:val="both"/>
        <w:outlineLvl w:val="9"/>
        <w:rPr>
          <w:rFonts w:hint="eastAsia" w:ascii="宋体" w:hAnsi="宋体" w:eastAsia="宋体" w:cs="宋体"/>
          <w:sz w:val="24"/>
          <w:szCs w:val="24"/>
          <w:highlight w:val="none"/>
        </w:rPr>
      </w:pPr>
      <w:bookmarkStart w:id="167" w:name="_Toc16070"/>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）其他需要落实的政府采购政策。</w:t>
      </w:r>
    </w:p>
    <w:p w14:paraId="56D8478F">
      <w:pPr>
        <w:keepLines w:val="0"/>
        <w:shd w:val="clear" w:color="auto" w:fill="auto"/>
        <w:kinsoku/>
        <w:overflowPunct/>
        <w:topLinePunct w:val="0"/>
        <w:bidi w:val="0"/>
        <w:adjustRightInd w:val="0"/>
        <w:snapToGrid w:val="0"/>
        <w:spacing w:line="360" w:lineRule="auto"/>
        <w:ind w:firstLine="402" w:firstLineChars="200"/>
        <w:jc w:val="center"/>
        <w:outlineLvl w:val="9"/>
        <w:rPr>
          <w:rFonts w:hint="eastAsia" w:ascii="宋体" w:hAnsi="宋体" w:eastAsia="宋体" w:cs="宋体"/>
          <w:b/>
          <w:bCs w:val="0"/>
          <w:kern w:val="0"/>
          <w:sz w:val="32"/>
          <w:szCs w:val="32"/>
          <w:highlight w:val="none"/>
        </w:rPr>
      </w:pPr>
      <w:r>
        <w:rPr>
          <w:rFonts w:hint="eastAsia" w:ascii="宋体" w:hAnsi="宋体" w:eastAsia="宋体" w:cs="宋体"/>
          <w:b/>
          <w:bCs/>
          <w:kern w:val="0"/>
          <w:highlight w:val="none"/>
        </w:rPr>
        <w:br w:type="page"/>
      </w:r>
      <w:bookmarkStart w:id="168" w:name="_Toc1136_WPSOffice_Level1"/>
      <w:bookmarkStart w:id="169" w:name="_Toc496524285"/>
      <w:bookmarkStart w:id="170" w:name="_Toc496523758"/>
      <w:r>
        <w:rPr>
          <w:rFonts w:hint="eastAsia" w:ascii="宋体" w:hAnsi="宋体" w:eastAsia="宋体" w:cs="宋体"/>
          <w:b/>
          <w:bCs w:val="0"/>
          <w:kern w:val="0"/>
          <w:sz w:val="32"/>
          <w:szCs w:val="32"/>
          <w:highlight w:val="none"/>
          <w:lang w:val="zh-CN"/>
        </w:rPr>
        <w:t>第七部分  拒绝政府采购领域商业贿赂承诺书</w:t>
      </w:r>
      <w:bookmarkEnd w:id="164"/>
      <w:bookmarkEnd w:id="165"/>
      <w:bookmarkEnd w:id="166"/>
      <w:bookmarkEnd w:id="167"/>
      <w:bookmarkEnd w:id="168"/>
      <w:bookmarkEnd w:id="169"/>
      <w:bookmarkEnd w:id="170"/>
    </w:p>
    <w:p w14:paraId="6AC29038">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为响应党中央、国务院关于治理政府采购领域商业贿赂行为的号召，我公司在此庄严承诺：</w:t>
      </w:r>
    </w:p>
    <w:p w14:paraId="48443943">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一、在参与政府采购活动中遵纪守法、诚信经营、公平竞标。</w:t>
      </w:r>
    </w:p>
    <w:p w14:paraId="635E0313">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二、不向政府采购人、采购代理机构和政府采购评审专家进行任何形式的商业贿赂以谋取交易机会。</w:t>
      </w:r>
    </w:p>
    <w:p w14:paraId="1E03EA80">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三、不向政府采购代理机构和采购人提供虚假资质证明文件或采用虚假应标方式参与政府采购市场竞争并谋取成交、成交。</w:t>
      </w:r>
    </w:p>
    <w:p w14:paraId="7614ACE5">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四、不采取“围标、陪标”等商业欺诈手段获得政府采购订单。</w:t>
      </w:r>
    </w:p>
    <w:p w14:paraId="518547DE">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五、不采取不正当手段诋毁、排挤其他供应商。</w:t>
      </w:r>
    </w:p>
    <w:p w14:paraId="224C0132">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六、不在提供商品和服务时“偷梁换柱、以次充好”损害采购人的合法权益。</w:t>
      </w:r>
    </w:p>
    <w:p w14:paraId="60C3A191">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七、不与采购人、采购代理机构、政府采购评审专家或其它供应商恶意串通，进行质疑和投诉，维护政府采购市场秩序。</w:t>
      </w:r>
    </w:p>
    <w:p w14:paraId="3D12A264">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八、尊重和接受政府采购监督管理部门的监督和政府采购代理机构招标采购要求，承担因违约行为给采购人造成的损失。</w:t>
      </w:r>
    </w:p>
    <w:p w14:paraId="742AEBF6">
      <w:pPr>
        <w:keepLines w:val="0"/>
        <w:shd w:val="clear" w:color="auto" w:fill="auto"/>
        <w:kinsoku/>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九、不发生其他有悖于政府采购公开、公平、公正和诚信原则的行为。                                    </w:t>
      </w:r>
    </w:p>
    <w:p w14:paraId="688B6B95">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p>
    <w:p w14:paraId="1E6FB85A">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法定代表人/授权代表（签字）：</w:t>
      </w:r>
      <w:r>
        <w:rPr>
          <w:rFonts w:hint="eastAsia" w:ascii="宋体" w:hAnsi="宋体" w:eastAsia="宋体" w:cs="宋体"/>
          <w:sz w:val="24"/>
          <w:szCs w:val="24"/>
          <w:highlight w:val="none"/>
          <w:u w:val="single"/>
          <w:lang w:val="en-US" w:eastAsia="zh-CN"/>
        </w:rPr>
        <w:t xml:space="preserve">          </w:t>
      </w:r>
    </w:p>
    <w:p w14:paraId="793B44A2">
      <w:pPr>
        <w:keepLines w:val="0"/>
        <w:shd w:val="clear" w:color="auto" w:fill="auto"/>
        <w:kinsoku/>
        <w:overflowPunct/>
        <w:topLinePunct w:val="0"/>
        <w:bidi w:val="0"/>
        <w:spacing w:line="360" w:lineRule="auto"/>
        <w:ind w:firstLine="1920" w:firstLineChars="800"/>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72B77C4">
      <w:pPr>
        <w:keepLines w:val="0"/>
        <w:shd w:val="clear" w:color="auto" w:fill="auto"/>
        <w:kinsoku/>
        <w:overflowPunct/>
        <w:topLinePunct w:val="0"/>
        <w:bidi w:val="0"/>
        <w:spacing w:line="360" w:lineRule="auto"/>
        <w:jc w:val="center"/>
        <w:rPr>
          <w:rFonts w:hint="eastAsia" w:ascii="宋体" w:hAnsi="宋体" w:eastAsia="宋体" w:cs="宋体"/>
          <w:highlight w:val="none"/>
        </w:rPr>
      </w:pPr>
      <w:r>
        <w:rPr>
          <w:rFonts w:hint="eastAsia" w:ascii="宋体" w:hAnsi="宋体" w:eastAsia="宋体" w:cs="宋体"/>
          <w:sz w:val="32"/>
          <w:szCs w:val="32"/>
          <w:highlight w:val="none"/>
        </w:rPr>
        <w:br w:type="page"/>
      </w:r>
      <w:r>
        <w:rPr>
          <w:rFonts w:hint="eastAsia" w:ascii="宋体" w:hAnsi="宋体" w:eastAsia="宋体" w:cs="宋体"/>
          <w:b/>
          <w:bCs/>
          <w:kern w:val="0"/>
          <w:sz w:val="32"/>
          <w:highlight w:val="none"/>
        </w:rPr>
        <w:t>第</w:t>
      </w:r>
      <w:r>
        <w:rPr>
          <w:rFonts w:hint="eastAsia" w:ascii="宋体" w:hAnsi="宋体" w:eastAsia="宋体" w:cs="宋体"/>
          <w:b/>
          <w:bCs/>
          <w:kern w:val="0"/>
          <w:sz w:val="32"/>
          <w:highlight w:val="none"/>
          <w:lang w:eastAsia="zh-CN"/>
        </w:rPr>
        <w:t>八</w:t>
      </w:r>
      <w:r>
        <w:rPr>
          <w:rFonts w:hint="eastAsia" w:ascii="宋体" w:hAnsi="宋体" w:eastAsia="宋体" w:cs="宋体"/>
          <w:b/>
          <w:bCs/>
          <w:kern w:val="0"/>
          <w:sz w:val="32"/>
          <w:highlight w:val="none"/>
        </w:rPr>
        <w:t xml:space="preserve">部分  </w:t>
      </w:r>
      <w:r>
        <w:rPr>
          <w:rFonts w:hint="eastAsia" w:ascii="宋体" w:hAnsi="宋体" w:eastAsia="宋体" w:cs="宋体"/>
          <w:b/>
          <w:bCs/>
          <w:kern w:val="0"/>
          <w:sz w:val="32"/>
          <w:szCs w:val="22"/>
          <w:highlight w:val="none"/>
        </w:rPr>
        <w:t>封袋正面标识式样</w:t>
      </w:r>
    </w:p>
    <w:p w14:paraId="17C1322A">
      <w:pPr>
        <w:keepLines w:val="0"/>
        <w:shd w:val="clear" w:color="auto" w:fill="auto"/>
        <w:kinsoku/>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mc:AlternateContent>
          <mc:Choice Requires="wps">
            <w:drawing>
              <wp:inline distT="0" distB="0" distL="114300" distR="114300">
                <wp:extent cx="5688330" cy="8035925"/>
                <wp:effectExtent l="5080" t="5080" r="21590" b="17145"/>
                <wp:docPr id="1" name="文本框 5"/>
                <wp:cNvGraphicFramePr/>
                <a:graphic xmlns:a="http://schemas.openxmlformats.org/drawingml/2006/main">
                  <a:graphicData uri="http://schemas.microsoft.com/office/word/2010/wordprocessingShape">
                    <wps:wsp>
                      <wps:cNvSpPr txBox="1"/>
                      <wps:spPr>
                        <a:xfrm>
                          <a:off x="0" y="0"/>
                          <a:ext cx="5688330" cy="8035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D143C4">
                            <w:pPr>
                              <w:jc w:val="center"/>
                              <w:rPr>
                                <w:rFonts w:hint="eastAsia" w:ascii="仿宋_GB2312" w:eastAsia="仿宋_GB2312"/>
                                <w:kern w:val="0"/>
                                <w:sz w:val="32"/>
                                <w:szCs w:val="32"/>
                                <w:lang w:val="zh-CN"/>
                              </w:rPr>
                            </w:pPr>
                          </w:p>
                          <w:p w14:paraId="0AEEAB47">
                            <w:pPr>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致：亿诚建设项目管理有限公司</w:t>
                            </w:r>
                            <w:r>
                              <w:rPr>
                                <w:rFonts w:hint="eastAsia" w:ascii="宋体" w:hAnsi="宋体" w:eastAsia="宋体" w:cs="宋体"/>
                                <w:kern w:val="0"/>
                                <w:sz w:val="32"/>
                                <w:szCs w:val="32"/>
                              </w:rPr>
                              <w:t xml:space="preserve">    </w:t>
                            </w:r>
                            <w:r>
                              <w:rPr>
                                <w:rFonts w:hint="eastAsia" w:ascii="宋体" w:hAnsi="宋体" w:eastAsia="宋体" w:cs="宋体"/>
                                <w:kern w:val="0"/>
                                <w:sz w:val="32"/>
                                <w:szCs w:val="32"/>
                                <w:lang w:val="zh-CN"/>
                              </w:rPr>
                              <w:t>（正本或副本</w:t>
                            </w:r>
                            <w:r>
                              <w:rPr>
                                <w:rFonts w:hint="eastAsia" w:ascii="宋体" w:hAnsi="宋体" w:eastAsia="宋体" w:cs="宋体"/>
                                <w:kern w:val="0"/>
                                <w:sz w:val="32"/>
                                <w:szCs w:val="32"/>
                              </w:rPr>
                              <w:t>或电子版</w:t>
                            </w:r>
                            <w:r>
                              <w:rPr>
                                <w:rFonts w:hint="eastAsia" w:ascii="宋体" w:hAnsi="宋体" w:eastAsia="宋体" w:cs="宋体"/>
                                <w:kern w:val="0"/>
                                <w:sz w:val="32"/>
                                <w:szCs w:val="32"/>
                                <w:lang w:val="zh-CN"/>
                              </w:rPr>
                              <w:t>）</w:t>
                            </w:r>
                          </w:p>
                          <w:p w14:paraId="7747AFE1">
                            <w:pPr>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项目名称：</w:t>
                            </w:r>
                          </w:p>
                          <w:p w14:paraId="21A5BF98">
                            <w:pPr>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项目编号：</w:t>
                            </w:r>
                          </w:p>
                          <w:p w14:paraId="2E6D713A">
                            <w:pPr>
                              <w:rPr>
                                <w:rFonts w:hint="eastAsia" w:ascii="宋体" w:hAnsi="宋体" w:eastAsia="宋体" w:cs="宋体"/>
                                <w:sz w:val="28"/>
                                <w:szCs w:val="28"/>
                              </w:rPr>
                            </w:pPr>
                            <w:r>
                              <w:rPr>
                                <w:rFonts w:hint="eastAsia" w:ascii="宋体" w:hAnsi="宋体" w:eastAsia="宋体" w:cs="宋体"/>
                                <w:sz w:val="28"/>
                                <w:szCs w:val="28"/>
                              </w:rPr>
                              <w:t xml:space="preserve">                      </w:t>
                            </w:r>
                          </w:p>
                          <w:p w14:paraId="49554E49">
                            <w:pPr>
                              <w:rPr>
                                <w:rFonts w:hint="eastAsia" w:ascii="宋体" w:hAnsi="宋体" w:eastAsia="宋体" w:cs="宋体"/>
                                <w:sz w:val="28"/>
                                <w:szCs w:val="28"/>
                              </w:rPr>
                            </w:pPr>
                          </w:p>
                          <w:p w14:paraId="5D3B50D7">
                            <w:pPr>
                              <w:rPr>
                                <w:rFonts w:hint="eastAsia" w:ascii="宋体" w:hAnsi="宋体" w:eastAsia="宋体" w:cs="宋体"/>
                                <w:sz w:val="28"/>
                                <w:szCs w:val="28"/>
                              </w:rPr>
                            </w:pPr>
                          </w:p>
                          <w:p w14:paraId="77F2E56D">
                            <w:pPr>
                              <w:rPr>
                                <w:rFonts w:hint="eastAsia" w:ascii="宋体" w:hAnsi="宋体" w:eastAsia="宋体" w:cs="宋体"/>
                                <w:sz w:val="28"/>
                                <w:szCs w:val="28"/>
                              </w:rPr>
                            </w:pPr>
                          </w:p>
                          <w:p w14:paraId="6393A668">
                            <w:pPr>
                              <w:rPr>
                                <w:rFonts w:hint="eastAsia" w:ascii="宋体" w:hAnsi="宋体" w:eastAsia="宋体" w:cs="宋体"/>
                                <w:sz w:val="28"/>
                                <w:szCs w:val="28"/>
                              </w:rPr>
                            </w:pPr>
                          </w:p>
                          <w:p w14:paraId="4FDFF4F1">
                            <w:pPr>
                              <w:rPr>
                                <w:rFonts w:hint="eastAsia" w:ascii="宋体" w:hAnsi="宋体" w:eastAsia="宋体" w:cs="宋体"/>
                                <w:color w:val="FF0000"/>
                                <w:sz w:val="28"/>
                                <w:szCs w:val="28"/>
                              </w:rPr>
                            </w:pPr>
                            <w:r>
                              <w:rPr>
                                <w:rFonts w:hint="eastAsia" w:ascii="宋体" w:hAnsi="宋体" w:eastAsia="宋体" w:cs="宋体"/>
                                <w:sz w:val="28"/>
                                <w:szCs w:val="28"/>
                              </w:rPr>
                              <w:t xml:space="preserve">             </w:t>
                            </w:r>
                          </w:p>
                          <w:p w14:paraId="3ACEE7CB">
                            <w:pPr>
                              <w:jc w:val="center"/>
                              <w:rPr>
                                <w:rFonts w:hint="eastAsia" w:ascii="宋体" w:hAnsi="宋体" w:eastAsia="宋体" w:cs="宋体"/>
                                <w:b/>
                                <w:sz w:val="44"/>
                                <w:szCs w:val="44"/>
                              </w:rPr>
                            </w:pPr>
                            <w:r>
                              <w:rPr>
                                <w:rFonts w:hint="eastAsia" w:ascii="宋体" w:hAnsi="宋体" w:eastAsia="宋体" w:cs="宋体"/>
                                <w:b/>
                                <w:sz w:val="44"/>
                                <w:szCs w:val="44"/>
                                <w:lang w:eastAsia="zh-CN"/>
                              </w:rPr>
                              <w:t>谈判</w:t>
                            </w:r>
                            <w:r>
                              <w:rPr>
                                <w:rFonts w:hint="eastAsia" w:ascii="宋体" w:hAnsi="宋体" w:eastAsia="宋体" w:cs="宋体"/>
                                <w:b/>
                                <w:sz w:val="44"/>
                                <w:szCs w:val="44"/>
                              </w:rPr>
                              <w:t>响应文件</w:t>
                            </w:r>
                          </w:p>
                          <w:p w14:paraId="4D84AFB7">
                            <w:pPr>
                              <w:jc w:val="center"/>
                              <w:rPr>
                                <w:rFonts w:hint="eastAsia" w:ascii="宋体" w:hAnsi="宋体" w:eastAsia="宋体" w:cs="宋体"/>
                                <w:sz w:val="28"/>
                                <w:szCs w:val="28"/>
                              </w:rPr>
                            </w:pPr>
                            <w:r>
                              <w:rPr>
                                <w:rFonts w:hint="eastAsia" w:ascii="宋体" w:hAnsi="宋体" w:eastAsia="宋体" w:cs="宋体"/>
                                <w:sz w:val="28"/>
                                <w:szCs w:val="28"/>
                              </w:rPr>
                              <w:t>（在</w:t>
                            </w:r>
                            <w:r>
                              <w:rPr>
                                <w:rFonts w:hint="eastAsia" w:ascii="宋体" w:hAnsi="宋体" w:eastAsia="宋体" w:cs="宋体"/>
                                <w:sz w:val="28"/>
                                <w:szCs w:val="28"/>
                                <w:lang w:eastAsia="zh-CN"/>
                              </w:rPr>
                              <w:t>谈判</w:t>
                            </w:r>
                            <w:r>
                              <w:rPr>
                                <w:rFonts w:hint="eastAsia" w:ascii="宋体" w:hAnsi="宋体" w:eastAsia="宋体" w:cs="宋体"/>
                                <w:sz w:val="28"/>
                                <w:szCs w:val="28"/>
                              </w:rPr>
                              <w:t>响应文件递交截止时间前不得启封）</w:t>
                            </w:r>
                          </w:p>
                          <w:p w14:paraId="07F80010">
                            <w:pPr>
                              <w:rPr>
                                <w:rFonts w:hint="eastAsia" w:ascii="宋体" w:hAnsi="宋体" w:eastAsia="宋体" w:cs="宋体"/>
                                <w:sz w:val="28"/>
                                <w:szCs w:val="28"/>
                              </w:rPr>
                            </w:pPr>
                          </w:p>
                          <w:p w14:paraId="0AA8375E">
                            <w:pPr>
                              <w:rPr>
                                <w:rFonts w:hint="eastAsia" w:ascii="宋体" w:hAnsi="宋体" w:eastAsia="宋体" w:cs="宋体"/>
                                <w:sz w:val="28"/>
                                <w:szCs w:val="28"/>
                              </w:rPr>
                            </w:pPr>
                          </w:p>
                          <w:p w14:paraId="5278D8F9">
                            <w:pPr>
                              <w:rPr>
                                <w:rFonts w:hint="eastAsia" w:ascii="宋体" w:hAnsi="宋体" w:eastAsia="宋体" w:cs="宋体"/>
                                <w:sz w:val="28"/>
                                <w:szCs w:val="28"/>
                              </w:rPr>
                            </w:pPr>
                          </w:p>
                          <w:p w14:paraId="7B2E4807">
                            <w:pPr>
                              <w:rPr>
                                <w:rFonts w:hint="eastAsia" w:ascii="宋体" w:hAnsi="宋体" w:eastAsia="宋体" w:cs="宋体"/>
                                <w:sz w:val="28"/>
                                <w:szCs w:val="28"/>
                              </w:rPr>
                            </w:pPr>
                          </w:p>
                          <w:p w14:paraId="68CBFA6F">
                            <w:pPr>
                              <w:spacing w:line="360" w:lineRule="auto"/>
                              <w:ind w:firstLine="960" w:firstLineChars="300"/>
                              <w:rPr>
                                <w:rFonts w:hint="eastAsia" w:ascii="宋体" w:hAnsi="宋体" w:eastAsia="宋体" w:cs="宋体"/>
                                <w:sz w:val="32"/>
                                <w:szCs w:val="32"/>
                              </w:rPr>
                            </w:pPr>
                            <w:r>
                              <w:rPr>
                                <w:rFonts w:hint="eastAsia" w:ascii="宋体" w:hAnsi="宋体" w:eastAsia="宋体" w:cs="宋体"/>
                                <w:sz w:val="32"/>
                                <w:szCs w:val="32"/>
                              </w:rPr>
                              <w:t>供应商（公章）：</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14:paraId="4884A07A">
                            <w:pPr>
                              <w:spacing w:line="360" w:lineRule="auto"/>
                              <w:rPr>
                                <w:rFonts w:hint="eastAsia" w:ascii="宋体" w:hAnsi="宋体" w:eastAsia="宋体" w:cs="宋体"/>
                                <w:sz w:val="32"/>
                                <w:szCs w:val="32"/>
                                <w:u w:val="single"/>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代表人/授权代表（签字或盖章）：</w:t>
                            </w:r>
                            <w:r>
                              <w:rPr>
                                <w:rFonts w:hint="eastAsia" w:ascii="宋体" w:hAnsi="宋体" w:eastAsia="宋体" w:cs="宋体"/>
                                <w:sz w:val="32"/>
                                <w:szCs w:val="32"/>
                                <w:u w:val="single"/>
                              </w:rPr>
                              <w:t xml:space="preserve">          </w:t>
                            </w:r>
                          </w:p>
                          <w:p w14:paraId="0A613B13">
                            <w:pPr>
                              <w:autoSpaceDE w:val="0"/>
                              <w:autoSpaceDN w:val="0"/>
                              <w:adjustRightInd w:val="0"/>
                              <w:spacing w:line="360" w:lineRule="auto"/>
                              <w:ind w:firstLine="960" w:firstLineChars="300"/>
                              <w:rPr>
                                <w:rFonts w:hint="eastAsia" w:ascii="宋体" w:hAnsi="宋体" w:eastAsia="宋体" w:cs="宋体"/>
                                <w:sz w:val="32"/>
                                <w:szCs w:val="32"/>
                                <w:u w:val="single"/>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14:paraId="36CC12CF">
                            <w:pPr>
                              <w:jc w:val="center"/>
                              <w:rPr>
                                <w:rFonts w:hint="eastAsia"/>
                                <w:sz w:val="28"/>
                                <w:szCs w:val="28"/>
                              </w:rPr>
                            </w:pPr>
                          </w:p>
                          <w:p w14:paraId="54375F0B">
                            <w:pPr>
                              <w:rPr>
                                <w:rFonts w:hint="eastAsia"/>
                                <w:sz w:val="28"/>
                                <w:szCs w:val="28"/>
                              </w:rPr>
                            </w:pPr>
                            <w:r>
                              <w:rPr>
                                <w:rFonts w:hint="eastAsia"/>
                                <w:sz w:val="28"/>
                                <w:szCs w:val="28"/>
                              </w:rPr>
                              <w:t xml:space="preserve">                                </w:t>
                            </w:r>
                          </w:p>
                        </w:txbxContent>
                      </wps:txbx>
                      <wps:bodyPr wrap="square" upright="1"/>
                    </wps:wsp>
                  </a:graphicData>
                </a:graphic>
              </wp:inline>
            </w:drawing>
          </mc:Choice>
          <mc:Fallback>
            <w:pict>
              <v:shape id="文本框 5" o:spid="_x0000_s1026" o:spt="202" type="#_x0000_t202" style="height:632.75pt;width:447.9pt;" fillcolor="#FFFFFF" filled="t" stroked="t" coordsize="21600,21600" o:gfxdata="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jsvsLWAAAABgEAAA8AAAAA&#10;AAAAAQAgAAAAIgAAAGRycy9kb3ducmV2LnhtbFBLAQIUABQAAAAIAIdO4kBOe3uNFgIAAEUEAAAO&#10;AAAAAAAAAAEAIAAAACUBAABkcnMvZTJvRG9jLnhtbFBLBQYAAAAABgAGAFkBAACtBQAAAAA=&#10;">
                <v:fill on="t" focussize="0,0"/>
                <v:stroke color="#000000" joinstyle="miter"/>
                <v:imagedata o:title=""/>
                <o:lock v:ext="edit" aspectratio="f"/>
                <v:textbox>
                  <w:txbxContent>
                    <w:p w14:paraId="51D143C4">
                      <w:pPr>
                        <w:jc w:val="center"/>
                        <w:rPr>
                          <w:rFonts w:hint="eastAsia" w:ascii="仿宋_GB2312" w:eastAsia="仿宋_GB2312"/>
                          <w:kern w:val="0"/>
                          <w:sz w:val="32"/>
                          <w:szCs w:val="32"/>
                          <w:lang w:val="zh-CN"/>
                        </w:rPr>
                      </w:pPr>
                    </w:p>
                    <w:p w14:paraId="0AEEAB47">
                      <w:pPr>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致：亿诚建设项目管理有限公司</w:t>
                      </w:r>
                      <w:r>
                        <w:rPr>
                          <w:rFonts w:hint="eastAsia" w:ascii="宋体" w:hAnsi="宋体" w:eastAsia="宋体" w:cs="宋体"/>
                          <w:kern w:val="0"/>
                          <w:sz w:val="32"/>
                          <w:szCs w:val="32"/>
                        </w:rPr>
                        <w:t xml:space="preserve">    </w:t>
                      </w:r>
                      <w:r>
                        <w:rPr>
                          <w:rFonts w:hint="eastAsia" w:ascii="宋体" w:hAnsi="宋体" w:eastAsia="宋体" w:cs="宋体"/>
                          <w:kern w:val="0"/>
                          <w:sz w:val="32"/>
                          <w:szCs w:val="32"/>
                          <w:lang w:val="zh-CN"/>
                        </w:rPr>
                        <w:t>（正本或副本</w:t>
                      </w:r>
                      <w:r>
                        <w:rPr>
                          <w:rFonts w:hint="eastAsia" w:ascii="宋体" w:hAnsi="宋体" w:eastAsia="宋体" w:cs="宋体"/>
                          <w:kern w:val="0"/>
                          <w:sz w:val="32"/>
                          <w:szCs w:val="32"/>
                        </w:rPr>
                        <w:t>或电子版</w:t>
                      </w:r>
                      <w:r>
                        <w:rPr>
                          <w:rFonts w:hint="eastAsia" w:ascii="宋体" w:hAnsi="宋体" w:eastAsia="宋体" w:cs="宋体"/>
                          <w:kern w:val="0"/>
                          <w:sz w:val="32"/>
                          <w:szCs w:val="32"/>
                          <w:lang w:val="zh-CN"/>
                        </w:rPr>
                        <w:t>）</w:t>
                      </w:r>
                    </w:p>
                    <w:p w14:paraId="7747AFE1">
                      <w:pPr>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项目名称：</w:t>
                      </w:r>
                    </w:p>
                    <w:p w14:paraId="21A5BF98">
                      <w:pPr>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项目编号：</w:t>
                      </w:r>
                    </w:p>
                    <w:p w14:paraId="2E6D713A">
                      <w:pPr>
                        <w:rPr>
                          <w:rFonts w:hint="eastAsia" w:ascii="宋体" w:hAnsi="宋体" w:eastAsia="宋体" w:cs="宋体"/>
                          <w:sz w:val="28"/>
                          <w:szCs w:val="28"/>
                        </w:rPr>
                      </w:pPr>
                      <w:r>
                        <w:rPr>
                          <w:rFonts w:hint="eastAsia" w:ascii="宋体" w:hAnsi="宋体" w:eastAsia="宋体" w:cs="宋体"/>
                          <w:sz w:val="28"/>
                          <w:szCs w:val="28"/>
                        </w:rPr>
                        <w:t xml:space="preserve">                      </w:t>
                      </w:r>
                    </w:p>
                    <w:p w14:paraId="49554E49">
                      <w:pPr>
                        <w:rPr>
                          <w:rFonts w:hint="eastAsia" w:ascii="宋体" w:hAnsi="宋体" w:eastAsia="宋体" w:cs="宋体"/>
                          <w:sz w:val="28"/>
                          <w:szCs w:val="28"/>
                        </w:rPr>
                      </w:pPr>
                    </w:p>
                    <w:p w14:paraId="5D3B50D7">
                      <w:pPr>
                        <w:rPr>
                          <w:rFonts w:hint="eastAsia" w:ascii="宋体" w:hAnsi="宋体" w:eastAsia="宋体" w:cs="宋体"/>
                          <w:sz w:val="28"/>
                          <w:szCs w:val="28"/>
                        </w:rPr>
                      </w:pPr>
                    </w:p>
                    <w:p w14:paraId="77F2E56D">
                      <w:pPr>
                        <w:rPr>
                          <w:rFonts w:hint="eastAsia" w:ascii="宋体" w:hAnsi="宋体" w:eastAsia="宋体" w:cs="宋体"/>
                          <w:sz w:val="28"/>
                          <w:szCs w:val="28"/>
                        </w:rPr>
                      </w:pPr>
                    </w:p>
                    <w:p w14:paraId="6393A668">
                      <w:pPr>
                        <w:rPr>
                          <w:rFonts w:hint="eastAsia" w:ascii="宋体" w:hAnsi="宋体" w:eastAsia="宋体" w:cs="宋体"/>
                          <w:sz w:val="28"/>
                          <w:szCs w:val="28"/>
                        </w:rPr>
                      </w:pPr>
                    </w:p>
                    <w:p w14:paraId="4FDFF4F1">
                      <w:pPr>
                        <w:rPr>
                          <w:rFonts w:hint="eastAsia" w:ascii="宋体" w:hAnsi="宋体" w:eastAsia="宋体" w:cs="宋体"/>
                          <w:color w:val="FF0000"/>
                          <w:sz w:val="28"/>
                          <w:szCs w:val="28"/>
                        </w:rPr>
                      </w:pPr>
                      <w:r>
                        <w:rPr>
                          <w:rFonts w:hint="eastAsia" w:ascii="宋体" w:hAnsi="宋体" w:eastAsia="宋体" w:cs="宋体"/>
                          <w:sz w:val="28"/>
                          <w:szCs w:val="28"/>
                        </w:rPr>
                        <w:t xml:space="preserve">             </w:t>
                      </w:r>
                    </w:p>
                    <w:p w14:paraId="3ACEE7CB">
                      <w:pPr>
                        <w:jc w:val="center"/>
                        <w:rPr>
                          <w:rFonts w:hint="eastAsia" w:ascii="宋体" w:hAnsi="宋体" w:eastAsia="宋体" w:cs="宋体"/>
                          <w:b/>
                          <w:sz w:val="44"/>
                          <w:szCs w:val="44"/>
                        </w:rPr>
                      </w:pPr>
                      <w:r>
                        <w:rPr>
                          <w:rFonts w:hint="eastAsia" w:ascii="宋体" w:hAnsi="宋体" w:eastAsia="宋体" w:cs="宋体"/>
                          <w:b/>
                          <w:sz w:val="44"/>
                          <w:szCs w:val="44"/>
                          <w:lang w:eastAsia="zh-CN"/>
                        </w:rPr>
                        <w:t>谈判</w:t>
                      </w:r>
                      <w:r>
                        <w:rPr>
                          <w:rFonts w:hint="eastAsia" w:ascii="宋体" w:hAnsi="宋体" w:eastAsia="宋体" w:cs="宋体"/>
                          <w:b/>
                          <w:sz w:val="44"/>
                          <w:szCs w:val="44"/>
                        </w:rPr>
                        <w:t>响应文件</w:t>
                      </w:r>
                    </w:p>
                    <w:p w14:paraId="4D84AFB7">
                      <w:pPr>
                        <w:jc w:val="center"/>
                        <w:rPr>
                          <w:rFonts w:hint="eastAsia" w:ascii="宋体" w:hAnsi="宋体" w:eastAsia="宋体" w:cs="宋体"/>
                          <w:sz w:val="28"/>
                          <w:szCs w:val="28"/>
                        </w:rPr>
                      </w:pPr>
                      <w:r>
                        <w:rPr>
                          <w:rFonts w:hint="eastAsia" w:ascii="宋体" w:hAnsi="宋体" w:eastAsia="宋体" w:cs="宋体"/>
                          <w:sz w:val="28"/>
                          <w:szCs w:val="28"/>
                        </w:rPr>
                        <w:t>（在</w:t>
                      </w:r>
                      <w:r>
                        <w:rPr>
                          <w:rFonts w:hint="eastAsia" w:ascii="宋体" w:hAnsi="宋体" w:eastAsia="宋体" w:cs="宋体"/>
                          <w:sz w:val="28"/>
                          <w:szCs w:val="28"/>
                          <w:lang w:eastAsia="zh-CN"/>
                        </w:rPr>
                        <w:t>谈判</w:t>
                      </w:r>
                      <w:r>
                        <w:rPr>
                          <w:rFonts w:hint="eastAsia" w:ascii="宋体" w:hAnsi="宋体" w:eastAsia="宋体" w:cs="宋体"/>
                          <w:sz w:val="28"/>
                          <w:szCs w:val="28"/>
                        </w:rPr>
                        <w:t>响应文件递交截止时间前不得启封）</w:t>
                      </w:r>
                    </w:p>
                    <w:p w14:paraId="07F80010">
                      <w:pPr>
                        <w:rPr>
                          <w:rFonts w:hint="eastAsia" w:ascii="宋体" w:hAnsi="宋体" w:eastAsia="宋体" w:cs="宋体"/>
                          <w:sz w:val="28"/>
                          <w:szCs w:val="28"/>
                        </w:rPr>
                      </w:pPr>
                    </w:p>
                    <w:p w14:paraId="0AA8375E">
                      <w:pPr>
                        <w:rPr>
                          <w:rFonts w:hint="eastAsia" w:ascii="宋体" w:hAnsi="宋体" w:eastAsia="宋体" w:cs="宋体"/>
                          <w:sz w:val="28"/>
                          <w:szCs w:val="28"/>
                        </w:rPr>
                      </w:pPr>
                    </w:p>
                    <w:p w14:paraId="5278D8F9">
                      <w:pPr>
                        <w:rPr>
                          <w:rFonts w:hint="eastAsia" w:ascii="宋体" w:hAnsi="宋体" w:eastAsia="宋体" w:cs="宋体"/>
                          <w:sz w:val="28"/>
                          <w:szCs w:val="28"/>
                        </w:rPr>
                      </w:pPr>
                    </w:p>
                    <w:p w14:paraId="7B2E4807">
                      <w:pPr>
                        <w:rPr>
                          <w:rFonts w:hint="eastAsia" w:ascii="宋体" w:hAnsi="宋体" w:eastAsia="宋体" w:cs="宋体"/>
                          <w:sz w:val="28"/>
                          <w:szCs w:val="28"/>
                        </w:rPr>
                      </w:pPr>
                    </w:p>
                    <w:p w14:paraId="68CBFA6F">
                      <w:pPr>
                        <w:spacing w:line="360" w:lineRule="auto"/>
                        <w:ind w:firstLine="960" w:firstLineChars="300"/>
                        <w:rPr>
                          <w:rFonts w:hint="eastAsia" w:ascii="宋体" w:hAnsi="宋体" w:eastAsia="宋体" w:cs="宋体"/>
                          <w:sz w:val="32"/>
                          <w:szCs w:val="32"/>
                        </w:rPr>
                      </w:pPr>
                      <w:r>
                        <w:rPr>
                          <w:rFonts w:hint="eastAsia" w:ascii="宋体" w:hAnsi="宋体" w:eastAsia="宋体" w:cs="宋体"/>
                          <w:sz w:val="32"/>
                          <w:szCs w:val="32"/>
                        </w:rPr>
                        <w:t>供应商（公章）：</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14:paraId="4884A07A">
                      <w:pPr>
                        <w:spacing w:line="360" w:lineRule="auto"/>
                        <w:rPr>
                          <w:rFonts w:hint="eastAsia" w:ascii="宋体" w:hAnsi="宋体" w:eastAsia="宋体" w:cs="宋体"/>
                          <w:sz w:val="32"/>
                          <w:szCs w:val="32"/>
                          <w:u w:val="single"/>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代表人/授权代表（签字或盖章）：</w:t>
                      </w:r>
                      <w:r>
                        <w:rPr>
                          <w:rFonts w:hint="eastAsia" w:ascii="宋体" w:hAnsi="宋体" w:eastAsia="宋体" w:cs="宋体"/>
                          <w:sz w:val="32"/>
                          <w:szCs w:val="32"/>
                          <w:u w:val="single"/>
                        </w:rPr>
                        <w:t xml:space="preserve">          </w:t>
                      </w:r>
                    </w:p>
                    <w:p w14:paraId="0A613B13">
                      <w:pPr>
                        <w:autoSpaceDE w:val="0"/>
                        <w:autoSpaceDN w:val="0"/>
                        <w:adjustRightInd w:val="0"/>
                        <w:spacing w:line="360" w:lineRule="auto"/>
                        <w:ind w:firstLine="960" w:firstLineChars="300"/>
                        <w:rPr>
                          <w:rFonts w:hint="eastAsia" w:ascii="宋体" w:hAnsi="宋体" w:eastAsia="宋体" w:cs="宋体"/>
                          <w:sz w:val="32"/>
                          <w:szCs w:val="32"/>
                          <w:u w:val="single"/>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14:paraId="36CC12CF">
                      <w:pPr>
                        <w:jc w:val="center"/>
                        <w:rPr>
                          <w:rFonts w:hint="eastAsia"/>
                          <w:sz w:val="28"/>
                          <w:szCs w:val="28"/>
                        </w:rPr>
                      </w:pPr>
                    </w:p>
                    <w:p w14:paraId="54375F0B">
                      <w:pPr>
                        <w:rPr>
                          <w:rFonts w:hint="eastAsia"/>
                          <w:sz w:val="28"/>
                          <w:szCs w:val="28"/>
                        </w:rPr>
                      </w:pPr>
                      <w:r>
                        <w:rPr>
                          <w:rFonts w:hint="eastAsia"/>
                          <w:sz w:val="28"/>
                          <w:szCs w:val="28"/>
                        </w:rPr>
                        <w:t xml:space="preserve">                                </w:t>
                      </w:r>
                    </w:p>
                  </w:txbxContent>
                </v:textbox>
                <w10:wrap type="none"/>
                <w10:anchorlock/>
              </v:shape>
            </w:pict>
          </mc:Fallback>
        </mc:AlternateContent>
      </w:r>
    </w:p>
    <w:p w14:paraId="6A093D95">
      <w:pPr>
        <w:keepLines w:val="0"/>
        <w:shd w:val="clear" w:color="auto" w:fill="auto"/>
        <w:kinsoku/>
        <w:overflowPunct/>
        <w:topLinePunct w:val="0"/>
        <w:bidi w:val="0"/>
        <w:spacing w:line="360" w:lineRule="auto"/>
        <w:rPr>
          <w:rFonts w:hint="eastAsia" w:ascii="宋体" w:hAnsi="宋体" w:eastAsia="宋体" w:cs="宋体"/>
          <w:highlight w:val="none"/>
        </w:rPr>
      </w:pPr>
    </w:p>
    <w:p w14:paraId="596E2610">
      <w:pPr>
        <w:keepLines w:val="0"/>
        <w:numPr>
          <w:ilvl w:val="0"/>
          <w:numId w:val="0"/>
        </w:numPr>
        <w:shd w:val="clear" w:color="auto" w:fill="auto"/>
        <w:kinsoku/>
        <w:overflowPunct/>
        <w:topLinePunct w:val="0"/>
        <w:bidi w:val="0"/>
        <w:spacing w:line="360" w:lineRule="auto"/>
        <w:jc w:val="center"/>
        <w:rPr>
          <w:rFonts w:hint="eastAsia" w:ascii="宋体" w:hAnsi="宋体" w:eastAsia="宋体" w:cs="宋体"/>
          <w:b/>
          <w:bCs/>
          <w:kern w:val="0"/>
          <w:sz w:val="32"/>
          <w:szCs w:val="22"/>
          <w:highlight w:val="none"/>
          <w:lang w:eastAsia="zh-CN"/>
        </w:rPr>
      </w:pPr>
      <w:r>
        <w:rPr>
          <w:rFonts w:hint="eastAsia" w:ascii="宋体" w:hAnsi="宋体" w:eastAsia="宋体" w:cs="宋体"/>
          <w:b/>
          <w:bCs/>
          <w:kern w:val="0"/>
          <w:sz w:val="32"/>
          <w:szCs w:val="22"/>
          <w:highlight w:val="none"/>
          <w:lang w:eastAsia="zh-CN"/>
        </w:rPr>
        <w:t>第九部分</w:t>
      </w:r>
      <w:r>
        <w:rPr>
          <w:rFonts w:hint="eastAsia" w:ascii="宋体" w:hAnsi="宋体" w:eastAsia="宋体" w:cs="宋体"/>
          <w:b/>
          <w:bCs/>
          <w:kern w:val="0"/>
          <w:sz w:val="32"/>
          <w:szCs w:val="22"/>
          <w:highlight w:val="none"/>
          <w:lang w:val="en-US" w:eastAsia="zh-CN"/>
        </w:rPr>
        <w:t xml:space="preserve"> </w:t>
      </w:r>
      <w:r>
        <w:rPr>
          <w:rFonts w:hint="eastAsia" w:ascii="宋体" w:hAnsi="宋体" w:eastAsia="宋体" w:cs="宋体"/>
          <w:b/>
          <w:bCs/>
          <w:kern w:val="0"/>
          <w:sz w:val="32"/>
          <w:szCs w:val="22"/>
          <w:highlight w:val="none"/>
          <w:lang w:eastAsia="zh-CN"/>
        </w:rPr>
        <w:t>附件</w:t>
      </w:r>
    </w:p>
    <w:p w14:paraId="4D449DA7">
      <w:pPr>
        <w:keepNext w:val="0"/>
        <w:keepLines w:val="0"/>
        <w:widowControl/>
        <w:suppressLineNumbers w:val="0"/>
        <w:shd w:val="clear" w:color="auto" w:fill="auto"/>
        <w:kinsoku/>
        <w:overflowPunct/>
        <w:topLinePunct w:val="0"/>
        <w:bidi w:val="0"/>
        <w:spacing w:line="360" w:lineRule="auto"/>
        <w:jc w:val="center"/>
        <w:rPr>
          <w:rFonts w:hint="eastAsia" w:ascii="宋体" w:hAnsi="宋体" w:eastAsia="宋体" w:cs="宋体"/>
          <w:i w:val="0"/>
          <w:iCs w:val="0"/>
          <w:sz w:val="30"/>
          <w:szCs w:val="30"/>
          <w:highlight w:val="none"/>
        </w:rPr>
      </w:pPr>
      <w:r>
        <w:rPr>
          <w:rFonts w:hint="eastAsia" w:ascii="宋体" w:hAnsi="宋体" w:eastAsia="宋体" w:cs="宋体"/>
          <w:b/>
          <w:bCs/>
          <w:i w:val="0"/>
          <w:iCs w:val="0"/>
          <w:color w:val="000000"/>
          <w:kern w:val="0"/>
          <w:sz w:val="30"/>
          <w:szCs w:val="30"/>
          <w:highlight w:val="none"/>
          <w:lang w:val="en-US" w:eastAsia="zh-CN" w:bidi="ar"/>
        </w:rPr>
        <w:t>中小企业声明函（货物）</w:t>
      </w:r>
    </w:p>
    <w:p w14:paraId="2B7DF81F">
      <w:pPr>
        <w:keepNext w:val="0"/>
        <w:keepLines w:val="0"/>
        <w:widowControl/>
        <w:suppressLineNumbers w:val="0"/>
        <w:shd w:val="clear" w:color="auto" w:fill="auto"/>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color w:val="000000"/>
          <w:kern w:val="0"/>
          <w:sz w:val="24"/>
          <w:szCs w:val="24"/>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olor w:val="000000"/>
          <w:kern w:val="0"/>
          <w:sz w:val="24"/>
          <w:szCs w:val="24"/>
          <w:highlight w:val="none"/>
          <w:u w:val="single"/>
          <w:lang w:val="en-US" w:eastAsia="zh-CN" w:bidi="ar"/>
        </w:rPr>
        <w:t>（单位名称）</w:t>
      </w:r>
      <w:r>
        <w:rPr>
          <w:rFonts w:hint="eastAsia" w:ascii="宋体" w:hAnsi="宋体" w:eastAsia="宋体" w:cs="宋体"/>
          <w:i w:val="0"/>
          <w:iCs w:val="0"/>
          <w:color w:val="000000"/>
          <w:kern w:val="0"/>
          <w:sz w:val="24"/>
          <w:szCs w:val="24"/>
          <w:highlight w:val="none"/>
          <w:lang w:val="en-US" w:eastAsia="zh-CN" w:bidi="ar"/>
        </w:rPr>
        <w:t>的</w:t>
      </w:r>
      <w:r>
        <w:rPr>
          <w:rFonts w:hint="eastAsia" w:ascii="宋体" w:hAnsi="宋体" w:eastAsia="宋体" w:cs="宋体"/>
          <w:i w:val="0"/>
          <w:iCs w:val="0"/>
          <w:color w:val="000000"/>
          <w:kern w:val="0"/>
          <w:sz w:val="24"/>
          <w:szCs w:val="24"/>
          <w:highlight w:val="none"/>
          <w:u w:val="single"/>
          <w:lang w:val="en-US" w:eastAsia="zh-CN" w:bidi="ar"/>
        </w:rPr>
        <w:t>（项目名称）</w:t>
      </w:r>
      <w:r>
        <w:rPr>
          <w:rFonts w:hint="eastAsia" w:ascii="宋体" w:hAnsi="宋体" w:eastAsia="宋体" w:cs="宋体"/>
          <w:i w:val="0"/>
          <w:iCs w:val="0"/>
          <w:color w:val="000000"/>
          <w:kern w:val="0"/>
          <w:sz w:val="24"/>
          <w:szCs w:val="24"/>
          <w:highlight w:val="none"/>
          <w:lang w:val="en-US" w:eastAsia="zh-CN" w:bidi="ar"/>
        </w:rPr>
        <w:t xml:space="preserve">采购活动，提供的货物全部由符合政策要求的中小企业制造。相关企业（含联合体中的中小企业、签订分包意向协议的中小企业）的具体情况如下： </w:t>
      </w:r>
    </w:p>
    <w:p w14:paraId="38F4CC32">
      <w:pPr>
        <w:keepNext w:val="0"/>
        <w:keepLines w:val="0"/>
        <w:widowControl/>
        <w:suppressLineNumbers w:val="0"/>
        <w:shd w:val="clear" w:color="auto" w:fill="auto"/>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single"/>
          <w:lang w:val="en-US" w:eastAsia="zh-CN" w:bidi="ar"/>
        </w:rPr>
        <w:t xml:space="preserve">（标的名称） </w:t>
      </w:r>
      <w:r>
        <w:rPr>
          <w:rFonts w:hint="eastAsia" w:ascii="宋体" w:hAnsi="宋体" w:eastAsia="宋体" w:cs="宋体"/>
          <w:i w:val="0"/>
          <w:iCs w:val="0"/>
          <w:color w:val="000000"/>
          <w:kern w:val="0"/>
          <w:sz w:val="24"/>
          <w:szCs w:val="24"/>
          <w:highlight w:val="none"/>
          <w:lang w:val="en-US" w:eastAsia="zh-CN" w:bidi="ar"/>
        </w:rPr>
        <w:t>，属于</w:t>
      </w:r>
      <w:r>
        <w:rPr>
          <w:rFonts w:hint="eastAsia" w:ascii="宋体" w:hAnsi="宋体" w:eastAsia="宋体" w:cs="宋体"/>
          <w:i w:val="0"/>
          <w:iCs w:val="0"/>
          <w:color w:val="000000"/>
          <w:kern w:val="0"/>
          <w:sz w:val="24"/>
          <w:szCs w:val="24"/>
          <w:highlight w:val="none"/>
          <w:u w:val="single"/>
          <w:lang w:val="en-US" w:eastAsia="zh-CN" w:bidi="ar"/>
        </w:rPr>
        <w:t>（采购文件中明确的所属行业）</w:t>
      </w:r>
      <w:r>
        <w:rPr>
          <w:rFonts w:hint="eastAsia" w:ascii="宋体" w:hAnsi="宋体" w:eastAsia="宋体" w:cs="宋体"/>
          <w:i w:val="0"/>
          <w:iCs w:val="0"/>
          <w:color w:val="000000"/>
          <w:kern w:val="0"/>
          <w:sz w:val="24"/>
          <w:szCs w:val="24"/>
          <w:highlight w:val="none"/>
          <w:lang w:val="en-US" w:eastAsia="zh-CN" w:bidi="ar"/>
        </w:rPr>
        <w:t>行业；制造商为</w:t>
      </w:r>
      <w:r>
        <w:rPr>
          <w:rFonts w:hint="eastAsia" w:ascii="宋体" w:hAnsi="宋体" w:eastAsia="宋体" w:cs="宋体"/>
          <w:i w:val="0"/>
          <w:iCs w:val="0"/>
          <w:color w:val="000000"/>
          <w:kern w:val="0"/>
          <w:sz w:val="24"/>
          <w:szCs w:val="24"/>
          <w:highlight w:val="none"/>
          <w:u w:val="single"/>
          <w:lang w:val="en-US" w:eastAsia="zh-CN" w:bidi="ar"/>
        </w:rPr>
        <w:t>（企业名称）</w:t>
      </w:r>
      <w:r>
        <w:rPr>
          <w:rFonts w:hint="eastAsia" w:ascii="宋体" w:hAnsi="宋体" w:eastAsia="宋体" w:cs="宋体"/>
          <w:i w:val="0"/>
          <w:iCs w:val="0"/>
          <w:color w:val="000000"/>
          <w:kern w:val="0"/>
          <w:sz w:val="24"/>
          <w:szCs w:val="24"/>
          <w:highlight w:val="none"/>
          <w:lang w:val="en-US" w:eastAsia="zh-CN" w:bidi="ar"/>
        </w:rPr>
        <w:t>，从业人员</w:t>
      </w:r>
      <w:r>
        <w:rPr>
          <w:rFonts w:hint="eastAsia" w:ascii="宋体" w:hAnsi="宋体" w:eastAsia="宋体" w:cs="宋体"/>
          <w:i w:val="0"/>
          <w:iCs w:val="0"/>
          <w:color w:val="000000"/>
          <w:kern w:val="0"/>
          <w:sz w:val="24"/>
          <w:szCs w:val="24"/>
          <w:highlight w:val="none"/>
          <w:u w:val="single"/>
          <w:lang w:val="en-US" w:eastAsia="zh-CN" w:bidi="ar"/>
        </w:rPr>
        <w:t xml:space="preserve">    </w:t>
      </w:r>
      <w:r>
        <w:rPr>
          <w:rFonts w:hint="eastAsia" w:ascii="宋体" w:hAnsi="宋体" w:eastAsia="宋体" w:cs="宋体"/>
          <w:i w:val="0"/>
          <w:iCs w:val="0"/>
          <w:color w:val="000000"/>
          <w:kern w:val="0"/>
          <w:sz w:val="24"/>
          <w:szCs w:val="24"/>
          <w:highlight w:val="none"/>
          <w:lang w:val="en-US" w:eastAsia="zh-CN" w:bidi="ar"/>
        </w:rPr>
        <w:t>人，营业收入为</w:t>
      </w:r>
      <w:r>
        <w:rPr>
          <w:rFonts w:hint="eastAsia" w:ascii="宋体" w:hAnsi="宋体" w:eastAsia="宋体" w:cs="宋体"/>
          <w:i w:val="0"/>
          <w:iCs w:val="0"/>
          <w:color w:val="000000"/>
          <w:kern w:val="0"/>
          <w:sz w:val="24"/>
          <w:szCs w:val="24"/>
          <w:highlight w:val="none"/>
          <w:u w:val="single"/>
          <w:lang w:val="en-US" w:eastAsia="zh-CN" w:bidi="ar"/>
        </w:rPr>
        <w:t xml:space="preserve">    </w:t>
      </w:r>
      <w:r>
        <w:rPr>
          <w:rFonts w:hint="eastAsia" w:ascii="宋体" w:hAnsi="宋体" w:eastAsia="宋体" w:cs="宋体"/>
          <w:i w:val="0"/>
          <w:iCs w:val="0"/>
          <w:color w:val="000000"/>
          <w:kern w:val="0"/>
          <w:sz w:val="24"/>
          <w:szCs w:val="24"/>
          <w:highlight w:val="none"/>
          <w:lang w:val="en-US" w:eastAsia="zh-CN" w:bidi="ar"/>
        </w:rPr>
        <w:t>万元，资产总额为</w:t>
      </w:r>
      <w:r>
        <w:rPr>
          <w:rFonts w:hint="eastAsia" w:ascii="宋体" w:hAnsi="宋体" w:eastAsia="宋体" w:cs="宋体"/>
          <w:i w:val="0"/>
          <w:iCs w:val="0"/>
          <w:color w:val="000000"/>
          <w:kern w:val="0"/>
          <w:sz w:val="24"/>
          <w:szCs w:val="24"/>
          <w:highlight w:val="none"/>
          <w:u w:val="single"/>
          <w:lang w:val="en-US" w:eastAsia="zh-CN" w:bidi="ar"/>
        </w:rPr>
        <w:t xml:space="preserve">    </w:t>
      </w:r>
      <w:r>
        <w:rPr>
          <w:rFonts w:hint="eastAsia" w:ascii="宋体" w:hAnsi="宋体" w:eastAsia="宋体" w:cs="宋体"/>
          <w:i w:val="0"/>
          <w:iCs w:val="0"/>
          <w:color w:val="000000"/>
          <w:kern w:val="0"/>
          <w:sz w:val="24"/>
          <w:szCs w:val="24"/>
          <w:highlight w:val="none"/>
          <w:lang w:val="en-US" w:eastAsia="zh-CN" w:bidi="ar"/>
        </w:rPr>
        <w:t xml:space="preserve">万元 1，属于（中型企业、小型企业、微型企业）； </w:t>
      </w:r>
    </w:p>
    <w:p w14:paraId="2E3A4314">
      <w:pPr>
        <w:keepNext w:val="0"/>
        <w:keepLines w:val="0"/>
        <w:widowControl/>
        <w:suppressLineNumbers w:val="0"/>
        <w:shd w:val="clear" w:color="auto" w:fill="auto"/>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color w:val="000000"/>
          <w:kern w:val="0"/>
          <w:sz w:val="24"/>
          <w:szCs w:val="24"/>
          <w:highlight w:val="none"/>
          <w:lang w:val="en-US" w:eastAsia="zh-CN" w:bidi="ar"/>
        </w:rPr>
        <w:t>2.</w:t>
      </w:r>
      <w:r>
        <w:rPr>
          <w:rFonts w:hint="eastAsia" w:ascii="宋体" w:hAnsi="宋体" w:eastAsia="宋体" w:cs="宋体"/>
          <w:i w:val="0"/>
          <w:iCs w:val="0"/>
          <w:color w:val="000000"/>
          <w:kern w:val="0"/>
          <w:sz w:val="24"/>
          <w:szCs w:val="24"/>
          <w:highlight w:val="none"/>
          <w:u w:val="single"/>
          <w:lang w:val="en-US" w:eastAsia="zh-CN" w:bidi="ar"/>
        </w:rPr>
        <w:t xml:space="preserve">（标的名称） </w:t>
      </w:r>
      <w:r>
        <w:rPr>
          <w:rFonts w:hint="eastAsia" w:ascii="宋体" w:hAnsi="宋体" w:eastAsia="宋体" w:cs="宋体"/>
          <w:i w:val="0"/>
          <w:iCs w:val="0"/>
          <w:color w:val="000000"/>
          <w:kern w:val="0"/>
          <w:sz w:val="24"/>
          <w:szCs w:val="24"/>
          <w:highlight w:val="none"/>
          <w:lang w:val="en-US" w:eastAsia="zh-CN" w:bidi="ar"/>
        </w:rPr>
        <w:t>，属于</w:t>
      </w:r>
      <w:r>
        <w:rPr>
          <w:rFonts w:hint="eastAsia" w:ascii="宋体" w:hAnsi="宋体" w:eastAsia="宋体" w:cs="宋体"/>
          <w:i w:val="0"/>
          <w:iCs w:val="0"/>
          <w:color w:val="000000"/>
          <w:kern w:val="0"/>
          <w:sz w:val="24"/>
          <w:szCs w:val="24"/>
          <w:highlight w:val="none"/>
          <w:u w:val="single"/>
          <w:lang w:val="en-US" w:eastAsia="zh-CN" w:bidi="ar"/>
        </w:rPr>
        <w:t>（采购文件中明确的所属行业）</w:t>
      </w:r>
      <w:r>
        <w:rPr>
          <w:rFonts w:hint="eastAsia" w:ascii="宋体" w:hAnsi="宋体" w:eastAsia="宋体" w:cs="宋体"/>
          <w:i w:val="0"/>
          <w:iCs w:val="0"/>
          <w:color w:val="000000"/>
          <w:kern w:val="0"/>
          <w:sz w:val="24"/>
          <w:szCs w:val="24"/>
          <w:highlight w:val="none"/>
          <w:lang w:val="en-US" w:eastAsia="zh-CN" w:bidi="ar"/>
        </w:rPr>
        <w:t>行业；制造商为</w:t>
      </w:r>
      <w:r>
        <w:rPr>
          <w:rFonts w:hint="eastAsia" w:ascii="宋体" w:hAnsi="宋体" w:eastAsia="宋体" w:cs="宋体"/>
          <w:i w:val="0"/>
          <w:iCs w:val="0"/>
          <w:color w:val="000000"/>
          <w:kern w:val="0"/>
          <w:sz w:val="24"/>
          <w:szCs w:val="24"/>
          <w:highlight w:val="none"/>
          <w:u w:val="single"/>
          <w:lang w:val="en-US" w:eastAsia="zh-CN" w:bidi="ar"/>
        </w:rPr>
        <w:t>（企业名称）</w:t>
      </w:r>
      <w:r>
        <w:rPr>
          <w:rFonts w:hint="eastAsia" w:ascii="宋体" w:hAnsi="宋体" w:eastAsia="宋体" w:cs="宋体"/>
          <w:i w:val="0"/>
          <w:iCs w:val="0"/>
          <w:color w:val="000000"/>
          <w:kern w:val="0"/>
          <w:sz w:val="24"/>
          <w:szCs w:val="24"/>
          <w:highlight w:val="none"/>
          <w:lang w:val="en-US" w:eastAsia="zh-CN" w:bidi="ar"/>
        </w:rPr>
        <w:t>，从业人员</w:t>
      </w:r>
      <w:r>
        <w:rPr>
          <w:rFonts w:hint="eastAsia" w:ascii="宋体" w:hAnsi="宋体" w:eastAsia="宋体" w:cs="宋体"/>
          <w:i w:val="0"/>
          <w:iCs w:val="0"/>
          <w:color w:val="000000"/>
          <w:kern w:val="0"/>
          <w:sz w:val="24"/>
          <w:szCs w:val="24"/>
          <w:highlight w:val="none"/>
          <w:u w:val="single"/>
          <w:lang w:val="en-US" w:eastAsia="zh-CN" w:bidi="ar"/>
        </w:rPr>
        <w:t xml:space="preserve">    </w:t>
      </w:r>
      <w:r>
        <w:rPr>
          <w:rFonts w:hint="eastAsia" w:ascii="宋体" w:hAnsi="宋体" w:eastAsia="宋体" w:cs="宋体"/>
          <w:i w:val="0"/>
          <w:iCs w:val="0"/>
          <w:color w:val="000000"/>
          <w:kern w:val="0"/>
          <w:sz w:val="24"/>
          <w:szCs w:val="24"/>
          <w:highlight w:val="none"/>
          <w:lang w:val="en-US" w:eastAsia="zh-CN" w:bidi="ar"/>
        </w:rPr>
        <w:t>人，营业收入为</w:t>
      </w:r>
      <w:r>
        <w:rPr>
          <w:rFonts w:hint="eastAsia" w:ascii="宋体" w:hAnsi="宋体" w:eastAsia="宋体" w:cs="宋体"/>
          <w:i w:val="0"/>
          <w:iCs w:val="0"/>
          <w:color w:val="000000"/>
          <w:kern w:val="0"/>
          <w:sz w:val="24"/>
          <w:szCs w:val="24"/>
          <w:highlight w:val="none"/>
          <w:u w:val="single"/>
          <w:lang w:val="en-US" w:eastAsia="zh-CN" w:bidi="ar"/>
        </w:rPr>
        <w:t xml:space="preserve">    </w:t>
      </w:r>
      <w:r>
        <w:rPr>
          <w:rFonts w:hint="eastAsia" w:ascii="宋体" w:hAnsi="宋体" w:eastAsia="宋体" w:cs="宋体"/>
          <w:i w:val="0"/>
          <w:iCs w:val="0"/>
          <w:color w:val="000000"/>
          <w:kern w:val="0"/>
          <w:sz w:val="24"/>
          <w:szCs w:val="24"/>
          <w:highlight w:val="none"/>
          <w:lang w:val="en-US" w:eastAsia="zh-CN" w:bidi="ar"/>
        </w:rPr>
        <w:t>万元，资产总额为</w:t>
      </w:r>
      <w:r>
        <w:rPr>
          <w:rFonts w:hint="eastAsia" w:ascii="宋体" w:hAnsi="宋体" w:eastAsia="宋体" w:cs="宋体"/>
          <w:i w:val="0"/>
          <w:iCs w:val="0"/>
          <w:color w:val="000000"/>
          <w:kern w:val="0"/>
          <w:sz w:val="24"/>
          <w:szCs w:val="24"/>
          <w:highlight w:val="none"/>
          <w:u w:val="single"/>
          <w:lang w:val="en-US" w:eastAsia="zh-CN" w:bidi="ar"/>
        </w:rPr>
        <w:t xml:space="preserve">    </w:t>
      </w:r>
      <w:r>
        <w:rPr>
          <w:rFonts w:hint="eastAsia" w:ascii="宋体" w:hAnsi="宋体" w:eastAsia="宋体" w:cs="宋体"/>
          <w:i w:val="0"/>
          <w:iCs w:val="0"/>
          <w:color w:val="000000"/>
          <w:kern w:val="0"/>
          <w:sz w:val="24"/>
          <w:szCs w:val="24"/>
          <w:highlight w:val="none"/>
          <w:lang w:val="en-US" w:eastAsia="zh-CN" w:bidi="ar"/>
        </w:rPr>
        <w:t xml:space="preserve">万元，属于（中型企业、小型企业、微型企业）； </w:t>
      </w:r>
    </w:p>
    <w:p w14:paraId="03435304">
      <w:pPr>
        <w:keepNext w:val="0"/>
        <w:keepLines w:val="0"/>
        <w:widowControl/>
        <w:suppressLineNumbers w:val="0"/>
        <w:shd w:val="clear" w:color="auto" w:fill="auto"/>
        <w:kinsoku/>
        <w:overflowPunct/>
        <w:topLinePunct w:val="0"/>
        <w:bidi w:val="0"/>
        <w:spacing w:line="360" w:lineRule="auto"/>
        <w:jc w:val="left"/>
        <w:rPr>
          <w:rFonts w:hint="eastAsia" w:ascii="宋体" w:hAnsi="宋体" w:eastAsia="宋体" w:cs="宋体"/>
          <w:i w:val="0"/>
          <w:iCs w:val="0"/>
          <w:sz w:val="24"/>
          <w:szCs w:val="24"/>
          <w:highlight w:val="none"/>
        </w:rPr>
      </w:pPr>
      <w:r>
        <w:rPr>
          <w:rFonts w:hint="eastAsia" w:ascii="宋体" w:hAnsi="宋体" w:eastAsia="宋体" w:cs="宋体"/>
          <w:i w:val="0"/>
          <w:iCs w:val="0"/>
          <w:color w:val="000000"/>
          <w:kern w:val="0"/>
          <w:sz w:val="24"/>
          <w:szCs w:val="24"/>
          <w:highlight w:val="none"/>
          <w:lang w:val="en-US" w:eastAsia="zh-CN" w:bidi="ar"/>
        </w:rPr>
        <w:t xml:space="preserve">…… </w:t>
      </w:r>
    </w:p>
    <w:p w14:paraId="40A39C63">
      <w:pPr>
        <w:keepNext w:val="0"/>
        <w:keepLines w:val="0"/>
        <w:widowControl/>
        <w:suppressLineNumbers w:val="0"/>
        <w:shd w:val="clear" w:color="auto" w:fill="auto"/>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color w:val="000000"/>
          <w:kern w:val="0"/>
          <w:sz w:val="24"/>
          <w:szCs w:val="24"/>
          <w:highlight w:val="none"/>
          <w:lang w:val="en-US" w:eastAsia="zh-CN" w:bidi="ar"/>
        </w:rPr>
        <w:t xml:space="preserve">以上企业，不属于大企业的分支机构，不存在控股股东为大企业的情形，也不存在与大企业的负责人为同一人的情形。 </w:t>
      </w:r>
    </w:p>
    <w:p w14:paraId="4FB37F6E">
      <w:pPr>
        <w:keepNext w:val="0"/>
        <w:keepLines w:val="0"/>
        <w:widowControl/>
        <w:suppressLineNumbers w:val="0"/>
        <w:shd w:val="clear" w:color="auto" w:fill="auto"/>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color w:val="000000"/>
          <w:kern w:val="0"/>
          <w:sz w:val="24"/>
          <w:szCs w:val="24"/>
          <w:highlight w:val="none"/>
          <w:lang w:val="en-US" w:eastAsia="zh-CN" w:bidi="ar"/>
        </w:rPr>
        <w:t xml:space="preserve">本企业对上述声明内容的真实性负责。如有虚假，将依法承担相应责任。 </w:t>
      </w:r>
    </w:p>
    <w:p w14:paraId="120638AD">
      <w:pPr>
        <w:keepNext w:val="0"/>
        <w:keepLines w:val="0"/>
        <w:widowControl/>
        <w:suppressLineNumbers w:val="0"/>
        <w:shd w:val="clear" w:color="auto" w:fill="auto"/>
        <w:kinsoku/>
        <w:overflowPunct/>
        <w:topLinePunct w:val="0"/>
        <w:bidi w:val="0"/>
        <w:spacing w:line="360" w:lineRule="auto"/>
        <w:ind w:firstLine="2400" w:firstLineChars="1000"/>
        <w:jc w:val="left"/>
        <w:rPr>
          <w:rFonts w:hint="eastAsia" w:ascii="宋体" w:hAnsi="宋体" w:eastAsia="宋体" w:cs="宋体"/>
          <w:i w:val="0"/>
          <w:iCs w:val="0"/>
          <w:sz w:val="24"/>
          <w:szCs w:val="24"/>
          <w:highlight w:val="none"/>
        </w:rPr>
      </w:pPr>
      <w:r>
        <w:rPr>
          <w:rFonts w:hint="eastAsia" w:ascii="宋体" w:hAnsi="宋体" w:eastAsia="宋体" w:cs="宋体"/>
          <w:i w:val="0"/>
          <w:iCs w:val="0"/>
          <w:color w:val="000000"/>
          <w:kern w:val="0"/>
          <w:sz w:val="24"/>
          <w:szCs w:val="24"/>
          <w:highlight w:val="none"/>
          <w:lang w:val="en-US" w:eastAsia="zh-CN" w:bidi="ar"/>
        </w:rPr>
        <w:t xml:space="preserve">企业名称（盖章）： </w:t>
      </w:r>
    </w:p>
    <w:p w14:paraId="3F48ADB5">
      <w:pPr>
        <w:keepNext w:val="0"/>
        <w:keepLines w:val="0"/>
        <w:widowControl/>
        <w:suppressLineNumbers w:val="0"/>
        <w:shd w:val="clear" w:color="auto" w:fill="auto"/>
        <w:kinsoku/>
        <w:overflowPunct/>
        <w:topLinePunct w:val="0"/>
        <w:bidi w:val="0"/>
        <w:spacing w:line="360" w:lineRule="auto"/>
        <w:ind w:firstLine="2400" w:firstLineChars="1000"/>
        <w:jc w:val="left"/>
        <w:rPr>
          <w:rFonts w:hint="eastAsia" w:ascii="宋体" w:hAnsi="宋体" w:eastAsia="宋体" w:cs="宋体"/>
          <w:i w:val="0"/>
          <w:iCs w:val="0"/>
          <w:sz w:val="24"/>
          <w:szCs w:val="24"/>
          <w:highlight w:val="none"/>
        </w:rPr>
      </w:pPr>
      <w:r>
        <w:rPr>
          <w:rFonts w:hint="eastAsia" w:ascii="宋体" w:hAnsi="宋体" w:eastAsia="宋体" w:cs="宋体"/>
          <w:i w:val="0"/>
          <w:iCs w:val="0"/>
          <w:color w:val="000000"/>
          <w:kern w:val="0"/>
          <w:sz w:val="24"/>
          <w:szCs w:val="24"/>
          <w:highlight w:val="none"/>
          <w:lang w:val="en-US" w:eastAsia="zh-CN" w:bidi="ar"/>
        </w:rPr>
        <w:t xml:space="preserve">日 期： </w:t>
      </w:r>
    </w:p>
    <w:p w14:paraId="63194F1F">
      <w:pPr>
        <w:keepNext w:val="0"/>
        <w:keepLines w:val="0"/>
        <w:widowControl/>
        <w:suppressLineNumbers w:val="0"/>
        <w:shd w:val="clear" w:color="auto" w:fill="auto"/>
        <w:kinsoku/>
        <w:overflowPunct/>
        <w:topLinePunct w:val="0"/>
        <w:bidi w:val="0"/>
        <w:spacing w:line="360" w:lineRule="auto"/>
        <w:jc w:val="left"/>
        <w:rPr>
          <w:rFonts w:hint="eastAsia" w:ascii="宋体" w:hAnsi="宋体" w:eastAsia="宋体" w:cs="宋体"/>
          <w:b/>
          <w:bCs/>
          <w:i w:val="0"/>
          <w:iCs w:val="0"/>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1.从业人员、营业收入、资产总额填报上一年度数据，无上一年度数据的新成立企业可不填报。</w:t>
      </w:r>
    </w:p>
    <w:p w14:paraId="046F86C9">
      <w:pPr>
        <w:keepLines w:val="0"/>
        <w:shd w:val="clear" w:color="auto" w:fill="auto"/>
        <w:kinsoku/>
        <w:overflowPunct/>
        <w:topLinePunct w:val="0"/>
        <w:bidi w:val="0"/>
        <w:spacing w:line="360" w:lineRule="auto"/>
        <w:rPr>
          <w:rFonts w:hint="eastAsia" w:ascii="宋体" w:hAnsi="宋体" w:eastAsia="宋体" w:cs="宋体"/>
          <w:i w:val="0"/>
          <w:iCs w:val="0"/>
          <w:highlight w:val="none"/>
        </w:rPr>
      </w:pPr>
    </w:p>
    <w:p w14:paraId="442FBA96">
      <w:pPr>
        <w:pStyle w:val="82"/>
        <w:keepLines w:val="0"/>
        <w:shd w:val="clear" w:color="auto" w:fill="auto"/>
        <w:kinsoku/>
        <w:overflowPunct/>
        <w:topLinePunct w:val="0"/>
        <w:bidi w:val="0"/>
        <w:spacing w:line="360" w:lineRule="auto"/>
        <w:jc w:val="center"/>
        <w:rPr>
          <w:rFonts w:hint="eastAsia" w:ascii="宋体" w:hAnsi="宋体" w:eastAsia="宋体" w:cs="宋体"/>
          <w:b/>
          <w:bCs/>
          <w:sz w:val="28"/>
          <w:szCs w:val="28"/>
          <w:highlight w:val="none"/>
          <w:lang w:val="en-US" w:eastAsia="zh-CN"/>
        </w:rPr>
      </w:pPr>
    </w:p>
    <w:p w14:paraId="4AE9F3A3">
      <w:pPr>
        <w:pStyle w:val="82"/>
        <w:keepLines w:val="0"/>
        <w:shd w:val="clear" w:color="auto" w:fill="auto"/>
        <w:kinsoku/>
        <w:overflowPunct/>
        <w:topLinePunct w:val="0"/>
        <w:bidi w:val="0"/>
        <w:spacing w:line="360" w:lineRule="auto"/>
        <w:jc w:val="center"/>
        <w:rPr>
          <w:rFonts w:hint="eastAsia" w:ascii="宋体" w:hAnsi="宋体" w:eastAsia="宋体" w:cs="宋体"/>
          <w:b/>
          <w:bCs/>
          <w:sz w:val="28"/>
          <w:szCs w:val="28"/>
          <w:highlight w:val="none"/>
          <w:lang w:val="en-US" w:eastAsia="zh-CN"/>
        </w:rPr>
      </w:pPr>
    </w:p>
    <w:p w14:paraId="23979778">
      <w:pPr>
        <w:pStyle w:val="82"/>
        <w:keepLines w:val="0"/>
        <w:shd w:val="clear" w:color="auto" w:fill="auto"/>
        <w:kinsoku/>
        <w:overflowPunct/>
        <w:topLinePunct w:val="0"/>
        <w:bidi w:val="0"/>
        <w:spacing w:line="360" w:lineRule="auto"/>
        <w:jc w:val="center"/>
        <w:rPr>
          <w:rFonts w:hint="eastAsia" w:ascii="宋体" w:hAnsi="宋体" w:eastAsia="宋体" w:cs="宋体"/>
          <w:sz w:val="30"/>
          <w:szCs w:val="30"/>
          <w:highlight w:val="none"/>
        </w:rPr>
      </w:pPr>
      <w:r>
        <w:rPr>
          <w:rFonts w:hint="eastAsia" w:ascii="宋体" w:hAnsi="宋体" w:eastAsia="宋体" w:cs="宋体"/>
          <w:b/>
          <w:bCs/>
          <w:sz w:val="28"/>
          <w:szCs w:val="28"/>
          <w:highlight w:val="none"/>
          <w:lang w:val="en-US" w:eastAsia="zh-CN"/>
        </w:rPr>
        <w:br w:type="page"/>
      </w:r>
      <w:r>
        <w:rPr>
          <w:rFonts w:hint="eastAsia" w:ascii="宋体" w:hAnsi="宋体" w:eastAsia="宋体" w:cs="宋体"/>
          <w:b/>
          <w:bCs/>
          <w:sz w:val="30"/>
          <w:szCs w:val="30"/>
          <w:highlight w:val="none"/>
        </w:rPr>
        <w:t>《残疾人福利性单位声明函》（格式）</w:t>
      </w:r>
    </w:p>
    <w:p w14:paraId="13D6A624">
      <w:pPr>
        <w:pStyle w:val="82"/>
        <w:keepLines w:val="0"/>
        <w:shd w:val="clear" w:color="auto" w:fill="auto"/>
        <w:kinsoku/>
        <w:overflowPunct/>
        <w:topLinePunct w:val="0"/>
        <w:bidi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F873733">
      <w:pPr>
        <w:pStyle w:val="82"/>
        <w:keepLines w:val="0"/>
        <w:shd w:val="clear" w:color="auto" w:fill="auto"/>
        <w:kinsoku/>
        <w:overflowPunct/>
        <w:topLinePunct w:val="0"/>
        <w:bidi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（采购人）     </w:t>
      </w:r>
    </w:p>
    <w:p w14:paraId="73516A15">
      <w:pPr>
        <w:pStyle w:val="82"/>
        <w:keepLines w:val="0"/>
        <w:shd w:val="clear" w:color="auto" w:fill="auto"/>
        <w:kinsoku/>
        <w:overflowPunct/>
        <w:topLinePunct w:val="0"/>
        <w:bidi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p>
    <w:p w14:paraId="088A8BBC">
      <w:pPr>
        <w:pStyle w:val="82"/>
        <w:keepLines w:val="0"/>
        <w:shd w:val="clear" w:color="auto" w:fill="auto"/>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项目招标活动提供本单位制造的货物（由本单位承担工程/提供服务），或者提供其他残疾人福利性单位制造的货物（不包括使用非残疾人福利性单位注册商标的货物）。</w:t>
      </w:r>
    </w:p>
    <w:p w14:paraId="15B018D7">
      <w:pPr>
        <w:pStyle w:val="82"/>
        <w:keepLines w:val="0"/>
        <w:shd w:val="clear" w:color="auto" w:fill="auto"/>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本单位对上述声明的真实性负责。如有虚假，将依法承担相应责任。</w:t>
      </w:r>
    </w:p>
    <w:p w14:paraId="33BD1D3F">
      <w:pPr>
        <w:pStyle w:val="82"/>
        <w:keepLines w:val="0"/>
        <w:shd w:val="clear" w:color="auto" w:fill="auto"/>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B50F0D3">
      <w:pPr>
        <w:pStyle w:val="82"/>
        <w:keepLines w:val="0"/>
        <w:shd w:val="clear" w:color="auto" w:fill="auto"/>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579D8C5">
      <w:pPr>
        <w:pStyle w:val="82"/>
        <w:keepLines w:val="0"/>
        <w:shd w:val="clear" w:color="auto" w:fill="auto"/>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18C4193">
      <w:pPr>
        <w:pStyle w:val="82"/>
        <w:keepLines w:val="0"/>
        <w:shd w:val="clear" w:color="auto" w:fill="auto"/>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2953E94">
      <w:pPr>
        <w:pStyle w:val="82"/>
        <w:keepLines w:val="0"/>
        <w:shd w:val="clear" w:color="auto" w:fill="auto"/>
        <w:kinsoku/>
        <w:overflowPunct/>
        <w:topLinePunct w:val="0"/>
        <w:bidi w:val="0"/>
        <w:spacing w:line="360" w:lineRule="auto"/>
        <w:ind w:firstLine="2880" w:firstLineChars="1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供应商名称（公章）：</w:t>
      </w:r>
      <w:r>
        <w:rPr>
          <w:rFonts w:hint="eastAsia" w:ascii="宋体" w:hAnsi="宋体" w:eastAsia="宋体" w:cs="宋体"/>
          <w:sz w:val="24"/>
          <w:szCs w:val="24"/>
          <w:highlight w:val="none"/>
          <w:u w:val="single"/>
        </w:rPr>
        <w:t xml:space="preserve">                      </w:t>
      </w:r>
    </w:p>
    <w:p w14:paraId="7F9A1DAA">
      <w:pPr>
        <w:pStyle w:val="82"/>
        <w:keepLines w:val="0"/>
        <w:shd w:val="clear" w:color="auto" w:fill="auto"/>
        <w:kinsoku/>
        <w:overflowPunct/>
        <w:topLinePunct w:val="0"/>
        <w:bidi w:val="0"/>
        <w:spacing w:line="360" w:lineRule="auto"/>
        <w:ind w:firstLine="2880" w:firstLineChars="12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18A5C543">
      <w:pPr>
        <w:pStyle w:val="82"/>
        <w:keepLines w:val="0"/>
        <w:shd w:val="clear" w:color="auto" w:fill="auto"/>
        <w:kinsoku/>
        <w:overflowPunct/>
        <w:topLinePunct w:val="0"/>
        <w:bidi w:val="0"/>
        <w:spacing w:line="360" w:lineRule="auto"/>
        <w:ind w:firstLine="3360" w:firstLineChars="1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B80CB65">
      <w:pPr>
        <w:pStyle w:val="82"/>
        <w:keepLines w:val="0"/>
        <w:shd w:val="clear" w:color="auto" w:fill="auto"/>
        <w:kinsoku/>
        <w:overflowPunct/>
        <w:topLinePunct w:val="0"/>
        <w:bidi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D7CB1B4">
      <w:pPr>
        <w:pStyle w:val="82"/>
        <w:keepLines w:val="0"/>
        <w:shd w:val="clear" w:color="auto" w:fill="auto"/>
        <w:kinsoku/>
        <w:overflowPunct/>
        <w:topLinePunct w:val="0"/>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备注：供应商若不是符合条件的残疾人福利性单位，可不填写此函</w:t>
      </w:r>
    </w:p>
    <w:p w14:paraId="621E39FF">
      <w:pPr>
        <w:pStyle w:val="18"/>
        <w:keepLines w:val="0"/>
        <w:shd w:val="clear" w:color="auto" w:fill="auto"/>
        <w:kinsoku/>
        <w:overflowPunct/>
        <w:topLinePunct w:val="0"/>
        <w:bidi w:val="0"/>
        <w:spacing w:line="360" w:lineRule="auto"/>
        <w:jc w:val="center"/>
        <w:rPr>
          <w:rFonts w:hint="eastAsia" w:ascii="宋体" w:hAnsi="宋体" w:eastAsia="宋体" w:cs="宋体"/>
          <w:b/>
          <w:sz w:val="28"/>
          <w:szCs w:val="28"/>
          <w:highlight w:val="none"/>
          <w:lang w:val="en-US" w:eastAsia="zh-CN"/>
        </w:rPr>
      </w:pPr>
    </w:p>
    <w:p w14:paraId="26709FAB">
      <w:pPr>
        <w:keepLines w:val="0"/>
        <w:shd w:val="clear" w:color="auto" w:fill="auto"/>
        <w:tabs>
          <w:tab w:val="left" w:pos="1888"/>
        </w:tabs>
        <w:kinsoku/>
        <w:overflowPunct/>
        <w:topLinePunct w:val="0"/>
        <w:bidi w:val="0"/>
        <w:spacing w:line="360" w:lineRule="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ab/>
      </w:r>
    </w:p>
    <w:p w14:paraId="6CD3B7B6">
      <w:pPr>
        <w:pStyle w:val="23"/>
        <w:shd w:val="clear" w:color="auto" w:fill="auto"/>
        <w:rPr>
          <w:rFonts w:hint="eastAsia" w:ascii="宋体" w:hAnsi="宋体" w:eastAsia="宋体" w:cs="宋体"/>
          <w:b/>
          <w:sz w:val="28"/>
          <w:szCs w:val="28"/>
          <w:highlight w:val="none"/>
          <w:lang w:val="en-US" w:eastAsia="zh-CN"/>
        </w:rPr>
      </w:pPr>
    </w:p>
    <w:p w14:paraId="7BE9142D">
      <w:pPr>
        <w:pStyle w:val="18"/>
        <w:keepLines w:val="0"/>
        <w:shd w:val="clear" w:color="auto" w:fill="auto"/>
        <w:kinsoku/>
        <w:overflowPunct/>
        <w:topLinePunct w:val="0"/>
        <w:bidi w:val="0"/>
        <w:spacing w:line="360" w:lineRule="auto"/>
        <w:jc w:val="center"/>
        <w:rPr>
          <w:rFonts w:hint="eastAsia" w:ascii="宋体" w:hAnsi="宋体" w:eastAsia="宋体" w:cs="宋体"/>
          <w:b/>
          <w:sz w:val="30"/>
          <w:szCs w:val="30"/>
          <w:highlight w:val="none"/>
        </w:rPr>
      </w:pPr>
      <w:r>
        <w:rPr>
          <w:rFonts w:hint="eastAsia" w:ascii="宋体" w:hAnsi="宋体" w:eastAsia="宋体" w:cs="宋体"/>
          <w:b/>
          <w:sz w:val="28"/>
          <w:szCs w:val="28"/>
          <w:highlight w:val="none"/>
          <w:lang w:val="en-US" w:eastAsia="zh-CN"/>
        </w:rPr>
        <w:br w:type="page"/>
      </w:r>
      <w:r>
        <w:rPr>
          <w:rFonts w:hint="eastAsia" w:ascii="宋体" w:hAnsi="宋体" w:eastAsia="宋体" w:cs="宋体"/>
          <w:b/>
          <w:sz w:val="30"/>
          <w:szCs w:val="30"/>
          <w:highlight w:val="none"/>
        </w:rPr>
        <w:t>《</w:t>
      </w:r>
      <w:r>
        <w:rPr>
          <w:rFonts w:hint="eastAsia" w:ascii="宋体" w:hAnsi="宋体" w:eastAsia="宋体" w:cs="宋体"/>
          <w:b/>
          <w:sz w:val="30"/>
          <w:szCs w:val="30"/>
          <w:highlight w:val="none"/>
          <w:lang w:eastAsia="zh-CN"/>
        </w:rPr>
        <w:t>监狱</w:t>
      </w:r>
      <w:r>
        <w:rPr>
          <w:rFonts w:hint="eastAsia" w:ascii="宋体" w:hAnsi="宋体" w:eastAsia="宋体" w:cs="宋体"/>
          <w:b/>
          <w:sz w:val="30"/>
          <w:szCs w:val="30"/>
          <w:highlight w:val="none"/>
        </w:rPr>
        <w:t>企业声明函》（格式）</w:t>
      </w:r>
    </w:p>
    <w:p w14:paraId="2CA4377B">
      <w:pPr>
        <w:keepLines w:val="0"/>
        <w:shd w:val="clear" w:color="auto" w:fill="auto"/>
        <w:kinsoku/>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EA88F3">
      <w:pPr>
        <w:keepLines w:val="0"/>
        <w:shd w:val="clear" w:color="auto" w:fill="auto"/>
        <w:kinsoku/>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w:t>
      </w:r>
    </w:p>
    <w:p w14:paraId="1FCE6806">
      <w:pPr>
        <w:keepLines w:val="0"/>
        <w:shd w:val="clear" w:color="auto" w:fill="auto"/>
        <w:kinsoku/>
        <w:overflowPunct/>
        <w:topLinePunct w:val="0"/>
        <w:bidi w:val="0"/>
        <w:spacing w:line="360" w:lineRule="auto"/>
        <w:ind w:firstLine="480" w:firstLineChars="200"/>
        <w:rPr>
          <w:rFonts w:hint="eastAsia" w:ascii="宋体" w:hAnsi="宋体" w:eastAsia="宋体" w:cs="宋体"/>
          <w:sz w:val="24"/>
          <w:szCs w:val="24"/>
          <w:highlight w:val="none"/>
        </w:rPr>
      </w:pPr>
    </w:p>
    <w:p w14:paraId="36968912">
      <w:pPr>
        <w:keepLines w:val="0"/>
        <w:shd w:val="clear" w:color="auto" w:fill="auto"/>
        <w:kinsoku/>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时，应当提供由省级以上监狱管理局、戒毒管理局（含新疆生产建设兵团）出具的属于监狱企业的证明文件（格式不做要求）。未提供证明文件的不能享受</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规定的价格扣除，但不影响</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文件的有效性。</w:t>
      </w:r>
    </w:p>
    <w:p w14:paraId="2DAB28C3">
      <w:pPr>
        <w:keepLines w:val="0"/>
        <w:shd w:val="clear" w:color="auto" w:fill="auto"/>
        <w:kinsoku/>
        <w:overflowPunct/>
        <w:topLinePunct w:val="0"/>
        <w:bidi w:val="0"/>
        <w:spacing w:line="360" w:lineRule="auto"/>
        <w:rPr>
          <w:rFonts w:hint="eastAsia" w:ascii="宋体" w:hAnsi="宋体" w:eastAsia="宋体" w:cs="宋体"/>
          <w:sz w:val="24"/>
          <w:szCs w:val="24"/>
          <w:highlight w:val="none"/>
        </w:rPr>
      </w:pPr>
    </w:p>
    <w:p w14:paraId="6141CDC7">
      <w:pPr>
        <w:keepLines w:val="0"/>
        <w:shd w:val="clear" w:color="auto" w:fill="auto"/>
        <w:kinsoku/>
        <w:overflowPunct/>
        <w:topLinePunct w:val="0"/>
        <w:bidi w:val="0"/>
        <w:spacing w:line="360" w:lineRule="auto"/>
        <w:rPr>
          <w:rFonts w:hint="eastAsia" w:ascii="宋体" w:hAnsi="宋体" w:eastAsia="宋体" w:cs="宋体"/>
          <w:sz w:val="24"/>
          <w:szCs w:val="24"/>
          <w:highlight w:val="none"/>
        </w:rPr>
      </w:pPr>
    </w:p>
    <w:p w14:paraId="16646B74">
      <w:pPr>
        <w:keepLines w:val="0"/>
        <w:shd w:val="clear" w:color="auto" w:fill="auto"/>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供应商全称(盖章)：</w:t>
      </w:r>
    </w:p>
    <w:p w14:paraId="7E0F9B07">
      <w:pPr>
        <w:keepLines w:val="0"/>
        <w:shd w:val="clear" w:color="auto" w:fill="auto"/>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法人代表人或法定授权代表人(签字或盖章)：</w:t>
      </w:r>
    </w:p>
    <w:p w14:paraId="01C12969">
      <w:pPr>
        <w:keepLines w:val="0"/>
        <w:shd w:val="clear" w:color="auto" w:fill="auto"/>
        <w:kinsoku/>
        <w:overflowPunct/>
        <w:topLinePunct w:val="0"/>
        <w:bidi w:val="0"/>
        <w:spacing w:line="360" w:lineRule="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日  期：</w:t>
      </w:r>
    </w:p>
    <w:p w14:paraId="1E9F6257">
      <w:pPr>
        <w:pStyle w:val="18"/>
        <w:keepNext w:val="0"/>
        <w:keepLines w:val="0"/>
        <w:pageBreakBefore w:val="0"/>
        <w:widowControl w:val="0"/>
        <w:shd w:val="clear" w:color="auto" w:fill="auto"/>
        <w:kinsoku/>
        <w:wordWrap/>
        <w:overflowPunct/>
        <w:topLinePunct w:val="0"/>
        <w:bidi w:val="0"/>
        <w:spacing w:line="360" w:lineRule="auto"/>
        <w:rPr>
          <w:rFonts w:hint="eastAsia" w:ascii="宋体" w:hAnsi="宋体" w:eastAsia="宋体" w:cs="宋体"/>
          <w:color w:val="auto"/>
          <w:sz w:val="24"/>
          <w:szCs w:val="24"/>
          <w:highlight w:val="none"/>
        </w:rPr>
      </w:pPr>
    </w:p>
    <w:p w14:paraId="5DC7091C">
      <w:pPr>
        <w:keepNext w:val="0"/>
        <w:keepLines w:val="0"/>
        <w:pageBreakBefore w:val="0"/>
        <w:widowControl w:val="0"/>
        <w:shd w:val="clear" w:color="auto" w:fill="auto"/>
        <w:tabs>
          <w:tab w:val="left" w:pos="465"/>
          <w:tab w:val="left" w:pos="780"/>
        </w:tabs>
        <w:kinsoku/>
        <w:wordWrap/>
        <w:overflowPunct/>
        <w:topLinePunct w:val="0"/>
        <w:autoSpaceDE w:val="0"/>
        <w:autoSpaceDN w:val="0"/>
        <w:bidi w:val="0"/>
        <w:spacing w:line="360" w:lineRule="auto"/>
        <w:ind w:firstLine="480"/>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注：供应商非监狱企业可不提供此附件。</w:t>
      </w:r>
    </w:p>
    <w:sectPr>
      <w:headerReference r:id="rId8" w:type="default"/>
      <w:footerReference r:id="rId9" w:type="default"/>
      <w:pgSz w:w="11906" w:h="16838"/>
      <w:pgMar w:top="1440" w:right="1080" w:bottom="1440" w:left="1080" w:header="851" w:footer="113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CG Times">
    <w:altName w:val="Microsoft YaHei UI"/>
    <w:panose1 w:val="02020603050405020304"/>
    <w:charset w:val="00"/>
    <w:family w:val="roman"/>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aco">
    <w:altName w:val="Courier New"/>
    <w:panose1 w:val="020B0509030404040204"/>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7457">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873"/>
        <w:tab w:val="clear" w:pos="4153"/>
      </w:tabs>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cs="宋体"/>
      </w:rPr>
    </w:pPr>
    <w:r>
      <w:rPr>
        <w:rFonts w:hint="eastAsia" w:ascii="宋体" w:hAnsi="宋体" w:cs="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DD39">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873"/>
        <w:tab w:val="clear" w:pos="4153"/>
      </w:tabs>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07E5A">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9E07E5A">
                    <w:pPr>
                      <w:pStyle w:val="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cs="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33F9">
    <w:pPr>
      <w:pStyle w:val="2"/>
      <w:pBdr>
        <w:top w:val="none" w:color="auto" w:sz="0" w:space="1"/>
        <w:left w:val="none" w:color="auto" w:sz="0" w:space="4"/>
        <w:bottom w:val="none" w:color="auto" w:sz="0" w:space="1"/>
        <w:right w:val="none" w:color="auto" w:sz="0" w:space="4"/>
        <w:between w:val="none" w:color="auto" w:sz="0" w:space="0"/>
      </w:pBdr>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73A8">
                          <w:pPr>
                            <w:pStyle w:val="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05173A8">
                    <w:pPr>
                      <w:pStyle w:val="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51116">
    <w:pPr>
      <w:pStyle w:val="2"/>
      <w:pBdr>
        <w:top w:val="none" w:color="auto" w:sz="0" w:space="1"/>
        <w:left w:val="none" w:color="auto" w:sz="0" w:space="4"/>
        <w:bottom w:val="none" w:color="auto" w:sz="0" w:space="1"/>
        <w:right w:val="none" w:color="auto" w:sz="0" w:space="4"/>
        <w:between w:val="none" w:color="auto" w:sz="0" w:space="0"/>
      </w:pBd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9DA3C">
                          <w:pPr>
                            <w:pStyle w:val="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439DA3C">
                    <w:pPr>
                      <w:pStyle w:val="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0526">
    <w:pPr>
      <w:pStyle w:val="18"/>
      <w:pBdr>
        <w:top w:val="none" w:color="auto" w:sz="0" w:space="0"/>
        <w:left w:val="none" w:color="auto" w:sz="0" w:space="0"/>
        <w:bottom w:val="none" w:color="auto" w:sz="0" w:space="0"/>
        <w:right w:val="none" w:color="auto" w:sz="0" w:space="0"/>
        <w:between w:val="none" w:color="auto" w:sz="0" w:space="0"/>
      </w:pBdr>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08109">
                          <w:pPr>
                            <w:pStyle w:val="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208109">
                    <w:pPr>
                      <w:pStyle w:val="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0FDE">
    <w:pPr>
      <w:keepNext w:val="0"/>
      <w:keepLines w:val="0"/>
      <w:pageBreakBefore w:val="0"/>
      <w:widowControl w:val="0"/>
      <w:pBdr>
        <w:bottom w:val="none" w:color="auto" w:sz="0" w:space="0"/>
      </w:pBdr>
      <w:shd w:val="clear" w:color="auto" w:fill="auto"/>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val="0"/>
        <w:bCs w:val="0"/>
        <w:i w:val="0"/>
        <w:iCs w:val="0"/>
        <w:sz w:val="18"/>
        <w:szCs w:val="20"/>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84A56">
    <w:pPr>
      <w:pStyle w:val="25"/>
      <w:pBdr>
        <w:bottom w:val="none" w:color="auto" w:sz="0" w:space="1"/>
      </w:pBdr>
      <w:jc w:val="both"/>
      <w:rPr>
        <w:rFonts w:hint="eastAsia" w:ascii="仿宋_GB2312" w:hAnsi="仿宋_GB2312" w:eastAsia="仿宋_GB2312" w:cs="仿宋_GB2312"/>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DBA6C"/>
    <w:multiLevelType w:val="singleLevel"/>
    <w:tmpl w:val="F0DDBA6C"/>
    <w:lvl w:ilvl="0" w:tentative="0">
      <w:start w:val="5"/>
      <w:numFmt w:val="decimal"/>
      <w:suff w:val="nothing"/>
      <w:lvlText w:val="（%1）"/>
      <w:lvlJc w:val="left"/>
    </w:lvl>
  </w:abstractNum>
  <w:abstractNum w:abstractNumId="1">
    <w:nsid w:val="14ED0E4B"/>
    <w:multiLevelType w:val="multilevel"/>
    <w:tmpl w:val="14ED0E4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B0465B4"/>
    <w:multiLevelType w:val="singleLevel"/>
    <w:tmpl w:val="3B0465B4"/>
    <w:lvl w:ilvl="0" w:tentative="0">
      <w:start w:val="2"/>
      <w:numFmt w:val="decimal"/>
      <w:suff w:val="nothing"/>
      <w:lvlText w:val="%1."/>
      <w:lvlJc w:val="left"/>
    </w:lvl>
  </w:abstractNum>
  <w:abstractNum w:abstractNumId="3">
    <w:nsid w:val="5C8F4F9A"/>
    <w:multiLevelType w:val="singleLevel"/>
    <w:tmpl w:val="5C8F4F9A"/>
    <w:lvl w:ilvl="0" w:tentative="0">
      <w:start w:val="1"/>
      <w:numFmt w:val="decimal"/>
      <w:suff w:val="nothing"/>
      <w:lvlText w:val="%1."/>
      <w:lvlJc w:val="left"/>
    </w:lvl>
  </w:abstractNum>
  <w:abstractNum w:abstractNumId="4">
    <w:nsid w:val="5DA17D47"/>
    <w:multiLevelType w:val="singleLevel"/>
    <w:tmpl w:val="5DA17D47"/>
    <w:lvl w:ilvl="0" w:tentative="0">
      <w:start w:val="2"/>
      <w:numFmt w:val="decimal"/>
      <w:suff w:val="nothing"/>
      <w:lvlText w:val="%1."/>
      <w:lvlJc w:val="left"/>
    </w:lvl>
  </w:abstractNum>
  <w:abstractNum w:abstractNumId="5">
    <w:nsid w:val="7E87B14B"/>
    <w:multiLevelType w:val="singleLevel"/>
    <w:tmpl w:val="7E87B14B"/>
    <w:lvl w:ilvl="0" w:tentative="0">
      <w:start w:val="2"/>
      <w:numFmt w:val="decimal"/>
      <w:suff w:val="nothing"/>
      <w:lvlText w:val="（%1）"/>
      <w:lvlJc w:val="left"/>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62"/>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jNlN2FhNGYwZjUzYTZkODE2OTliZGIxOTVlYmEifQ=="/>
  </w:docVars>
  <w:rsids>
    <w:rsidRoot w:val="00172A27"/>
    <w:rsid w:val="00004AF3"/>
    <w:rsid w:val="00007ABD"/>
    <w:rsid w:val="0001030C"/>
    <w:rsid w:val="000151C9"/>
    <w:rsid w:val="00021A68"/>
    <w:rsid w:val="000231D5"/>
    <w:rsid w:val="0003094F"/>
    <w:rsid w:val="00035860"/>
    <w:rsid w:val="00042BEB"/>
    <w:rsid w:val="00044871"/>
    <w:rsid w:val="00045B24"/>
    <w:rsid w:val="00054127"/>
    <w:rsid w:val="00061229"/>
    <w:rsid w:val="00062076"/>
    <w:rsid w:val="00062BBB"/>
    <w:rsid w:val="00063B00"/>
    <w:rsid w:val="00064C40"/>
    <w:rsid w:val="00072DEE"/>
    <w:rsid w:val="0007306F"/>
    <w:rsid w:val="000732B2"/>
    <w:rsid w:val="00073ABF"/>
    <w:rsid w:val="00074FEC"/>
    <w:rsid w:val="000806D5"/>
    <w:rsid w:val="00093D4B"/>
    <w:rsid w:val="000A09D5"/>
    <w:rsid w:val="000A0B59"/>
    <w:rsid w:val="000A405F"/>
    <w:rsid w:val="000A78AC"/>
    <w:rsid w:val="000B1ADC"/>
    <w:rsid w:val="000B560F"/>
    <w:rsid w:val="000B5DCE"/>
    <w:rsid w:val="000B5E08"/>
    <w:rsid w:val="000B77E1"/>
    <w:rsid w:val="000B78C4"/>
    <w:rsid w:val="000B7F11"/>
    <w:rsid w:val="000C1461"/>
    <w:rsid w:val="000D1FBB"/>
    <w:rsid w:val="000E0B3C"/>
    <w:rsid w:val="000E11F8"/>
    <w:rsid w:val="000F5566"/>
    <w:rsid w:val="0010408A"/>
    <w:rsid w:val="001159A7"/>
    <w:rsid w:val="00121009"/>
    <w:rsid w:val="001218A9"/>
    <w:rsid w:val="001231DD"/>
    <w:rsid w:val="00123F83"/>
    <w:rsid w:val="00126E8C"/>
    <w:rsid w:val="00127C9A"/>
    <w:rsid w:val="00141E46"/>
    <w:rsid w:val="00142ED9"/>
    <w:rsid w:val="001447F0"/>
    <w:rsid w:val="00151A8C"/>
    <w:rsid w:val="00154EC8"/>
    <w:rsid w:val="00157012"/>
    <w:rsid w:val="00157BBA"/>
    <w:rsid w:val="0016251A"/>
    <w:rsid w:val="0017431A"/>
    <w:rsid w:val="00181268"/>
    <w:rsid w:val="00183650"/>
    <w:rsid w:val="00186842"/>
    <w:rsid w:val="0018685F"/>
    <w:rsid w:val="00186FD1"/>
    <w:rsid w:val="001911F2"/>
    <w:rsid w:val="00192DDA"/>
    <w:rsid w:val="0019762C"/>
    <w:rsid w:val="001A46EB"/>
    <w:rsid w:val="001A7E1B"/>
    <w:rsid w:val="001B44D5"/>
    <w:rsid w:val="001C61C1"/>
    <w:rsid w:val="001D1ECB"/>
    <w:rsid w:val="001D33C3"/>
    <w:rsid w:val="001D7F37"/>
    <w:rsid w:val="001E2B67"/>
    <w:rsid w:val="001F3D9A"/>
    <w:rsid w:val="00203A38"/>
    <w:rsid w:val="00204C1C"/>
    <w:rsid w:val="00210328"/>
    <w:rsid w:val="00211836"/>
    <w:rsid w:val="0021242E"/>
    <w:rsid w:val="00214D04"/>
    <w:rsid w:val="00215257"/>
    <w:rsid w:val="00215585"/>
    <w:rsid w:val="0022225A"/>
    <w:rsid w:val="00227696"/>
    <w:rsid w:val="002369DB"/>
    <w:rsid w:val="00242F23"/>
    <w:rsid w:val="00245682"/>
    <w:rsid w:val="002458B9"/>
    <w:rsid w:val="00252215"/>
    <w:rsid w:val="002528C4"/>
    <w:rsid w:val="00254BD6"/>
    <w:rsid w:val="0025519A"/>
    <w:rsid w:val="002558E5"/>
    <w:rsid w:val="002561F1"/>
    <w:rsid w:val="002631E5"/>
    <w:rsid w:val="0027370C"/>
    <w:rsid w:val="0027448B"/>
    <w:rsid w:val="00275390"/>
    <w:rsid w:val="0027542D"/>
    <w:rsid w:val="00275ED7"/>
    <w:rsid w:val="00276091"/>
    <w:rsid w:val="00281D77"/>
    <w:rsid w:val="0028720A"/>
    <w:rsid w:val="00291A36"/>
    <w:rsid w:val="0029228B"/>
    <w:rsid w:val="00296245"/>
    <w:rsid w:val="00297611"/>
    <w:rsid w:val="002A3623"/>
    <w:rsid w:val="002A3FEE"/>
    <w:rsid w:val="002B33F0"/>
    <w:rsid w:val="002C1066"/>
    <w:rsid w:val="002C137B"/>
    <w:rsid w:val="002C1F1D"/>
    <w:rsid w:val="002D327A"/>
    <w:rsid w:val="002D36F0"/>
    <w:rsid w:val="002D3844"/>
    <w:rsid w:val="002D550D"/>
    <w:rsid w:val="002D5A11"/>
    <w:rsid w:val="002D7C34"/>
    <w:rsid w:val="002E058E"/>
    <w:rsid w:val="002E3620"/>
    <w:rsid w:val="002E480A"/>
    <w:rsid w:val="002E7DAD"/>
    <w:rsid w:val="002F2B74"/>
    <w:rsid w:val="002F4DCC"/>
    <w:rsid w:val="002F68C5"/>
    <w:rsid w:val="00301BFF"/>
    <w:rsid w:val="00315AC0"/>
    <w:rsid w:val="0032057D"/>
    <w:rsid w:val="003232AA"/>
    <w:rsid w:val="00346CCD"/>
    <w:rsid w:val="00353052"/>
    <w:rsid w:val="003610BF"/>
    <w:rsid w:val="003628BF"/>
    <w:rsid w:val="00377BFE"/>
    <w:rsid w:val="00381930"/>
    <w:rsid w:val="0038401C"/>
    <w:rsid w:val="0039036C"/>
    <w:rsid w:val="0039277D"/>
    <w:rsid w:val="00393288"/>
    <w:rsid w:val="003A3B29"/>
    <w:rsid w:val="003A5A15"/>
    <w:rsid w:val="003A6333"/>
    <w:rsid w:val="003B33A1"/>
    <w:rsid w:val="003D158D"/>
    <w:rsid w:val="003D308B"/>
    <w:rsid w:val="003E3D17"/>
    <w:rsid w:val="003F11FB"/>
    <w:rsid w:val="003F2341"/>
    <w:rsid w:val="003F4DA1"/>
    <w:rsid w:val="003F6007"/>
    <w:rsid w:val="003F7922"/>
    <w:rsid w:val="004075C5"/>
    <w:rsid w:val="004113FA"/>
    <w:rsid w:val="004230C4"/>
    <w:rsid w:val="00425718"/>
    <w:rsid w:val="004312C0"/>
    <w:rsid w:val="00432743"/>
    <w:rsid w:val="00437DFF"/>
    <w:rsid w:val="0044162A"/>
    <w:rsid w:val="004424A0"/>
    <w:rsid w:val="004432B4"/>
    <w:rsid w:val="00443A30"/>
    <w:rsid w:val="004473B1"/>
    <w:rsid w:val="00447B42"/>
    <w:rsid w:val="00454A1E"/>
    <w:rsid w:val="00455CDA"/>
    <w:rsid w:val="00461AD0"/>
    <w:rsid w:val="00462F19"/>
    <w:rsid w:val="0046300F"/>
    <w:rsid w:val="00465726"/>
    <w:rsid w:val="00470F8E"/>
    <w:rsid w:val="00471A0C"/>
    <w:rsid w:val="0047530E"/>
    <w:rsid w:val="00476D20"/>
    <w:rsid w:val="00483FE2"/>
    <w:rsid w:val="004840D0"/>
    <w:rsid w:val="0048573D"/>
    <w:rsid w:val="004900D6"/>
    <w:rsid w:val="00493A3D"/>
    <w:rsid w:val="00494079"/>
    <w:rsid w:val="00496EC8"/>
    <w:rsid w:val="004A03EC"/>
    <w:rsid w:val="004A2D7F"/>
    <w:rsid w:val="004A30E9"/>
    <w:rsid w:val="004A7F66"/>
    <w:rsid w:val="004B53E2"/>
    <w:rsid w:val="004B6819"/>
    <w:rsid w:val="004B6ADF"/>
    <w:rsid w:val="004C59ED"/>
    <w:rsid w:val="004C7EE1"/>
    <w:rsid w:val="004D14B8"/>
    <w:rsid w:val="004D3288"/>
    <w:rsid w:val="004D425B"/>
    <w:rsid w:val="004D7371"/>
    <w:rsid w:val="004E2938"/>
    <w:rsid w:val="004E5A14"/>
    <w:rsid w:val="004E6686"/>
    <w:rsid w:val="004F31F2"/>
    <w:rsid w:val="00500614"/>
    <w:rsid w:val="00500DF9"/>
    <w:rsid w:val="00501297"/>
    <w:rsid w:val="00501E2E"/>
    <w:rsid w:val="00502244"/>
    <w:rsid w:val="00505286"/>
    <w:rsid w:val="005055ED"/>
    <w:rsid w:val="00506BA3"/>
    <w:rsid w:val="00516D6B"/>
    <w:rsid w:val="00516F73"/>
    <w:rsid w:val="00525A47"/>
    <w:rsid w:val="00526097"/>
    <w:rsid w:val="005325B5"/>
    <w:rsid w:val="00532EF7"/>
    <w:rsid w:val="00535F7C"/>
    <w:rsid w:val="0054018D"/>
    <w:rsid w:val="005407A2"/>
    <w:rsid w:val="005424B2"/>
    <w:rsid w:val="00542D35"/>
    <w:rsid w:val="005470E5"/>
    <w:rsid w:val="00547BBC"/>
    <w:rsid w:val="00562BB5"/>
    <w:rsid w:val="00582794"/>
    <w:rsid w:val="00583505"/>
    <w:rsid w:val="00587B25"/>
    <w:rsid w:val="0059028D"/>
    <w:rsid w:val="00591DDD"/>
    <w:rsid w:val="0059305F"/>
    <w:rsid w:val="00593A77"/>
    <w:rsid w:val="00596C54"/>
    <w:rsid w:val="005A3D13"/>
    <w:rsid w:val="005A6595"/>
    <w:rsid w:val="005A65F4"/>
    <w:rsid w:val="005A69E2"/>
    <w:rsid w:val="005A7B25"/>
    <w:rsid w:val="005B4856"/>
    <w:rsid w:val="005B58E2"/>
    <w:rsid w:val="005C13C5"/>
    <w:rsid w:val="005C50E8"/>
    <w:rsid w:val="005C539F"/>
    <w:rsid w:val="005C683D"/>
    <w:rsid w:val="005D11F0"/>
    <w:rsid w:val="005D7900"/>
    <w:rsid w:val="005F386C"/>
    <w:rsid w:val="00603787"/>
    <w:rsid w:val="00613507"/>
    <w:rsid w:val="006223F2"/>
    <w:rsid w:val="006239B6"/>
    <w:rsid w:val="00623ED8"/>
    <w:rsid w:val="00624618"/>
    <w:rsid w:val="00626393"/>
    <w:rsid w:val="00630ECE"/>
    <w:rsid w:val="00637FE6"/>
    <w:rsid w:val="006402C6"/>
    <w:rsid w:val="00653542"/>
    <w:rsid w:val="00653AA5"/>
    <w:rsid w:val="006726EE"/>
    <w:rsid w:val="00673819"/>
    <w:rsid w:val="00677E8E"/>
    <w:rsid w:val="0068265D"/>
    <w:rsid w:val="00682F03"/>
    <w:rsid w:val="00684B1D"/>
    <w:rsid w:val="00686D44"/>
    <w:rsid w:val="00687CE2"/>
    <w:rsid w:val="0069056A"/>
    <w:rsid w:val="006A0275"/>
    <w:rsid w:val="006A436C"/>
    <w:rsid w:val="006A4E95"/>
    <w:rsid w:val="006A50C1"/>
    <w:rsid w:val="006A5C46"/>
    <w:rsid w:val="006A664D"/>
    <w:rsid w:val="006B039C"/>
    <w:rsid w:val="006B4EEE"/>
    <w:rsid w:val="006C4177"/>
    <w:rsid w:val="006C5015"/>
    <w:rsid w:val="006E031D"/>
    <w:rsid w:val="006E11F6"/>
    <w:rsid w:val="006E578D"/>
    <w:rsid w:val="006F23EA"/>
    <w:rsid w:val="006F7AC0"/>
    <w:rsid w:val="00700639"/>
    <w:rsid w:val="00704238"/>
    <w:rsid w:val="00707DFE"/>
    <w:rsid w:val="00711A1B"/>
    <w:rsid w:val="00723490"/>
    <w:rsid w:val="00725ECF"/>
    <w:rsid w:val="007324E6"/>
    <w:rsid w:val="00740796"/>
    <w:rsid w:val="00747B8A"/>
    <w:rsid w:val="00752F71"/>
    <w:rsid w:val="00753AF4"/>
    <w:rsid w:val="00765FE4"/>
    <w:rsid w:val="00770FCF"/>
    <w:rsid w:val="00775911"/>
    <w:rsid w:val="00777942"/>
    <w:rsid w:val="0078139C"/>
    <w:rsid w:val="00783783"/>
    <w:rsid w:val="007A4441"/>
    <w:rsid w:val="007A74B3"/>
    <w:rsid w:val="007B25B8"/>
    <w:rsid w:val="007B35D5"/>
    <w:rsid w:val="007C13A7"/>
    <w:rsid w:val="007C15D7"/>
    <w:rsid w:val="007C5260"/>
    <w:rsid w:val="007C5459"/>
    <w:rsid w:val="007C65C1"/>
    <w:rsid w:val="007D06AE"/>
    <w:rsid w:val="007D540E"/>
    <w:rsid w:val="007D5D4E"/>
    <w:rsid w:val="007D78A2"/>
    <w:rsid w:val="007D7ECE"/>
    <w:rsid w:val="007E5F62"/>
    <w:rsid w:val="007F6569"/>
    <w:rsid w:val="007F6578"/>
    <w:rsid w:val="008052A2"/>
    <w:rsid w:val="00806E64"/>
    <w:rsid w:val="008078CE"/>
    <w:rsid w:val="008106EF"/>
    <w:rsid w:val="00812D1F"/>
    <w:rsid w:val="0082461F"/>
    <w:rsid w:val="00826081"/>
    <w:rsid w:val="008274DF"/>
    <w:rsid w:val="00827633"/>
    <w:rsid w:val="0084015E"/>
    <w:rsid w:val="008468D5"/>
    <w:rsid w:val="00854D5C"/>
    <w:rsid w:val="008579FE"/>
    <w:rsid w:val="008627B6"/>
    <w:rsid w:val="008660F7"/>
    <w:rsid w:val="00866AF7"/>
    <w:rsid w:val="00871D82"/>
    <w:rsid w:val="008727E0"/>
    <w:rsid w:val="008729C5"/>
    <w:rsid w:val="00876313"/>
    <w:rsid w:val="008766A4"/>
    <w:rsid w:val="00876CB6"/>
    <w:rsid w:val="00881ED8"/>
    <w:rsid w:val="00884AF2"/>
    <w:rsid w:val="0088711C"/>
    <w:rsid w:val="00891A7E"/>
    <w:rsid w:val="00891AA7"/>
    <w:rsid w:val="00892188"/>
    <w:rsid w:val="00893E6F"/>
    <w:rsid w:val="00894148"/>
    <w:rsid w:val="00897A98"/>
    <w:rsid w:val="008A5026"/>
    <w:rsid w:val="008B055A"/>
    <w:rsid w:val="008B0EB7"/>
    <w:rsid w:val="008B10E4"/>
    <w:rsid w:val="008B12F3"/>
    <w:rsid w:val="008B59F9"/>
    <w:rsid w:val="008B7B0D"/>
    <w:rsid w:val="008C4C10"/>
    <w:rsid w:val="008C74D1"/>
    <w:rsid w:val="008C7A46"/>
    <w:rsid w:val="008D5452"/>
    <w:rsid w:val="008D5DC7"/>
    <w:rsid w:val="008E01CB"/>
    <w:rsid w:val="008F126A"/>
    <w:rsid w:val="008F1C44"/>
    <w:rsid w:val="008F1EE2"/>
    <w:rsid w:val="008F30E5"/>
    <w:rsid w:val="00900F6C"/>
    <w:rsid w:val="00901E96"/>
    <w:rsid w:val="00903941"/>
    <w:rsid w:val="00910053"/>
    <w:rsid w:val="00911585"/>
    <w:rsid w:val="00911EFE"/>
    <w:rsid w:val="009161F7"/>
    <w:rsid w:val="00916709"/>
    <w:rsid w:val="0091723D"/>
    <w:rsid w:val="00917D3B"/>
    <w:rsid w:val="00933D76"/>
    <w:rsid w:val="00934476"/>
    <w:rsid w:val="00937F1D"/>
    <w:rsid w:val="00941173"/>
    <w:rsid w:val="00942796"/>
    <w:rsid w:val="009428B8"/>
    <w:rsid w:val="009430C9"/>
    <w:rsid w:val="00943C3F"/>
    <w:rsid w:val="009612E6"/>
    <w:rsid w:val="00967CC5"/>
    <w:rsid w:val="009803ED"/>
    <w:rsid w:val="009A4BED"/>
    <w:rsid w:val="009A58E3"/>
    <w:rsid w:val="009A7436"/>
    <w:rsid w:val="009B49E0"/>
    <w:rsid w:val="009C223C"/>
    <w:rsid w:val="009C306F"/>
    <w:rsid w:val="009C35C6"/>
    <w:rsid w:val="009C436A"/>
    <w:rsid w:val="009C791A"/>
    <w:rsid w:val="009D4C41"/>
    <w:rsid w:val="009D51FF"/>
    <w:rsid w:val="009D623E"/>
    <w:rsid w:val="009D6BAD"/>
    <w:rsid w:val="009D71C7"/>
    <w:rsid w:val="009D7351"/>
    <w:rsid w:val="009E45EE"/>
    <w:rsid w:val="009F2916"/>
    <w:rsid w:val="009F3ED8"/>
    <w:rsid w:val="009F43DB"/>
    <w:rsid w:val="009F5F1A"/>
    <w:rsid w:val="00A17F93"/>
    <w:rsid w:val="00A219EA"/>
    <w:rsid w:val="00A21E8D"/>
    <w:rsid w:val="00A2552B"/>
    <w:rsid w:val="00A267E2"/>
    <w:rsid w:val="00A26B2C"/>
    <w:rsid w:val="00A26E4D"/>
    <w:rsid w:val="00A460B9"/>
    <w:rsid w:val="00A57695"/>
    <w:rsid w:val="00A60F70"/>
    <w:rsid w:val="00A63402"/>
    <w:rsid w:val="00A653D5"/>
    <w:rsid w:val="00A76230"/>
    <w:rsid w:val="00A76257"/>
    <w:rsid w:val="00A8154E"/>
    <w:rsid w:val="00A8315B"/>
    <w:rsid w:val="00A8456A"/>
    <w:rsid w:val="00A90E8A"/>
    <w:rsid w:val="00A9159A"/>
    <w:rsid w:val="00A96291"/>
    <w:rsid w:val="00A969EC"/>
    <w:rsid w:val="00AA0CF3"/>
    <w:rsid w:val="00AB3D4E"/>
    <w:rsid w:val="00AB7FA8"/>
    <w:rsid w:val="00AD00F5"/>
    <w:rsid w:val="00AD6286"/>
    <w:rsid w:val="00AE1703"/>
    <w:rsid w:val="00AE2C7F"/>
    <w:rsid w:val="00AE47FA"/>
    <w:rsid w:val="00AE6D3D"/>
    <w:rsid w:val="00AE7FCA"/>
    <w:rsid w:val="00AF0AD4"/>
    <w:rsid w:val="00AF595C"/>
    <w:rsid w:val="00AF59BD"/>
    <w:rsid w:val="00AF7DFF"/>
    <w:rsid w:val="00B00D62"/>
    <w:rsid w:val="00B02C8A"/>
    <w:rsid w:val="00B03476"/>
    <w:rsid w:val="00B057E5"/>
    <w:rsid w:val="00B10E23"/>
    <w:rsid w:val="00B11070"/>
    <w:rsid w:val="00B12889"/>
    <w:rsid w:val="00B12B71"/>
    <w:rsid w:val="00B12E6C"/>
    <w:rsid w:val="00B144C8"/>
    <w:rsid w:val="00B17CD4"/>
    <w:rsid w:val="00B24D25"/>
    <w:rsid w:val="00B270E3"/>
    <w:rsid w:val="00B31A73"/>
    <w:rsid w:val="00B327CB"/>
    <w:rsid w:val="00B351B4"/>
    <w:rsid w:val="00B37C5C"/>
    <w:rsid w:val="00B410A3"/>
    <w:rsid w:val="00B43308"/>
    <w:rsid w:val="00B455A5"/>
    <w:rsid w:val="00B604C0"/>
    <w:rsid w:val="00B64809"/>
    <w:rsid w:val="00B71699"/>
    <w:rsid w:val="00B75002"/>
    <w:rsid w:val="00B75D46"/>
    <w:rsid w:val="00B76089"/>
    <w:rsid w:val="00B778C2"/>
    <w:rsid w:val="00B8366F"/>
    <w:rsid w:val="00B849C2"/>
    <w:rsid w:val="00B84DF0"/>
    <w:rsid w:val="00B874A8"/>
    <w:rsid w:val="00BA0515"/>
    <w:rsid w:val="00BA281E"/>
    <w:rsid w:val="00BA3A7A"/>
    <w:rsid w:val="00BB5319"/>
    <w:rsid w:val="00BB7D1B"/>
    <w:rsid w:val="00BC5E02"/>
    <w:rsid w:val="00BC705B"/>
    <w:rsid w:val="00BD0121"/>
    <w:rsid w:val="00BE0375"/>
    <w:rsid w:val="00BE1932"/>
    <w:rsid w:val="00BF12ED"/>
    <w:rsid w:val="00BF1A05"/>
    <w:rsid w:val="00BF25C8"/>
    <w:rsid w:val="00BF5EE5"/>
    <w:rsid w:val="00BF671B"/>
    <w:rsid w:val="00C012D8"/>
    <w:rsid w:val="00C07243"/>
    <w:rsid w:val="00C07978"/>
    <w:rsid w:val="00C07DE4"/>
    <w:rsid w:val="00C2234A"/>
    <w:rsid w:val="00C2256F"/>
    <w:rsid w:val="00C25574"/>
    <w:rsid w:val="00C26324"/>
    <w:rsid w:val="00C35B59"/>
    <w:rsid w:val="00C37FCA"/>
    <w:rsid w:val="00C41480"/>
    <w:rsid w:val="00C416BB"/>
    <w:rsid w:val="00C41D86"/>
    <w:rsid w:val="00C43D69"/>
    <w:rsid w:val="00C46CFE"/>
    <w:rsid w:val="00C567C7"/>
    <w:rsid w:val="00C64BF3"/>
    <w:rsid w:val="00C75EDC"/>
    <w:rsid w:val="00C77B4C"/>
    <w:rsid w:val="00C87FD2"/>
    <w:rsid w:val="00C918F2"/>
    <w:rsid w:val="00C95F7A"/>
    <w:rsid w:val="00CA6557"/>
    <w:rsid w:val="00CC0416"/>
    <w:rsid w:val="00CC192C"/>
    <w:rsid w:val="00CC2F6C"/>
    <w:rsid w:val="00CD0485"/>
    <w:rsid w:val="00CD11D1"/>
    <w:rsid w:val="00CD27ED"/>
    <w:rsid w:val="00CE22BE"/>
    <w:rsid w:val="00CE4BEC"/>
    <w:rsid w:val="00CF0177"/>
    <w:rsid w:val="00CF148B"/>
    <w:rsid w:val="00D00B41"/>
    <w:rsid w:val="00D0144E"/>
    <w:rsid w:val="00D108C8"/>
    <w:rsid w:val="00D13A52"/>
    <w:rsid w:val="00D1478F"/>
    <w:rsid w:val="00D20D3B"/>
    <w:rsid w:val="00D26488"/>
    <w:rsid w:val="00D26974"/>
    <w:rsid w:val="00D306D2"/>
    <w:rsid w:val="00D32164"/>
    <w:rsid w:val="00D525CD"/>
    <w:rsid w:val="00D55B32"/>
    <w:rsid w:val="00D5740D"/>
    <w:rsid w:val="00D6409A"/>
    <w:rsid w:val="00D67777"/>
    <w:rsid w:val="00D74E65"/>
    <w:rsid w:val="00D74EB3"/>
    <w:rsid w:val="00D8273E"/>
    <w:rsid w:val="00D90EC4"/>
    <w:rsid w:val="00D919FE"/>
    <w:rsid w:val="00DA3794"/>
    <w:rsid w:val="00DA58D2"/>
    <w:rsid w:val="00DB3A5C"/>
    <w:rsid w:val="00DC5440"/>
    <w:rsid w:val="00DD1223"/>
    <w:rsid w:val="00DD22C3"/>
    <w:rsid w:val="00DD3E68"/>
    <w:rsid w:val="00DD7A62"/>
    <w:rsid w:val="00DD7F2F"/>
    <w:rsid w:val="00DE08CC"/>
    <w:rsid w:val="00DF3381"/>
    <w:rsid w:val="00E00DEB"/>
    <w:rsid w:val="00E0341A"/>
    <w:rsid w:val="00E03D95"/>
    <w:rsid w:val="00E072CB"/>
    <w:rsid w:val="00E1160F"/>
    <w:rsid w:val="00E12DE3"/>
    <w:rsid w:val="00E13486"/>
    <w:rsid w:val="00E167C5"/>
    <w:rsid w:val="00E173F7"/>
    <w:rsid w:val="00E1748C"/>
    <w:rsid w:val="00E20B5F"/>
    <w:rsid w:val="00E2369B"/>
    <w:rsid w:val="00E33BF2"/>
    <w:rsid w:val="00E419F1"/>
    <w:rsid w:val="00E44692"/>
    <w:rsid w:val="00E44F54"/>
    <w:rsid w:val="00E62BAA"/>
    <w:rsid w:val="00E6719A"/>
    <w:rsid w:val="00E87153"/>
    <w:rsid w:val="00E91DD7"/>
    <w:rsid w:val="00E93933"/>
    <w:rsid w:val="00E94591"/>
    <w:rsid w:val="00E96FF7"/>
    <w:rsid w:val="00EA1C43"/>
    <w:rsid w:val="00EA40BB"/>
    <w:rsid w:val="00EA431D"/>
    <w:rsid w:val="00EB0BA4"/>
    <w:rsid w:val="00EB1E80"/>
    <w:rsid w:val="00EB7E60"/>
    <w:rsid w:val="00EC29AF"/>
    <w:rsid w:val="00EC442A"/>
    <w:rsid w:val="00EC747F"/>
    <w:rsid w:val="00ED08CF"/>
    <w:rsid w:val="00ED4E59"/>
    <w:rsid w:val="00EF24BA"/>
    <w:rsid w:val="00EF6205"/>
    <w:rsid w:val="00EF63BD"/>
    <w:rsid w:val="00F03E20"/>
    <w:rsid w:val="00F06431"/>
    <w:rsid w:val="00F162DA"/>
    <w:rsid w:val="00F16682"/>
    <w:rsid w:val="00F17726"/>
    <w:rsid w:val="00F20D33"/>
    <w:rsid w:val="00F2205D"/>
    <w:rsid w:val="00F226A5"/>
    <w:rsid w:val="00F259EF"/>
    <w:rsid w:val="00F30EC6"/>
    <w:rsid w:val="00F317F9"/>
    <w:rsid w:val="00F33A54"/>
    <w:rsid w:val="00F37E89"/>
    <w:rsid w:val="00F42B2F"/>
    <w:rsid w:val="00F44616"/>
    <w:rsid w:val="00F447C4"/>
    <w:rsid w:val="00F52BB4"/>
    <w:rsid w:val="00F53133"/>
    <w:rsid w:val="00F54C08"/>
    <w:rsid w:val="00F61D71"/>
    <w:rsid w:val="00F729C8"/>
    <w:rsid w:val="00F901BB"/>
    <w:rsid w:val="00F90CE4"/>
    <w:rsid w:val="00F972F3"/>
    <w:rsid w:val="00FB0EBD"/>
    <w:rsid w:val="00FB33A4"/>
    <w:rsid w:val="00FB5639"/>
    <w:rsid w:val="00FC0973"/>
    <w:rsid w:val="00FC2546"/>
    <w:rsid w:val="00FD219A"/>
    <w:rsid w:val="00FD4C85"/>
    <w:rsid w:val="00FD6DF2"/>
    <w:rsid w:val="00FE7157"/>
    <w:rsid w:val="00FF18B8"/>
    <w:rsid w:val="0101389E"/>
    <w:rsid w:val="01320B62"/>
    <w:rsid w:val="018D0F17"/>
    <w:rsid w:val="01CD329D"/>
    <w:rsid w:val="01D70882"/>
    <w:rsid w:val="02082220"/>
    <w:rsid w:val="022A4B57"/>
    <w:rsid w:val="023937C4"/>
    <w:rsid w:val="02643130"/>
    <w:rsid w:val="029E59D8"/>
    <w:rsid w:val="02E22294"/>
    <w:rsid w:val="02E45E42"/>
    <w:rsid w:val="02F71E7F"/>
    <w:rsid w:val="03131BE3"/>
    <w:rsid w:val="031B7997"/>
    <w:rsid w:val="03B10EED"/>
    <w:rsid w:val="03C93673"/>
    <w:rsid w:val="03CC5D27"/>
    <w:rsid w:val="03F46606"/>
    <w:rsid w:val="03F51722"/>
    <w:rsid w:val="042555E6"/>
    <w:rsid w:val="043A4246"/>
    <w:rsid w:val="043E2905"/>
    <w:rsid w:val="044B69CE"/>
    <w:rsid w:val="04640655"/>
    <w:rsid w:val="048050E9"/>
    <w:rsid w:val="04961A16"/>
    <w:rsid w:val="04C13C58"/>
    <w:rsid w:val="04D012A8"/>
    <w:rsid w:val="04E672BC"/>
    <w:rsid w:val="051D7563"/>
    <w:rsid w:val="052B5B1E"/>
    <w:rsid w:val="052C2E4C"/>
    <w:rsid w:val="052F37B3"/>
    <w:rsid w:val="05341DD6"/>
    <w:rsid w:val="053A13B6"/>
    <w:rsid w:val="05657D89"/>
    <w:rsid w:val="057669A3"/>
    <w:rsid w:val="05B32B7D"/>
    <w:rsid w:val="05C94AE7"/>
    <w:rsid w:val="05CA50FC"/>
    <w:rsid w:val="05D227F3"/>
    <w:rsid w:val="05D45FBB"/>
    <w:rsid w:val="05DA3FD8"/>
    <w:rsid w:val="05E76348"/>
    <w:rsid w:val="06054AC1"/>
    <w:rsid w:val="06157BE5"/>
    <w:rsid w:val="06165667"/>
    <w:rsid w:val="06180118"/>
    <w:rsid w:val="06373CB4"/>
    <w:rsid w:val="06494043"/>
    <w:rsid w:val="066D5D70"/>
    <w:rsid w:val="068B722C"/>
    <w:rsid w:val="06BF630D"/>
    <w:rsid w:val="06C07699"/>
    <w:rsid w:val="06C34D13"/>
    <w:rsid w:val="06DE4C07"/>
    <w:rsid w:val="06E92A4D"/>
    <w:rsid w:val="06F21F49"/>
    <w:rsid w:val="06FC45F5"/>
    <w:rsid w:val="07041C7C"/>
    <w:rsid w:val="071C1AB9"/>
    <w:rsid w:val="07245597"/>
    <w:rsid w:val="07465DF0"/>
    <w:rsid w:val="07475EAA"/>
    <w:rsid w:val="074D2EB6"/>
    <w:rsid w:val="07511B99"/>
    <w:rsid w:val="07870F47"/>
    <w:rsid w:val="07D97F1F"/>
    <w:rsid w:val="07DD3ACD"/>
    <w:rsid w:val="07DF7E2A"/>
    <w:rsid w:val="07F01516"/>
    <w:rsid w:val="07F9790E"/>
    <w:rsid w:val="0831133F"/>
    <w:rsid w:val="08684DD5"/>
    <w:rsid w:val="08686810"/>
    <w:rsid w:val="08762739"/>
    <w:rsid w:val="089112ED"/>
    <w:rsid w:val="08961C42"/>
    <w:rsid w:val="08C03203"/>
    <w:rsid w:val="08C56734"/>
    <w:rsid w:val="08C62853"/>
    <w:rsid w:val="08EC6CE3"/>
    <w:rsid w:val="08ED52E6"/>
    <w:rsid w:val="0935048A"/>
    <w:rsid w:val="093614DF"/>
    <w:rsid w:val="0972111F"/>
    <w:rsid w:val="0982240A"/>
    <w:rsid w:val="09C74ABA"/>
    <w:rsid w:val="09D05B23"/>
    <w:rsid w:val="09DB4F16"/>
    <w:rsid w:val="09E5318A"/>
    <w:rsid w:val="09F16000"/>
    <w:rsid w:val="09FF3F6A"/>
    <w:rsid w:val="0A5F390E"/>
    <w:rsid w:val="0A6A3057"/>
    <w:rsid w:val="0A774916"/>
    <w:rsid w:val="0A7D4832"/>
    <w:rsid w:val="0A8B376C"/>
    <w:rsid w:val="0A9453DE"/>
    <w:rsid w:val="0ABA48A7"/>
    <w:rsid w:val="0ADB3B73"/>
    <w:rsid w:val="0AF86F27"/>
    <w:rsid w:val="0B014AF2"/>
    <w:rsid w:val="0B075AED"/>
    <w:rsid w:val="0B0A1BDC"/>
    <w:rsid w:val="0B386B73"/>
    <w:rsid w:val="0B401568"/>
    <w:rsid w:val="0B4173BA"/>
    <w:rsid w:val="0B535CBD"/>
    <w:rsid w:val="0B9D230E"/>
    <w:rsid w:val="0BA86C05"/>
    <w:rsid w:val="0BD06E74"/>
    <w:rsid w:val="0BE32B37"/>
    <w:rsid w:val="0C39217D"/>
    <w:rsid w:val="0C3D6368"/>
    <w:rsid w:val="0C556BB6"/>
    <w:rsid w:val="0C5B163F"/>
    <w:rsid w:val="0C5C18D2"/>
    <w:rsid w:val="0C5D7A0A"/>
    <w:rsid w:val="0C5E1E2E"/>
    <w:rsid w:val="0C881B96"/>
    <w:rsid w:val="0C900DCF"/>
    <w:rsid w:val="0CA65EC0"/>
    <w:rsid w:val="0CB90C0E"/>
    <w:rsid w:val="0CC207C3"/>
    <w:rsid w:val="0CF71BB6"/>
    <w:rsid w:val="0D044784"/>
    <w:rsid w:val="0D124863"/>
    <w:rsid w:val="0D2C26BE"/>
    <w:rsid w:val="0D4A4971"/>
    <w:rsid w:val="0D5970BF"/>
    <w:rsid w:val="0D7A03D5"/>
    <w:rsid w:val="0D9378B6"/>
    <w:rsid w:val="0DB514BA"/>
    <w:rsid w:val="0DBF25CC"/>
    <w:rsid w:val="0DE46F59"/>
    <w:rsid w:val="0DF03A48"/>
    <w:rsid w:val="0E232819"/>
    <w:rsid w:val="0E266D2D"/>
    <w:rsid w:val="0E5264A7"/>
    <w:rsid w:val="0E530BC4"/>
    <w:rsid w:val="0E650030"/>
    <w:rsid w:val="0E743693"/>
    <w:rsid w:val="0E7B2B59"/>
    <w:rsid w:val="0E7E48E7"/>
    <w:rsid w:val="0E7F5599"/>
    <w:rsid w:val="0EA45C20"/>
    <w:rsid w:val="0EA80C04"/>
    <w:rsid w:val="0EB751E4"/>
    <w:rsid w:val="0EFD4BA7"/>
    <w:rsid w:val="0F234C69"/>
    <w:rsid w:val="0F4D2EE4"/>
    <w:rsid w:val="0F4E7BB5"/>
    <w:rsid w:val="0F553408"/>
    <w:rsid w:val="0F9C7473"/>
    <w:rsid w:val="0FB662B9"/>
    <w:rsid w:val="0FC05753"/>
    <w:rsid w:val="0FCB2A5B"/>
    <w:rsid w:val="0FE8200A"/>
    <w:rsid w:val="0FF761F1"/>
    <w:rsid w:val="10185E4D"/>
    <w:rsid w:val="10186BDA"/>
    <w:rsid w:val="101D77B4"/>
    <w:rsid w:val="10570EEF"/>
    <w:rsid w:val="105810B1"/>
    <w:rsid w:val="1070253A"/>
    <w:rsid w:val="108F0671"/>
    <w:rsid w:val="10A025F1"/>
    <w:rsid w:val="10CD7009"/>
    <w:rsid w:val="10EB7E68"/>
    <w:rsid w:val="10FB09FF"/>
    <w:rsid w:val="10FB5192"/>
    <w:rsid w:val="111E2A7D"/>
    <w:rsid w:val="11236B98"/>
    <w:rsid w:val="11285193"/>
    <w:rsid w:val="112E34E1"/>
    <w:rsid w:val="113D40AD"/>
    <w:rsid w:val="11627491"/>
    <w:rsid w:val="11725DA4"/>
    <w:rsid w:val="118E2A0B"/>
    <w:rsid w:val="11B93B7C"/>
    <w:rsid w:val="11BB2435"/>
    <w:rsid w:val="11E04CA5"/>
    <w:rsid w:val="11FD58A7"/>
    <w:rsid w:val="121C6562"/>
    <w:rsid w:val="1238055B"/>
    <w:rsid w:val="1296246B"/>
    <w:rsid w:val="12DB73B1"/>
    <w:rsid w:val="12F94814"/>
    <w:rsid w:val="13611208"/>
    <w:rsid w:val="13855EF2"/>
    <w:rsid w:val="13A915C1"/>
    <w:rsid w:val="13F20F54"/>
    <w:rsid w:val="13FA2CF8"/>
    <w:rsid w:val="14212C57"/>
    <w:rsid w:val="14417884"/>
    <w:rsid w:val="14B545B5"/>
    <w:rsid w:val="14B619D3"/>
    <w:rsid w:val="14B65BEF"/>
    <w:rsid w:val="14CC1E74"/>
    <w:rsid w:val="14E34100"/>
    <w:rsid w:val="14E57173"/>
    <w:rsid w:val="14F04DA3"/>
    <w:rsid w:val="14F768B9"/>
    <w:rsid w:val="150571D3"/>
    <w:rsid w:val="15130D25"/>
    <w:rsid w:val="156009C5"/>
    <w:rsid w:val="156C0F3F"/>
    <w:rsid w:val="156D4E7E"/>
    <w:rsid w:val="15A77D50"/>
    <w:rsid w:val="15B30429"/>
    <w:rsid w:val="15CB7F4A"/>
    <w:rsid w:val="15D553EF"/>
    <w:rsid w:val="15D83005"/>
    <w:rsid w:val="15D86BF1"/>
    <w:rsid w:val="15DE4F68"/>
    <w:rsid w:val="15F3328D"/>
    <w:rsid w:val="162E1307"/>
    <w:rsid w:val="16487EB1"/>
    <w:rsid w:val="164F2820"/>
    <w:rsid w:val="169B1A0E"/>
    <w:rsid w:val="169D3D33"/>
    <w:rsid w:val="16A75E6A"/>
    <w:rsid w:val="16B00F91"/>
    <w:rsid w:val="16DE3DAE"/>
    <w:rsid w:val="172809A8"/>
    <w:rsid w:val="174D3E99"/>
    <w:rsid w:val="176D73C9"/>
    <w:rsid w:val="17895449"/>
    <w:rsid w:val="17915529"/>
    <w:rsid w:val="179B3BD5"/>
    <w:rsid w:val="17A10E21"/>
    <w:rsid w:val="17A5604A"/>
    <w:rsid w:val="17A76F2F"/>
    <w:rsid w:val="17D71B6A"/>
    <w:rsid w:val="17DD43C0"/>
    <w:rsid w:val="17E73B67"/>
    <w:rsid w:val="17F14092"/>
    <w:rsid w:val="18497253"/>
    <w:rsid w:val="18585F7A"/>
    <w:rsid w:val="18622CA6"/>
    <w:rsid w:val="18640EE3"/>
    <w:rsid w:val="18AB1F57"/>
    <w:rsid w:val="18C26EFA"/>
    <w:rsid w:val="18DB17A0"/>
    <w:rsid w:val="18DD1D7E"/>
    <w:rsid w:val="18F24935"/>
    <w:rsid w:val="18F60DCD"/>
    <w:rsid w:val="191B018C"/>
    <w:rsid w:val="19204306"/>
    <w:rsid w:val="19353FC5"/>
    <w:rsid w:val="194F6D87"/>
    <w:rsid w:val="196A602D"/>
    <w:rsid w:val="198D5CA8"/>
    <w:rsid w:val="19A04801"/>
    <w:rsid w:val="19A2478A"/>
    <w:rsid w:val="19A25122"/>
    <w:rsid w:val="19CC3276"/>
    <w:rsid w:val="19D941A6"/>
    <w:rsid w:val="19E70831"/>
    <w:rsid w:val="1A10288C"/>
    <w:rsid w:val="1A133D8B"/>
    <w:rsid w:val="1A263349"/>
    <w:rsid w:val="1A4C776A"/>
    <w:rsid w:val="1A5E27A8"/>
    <w:rsid w:val="1A78640A"/>
    <w:rsid w:val="1A845A28"/>
    <w:rsid w:val="1AEC0F32"/>
    <w:rsid w:val="1B1123CC"/>
    <w:rsid w:val="1B365757"/>
    <w:rsid w:val="1B593CFE"/>
    <w:rsid w:val="1B5B4C3B"/>
    <w:rsid w:val="1B5F39EC"/>
    <w:rsid w:val="1B6B3188"/>
    <w:rsid w:val="1B852DAA"/>
    <w:rsid w:val="1B9F2388"/>
    <w:rsid w:val="1BCD562B"/>
    <w:rsid w:val="1BD34235"/>
    <w:rsid w:val="1BF41E67"/>
    <w:rsid w:val="1C0C45FA"/>
    <w:rsid w:val="1C136791"/>
    <w:rsid w:val="1C3A34E8"/>
    <w:rsid w:val="1C5A616E"/>
    <w:rsid w:val="1C816797"/>
    <w:rsid w:val="1C913B5A"/>
    <w:rsid w:val="1CA6192A"/>
    <w:rsid w:val="1CB30301"/>
    <w:rsid w:val="1CB327C9"/>
    <w:rsid w:val="1CC7571A"/>
    <w:rsid w:val="1CC94650"/>
    <w:rsid w:val="1CDE32A6"/>
    <w:rsid w:val="1CF80E8D"/>
    <w:rsid w:val="1D1D22FD"/>
    <w:rsid w:val="1D201CCD"/>
    <w:rsid w:val="1D592DEC"/>
    <w:rsid w:val="1D604262"/>
    <w:rsid w:val="1D746DE1"/>
    <w:rsid w:val="1D945CE9"/>
    <w:rsid w:val="1DA33B3B"/>
    <w:rsid w:val="1DA33EC6"/>
    <w:rsid w:val="1DB80DC5"/>
    <w:rsid w:val="1DC33FAA"/>
    <w:rsid w:val="1DC86D9A"/>
    <w:rsid w:val="1DF20628"/>
    <w:rsid w:val="1E023DE5"/>
    <w:rsid w:val="1E1201C2"/>
    <w:rsid w:val="1E361CA8"/>
    <w:rsid w:val="1E5F053E"/>
    <w:rsid w:val="1E79007A"/>
    <w:rsid w:val="1E8B0424"/>
    <w:rsid w:val="1E92590B"/>
    <w:rsid w:val="1EA553CD"/>
    <w:rsid w:val="1EDE58F5"/>
    <w:rsid w:val="1EF87BD8"/>
    <w:rsid w:val="1F13256A"/>
    <w:rsid w:val="1F2C2B59"/>
    <w:rsid w:val="1F49205F"/>
    <w:rsid w:val="1F9E04F0"/>
    <w:rsid w:val="1FA062FA"/>
    <w:rsid w:val="1FBC4A4A"/>
    <w:rsid w:val="1FCF3C91"/>
    <w:rsid w:val="1FE2620A"/>
    <w:rsid w:val="1FF03D59"/>
    <w:rsid w:val="200A7EAB"/>
    <w:rsid w:val="200D11A0"/>
    <w:rsid w:val="201A1967"/>
    <w:rsid w:val="20242821"/>
    <w:rsid w:val="204A02A8"/>
    <w:rsid w:val="204C4020"/>
    <w:rsid w:val="207C2F35"/>
    <w:rsid w:val="207C4A3D"/>
    <w:rsid w:val="20846138"/>
    <w:rsid w:val="20C146BE"/>
    <w:rsid w:val="20D511DB"/>
    <w:rsid w:val="20E70D63"/>
    <w:rsid w:val="211639CD"/>
    <w:rsid w:val="21195C83"/>
    <w:rsid w:val="21213649"/>
    <w:rsid w:val="21257AF7"/>
    <w:rsid w:val="212A5FE2"/>
    <w:rsid w:val="21646FC7"/>
    <w:rsid w:val="218F4451"/>
    <w:rsid w:val="21C479C9"/>
    <w:rsid w:val="2235788C"/>
    <w:rsid w:val="22471D6C"/>
    <w:rsid w:val="22A51DD2"/>
    <w:rsid w:val="22AF0CB3"/>
    <w:rsid w:val="22FB5C6A"/>
    <w:rsid w:val="2326067A"/>
    <w:rsid w:val="23476D20"/>
    <w:rsid w:val="2370007A"/>
    <w:rsid w:val="237F64BA"/>
    <w:rsid w:val="239E530B"/>
    <w:rsid w:val="23ED06A2"/>
    <w:rsid w:val="240B5983"/>
    <w:rsid w:val="24424E46"/>
    <w:rsid w:val="24431FD4"/>
    <w:rsid w:val="2450458E"/>
    <w:rsid w:val="247B23D8"/>
    <w:rsid w:val="24920E1D"/>
    <w:rsid w:val="24A52479"/>
    <w:rsid w:val="24B64CC5"/>
    <w:rsid w:val="24B85659"/>
    <w:rsid w:val="24D947AB"/>
    <w:rsid w:val="24EE1B49"/>
    <w:rsid w:val="25035346"/>
    <w:rsid w:val="2511214A"/>
    <w:rsid w:val="251A498F"/>
    <w:rsid w:val="252809F9"/>
    <w:rsid w:val="252E4B3B"/>
    <w:rsid w:val="25415D2D"/>
    <w:rsid w:val="25623A3A"/>
    <w:rsid w:val="257D4C7B"/>
    <w:rsid w:val="258C094A"/>
    <w:rsid w:val="25A2613F"/>
    <w:rsid w:val="25B06B6F"/>
    <w:rsid w:val="25C076DA"/>
    <w:rsid w:val="25CE001E"/>
    <w:rsid w:val="25E17298"/>
    <w:rsid w:val="25E7489B"/>
    <w:rsid w:val="25EB5F6A"/>
    <w:rsid w:val="25FB2728"/>
    <w:rsid w:val="26052072"/>
    <w:rsid w:val="260C3F0A"/>
    <w:rsid w:val="26145283"/>
    <w:rsid w:val="26176E7E"/>
    <w:rsid w:val="262D4407"/>
    <w:rsid w:val="265A15F7"/>
    <w:rsid w:val="266858F3"/>
    <w:rsid w:val="26830F6B"/>
    <w:rsid w:val="26B4411B"/>
    <w:rsid w:val="26C05BF7"/>
    <w:rsid w:val="26E05CB4"/>
    <w:rsid w:val="26E61823"/>
    <w:rsid w:val="27047A1E"/>
    <w:rsid w:val="270B02EC"/>
    <w:rsid w:val="271523F1"/>
    <w:rsid w:val="272A364F"/>
    <w:rsid w:val="27412A2C"/>
    <w:rsid w:val="27693537"/>
    <w:rsid w:val="276B0D44"/>
    <w:rsid w:val="27764078"/>
    <w:rsid w:val="27A37E27"/>
    <w:rsid w:val="27AF431F"/>
    <w:rsid w:val="27C34192"/>
    <w:rsid w:val="27D112AE"/>
    <w:rsid w:val="27F529C8"/>
    <w:rsid w:val="282B1792"/>
    <w:rsid w:val="28724012"/>
    <w:rsid w:val="28760E3C"/>
    <w:rsid w:val="287D659E"/>
    <w:rsid w:val="288B5901"/>
    <w:rsid w:val="2891552D"/>
    <w:rsid w:val="28A05D48"/>
    <w:rsid w:val="28B41ACA"/>
    <w:rsid w:val="28C02764"/>
    <w:rsid w:val="28CA467C"/>
    <w:rsid w:val="28D13A36"/>
    <w:rsid w:val="28DA1BB1"/>
    <w:rsid w:val="28E67CC1"/>
    <w:rsid w:val="28F97E28"/>
    <w:rsid w:val="291326FE"/>
    <w:rsid w:val="295C3283"/>
    <w:rsid w:val="297A47FC"/>
    <w:rsid w:val="29811711"/>
    <w:rsid w:val="29891E41"/>
    <w:rsid w:val="298E179D"/>
    <w:rsid w:val="29A758E8"/>
    <w:rsid w:val="29AF283B"/>
    <w:rsid w:val="29B665A4"/>
    <w:rsid w:val="29BC035D"/>
    <w:rsid w:val="29C4396C"/>
    <w:rsid w:val="29C72B66"/>
    <w:rsid w:val="29CA06DC"/>
    <w:rsid w:val="2A11379E"/>
    <w:rsid w:val="2A1C0DE7"/>
    <w:rsid w:val="2A1F730D"/>
    <w:rsid w:val="2A273734"/>
    <w:rsid w:val="2A2E0FB0"/>
    <w:rsid w:val="2A612206"/>
    <w:rsid w:val="2A722E1C"/>
    <w:rsid w:val="2A735630"/>
    <w:rsid w:val="2A8E125D"/>
    <w:rsid w:val="2AA07485"/>
    <w:rsid w:val="2ADB491E"/>
    <w:rsid w:val="2AF558AC"/>
    <w:rsid w:val="2B126EC6"/>
    <w:rsid w:val="2B2255E2"/>
    <w:rsid w:val="2B374977"/>
    <w:rsid w:val="2B3A3770"/>
    <w:rsid w:val="2B3E5AFE"/>
    <w:rsid w:val="2B481288"/>
    <w:rsid w:val="2B59493D"/>
    <w:rsid w:val="2B6134BC"/>
    <w:rsid w:val="2B726941"/>
    <w:rsid w:val="2B783354"/>
    <w:rsid w:val="2BBA04F1"/>
    <w:rsid w:val="2BF67536"/>
    <w:rsid w:val="2C0E644C"/>
    <w:rsid w:val="2C2C3458"/>
    <w:rsid w:val="2C30196B"/>
    <w:rsid w:val="2C3964BF"/>
    <w:rsid w:val="2C3968B9"/>
    <w:rsid w:val="2C421B94"/>
    <w:rsid w:val="2C643478"/>
    <w:rsid w:val="2C6A4F11"/>
    <w:rsid w:val="2C9C20C2"/>
    <w:rsid w:val="2CC75761"/>
    <w:rsid w:val="2CC83BD5"/>
    <w:rsid w:val="2CCF28A6"/>
    <w:rsid w:val="2CED3283"/>
    <w:rsid w:val="2CEF19EA"/>
    <w:rsid w:val="2CF12EA1"/>
    <w:rsid w:val="2CF34C7D"/>
    <w:rsid w:val="2D045C0A"/>
    <w:rsid w:val="2D0A2A80"/>
    <w:rsid w:val="2D11553C"/>
    <w:rsid w:val="2D185C2C"/>
    <w:rsid w:val="2D195E41"/>
    <w:rsid w:val="2D343197"/>
    <w:rsid w:val="2D433E79"/>
    <w:rsid w:val="2D4F15F3"/>
    <w:rsid w:val="2D505368"/>
    <w:rsid w:val="2D5B72F6"/>
    <w:rsid w:val="2D613529"/>
    <w:rsid w:val="2D677422"/>
    <w:rsid w:val="2DE24CF1"/>
    <w:rsid w:val="2DEC5B5B"/>
    <w:rsid w:val="2E105E88"/>
    <w:rsid w:val="2E1C2EF5"/>
    <w:rsid w:val="2E2D22A3"/>
    <w:rsid w:val="2E5B485B"/>
    <w:rsid w:val="2E5F5DD6"/>
    <w:rsid w:val="2E9574DA"/>
    <w:rsid w:val="2E9D53AD"/>
    <w:rsid w:val="2EC62007"/>
    <w:rsid w:val="2EE648AC"/>
    <w:rsid w:val="2EF33113"/>
    <w:rsid w:val="2F025A93"/>
    <w:rsid w:val="2F226C62"/>
    <w:rsid w:val="2F500A13"/>
    <w:rsid w:val="2F511C33"/>
    <w:rsid w:val="2F5B60AE"/>
    <w:rsid w:val="2F686059"/>
    <w:rsid w:val="2F7043AA"/>
    <w:rsid w:val="2F807842"/>
    <w:rsid w:val="2F884949"/>
    <w:rsid w:val="2FA87870"/>
    <w:rsid w:val="2FB62BCF"/>
    <w:rsid w:val="2FE44D73"/>
    <w:rsid w:val="2FF12A6D"/>
    <w:rsid w:val="2FFA1962"/>
    <w:rsid w:val="30051B37"/>
    <w:rsid w:val="304A1703"/>
    <w:rsid w:val="305C1808"/>
    <w:rsid w:val="306751D7"/>
    <w:rsid w:val="30754D55"/>
    <w:rsid w:val="308B5333"/>
    <w:rsid w:val="30C2580D"/>
    <w:rsid w:val="30D702C6"/>
    <w:rsid w:val="30F2144C"/>
    <w:rsid w:val="30F35BF5"/>
    <w:rsid w:val="31101099"/>
    <w:rsid w:val="31183E6C"/>
    <w:rsid w:val="312F6800"/>
    <w:rsid w:val="31321010"/>
    <w:rsid w:val="3190316E"/>
    <w:rsid w:val="31AE0D37"/>
    <w:rsid w:val="31CA1248"/>
    <w:rsid w:val="32061D4E"/>
    <w:rsid w:val="3207249C"/>
    <w:rsid w:val="324F58E8"/>
    <w:rsid w:val="32530986"/>
    <w:rsid w:val="327613D0"/>
    <w:rsid w:val="32874E57"/>
    <w:rsid w:val="32BA4F0C"/>
    <w:rsid w:val="32C97D45"/>
    <w:rsid w:val="32D04E2B"/>
    <w:rsid w:val="32D3214D"/>
    <w:rsid w:val="32E75E2A"/>
    <w:rsid w:val="32E75EAB"/>
    <w:rsid w:val="32E817BC"/>
    <w:rsid w:val="33221249"/>
    <w:rsid w:val="333B60E5"/>
    <w:rsid w:val="335E60EC"/>
    <w:rsid w:val="336E3E55"/>
    <w:rsid w:val="33B12BDC"/>
    <w:rsid w:val="33BB795A"/>
    <w:rsid w:val="33D83EFD"/>
    <w:rsid w:val="33D95092"/>
    <w:rsid w:val="33EF143A"/>
    <w:rsid w:val="34301496"/>
    <w:rsid w:val="345A453E"/>
    <w:rsid w:val="34915CC3"/>
    <w:rsid w:val="34CA50FB"/>
    <w:rsid w:val="34FE05C6"/>
    <w:rsid w:val="350667AF"/>
    <w:rsid w:val="352D2830"/>
    <w:rsid w:val="35345BBF"/>
    <w:rsid w:val="35613538"/>
    <w:rsid w:val="356E5B52"/>
    <w:rsid w:val="357B0467"/>
    <w:rsid w:val="359B6799"/>
    <w:rsid w:val="35AC09B8"/>
    <w:rsid w:val="35D90EEF"/>
    <w:rsid w:val="35E7428C"/>
    <w:rsid w:val="35E966B9"/>
    <w:rsid w:val="35ED4745"/>
    <w:rsid w:val="3611342B"/>
    <w:rsid w:val="365B2FE9"/>
    <w:rsid w:val="36851BE2"/>
    <w:rsid w:val="37091CD9"/>
    <w:rsid w:val="3719756B"/>
    <w:rsid w:val="372D3203"/>
    <w:rsid w:val="37420673"/>
    <w:rsid w:val="374474D0"/>
    <w:rsid w:val="37461C49"/>
    <w:rsid w:val="37694F9D"/>
    <w:rsid w:val="376A13F8"/>
    <w:rsid w:val="378E5CE3"/>
    <w:rsid w:val="37981551"/>
    <w:rsid w:val="37B4605B"/>
    <w:rsid w:val="37CE5A0E"/>
    <w:rsid w:val="37DD11EF"/>
    <w:rsid w:val="385110D6"/>
    <w:rsid w:val="3862024A"/>
    <w:rsid w:val="38F61842"/>
    <w:rsid w:val="390B4FA4"/>
    <w:rsid w:val="391965CA"/>
    <w:rsid w:val="392715C3"/>
    <w:rsid w:val="39555F5C"/>
    <w:rsid w:val="397E6279"/>
    <w:rsid w:val="39AA4AF5"/>
    <w:rsid w:val="39AB2F96"/>
    <w:rsid w:val="39AD3929"/>
    <w:rsid w:val="39BA7F36"/>
    <w:rsid w:val="39E740C1"/>
    <w:rsid w:val="39EF323A"/>
    <w:rsid w:val="39F36878"/>
    <w:rsid w:val="39F67F41"/>
    <w:rsid w:val="39FC1014"/>
    <w:rsid w:val="3A0B3EF6"/>
    <w:rsid w:val="3A143149"/>
    <w:rsid w:val="3A1F08B8"/>
    <w:rsid w:val="3A29797A"/>
    <w:rsid w:val="3A321A39"/>
    <w:rsid w:val="3A4265E8"/>
    <w:rsid w:val="3A4E2999"/>
    <w:rsid w:val="3A5E23D3"/>
    <w:rsid w:val="3A5F7681"/>
    <w:rsid w:val="3A696429"/>
    <w:rsid w:val="3A725A7F"/>
    <w:rsid w:val="3A736C8F"/>
    <w:rsid w:val="3A7E442B"/>
    <w:rsid w:val="3AB67DA1"/>
    <w:rsid w:val="3ACD7F22"/>
    <w:rsid w:val="3AEC5A79"/>
    <w:rsid w:val="3B0C2FD8"/>
    <w:rsid w:val="3B124AB2"/>
    <w:rsid w:val="3B537D2B"/>
    <w:rsid w:val="3B55237A"/>
    <w:rsid w:val="3B780178"/>
    <w:rsid w:val="3B7B4AAA"/>
    <w:rsid w:val="3B900DC8"/>
    <w:rsid w:val="3BA53C97"/>
    <w:rsid w:val="3BC74A4B"/>
    <w:rsid w:val="3BFC3BDC"/>
    <w:rsid w:val="3BFF56E5"/>
    <w:rsid w:val="3C0461CA"/>
    <w:rsid w:val="3C2862CA"/>
    <w:rsid w:val="3C2D6B03"/>
    <w:rsid w:val="3C312DF1"/>
    <w:rsid w:val="3C921A89"/>
    <w:rsid w:val="3CB51E95"/>
    <w:rsid w:val="3CE064BF"/>
    <w:rsid w:val="3D036D22"/>
    <w:rsid w:val="3D1346AC"/>
    <w:rsid w:val="3D4E231C"/>
    <w:rsid w:val="3D6E16A3"/>
    <w:rsid w:val="3D72325B"/>
    <w:rsid w:val="3DC70FD0"/>
    <w:rsid w:val="3DE25E90"/>
    <w:rsid w:val="3DEF0B74"/>
    <w:rsid w:val="3E082829"/>
    <w:rsid w:val="3E34647F"/>
    <w:rsid w:val="3E642A25"/>
    <w:rsid w:val="3E80021A"/>
    <w:rsid w:val="3E8E575D"/>
    <w:rsid w:val="3EAE3497"/>
    <w:rsid w:val="3ECB3E37"/>
    <w:rsid w:val="3ED52F29"/>
    <w:rsid w:val="3EDA2307"/>
    <w:rsid w:val="3EF86354"/>
    <w:rsid w:val="3EFE083F"/>
    <w:rsid w:val="3F1C7075"/>
    <w:rsid w:val="3F276507"/>
    <w:rsid w:val="3F3B1C49"/>
    <w:rsid w:val="3F443104"/>
    <w:rsid w:val="3F5E1222"/>
    <w:rsid w:val="3F676329"/>
    <w:rsid w:val="3F97300E"/>
    <w:rsid w:val="3FC831B2"/>
    <w:rsid w:val="3FDB6D16"/>
    <w:rsid w:val="3FF676AC"/>
    <w:rsid w:val="4001677D"/>
    <w:rsid w:val="4011377D"/>
    <w:rsid w:val="40131029"/>
    <w:rsid w:val="40257E15"/>
    <w:rsid w:val="4047418B"/>
    <w:rsid w:val="406834AD"/>
    <w:rsid w:val="408449F7"/>
    <w:rsid w:val="40953091"/>
    <w:rsid w:val="40A46010"/>
    <w:rsid w:val="40A55183"/>
    <w:rsid w:val="40B31E25"/>
    <w:rsid w:val="40C13E95"/>
    <w:rsid w:val="40E24211"/>
    <w:rsid w:val="410127AD"/>
    <w:rsid w:val="414A2E7E"/>
    <w:rsid w:val="4155409F"/>
    <w:rsid w:val="41645F44"/>
    <w:rsid w:val="417B59B4"/>
    <w:rsid w:val="419E7FFC"/>
    <w:rsid w:val="41BF6609"/>
    <w:rsid w:val="41D36508"/>
    <w:rsid w:val="41E075F8"/>
    <w:rsid w:val="41E33012"/>
    <w:rsid w:val="42011349"/>
    <w:rsid w:val="420833C8"/>
    <w:rsid w:val="4246565E"/>
    <w:rsid w:val="42497D29"/>
    <w:rsid w:val="42526326"/>
    <w:rsid w:val="426E6088"/>
    <w:rsid w:val="428E1E1E"/>
    <w:rsid w:val="429A7402"/>
    <w:rsid w:val="42DA5782"/>
    <w:rsid w:val="430243A0"/>
    <w:rsid w:val="43057F7F"/>
    <w:rsid w:val="431C38CE"/>
    <w:rsid w:val="431E4BFD"/>
    <w:rsid w:val="43661280"/>
    <w:rsid w:val="436E3E38"/>
    <w:rsid w:val="43883CB6"/>
    <w:rsid w:val="439438AA"/>
    <w:rsid w:val="439F57A4"/>
    <w:rsid w:val="43BA0BE2"/>
    <w:rsid w:val="43CF1E19"/>
    <w:rsid w:val="43E315CA"/>
    <w:rsid w:val="4409441E"/>
    <w:rsid w:val="44136A7F"/>
    <w:rsid w:val="441806D2"/>
    <w:rsid w:val="442B2FE3"/>
    <w:rsid w:val="44414148"/>
    <w:rsid w:val="4492660D"/>
    <w:rsid w:val="44C97698"/>
    <w:rsid w:val="44CE6D57"/>
    <w:rsid w:val="44CF515E"/>
    <w:rsid w:val="44D85DBE"/>
    <w:rsid w:val="44E623E5"/>
    <w:rsid w:val="44ED72D0"/>
    <w:rsid w:val="450146B7"/>
    <w:rsid w:val="45112699"/>
    <w:rsid w:val="452C7AEE"/>
    <w:rsid w:val="45306E5A"/>
    <w:rsid w:val="454518C5"/>
    <w:rsid w:val="45456400"/>
    <w:rsid w:val="455A2B42"/>
    <w:rsid w:val="458265CA"/>
    <w:rsid w:val="459F3907"/>
    <w:rsid w:val="45DD13F3"/>
    <w:rsid w:val="45DD476C"/>
    <w:rsid w:val="45DF2C92"/>
    <w:rsid w:val="45ED35D0"/>
    <w:rsid w:val="45FC56B8"/>
    <w:rsid w:val="46314CF6"/>
    <w:rsid w:val="46340F2E"/>
    <w:rsid w:val="463A4808"/>
    <w:rsid w:val="467D3959"/>
    <w:rsid w:val="46E86095"/>
    <w:rsid w:val="46F95A82"/>
    <w:rsid w:val="46FC5150"/>
    <w:rsid w:val="47233B72"/>
    <w:rsid w:val="476548F7"/>
    <w:rsid w:val="476A6FDB"/>
    <w:rsid w:val="476B748D"/>
    <w:rsid w:val="47816B19"/>
    <w:rsid w:val="478F62A7"/>
    <w:rsid w:val="47AF4779"/>
    <w:rsid w:val="47C35824"/>
    <w:rsid w:val="47D15C66"/>
    <w:rsid w:val="47E92874"/>
    <w:rsid w:val="484713ED"/>
    <w:rsid w:val="488D4B75"/>
    <w:rsid w:val="48B27438"/>
    <w:rsid w:val="48C6751F"/>
    <w:rsid w:val="48CA15BF"/>
    <w:rsid w:val="48FC2748"/>
    <w:rsid w:val="491D61CE"/>
    <w:rsid w:val="492E14C8"/>
    <w:rsid w:val="492F2C75"/>
    <w:rsid w:val="492F2CC0"/>
    <w:rsid w:val="4961203A"/>
    <w:rsid w:val="49962961"/>
    <w:rsid w:val="49CB3958"/>
    <w:rsid w:val="49EE494E"/>
    <w:rsid w:val="4A0C3094"/>
    <w:rsid w:val="4A297935"/>
    <w:rsid w:val="4A3B2F8D"/>
    <w:rsid w:val="4A547A53"/>
    <w:rsid w:val="4A7C6FEC"/>
    <w:rsid w:val="4A85541F"/>
    <w:rsid w:val="4A857FAB"/>
    <w:rsid w:val="4A897A9B"/>
    <w:rsid w:val="4A9962C7"/>
    <w:rsid w:val="4AA56F54"/>
    <w:rsid w:val="4AF108EE"/>
    <w:rsid w:val="4B2E0207"/>
    <w:rsid w:val="4B441F8D"/>
    <w:rsid w:val="4B4C3A3D"/>
    <w:rsid w:val="4B582A85"/>
    <w:rsid w:val="4B8B339F"/>
    <w:rsid w:val="4BA30858"/>
    <w:rsid w:val="4BB5769D"/>
    <w:rsid w:val="4BC4746D"/>
    <w:rsid w:val="4BD67AA0"/>
    <w:rsid w:val="4BE35428"/>
    <w:rsid w:val="4C0A5CAF"/>
    <w:rsid w:val="4C2E1A50"/>
    <w:rsid w:val="4C3B7022"/>
    <w:rsid w:val="4C7A3DBD"/>
    <w:rsid w:val="4CA77A95"/>
    <w:rsid w:val="4CAA59DD"/>
    <w:rsid w:val="4CD12123"/>
    <w:rsid w:val="4D1F6494"/>
    <w:rsid w:val="4D3B3DCF"/>
    <w:rsid w:val="4D406744"/>
    <w:rsid w:val="4D7B5A08"/>
    <w:rsid w:val="4DC6734A"/>
    <w:rsid w:val="4DCD4B26"/>
    <w:rsid w:val="4DD66D98"/>
    <w:rsid w:val="4DE71841"/>
    <w:rsid w:val="4DE9707E"/>
    <w:rsid w:val="4DFF16D3"/>
    <w:rsid w:val="4E191136"/>
    <w:rsid w:val="4E280863"/>
    <w:rsid w:val="4E3917D8"/>
    <w:rsid w:val="4E540862"/>
    <w:rsid w:val="4E5D22CA"/>
    <w:rsid w:val="4E687B90"/>
    <w:rsid w:val="4E6F3713"/>
    <w:rsid w:val="4E947324"/>
    <w:rsid w:val="4E9B6379"/>
    <w:rsid w:val="4EA27707"/>
    <w:rsid w:val="4ECF248D"/>
    <w:rsid w:val="4ED620F7"/>
    <w:rsid w:val="4EDE2B7E"/>
    <w:rsid w:val="4EE419FD"/>
    <w:rsid w:val="4EEB3AE0"/>
    <w:rsid w:val="4EED3BFA"/>
    <w:rsid w:val="4EFA5F70"/>
    <w:rsid w:val="4F204EEE"/>
    <w:rsid w:val="4F6507F6"/>
    <w:rsid w:val="4F6F5FB1"/>
    <w:rsid w:val="4F711713"/>
    <w:rsid w:val="4F7463BF"/>
    <w:rsid w:val="4F7D0B32"/>
    <w:rsid w:val="4F7E7F1B"/>
    <w:rsid w:val="4F8C5EB6"/>
    <w:rsid w:val="4FCC23BF"/>
    <w:rsid w:val="4FD813FC"/>
    <w:rsid w:val="4FE35D07"/>
    <w:rsid w:val="4FE9372E"/>
    <w:rsid w:val="502569B0"/>
    <w:rsid w:val="503007DB"/>
    <w:rsid w:val="50394B3D"/>
    <w:rsid w:val="504B75A0"/>
    <w:rsid w:val="5063225F"/>
    <w:rsid w:val="507B5175"/>
    <w:rsid w:val="50A07B20"/>
    <w:rsid w:val="50C07764"/>
    <w:rsid w:val="50FD00C0"/>
    <w:rsid w:val="512F0DFE"/>
    <w:rsid w:val="51395406"/>
    <w:rsid w:val="51446BE3"/>
    <w:rsid w:val="51575268"/>
    <w:rsid w:val="51685815"/>
    <w:rsid w:val="517B05F8"/>
    <w:rsid w:val="518E73DD"/>
    <w:rsid w:val="518F4A21"/>
    <w:rsid w:val="51904C07"/>
    <w:rsid w:val="519B57A6"/>
    <w:rsid w:val="51B815EA"/>
    <w:rsid w:val="51C14B52"/>
    <w:rsid w:val="51CF3AE4"/>
    <w:rsid w:val="51D96C4C"/>
    <w:rsid w:val="51E839CB"/>
    <w:rsid w:val="522014D2"/>
    <w:rsid w:val="52426781"/>
    <w:rsid w:val="527E2F8E"/>
    <w:rsid w:val="52843230"/>
    <w:rsid w:val="52A30CB9"/>
    <w:rsid w:val="52B256B5"/>
    <w:rsid w:val="52C06024"/>
    <w:rsid w:val="52F44CB0"/>
    <w:rsid w:val="531449CD"/>
    <w:rsid w:val="534F2C2F"/>
    <w:rsid w:val="535630B8"/>
    <w:rsid w:val="53715570"/>
    <w:rsid w:val="5374096B"/>
    <w:rsid w:val="53784BBB"/>
    <w:rsid w:val="5391546C"/>
    <w:rsid w:val="539D602B"/>
    <w:rsid w:val="53A560DC"/>
    <w:rsid w:val="53C30CF4"/>
    <w:rsid w:val="53D61DB3"/>
    <w:rsid w:val="53E41CEB"/>
    <w:rsid w:val="541F103B"/>
    <w:rsid w:val="54223F83"/>
    <w:rsid w:val="54493DF7"/>
    <w:rsid w:val="544B51A1"/>
    <w:rsid w:val="54741605"/>
    <w:rsid w:val="54793B5C"/>
    <w:rsid w:val="549823FF"/>
    <w:rsid w:val="54A05B3C"/>
    <w:rsid w:val="54B33386"/>
    <w:rsid w:val="54BA088E"/>
    <w:rsid w:val="54CF3796"/>
    <w:rsid w:val="54F2435C"/>
    <w:rsid w:val="55197625"/>
    <w:rsid w:val="553B21A9"/>
    <w:rsid w:val="554C395E"/>
    <w:rsid w:val="55516D6C"/>
    <w:rsid w:val="555E7118"/>
    <w:rsid w:val="558A2919"/>
    <w:rsid w:val="55AC6E9D"/>
    <w:rsid w:val="55E44CB4"/>
    <w:rsid w:val="5618425D"/>
    <w:rsid w:val="561B7A15"/>
    <w:rsid w:val="56271088"/>
    <w:rsid w:val="56475C6F"/>
    <w:rsid w:val="56696088"/>
    <w:rsid w:val="56850B2B"/>
    <w:rsid w:val="56A26D57"/>
    <w:rsid w:val="56A969CA"/>
    <w:rsid w:val="56CB5FD8"/>
    <w:rsid w:val="56FE33E7"/>
    <w:rsid w:val="570A52DF"/>
    <w:rsid w:val="571B3A03"/>
    <w:rsid w:val="57323074"/>
    <w:rsid w:val="578D73DB"/>
    <w:rsid w:val="57913BE6"/>
    <w:rsid w:val="57A21802"/>
    <w:rsid w:val="57AC6DE2"/>
    <w:rsid w:val="57BA261B"/>
    <w:rsid w:val="57CD7281"/>
    <w:rsid w:val="57DC2C7B"/>
    <w:rsid w:val="57E31655"/>
    <w:rsid w:val="57FD73D2"/>
    <w:rsid w:val="58111B28"/>
    <w:rsid w:val="5846561A"/>
    <w:rsid w:val="587645D8"/>
    <w:rsid w:val="58A3138B"/>
    <w:rsid w:val="58B96D63"/>
    <w:rsid w:val="590F3861"/>
    <w:rsid w:val="5967213C"/>
    <w:rsid w:val="5967369D"/>
    <w:rsid w:val="59725B9E"/>
    <w:rsid w:val="59771011"/>
    <w:rsid w:val="597A329F"/>
    <w:rsid w:val="59BB0755"/>
    <w:rsid w:val="59C275A4"/>
    <w:rsid w:val="59C43112"/>
    <w:rsid w:val="59D949F9"/>
    <w:rsid w:val="59F06328"/>
    <w:rsid w:val="5A013C5D"/>
    <w:rsid w:val="5A057B8F"/>
    <w:rsid w:val="5A326680"/>
    <w:rsid w:val="5A4315BF"/>
    <w:rsid w:val="5A44194C"/>
    <w:rsid w:val="5A463F64"/>
    <w:rsid w:val="5A4B3A8D"/>
    <w:rsid w:val="5A4E62D3"/>
    <w:rsid w:val="5A4E660B"/>
    <w:rsid w:val="5A533617"/>
    <w:rsid w:val="5A7B057B"/>
    <w:rsid w:val="5AA51D47"/>
    <w:rsid w:val="5AAE5443"/>
    <w:rsid w:val="5AC05CB6"/>
    <w:rsid w:val="5AC31344"/>
    <w:rsid w:val="5AE11080"/>
    <w:rsid w:val="5AFE501F"/>
    <w:rsid w:val="5B1E39B9"/>
    <w:rsid w:val="5B2C6644"/>
    <w:rsid w:val="5B4F16B4"/>
    <w:rsid w:val="5B6C7881"/>
    <w:rsid w:val="5B70610D"/>
    <w:rsid w:val="5B7A10F7"/>
    <w:rsid w:val="5B903753"/>
    <w:rsid w:val="5B9E1AFB"/>
    <w:rsid w:val="5BA42BAD"/>
    <w:rsid w:val="5BBD6E16"/>
    <w:rsid w:val="5BC4389B"/>
    <w:rsid w:val="5BD36D2B"/>
    <w:rsid w:val="5BEA34A6"/>
    <w:rsid w:val="5BF117E5"/>
    <w:rsid w:val="5C0C5EA1"/>
    <w:rsid w:val="5C39235D"/>
    <w:rsid w:val="5C6341ED"/>
    <w:rsid w:val="5C7E01CB"/>
    <w:rsid w:val="5C8A0EF0"/>
    <w:rsid w:val="5CAA04B0"/>
    <w:rsid w:val="5CBD09E1"/>
    <w:rsid w:val="5CC73A4F"/>
    <w:rsid w:val="5CE46DB3"/>
    <w:rsid w:val="5CF23CF8"/>
    <w:rsid w:val="5D025994"/>
    <w:rsid w:val="5D0B2591"/>
    <w:rsid w:val="5D1A3894"/>
    <w:rsid w:val="5D1D167A"/>
    <w:rsid w:val="5D342CFA"/>
    <w:rsid w:val="5D6203B4"/>
    <w:rsid w:val="5D6B160C"/>
    <w:rsid w:val="5D7718F2"/>
    <w:rsid w:val="5D8E1154"/>
    <w:rsid w:val="5D9848E0"/>
    <w:rsid w:val="5DF30472"/>
    <w:rsid w:val="5E033269"/>
    <w:rsid w:val="5E0379A4"/>
    <w:rsid w:val="5E086464"/>
    <w:rsid w:val="5E4D68C0"/>
    <w:rsid w:val="5E691A23"/>
    <w:rsid w:val="5EB34710"/>
    <w:rsid w:val="5EB50975"/>
    <w:rsid w:val="5ED64F30"/>
    <w:rsid w:val="5F1B446E"/>
    <w:rsid w:val="5F224FB5"/>
    <w:rsid w:val="5F8279C3"/>
    <w:rsid w:val="5FB325DB"/>
    <w:rsid w:val="5FD979F3"/>
    <w:rsid w:val="600A2B23"/>
    <w:rsid w:val="600D03CE"/>
    <w:rsid w:val="600E61A5"/>
    <w:rsid w:val="60123C37"/>
    <w:rsid w:val="603653C2"/>
    <w:rsid w:val="604E72ED"/>
    <w:rsid w:val="6069498F"/>
    <w:rsid w:val="6071053E"/>
    <w:rsid w:val="607806A8"/>
    <w:rsid w:val="60A60049"/>
    <w:rsid w:val="60B71B8D"/>
    <w:rsid w:val="60D86CC3"/>
    <w:rsid w:val="6123175A"/>
    <w:rsid w:val="612C0113"/>
    <w:rsid w:val="613F442E"/>
    <w:rsid w:val="61403D7B"/>
    <w:rsid w:val="6160574F"/>
    <w:rsid w:val="61636498"/>
    <w:rsid w:val="61C44532"/>
    <w:rsid w:val="61EC0779"/>
    <w:rsid w:val="61F23D20"/>
    <w:rsid w:val="61F777CB"/>
    <w:rsid w:val="61FC6176"/>
    <w:rsid w:val="62013FB1"/>
    <w:rsid w:val="62057D47"/>
    <w:rsid w:val="62071ED3"/>
    <w:rsid w:val="620D0B61"/>
    <w:rsid w:val="620D0EE5"/>
    <w:rsid w:val="62411097"/>
    <w:rsid w:val="62716469"/>
    <w:rsid w:val="629E1149"/>
    <w:rsid w:val="629F1BB8"/>
    <w:rsid w:val="62D3021E"/>
    <w:rsid w:val="62F0107C"/>
    <w:rsid w:val="6327366E"/>
    <w:rsid w:val="633B20EA"/>
    <w:rsid w:val="633D721D"/>
    <w:rsid w:val="63463722"/>
    <w:rsid w:val="638C5AAE"/>
    <w:rsid w:val="63904DE7"/>
    <w:rsid w:val="63A54DCE"/>
    <w:rsid w:val="63A66B70"/>
    <w:rsid w:val="63BF0B14"/>
    <w:rsid w:val="63CE40EA"/>
    <w:rsid w:val="63FA1A82"/>
    <w:rsid w:val="64723C7C"/>
    <w:rsid w:val="64DC779A"/>
    <w:rsid w:val="64E673C8"/>
    <w:rsid w:val="65093708"/>
    <w:rsid w:val="651F4120"/>
    <w:rsid w:val="65281CF5"/>
    <w:rsid w:val="652D5DC5"/>
    <w:rsid w:val="65415B8A"/>
    <w:rsid w:val="654861C0"/>
    <w:rsid w:val="65493C57"/>
    <w:rsid w:val="658C02C9"/>
    <w:rsid w:val="659428A5"/>
    <w:rsid w:val="65CA0769"/>
    <w:rsid w:val="65D15AF7"/>
    <w:rsid w:val="65D908D0"/>
    <w:rsid w:val="65E12F79"/>
    <w:rsid w:val="65F635E5"/>
    <w:rsid w:val="65FF2BD8"/>
    <w:rsid w:val="66134265"/>
    <w:rsid w:val="661B5BB0"/>
    <w:rsid w:val="663F32AC"/>
    <w:rsid w:val="66491176"/>
    <w:rsid w:val="664F36FD"/>
    <w:rsid w:val="66627A3D"/>
    <w:rsid w:val="66FB1098"/>
    <w:rsid w:val="672E216A"/>
    <w:rsid w:val="67982C74"/>
    <w:rsid w:val="67AD7613"/>
    <w:rsid w:val="67BC5F54"/>
    <w:rsid w:val="68010C28"/>
    <w:rsid w:val="680B1697"/>
    <w:rsid w:val="683D381B"/>
    <w:rsid w:val="685C36E0"/>
    <w:rsid w:val="6865212C"/>
    <w:rsid w:val="687C1DF7"/>
    <w:rsid w:val="687F5BE1"/>
    <w:rsid w:val="688A5416"/>
    <w:rsid w:val="68B84CEB"/>
    <w:rsid w:val="68E31BCE"/>
    <w:rsid w:val="691B1E5B"/>
    <w:rsid w:val="692B0465"/>
    <w:rsid w:val="69760D80"/>
    <w:rsid w:val="69796AD5"/>
    <w:rsid w:val="699833FF"/>
    <w:rsid w:val="69B14A60"/>
    <w:rsid w:val="69B3326D"/>
    <w:rsid w:val="69CC08E8"/>
    <w:rsid w:val="69FA41CD"/>
    <w:rsid w:val="6A0747F4"/>
    <w:rsid w:val="6A130025"/>
    <w:rsid w:val="6A1C400F"/>
    <w:rsid w:val="6A1F15A6"/>
    <w:rsid w:val="6A406D25"/>
    <w:rsid w:val="6A5F5CCB"/>
    <w:rsid w:val="6A7259FE"/>
    <w:rsid w:val="6AC31883"/>
    <w:rsid w:val="6ACF563F"/>
    <w:rsid w:val="6AE025AB"/>
    <w:rsid w:val="6AF87B70"/>
    <w:rsid w:val="6B1B6988"/>
    <w:rsid w:val="6B227209"/>
    <w:rsid w:val="6B7019A4"/>
    <w:rsid w:val="6BBA58D3"/>
    <w:rsid w:val="6BC94EAE"/>
    <w:rsid w:val="6BE85501"/>
    <w:rsid w:val="6C0D03F3"/>
    <w:rsid w:val="6C115B7F"/>
    <w:rsid w:val="6C364FC8"/>
    <w:rsid w:val="6C493E4A"/>
    <w:rsid w:val="6C5A02CC"/>
    <w:rsid w:val="6C660692"/>
    <w:rsid w:val="6C763CCE"/>
    <w:rsid w:val="6CA66C34"/>
    <w:rsid w:val="6CBC5BDF"/>
    <w:rsid w:val="6CE040B1"/>
    <w:rsid w:val="6CE323AF"/>
    <w:rsid w:val="6D064F7A"/>
    <w:rsid w:val="6D254C4A"/>
    <w:rsid w:val="6D2605EB"/>
    <w:rsid w:val="6D3850A3"/>
    <w:rsid w:val="6D4B7FB0"/>
    <w:rsid w:val="6D5521CF"/>
    <w:rsid w:val="6D6327A1"/>
    <w:rsid w:val="6D820147"/>
    <w:rsid w:val="6DA2484C"/>
    <w:rsid w:val="6DA65CFF"/>
    <w:rsid w:val="6DD15131"/>
    <w:rsid w:val="6DD92DAF"/>
    <w:rsid w:val="6DEC6C58"/>
    <w:rsid w:val="6E0E0665"/>
    <w:rsid w:val="6E3B3C88"/>
    <w:rsid w:val="6E6848BB"/>
    <w:rsid w:val="6E895A0C"/>
    <w:rsid w:val="6EDA07BA"/>
    <w:rsid w:val="6EEE2372"/>
    <w:rsid w:val="6F04195A"/>
    <w:rsid w:val="6F196D90"/>
    <w:rsid w:val="6F1F160D"/>
    <w:rsid w:val="6F35609A"/>
    <w:rsid w:val="6F463056"/>
    <w:rsid w:val="6F6E50EB"/>
    <w:rsid w:val="6F8166FF"/>
    <w:rsid w:val="6F947878"/>
    <w:rsid w:val="6F990A42"/>
    <w:rsid w:val="6FAB6EF0"/>
    <w:rsid w:val="6FAC6B54"/>
    <w:rsid w:val="6FB479AA"/>
    <w:rsid w:val="6FC100F3"/>
    <w:rsid w:val="6FC7543B"/>
    <w:rsid w:val="6FF3138F"/>
    <w:rsid w:val="6FF6620B"/>
    <w:rsid w:val="70132F12"/>
    <w:rsid w:val="70344CF9"/>
    <w:rsid w:val="703E0D80"/>
    <w:rsid w:val="7041578D"/>
    <w:rsid w:val="705938A1"/>
    <w:rsid w:val="706F62E4"/>
    <w:rsid w:val="70710162"/>
    <w:rsid w:val="707566CF"/>
    <w:rsid w:val="707F4527"/>
    <w:rsid w:val="70A703CB"/>
    <w:rsid w:val="70C4744E"/>
    <w:rsid w:val="70E00EEA"/>
    <w:rsid w:val="710A73AD"/>
    <w:rsid w:val="712674F7"/>
    <w:rsid w:val="71607C99"/>
    <w:rsid w:val="71723C95"/>
    <w:rsid w:val="718F6DB6"/>
    <w:rsid w:val="719616B2"/>
    <w:rsid w:val="71C065E2"/>
    <w:rsid w:val="71D12D72"/>
    <w:rsid w:val="722578E3"/>
    <w:rsid w:val="7236723D"/>
    <w:rsid w:val="72411019"/>
    <w:rsid w:val="72555B23"/>
    <w:rsid w:val="72950E84"/>
    <w:rsid w:val="72AB41A3"/>
    <w:rsid w:val="72B706F1"/>
    <w:rsid w:val="72C15774"/>
    <w:rsid w:val="72C53ED8"/>
    <w:rsid w:val="72D535C6"/>
    <w:rsid w:val="72E5270C"/>
    <w:rsid w:val="72FF6B9C"/>
    <w:rsid w:val="731743ED"/>
    <w:rsid w:val="73334EB7"/>
    <w:rsid w:val="73415090"/>
    <w:rsid w:val="737F0628"/>
    <w:rsid w:val="738B5D82"/>
    <w:rsid w:val="739A0709"/>
    <w:rsid w:val="73AB2921"/>
    <w:rsid w:val="73AC577E"/>
    <w:rsid w:val="73B107D9"/>
    <w:rsid w:val="73B118DC"/>
    <w:rsid w:val="73F835C2"/>
    <w:rsid w:val="74387386"/>
    <w:rsid w:val="74724F3B"/>
    <w:rsid w:val="7488418D"/>
    <w:rsid w:val="748C6802"/>
    <w:rsid w:val="74937E9A"/>
    <w:rsid w:val="74945D5A"/>
    <w:rsid w:val="74990187"/>
    <w:rsid w:val="74BA0D81"/>
    <w:rsid w:val="74C624A1"/>
    <w:rsid w:val="74D15A17"/>
    <w:rsid w:val="74ED0B97"/>
    <w:rsid w:val="750737A7"/>
    <w:rsid w:val="752561E3"/>
    <w:rsid w:val="754070F4"/>
    <w:rsid w:val="754F2335"/>
    <w:rsid w:val="75864B06"/>
    <w:rsid w:val="75C21F66"/>
    <w:rsid w:val="75C47230"/>
    <w:rsid w:val="75D215AA"/>
    <w:rsid w:val="762512D0"/>
    <w:rsid w:val="765F0604"/>
    <w:rsid w:val="765F7301"/>
    <w:rsid w:val="7686733F"/>
    <w:rsid w:val="769F4A66"/>
    <w:rsid w:val="76DC7DD1"/>
    <w:rsid w:val="76E413A3"/>
    <w:rsid w:val="77277B70"/>
    <w:rsid w:val="77666DBF"/>
    <w:rsid w:val="7795703D"/>
    <w:rsid w:val="77BB2EFC"/>
    <w:rsid w:val="77CD79F3"/>
    <w:rsid w:val="77E67A2B"/>
    <w:rsid w:val="77E72582"/>
    <w:rsid w:val="77F10152"/>
    <w:rsid w:val="77F41B8E"/>
    <w:rsid w:val="77F763FE"/>
    <w:rsid w:val="77FC4868"/>
    <w:rsid w:val="77FF7819"/>
    <w:rsid w:val="7803236C"/>
    <w:rsid w:val="7805351F"/>
    <w:rsid w:val="783D2C02"/>
    <w:rsid w:val="784F58F0"/>
    <w:rsid w:val="785759CB"/>
    <w:rsid w:val="785C10EE"/>
    <w:rsid w:val="78635511"/>
    <w:rsid w:val="7865552C"/>
    <w:rsid w:val="78C3022D"/>
    <w:rsid w:val="78DB50B6"/>
    <w:rsid w:val="78EA70A7"/>
    <w:rsid w:val="78EF46BD"/>
    <w:rsid w:val="78FD6DDA"/>
    <w:rsid w:val="7912455C"/>
    <w:rsid w:val="7916765A"/>
    <w:rsid w:val="79183869"/>
    <w:rsid w:val="79205C57"/>
    <w:rsid w:val="792962DF"/>
    <w:rsid w:val="794138C9"/>
    <w:rsid w:val="796A6995"/>
    <w:rsid w:val="79B159CD"/>
    <w:rsid w:val="79BA1A0E"/>
    <w:rsid w:val="79BA4BFE"/>
    <w:rsid w:val="79FE476D"/>
    <w:rsid w:val="7A456EF2"/>
    <w:rsid w:val="7A465237"/>
    <w:rsid w:val="7A7C7798"/>
    <w:rsid w:val="7A821868"/>
    <w:rsid w:val="7A831561"/>
    <w:rsid w:val="7A947A6E"/>
    <w:rsid w:val="7A983119"/>
    <w:rsid w:val="7AA02113"/>
    <w:rsid w:val="7ACF7CAC"/>
    <w:rsid w:val="7AF518D5"/>
    <w:rsid w:val="7AFD2383"/>
    <w:rsid w:val="7B0E3521"/>
    <w:rsid w:val="7B27647B"/>
    <w:rsid w:val="7B2D5FF7"/>
    <w:rsid w:val="7B647267"/>
    <w:rsid w:val="7B770C73"/>
    <w:rsid w:val="7B851309"/>
    <w:rsid w:val="7B886B07"/>
    <w:rsid w:val="7BAD01AF"/>
    <w:rsid w:val="7BB148F9"/>
    <w:rsid w:val="7BCE287E"/>
    <w:rsid w:val="7BCF2777"/>
    <w:rsid w:val="7BE0713B"/>
    <w:rsid w:val="7BFF59BF"/>
    <w:rsid w:val="7C1753CF"/>
    <w:rsid w:val="7C2D09C7"/>
    <w:rsid w:val="7C422362"/>
    <w:rsid w:val="7C556ED4"/>
    <w:rsid w:val="7C576497"/>
    <w:rsid w:val="7C5C3951"/>
    <w:rsid w:val="7C6C7352"/>
    <w:rsid w:val="7C6E72A8"/>
    <w:rsid w:val="7C716517"/>
    <w:rsid w:val="7C79433C"/>
    <w:rsid w:val="7C836CDC"/>
    <w:rsid w:val="7C8C04B6"/>
    <w:rsid w:val="7CB510CB"/>
    <w:rsid w:val="7CBB0A56"/>
    <w:rsid w:val="7CCB0D94"/>
    <w:rsid w:val="7CED0560"/>
    <w:rsid w:val="7CF65A5B"/>
    <w:rsid w:val="7D101F72"/>
    <w:rsid w:val="7D1E31A0"/>
    <w:rsid w:val="7D753CA0"/>
    <w:rsid w:val="7D80622C"/>
    <w:rsid w:val="7D933277"/>
    <w:rsid w:val="7DA57A41"/>
    <w:rsid w:val="7DAF76FC"/>
    <w:rsid w:val="7DC60315"/>
    <w:rsid w:val="7DD00482"/>
    <w:rsid w:val="7DD54013"/>
    <w:rsid w:val="7DD90D60"/>
    <w:rsid w:val="7DD91F96"/>
    <w:rsid w:val="7DE74FCA"/>
    <w:rsid w:val="7DFF3244"/>
    <w:rsid w:val="7E052939"/>
    <w:rsid w:val="7E341559"/>
    <w:rsid w:val="7E67399A"/>
    <w:rsid w:val="7E82409E"/>
    <w:rsid w:val="7EAA52D6"/>
    <w:rsid w:val="7EAD55DF"/>
    <w:rsid w:val="7EE40D13"/>
    <w:rsid w:val="7F085F25"/>
    <w:rsid w:val="7F5434CC"/>
    <w:rsid w:val="7F5C0AC8"/>
    <w:rsid w:val="7F6A6959"/>
    <w:rsid w:val="7F813AC0"/>
    <w:rsid w:val="7F8B43C5"/>
    <w:rsid w:val="7F927F5C"/>
    <w:rsid w:val="7FBD3767"/>
    <w:rsid w:val="7FBE305D"/>
    <w:rsid w:val="7FC35521"/>
    <w:rsid w:val="7FDD32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1"/>
    </w:rPr>
  </w:style>
  <w:style w:type="paragraph" w:styleId="3">
    <w:name w:val="heading 1"/>
    <w:basedOn w:val="1"/>
    <w:next w:val="1"/>
    <w:link w:val="44"/>
    <w:qFormat/>
    <w:uiPriority w:val="0"/>
    <w:pPr>
      <w:keepNext/>
      <w:jc w:val="center"/>
      <w:outlineLvl w:val="0"/>
    </w:pPr>
    <w:rPr>
      <w:rFonts w:ascii="黑体" w:eastAsia="黑体"/>
      <w:sz w:val="28"/>
      <w:szCs w:val="20"/>
    </w:rPr>
  </w:style>
  <w:style w:type="paragraph" w:styleId="4">
    <w:name w:val="heading 2"/>
    <w:basedOn w:val="1"/>
    <w:next w:val="5"/>
    <w:link w:val="45"/>
    <w:qFormat/>
    <w:uiPriority w:val="0"/>
    <w:pPr>
      <w:keepNext/>
      <w:jc w:val="center"/>
      <w:outlineLvl w:val="1"/>
    </w:pPr>
    <w:rPr>
      <w:rFonts w:ascii="宋体" w:hAnsi="Copperplate Gothic Bold"/>
      <w:b/>
      <w:sz w:val="32"/>
      <w:szCs w:val="20"/>
    </w:rPr>
  </w:style>
  <w:style w:type="paragraph" w:styleId="7">
    <w:name w:val="heading 3"/>
    <w:basedOn w:val="4"/>
    <w:next w:val="1"/>
    <w:link w:val="46"/>
    <w:qFormat/>
    <w:uiPriority w:val="0"/>
    <w:pPr>
      <w:widowControl/>
      <w:pBdr>
        <w:top w:val="single" w:color="800000" w:sz="4" w:space="1"/>
      </w:pBdr>
      <w:spacing w:after="156" w:afterLines="50" w:line="300" w:lineRule="auto"/>
      <w:jc w:val="left"/>
      <w:outlineLvl w:val="2"/>
    </w:pPr>
    <w:rPr>
      <w:rFonts w:ascii="Arial" w:hAnsi="Arial"/>
      <w:b w:val="0"/>
      <w:color w:val="000080"/>
      <w:kern w:val="0"/>
      <w:sz w:val="30"/>
    </w:rPr>
  </w:style>
  <w:style w:type="paragraph" w:styleId="8">
    <w:name w:val="heading 4"/>
    <w:basedOn w:val="1"/>
    <w:next w:val="1"/>
    <w:link w:val="47"/>
    <w:qFormat/>
    <w:uiPriority w:val="0"/>
    <w:pPr>
      <w:keepNext/>
      <w:widowControl/>
      <w:spacing w:after="156" w:afterLines="50" w:line="300" w:lineRule="auto"/>
      <w:jc w:val="left"/>
      <w:outlineLvl w:val="3"/>
    </w:pPr>
    <w:rPr>
      <w:rFonts w:ascii="Arial" w:hAnsi="Arial"/>
      <w:smallCaps/>
      <w:color w:val="000080"/>
      <w:kern w:val="0"/>
      <w:sz w:val="28"/>
      <w:szCs w:val="20"/>
    </w:rPr>
  </w:style>
  <w:style w:type="paragraph" w:styleId="9">
    <w:name w:val="heading 5"/>
    <w:basedOn w:val="1"/>
    <w:next w:val="1"/>
    <w:link w:val="48"/>
    <w:qFormat/>
    <w:uiPriority w:val="0"/>
    <w:pPr>
      <w:widowControl/>
      <w:spacing w:before="120" w:beforeLines="0" w:after="156" w:afterLines="50" w:line="288" w:lineRule="auto"/>
      <w:jc w:val="left"/>
      <w:outlineLvl w:val="4"/>
    </w:pPr>
    <w:rPr>
      <w:rFonts w:ascii="Bookman Old Style" w:hAnsi="Bookman Old Style"/>
      <w:b/>
      <w:color w:val="800000"/>
      <w:kern w:val="0"/>
      <w:sz w:val="24"/>
      <w:szCs w:val="20"/>
    </w:rPr>
  </w:style>
  <w:style w:type="paragraph" w:styleId="10">
    <w:name w:val="heading 6"/>
    <w:basedOn w:val="1"/>
    <w:next w:val="1"/>
    <w:link w:val="49"/>
    <w:qFormat/>
    <w:uiPriority w:val="0"/>
    <w:pPr>
      <w:widowControl/>
      <w:spacing w:before="120" w:beforeLines="0" w:after="156" w:afterLines="50" w:line="288" w:lineRule="auto"/>
      <w:jc w:val="left"/>
      <w:outlineLvl w:val="5"/>
    </w:pPr>
    <w:rPr>
      <w:rFonts w:ascii="Bookman Old Style" w:hAnsi="Bookman Old Style"/>
      <w:color w:val="800000"/>
      <w:kern w:val="0"/>
      <w:sz w:val="24"/>
      <w:szCs w:val="20"/>
    </w:rPr>
  </w:style>
  <w:style w:type="paragraph" w:styleId="11">
    <w:name w:val="heading 7"/>
    <w:basedOn w:val="1"/>
    <w:next w:val="1"/>
    <w:link w:val="50"/>
    <w:qFormat/>
    <w:uiPriority w:val="0"/>
    <w:pPr>
      <w:widowControl/>
      <w:spacing w:before="120" w:beforeLines="0" w:after="156" w:afterLines="50" w:line="288" w:lineRule="auto"/>
      <w:jc w:val="left"/>
      <w:outlineLvl w:val="6"/>
    </w:pPr>
    <w:rPr>
      <w:rFonts w:ascii="Bookman Old Style" w:hAnsi="Bookman Old Style"/>
      <w:b/>
      <w:i/>
      <w:kern w:val="0"/>
      <w:sz w:val="22"/>
      <w:szCs w:val="20"/>
    </w:rPr>
  </w:style>
  <w:style w:type="paragraph" w:styleId="12">
    <w:name w:val="heading 8"/>
    <w:basedOn w:val="1"/>
    <w:next w:val="1"/>
    <w:link w:val="51"/>
    <w:qFormat/>
    <w:uiPriority w:val="0"/>
    <w:pPr>
      <w:widowControl/>
      <w:spacing w:before="120" w:beforeLines="0" w:after="156" w:afterLines="50" w:line="288" w:lineRule="auto"/>
      <w:jc w:val="left"/>
      <w:outlineLvl w:val="7"/>
    </w:pPr>
    <w:rPr>
      <w:rFonts w:ascii="Bookman Old Style" w:hAnsi="Bookman Old Style"/>
      <w:b/>
      <w:i/>
      <w:kern w:val="0"/>
      <w:sz w:val="18"/>
      <w:szCs w:val="20"/>
    </w:rPr>
  </w:style>
  <w:style w:type="paragraph" w:styleId="13">
    <w:name w:val="heading 9"/>
    <w:basedOn w:val="1"/>
    <w:next w:val="1"/>
    <w:link w:val="52"/>
    <w:qFormat/>
    <w:uiPriority w:val="0"/>
    <w:pPr>
      <w:widowControl/>
      <w:spacing w:before="120" w:beforeLines="0" w:after="156" w:afterLines="50" w:line="288" w:lineRule="auto"/>
      <w:jc w:val="left"/>
      <w:outlineLvl w:val="8"/>
    </w:pPr>
    <w:rPr>
      <w:rFonts w:ascii="CG Times" w:hAnsi="CG Times"/>
      <w:i/>
      <w:kern w:val="0"/>
      <w:sz w:val="18"/>
      <w:szCs w:val="20"/>
    </w:rPr>
  </w:style>
  <w:style w:type="character" w:default="1" w:styleId="36">
    <w:name w:val="Default Paragraph Font"/>
    <w:semiHidden/>
    <w:qFormat/>
    <w:uiPriority w:val="0"/>
    <w:rPr>
      <w:sz w:val="28"/>
      <w:szCs w:val="20"/>
    </w:rPr>
  </w:style>
  <w:style w:type="table" w:default="1" w:styleId="3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58"/>
    <w:qFormat/>
    <w:uiPriority w:val="0"/>
    <w:pPr>
      <w:pBdr>
        <w:top w:val="single" w:color="auto" w:sz="4" w:space="1"/>
        <w:left w:val="none" w:color="auto" w:sz="0" w:space="4"/>
        <w:bottom w:val="none" w:color="auto" w:sz="0" w:space="1"/>
        <w:right w:val="none" w:color="auto" w:sz="0" w:space="4"/>
      </w:pBdr>
      <w:tabs>
        <w:tab w:val="center" w:pos="4153"/>
        <w:tab w:val="right" w:pos="8306"/>
      </w:tabs>
      <w:snapToGrid w:val="0"/>
      <w:jc w:val="left"/>
    </w:pPr>
    <w:rPr>
      <w:rFonts w:ascii="Times New Roman" w:hAnsi="Times New Roman" w:eastAsia="宋体"/>
      <w:sz w:val="18"/>
      <w:szCs w:val="20"/>
    </w:r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style>
  <w:style w:type="paragraph" w:styleId="14">
    <w:name w:val="Document Map"/>
    <w:basedOn w:val="1"/>
    <w:semiHidden/>
    <w:qFormat/>
    <w:uiPriority w:val="0"/>
    <w:pPr>
      <w:shd w:val="clear" w:color="auto" w:fill="000080"/>
    </w:pPr>
    <w:rPr>
      <w:szCs w:val="20"/>
    </w:rPr>
  </w:style>
  <w:style w:type="paragraph" w:styleId="15">
    <w:name w:val="annotation text"/>
    <w:basedOn w:val="1"/>
    <w:link w:val="53"/>
    <w:semiHidden/>
    <w:qFormat/>
    <w:uiPriority w:val="0"/>
    <w:pPr>
      <w:jc w:val="left"/>
    </w:pPr>
    <w:rPr>
      <w:szCs w:val="20"/>
    </w:rPr>
  </w:style>
  <w:style w:type="paragraph" w:styleId="16">
    <w:name w:val="Salutation"/>
    <w:basedOn w:val="1"/>
    <w:next w:val="1"/>
    <w:qFormat/>
    <w:uiPriority w:val="0"/>
    <w:rPr>
      <w:sz w:val="24"/>
      <w:szCs w:val="20"/>
    </w:rPr>
  </w:style>
  <w:style w:type="paragraph" w:styleId="17">
    <w:name w:val="Body Text 3"/>
    <w:basedOn w:val="1"/>
    <w:qFormat/>
    <w:uiPriority w:val="0"/>
    <w:pPr>
      <w:spacing w:line="500" w:lineRule="exact"/>
    </w:pPr>
    <w:rPr>
      <w:rFonts w:eastAsia="楷体_GB2312"/>
      <w:sz w:val="28"/>
      <w:szCs w:val="20"/>
    </w:rPr>
  </w:style>
  <w:style w:type="paragraph" w:styleId="18">
    <w:name w:val="Body Text"/>
    <w:basedOn w:val="1"/>
    <w:next w:val="1"/>
    <w:qFormat/>
    <w:uiPriority w:val="0"/>
    <w:pPr>
      <w:jc w:val="left"/>
    </w:pPr>
    <w:rPr>
      <w:rFonts w:ascii="Copperplate Gothic Bold" w:hAnsi="Copperplate Gothic Bold"/>
      <w:sz w:val="28"/>
      <w:szCs w:val="20"/>
    </w:rPr>
  </w:style>
  <w:style w:type="paragraph" w:styleId="19">
    <w:name w:val="Body Text Indent"/>
    <w:basedOn w:val="1"/>
    <w:next w:val="20"/>
    <w:link w:val="54"/>
    <w:qFormat/>
    <w:uiPriority w:val="0"/>
    <w:pPr>
      <w:spacing w:line="540" w:lineRule="exact"/>
      <w:ind w:firstLine="630"/>
    </w:pPr>
    <w:rPr>
      <w:rFonts w:eastAsia="楷体_GB2312"/>
      <w:sz w:val="32"/>
      <w:szCs w:val="20"/>
    </w:rPr>
  </w:style>
  <w:style w:type="paragraph" w:styleId="20">
    <w:name w:val="Body Text First Indent 2"/>
    <w:basedOn w:val="19"/>
    <w:qFormat/>
    <w:uiPriority w:val="0"/>
    <w:pPr>
      <w:spacing w:after="120"/>
      <w:ind w:left="420" w:leftChars="200" w:firstLine="420" w:firstLineChars="200"/>
    </w:pPr>
    <w:rPr>
      <w:rFonts w:ascii="Times New Roman" w:hAnsi="Times New Roman"/>
      <w:sz w:val="21"/>
    </w:rPr>
  </w:style>
  <w:style w:type="paragraph" w:styleId="21">
    <w:name w:val="Plain Text"/>
    <w:basedOn w:val="1"/>
    <w:link w:val="55"/>
    <w:qFormat/>
    <w:uiPriority w:val="0"/>
    <w:rPr>
      <w:rFonts w:ascii="宋体" w:hAnsi="Courier New" w:cs="Courier New"/>
    </w:rPr>
  </w:style>
  <w:style w:type="paragraph" w:styleId="22">
    <w:name w:val="Date"/>
    <w:basedOn w:val="1"/>
    <w:next w:val="1"/>
    <w:link w:val="56"/>
    <w:qFormat/>
    <w:uiPriority w:val="0"/>
    <w:pPr>
      <w:ind w:left="100" w:leftChars="2500"/>
    </w:pPr>
  </w:style>
  <w:style w:type="paragraph" w:styleId="23">
    <w:name w:val="Body Text Indent 2"/>
    <w:basedOn w:val="1"/>
    <w:qFormat/>
    <w:uiPriority w:val="0"/>
    <w:pPr>
      <w:spacing w:line="520" w:lineRule="exact"/>
      <w:ind w:firstLine="624"/>
    </w:pPr>
    <w:rPr>
      <w:rFonts w:ascii="楷体_GB2312" w:eastAsia="楷体_GB2312"/>
      <w:sz w:val="32"/>
      <w:szCs w:val="20"/>
    </w:rPr>
  </w:style>
  <w:style w:type="paragraph" w:styleId="24">
    <w:name w:val="Balloon Text"/>
    <w:basedOn w:val="1"/>
    <w:link w:val="57"/>
    <w:semiHidden/>
    <w:qFormat/>
    <w:uiPriority w:val="0"/>
    <w:rPr>
      <w:sz w:val="18"/>
      <w:szCs w:val="18"/>
    </w:rPr>
  </w:style>
  <w:style w:type="paragraph" w:styleId="25">
    <w:name w:val="header"/>
    <w:basedOn w:val="1"/>
    <w:link w:val="59"/>
    <w:qFormat/>
    <w:uiPriority w:val="0"/>
    <w:pPr>
      <w:pBdr>
        <w:bottom w:val="single" w:color="auto" w:sz="6" w:space="1"/>
      </w:pBdr>
      <w:tabs>
        <w:tab w:val="center" w:pos="4153"/>
        <w:tab w:val="right" w:pos="8306"/>
      </w:tabs>
      <w:snapToGrid w:val="0"/>
      <w:jc w:val="center"/>
    </w:pPr>
    <w:rPr>
      <w:sz w:val="18"/>
      <w:szCs w:val="20"/>
    </w:rPr>
  </w:style>
  <w:style w:type="paragraph" w:styleId="26">
    <w:name w:val="toc 1"/>
    <w:basedOn w:val="1"/>
    <w:next w:val="1"/>
    <w:qFormat/>
    <w:uiPriority w:val="39"/>
  </w:style>
  <w:style w:type="paragraph" w:styleId="27">
    <w:name w:val="Body Text Indent 3"/>
    <w:basedOn w:val="1"/>
    <w:link w:val="60"/>
    <w:qFormat/>
    <w:uiPriority w:val="0"/>
    <w:pPr>
      <w:spacing w:line="640" w:lineRule="exact"/>
      <w:ind w:firstLine="640" w:firstLineChars="200"/>
    </w:pPr>
    <w:rPr>
      <w:rFonts w:ascii="楷体_GB2312" w:hAnsi="Copperplate Gothic Bold" w:eastAsia="楷体_GB2312"/>
      <w:sz w:val="32"/>
      <w:szCs w:val="20"/>
    </w:rPr>
  </w:style>
  <w:style w:type="paragraph" w:styleId="28">
    <w:name w:val="toc 2"/>
    <w:basedOn w:val="1"/>
    <w:next w:val="1"/>
    <w:qFormat/>
    <w:uiPriority w:val="0"/>
    <w:pPr>
      <w:ind w:left="420" w:leftChars="200"/>
    </w:pPr>
  </w:style>
  <w:style w:type="paragraph" w:styleId="29">
    <w:name w:val="Body Text 2"/>
    <w:basedOn w:val="1"/>
    <w:qFormat/>
    <w:uiPriority w:val="0"/>
    <w:pPr>
      <w:spacing w:line="480" w:lineRule="exact"/>
    </w:pPr>
    <w:rPr>
      <w:rFonts w:eastAsia="黑体"/>
      <w:b/>
      <w:sz w:val="44"/>
      <w:szCs w:val="20"/>
    </w:rPr>
  </w:style>
  <w:style w:type="paragraph" w:styleId="30">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31">
    <w:name w:val="index 1"/>
    <w:basedOn w:val="1"/>
    <w:next w:val="1"/>
    <w:semiHidden/>
    <w:qFormat/>
    <w:uiPriority w:val="0"/>
    <w:rPr>
      <w:szCs w:val="20"/>
    </w:rPr>
  </w:style>
  <w:style w:type="paragraph" w:styleId="32">
    <w:name w:val="Title"/>
    <w:basedOn w:val="1"/>
    <w:next w:val="1"/>
    <w:qFormat/>
    <w:uiPriority w:val="0"/>
    <w:pPr>
      <w:jc w:val="center"/>
    </w:pPr>
    <w:rPr>
      <w:rFonts w:ascii="Calibri" w:hAnsi="Calibri"/>
      <w:kern w:val="1"/>
      <w:sz w:val="30"/>
      <w:szCs w:val="24"/>
    </w:rPr>
  </w:style>
  <w:style w:type="paragraph" w:styleId="33">
    <w:name w:val="Body Text First Indent"/>
    <w:basedOn w:val="18"/>
    <w:qFormat/>
    <w:uiPriority w:val="0"/>
    <w:pPr>
      <w:ind w:firstLine="420" w:firstLineChars="100"/>
    </w:pPr>
    <w:rPr>
      <w:rFonts w:ascii="Calibri" w:hAnsi="Calibri" w:eastAsia="宋体" w:cs="Times New Roman"/>
    </w:rPr>
  </w:style>
  <w:style w:type="table" w:styleId="35">
    <w:name w:val="Table Grid"/>
    <w:basedOn w:val="34"/>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basedOn w:val="36"/>
    <w:qFormat/>
    <w:uiPriority w:val="0"/>
    <w:rPr>
      <w:color w:val="428BCA"/>
      <w:u w:val="none"/>
    </w:rPr>
  </w:style>
  <w:style w:type="character" w:styleId="40">
    <w:name w:val="Emphasis"/>
    <w:basedOn w:val="36"/>
    <w:qFormat/>
    <w:uiPriority w:val="0"/>
    <w:rPr>
      <w:i/>
      <w:iCs/>
    </w:rPr>
  </w:style>
  <w:style w:type="character" w:styleId="41">
    <w:name w:val="Hyperlink"/>
    <w:basedOn w:val="36"/>
    <w:qFormat/>
    <w:uiPriority w:val="99"/>
    <w:rPr>
      <w:color w:val="000000"/>
      <w:sz w:val="18"/>
      <w:szCs w:val="18"/>
      <w:u w:val="none"/>
    </w:rPr>
  </w:style>
  <w:style w:type="character" w:styleId="42">
    <w:name w:val="HTML Code"/>
    <w:basedOn w:val="36"/>
    <w:qFormat/>
    <w:uiPriority w:val="0"/>
    <w:rPr>
      <w:rFonts w:ascii="Monaco" w:hAnsi="Monaco" w:eastAsia="Monaco" w:cs="Monaco"/>
      <w:color w:val="DD1144"/>
      <w:sz w:val="18"/>
      <w:szCs w:val="18"/>
      <w:bdr w:val="single" w:color="E1E1E8" w:sz="6" w:space="0"/>
      <w:shd w:val="clear" w:color="auto" w:fill="F7F7F9"/>
    </w:rPr>
  </w:style>
  <w:style w:type="character" w:styleId="43">
    <w:name w:val="HTML Cite"/>
    <w:basedOn w:val="36"/>
    <w:qFormat/>
    <w:uiPriority w:val="0"/>
  </w:style>
  <w:style w:type="character" w:customStyle="1" w:styleId="44">
    <w:name w:val="标题 1 Char1"/>
    <w:basedOn w:val="36"/>
    <w:link w:val="3"/>
    <w:qFormat/>
    <w:uiPriority w:val="0"/>
    <w:rPr>
      <w:rFonts w:ascii="黑体" w:eastAsia="黑体"/>
      <w:kern w:val="2"/>
      <w:sz w:val="28"/>
      <w:lang w:val="en-US" w:eastAsia="zh-CN" w:bidi="ar-SA"/>
    </w:rPr>
  </w:style>
  <w:style w:type="character" w:customStyle="1" w:styleId="45">
    <w:name w:val="标题 2 Char1"/>
    <w:basedOn w:val="36"/>
    <w:link w:val="4"/>
    <w:qFormat/>
    <w:uiPriority w:val="0"/>
    <w:rPr>
      <w:rFonts w:ascii="宋体" w:hAnsi="Copperplate Gothic Bold" w:eastAsia="宋体"/>
      <w:b/>
      <w:kern w:val="2"/>
      <w:sz w:val="32"/>
      <w:lang w:val="en-US" w:eastAsia="zh-CN" w:bidi="ar-SA"/>
    </w:rPr>
  </w:style>
  <w:style w:type="character" w:customStyle="1" w:styleId="46">
    <w:name w:val="标题 3 Char"/>
    <w:basedOn w:val="36"/>
    <w:link w:val="7"/>
    <w:qFormat/>
    <w:uiPriority w:val="0"/>
    <w:rPr>
      <w:rFonts w:ascii="Arial" w:hAnsi="Arial" w:eastAsia="宋体"/>
      <w:color w:val="000080"/>
      <w:sz w:val="30"/>
      <w:lang w:val="en-US" w:eastAsia="zh-CN" w:bidi="ar-SA"/>
    </w:rPr>
  </w:style>
  <w:style w:type="character" w:customStyle="1" w:styleId="47">
    <w:name w:val="标题 4 Char"/>
    <w:basedOn w:val="36"/>
    <w:link w:val="8"/>
    <w:qFormat/>
    <w:uiPriority w:val="0"/>
    <w:rPr>
      <w:rFonts w:ascii="Arial" w:hAnsi="Arial" w:eastAsia="宋体"/>
      <w:smallCaps/>
      <w:color w:val="000080"/>
      <w:sz w:val="28"/>
      <w:lang w:val="en-US" w:eastAsia="zh-CN" w:bidi="ar-SA"/>
    </w:rPr>
  </w:style>
  <w:style w:type="character" w:customStyle="1" w:styleId="48">
    <w:name w:val="标题 5 Char"/>
    <w:basedOn w:val="36"/>
    <w:link w:val="9"/>
    <w:qFormat/>
    <w:uiPriority w:val="0"/>
    <w:rPr>
      <w:rFonts w:ascii="Bookman Old Style" w:hAnsi="Bookman Old Style" w:eastAsia="宋体"/>
      <w:b/>
      <w:color w:val="800000"/>
      <w:sz w:val="24"/>
      <w:lang w:val="en-US" w:eastAsia="zh-CN" w:bidi="ar-SA"/>
    </w:rPr>
  </w:style>
  <w:style w:type="character" w:customStyle="1" w:styleId="49">
    <w:name w:val="标题 6 Char"/>
    <w:basedOn w:val="36"/>
    <w:link w:val="10"/>
    <w:qFormat/>
    <w:uiPriority w:val="0"/>
    <w:rPr>
      <w:rFonts w:ascii="Bookman Old Style" w:hAnsi="Bookman Old Style" w:eastAsia="宋体"/>
      <w:color w:val="800000"/>
      <w:sz w:val="24"/>
      <w:lang w:val="en-US" w:eastAsia="zh-CN" w:bidi="ar-SA"/>
    </w:rPr>
  </w:style>
  <w:style w:type="character" w:customStyle="1" w:styleId="50">
    <w:name w:val="标题 7 Char"/>
    <w:basedOn w:val="36"/>
    <w:link w:val="11"/>
    <w:qFormat/>
    <w:uiPriority w:val="0"/>
    <w:rPr>
      <w:rFonts w:ascii="Bookman Old Style" w:hAnsi="Bookman Old Style" w:eastAsia="宋体"/>
      <w:b/>
      <w:i/>
      <w:sz w:val="22"/>
      <w:lang w:val="en-US" w:eastAsia="zh-CN" w:bidi="ar-SA"/>
    </w:rPr>
  </w:style>
  <w:style w:type="character" w:customStyle="1" w:styleId="51">
    <w:name w:val="标题 8 Char"/>
    <w:basedOn w:val="36"/>
    <w:link w:val="12"/>
    <w:qFormat/>
    <w:uiPriority w:val="0"/>
    <w:rPr>
      <w:rFonts w:ascii="Bookman Old Style" w:hAnsi="Bookman Old Style" w:eastAsia="宋体"/>
      <w:b/>
      <w:i/>
      <w:sz w:val="18"/>
      <w:lang w:val="en-US" w:eastAsia="zh-CN" w:bidi="ar-SA"/>
    </w:rPr>
  </w:style>
  <w:style w:type="character" w:customStyle="1" w:styleId="52">
    <w:name w:val="标题 9 Char"/>
    <w:basedOn w:val="36"/>
    <w:link w:val="13"/>
    <w:qFormat/>
    <w:uiPriority w:val="0"/>
    <w:rPr>
      <w:rFonts w:ascii="CG Times" w:hAnsi="CG Times" w:eastAsia="宋体"/>
      <w:i/>
      <w:sz w:val="18"/>
      <w:lang w:val="en-US" w:eastAsia="zh-CN" w:bidi="ar-SA"/>
    </w:rPr>
  </w:style>
  <w:style w:type="character" w:customStyle="1" w:styleId="53">
    <w:name w:val="批注文字 Char"/>
    <w:basedOn w:val="36"/>
    <w:link w:val="15"/>
    <w:semiHidden/>
    <w:qFormat/>
    <w:uiPriority w:val="0"/>
    <w:rPr>
      <w:rFonts w:eastAsia="宋体"/>
      <w:kern w:val="2"/>
      <w:sz w:val="21"/>
      <w:lang w:val="en-US" w:eastAsia="zh-CN" w:bidi="ar-SA"/>
    </w:rPr>
  </w:style>
  <w:style w:type="character" w:customStyle="1" w:styleId="54">
    <w:name w:val="正文文本缩进 Char"/>
    <w:basedOn w:val="36"/>
    <w:link w:val="19"/>
    <w:qFormat/>
    <w:uiPriority w:val="0"/>
    <w:rPr>
      <w:rFonts w:eastAsia="楷体_GB2312"/>
      <w:kern w:val="2"/>
      <w:sz w:val="32"/>
      <w:lang w:val="en-US" w:eastAsia="zh-CN" w:bidi="ar-SA"/>
    </w:rPr>
  </w:style>
  <w:style w:type="character" w:customStyle="1" w:styleId="55">
    <w:name w:val="纯文本 Char"/>
    <w:basedOn w:val="36"/>
    <w:link w:val="21"/>
    <w:qFormat/>
    <w:uiPriority w:val="0"/>
    <w:rPr>
      <w:rFonts w:ascii="宋体" w:hAnsi="Courier New" w:eastAsia="宋体" w:cs="Courier New"/>
      <w:kern w:val="2"/>
      <w:sz w:val="21"/>
      <w:szCs w:val="21"/>
      <w:lang w:val="en-US" w:eastAsia="zh-CN" w:bidi="ar-SA"/>
    </w:rPr>
  </w:style>
  <w:style w:type="character" w:customStyle="1" w:styleId="56">
    <w:name w:val="日期 Char"/>
    <w:basedOn w:val="36"/>
    <w:link w:val="22"/>
    <w:qFormat/>
    <w:uiPriority w:val="0"/>
    <w:rPr>
      <w:rFonts w:eastAsia="宋体"/>
      <w:kern w:val="2"/>
      <w:sz w:val="21"/>
      <w:szCs w:val="21"/>
      <w:lang w:val="en-US" w:eastAsia="zh-CN" w:bidi="ar-SA"/>
    </w:rPr>
  </w:style>
  <w:style w:type="character" w:customStyle="1" w:styleId="57">
    <w:name w:val="批注框文本 Char"/>
    <w:basedOn w:val="36"/>
    <w:link w:val="24"/>
    <w:semiHidden/>
    <w:qFormat/>
    <w:uiPriority w:val="0"/>
    <w:rPr>
      <w:rFonts w:eastAsia="宋体"/>
      <w:kern w:val="2"/>
      <w:sz w:val="18"/>
      <w:szCs w:val="18"/>
      <w:lang w:val="en-US" w:eastAsia="zh-CN" w:bidi="ar-SA"/>
    </w:rPr>
  </w:style>
  <w:style w:type="character" w:customStyle="1" w:styleId="58">
    <w:name w:val="页脚 Char"/>
    <w:basedOn w:val="36"/>
    <w:link w:val="2"/>
    <w:qFormat/>
    <w:uiPriority w:val="0"/>
    <w:rPr>
      <w:rFonts w:ascii="Times New Roman" w:hAnsi="Times New Roman" w:eastAsia="宋体"/>
      <w:kern w:val="2"/>
      <w:sz w:val="18"/>
      <w:lang w:val="en-US" w:eastAsia="zh-CN" w:bidi="ar-SA"/>
    </w:rPr>
  </w:style>
  <w:style w:type="character" w:customStyle="1" w:styleId="59">
    <w:name w:val="页眉 Char"/>
    <w:basedOn w:val="36"/>
    <w:link w:val="25"/>
    <w:semiHidden/>
    <w:qFormat/>
    <w:uiPriority w:val="0"/>
    <w:rPr>
      <w:rFonts w:eastAsia="宋体"/>
      <w:kern w:val="2"/>
      <w:sz w:val="18"/>
      <w:lang w:val="en-US" w:eastAsia="zh-CN" w:bidi="ar-SA"/>
    </w:rPr>
  </w:style>
  <w:style w:type="character" w:customStyle="1" w:styleId="60">
    <w:name w:val="正文文本缩进 3 Char"/>
    <w:basedOn w:val="36"/>
    <w:link w:val="27"/>
    <w:qFormat/>
    <w:uiPriority w:val="0"/>
    <w:rPr>
      <w:rFonts w:ascii="楷体_GB2312" w:hAnsi="Copperplate Gothic Bold" w:eastAsia="楷体_GB2312"/>
      <w:kern w:val="2"/>
      <w:sz w:val="32"/>
      <w:lang w:val="en-US" w:eastAsia="zh-CN" w:bidi="ar-SA"/>
    </w:rPr>
  </w:style>
  <w:style w:type="paragraph" w:customStyle="1" w:styleId="61">
    <w:name w:val="Fließtext"/>
    <w:basedOn w:val="1"/>
    <w:qFormat/>
    <w:uiPriority w:val="99"/>
    <w:pPr>
      <w:overflowPunct w:val="0"/>
      <w:autoSpaceDE w:val="0"/>
      <w:autoSpaceDN w:val="0"/>
      <w:adjustRightInd w:val="0"/>
      <w:textAlignment w:val="baseline"/>
    </w:pPr>
    <w:rPr>
      <w:kern w:val="28"/>
      <w:szCs w:val="20"/>
    </w:rPr>
  </w:style>
  <w:style w:type="paragraph" w:customStyle="1" w:styleId="62">
    <w:name w:val="Char"/>
    <w:basedOn w:val="1"/>
    <w:qFormat/>
    <w:uiPriority w:val="0"/>
    <w:rPr>
      <w:rFonts w:ascii="Tahoma" w:hAnsi="Tahoma"/>
      <w:sz w:val="24"/>
    </w:rPr>
  </w:style>
  <w:style w:type="character" w:customStyle="1" w:styleId="63">
    <w:name w:val="spantable1"/>
    <w:basedOn w:val="36"/>
    <w:qFormat/>
    <w:uiPriority w:val="0"/>
    <w:rPr>
      <w:rFonts w:hint="default" w:ascii="ˎ̥" w:hAnsi="ˎ̥"/>
      <w:sz w:val="18"/>
      <w:szCs w:val="18"/>
    </w:rPr>
  </w:style>
  <w:style w:type="character" w:customStyle="1" w:styleId="64">
    <w:name w:val="title_emph1"/>
    <w:basedOn w:val="36"/>
    <w:qFormat/>
    <w:uiPriority w:val="0"/>
    <w:rPr>
      <w:rFonts w:hint="default" w:ascii="Arial" w:hAnsi="Arial" w:cs="Arial"/>
      <w:b/>
      <w:bCs/>
      <w:sz w:val="20"/>
      <w:szCs w:val="20"/>
    </w:rPr>
  </w:style>
  <w:style w:type="character" w:customStyle="1" w:styleId="65">
    <w:name w:val="font21"/>
    <w:basedOn w:val="36"/>
    <w:qFormat/>
    <w:uiPriority w:val="0"/>
    <w:rPr>
      <w:rFonts w:hint="eastAsia" w:ascii="宋体" w:hAnsi="宋体" w:eastAsia="宋体" w:cs="宋体"/>
      <w:color w:val="000000"/>
      <w:sz w:val="20"/>
      <w:szCs w:val="20"/>
      <w:u w:val="none"/>
    </w:rPr>
  </w:style>
  <w:style w:type="character" w:customStyle="1" w:styleId="66">
    <w:name w:val="标题 2 Char"/>
    <w:qFormat/>
    <w:uiPriority w:val="0"/>
    <w:rPr>
      <w:sz w:val="30"/>
    </w:rPr>
  </w:style>
  <w:style w:type="character" w:customStyle="1" w:styleId="67">
    <w:name w:val="font11"/>
    <w:basedOn w:val="36"/>
    <w:qFormat/>
    <w:uiPriority w:val="0"/>
    <w:rPr>
      <w:rFonts w:hint="eastAsia" w:ascii="宋体" w:hAnsi="宋体" w:eastAsia="宋体" w:cs="宋体"/>
      <w:color w:val="000000"/>
      <w:sz w:val="20"/>
      <w:szCs w:val="20"/>
      <w:u w:val="none"/>
    </w:rPr>
  </w:style>
  <w:style w:type="character" w:customStyle="1" w:styleId="68">
    <w:name w:val="style1"/>
    <w:basedOn w:val="36"/>
    <w:qFormat/>
    <w:uiPriority w:val="0"/>
  </w:style>
  <w:style w:type="paragraph" w:customStyle="1" w:styleId="69">
    <w:name w:val="yiv2047259363msonormal"/>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70">
    <w:name w:val="Char Char Char Char Char Char Char Char Char Char Char Char1 Char"/>
    <w:basedOn w:val="1"/>
    <w:qFormat/>
    <w:uiPriority w:val="0"/>
    <w:pPr>
      <w:snapToGrid w:val="0"/>
      <w:spacing w:line="360" w:lineRule="auto"/>
      <w:ind w:firstLine="200" w:firstLineChars="200"/>
    </w:pPr>
    <w:rPr>
      <w:rFonts w:eastAsia="仿宋_GB2312"/>
      <w:sz w:val="24"/>
      <w:szCs w:val="24"/>
    </w:rPr>
  </w:style>
  <w:style w:type="paragraph" w:customStyle="1" w:styleId="71">
    <w:name w:val="1.1 多级符号 Char Char"/>
    <w:basedOn w:val="1"/>
    <w:qFormat/>
    <w:uiPriority w:val="0"/>
    <w:pPr>
      <w:tabs>
        <w:tab w:val="left" w:pos="1440"/>
      </w:tabs>
      <w:spacing w:before="156" w:beforeLines="50" w:line="480" w:lineRule="auto"/>
      <w:outlineLvl w:val="1"/>
    </w:pPr>
    <w:rPr>
      <w:rFonts w:ascii="宋体" w:hAnsi="宋体"/>
      <w:b/>
      <w:sz w:val="28"/>
      <w:szCs w:val="28"/>
    </w:rPr>
  </w:style>
  <w:style w:type="paragraph" w:customStyle="1" w:styleId="72">
    <w:name w:val=" Char Char1 Char Char Char Char Char Char"/>
    <w:basedOn w:val="1"/>
    <w:qFormat/>
    <w:uiPriority w:val="0"/>
    <w:pPr>
      <w:widowControl/>
      <w:spacing w:after="160" w:afterLines="0" w:line="240" w:lineRule="exact"/>
      <w:jc w:val="center"/>
    </w:pPr>
    <w:rPr>
      <w:rFonts w:ascii="黑体" w:hAnsi="Verdana" w:eastAsia="黑体"/>
      <w:kern w:val="0"/>
      <w:sz w:val="36"/>
      <w:szCs w:val="36"/>
    </w:rPr>
  </w:style>
  <w:style w:type="paragraph" w:customStyle="1" w:styleId="73">
    <w:name w:val="（空）多级符号 Char Char"/>
    <w:basedOn w:val="1"/>
    <w:qFormat/>
    <w:uiPriority w:val="0"/>
    <w:pPr>
      <w:adjustRightInd w:val="0"/>
      <w:snapToGrid w:val="0"/>
      <w:spacing w:line="360" w:lineRule="auto"/>
      <w:ind w:firstLine="540" w:firstLineChars="225"/>
    </w:pPr>
    <w:rPr>
      <w:rFonts w:ascii="宋体" w:hAnsi="宋体"/>
      <w:sz w:val="24"/>
      <w:szCs w:val="24"/>
    </w:rPr>
  </w:style>
  <w:style w:type="paragraph" w:customStyle="1" w:styleId="74">
    <w:name w:val="List Paragraph1"/>
    <w:basedOn w:val="1"/>
    <w:qFormat/>
    <w:uiPriority w:val="34"/>
    <w:pPr>
      <w:ind w:firstLine="420" w:firstLineChars="200"/>
    </w:pPr>
  </w:style>
  <w:style w:type="paragraph" w:styleId="75">
    <w:name w:val="List Paragraph"/>
    <w:basedOn w:val="1"/>
    <w:qFormat/>
    <w:uiPriority w:val="0"/>
    <w:pPr>
      <w:widowControl/>
      <w:ind w:firstLine="420" w:firstLineChars="200"/>
      <w:jc w:val="left"/>
    </w:pPr>
    <w:rPr>
      <w:kern w:val="0"/>
      <w:sz w:val="24"/>
      <w:szCs w:val="24"/>
      <w:lang w:val="en-AU" w:eastAsia="en-US"/>
    </w:rPr>
  </w:style>
  <w:style w:type="paragraph" w:customStyle="1" w:styleId="76">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z w:val="28"/>
      <w:szCs w:val="20"/>
    </w:rPr>
  </w:style>
  <w:style w:type="paragraph" w:customStyle="1" w:styleId="77">
    <w:name w:val="Char Char1 Char"/>
    <w:basedOn w:val="1"/>
    <w:qFormat/>
    <w:uiPriority w:val="0"/>
    <w:pPr>
      <w:widowControl/>
      <w:jc w:val="left"/>
    </w:pPr>
    <w:rPr>
      <w:rFonts w:ascii="仿宋_GB2312" w:hAnsi="Arial" w:eastAsia="仿宋_GB2312"/>
      <w:b/>
      <w:spacing w:val="-5"/>
      <w:kern w:val="0"/>
      <w:sz w:val="32"/>
      <w:szCs w:val="32"/>
    </w:rPr>
  </w:style>
  <w:style w:type="paragraph" w:customStyle="1" w:styleId="78">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79">
    <w:name w:val="Char Char1 Char Char Char Char Char Char"/>
    <w:basedOn w:val="1"/>
    <w:qFormat/>
    <w:uiPriority w:val="0"/>
    <w:pPr>
      <w:widowControl/>
      <w:spacing w:after="160" w:afterLines="0" w:line="240" w:lineRule="exact"/>
      <w:jc w:val="center"/>
    </w:pPr>
    <w:rPr>
      <w:rFonts w:ascii="黑体" w:hAnsi="Verdana" w:eastAsia="黑体"/>
      <w:kern w:val="0"/>
      <w:sz w:val="36"/>
      <w:szCs w:val="36"/>
    </w:rPr>
  </w:style>
  <w:style w:type="paragraph" w:customStyle="1" w:styleId="80">
    <w:name w:val=" Char Char Char Char Char Char1 Char"/>
    <w:basedOn w:val="1"/>
    <w:qFormat/>
    <w:uiPriority w:val="0"/>
    <w:pPr>
      <w:widowControl/>
      <w:spacing w:after="160" w:line="240" w:lineRule="exact"/>
      <w:jc w:val="left"/>
    </w:pPr>
    <w:rPr>
      <w:kern w:val="0"/>
      <w:sz w:val="20"/>
    </w:rPr>
  </w:style>
  <w:style w:type="paragraph" w:customStyle="1" w:styleId="81">
    <w:name w:val="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82">
    <w:name w:val="Normal"/>
    <w:basedOn w:val="1"/>
    <w:qFormat/>
    <w:uiPriority w:val="0"/>
    <w:pPr>
      <w:widowControl/>
    </w:pPr>
    <w:rPr>
      <w:szCs w:val="21"/>
    </w:rPr>
  </w:style>
  <w:style w:type="character" w:customStyle="1" w:styleId="83">
    <w:name w:val="size"/>
    <w:basedOn w:val="36"/>
    <w:qFormat/>
    <w:uiPriority w:val="0"/>
    <w:rPr>
      <w:i/>
      <w:iCs/>
      <w:sz w:val="15"/>
      <w:szCs w:val="15"/>
    </w:rPr>
  </w:style>
  <w:style w:type="character" w:customStyle="1" w:styleId="84">
    <w:name w:val="me_close"/>
    <w:basedOn w:val="36"/>
    <w:qFormat/>
    <w:uiPriority w:val="0"/>
    <w:rPr>
      <w:b/>
      <w:bCs/>
      <w:color w:val="FFFFFF"/>
      <w:sz w:val="18"/>
      <w:szCs w:val="18"/>
      <w:shd w:val="clear" w:color="auto" w:fill="6843FF"/>
    </w:rPr>
  </w:style>
  <w:style w:type="character" w:customStyle="1" w:styleId="85">
    <w:name w:val="font01"/>
    <w:basedOn w:val="36"/>
    <w:qFormat/>
    <w:uiPriority w:val="0"/>
    <w:rPr>
      <w:rFonts w:hint="eastAsia" w:ascii="宋体" w:hAnsi="宋体" w:eastAsia="宋体" w:cs="宋体"/>
      <w:color w:val="000000"/>
      <w:sz w:val="22"/>
      <w:szCs w:val="22"/>
      <w:u w:val="none"/>
    </w:rPr>
  </w:style>
  <w:style w:type="character" w:customStyle="1" w:styleId="86">
    <w:name w:val="font41"/>
    <w:basedOn w:val="36"/>
    <w:qFormat/>
    <w:uiPriority w:val="0"/>
    <w:rPr>
      <w:rFonts w:hint="eastAsia" w:ascii="仿宋" w:hAnsi="仿宋" w:eastAsia="仿宋" w:cs="仿宋"/>
      <w:color w:val="000000"/>
      <w:sz w:val="24"/>
      <w:szCs w:val="24"/>
      <w:u w:val="none"/>
    </w:rPr>
  </w:style>
  <w:style w:type="character" w:customStyle="1" w:styleId="87">
    <w:name w:val="font61"/>
    <w:basedOn w:val="36"/>
    <w:qFormat/>
    <w:uiPriority w:val="0"/>
    <w:rPr>
      <w:rFonts w:hint="eastAsia" w:ascii="宋体" w:hAnsi="宋体" w:eastAsia="宋体" w:cs="宋体"/>
      <w:color w:val="000000"/>
      <w:sz w:val="24"/>
      <w:szCs w:val="24"/>
      <w:u w:val="none"/>
    </w:rPr>
  </w:style>
  <w:style w:type="character" w:customStyle="1" w:styleId="88">
    <w:name w:val="font81"/>
    <w:basedOn w:val="36"/>
    <w:qFormat/>
    <w:uiPriority w:val="0"/>
    <w:rPr>
      <w:rFonts w:hint="eastAsia" w:ascii="宋体" w:hAnsi="宋体" w:eastAsia="宋体" w:cs="宋体"/>
      <w:color w:val="000000"/>
      <w:sz w:val="24"/>
      <w:szCs w:val="24"/>
      <w:u w:val="none"/>
    </w:rPr>
  </w:style>
  <w:style w:type="paragraph" w:customStyle="1" w:styleId="8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5243</Words>
  <Characters>5716</Characters>
  <Lines>232</Lines>
  <Paragraphs>65</Paragraphs>
  <TotalTime>443</TotalTime>
  <ScaleCrop>false</ScaleCrop>
  <LinksUpToDate>false</LinksUpToDate>
  <CharactersWithSpaces>5827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2019-10-14T06:36:00Z</dcterms:created>
  <dc:creator>dell</dc:creator>
  <cp:lastModifiedBy>KUKI</cp:lastModifiedBy>
  <cp:lastPrinted>2026-01-15T08:42:35Z</cp:lastPrinted>
  <dcterms:modified xsi:type="dcterms:W3CDTF">2026-01-15T09:30:34Z</dcterms:modified>
  <dc:title>2011-071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5A84CD56D46B48AE9F5EEB3A82CC20B7_13</vt:lpwstr>
  </property>
  <property fmtid="{D5CDD505-2E9C-101B-9397-08002B2CF9AE}" pid="4" name="commondata">
    <vt:lpwstr>eyJoZGlkIjoiM2EzMmY1MWM0YjUxNzZmOWFmZjEyMDcyNTI1ZDQ4ZWEifQ==</vt:lpwstr>
  </property>
  <property fmtid="{D5CDD505-2E9C-101B-9397-08002B2CF9AE}" pid="5" name="KSOTemplateDocerSaveRecord">
    <vt:lpwstr>eyJoZGlkIjoiZDUwODUwMmNlZmJlZTJiNzEyZDkyM2E3Yjk2MWZkMWQiLCJ1c2VySWQiOiI5MzkzMzU2MzMifQ==</vt:lpwstr>
  </property>
</Properties>
</file>