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FF05F">
      <w:pPr>
        <w:spacing w:line="720" w:lineRule="auto"/>
        <w:jc w:val="center"/>
        <w:rPr>
          <w:rFonts w:ascii="Times New Roman" w:hAnsi="Times New Roman"/>
          <w:b/>
          <w:sz w:val="32"/>
          <w:szCs w:val="32"/>
        </w:rPr>
      </w:pPr>
    </w:p>
    <w:p w14:paraId="1AEF0A7B">
      <w:pPr>
        <w:spacing w:line="720" w:lineRule="auto"/>
        <w:jc w:val="center"/>
        <w:rPr>
          <w:rFonts w:hint="eastAsia" w:ascii="Times New Roman" w:hAnsi="宋体"/>
          <w:b/>
          <w:sz w:val="32"/>
          <w:szCs w:val="32"/>
          <w:highlight w:val="none"/>
        </w:rPr>
      </w:pPr>
      <w:r>
        <w:rPr>
          <w:rFonts w:hint="eastAsia" w:ascii="Times New Roman" w:hAnsi="宋体"/>
          <w:b/>
          <w:sz w:val="32"/>
          <w:szCs w:val="32"/>
          <w:highlight w:val="none"/>
        </w:rPr>
        <w:t>招标编号：SCIT-ZG-SX2025120007</w:t>
      </w:r>
    </w:p>
    <w:p w14:paraId="046324F7">
      <w:pPr>
        <w:jc w:val="center"/>
        <w:rPr>
          <w:rFonts w:ascii="Times New Roman" w:hAnsi="Times New Roman"/>
          <w:b/>
          <w:sz w:val="36"/>
          <w:szCs w:val="36"/>
        </w:rPr>
      </w:pPr>
    </w:p>
    <w:p w14:paraId="2D57D23D">
      <w:pPr>
        <w:jc w:val="center"/>
        <w:rPr>
          <w:rFonts w:hint="eastAsia" w:ascii="Times New Roman" w:hAnsi="宋体" w:eastAsia="宋体"/>
          <w:b/>
          <w:sz w:val="48"/>
          <w:szCs w:val="48"/>
          <w:lang w:eastAsia="zh-CN"/>
        </w:rPr>
      </w:pPr>
      <w:r>
        <w:rPr>
          <w:rFonts w:hint="eastAsia" w:ascii="Times New Roman" w:hAnsi="Times New Roman"/>
          <w:b/>
          <w:sz w:val="32"/>
          <w:szCs w:val="32"/>
          <w:lang w:eastAsia="zh-CN"/>
        </w:rPr>
        <w:t xml:space="preserve"> 咸阳职业技术学院2026年二期双高护理专业群产教融合实训基地仿真手术室和外科护理实训室临床实训设备购置项目</w:t>
      </w:r>
    </w:p>
    <w:p w14:paraId="286B8BB2">
      <w:pPr>
        <w:jc w:val="center"/>
        <w:rPr>
          <w:rFonts w:ascii="Times New Roman" w:hAnsi="宋体"/>
          <w:b/>
          <w:sz w:val="52"/>
          <w:szCs w:val="52"/>
        </w:rPr>
      </w:pPr>
    </w:p>
    <w:p w14:paraId="23208962">
      <w:pPr>
        <w:jc w:val="center"/>
        <w:rPr>
          <w:rFonts w:ascii="Times New Roman" w:hAnsi="Times New Roman"/>
          <w:b/>
          <w:sz w:val="52"/>
          <w:szCs w:val="52"/>
        </w:rPr>
      </w:pPr>
      <w:r>
        <w:rPr>
          <w:rFonts w:hint="eastAsia" w:ascii="Times New Roman" w:hAnsi="宋体"/>
          <w:b/>
          <w:sz w:val="52"/>
          <w:szCs w:val="52"/>
        </w:rPr>
        <w:t>招</w:t>
      </w:r>
    </w:p>
    <w:p w14:paraId="25DD7535">
      <w:pPr>
        <w:jc w:val="center"/>
        <w:rPr>
          <w:rFonts w:ascii="Times New Roman" w:hAnsi="Times New Roman"/>
          <w:b/>
          <w:sz w:val="52"/>
          <w:szCs w:val="52"/>
        </w:rPr>
      </w:pPr>
      <w:r>
        <w:rPr>
          <w:rFonts w:hint="eastAsia" w:ascii="Times New Roman" w:hAnsi="Times New Roman"/>
          <w:b/>
          <w:sz w:val="52"/>
          <w:szCs w:val="52"/>
        </w:rPr>
        <w:t>标</w:t>
      </w:r>
    </w:p>
    <w:p w14:paraId="4D2C7D42">
      <w:pPr>
        <w:jc w:val="center"/>
        <w:rPr>
          <w:rFonts w:ascii="Times New Roman" w:hAnsi="Times New Roman"/>
          <w:b/>
          <w:sz w:val="52"/>
          <w:szCs w:val="52"/>
        </w:rPr>
      </w:pPr>
      <w:r>
        <w:rPr>
          <w:rFonts w:hint="eastAsia" w:ascii="Times New Roman" w:hAnsi="Times New Roman"/>
          <w:b/>
          <w:sz w:val="52"/>
          <w:szCs w:val="52"/>
        </w:rPr>
        <w:t>文</w:t>
      </w:r>
    </w:p>
    <w:p w14:paraId="58A9DF39">
      <w:pPr>
        <w:jc w:val="center"/>
        <w:rPr>
          <w:rFonts w:ascii="Times New Roman" w:hAnsi="Times New Roman"/>
          <w:b/>
          <w:sz w:val="72"/>
          <w:szCs w:val="72"/>
        </w:rPr>
      </w:pPr>
      <w:r>
        <w:rPr>
          <w:rFonts w:hint="eastAsia" w:ascii="Times New Roman" w:hAnsi="Times New Roman"/>
          <w:b/>
          <w:sz w:val="52"/>
          <w:szCs w:val="52"/>
        </w:rPr>
        <w:t>件</w:t>
      </w:r>
    </w:p>
    <w:p w14:paraId="1DB869F3">
      <w:pPr>
        <w:spacing w:line="360" w:lineRule="auto"/>
        <w:rPr>
          <w:rFonts w:ascii="Times New Roman" w:hAnsi="Times New Roman"/>
          <w:b/>
          <w:sz w:val="32"/>
          <w:szCs w:val="32"/>
        </w:rPr>
      </w:pPr>
    </w:p>
    <w:p w14:paraId="15CE7F0F">
      <w:pPr>
        <w:spacing w:line="360" w:lineRule="auto"/>
        <w:rPr>
          <w:rFonts w:ascii="Times New Roman" w:hAnsi="Times New Roman"/>
          <w:b/>
          <w:sz w:val="32"/>
          <w:szCs w:val="32"/>
        </w:rPr>
      </w:pPr>
    </w:p>
    <w:p w14:paraId="4502C110">
      <w:pPr>
        <w:pStyle w:val="8"/>
        <w:rPr>
          <w:rFonts w:ascii="Times New Roman" w:hAnsi="Times New Roman"/>
          <w:b/>
          <w:sz w:val="32"/>
          <w:szCs w:val="32"/>
        </w:rPr>
      </w:pPr>
    </w:p>
    <w:p w14:paraId="7502AA92">
      <w:pPr>
        <w:pStyle w:val="8"/>
        <w:rPr>
          <w:rFonts w:ascii="Times New Roman" w:hAnsi="Times New Roman"/>
          <w:b/>
          <w:sz w:val="32"/>
          <w:szCs w:val="32"/>
        </w:rPr>
      </w:pPr>
    </w:p>
    <w:p w14:paraId="7FC93D9E">
      <w:pPr>
        <w:spacing w:line="360" w:lineRule="auto"/>
        <w:jc w:val="center"/>
        <w:rPr>
          <w:rFonts w:ascii="Times New Roman" w:hAnsi="Times New Roman"/>
          <w:b/>
          <w:sz w:val="32"/>
          <w:szCs w:val="32"/>
        </w:rPr>
      </w:pPr>
      <w:bookmarkStart w:id="0" w:name="_Toc3944"/>
      <w:r>
        <w:rPr>
          <w:rFonts w:hint="eastAsia" w:ascii="Times New Roman" w:hAnsi="Times New Roman"/>
          <w:b/>
          <w:sz w:val="32"/>
          <w:szCs w:val="32"/>
        </w:rPr>
        <w:t>中国</w:t>
      </w:r>
      <w:r>
        <w:rPr>
          <w:rFonts w:ascii="Times New Roman" w:hAnsi="Times New Roman"/>
          <w:b/>
          <w:sz w:val="32"/>
          <w:szCs w:val="32"/>
        </w:rPr>
        <w:t>·</w:t>
      </w:r>
      <w:r>
        <w:rPr>
          <w:rFonts w:hint="eastAsia" w:ascii="Times New Roman" w:hAnsi="Times New Roman"/>
          <w:b/>
          <w:sz w:val="32"/>
          <w:szCs w:val="32"/>
        </w:rPr>
        <w:t>陕西</w:t>
      </w:r>
    </w:p>
    <w:p w14:paraId="1975025D">
      <w:pPr>
        <w:spacing w:line="360" w:lineRule="auto"/>
        <w:jc w:val="center"/>
        <w:rPr>
          <w:rFonts w:ascii="Times New Roman" w:hAnsi="Times New Roman"/>
          <w:b/>
          <w:sz w:val="32"/>
          <w:szCs w:val="32"/>
        </w:rPr>
      </w:pPr>
      <w:r>
        <w:rPr>
          <w:rFonts w:hint="eastAsia" w:ascii="Times New Roman" w:hAnsi="Times New Roman"/>
          <w:b/>
          <w:sz w:val="32"/>
          <w:szCs w:val="32"/>
        </w:rPr>
        <w:t>四川国际招标有限责任公司</w:t>
      </w:r>
    </w:p>
    <w:p w14:paraId="3067BDE1">
      <w:pPr>
        <w:spacing w:line="360" w:lineRule="auto"/>
        <w:jc w:val="center"/>
        <w:rPr>
          <w:rFonts w:ascii="Times New Roman" w:hAnsi="Times New Roman"/>
          <w:b/>
          <w:sz w:val="32"/>
          <w:szCs w:val="32"/>
        </w:rPr>
      </w:pPr>
      <w:r>
        <w:rPr>
          <w:rFonts w:ascii="Times New Roman" w:hAnsi="Times New Roman"/>
          <w:b/>
          <w:sz w:val="32"/>
          <w:szCs w:val="32"/>
        </w:rPr>
        <w:t>202</w:t>
      </w:r>
      <w:r>
        <w:rPr>
          <w:rFonts w:hint="eastAsia" w:ascii="Times New Roman" w:hAnsi="Times New Roman"/>
          <w:b/>
          <w:sz w:val="32"/>
          <w:szCs w:val="32"/>
        </w:rPr>
        <w:t>5</w:t>
      </w:r>
      <w:r>
        <w:rPr>
          <w:rFonts w:hint="eastAsia" w:ascii="Times New Roman" w:hAnsi="Times New Roman"/>
          <w:b/>
          <w:sz w:val="32"/>
          <w:szCs w:val="32"/>
          <w:lang w:val="zh-CN"/>
        </w:rPr>
        <w:t>年</w:t>
      </w:r>
      <w:r>
        <w:rPr>
          <w:rFonts w:hint="eastAsia" w:ascii="Times New Roman" w:hAnsi="Times New Roman"/>
          <w:b/>
          <w:sz w:val="32"/>
          <w:szCs w:val="32"/>
          <w:lang w:val="en-US" w:eastAsia="zh-CN"/>
        </w:rPr>
        <w:t>12</w:t>
      </w:r>
      <w:r>
        <w:rPr>
          <w:rFonts w:hint="eastAsia" w:ascii="Times New Roman" w:hAnsi="Times New Roman"/>
          <w:b/>
          <w:sz w:val="32"/>
          <w:szCs w:val="32"/>
          <w:lang w:val="zh-CN"/>
        </w:rPr>
        <w:t>月</w:t>
      </w:r>
    </w:p>
    <w:p w14:paraId="1EEB2CF2">
      <w:pPr>
        <w:spacing w:line="720" w:lineRule="auto"/>
        <w:jc w:val="center"/>
        <w:rPr>
          <w:rFonts w:ascii="Times New Roman" w:hAnsi="Times New Roman"/>
          <w:sz w:val="40"/>
        </w:rPr>
      </w:pPr>
      <w:r>
        <w:rPr>
          <w:rFonts w:ascii="Times New Roman" w:hAnsi="Times New Roman"/>
          <w:sz w:val="40"/>
        </w:rPr>
        <w:br w:type="page"/>
      </w:r>
      <w:r>
        <w:rPr>
          <w:rFonts w:hint="eastAsia" w:ascii="Times New Roman" w:hAnsi="Times New Roman"/>
          <w:sz w:val="40"/>
        </w:rPr>
        <w:t>目录</w:t>
      </w:r>
    </w:p>
    <w:p w14:paraId="3E312C54">
      <w:pPr>
        <w:pStyle w:val="13"/>
        <w:tabs>
          <w:tab w:val="right" w:leader="dot" w:pos="8300"/>
        </w:tabs>
      </w:pPr>
      <w:r>
        <w:rPr>
          <w:rFonts w:ascii="Times New Roman" w:hAnsi="Times New Roman"/>
          <w:kern w:val="2"/>
          <w:szCs w:val="24"/>
        </w:rPr>
        <w:fldChar w:fldCharType="begin"/>
      </w:r>
      <w:r>
        <w:rPr>
          <w:rFonts w:ascii="Times New Roman" w:hAnsi="Times New Roman"/>
          <w:kern w:val="2"/>
          <w:szCs w:val="24"/>
        </w:rPr>
        <w:instrText xml:space="preserve">TOC \o "1-1" \h \u </w:instrText>
      </w:r>
      <w:r>
        <w:rPr>
          <w:rFonts w:ascii="Times New Roman" w:hAnsi="Times New Roman"/>
          <w:kern w:val="2"/>
          <w:szCs w:val="24"/>
        </w:rPr>
        <w:fldChar w:fldCharType="separate"/>
      </w:r>
      <w:r>
        <w:rPr>
          <w:rFonts w:ascii="Times New Roman" w:hAnsi="Times New Roman"/>
          <w:kern w:val="2"/>
          <w:szCs w:val="24"/>
        </w:rPr>
        <w:fldChar w:fldCharType="begin"/>
      </w:r>
      <w:r>
        <w:rPr>
          <w:rFonts w:ascii="Times New Roman" w:hAnsi="Times New Roman"/>
          <w:kern w:val="2"/>
          <w:szCs w:val="24"/>
        </w:rPr>
        <w:instrText xml:space="preserve"> HYPERLINK \l _Toc11038 </w:instrText>
      </w:r>
      <w:r>
        <w:rPr>
          <w:rFonts w:ascii="Times New Roman" w:hAnsi="Times New Roman"/>
          <w:kern w:val="2"/>
          <w:szCs w:val="24"/>
        </w:rPr>
        <w:fldChar w:fldCharType="separate"/>
      </w:r>
      <w:r>
        <w:rPr>
          <w:rFonts w:hint="eastAsia" w:ascii="Times New Roman" w:hAnsi="Times New Roman"/>
        </w:rPr>
        <w:t xml:space="preserve">第一章 </w:t>
      </w:r>
      <w:r>
        <w:rPr>
          <w:rFonts w:hint="eastAsia" w:ascii="Times New Roman" w:hAnsi="Times New Roman"/>
          <w:lang w:val="en-US" w:eastAsia="zh-CN"/>
        </w:rPr>
        <w:t xml:space="preserve"> </w:t>
      </w:r>
      <w:r>
        <w:rPr>
          <w:rFonts w:hint="eastAsia" w:ascii="Times New Roman" w:hAnsi="Times New Roman"/>
        </w:rPr>
        <w:t>投标邀请</w:t>
      </w:r>
      <w:r>
        <w:tab/>
      </w:r>
      <w:r>
        <w:fldChar w:fldCharType="begin"/>
      </w:r>
      <w:r>
        <w:instrText xml:space="preserve"> PAGEREF _Toc11038 \h </w:instrText>
      </w:r>
      <w:r>
        <w:fldChar w:fldCharType="separate"/>
      </w:r>
      <w:r>
        <w:t>3</w:t>
      </w:r>
      <w:r>
        <w:fldChar w:fldCharType="end"/>
      </w:r>
      <w:r>
        <w:rPr>
          <w:rFonts w:ascii="Times New Roman" w:hAnsi="Times New Roman"/>
          <w:kern w:val="2"/>
          <w:szCs w:val="24"/>
        </w:rPr>
        <w:fldChar w:fldCharType="end"/>
      </w:r>
    </w:p>
    <w:p w14:paraId="5272AA47">
      <w:pPr>
        <w:pStyle w:val="13"/>
        <w:tabs>
          <w:tab w:val="right" w:leader="dot" w:pos="8300"/>
        </w:tabs>
      </w:pPr>
      <w:r>
        <w:rPr>
          <w:rFonts w:ascii="Times New Roman" w:hAnsi="Times New Roman"/>
          <w:kern w:val="2"/>
          <w:szCs w:val="24"/>
        </w:rPr>
        <w:fldChar w:fldCharType="begin"/>
      </w:r>
      <w:r>
        <w:rPr>
          <w:rFonts w:ascii="Times New Roman" w:hAnsi="Times New Roman"/>
          <w:kern w:val="2"/>
          <w:szCs w:val="24"/>
        </w:rPr>
        <w:instrText xml:space="preserve"> HYPERLINK \l _Toc23180 </w:instrText>
      </w:r>
      <w:r>
        <w:rPr>
          <w:rFonts w:ascii="Times New Roman" w:hAnsi="Times New Roman"/>
          <w:kern w:val="2"/>
          <w:szCs w:val="24"/>
        </w:rPr>
        <w:fldChar w:fldCharType="separate"/>
      </w:r>
      <w:r>
        <w:rPr>
          <w:rFonts w:hint="eastAsia" w:ascii="Times New Roman" w:hAnsi="Times New Roman"/>
          <w:szCs w:val="20"/>
        </w:rPr>
        <w:t>第二章</w:t>
      </w:r>
      <w:r>
        <w:rPr>
          <w:rFonts w:hint="eastAsia" w:ascii="Times New Roman" w:hAnsi="Times New Roman"/>
          <w:szCs w:val="20"/>
          <w:lang w:val="en-US" w:eastAsia="zh-CN"/>
        </w:rPr>
        <w:t xml:space="preserve">  </w:t>
      </w:r>
      <w:r>
        <w:rPr>
          <w:rFonts w:hint="eastAsia" w:ascii="Times New Roman" w:hAnsi="Times New Roman"/>
          <w:szCs w:val="20"/>
        </w:rPr>
        <w:t>投标人须知</w:t>
      </w:r>
      <w:r>
        <w:tab/>
      </w:r>
      <w:r>
        <w:fldChar w:fldCharType="begin"/>
      </w:r>
      <w:r>
        <w:instrText xml:space="preserve"> PAGEREF _Toc23180 \h </w:instrText>
      </w:r>
      <w:r>
        <w:fldChar w:fldCharType="separate"/>
      </w:r>
      <w:r>
        <w:t>6</w:t>
      </w:r>
      <w:r>
        <w:fldChar w:fldCharType="end"/>
      </w:r>
      <w:r>
        <w:rPr>
          <w:rFonts w:ascii="Times New Roman" w:hAnsi="Times New Roman"/>
          <w:kern w:val="2"/>
          <w:szCs w:val="24"/>
        </w:rPr>
        <w:fldChar w:fldCharType="end"/>
      </w:r>
    </w:p>
    <w:p w14:paraId="0D8BAA3D">
      <w:pPr>
        <w:pStyle w:val="13"/>
        <w:tabs>
          <w:tab w:val="right" w:leader="dot" w:pos="8300"/>
        </w:tabs>
      </w:pPr>
      <w:r>
        <w:rPr>
          <w:rFonts w:ascii="Times New Roman" w:hAnsi="Times New Roman"/>
          <w:kern w:val="2"/>
          <w:szCs w:val="24"/>
        </w:rPr>
        <w:fldChar w:fldCharType="begin"/>
      </w:r>
      <w:r>
        <w:rPr>
          <w:rFonts w:ascii="Times New Roman" w:hAnsi="Times New Roman"/>
          <w:kern w:val="2"/>
          <w:szCs w:val="24"/>
        </w:rPr>
        <w:instrText xml:space="preserve"> HYPERLINK \l _Toc917 </w:instrText>
      </w:r>
      <w:r>
        <w:rPr>
          <w:rFonts w:ascii="Times New Roman" w:hAnsi="Times New Roman"/>
          <w:kern w:val="2"/>
          <w:szCs w:val="24"/>
        </w:rPr>
        <w:fldChar w:fldCharType="separate"/>
      </w:r>
      <w:r>
        <w:rPr>
          <w:rFonts w:hint="eastAsia" w:ascii="Times New Roman" w:hAnsi="Times New Roman"/>
          <w:szCs w:val="32"/>
        </w:rPr>
        <w:t>第三章</w:t>
      </w:r>
      <w:r>
        <w:rPr>
          <w:rFonts w:hint="eastAsia" w:ascii="Times New Roman" w:hAnsi="Times New Roman"/>
          <w:szCs w:val="32"/>
          <w:lang w:val="en-US" w:eastAsia="zh-CN"/>
        </w:rPr>
        <w:t xml:space="preserve">  </w:t>
      </w:r>
      <w:r>
        <w:rPr>
          <w:rFonts w:hint="eastAsia" w:ascii="Times New Roman" w:hAnsi="Times New Roman"/>
          <w:szCs w:val="32"/>
        </w:rPr>
        <w:t>投标文件格式</w:t>
      </w:r>
      <w:r>
        <w:tab/>
      </w:r>
      <w:r>
        <w:fldChar w:fldCharType="begin"/>
      </w:r>
      <w:r>
        <w:instrText xml:space="preserve"> PAGEREF _Toc917 \h </w:instrText>
      </w:r>
      <w:r>
        <w:fldChar w:fldCharType="separate"/>
      </w:r>
      <w:r>
        <w:t>20</w:t>
      </w:r>
      <w:r>
        <w:fldChar w:fldCharType="end"/>
      </w:r>
      <w:r>
        <w:rPr>
          <w:rFonts w:ascii="Times New Roman" w:hAnsi="Times New Roman"/>
          <w:kern w:val="2"/>
          <w:szCs w:val="24"/>
        </w:rPr>
        <w:fldChar w:fldCharType="end"/>
      </w:r>
    </w:p>
    <w:p w14:paraId="762DEE49">
      <w:pPr>
        <w:pStyle w:val="13"/>
        <w:tabs>
          <w:tab w:val="right" w:leader="dot" w:pos="8300"/>
        </w:tabs>
      </w:pPr>
      <w:r>
        <w:rPr>
          <w:rFonts w:ascii="Times New Roman" w:hAnsi="Times New Roman"/>
          <w:kern w:val="2"/>
          <w:szCs w:val="24"/>
        </w:rPr>
        <w:fldChar w:fldCharType="begin"/>
      </w:r>
      <w:r>
        <w:rPr>
          <w:rFonts w:ascii="Times New Roman" w:hAnsi="Times New Roman"/>
          <w:kern w:val="2"/>
          <w:szCs w:val="24"/>
        </w:rPr>
        <w:instrText xml:space="preserve"> HYPERLINK \l _Toc11569 </w:instrText>
      </w:r>
      <w:r>
        <w:rPr>
          <w:rFonts w:ascii="Times New Roman" w:hAnsi="Times New Roman"/>
          <w:kern w:val="2"/>
          <w:szCs w:val="24"/>
        </w:rPr>
        <w:fldChar w:fldCharType="separate"/>
      </w:r>
      <w:r>
        <w:rPr>
          <w:rFonts w:ascii="Times New Roman" w:hAnsi="Times New Roman" w:cs="Times New Roman"/>
          <w:szCs w:val="18"/>
        </w:rPr>
        <w:t xml:space="preserve">第四章 </w:t>
      </w:r>
      <w:r>
        <w:rPr>
          <w:rFonts w:hint="eastAsia" w:ascii="Times New Roman" w:hAnsi="Times New Roman" w:cs="Times New Roman"/>
          <w:szCs w:val="18"/>
          <w:lang w:val="en-US" w:eastAsia="zh-CN"/>
        </w:rPr>
        <w:t xml:space="preserve"> </w:t>
      </w:r>
      <w:r>
        <w:rPr>
          <w:rFonts w:hint="eastAsia" w:ascii="Times New Roman" w:hAnsi="Times New Roman"/>
          <w:szCs w:val="18"/>
        </w:rPr>
        <w:t>投标人的资格、资质性及其他类似效力要求</w:t>
      </w:r>
      <w:r>
        <w:tab/>
      </w:r>
      <w:r>
        <w:fldChar w:fldCharType="begin"/>
      </w:r>
      <w:r>
        <w:instrText xml:space="preserve"> PAGEREF _Toc11569 \h </w:instrText>
      </w:r>
      <w:r>
        <w:fldChar w:fldCharType="separate"/>
      </w:r>
      <w:r>
        <w:t>43</w:t>
      </w:r>
      <w:r>
        <w:fldChar w:fldCharType="end"/>
      </w:r>
      <w:r>
        <w:rPr>
          <w:rFonts w:ascii="Times New Roman" w:hAnsi="Times New Roman"/>
          <w:kern w:val="2"/>
          <w:szCs w:val="24"/>
        </w:rPr>
        <w:fldChar w:fldCharType="end"/>
      </w:r>
    </w:p>
    <w:p w14:paraId="755F629D">
      <w:pPr>
        <w:pStyle w:val="13"/>
        <w:tabs>
          <w:tab w:val="right" w:leader="dot" w:pos="8300"/>
        </w:tabs>
      </w:pPr>
      <w:r>
        <w:rPr>
          <w:rFonts w:ascii="Times New Roman" w:hAnsi="Times New Roman"/>
          <w:kern w:val="2"/>
          <w:szCs w:val="24"/>
        </w:rPr>
        <w:fldChar w:fldCharType="begin"/>
      </w:r>
      <w:r>
        <w:rPr>
          <w:rFonts w:ascii="Times New Roman" w:hAnsi="Times New Roman"/>
          <w:kern w:val="2"/>
          <w:szCs w:val="24"/>
        </w:rPr>
        <w:instrText xml:space="preserve"> HYPERLINK \l _Toc8742 </w:instrText>
      </w:r>
      <w:r>
        <w:rPr>
          <w:rFonts w:ascii="Times New Roman" w:hAnsi="Times New Roman"/>
          <w:kern w:val="2"/>
          <w:szCs w:val="24"/>
        </w:rPr>
        <w:fldChar w:fldCharType="separate"/>
      </w:r>
      <w:r>
        <w:rPr>
          <w:rFonts w:hint="eastAsia" w:ascii="Times New Roman" w:hAnsi="Times New Roman"/>
          <w:szCs w:val="21"/>
        </w:rPr>
        <w:t>第五章</w:t>
      </w:r>
      <w:r>
        <w:rPr>
          <w:rFonts w:hint="eastAsia" w:ascii="Times New Roman" w:hAnsi="Times New Roman"/>
          <w:szCs w:val="21"/>
          <w:lang w:val="en-US" w:eastAsia="zh-CN"/>
        </w:rPr>
        <w:t xml:space="preserve">  </w:t>
      </w:r>
      <w:r>
        <w:rPr>
          <w:rFonts w:hint="eastAsia" w:ascii="Times New Roman" w:hAnsi="Times New Roman"/>
          <w:szCs w:val="21"/>
        </w:rPr>
        <w:t>招标项目要求</w:t>
      </w:r>
      <w:r>
        <w:tab/>
      </w:r>
      <w:r>
        <w:fldChar w:fldCharType="begin"/>
      </w:r>
      <w:r>
        <w:instrText xml:space="preserve"> PAGEREF _Toc8742 \h </w:instrText>
      </w:r>
      <w:r>
        <w:fldChar w:fldCharType="separate"/>
      </w:r>
      <w:r>
        <w:t>46</w:t>
      </w:r>
      <w:r>
        <w:fldChar w:fldCharType="end"/>
      </w:r>
      <w:r>
        <w:rPr>
          <w:rFonts w:ascii="Times New Roman" w:hAnsi="Times New Roman"/>
          <w:kern w:val="2"/>
          <w:szCs w:val="24"/>
        </w:rPr>
        <w:fldChar w:fldCharType="end"/>
      </w:r>
    </w:p>
    <w:p w14:paraId="74D93B09">
      <w:pPr>
        <w:pStyle w:val="13"/>
        <w:tabs>
          <w:tab w:val="right" w:leader="dot" w:pos="8300"/>
        </w:tabs>
      </w:pPr>
      <w:r>
        <w:rPr>
          <w:rFonts w:ascii="Times New Roman" w:hAnsi="Times New Roman"/>
          <w:kern w:val="2"/>
          <w:szCs w:val="24"/>
        </w:rPr>
        <w:fldChar w:fldCharType="begin"/>
      </w:r>
      <w:r>
        <w:rPr>
          <w:rFonts w:ascii="Times New Roman" w:hAnsi="Times New Roman"/>
          <w:kern w:val="2"/>
          <w:szCs w:val="24"/>
        </w:rPr>
        <w:instrText xml:space="preserve"> HYPERLINK \l _Toc3608 </w:instrText>
      </w:r>
      <w:r>
        <w:rPr>
          <w:rFonts w:ascii="Times New Roman" w:hAnsi="Times New Roman"/>
          <w:kern w:val="2"/>
          <w:szCs w:val="24"/>
        </w:rPr>
        <w:fldChar w:fldCharType="separate"/>
      </w:r>
      <w:r>
        <w:rPr>
          <w:rFonts w:hint="eastAsia"/>
        </w:rPr>
        <w:t>第六章</w:t>
      </w:r>
      <w:r>
        <w:rPr>
          <w:rFonts w:hint="eastAsia"/>
          <w:lang w:val="en-US" w:eastAsia="zh-CN"/>
        </w:rPr>
        <w:t xml:space="preserve">  </w:t>
      </w:r>
      <w:r>
        <w:rPr>
          <w:rFonts w:hint="eastAsia"/>
        </w:rPr>
        <w:t>评标办法</w:t>
      </w:r>
      <w:r>
        <w:tab/>
      </w:r>
      <w:r>
        <w:fldChar w:fldCharType="begin"/>
      </w:r>
      <w:r>
        <w:instrText xml:space="preserve"> PAGEREF _Toc3608 \h </w:instrText>
      </w:r>
      <w:r>
        <w:fldChar w:fldCharType="separate"/>
      </w:r>
      <w:r>
        <w:t>78</w:t>
      </w:r>
      <w:r>
        <w:fldChar w:fldCharType="end"/>
      </w:r>
      <w:r>
        <w:rPr>
          <w:rFonts w:ascii="Times New Roman" w:hAnsi="Times New Roman"/>
          <w:kern w:val="2"/>
          <w:szCs w:val="24"/>
        </w:rPr>
        <w:fldChar w:fldCharType="end"/>
      </w:r>
    </w:p>
    <w:p w14:paraId="5DB30AE7">
      <w:pPr>
        <w:pStyle w:val="13"/>
        <w:tabs>
          <w:tab w:val="right" w:leader="dot" w:pos="8300"/>
        </w:tabs>
      </w:pPr>
      <w:r>
        <w:rPr>
          <w:rFonts w:ascii="Times New Roman" w:hAnsi="Times New Roman"/>
          <w:kern w:val="2"/>
          <w:szCs w:val="24"/>
        </w:rPr>
        <w:fldChar w:fldCharType="begin"/>
      </w:r>
      <w:r>
        <w:rPr>
          <w:rFonts w:ascii="Times New Roman" w:hAnsi="Times New Roman"/>
          <w:kern w:val="2"/>
          <w:szCs w:val="24"/>
        </w:rPr>
        <w:instrText xml:space="preserve"> HYPERLINK \l _Toc18750 </w:instrText>
      </w:r>
      <w:r>
        <w:rPr>
          <w:rFonts w:ascii="Times New Roman" w:hAnsi="Times New Roman"/>
          <w:kern w:val="2"/>
          <w:szCs w:val="24"/>
        </w:rPr>
        <w:fldChar w:fldCharType="separate"/>
      </w:r>
      <w:r>
        <w:rPr>
          <w:rFonts w:hint="eastAsia"/>
        </w:rPr>
        <w:t>第七章  评标细则及标准</w:t>
      </w:r>
      <w:r>
        <w:tab/>
      </w:r>
      <w:r>
        <w:fldChar w:fldCharType="begin"/>
      </w:r>
      <w:r>
        <w:instrText xml:space="preserve"> PAGEREF _Toc18750 \h </w:instrText>
      </w:r>
      <w:r>
        <w:fldChar w:fldCharType="separate"/>
      </w:r>
      <w:r>
        <w:t>85</w:t>
      </w:r>
      <w:r>
        <w:fldChar w:fldCharType="end"/>
      </w:r>
      <w:r>
        <w:rPr>
          <w:rFonts w:ascii="Times New Roman" w:hAnsi="Times New Roman"/>
          <w:kern w:val="2"/>
          <w:szCs w:val="24"/>
        </w:rPr>
        <w:fldChar w:fldCharType="end"/>
      </w:r>
    </w:p>
    <w:p w14:paraId="661E1B9D">
      <w:pPr>
        <w:pStyle w:val="13"/>
        <w:tabs>
          <w:tab w:val="right" w:leader="dot" w:pos="8300"/>
        </w:tabs>
      </w:pPr>
      <w:r>
        <w:rPr>
          <w:rFonts w:ascii="Times New Roman" w:hAnsi="Times New Roman"/>
          <w:kern w:val="2"/>
          <w:szCs w:val="24"/>
        </w:rPr>
        <w:fldChar w:fldCharType="begin"/>
      </w:r>
      <w:r>
        <w:rPr>
          <w:rFonts w:ascii="Times New Roman" w:hAnsi="Times New Roman"/>
          <w:kern w:val="2"/>
          <w:szCs w:val="24"/>
        </w:rPr>
        <w:instrText xml:space="preserve"> HYPERLINK \l _Toc15495 </w:instrText>
      </w:r>
      <w:r>
        <w:rPr>
          <w:rFonts w:ascii="Times New Roman" w:hAnsi="Times New Roman"/>
          <w:kern w:val="2"/>
          <w:szCs w:val="24"/>
        </w:rPr>
        <w:fldChar w:fldCharType="separate"/>
      </w:r>
      <w:r>
        <w:rPr>
          <w:rFonts w:hint="eastAsia" w:ascii="Times New Roman" w:hAnsi="Times New Roman"/>
          <w:szCs w:val="20"/>
        </w:rPr>
        <w:t>第八章</w:t>
      </w:r>
      <w:r>
        <w:rPr>
          <w:rFonts w:ascii="Times New Roman" w:hAnsi="Times New Roman"/>
          <w:szCs w:val="20"/>
        </w:rPr>
        <w:t xml:space="preserve">  </w:t>
      </w:r>
      <w:r>
        <w:rPr>
          <w:rFonts w:hint="eastAsia" w:ascii="Times New Roman" w:hAnsi="Times New Roman"/>
          <w:szCs w:val="20"/>
        </w:rPr>
        <w:t>合同条款（仅供参考）</w:t>
      </w:r>
      <w:r>
        <w:tab/>
      </w:r>
      <w:r>
        <w:fldChar w:fldCharType="begin"/>
      </w:r>
      <w:r>
        <w:instrText xml:space="preserve"> PAGEREF _Toc15495 \h </w:instrText>
      </w:r>
      <w:r>
        <w:fldChar w:fldCharType="separate"/>
      </w:r>
      <w:r>
        <w:t>87</w:t>
      </w:r>
      <w:r>
        <w:fldChar w:fldCharType="end"/>
      </w:r>
      <w:r>
        <w:rPr>
          <w:rFonts w:ascii="Times New Roman" w:hAnsi="Times New Roman"/>
          <w:kern w:val="2"/>
          <w:szCs w:val="24"/>
        </w:rPr>
        <w:fldChar w:fldCharType="end"/>
      </w:r>
    </w:p>
    <w:p w14:paraId="325398A1">
      <w:pPr>
        <w:pStyle w:val="2"/>
        <w:spacing w:line="480" w:lineRule="auto"/>
        <w:jc w:val="center"/>
        <w:rPr>
          <w:rFonts w:ascii="Times New Roman" w:hAnsi="Times New Roman"/>
          <w:kern w:val="2"/>
          <w:szCs w:val="24"/>
        </w:rPr>
      </w:pPr>
      <w:r>
        <w:rPr>
          <w:rFonts w:ascii="Times New Roman" w:hAnsi="Times New Roman"/>
          <w:kern w:val="2"/>
          <w:szCs w:val="24"/>
        </w:rPr>
        <w:fldChar w:fldCharType="end"/>
      </w:r>
    </w:p>
    <w:p w14:paraId="1C217F1B">
      <w:pPr>
        <w:pStyle w:val="2"/>
        <w:jc w:val="center"/>
        <w:rPr>
          <w:rFonts w:ascii="Times New Roman" w:hAnsi="Times New Roman"/>
          <w:kern w:val="2"/>
          <w:szCs w:val="24"/>
        </w:rPr>
      </w:pPr>
    </w:p>
    <w:p w14:paraId="6DC66072">
      <w:pPr>
        <w:pStyle w:val="2"/>
        <w:jc w:val="center"/>
        <w:rPr>
          <w:rFonts w:ascii="Times New Roman" w:hAnsi="Times New Roman"/>
          <w:kern w:val="2"/>
          <w:szCs w:val="24"/>
        </w:rPr>
      </w:pPr>
    </w:p>
    <w:bookmarkEnd w:id="0"/>
    <w:p w14:paraId="43951B0F">
      <w:pPr>
        <w:spacing w:line="360" w:lineRule="auto"/>
        <w:ind w:right="51" w:rightChars="15"/>
        <w:rPr>
          <w:rFonts w:ascii="Times New Roman" w:hAnsi="Times New Roman"/>
          <w:sz w:val="24"/>
          <w:szCs w:val="24"/>
        </w:rPr>
      </w:pPr>
    </w:p>
    <w:p w14:paraId="38583819">
      <w:pPr>
        <w:pStyle w:val="2"/>
        <w:jc w:val="center"/>
        <w:rPr>
          <w:rFonts w:ascii="Times New Roman" w:hAnsi="Times New Roman"/>
        </w:rPr>
      </w:pPr>
      <w:bookmarkStart w:id="1" w:name="_Toc5602"/>
      <w:bookmarkStart w:id="2" w:name="_Toc2889"/>
      <w:bookmarkStart w:id="3" w:name="_Toc22329"/>
      <w:r>
        <w:rPr>
          <w:rFonts w:ascii="Times New Roman" w:hAnsi="Times New Roman"/>
        </w:rPr>
        <w:br w:type="page"/>
      </w:r>
      <w:bookmarkStart w:id="4" w:name="_Toc11063"/>
      <w:bookmarkStart w:id="5" w:name="_Toc7313"/>
      <w:bookmarkStart w:id="6" w:name="_Toc119482809"/>
      <w:bookmarkStart w:id="7" w:name="_Toc31835"/>
      <w:bookmarkStart w:id="8" w:name="_Toc11038"/>
      <w:r>
        <w:rPr>
          <w:rFonts w:hint="eastAsia" w:ascii="Times New Roman" w:hAnsi="Times New Roman"/>
        </w:rPr>
        <w:t>第一章 投标邀请</w:t>
      </w:r>
      <w:bookmarkEnd w:id="1"/>
      <w:bookmarkEnd w:id="2"/>
      <w:bookmarkEnd w:id="3"/>
      <w:bookmarkEnd w:id="4"/>
      <w:bookmarkEnd w:id="5"/>
      <w:bookmarkEnd w:id="6"/>
      <w:bookmarkEnd w:id="7"/>
      <w:bookmarkEnd w:id="8"/>
    </w:p>
    <w:p w14:paraId="298A09B1">
      <w:pPr>
        <w:keepNext w:val="0"/>
        <w:keepLines w:val="0"/>
        <w:pageBreakBefore w:val="0"/>
        <w:shd w:val="clear" w:color="auto" w:fill="FFFFFF"/>
        <w:kinsoku/>
        <w:wordWrap/>
        <w:overflowPunct/>
        <w:topLinePunct w:val="0"/>
        <w:autoSpaceDE/>
        <w:autoSpaceDN/>
        <w:bidi w:val="0"/>
        <w:adjustRightInd/>
        <w:snapToGrid/>
        <w:spacing w:line="360" w:lineRule="auto"/>
        <w:ind w:firstLine="440" w:firstLineChars="200"/>
        <w:jc w:val="left"/>
        <w:textAlignment w:val="auto"/>
        <w:rPr>
          <w:rFonts w:ascii="Times New Roman" w:hAnsi="Times New Roman"/>
          <w:sz w:val="22"/>
        </w:rPr>
      </w:pPr>
      <w:bookmarkStart w:id="9" w:name="_Toc16540"/>
      <w:bookmarkStart w:id="10" w:name="_Toc15854"/>
      <w:bookmarkStart w:id="11" w:name="_Toc23046"/>
      <w:bookmarkStart w:id="12" w:name="_Toc213396759"/>
      <w:bookmarkStart w:id="13" w:name="_Toc213397009"/>
      <w:bookmarkStart w:id="14" w:name="_Toc217446031"/>
      <w:bookmarkStart w:id="15" w:name="_Toc213396945"/>
      <w:bookmarkStart w:id="16" w:name="_Toc213496267"/>
      <w:bookmarkStart w:id="17" w:name="_Toc24237"/>
      <w:r>
        <w:rPr>
          <w:rFonts w:hint="eastAsia" w:ascii="Times New Roman" w:hAnsi="Times New Roman"/>
          <w:sz w:val="22"/>
        </w:rPr>
        <w:t>四川国际招标有限责任公司</w:t>
      </w:r>
      <w:bookmarkStart w:id="18" w:name="OLE_LINK4"/>
      <w:r>
        <w:rPr>
          <w:rFonts w:hint="eastAsia" w:ascii="Times New Roman" w:hAnsi="Times New Roman"/>
          <w:sz w:val="22"/>
        </w:rPr>
        <w:t>受</w:t>
      </w:r>
      <w:r>
        <w:rPr>
          <w:rFonts w:hint="eastAsia" w:ascii="Times New Roman" w:hAnsi="宋体"/>
          <w:sz w:val="22"/>
          <w:lang w:eastAsia="zh-CN"/>
        </w:rPr>
        <w:t>咸阳职业技术学院</w:t>
      </w:r>
      <w:r>
        <w:rPr>
          <w:rFonts w:hint="eastAsia" w:ascii="Times New Roman" w:hAnsi="Times New Roman"/>
          <w:sz w:val="22"/>
        </w:rPr>
        <w:t>的委托</w:t>
      </w:r>
      <w:bookmarkEnd w:id="18"/>
      <w:r>
        <w:rPr>
          <w:rFonts w:hint="eastAsia" w:ascii="Times New Roman" w:hAnsi="Times New Roman"/>
          <w:sz w:val="22"/>
        </w:rPr>
        <w:t>，经政府采购管理部门批准，按照政府采购程序，拟对</w:t>
      </w:r>
      <w:r>
        <w:rPr>
          <w:rFonts w:hint="eastAsia" w:ascii="Times New Roman" w:hAnsi="Times New Roman"/>
          <w:sz w:val="22"/>
          <w:lang w:eastAsia="zh-CN"/>
        </w:rPr>
        <w:t>咸阳职业技术学院2026年二期双高护理专业群产教融合实训基地仿真手术室和外科护理实训室临床实训设备购置项目</w:t>
      </w:r>
      <w:r>
        <w:rPr>
          <w:rFonts w:hint="eastAsia" w:ascii="Times New Roman" w:hAnsi="Times New Roman"/>
          <w:sz w:val="22"/>
        </w:rPr>
        <w:t>进行公开招标，欢迎符合资格条件的、有能力提供本项目所需货物和服务的供应商参加投标。</w:t>
      </w:r>
    </w:p>
    <w:p w14:paraId="36FAE5BE">
      <w:pPr>
        <w:keepNext w:val="0"/>
        <w:keepLines w:val="0"/>
        <w:pageBreakBefore w:val="0"/>
        <w:kinsoku/>
        <w:wordWrap/>
        <w:overflowPunct/>
        <w:topLinePunct w:val="0"/>
        <w:autoSpaceDE/>
        <w:autoSpaceDN/>
        <w:bidi w:val="0"/>
        <w:adjustRightInd/>
        <w:snapToGrid/>
        <w:spacing w:line="360" w:lineRule="auto"/>
        <w:ind w:left="1980" w:hanging="1980" w:hangingChars="900"/>
        <w:jc w:val="left"/>
        <w:textAlignment w:val="auto"/>
        <w:rPr>
          <w:rFonts w:hint="eastAsia" w:ascii="Times New Roman" w:hAnsi="Times New Roman" w:eastAsia="宋体"/>
          <w:sz w:val="21"/>
          <w:szCs w:val="21"/>
          <w:lang w:eastAsia="zh-CN"/>
        </w:rPr>
      </w:pPr>
      <w:r>
        <w:rPr>
          <w:rFonts w:hint="eastAsia" w:ascii="Times New Roman" w:hAnsi="Times New Roman"/>
          <w:sz w:val="22"/>
        </w:rPr>
        <w:t>一、采购项目名称：</w:t>
      </w:r>
      <w:r>
        <w:rPr>
          <w:rFonts w:hint="eastAsia" w:ascii="Times New Roman" w:hAnsi="Times New Roman"/>
          <w:sz w:val="22"/>
          <w:lang w:eastAsia="zh-CN"/>
        </w:rPr>
        <w:t xml:space="preserve"> 咸阳职业技术学院2026年二期双高护理专业群产教融合实训基地仿真手术室和外科护理实训室临床实训设备购置项目</w:t>
      </w:r>
    </w:p>
    <w:p w14:paraId="4A4AF87C">
      <w:pPr>
        <w:pStyle w:val="20"/>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sz w:val="22"/>
          <w:szCs w:val="22"/>
          <w:lang w:val="en-US" w:eastAsia="zh-CN" w:bidi="ar-SA"/>
        </w:rPr>
      </w:pPr>
      <w:r>
        <w:rPr>
          <w:rFonts w:hint="eastAsia" w:ascii="Times New Roman" w:hAnsi="Times New Roman" w:eastAsia="宋体" w:cs="Times New Roman"/>
          <w:sz w:val="22"/>
          <w:szCs w:val="22"/>
          <w:lang w:val="en-US" w:eastAsia="zh-CN" w:bidi="ar-SA"/>
        </w:rPr>
        <w:t>二、采购项目编号： SCIT-ZG-SX2025120007</w:t>
      </w:r>
    </w:p>
    <w:p w14:paraId="4CF06E30">
      <w:pPr>
        <w:keepNext w:val="0"/>
        <w:keepLines w:val="0"/>
        <w:pageBreakBefore w:val="0"/>
        <w:tabs>
          <w:tab w:val="left" w:pos="1620"/>
        </w:tabs>
        <w:kinsoku/>
        <w:wordWrap/>
        <w:overflowPunct/>
        <w:topLinePunct w:val="0"/>
        <w:autoSpaceDE/>
        <w:autoSpaceDN/>
        <w:bidi w:val="0"/>
        <w:adjustRightInd/>
        <w:snapToGrid/>
        <w:spacing w:line="360" w:lineRule="auto"/>
        <w:ind w:right="-320" w:rightChars="-94"/>
        <w:textAlignment w:val="auto"/>
        <w:rPr>
          <w:rFonts w:hint="eastAsia" w:ascii="Times New Roman" w:hAnsi="宋体" w:eastAsia="宋体" w:cs="Times New Roman"/>
          <w:color w:val="000000"/>
          <w:sz w:val="22"/>
          <w:szCs w:val="21"/>
          <w:lang w:eastAsia="zh-CN"/>
        </w:rPr>
      </w:pPr>
      <w:r>
        <w:rPr>
          <w:rFonts w:hint="eastAsia" w:ascii="Times New Roman" w:hAnsi="Times New Roman"/>
          <w:sz w:val="22"/>
          <w:szCs w:val="21"/>
        </w:rPr>
        <w:t>三、</w:t>
      </w:r>
      <w:bookmarkStart w:id="19" w:name="OLE_LINK5"/>
      <w:r>
        <w:rPr>
          <w:rFonts w:hint="eastAsia" w:ascii="Times New Roman" w:hAnsi="宋体" w:eastAsia="宋体" w:cs="Times New Roman"/>
          <w:color w:val="000000"/>
          <w:sz w:val="22"/>
          <w:szCs w:val="21"/>
        </w:rPr>
        <w:t>采购人名称：</w:t>
      </w:r>
      <w:r>
        <w:rPr>
          <w:rFonts w:hint="eastAsia" w:ascii="Times New Roman" w:hAnsi="宋体" w:eastAsia="宋体" w:cs="Times New Roman"/>
          <w:color w:val="000000"/>
          <w:sz w:val="22"/>
          <w:szCs w:val="21"/>
          <w:lang w:eastAsia="zh-CN"/>
        </w:rPr>
        <w:t>咸阳职业技术学院</w:t>
      </w:r>
    </w:p>
    <w:p w14:paraId="25D3B1CD">
      <w:pPr>
        <w:keepNext w:val="0"/>
        <w:keepLines w:val="0"/>
        <w:pageBreakBefore w:val="0"/>
        <w:tabs>
          <w:tab w:val="left" w:pos="1620"/>
        </w:tabs>
        <w:kinsoku/>
        <w:wordWrap/>
        <w:overflowPunct/>
        <w:topLinePunct w:val="0"/>
        <w:autoSpaceDE/>
        <w:autoSpaceDN/>
        <w:bidi w:val="0"/>
        <w:adjustRightInd/>
        <w:snapToGrid/>
        <w:spacing w:line="360" w:lineRule="auto"/>
        <w:ind w:right="-320" w:rightChars="-94" w:firstLine="440" w:firstLineChars="200"/>
        <w:textAlignment w:val="auto"/>
        <w:rPr>
          <w:rFonts w:hint="eastAsia" w:ascii="Times New Roman" w:hAnsi="宋体" w:eastAsia="宋体" w:cs="Times New Roman"/>
          <w:color w:val="000000"/>
          <w:sz w:val="22"/>
          <w:szCs w:val="21"/>
        </w:rPr>
      </w:pPr>
      <w:r>
        <w:rPr>
          <w:rFonts w:hint="eastAsia" w:ascii="Times New Roman" w:hAnsi="宋体" w:eastAsia="宋体" w:cs="Times New Roman"/>
          <w:color w:val="000000"/>
          <w:sz w:val="22"/>
          <w:szCs w:val="21"/>
        </w:rPr>
        <w:t>地址：陕西省西安市西咸新区沣西新城统一大道</w:t>
      </w:r>
    </w:p>
    <w:p w14:paraId="1F4D1F42">
      <w:pPr>
        <w:keepNext w:val="0"/>
        <w:keepLines w:val="0"/>
        <w:pageBreakBefore w:val="0"/>
        <w:tabs>
          <w:tab w:val="left" w:pos="1620"/>
        </w:tabs>
        <w:kinsoku/>
        <w:wordWrap/>
        <w:overflowPunct/>
        <w:topLinePunct w:val="0"/>
        <w:autoSpaceDE/>
        <w:autoSpaceDN/>
        <w:bidi w:val="0"/>
        <w:adjustRightInd/>
        <w:snapToGrid/>
        <w:spacing w:line="360" w:lineRule="auto"/>
        <w:ind w:right="-320" w:rightChars="-94" w:firstLine="440" w:firstLineChars="200"/>
        <w:textAlignment w:val="auto"/>
        <w:rPr>
          <w:rFonts w:hint="default" w:ascii="Times New Roman" w:hAnsi="宋体" w:eastAsia="宋体" w:cs="Times New Roman"/>
          <w:color w:val="000000"/>
          <w:sz w:val="22"/>
          <w:szCs w:val="21"/>
          <w:lang w:val="en-US" w:eastAsia="zh-CN"/>
        </w:rPr>
      </w:pPr>
      <w:r>
        <w:rPr>
          <w:rFonts w:hint="eastAsia" w:ascii="Times New Roman" w:hAnsi="宋体" w:eastAsia="宋体" w:cs="Times New Roman"/>
          <w:color w:val="000000"/>
          <w:sz w:val="22"/>
          <w:szCs w:val="21"/>
          <w:lang w:val="en-US" w:eastAsia="zh-CN"/>
        </w:rPr>
        <w:t>联系人：杨老师</w:t>
      </w:r>
    </w:p>
    <w:p w14:paraId="4CB50823">
      <w:pPr>
        <w:keepNext w:val="0"/>
        <w:keepLines w:val="0"/>
        <w:pageBreakBefore w:val="0"/>
        <w:tabs>
          <w:tab w:val="left" w:pos="1620"/>
        </w:tabs>
        <w:kinsoku/>
        <w:wordWrap/>
        <w:overflowPunct/>
        <w:topLinePunct w:val="0"/>
        <w:autoSpaceDE/>
        <w:autoSpaceDN/>
        <w:bidi w:val="0"/>
        <w:adjustRightInd/>
        <w:snapToGrid/>
        <w:spacing w:line="360" w:lineRule="auto"/>
        <w:ind w:right="-320" w:rightChars="-94" w:firstLine="440" w:firstLineChars="200"/>
        <w:textAlignment w:val="auto"/>
        <w:rPr>
          <w:rFonts w:hint="eastAsia" w:ascii="Times New Roman" w:hAnsi="宋体" w:eastAsia="宋体" w:cs="Times New Roman"/>
          <w:color w:val="000000"/>
          <w:sz w:val="22"/>
          <w:szCs w:val="21"/>
        </w:rPr>
      </w:pPr>
      <w:r>
        <w:rPr>
          <w:rFonts w:hint="eastAsia" w:ascii="Times New Roman" w:hAnsi="宋体" w:eastAsia="宋体" w:cs="Times New Roman"/>
          <w:color w:val="000000"/>
          <w:sz w:val="22"/>
          <w:szCs w:val="21"/>
        </w:rPr>
        <w:t>联系方式：029-3368</w:t>
      </w:r>
      <w:r>
        <w:rPr>
          <w:rFonts w:hint="eastAsia" w:ascii="Times New Roman" w:hAnsi="宋体" w:eastAsia="宋体" w:cs="Times New Roman"/>
          <w:color w:val="000000"/>
          <w:sz w:val="22"/>
          <w:szCs w:val="21"/>
          <w:lang w:val="en-US" w:eastAsia="zh-CN"/>
        </w:rPr>
        <w:t>0059</w:t>
      </w:r>
      <w:r>
        <w:rPr>
          <w:rFonts w:hint="eastAsia" w:ascii="Times New Roman" w:hAnsi="宋体" w:eastAsia="宋体" w:cs="Times New Roman"/>
          <w:color w:val="000000"/>
          <w:sz w:val="22"/>
          <w:szCs w:val="21"/>
        </w:rPr>
        <w:t xml:space="preserve">  </w:t>
      </w:r>
    </w:p>
    <w:p w14:paraId="2692600F">
      <w:pPr>
        <w:pStyle w:val="20"/>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ascii="Times New Roman" w:hAnsi="Times New Roman"/>
          <w:sz w:val="22"/>
          <w:szCs w:val="22"/>
        </w:rPr>
      </w:pPr>
      <w:r>
        <w:rPr>
          <w:rFonts w:hint="eastAsia" w:ascii="Times New Roman" w:hAnsi="Times New Roman"/>
          <w:sz w:val="22"/>
          <w:szCs w:val="22"/>
        </w:rPr>
        <w:t>四、采购代理机构名称：四川国际招标有限责任公司</w:t>
      </w:r>
    </w:p>
    <w:p w14:paraId="1BA0C151">
      <w:pPr>
        <w:pStyle w:val="20"/>
        <w:keepNext w:val="0"/>
        <w:keepLines w:val="0"/>
        <w:pageBreakBefore w:val="0"/>
        <w:kinsoku/>
        <w:wordWrap/>
        <w:overflowPunct/>
        <w:topLinePunct w:val="0"/>
        <w:autoSpaceDE/>
        <w:autoSpaceDN/>
        <w:bidi w:val="0"/>
        <w:adjustRightInd/>
        <w:snapToGrid/>
        <w:spacing w:line="360" w:lineRule="auto"/>
        <w:ind w:firstLine="440"/>
        <w:textAlignment w:val="auto"/>
        <w:rPr>
          <w:rFonts w:ascii="Times New Roman" w:hAnsi="Times New Roman"/>
          <w:sz w:val="22"/>
          <w:szCs w:val="22"/>
        </w:rPr>
      </w:pPr>
      <w:r>
        <w:rPr>
          <w:rFonts w:hint="eastAsia" w:ascii="Times New Roman" w:hAnsi="Times New Roman"/>
          <w:sz w:val="22"/>
          <w:szCs w:val="22"/>
        </w:rPr>
        <w:t>地址：西安市高新区唐延路</w:t>
      </w:r>
      <w:r>
        <w:rPr>
          <w:rFonts w:ascii="Times New Roman" w:hAnsi="Times New Roman"/>
          <w:sz w:val="22"/>
          <w:szCs w:val="22"/>
        </w:rPr>
        <w:t>35</w:t>
      </w:r>
      <w:r>
        <w:rPr>
          <w:rFonts w:hint="eastAsia" w:ascii="Times New Roman" w:hAnsi="Times New Roman"/>
          <w:sz w:val="22"/>
          <w:szCs w:val="22"/>
        </w:rPr>
        <w:t>号旺座现代城</w:t>
      </w:r>
      <w:r>
        <w:rPr>
          <w:rFonts w:ascii="Times New Roman" w:hAnsi="Times New Roman"/>
          <w:sz w:val="22"/>
          <w:szCs w:val="22"/>
        </w:rPr>
        <w:t>G</w:t>
      </w:r>
      <w:r>
        <w:rPr>
          <w:rFonts w:hint="eastAsia" w:ascii="Times New Roman" w:hAnsi="Times New Roman"/>
          <w:sz w:val="22"/>
          <w:szCs w:val="22"/>
        </w:rPr>
        <w:t>座</w:t>
      </w:r>
      <w:r>
        <w:rPr>
          <w:rFonts w:ascii="Times New Roman" w:hAnsi="Times New Roman"/>
          <w:sz w:val="22"/>
          <w:szCs w:val="22"/>
        </w:rPr>
        <w:t>2301</w:t>
      </w:r>
      <w:r>
        <w:rPr>
          <w:rFonts w:hint="eastAsia" w:ascii="Times New Roman" w:hAnsi="Times New Roman"/>
          <w:sz w:val="22"/>
          <w:szCs w:val="22"/>
        </w:rPr>
        <w:t>室</w:t>
      </w:r>
      <w:bookmarkEnd w:id="19"/>
    </w:p>
    <w:p w14:paraId="736D202D">
      <w:pPr>
        <w:pStyle w:val="20"/>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ascii="Times New Roman" w:hAnsi="Times New Roman"/>
          <w:sz w:val="22"/>
          <w:szCs w:val="22"/>
        </w:rPr>
      </w:pPr>
      <w:r>
        <w:rPr>
          <w:rFonts w:hint="eastAsia" w:ascii="Times New Roman" w:hAnsi="Times New Roman"/>
          <w:sz w:val="22"/>
          <w:szCs w:val="22"/>
        </w:rPr>
        <w:t>五、采购内容和要求</w:t>
      </w:r>
    </w:p>
    <w:p w14:paraId="62F1D78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lang w:eastAsia="zh-CN"/>
        </w:rPr>
      </w:pPr>
      <w:r>
        <w:rPr>
          <w:rFonts w:hint="eastAsia" w:ascii="宋体" w:hAnsi="宋体" w:eastAsia="宋体" w:cs="Times New Roman"/>
          <w:sz w:val="24"/>
          <w:lang w:eastAsia="zh-CN"/>
        </w:rPr>
        <w:t>本项目共</w:t>
      </w:r>
      <w:r>
        <w:rPr>
          <w:rFonts w:hint="eastAsia" w:hAnsi="宋体" w:cs="Times New Roman"/>
          <w:sz w:val="24"/>
          <w:highlight w:val="none"/>
          <w:lang w:val="en-US" w:eastAsia="zh-CN"/>
        </w:rPr>
        <w:t>2</w:t>
      </w:r>
      <w:r>
        <w:rPr>
          <w:rFonts w:hint="eastAsia" w:ascii="宋体" w:hAnsi="宋体" w:eastAsia="宋体" w:cs="Times New Roman"/>
          <w:sz w:val="24"/>
          <w:lang w:eastAsia="zh-CN"/>
        </w:rPr>
        <w:t>个包 ，拟</w:t>
      </w:r>
      <w:r>
        <w:rPr>
          <w:rFonts w:hint="eastAsia" w:ascii="宋体" w:hAnsi="宋体" w:eastAsia="宋体" w:cs="Times New Roman"/>
          <w:sz w:val="24"/>
          <w:lang w:val="en-US" w:eastAsia="zh-CN"/>
        </w:rPr>
        <w:t>采购</w:t>
      </w:r>
      <w:r>
        <w:rPr>
          <w:rFonts w:hint="eastAsia" w:ascii="宋体" w:hAnsi="宋体" w:eastAsia="宋体" w:cs="Times New Roman"/>
          <w:sz w:val="24"/>
          <w:lang w:eastAsia="zh-CN"/>
        </w:rPr>
        <w:t>教学设备</w:t>
      </w:r>
      <w:r>
        <w:rPr>
          <w:rFonts w:hint="eastAsia" w:ascii="宋体" w:hAnsi="宋体" w:eastAsia="宋体" w:cs="Times New Roman"/>
          <w:sz w:val="24"/>
          <w:lang w:val="en-US" w:eastAsia="zh-CN"/>
        </w:rPr>
        <w:t>一批</w:t>
      </w:r>
      <w:r>
        <w:rPr>
          <w:rFonts w:hint="eastAsia" w:ascii="宋体" w:hAnsi="宋体" w:eastAsia="宋体" w:cs="Times New Roman"/>
          <w:sz w:val="24"/>
          <w:lang w:eastAsia="zh-CN"/>
        </w:rPr>
        <w:t>（具体详见</w:t>
      </w:r>
      <w:r>
        <w:rPr>
          <w:rFonts w:hint="eastAsia" w:ascii="宋体" w:hAnsi="宋体" w:eastAsia="宋体" w:cs="Times New Roman"/>
          <w:sz w:val="24"/>
          <w:lang w:val="en-US" w:eastAsia="zh-CN"/>
        </w:rPr>
        <w:t>招标</w:t>
      </w:r>
      <w:r>
        <w:rPr>
          <w:rFonts w:hint="eastAsia" w:ascii="宋体" w:hAnsi="宋体" w:eastAsia="宋体" w:cs="Times New Roman"/>
          <w:sz w:val="24"/>
          <w:lang w:eastAsia="zh-CN"/>
        </w:rPr>
        <w:t>文件）；</w:t>
      </w:r>
    </w:p>
    <w:p w14:paraId="0D8EFF1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lang w:eastAsia="zh-CN"/>
        </w:rPr>
      </w:pPr>
      <w:r>
        <w:rPr>
          <w:rFonts w:hint="eastAsia" w:ascii="宋体" w:hAnsi="宋体" w:eastAsia="宋体" w:cs="Times New Roman"/>
          <w:sz w:val="24"/>
          <w:lang w:eastAsia="zh-CN"/>
        </w:rPr>
        <w:t>项目用途：自用；</w:t>
      </w:r>
    </w:p>
    <w:p w14:paraId="79B07CB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sz w:val="24"/>
          <w:lang w:val="en-US" w:eastAsia="zh-CN"/>
        </w:rPr>
      </w:pPr>
      <w:r>
        <w:rPr>
          <w:rFonts w:hint="eastAsia" w:ascii="宋体" w:hAnsi="宋体" w:eastAsia="宋体" w:cs="Times New Roman"/>
          <w:sz w:val="24"/>
          <w:lang w:val="en-US" w:eastAsia="zh-CN"/>
        </w:rPr>
        <w:t>资金性质：财政资金</w:t>
      </w:r>
      <w:r>
        <w:rPr>
          <w:rFonts w:hint="eastAsia" w:hAnsi="宋体" w:cs="Times New Roman"/>
          <w:sz w:val="24"/>
          <w:lang w:val="en-US" w:eastAsia="zh-CN"/>
        </w:rPr>
        <w:t>；</w:t>
      </w:r>
    </w:p>
    <w:p w14:paraId="171ABF1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2"/>
          <w:szCs w:val="22"/>
        </w:rPr>
      </w:pPr>
      <w:r>
        <w:rPr>
          <w:rFonts w:hint="eastAsia" w:ascii="宋体" w:hAnsi="宋体" w:eastAsia="宋体" w:cs="Times New Roman"/>
          <w:sz w:val="24"/>
          <w:lang w:eastAsia="zh-CN"/>
        </w:rPr>
        <w:t>采购预算：</w:t>
      </w:r>
      <w:r>
        <w:rPr>
          <w:rFonts w:hint="eastAsia" w:ascii="宋体" w:hAnsi="宋体" w:eastAsia="宋体" w:cs="Times New Roman"/>
          <w:sz w:val="24"/>
          <w:lang w:val="en-US" w:eastAsia="zh-CN"/>
        </w:rPr>
        <w:t>1344334元，其中01包814382元，02包529952元</w:t>
      </w:r>
      <w:r>
        <w:rPr>
          <w:rFonts w:hint="eastAsia" w:hAnsi="宋体" w:cs="Times New Roman"/>
          <w:sz w:val="24"/>
          <w:lang w:eastAsia="zh-CN"/>
        </w:rPr>
        <w:t>。</w:t>
      </w:r>
    </w:p>
    <w:p w14:paraId="5B6C2AA1">
      <w:pPr>
        <w:pStyle w:val="20"/>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ascii="Times New Roman" w:hAnsi="Times New Roman"/>
          <w:sz w:val="22"/>
          <w:szCs w:val="22"/>
        </w:rPr>
      </w:pPr>
      <w:r>
        <w:rPr>
          <w:rFonts w:hint="eastAsia" w:ascii="Times New Roman" w:hAnsi="Times New Roman"/>
          <w:sz w:val="22"/>
          <w:szCs w:val="22"/>
        </w:rPr>
        <w:t>六、供应商资质要求：</w:t>
      </w:r>
    </w:p>
    <w:p w14:paraId="74FB1D02">
      <w:pPr>
        <w:keepNext w:val="0"/>
        <w:keepLines w:val="0"/>
        <w:pageBreakBefore w:val="0"/>
        <w:tabs>
          <w:tab w:val="left" w:pos="1620"/>
        </w:tabs>
        <w:kinsoku/>
        <w:wordWrap/>
        <w:overflowPunct/>
        <w:topLinePunct w:val="0"/>
        <w:autoSpaceDE/>
        <w:autoSpaceDN/>
        <w:bidi w:val="0"/>
        <w:adjustRightInd/>
        <w:snapToGrid/>
        <w:spacing w:line="360" w:lineRule="auto"/>
        <w:ind w:right="-226" w:firstLine="440" w:firstLineChars="200"/>
        <w:jc w:val="left"/>
        <w:textAlignment w:val="auto"/>
        <w:rPr>
          <w:rFonts w:ascii="Times New Roman" w:hAnsi="Times New Roman"/>
          <w:sz w:val="22"/>
        </w:rPr>
      </w:pPr>
      <w:r>
        <w:rPr>
          <w:rFonts w:hint="eastAsia" w:ascii="Times New Roman" w:hAnsi="Times New Roman"/>
          <w:sz w:val="22"/>
        </w:rPr>
        <w:t>1.满足《中华人民共和国政府采购法》第二十二条规定的条件；</w:t>
      </w:r>
    </w:p>
    <w:p w14:paraId="0CCABC03">
      <w:pPr>
        <w:keepNext w:val="0"/>
        <w:keepLines w:val="0"/>
        <w:pageBreakBefore w:val="0"/>
        <w:tabs>
          <w:tab w:val="left" w:pos="1620"/>
        </w:tabs>
        <w:kinsoku/>
        <w:wordWrap/>
        <w:overflowPunct/>
        <w:topLinePunct w:val="0"/>
        <w:autoSpaceDE/>
        <w:autoSpaceDN/>
        <w:bidi w:val="0"/>
        <w:adjustRightInd/>
        <w:snapToGrid/>
        <w:spacing w:line="360" w:lineRule="auto"/>
        <w:ind w:right="-226" w:firstLine="440" w:firstLineChars="200"/>
        <w:jc w:val="left"/>
        <w:textAlignment w:val="auto"/>
        <w:rPr>
          <w:rFonts w:ascii="Times New Roman" w:hAnsi="Times New Roman"/>
          <w:sz w:val="22"/>
        </w:rPr>
      </w:pPr>
      <w:r>
        <w:rPr>
          <w:rFonts w:hint="eastAsia" w:ascii="Times New Roman" w:hAnsi="Times New Roman"/>
          <w:sz w:val="22"/>
        </w:rPr>
        <w:t>2.落实政府采购政策需满足的资格要求：</w:t>
      </w:r>
    </w:p>
    <w:p w14:paraId="2128BA22">
      <w:pPr>
        <w:keepNext w:val="0"/>
        <w:keepLines w:val="0"/>
        <w:pageBreakBefore w:val="0"/>
        <w:kinsoku/>
        <w:wordWrap/>
        <w:overflowPunct/>
        <w:topLinePunct w:val="0"/>
        <w:autoSpaceDE/>
        <w:autoSpaceDN/>
        <w:bidi w:val="0"/>
        <w:adjustRightInd/>
        <w:snapToGrid/>
        <w:spacing w:line="360" w:lineRule="auto"/>
        <w:ind w:firstLine="660" w:firstLineChars="300"/>
        <w:jc w:val="left"/>
        <w:textAlignment w:val="auto"/>
        <w:rPr>
          <w:rFonts w:ascii="Times New Roman" w:hAnsi="Times New Roman"/>
          <w:sz w:val="22"/>
        </w:rPr>
      </w:pPr>
      <w:r>
        <w:rPr>
          <w:rFonts w:hint="eastAsia" w:ascii="Times New Roman" w:hAnsi="Times New Roman"/>
          <w:sz w:val="22"/>
        </w:rPr>
        <w:t>本项目非专门面向中小企业采购；</w:t>
      </w:r>
    </w:p>
    <w:p w14:paraId="295C5BAF">
      <w:pPr>
        <w:keepNext w:val="0"/>
        <w:keepLines w:val="0"/>
        <w:pageBreakBefore w:val="0"/>
        <w:tabs>
          <w:tab w:val="left" w:pos="1620"/>
        </w:tabs>
        <w:kinsoku/>
        <w:wordWrap/>
        <w:overflowPunct/>
        <w:topLinePunct w:val="0"/>
        <w:autoSpaceDE/>
        <w:autoSpaceDN/>
        <w:bidi w:val="0"/>
        <w:adjustRightInd/>
        <w:snapToGrid/>
        <w:spacing w:line="360" w:lineRule="auto"/>
        <w:ind w:right="-226" w:firstLine="440" w:firstLineChars="200"/>
        <w:jc w:val="left"/>
        <w:textAlignment w:val="auto"/>
        <w:rPr>
          <w:rFonts w:ascii="Times New Roman" w:hAnsi="Times New Roman"/>
          <w:sz w:val="22"/>
        </w:rPr>
      </w:pPr>
      <w:r>
        <w:rPr>
          <w:rFonts w:hint="eastAsia" w:ascii="Times New Roman" w:hAnsi="Times New Roman"/>
          <w:sz w:val="22"/>
        </w:rPr>
        <w:t>3.本项目的特定资格要求：</w:t>
      </w:r>
    </w:p>
    <w:p w14:paraId="4DD9379F">
      <w:pPr>
        <w:keepNext w:val="0"/>
        <w:keepLines w:val="0"/>
        <w:pageBreakBefore w:val="0"/>
        <w:tabs>
          <w:tab w:val="left" w:pos="1620"/>
        </w:tabs>
        <w:kinsoku/>
        <w:wordWrap/>
        <w:overflowPunct/>
        <w:topLinePunct w:val="0"/>
        <w:autoSpaceDE/>
        <w:autoSpaceDN/>
        <w:bidi w:val="0"/>
        <w:adjustRightInd/>
        <w:snapToGrid/>
        <w:spacing w:line="360" w:lineRule="auto"/>
        <w:ind w:right="-226" w:firstLine="440" w:firstLineChars="200"/>
        <w:jc w:val="left"/>
        <w:textAlignment w:val="auto"/>
        <w:rPr>
          <w:rFonts w:ascii="Times New Roman" w:hAnsi="Times New Roman"/>
          <w:sz w:val="22"/>
        </w:rPr>
      </w:pPr>
      <w:r>
        <w:rPr>
          <w:rFonts w:hint="eastAsia" w:ascii="Times New Roman" w:hAnsi="Times New Roman"/>
          <w:sz w:val="22"/>
        </w:rPr>
        <w:t>（1）法定代表人授权书及被授权人身份证明（法定代表人直接参与只须提交其身份证明）；</w:t>
      </w:r>
    </w:p>
    <w:p w14:paraId="71E97CA3">
      <w:pPr>
        <w:keepNext w:val="0"/>
        <w:keepLines w:val="0"/>
        <w:pageBreakBefore w:val="0"/>
        <w:tabs>
          <w:tab w:val="left" w:pos="1620"/>
        </w:tabs>
        <w:kinsoku/>
        <w:wordWrap/>
        <w:overflowPunct/>
        <w:topLinePunct w:val="0"/>
        <w:autoSpaceDE/>
        <w:autoSpaceDN/>
        <w:bidi w:val="0"/>
        <w:adjustRightInd/>
        <w:snapToGrid/>
        <w:spacing w:line="360" w:lineRule="auto"/>
        <w:ind w:right="-226" w:firstLine="440" w:firstLineChars="200"/>
        <w:jc w:val="left"/>
        <w:textAlignment w:val="auto"/>
        <w:rPr>
          <w:rFonts w:ascii="Times New Roman" w:hAnsi="Times New Roman"/>
          <w:sz w:val="22"/>
        </w:rPr>
      </w:pPr>
      <w:r>
        <w:rPr>
          <w:rFonts w:hint="eastAsia" w:ascii="Times New Roman" w:hAnsi="Times New Roman"/>
          <w:sz w:val="22"/>
        </w:rPr>
        <w:t>（2）投标人不得为“信用中国”网站列入“失信被执行人、重大税收违法失信主体、政府采购严重违法失信行为记录名单”的投标人；不得为</w:t>
      </w:r>
      <w:r>
        <w:rPr>
          <w:rFonts w:hint="eastAsia" w:ascii="Times New Roman" w:hAnsi="Times New Roman"/>
          <w:sz w:val="22"/>
          <w:lang w:val="en-US" w:eastAsia="zh-CN"/>
        </w:rPr>
        <w:t>中国</w:t>
      </w:r>
      <w:r>
        <w:rPr>
          <w:rFonts w:hint="eastAsia" w:ascii="Times New Roman" w:hAnsi="Times New Roman"/>
          <w:sz w:val="22"/>
          <w:lang w:eastAsia="zh-CN"/>
        </w:rPr>
        <w:t>政府采购网</w:t>
      </w:r>
      <w:r>
        <w:rPr>
          <w:rFonts w:hint="eastAsia" w:ascii="Times New Roman" w:hAnsi="Times New Roman"/>
          <w:sz w:val="22"/>
        </w:rPr>
        <w:t>“政府采购严重违法失信行为记录名单”中的投标人。</w:t>
      </w:r>
    </w:p>
    <w:p w14:paraId="3C8FAF7B">
      <w:pPr>
        <w:pStyle w:val="20"/>
        <w:keepNext w:val="0"/>
        <w:keepLines w:val="0"/>
        <w:pageBreakBefore w:val="0"/>
        <w:kinsoku/>
        <w:wordWrap/>
        <w:overflowPunct/>
        <w:topLinePunct w:val="0"/>
        <w:autoSpaceDE/>
        <w:autoSpaceDN/>
        <w:bidi w:val="0"/>
        <w:adjustRightInd/>
        <w:snapToGrid/>
        <w:spacing w:line="360" w:lineRule="auto"/>
        <w:ind w:firstLine="440"/>
        <w:textAlignment w:val="auto"/>
        <w:rPr>
          <w:rFonts w:ascii="Times New Roman" w:hAnsi="Times New Roman"/>
          <w:sz w:val="22"/>
          <w:szCs w:val="22"/>
        </w:rPr>
      </w:pPr>
      <w:r>
        <w:rPr>
          <w:rFonts w:hint="eastAsia" w:ascii="Times New Roman" w:hAnsi="Times New Roman"/>
          <w:sz w:val="22"/>
          <w:szCs w:val="22"/>
        </w:rPr>
        <w:t>（</w:t>
      </w:r>
      <w:r>
        <w:rPr>
          <w:rFonts w:hint="eastAsia" w:ascii="Times New Roman" w:hAnsi="Times New Roman"/>
          <w:sz w:val="22"/>
          <w:szCs w:val="22"/>
          <w:lang w:val="en-US" w:eastAsia="zh-CN"/>
        </w:rPr>
        <w:t>3</w:t>
      </w:r>
      <w:r>
        <w:rPr>
          <w:rFonts w:hint="eastAsia" w:ascii="Times New Roman" w:hAnsi="Times New Roman"/>
          <w:sz w:val="22"/>
          <w:szCs w:val="22"/>
        </w:rPr>
        <w:t>）本项目不接受联合体投标。</w:t>
      </w:r>
    </w:p>
    <w:p w14:paraId="651501B7">
      <w:pPr>
        <w:pStyle w:val="20"/>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ascii="Times New Roman" w:hAnsi="Times New Roman"/>
          <w:sz w:val="22"/>
          <w:szCs w:val="22"/>
        </w:rPr>
      </w:pPr>
      <w:r>
        <w:rPr>
          <w:rFonts w:hint="eastAsia" w:ascii="Times New Roman" w:hAnsi="Times New Roman"/>
          <w:sz w:val="22"/>
          <w:szCs w:val="22"/>
        </w:rPr>
        <w:t>七、采购项目需要落实的政府采购政策：</w:t>
      </w:r>
    </w:p>
    <w:p w14:paraId="50F3ECF2">
      <w:pPr>
        <w:pStyle w:val="20"/>
        <w:keepNext w:val="0"/>
        <w:keepLines w:val="0"/>
        <w:pageBreakBefore w:val="0"/>
        <w:kinsoku/>
        <w:wordWrap/>
        <w:overflowPunct/>
        <w:topLinePunct w:val="0"/>
        <w:autoSpaceDE/>
        <w:autoSpaceDN/>
        <w:bidi w:val="0"/>
        <w:adjustRightInd/>
        <w:snapToGrid/>
        <w:spacing w:line="360" w:lineRule="auto"/>
        <w:ind w:firstLine="440"/>
        <w:textAlignment w:val="auto"/>
        <w:rPr>
          <w:rFonts w:ascii="Times New Roman" w:hAnsi="Times New Roman"/>
          <w:sz w:val="22"/>
          <w:szCs w:val="22"/>
        </w:rPr>
      </w:pPr>
      <w:r>
        <w:rPr>
          <w:rFonts w:hint="eastAsia" w:ascii="Times New Roman" w:hAnsi="Times New Roman"/>
          <w:sz w:val="22"/>
          <w:szCs w:val="22"/>
        </w:rPr>
        <w:t>依据《中华人民共和国政府采购法》及《中华人民共和国政府采购法实施条例》的有关规定，落实政府采购政策，详见招标文件。</w:t>
      </w:r>
    </w:p>
    <w:p w14:paraId="21511465">
      <w:pPr>
        <w:keepNext w:val="0"/>
        <w:keepLines w:val="0"/>
        <w:pageBreakBefore w:val="0"/>
        <w:kinsoku/>
        <w:wordWrap/>
        <w:overflowPunct/>
        <w:topLinePunct w:val="0"/>
        <w:autoSpaceDE/>
        <w:autoSpaceDN/>
        <w:bidi w:val="0"/>
        <w:adjustRightInd/>
        <w:snapToGrid/>
        <w:spacing w:line="360" w:lineRule="auto"/>
        <w:ind w:firstLine="440" w:firstLineChars="200"/>
        <w:jc w:val="left"/>
        <w:textAlignment w:val="auto"/>
        <w:rPr>
          <w:rFonts w:hint="eastAsia" w:ascii="Times New Roman" w:hAnsi="Times New Roman"/>
          <w:sz w:val="22"/>
        </w:rPr>
      </w:pPr>
      <w:r>
        <w:rPr>
          <w:rFonts w:hint="eastAsia" w:ascii="Times New Roman" w:hAnsi="Times New Roman"/>
          <w:sz w:val="22"/>
        </w:rPr>
        <w:t xml:space="preserve">（1）《政府采购促进中小企业发展管理办法》（财库〔2020〕46号）； </w:t>
      </w:r>
    </w:p>
    <w:p w14:paraId="627E69EE">
      <w:pPr>
        <w:keepNext w:val="0"/>
        <w:keepLines w:val="0"/>
        <w:pageBreakBefore w:val="0"/>
        <w:kinsoku/>
        <w:wordWrap/>
        <w:overflowPunct/>
        <w:topLinePunct w:val="0"/>
        <w:autoSpaceDE/>
        <w:autoSpaceDN/>
        <w:bidi w:val="0"/>
        <w:adjustRightInd/>
        <w:snapToGrid/>
        <w:spacing w:line="360" w:lineRule="auto"/>
        <w:ind w:firstLine="440" w:firstLineChars="200"/>
        <w:jc w:val="left"/>
        <w:textAlignment w:val="auto"/>
        <w:rPr>
          <w:rFonts w:hint="eastAsia" w:ascii="Times New Roman" w:hAnsi="Times New Roman"/>
          <w:sz w:val="22"/>
        </w:rPr>
      </w:pPr>
      <w:r>
        <w:rPr>
          <w:rFonts w:hint="eastAsia" w:ascii="Times New Roman" w:hAnsi="Times New Roman"/>
          <w:sz w:val="22"/>
        </w:rPr>
        <w:t xml:space="preserve">（2）《财政部司法部关于政府采购支持监狱企业发展有关问题通知》（财库〔2014〕68号）； </w:t>
      </w:r>
    </w:p>
    <w:p w14:paraId="7D9F01A0">
      <w:pPr>
        <w:keepNext w:val="0"/>
        <w:keepLines w:val="0"/>
        <w:pageBreakBefore w:val="0"/>
        <w:kinsoku/>
        <w:wordWrap/>
        <w:overflowPunct/>
        <w:topLinePunct w:val="0"/>
        <w:autoSpaceDE/>
        <w:autoSpaceDN/>
        <w:bidi w:val="0"/>
        <w:adjustRightInd/>
        <w:snapToGrid/>
        <w:spacing w:line="360" w:lineRule="auto"/>
        <w:ind w:firstLine="440" w:firstLineChars="200"/>
        <w:jc w:val="left"/>
        <w:textAlignment w:val="auto"/>
        <w:rPr>
          <w:rFonts w:hint="eastAsia" w:ascii="Times New Roman" w:hAnsi="Times New Roman"/>
          <w:sz w:val="22"/>
        </w:rPr>
      </w:pPr>
      <w:r>
        <w:rPr>
          <w:rFonts w:hint="eastAsia" w:ascii="Times New Roman" w:hAnsi="Times New Roman"/>
          <w:sz w:val="22"/>
        </w:rPr>
        <w:t xml:space="preserve">（3）《国务院办公厅关于建立政府强制采购节能产品制度的通知》（国办发〔2007〕51号）； </w:t>
      </w:r>
    </w:p>
    <w:p w14:paraId="5C090981">
      <w:pPr>
        <w:keepNext w:val="0"/>
        <w:keepLines w:val="0"/>
        <w:pageBreakBefore w:val="0"/>
        <w:kinsoku/>
        <w:wordWrap/>
        <w:overflowPunct/>
        <w:topLinePunct w:val="0"/>
        <w:autoSpaceDE/>
        <w:autoSpaceDN/>
        <w:bidi w:val="0"/>
        <w:adjustRightInd/>
        <w:snapToGrid/>
        <w:spacing w:line="360" w:lineRule="auto"/>
        <w:ind w:firstLine="440" w:firstLineChars="200"/>
        <w:jc w:val="left"/>
        <w:textAlignment w:val="auto"/>
        <w:rPr>
          <w:rFonts w:hint="eastAsia" w:ascii="Times New Roman" w:hAnsi="Times New Roman"/>
          <w:sz w:val="22"/>
        </w:rPr>
      </w:pPr>
      <w:r>
        <w:rPr>
          <w:rFonts w:hint="eastAsia" w:ascii="Times New Roman" w:hAnsi="Times New Roman"/>
          <w:sz w:val="22"/>
        </w:rPr>
        <w:t xml:space="preserve">（4）《环境标志产品政府采购实施的意见》（财库〔2006〕90号）； </w:t>
      </w:r>
    </w:p>
    <w:p w14:paraId="52A2884E">
      <w:pPr>
        <w:keepNext w:val="0"/>
        <w:keepLines w:val="0"/>
        <w:pageBreakBefore w:val="0"/>
        <w:kinsoku/>
        <w:wordWrap/>
        <w:overflowPunct/>
        <w:topLinePunct w:val="0"/>
        <w:autoSpaceDE/>
        <w:autoSpaceDN/>
        <w:bidi w:val="0"/>
        <w:adjustRightInd/>
        <w:snapToGrid/>
        <w:spacing w:line="360" w:lineRule="auto"/>
        <w:ind w:firstLine="440" w:firstLineChars="200"/>
        <w:jc w:val="left"/>
        <w:textAlignment w:val="auto"/>
        <w:rPr>
          <w:rFonts w:hint="eastAsia" w:ascii="Times New Roman" w:hAnsi="Times New Roman"/>
          <w:sz w:val="22"/>
        </w:rPr>
      </w:pPr>
      <w:r>
        <w:rPr>
          <w:rFonts w:hint="eastAsia" w:ascii="Times New Roman" w:hAnsi="Times New Roman"/>
          <w:sz w:val="22"/>
        </w:rPr>
        <w:t xml:space="preserve">（5）《关于促进残疾人就业政府采购政策的通知》（财库〔2017〕141号）； </w:t>
      </w:r>
    </w:p>
    <w:p w14:paraId="5ED74971">
      <w:pPr>
        <w:keepNext w:val="0"/>
        <w:keepLines w:val="0"/>
        <w:pageBreakBefore w:val="0"/>
        <w:kinsoku/>
        <w:wordWrap/>
        <w:overflowPunct/>
        <w:topLinePunct w:val="0"/>
        <w:autoSpaceDE/>
        <w:autoSpaceDN/>
        <w:bidi w:val="0"/>
        <w:adjustRightInd/>
        <w:snapToGrid/>
        <w:spacing w:line="360" w:lineRule="auto"/>
        <w:ind w:firstLine="440" w:firstLineChars="200"/>
        <w:jc w:val="left"/>
        <w:textAlignment w:val="auto"/>
        <w:rPr>
          <w:rFonts w:hint="eastAsia" w:ascii="Times New Roman" w:hAnsi="Times New Roman"/>
          <w:sz w:val="22"/>
        </w:rPr>
      </w:pPr>
      <w:r>
        <w:rPr>
          <w:rFonts w:hint="eastAsia" w:ascii="Times New Roman" w:hAnsi="Times New Roman"/>
          <w:sz w:val="22"/>
        </w:rPr>
        <w:t xml:space="preserve">（6）《陕西省中小企业政府采购信用融资办法》（陕财办采〔2018〕23号）； </w:t>
      </w:r>
    </w:p>
    <w:p w14:paraId="41FDE32D">
      <w:pPr>
        <w:keepNext w:val="0"/>
        <w:keepLines w:val="0"/>
        <w:pageBreakBefore w:val="0"/>
        <w:kinsoku/>
        <w:wordWrap/>
        <w:overflowPunct/>
        <w:topLinePunct w:val="0"/>
        <w:autoSpaceDE/>
        <w:autoSpaceDN/>
        <w:bidi w:val="0"/>
        <w:adjustRightInd/>
        <w:snapToGrid/>
        <w:spacing w:line="360" w:lineRule="auto"/>
        <w:ind w:firstLine="440" w:firstLineChars="200"/>
        <w:jc w:val="left"/>
        <w:textAlignment w:val="auto"/>
        <w:rPr>
          <w:rFonts w:ascii="Times New Roman" w:hAnsi="Times New Roman"/>
          <w:sz w:val="22"/>
        </w:rPr>
      </w:pPr>
      <w:r>
        <w:rPr>
          <w:rFonts w:hint="eastAsia" w:ascii="Times New Roman" w:hAnsi="Times New Roman"/>
          <w:sz w:val="22"/>
        </w:rPr>
        <w:t>（7）其他需要落实的政府采购政策。</w:t>
      </w:r>
    </w:p>
    <w:p w14:paraId="5551F7F8">
      <w:pPr>
        <w:pStyle w:val="20"/>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ascii="Times New Roman" w:hAnsi="Times New Roman"/>
          <w:sz w:val="22"/>
          <w:szCs w:val="22"/>
        </w:rPr>
      </w:pPr>
      <w:r>
        <w:rPr>
          <w:rFonts w:hint="eastAsia" w:ascii="Times New Roman" w:hAnsi="Times New Roman"/>
          <w:sz w:val="22"/>
          <w:szCs w:val="22"/>
        </w:rPr>
        <w:t>八、招标文件发售时间、地点：</w:t>
      </w:r>
    </w:p>
    <w:p w14:paraId="27B26FE7">
      <w:pPr>
        <w:pStyle w:val="20"/>
        <w:keepNext w:val="0"/>
        <w:keepLines w:val="0"/>
        <w:pageBreakBefore w:val="0"/>
        <w:kinsoku/>
        <w:wordWrap/>
        <w:overflowPunct/>
        <w:topLinePunct w:val="0"/>
        <w:autoSpaceDE/>
        <w:autoSpaceDN/>
        <w:bidi w:val="0"/>
        <w:adjustRightInd/>
        <w:snapToGrid/>
        <w:spacing w:line="360" w:lineRule="auto"/>
        <w:ind w:firstLine="440"/>
        <w:textAlignment w:val="auto"/>
        <w:rPr>
          <w:rFonts w:ascii="Times New Roman" w:hAnsi="Times New Roman"/>
          <w:sz w:val="22"/>
          <w:szCs w:val="22"/>
          <w:highlight w:val="none"/>
        </w:rPr>
      </w:pPr>
      <w:r>
        <w:rPr>
          <w:rFonts w:ascii="Times New Roman" w:hAnsi="Times New Roman"/>
          <w:sz w:val="22"/>
          <w:szCs w:val="22"/>
          <w:highlight w:val="none"/>
        </w:rPr>
        <w:t xml:space="preserve">1. </w:t>
      </w:r>
      <w:r>
        <w:rPr>
          <w:rFonts w:hint="eastAsia" w:ascii="Times New Roman" w:hAnsi="Times New Roman"/>
          <w:sz w:val="22"/>
          <w:szCs w:val="22"/>
          <w:highlight w:val="none"/>
        </w:rPr>
        <w:t>发售时间：</w:t>
      </w:r>
      <w:r>
        <w:rPr>
          <w:rFonts w:ascii="Times New Roman" w:hAnsi="Times New Roman"/>
          <w:sz w:val="22"/>
          <w:szCs w:val="22"/>
          <w:highlight w:val="none"/>
        </w:rPr>
        <w:t>202</w:t>
      </w:r>
      <w:r>
        <w:rPr>
          <w:rFonts w:hint="eastAsia" w:ascii="Times New Roman" w:hAnsi="Times New Roman"/>
          <w:sz w:val="22"/>
          <w:szCs w:val="22"/>
          <w:highlight w:val="none"/>
        </w:rPr>
        <w:t>5年</w:t>
      </w:r>
      <w:r>
        <w:rPr>
          <w:rFonts w:hint="eastAsia" w:ascii="Times New Roman" w:hAnsi="Times New Roman"/>
          <w:sz w:val="22"/>
          <w:szCs w:val="22"/>
          <w:highlight w:val="none"/>
          <w:lang w:val="en-US" w:eastAsia="zh-CN"/>
        </w:rPr>
        <w:t>12</w:t>
      </w:r>
      <w:r>
        <w:rPr>
          <w:rFonts w:hint="eastAsia" w:ascii="Times New Roman" w:hAnsi="Times New Roman"/>
          <w:sz w:val="22"/>
          <w:szCs w:val="22"/>
          <w:highlight w:val="none"/>
        </w:rPr>
        <w:t>月</w:t>
      </w:r>
      <w:r>
        <w:rPr>
          <w:rFonts w:hint="eastAsia" w:ascii="Times New Roman" w:hAnsi="Times New Roman"/>
          <w:sz w:val="22"/>
          <w:szCs w:val="22"/>
          <w:highlight w:val="none"/>
          <w:lang w:val="en-US" w:eastAsia="zh-CN"/>
        </w:rPr>
        <w:t>24</w:t>
      </w:r>
      <w:r>
        <w:rPr>
          <w:rFonts w:hint="eastAsia" w:ascii="Times New Roman" w:hAnsi="Times New Roman"/>
          <w:sz w:val="22"/>
          <w:szCs w:val="22"/>
          <w:highlight w:val="none"/>
        </w:rPr>
        <w:t>日至</w:t>
      </w:r>
      <w:r>
        <w:rPr>
          <w:rFonts w:ascii="Times New Roman" w:hAnsi="Times New Roman"/>
          <w:sz w:val="22"/>
          <w:szCs w:val="22"/>
          <w:highlight w:val="none"/>
        </w:rPr>
        <w:t>202</w:t>
      </w:r>
      <w:r>
        <w:rPr>
          <w:rFonts w:hint="eastAsia" w:ascii="Times New Roman" w:hAnsi="Times New Roman"/>
          <w:sz w:val="22"/>
          <w:szCs w:val="22"/>
          <w:highlight w:val="none"/>
        </w:rPr>
        <w:t>5年</w:t>
      </w:r>
      <w:r>
        <w:rPr>
          <w:rFonts w:hint="eastAsia" w:ascii="Times New Roman" w:hAnsi="Times New Roman"/>
          <w:sz w:val="22"/>
          <w:szCs w:val="22"/>
          <w:highlight w:val="none"/>
          <w:lang w:val="en-US" w:eastAsia="zh-CN"/>
        </w:rPr>
        <w:t xml:space="preserve">12 </w:t>
      </w:r>
      <w:r>
        <w:rPr>
          <w:rFonts w:hint="eastAsia" w:ascii="Times New Roman" w:hAnsi="Times New Roman"/>
          <w:sz w:val="22"/>
          <w:szCs w:val="22"/>
          <w:highlight w:val="none"/>
        </w:rPr>
        <w:t>月</w:t>
      </w:r>
      <w:r>
        <w:rPr>
          <w:rFonts w:hint="eastAsia" w:ascii="Times New Roman" w:hAnsi="Times New Roman"/>
          <w:sz w:val="22"/>
          <w:szCs w:val="22"/>
          <w:highlight w:val="none"/>
          <w:lang w:val="en-US" w:eastAsia="zh-CN"/>
        </w:rPr>
        <w:t>31</w:t>
      </w:r>
      <w:r>
        <w:rPr>
          <w:rFonts w:hint="eastAsia" w:ascii="Times New Roman" w:hAnsi="Times New Roman"/>
          <w:sz w:val="22"/>
          <w:szCs w:val="22"/>
          <w:highlight w:val="none"/>
        </w:rPr>
        <w:t>日上午</w:t>
      </w:r>
      <w:r>
        <w:rPr>
          <w:rFonts w:ascii="Times New Roman" w:hAnsi="Times New Roman"/>
          <w:sz w:val="22"/>
          <w:szCs w:val="22"/>
          <w:highlight w:val="none"/>
        </w:rPr>
        <w:t>9:00-11:30</w:t>
      </w:r>
      <w:r>
        <w:rPr>
          <w:rFonts w:hint="eastAsia" w:ascii="Times New Roman" w:hAnsi="Times New Roman"/>
          <w:sz w:val="22"/>
          <w:szCs w:val="22"/>
          <w:highlight w:val="none"/>
        </w:rPr>
        <w:t>，下午</w:t>
      </w:r>
      <w:r>
        <w:rPr>
          <w:rFonts w:ascii="Times New Roman" w:hAnsi="Times New Roman"/>
          <w:sz w:val="22"/>
          <w:szCs w:val="22"/>
          <w:highlight w:val="none"/>
        </w:rPr>
        <w:t xml:space="preserve">13:00-16:30 </w:t>
      </w:r>
      <w:r>
        <w:rPr>
          <w:rFonts w:hint="eastAsia" w:ascii="Times New Roman" w:hAnsi="Times New Roman"/>
          <w:sz w:val="22"/>
          <w:szCs w:val="22"/>
          <w:highlight w:val="none"/>
        </w:rPr>
        <w:t>（北京时间，法定节假日除外）；</w:t>
      </w:r>
    </w:p>
    <w:p w14:paraId="31E770A4">
      <w:pPr>
        <w:pStyle w:val="20"/>
        <w:keepNext w:val="0"/>
        <w:keepLines w:val="0"/>
        <w:pageBreakBefore w:val="0"/>
        <w:kinsoku/>
        <w:wordWrap/>
        <w:overflowPunct/>
        <w:topLinePunct w:val="0"/>
        <w:autoSpaceDE/>
        <w:autoSpaceDN/>
        <w:bidi w:val="0"/>
        <w:adjustRightInd/>
        <w:snapToGrid/>
        <w:spacing w:line="360" w:lineRule="auto"/>
        <w:ind w:firstLine="440"/>
        <w:textAlignment w:val="auto"/>
        <w:rPr>
          <w:rFonts w:ascii="Times New Roman" w:hAnsi="Times New Roman"/>
          <w:sz w:val="22"/>
          <w:szCs w:val="22"/>
          <w:highlight w:val="none"/>
        </w:rPr>
      </w:pPr>
      <w:r>
        <w:rPr>
          <w:rFonts w:ascii="Times New Roman" w:hAnsi="Times New Roman"/>
          <w:sz w:val="22"/>
          <w:szCs w:val="22"/>
          <w:highlight w:val="none"/>
        </w:rPr>
        <w:t xml:space="preserve">2. </w:t>
      </w:r>
      <w:r>
        <w:rPr>
          <w:rFonts w:hint="eastAsia" w:ascii="Times New Roman" w:hAnsi="Times New Roman"/>
          <w:sz w:val="22"/>
          <w:szCs w:val="22"/>
          <w:highlight w:val="none"/>
        </w:rPr>
        <w:t>发售地点：西安市高新区唐延路</w:t>
      </w:r>
      <w:r>
        <w:rPr>
          <w:rFonts w:ascii="Times New Roman" w:hAnsi="Times New Roman"/>
          <w:sz w:val="22"/>
          <w:szCs w:val="22"/>
          <w:highlight w:val="none"/>
        </w:rPr>
        <w:t>35</w:t>
      </w:r>
      <w:r>
        <w:rPr>
          <w:rFonts w:hint="eastAsia" w:ascii="Times New Roman" w:hAnsi="Times New Roman"/>
          <w:sz w:val="22"/>
          <w:szCs w:val="22"/>
          <w:highlight w:val="none"/>
        </w:rPr>
        <w:t>号旺座现代城</w:t>
      </w:r>
      <w:r>
        <w:rPr>
          <w:rFonts w:ascii="Times New Roman" w:hAnsi="Times New Roman"/>
          <w:sz w:val="22"/>
          <w:szCs w:val="22"/>
          <w:highlight w:val="none"/>
        </w:rPr>
        <w:t>G</w:t>
      </w:r>
      <w:r>
        <w:rPr>
          <w:rFonts w:hint="eastAsia" w:ascii="Times New Roman" w:hAnsi="Times New Roman"/>
          <w:sz w:val="22"/>
          <w:szCs w:val="22"/>
          <w:highlight w:val="none"/>
        </w:rPr>
        <w:t>座</w:t>
      </w:r>
      <w:r>
        <w:rPr>
          <w:rFonts w:ascii="Times New Roman" w:hAnsi="Times New Roman"/>
          <w:sz w:val="22"/>
          <w:szCs w:val="22"/>
          <w:highlight w:val="none"/>
        </w:rPr>
        <w:t>2301</w:t>
      </w:r>
      <w:r>
        <w:rPr>
          <w:rFonts w:hint="eastAsia" w:ascii="Times New Roman" w:hAnsi="Times New Roman"/>
          <w:sz w:val="22"/>
          <w:szCs w:val="22"/>
          <w:highlight w:val="none"/>
        </w:rPr>
        <w:t>室；</w:t>
      </w:r>
    </w:p>
    <w:p w14:paraId="031B7C3B">
      <w:pPr>
        <w:pStyle w:val="20"/>
        <w:keepNext w:val="0"/>
        <w:keepLines w:val="0"/>
        <w:pageBreakBefore w:val="0"/>
        <w:kinsoku/>
        <w:wordWrap/>
        <w:overflowPunct/>
        <w:topLinePunct w:val="0"/>
        <w:autoSpaceDE/>
        <w:autoSpaceDN/>
        <w:bidi w:val="0"/>
        <w:adjustRightInd/>
        <w:snapToGrid/>
        <w:spacing w:line="360" w:lineRule="auto"/>
        <w:ind w:firstLine="440"/>
        <w:textAlignment w:val="auto"/>
        <w:rPr>
          <w:rFonts w:ascii="Times New Roman" w:hAnsi="Times New Roman"/>
          <w:sz w:val="22"/>
          <w:szCs w:val="22"/>
          <w:highlight w:val="none"/>
        </w:rPr>
      </w:pPr>
      <w:r>
        <w:rPr>
          <w:rFonts w:ascii="Times New Roman" w:hAnsi="Times New Roman"/>
          <w:sz w:val="22"/>
          <w:szCs w:val="22"/>
          <w:highlight w:val="none"/>
        </w:rPr>
        <w:t xml:space="preserve">3. </w:t>
      </w:r>
      <w:r>
        <w:rPr>
          <w:rFonts w:hint="eastAsia" w:ascii="Times New Roman" w:hAnsi="Times New Roman"/>
          <w:sz w:val="22"/>
          <w:szCs w:val="22"/>
          <w:highlight w:val="none"/>
        </w:rPr>
        <w:t>发售联系人：刘女士，电话：</w:t>
      </w:r>
      <w:r>
        <w:rPr>
          <w:rFonts w:ascii="Times New Roman" w:hAnsi="Times New Roman"/>
          <w:sz w:val="22"/>
          <w:szCs w:val="22"/>
          <w:highlight w:val="none"/>
        </w:rPr>
        <w:t>029-88854272</w:t>
      </w:r>
      <w:r>
        <w:rPr>
          <w:rFonts w:hint="eastAsia" w:ascii="Times New Roman" w:hAnsi="Times New Roman"/>
          <w:sz w:val="22"/>
          <w:szCs w:val="22"/>
          <w:highlight w:val="none"/>
        </w:rPr>
        <w:t>转</w:t>
      </w:r>
      <w:r>
        <w:rPr>
          <w:rFonts w:ascii="Times New Roman" w:hAnsi="Times New Roman"/>
          <w:sz w:val="22"/>
          <w:szCs w:val="22"/>
          <w:highlight w:val="none"/>
        </w:rPr>
        <w:t>8001</w:t>
      </w:r>
      <w:r>
        <w:rPr>
          <w:rFonts w:hint="eastAsia" w:ascii="Times New Roman" w:hAnsi="Times New Roman"/>
          <w:sz w:val="22"/>
          <w:szCs w:val="22"/>
          <w:highlight w:val="none"/>
        </w:rPr>
        <w:t>；</w:t>
      </w:r>
    </w:p>
    <w:p w14:paraId="0A021A23">
      <w:pPr>
        <w:pStyle w:val="20"/>
        <w:keepNext w:val="0"/>
        <w:keepLines w:val="0"/>
        <w:pageBreakBefore w:val="0"/>
        <w:kinsoku/>
        <w:wordWrap/>
        <w:overflowPunct/>
        <w:topLinePunct w:val="0"/>
        <w:autoSpaceDE/>
        <w:autoSpaceDN/>
        <w:bidi w:val="0"/>
        <w:adjustRightInd/>
        <w:snapToGrid/>
        <w:spacing w:line="360" w:lineRule="auto"/>
        <w:ind w:firstLine="440"/>
        <w:textAlignment w:val="auto"/>
        <w:rPr>
          <w:rFonts w:ascii="Times New Roman" w:hAnsi="Times New Roman"/>
          <w:sz w:val="22"/>
          <w:szCs w:val="22"/>
          <w:highlight w:val="none"/>
        </w:rPr>
      </w:pPr>
      <w:r>
        <w:rPr>
          <w:rFonts w:ascii="Times New Roman" w:hAnsi="Times New Roman"/>
          <w:sz w:val="22"/>
          <w:szCs w:val="22"/>
          <w:highlight w:val="none"/>
        </w:rPr>
        <w:t xml:space="preserve">4. </w:t>
      </w:r>
      <w:r>
        <w:rPr>
          <w:rFonts w:hint="eastAsia" w:ascii="Times New Roman" w:hAnsi="Times New Roman"/>
          <w:sz w:val="22"/>
          <w:szCs w:val="22"/>
          <w:highlight w:val="none"/>
        </w:rPr>
        <w:t>文件售价：</w:t>
      </w:r>
      <w:r>
        <w:rPr>
          <w:rFonts w:hint="eastAsia" w:ascii="Times New Roman" w:hAnsi="Times New Roman"/>
          <w:sz w:val="22"/>
          <w:szCs w:val="22"/>
          <w:highlight w:val="none"/>
          <w:lang w:val="en-US" w:eastAsia="zh-CN"/>
        </w:rPr>
        <w:t>免费赠送</w:t>
      </w:r>
      <w:r>
        <w:rPr>
          <w:rFonts w:hint="eastAsia" w:ascii="Times New Roman" w:hAnsi="Times New Roman"/>
          <w:sz w:val="22"/>
          <w:szCs w:val="22"/>
          <w:highlight w:val="none"/>
        </w:rPr>
        <w:t>，招标文件谢绝邮寄，售后不退，投标资格不能转让。</w:t>
      </w:r>
    </w:p>
    <w:p w14:paraId="0E2D8801">
      <w:pPr>
        <w:pStyle w:val="20"/>
        <w:keepNext w:val="0"/>
        <w:keepLines w:val="0"/>
        <w:pageBreakBefore w:val="0"/>
        <w:kinsoku/>
        <w:wordWrap/>
        <w:overflowPunct/>
        <w:topLinePunct w:val="0"/>
        <w:autoSpaceDE/>
        <w:autoSpaceDN/>
        <w:bidi w:val="0"/>
        <w:adjustRightInd/>
        <w:snapToGrid/>
        <w:spacing w:line="360" w:lineRule="auto"/>
        <w:ind w:firstLine="440"/>
        <w:textAlignment w:val="auto"/>
        <w:rPr>
          <w:rFonts w:ascii="Times New Roman" w:hAnsi="Times New Roman"/>
          <w:sz w:val="22"/>
          <w:szCs w:val="22"/>
          <w:highlight w:val="none"/>
        </w:rPr>
      </w:pPr>
      <w:r>
        <w:rPr>
          <w:rFonts w:hint="eastAsia" w:ascii="Times New Roman" w:hAnsi="Times New Roman"/>
          <w:sz w:val="22"/>
          <w:szCs w:val="22"/>
          <w:highlight w:val="none"/>
        </w:rPr>
        <w:t>供应商购买招标文件时请携带单位介绍信、本人身份证复印件加盖公章。</w:t>
      </w:r>
    </w:p>
    <w:p w14:paraId="6AF8DD7A">
      <w:pPr>
        <w:pStyle w:val="20"/>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ascii="Times New Roman" w:hAnsi="Times New Roman"/>
          <w:sz w:val="22"/>
          <w:szCs w:val="22"/>
          <w:highlight w:val="none"/>
        </w:rPr>
      </w:pPr>
      <w:r>
        <w:rPr>
          <w:rFonts w:hint="eastAsia" w:ascii="Times New Roman" w:hAnsi="Times New Roman"/>
          <w:sz w:val="22"/>
          <w:szCs w:val="22"/>
          <w:highlight w:val="none"/>
        </w:rPr>
        <w:t>九、投标文件递交截止时间及开标时间和地点：</w:t>
      </w:r>
    </w:p>
    <w:p w14:paraId="4742C6E5">
      <w:pPr>
        <w:pStyle w:val="20"/>
        <w:keepNext w:val="0"/>
        <w:keepLines w:val="0"/>
        <w:pageBreakBefore w:val="0"/>
        <w:kinsoku/>
        <w:wordWrap/>
        <w:overflowPunct/>
        <w:topLinePunct w:val="0"/>
        <w:autoSpaceDE/>
        <w:autoSpaceDN/>
        <w:bidi w:val="0"/>
        <w:adjustRightInd/>
        <w:snapToGrid/>
        <w:spacing w:line="360" w:lineRule="auto"/>
        <w:ind w:firstLine="440"/>
        <w:textAlignment w:val="auto"/>
        <w:rPr>
          <w:rFonts w:ascii="Times New Roman" w:hAnsi="Times New Roman"/>
          <w:sz w:val="22"/>
          <w:szCs w:val="22"/>
          <w:highlight w:val="none"/>
        </w:rPr>
      </w:pPr>
      <w:r>
        <w:rPr>
          <w:rFonts w:ascii="Times New Roman" w:hAnsi="Times New Roman"/>
          <w:sz w:val="22"/>
          <w:szCs w:val="22"/>
          <w:highlight w:val="none"/>
        </w:rPr>
        <w:t xml:space="preserve">1. </w:t>
      </w:r>
      <w:r>
        <w:rPr>
          <w:rFonts w:hint="eastAsia" w:ascii="Times New Roman" w:hAnsi="Times New Roman"/>
          <w:sz w:val="22"/>
          <w:szCs w:val="22"/>
          <w:highlight w:val="none"/>
        </w:rPr>
        <w:t>投标文件递交截止时间：</w:t>
      </w:r>
      <w:r>
        <w:rPr>
          <w:rFonts w:ascii="Times New Roman" w:hAnsi="Times New Roman"/>
          <w:sz w:val="22"/>
          <w:szCs w:val="22"/>
          <w:highlight w:val="none"/>
        </w:rPr>
        <w:t>202</w:t>
      </w:r>
      <w:r>
        <w:rPr>
          <w:rFonts w:hint="eastAsia" w:ascii="Times New Roman" w:hAnsi="Times New Roman"/>
          <w:sz w:val="22"/>
          <w:szCs w:val="22"/>
          <w:highlight w:val="none"/>
          <w:lang w:val="en-US" w:eastAsia="zh-CN"/>
        </w:rPr>
        <w:t>6</w:t>
      </w:r>
      <w:r>
        <w:rPr>
          <w:rFonts w:hint="eastAsia" w:ascii="Times New Roman" w:hAnsi="Times New Roman"/>
          <w:sz w:val="22"/>
          <w:szCs w:val="22"/>
          <w:highlight w:val="none"/>
        </w:rPr>
        <w:t xml:space="preserve">年 </w:t>
      </w:r>
      <w:r>
        <w:rPr>
          <w:rFonts w:hint="eastAsia" w:ascii="Times New Roman" w:hAnsi="Times New Roman"/>
          <w:sz w:val="22"/>
          <w:szCs w:val="22"/>
          <w:highlight w:val="none"/>
          <w:lang w:val="en-US" w:eastAsia="zh-CN"/>
        </w:rPr>
        <w:t>1</w:t>
      </w:r>
      <w:r>
        <w:rPr>
          <w:rFonts w:hint="eastAsia" w:ascii="Times New Roman" w:hAnsi="Times New Roman"/>
          <w:sz w:val="22"/>
          <w:szCs w:val="22"/>
          <w:highlight w:val="none"/>
        </w:rPr>
        <w:t>月</w:t>
      </w:r>
      <w:r>
        <w:rPr>
          <w:rFonts w:hint="eastAsia" w:ascii="Times New Roman" w:hAnsi="Times New Roman"/>
          <w:sz w:val="22"/>
          <w:szCs w:val="22"/>
          <w:highlight w:val="none"/>
          <w:lang w:val="en-US" w:eastAsia="zh-CN"/>
        </w:rPr>
        <w:t>16</w:t>
      </w:r>
      <w:r>
        <w:rPr>
          <w:rFonts w:hint="eastAsia" w:ascii="Times New Roman" w:hAnsi="Times New Roman"/>
          <w:sz w:val="22"/>
          <w:szCs w:val="22"/>
          <w:highlight w:val="none"/>
        </w:rPr>
        <w:t>日</w:t>
      </w:r>
      <w:r>
        <w:rPr>
          <w:rFonts w:hint="eastAsia" w:ascii="Times New Roman" w:hAnsi="Times New Roman"/>
          <w:sz w:val="22"/>
          <w:szCs w:val="22"/>
          <w:highlight w:val="none"/>
          <w:lang w:val="en-US" w:eastAsia="zh-CN"/>
        </w:rPr>
        <w:t>10</w:t>
      </w:r>
      <w:r>
        <w:rPr>
          <w:rFonts w:ascii="Times New Roman" w:hAnsi="Times New Roman"/>
          <w:sz w:val="22"/>
          <w:szCs w:val="22"/>
          <w:highlight w:val="none"/>
        </w:rPr>
        <w:t>:</w:t>
      </w:r>
      <w:r>
        <w:rPr>
          <w:rFonts w:hint="eastAsia" w:ascii="Times New Roman" w:hAnsi="Times New Roman"/>
          <w:sz w:val="22"/>
          <w:szCs w:val="22"/>
          <w:highlight w:val="none"/>
          <w:lang w:val="en-US" w:eastAsia="zh-CN"/>
        </w:rPr>
        <w:t>3</w:t>
      </w:r>
      <w:r>
        <w:rPr>
          <w:rFonts w:ascii="Times New Roman" w:hAnsi="Times New Roman"/>
          <w:sz w:val="22"/>
          <w:szCs w:val="22"/>
          <w:highlight w:val="none"/>
        </w:rPr>
        <w:t>0</w:t>
      </w:r>
      <w:r>
        <w:rPr>
          <w:rFonts w:hint="eastAsia" w:ascii="Times New Roman" w:hAnsi="Times New Roman"/>
          <w:sz w:val="22"/>
          <w:szCs w:val="22"/>
          <w:highlight w:val="none"/>
        </w:rPr>
        <w:t>（北京时间）</w:t>
      </w:r>
    </w:p>
    <w:p w14:paraId="09A2E147">
      <w:pPr>
        <w:pStyle w:val="20"/>
        <w:keepNext w:val="0"/>
        <w:keepLines w:val="0"/>
        <w:pageBreakBefore w:val="0"/>
        <w:kinsoku/>
        <w:wordWrap/>
        <w:overflowPunct/>
        <w:topLinePunct w:val="0"/>
        <w:autoSpaceDE/>
        <w:autoSpaceDN/>
        <w:bidi w:val="0"/>
        <w:adjustRightInd/>
        <w:snapToGrid/>
        <w:spacing w:line="360" w:lineRule="auto"/>
        <w:ind w:firstLine="440"/>
        <w:textAlignment w:val="auto"/>
        <w:rPr>
          <w:rFonts w:ascii="Times New Roman" w:hAnsi="Times New Roman"/>
          <w:sz w:val="22"/>
          <w:szCs w:val="22"/>
          <w:highlight w:val="none"/>
        </w:rPr>
      </w:pPr>
      <w:r>
        <w:rPr>
          <w:rFonts w:ascii="Times New Roman" w:hAnsi="Times New Roman"/>
          <w:sz w:val="22"/>
          <w:szCs w:val="22"/>
          <w:highlight w:val="none"/>
        </w:rPr>
        <w:t xml:space="preserve">2. </w:t>
      </w:r>
      <w:r>
        <w:rPr>
          <w:rFonts w:hint="eastAsia" w:ascii="Times New Roman" w:hAnsi="Times New Roman"/>
          <w:sz w:val="22"/>
          <w:szCs w:val="22"/>
          <w:highlight w:val="none"/>
        </w:rPr>
        <w:t>开标时间：</w:t>
      </w:r>
      <w:r>
        <w:rPr>
          <w:rFonts w:ascii="Times New Roman" w:hAnsi="Times New Roman"/>
          <w:sz w:val="22"/>
          <w:szCs w:val="22"/>
          <w:highlight w:val="none"/>
        </w:rPr>
        <w:t>202</w:t>
      </w:r>
      <w:r>
        <w:rPr>
          <w:rFonts w:hint="eastAsia" w:ascii="Times New Roman" w:hAnsi="Times New Roman"/>
          <w:sz w:val="22"/>
          <w:szCs w:val="22"/>
          <w:highlight w:val="none"/>
          <w:lang w:val="en-US" w:eastAsia="zh-CN"/>
        </w:rPr>
        <w:t>6</w:t>
      </w:r>
      <w:r>
        <w:rPr>
          <w:rFonts w:hint="eastAsia" w:ascii="Times New Roman" w:hAnsi="Times New Roman"/>
          <w:sz w:val="22"/>
          <w:szCs w:val="22"/>
          <w:highlight w:val="none"/>
        </w:rPr>
        <w:t xml:space="preserve">年 </w:t>
      </w:r>
      <w:r>
        <w:rPr>
          <w:rFonts w:hint="eastAsia" w:ascii="Times New Roman" w:hAnsi="Times New Roman"/>
          <w:sz w:val="22"/>
          <w:szCs w:val="22"/>
          <w:highlight w:val="none"/>
          <w:lang w:val="en-US" w:eastAsia="zh-CN"/>
        </w:rPr>
        <w:t>1</w:t>
      </w:r>
      <w:r>
        <w:rPr>
          <w:rFonts w:hint="eastAsia" w:ascii="Times New Roman" w:hAnsi="Times New Roman"/>
          <w:sz w:val="22"/>
          <w:szCs w:val="22"/>
          <w:highlight w:val="none"/>
        </w:rPr>
        <w:t>月</w:t>
      </w:r>
      <w:r>
        <w:rPr>
          <w:rFonts w:hint="eastAsia" w:ascii="Times New Roman" w:hAnsi="Times New Roman"/>
          <w:sz w:val="22"/>
          <w:szCs w:val="22"/>
          <w:highlight w:val="none"/>
          <w:lang w:val="en-US" w:eastAsia="zh-CN"/>
        </w:rPr>
        <w:t>16</w:t>
      </w:r>
      <w:r>
        <w:rPr>
          <w:rFonts w:hint="eastAsia" w:ascii="Times New Roman" w:hAnsi="Times New Roman"/>
          <w:sz w:val="22"/>
          <w:szCs w:val="22"/>
          <w:highlight w:val="none"/>
        </w:rPr>
        <w:t>日</w:t>
      </w:r>
      <w:r>
        <w:rPr>
          <w:rFonts w:hint="eastAsia" w:ascii="Times New Roman" w:hAnsi="Times New Roman"/>
          <w:sz w:val="22"/>
          <w:szCs w:val="22"/>
          <w:highlight w:val="none"/>
          <w:lang w:val="en-US" w:eastAsia="zh-CN"/>
        </w:rPr>
        <w:t>10</w:t>
      </w:r>
      <w:r>
        <w:rPr>
          <w:rFonts w:ascii="Times New Roman" w:hAnsi="Times New Roman"/>
          <w:sz w:val="22"/>
          <w:szCs w:val="22"/>
          <w:highlight w:val="none"/>
        </w:rPr>
        <w:t>:</w:t>
      </w:r>
      <w:r>
        <w:rPr>
          <w:rFonts w:hint="eastAsia" w:ascii="Times New Roman" w:hAnsi="Times New Roman"/>
          <w:sz w:val="22"/>
          <w:szCs w:val="22"/>
          <w:highlight w:val="none"/>
          <w:lang w:val="en-US" w:eastAsia="zh-CN"/>
        </w:rPr>
        <w:t>3</w:t>
      </w:r>
      <w:r>
        <w:rPr>
          <w:rFonts w:ascii="Times New Roman" w:hAnsi="Times New Roman"/>
          <w:sz w:val="22"/>
          <w:szCs w:val="22"/>
          <w:highlight w:val="none"/>
        </w:rPr>
        <w:t>0</w:t>
      </w:r>
      <w:r>
        <w:rPr>
          <w:rFonts w:hint="eastAsia" w:ascii="Times New Roman" w:hAnsi="Times New Roman"/>
          <w:sz w:val="22"/>
          <w:szCs w:val="22"/>
          <w:highlight w:val="none"/>
        </w:rPr>
        <w:t>（北</w:t>
      </w:r>
      <w:bookmarkStart w:id="240" w:name="_GoBack"/>
      <w:bookmarkEnd w:id="240"/>
      <w:r>
        <w:rPr>
          <w:rFonts w:hint="eastAsia" w:ascii="Times New Roman" w:hAnsi="Times New Roman"/>
          <w:sz w:val="22"/>
          <w:szCs w:val="22"/>
          <w:highlight w:val="none"/>
        </w:rPr>
        <w:t>京时间）</w:t>
      </w:r>
    </w:p>
    <w:p w14:paraId="59288556">
      <w:pPr>
        <w:pStyle w:val="20"/>
        <w:keepNext w:val="0"/>
        <w:keepLines w:val="0"/>
        <w:pageBreakBefore w:val="0"/>
        <w:kinsoku/>
        <w:wordWrap/>
        <w:overflowPunct/>
        <w:topLinePunct w:val="0"/>
        <w:autoSpaceDE/>
        <w:autoSpaceDN/>
        <w:bidi w:val="0"/>
        <w:adjustRightInd/>
        <w:snapToGrid/>
        <w:spacing w:line="360" w:lineRule="auto"/>
        <w:ind w:firstLine="440"/>
        <w:textAlignment w:val="auto"/>
        <w:rPr>
          <w:rFonts w:ascii="Times New Roman" w:hAnsi="Times New Roman"/>
          <w:sz w:val="22"/>
          <w:szCs w:val="22"/>
        </w:rPr>
      </w:pPr>
      <w:r>
        <w:rPr>
          <w:rFonts w:ascii="Times New Roman" w:hAnsi="Times New Roman"/>
          <w:sz w:val="22"/>
          <w:szCs w:val="22"/>
        </w:rPr>
        <w:t xml:space="preserve">3. </w:t>
      </w:r>
      <w:r>
        <w:rPr>
          <w:rFonts w:hint="eastAsia" w:ascii="Times New Roman" w:hAnsi="Times New Roman"/>
          <w:sz w:val="22"/>
          <w:szCs w:val="22"/>
        </w:rPr>
        <w:t>开标地点：西安市高新区唐延路</w:t>
      </w:r>
      <w:r>
        <w:rPr>
          <w:rFonts w:ascii="Times New Roman" w:hAnsi="Times New Roman"/>
          <w:sz w:val="22"/>
          <w:szCs w:val="22"/>
        </w:rPr>
        <w:t>35</w:t>
      </w:r>
      <w:r>
        <w:rPr>
          <w:rFonts w:hint="eastAsia" w:ascii="Times New Roman" w:hAnsi="Times New Roman"/>
          <w:sz w:val="22"/>
          <w:szCs w:val="22"/>
        </w:rPr>
        <w:t>号旺座现代城</w:t>
      </w:r>
      <w:r>
        <w:rPr>
          <w:rFonts w:ascii="Times New Roman" w:hAnsi="Times New Roman"/>
          <w:sz w:val="22"/>
          <w:szCs w:val="22"/>
        </w:rPr>
        <w:t>G</w:t>
      </w:r>
      <w:r>
        <w:rPr>
          <w:rFonts w:hint="eastAsia" w:ascii="Times New Roman" w:hAnsi="Times New Roman"/>
          <w:sz w:val="22"/>
          <w:szCs w:val="22"/>
        </w:rPr>
        <w:t>座</w:t>
      </w:r>
      <w:r>
        <w:rPr>
          <w:rFonts w:ascii="Times New Roman" w:hAnsi="Times New Roman"/>
          <w:sz w:val="22"/>
          <w:szCs w:val="22"/>
        </w:rPr>
        <w:t>2301</w:t>
      </w:r>
      <w:r>
        <w:rPr>
          <w:rFonts w:hint="eastAsia" w:ascii="Times New Roman" w:hAnsi="Times New Roman"/>
          <w:sz w:val="22"/>
          <w:szCs w:val="22"/>
        </w:rPr>
        <w:t>室。</w:t>
      </w:r>
    </w:p>
    <w:p w14:paraId="6098F984">
      <w:pPr>
        <w:pStyle w:val="20"/>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ascii="Times New Roman" w:hAnsi="Times New Roman"/>
          <w:sz w:val="22"/>
          <w:szCs w:val="22"/>
        </w:rPr>
      </w:pPr>
      <w:r>
        <w:rPr>
          <w:rFonts w:hint="eastAsia" w:ascii="Times New Roman" w:hAnsi="Times New Roman"/>
          <w:sz w:val="22"/>
          <w:szCs w:val="22"/>
        </w:rPr>
        <w:t>十、其他应说明的事项：</w:t>
      </w:r>
    </w:p>
    <w:p w14:paraId="64765D2C">
      <w:pPr>
        <w:pStyle w:val="20"/>
        <w:keepNext w:val="0"/>
        <w:keepLines w:val="0"/>
        <w:pageBreakBefore w:val="0"/>
        <w:kinsoku/>
        <w:wordWrap/>
        <w:overflowPunct/>
        <w:topLinePunct w:val="0"/>
        <w:autoSpaceDE/>
        <w:autoSpaceDN/>
        <w:bidi w:val="0"/>
        <w:adjustRightInd/>
        <w:snapToGrid/>
        <w:spacing w:line="360" w:lineRule="auto"/>
        <w:ind w:firstLine="440"/>
        <w:textAlignment w:val="auto"/>
        <w:rPr>
          <w:rFonts w:ascii="Times New Roman" w:hAnsi="Times New Roman"/>
          <w:sz w:val="22"/>
          <w:szCs w:val="22"/>
        </w:rPr>
      </w:pPr>
      <w:r>
        <w:rPr>
          <w:rFonts w:hint="eastAsia" w:ascii="Times New Roman" w:hAnsi="Times New Roman"/>
          <w:sz w:val="22"/>
          <w:szCs w:val="22"/>
        </w:rPr>
        <w:t>采购项目联系人：</w:t>
      </w:r>
      <w:r>
        <w:rPr>
          <w:rFonts w:hint="eastAsia" w:ascii="Times New Roman" w:hAnsi="Times New Roman"/>
          <w:sz w:val="22"/>
          <w:szCs w:val="22"/>
          <w:lang w:val="en-US" w:eastAsia="zh-CN"/>
        </w:rPr>
        <w:t>谭</w:t>
      </w:r>
      <w:r>
        <w:rPr>
          <w:rFonts w:hint="eastAsia" w:ascii="Times New Roman" w:hAnsi="Times New Roman"/>
          <w:sz w:val="22"/>
          <w:szCs w:val="22"/>
        </w:rPr>
        <w:t>先生</w:t>
      </w:r>
    </w:p>
    <w:p w14:paraId="3039B160">
      <w:pPr>
        <w:pStyle w:val="20"/>
        <w:keepNext w:val="0"/>
        <w:keepLines w:val="0"/>
        <w:pageBreakBefore w:val="0"/>
        <w:kinsoku/>
        <w:wordWrap/>
        <w:overflowPunct/>
        <w:topLinePunct w:val="0"/>
        <w:autoSpaceDE/>
        <w:autoSpaceDN/>
        <w:bidi w:val="0"/>
        <w:adjustRightInd/>
        <w:snapToGrid/>
        <w:spacing w:line="360" w:lineRule="auto"/>
        <w:ind w:firstLine="440"/>
        <w:textAlignment w:val="auto"/>
        <w:rPr>
          <w:rFonts w:hint="eastAsia" w:ascii="Times New Roman" w:hAnsi="Times New Roman"/>
          <w:sz w:val="22"/>
          <w:szCs w:val="22"/>
          <w:lang w:val="en-US" w:eastAsia="zh-CN"/>
        </w:rPr>
      </w:pPr>
      <w:r>
        <w:rPr>
          <w:rFonts w:hint="eastAsia" w:ascii="Times New Roman" w:hAnsi="Times New Roman"/>
          <w:sz w:val="22"/>
          <w:szCs w:val="22"/>
        </w:rPr>
        <w:t>联系方式：</w:t>
      </w:r>
      <w:r>
        <w:rPr>
          <w:rFonts w:ascii="Times New Roman" w:hAnsi="Times New Roman"/>
          <w:sz w:val="22"/>
          <w:szCs w:val="22"/>
        </w:rPr>
        <w:t>029-88854272</w:t>
      </w:r>
      <w:r>
        <w:rPr>
          <w:rFonts w:hint="eastAsia" w:ascii="Times New Roman" w:hAnsi="Times New Roman"/>
          <w:sz w:val="22"/>
          <w:szCs w:val="22"/>
        </w:rPr>
        <w:t>转</w:t>
      </w:r>
      <w:r>
        <w:rPr>
          <w:rFonts w:hint="eastAsia" w:ascii="Times New Roman" w:hAnsi="Times New Roman"/>
          <w:sz w:val="22"/>
          <w:szCs w:val="22"/>
          <w:lang w:val="en-US" w:eastAsia="zh-CN"/>
        </w:rPr>
        <w:t>8003</w:t>
      </w:r>
    </w:p>
    <w:p w14:paraId="4153064F">
      <w:pPr>
        <w:pStyle w:val="20"/>
        <w:keepNext w:val="0"/>
        <w:keepLines w:val="0"/>
        <w:pageBreakBefore w:val="0"/>
        <w:kinsoku/>
        <w:wordWrap/>
        <w:overflowPunct/>
        <w:topLinePunct w:val="0"/>
        <w:autoSpaceDE/>
        <w:autoSpaceDN/>
        <w:bidi w:val="0"/>
        <w:adjustRightInd/>
        <w:snapToGrid/>
        <w:spacing w:line="360" w:lineRule="auto"/>
        <w:ind w:firstLine="440"/>
        <w:textAlignment w:val="auto"/>
        <w:rPr>
          <w:rFonts w:ascii="Times New Roman" w:hAnsi="Times New Roman"/>
          <w:sz w:val="22"/>
          <w:szCs w:val="22"/>
        </w:rPr>
      </w:pPr>
      <w:r>
        <w:rPr>
          <w:rFonts w:hint="eastAsia" w:ascii="Times New Roman" w:hAnsi="Times New Roman"/>
          <w:sz w:val="22"/>
          <w:szCs w:val="22"/>
        </w:rPr>
        <w:t>采购代理机构开户名称：四川国际招标有限责任公司陕西分公司</w:t>
      </w:r>
    </w:p>
    <w:p w14:paraId="7F3599FE">
      <w:pPr>
        <w:pStyle w:val="20"/>
        <w:keepNext w:val="0"/>
        <w:keepLines w:val="0"/>
        <w:pageBreakBefore w:val="0"/>
        <w:kinsoku/>
        <w:wordWrap/>
        <w:overflowPunct/>
        <w:topLinePunct w:val="0"/>
        <w:autoSpaceDE/>
        <w:autoSpaceDN/>
        <w:bidi w:val="0"/>
        <w:adjustRightInd/>
        <w:snapToGrid/>
        <w:spacing w:line="360" w:lineRule="auto"/>
        <w:ind w:firstLine="440"/>
        <w:textAlignment w:val="auto"/>
        <w:rPr>
          <w:rFonts w:ascii="Times New Roman" w:hAnsi="Times New Roman"/>
          <w:sz w:val="22"/>
          <w:szCs w:val="22"/>
        </w:rPr>
      </w:pPr>
      <w:r>
        <w:rPr>
          <w:rFonts w:hint="eastAsia" w:ascii="Times New Roman" w:hAnsi="Times New Roman"/>
          <w:sz w:val="22"/>
          <w:szCs w:val="22"/>
        </w:rPr>
        <w:t>开户银行：中国民生银行股份有限公司西安高新开发区支行</w:t>
      </w:r>
    </w:p>
    <w:p w14:paraId="2E627A77">
      <w:pPr>
        <w:pStyle w:val="20"/>
        <w:keepNext w:val="0"/>
        <w:keepLines w:val="0"/>
        <w:pageBreakBefore w:val="0"/>
        <w:kinsoku/>
        <w:wordWrap/>
        <w:overflowPunct/>
        <w:topLinePunct w:val="0"/>
        <w:autoSpaceDE/>
        <w:autoSpaceDN/>
        <w:bidi w:val="0"/>
        <w:adjustRightInd/>
        <w:snapToGrid/>
        <w:spacing w:line="360" w:lineRule="auto"/>
        <w:ind w:firstLine="440"/>
        <w:textAlignment w:val="auto"/>
        <w:rPr>
          <w:rFonts w:hint="eastAsia" w:ascii="Times New Roman" w:hAnsi="Times New Roman"/>
          <w:sz w:val="22"/>
          <w:szCs w:val="22"/>
        </w:rPr>
      </w:pPr>
      <w:r>
        <w:rPr>
          <w:rFonts w:hint="eastAsia" w:ascii="Times New Roman" w:hAnsi="Times New Roman"/>
          <w:sz w:val="22"/>
          <w:szCs w:val="22"/>
        </w:rPr>
        <w:t>账     号：</w:t>
      </w:r>
      <w:r>
        <w:rPr>
          <w:rFonts w:hint="eastAsia" w:ascii="Times New Roman" w:hAnsi="Times New Roman"/>
          <w:sz w:val="22"/>
          <w:szCs w:val="22"/>
          <w:lang w:val="zh-CN"/>
        </w:rPr>
        <w:t>600582071</w:t>
      </w:r>
    </w:p>
    <w:p w14:paraId="7D97ECD9">
      <w:pPr>
        <w:pStyle w:val="20"/>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ascii="Times New Roman" w:hAnsi="Times New Roman"/>
          <w:sz w:val="22"/>
          <w:szCs w:val="22"/>
        </w:rPr>
      </w:pPr>
      <w:r>
        <w:rPr>
          <w:rFonts w:hint="eastAsia" w:ascii="Times New Roman" w:hAnsi="Times New Roman"/>
          <w:sz w:val="22"/>
          <w:szCs w:val="22"/>
        </w:rPr>
        <w:t>十一、本采购公告的公告期限为</w:t>
      </w:r>
      <w:r>
        <w:rPr>
          <w:rFonts w:ascii="Times New Roman" w:hAnsi="Times New Roman"/>
          <w:sz w:val="22"/>
          <w:szCs w:val="22"/>
        </w:rPr>
        <w:t>5</w:t>
      </w:r>
      <w:r>
        <w:rPr>
          <w:rFonts w:hint="eastAsia" w:ascii="Times New Roman" w:hAnsi="Times New Roman"/>
          <w:sz w:val="22"/>
          <w:szCs w:val="22"/>
        </w:rPr>
        <w:t>个工作日。</w:t>
      </w:r>
    </w:p>
    <w:p w14:paraId="57B79B51">
      <w:pPr>
        <w:pStyle w:val="20"/>
        <w:keepNext w:val="0"/>
        <w:keepLines w:val="0"/>
        <w:pageBreakBefore w:val="0"/>
        <w:kinsoku/>
        <w:wordWrap/>
        <w:overflowPunct/>
        <w:topLinePunct w:val="0"/>
        <w:autoSpaceDE/>
        <w:autoSpaceDN/>
        <w:bidi w:val="0"/>
        <w:adjustRightInd/>
        <w:snapToGrid/>
        <w:spacing w:line="360" w:lineRule="auto"/>
        <w:ind w:firstLine="4400" w:firstLineChars="2000"/>
        <w:textAlignment w:val="auto"/>
        <w:rPr>
          <w:rFonts w:ascii="Times New Roman" w:hAnsi="Times New Roman"/>
          <w:sz w:val="22"/>
          <w:szCs w:val="22"/>
        </w:rPr>
      </w:pPr>
      <w:r>
        <w:rPr>
          <w:rFonts w:hint="eastAsia" w:ascii="Times New Roman" w:hAnsi="Times New Roman"/>
          <w:sz w:val="22"/>
          <w:szCs w:val="22"/>
        </w:rPr>
        <w:t>四川国际招标有限责任公司</w:t>
      </w:r>
    </w:p>
    <w:p w14:paraId="27D3C22C">
      <w:pPr>
        <w:pStyle w:val="20"/>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ascii="Times New Roman" w:hAnsi="Times New Roman"/>
          <w:sz w:val="22"/>
          <w:szCs w:val="22"/>
        </w:rPr>
      </w:pPr>
      <w:r>
        <w:rPr>
          <w:rFonts w:ascii="Times New Roman" w:hAnsi="Times New Roman"/>
          <w:sz w:val="22"/>
          <w:szCs w:val="22"/>
        </w:rPr>
        <w:t xml:space="preserve">                                           </w:t>
      </w:r>
      <w:r>
        <w:rPr>
          <w:rFonts w:hint="eastAsia" w:ascii="Times New Roman" w:hAnsi="Times New Roman"/>
          <w:sz w:val="22"/>
          <w:szCs w:val="22"/>
        </w:rPr>
        <w:t xml:space="preserve"> </w:t>
      </w:r>
      <w:r>
        <w:rPr>
          <w:rFonts w:ascii="Times New Roman" w:hAnsi="Times New Roman"/>
          <w:sz w:val="22"/>
          <w:szCs w:val="22"/>
        </w:rPr>
        <w:t>202</w:t>
      </w:r>
      <w:r>
        <w:rPr>
          <w:rFonts w:hint="eastAsia" w:ascii="Times New Roman" w:hAnsi="Times New Roman"/>
          <w:sz w:val="22"/>
          <w:szCs w:val="22"/>
        </w:rPr>
        <w:t>5年</w:t>
      </w:r>
      <w:r>
        <w:rPr>
          <w:rFonts w:hint="eastAsia" w:ascii="Times New Roman" w:hAnsi="Times New Roman"/>
          <w:sz w:val="22"/>
          <w:szCs w:val="22"/>
          <w:lang w:val="en-US" w:eastAsia="zh-CN"/>
        </w:rPr>
        <w:t>12</w:t>
      </w:r>
      <w:r>
        <w:rPr>
          <w:rFonts w:hint="eastAsia" w:ascii="Times New Roman" w:hAnsi="Times New Roman"/>
          <w:sz w:val="22"/>
          <w:szCs w:val="22"/>
        </w:rPr>
        <w:t xml:space="preserve"> 月</w:t>
      </w:r>
    </w:p>
    <w:p w14:paraId="00D0FED8">
      <w:pPr>
        <w:pStyle w:val="2"/>
        <w:jc w:val="center"/>
        <w:rPr>
          <w:rFonts w:ascii="Times New Roman" w:hAnsi="Times New Roman"/>
          <w:sz w:val="24"/>
          <w:szCs w:val="24"/>
        </w:rPr>
      </w:pPr>
      <w:bookmarkStart w:id="20" w:name="_Toc20173"/>
      <w:bookmarkStart w:id="21" w:name="_Toc13578"/>
      <w:r>
        <w:rPr>
          <w:rFonts w:ascii="Times New Roman" w:hAnsi="Times New Roman"/>
        </w:rPr>
        <w:br w:type="page"/>
      </w:r>
      <w:bookmarkStart w:id="22" w:name="_Toc119482810"/>
      <w:bookmarkStart w:id="23" w:name="_Toc28513"/>
      <w:bookmarkStart w:id="24" w:name="_Toc23180"/>
      <w:r>
        <w:rPr>
          <w:rFonts w:hint="eastAsia" w:ascii="Times New Roman" w:hAnsi="Times New Roman"/>
          <w:sz w:val="36"/>
          <w:szCs w:val="20"/>
        </w:rPr>
        <w:t>第二章</w:t>
      </w:r>
      <w:r>
        <w:rPr>
          <w:rFonts w:hint="eastAsia" w:ascii="Times New Roman" w:hAnsi="Times New Roman"/>
          <w:sz w:val="36"/>
          <w:szCs w:val="20"/>
          <w:lang w:val="en-US" w:eastAsia="zh-CN"/>
        </w:rPr>
        <w:t xml:space="preserve"> </w:t>
      </w:r>
      <w:r>
        <w:rPr>
          <w:rFonts w:hint="eastAsia" w:ascii="Times New Roman" w:hAnsi="Times New Roman"/>
          <w:sz w:val="36"/>
          <w:szCs w:val="20"/>
        </w:rPr>
        <w:t>投标人须知</w:t>
      </w:r>
      <w:bookmarkEnd w:id="9"/>
      <w:bookmarkEnd w:id="10"/>
      <w:bookmarkEnd w:id="11"/>
      <w:bookmarkEnd w:id="12"/>
      <w:bookmarkEnd w:id="13"/>
      <w:bookmarkEnd w:id="14"/>
      <w:bookmarkEnd w:id="15"/>
      <w:bookmarkEnd w:id="16"/>
      <w:bookmarkEnd w:id="17"/>
      <w:bookmarkEnd w:id="20"/>
      <w:bookmarkEnd w:id="21"/>
      <w:bookmarkEnd w:id="22"/>
      <w:bookmarkEnd w:id="23"/>
      <w:bookmarkEnd w:id="24"/>
      <w:bookmarkStart w:id="25" w:name="_Toc213396946"/>
      <w:bookmarkStart w:id="26" w:name="_Toc12315"/>
      <w:bookmarkStart w:id="27" w:name="_Toc8615"/>
      <w:bookmarkStart w:id="28" w:name="_Toc217446032"/>
      <w:bookmarkStart w:id="29" w:name="_Toc4373"/>
      <w:bookmarkStart w:id="30" w:name="_Toc213397010"/>
      <w:bookmarkStart w:id="31" w:name="_Toc22279"/>
      <w:bookmarkStart w:id="32" w:name="_Toc5181"/>
      <w:bookmarkStart w:id="33" w:name="_Toc213396760"/>
      <w:bookmarkStart w:id="34" w:name="_Toc213496268"/>
      <w:bookmarkStart w:id="35" w:name="_Toc20817"/>
      <w:bookmarkStart w:id="36" w:name="_Toc189727030"/>
    </w:p>
    <w:p w14:paraId="027B9357">
      <w:pPr>
        <w:pStyle w:val="8"/>
        <w:rPr>
          <w:sz w:val="24"/>
          <w:szCs w:val="21"/>
        </w:rPr>
      </w:pPr>
      <w:r>
        <w:rPr>
          <w:rFonts w:hint="eastAsia"/>
          <w:sz w:val="24"/>
          <w:szCs w:val="21"/>
        </w:rPr>
        <w:t>一、投标人须知前附表</w:t>
      </w:r>
      <w:bookmarkEnd w:id="25"/>
      <w:bookmarkEnd w:id="26"/>
      <w:bookmarkEnd w:id="27"/>
      <w:bookmarkEnd w:id="28"/>
      <w:bookmarkEnd w:id="29"/>
      <w:bookmarkEnd w:id="30"/>
      <w:bookmarkEnd w:id="31"/>
      <w:bookmarkEnd w:id="32"/>
      <w:bookmarkEnd w:id="33"/>
      <w:bookmarkEnd w:id="34"/>
      <w:bookmarkEnd w:id="35"/>
      <w:bookmarkEnd w:id="36"/>
    </w:p>
    <w:tbl>
      <w:tblPr>
        <w:tblStyle w:val="16"/>
        <w:tblW w:w="8686"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
      <w:tblGrid>
        <w:gridCol w:w="517"/>
        <w:gridCol w:w="1795"/>
        <w:gridCol w:w="6374"/>
      </w:tblGrid>
      <w:tr w14:paraId="49C2595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51" w:hRule="exact"/>
          <w:tblHeader/>
          <w:jc w:val="center"/>
        </w:trPr>
        <w:tc>
          <w:tcPr>
            <w:tcW w:w="517" w:type="dxa"/>
            <w:tcBorders>
              <w:top w:val="single" w:color="auto" w:sz="8" w:space="0"/>
            </w:tcBorders>
            <w:vAlign w:val="center"/>
          </w:tcPr>
          <w:p w14:paraId="6D663975">
            <w:pPr>
              <w:pStyle w:val="21"/>
              <w:ind w:left="9"/>
              <w:jc w:val="center"/>
              <w:rPr>
                <w:rFonts w:ascii="Times New Roman" w:hAnsi="Times New Roman" w:cs="Times New Roman"/>
                <w:kern w:val="2"/>
                <w:sz w:val="22"/>
                <w:szCs w:val="22"/>
              </w:rPr>
            </w:pPr>
            <w:r>
              <w:rPr>
                <w:rFonts w:hint="eastAsia" w:ascii="Times New Roman" w:hAnsi="Times New Roman" w:cs="Times New Roman"/>
                <w:kern w:val="2"/>
                <w:sz w:val="22"/>
                <w:szCs w:val="22"/>
              </w:rPr>
              <w:t>序号</w:t>
            </w:r>
          </w:p>
        </w:tc>
        <w:tc>
          <w:tcPr>
            <w:tcW w:w="1795" w:type="dxa"/>
            <w:tcBorders>
              <w:top w:val="single" w:color="auto" w:sz="8" w:space="0"/>
            </w:tcBorders>
            <w:vAlign w:val="center"/>
          </w:tcPr>
          <w:p w14:paraId="119A4298">
            <w:pPr>
              <w:pStyle w:val="21"/>
              <w:ind w:left="38"/>
              <w:jc w:val="center"/>
              <w:rPr>
                <w:rFonts w:ascii="Times New Roman" w:hAnsi="Times New Roman" w:cs="Times New Roman"/>
                <w:kern w:val="2"/>
                <w:sz w:val="22"/>
                <w:szCs w:val="22"/>
              </w:rPr>
            </w:pPr>
            <w:r>
              <w:rPr>
                <w:rFonts w:hint="eastAsia" w:ascii="Times New Roman" w:hAnsi="Times New Roman" w:cs="Times New Roman"/>
                <w:kern w:val="2"/>
                <w:sz w:val="22"/>
                <w:szCs w:val="22"/>
              </w:rPr>
              <w:t>应知事项</w:t>
            </w:r>
          </w:p>
        </w:tc>
        <w:tc>
          <w:tcPr>
            <w:tcW w:w="6374" w:type="dxa"/>
            <w:tcBorders>
              <w:top w:val="single" w:color="auto" w:sz="8" w:space="0"/>
            </w:tcBorders>
            <w:vAlign w:val="center"/>
          </w:tcPr>
          <w:p w14:paraId="26321F8A">
            <w:pPr>
              <w:pStyle w:val="21"/>
              <w:jc w:val="center"/>
              <w:rPr>
                <w:rFonts w:ascii="Times New Roman" w:hAnsi="Times New Roman" w:cs="Times New Roman"/>
                <w:kern w:val="2"/>
                <w:sz w:val="22"/>
                <w:szCs w:val="22"/>
              </w:rPr>
            </w:pPr>
            <w:r>
              <w:rPr>
                <w:rFonts w:hint="eastAsia" w:ascii="Times New Roman" w:hAnsi="Times New Roman" w:cs="Times New Roman"/>
                <w:kern w:val="2"/>
                <w:sz w:val="22"/>
                <w:szCs w:val="22"/>
              </w:rPr>
              <w:t>说明和要求</w:t>
            </w:r>
          </w:p>
        </w:tc>
      </w:tr>
      <w:tr w14:paraId="03F92C5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020" w:hRule="exact"/>
          <w:jc w:val="center"/>
        </w:trPr>
        <w:tc>
          <w:tcPr>
            <w:tcW w:w="517" w:type="dxa"/>
            <w:vAlign w:val="center"/>
          </w:tcPr>
          <w:p w14:paraId="0FB92E48">
            <w:pPr>
              <w:pStyle w:val="21"/>
              <w:jc w:val="center"/>
              <w:rPr>
                <w:rFonts w:ascii="Times New Roman" w:hAnsi="Times New Roman" w:cs="Times New Roman"/>
                <w:kern w:val="2"/>
                <w:sz w:val="22"/>
                <w:szCs w:val="22"/>
              </w:rPr>
            </w:pPr>
            <w:r>
              <w:rPr>
                <w:rFonts w:ascii="Times New Roman" w:hAnsi="Times New Roman" w:cs="Times New Roman"/>
                <w:kern w:val="2"/>
                <w:sz w:val="22"/>
                <w:szCs w:val="22"/>
              </w:rPr>
              <w:t>1</w:t>
            </w:r>
          </w:p>
        </w:tc>
        <w:tc>
          <w:tcPr>
            <w:tcW w:w="1795" w:type="dxa"/>
            <w:vAlign w:val="center"/>
          </w:tcPr>
          <w:p w14:paraId="6320D3B4">
            <w:pPr>
              <w:pStyle w:val="21"/>
              <w:spacing w:line="276" w:lineRule="auto"/>
              <w:ind w:firstLine="440" w:firstLineChars="200"/>
              <w:rPr>
                <w:rFonts w:ascii="Times New Roman" w:hAnsi="Times New Roman" w:cs="Times New Roman"/>
                <w:kern w:val="2"/>
                <w:sz w:val="22"/>
                <w:szCs w:val="22"/>
              </w:rPr>
            </w:pPr>
            <w:r>
              <w:rPr>
                <w:rFonts w:hint="eastAsia" w:ascii="Times New Roman" w:hAnsi="Times New Roman" w:cs="Times New Roman"/>
                <w:kern w:val="2"/>
                <w:sz w:val="22"/>
                <w:szCs w:val="22"/>
              </w:rPr>
              <w:t>采购预算</w:t>
            </w:r>
          </w:p>
          <w:p w14:paraId="6AAD7E85">
            <w:pPr>
              <w:pStyle w:val="21"/>
              <w:spacing w:line="276" w:lineRule="auto"/>
              <w:ind w:firstLine="220" w:firstLineChars="100"/>
              <w:rPr>
                <w:rFonts w:ascii="Times New Roman" w:hAnsi="Times New Roman" w:cs="Times New Roman"/>
                <w:kern w:val="2"/>
                <w:sz w:val="22"/>
                <w:szCs w:val="22"/>
              </w:rPr>
            </w:pPr>
            <w:r>
              <w:rPr>
                <w:rFonts w:hint="eastAsia" w:ascii="Times New Roman" w:hAnsi="Times New Roman" w:cs="Times New Roman"/>
                <w:kern w:val="2"/>
                <w:sz w:val="22"/>
                <w:szCs w:val="22"/>
              </w:rPr>
              <w:t>（最高限价）</w:t>
            </w:r>
          </w:p>
        </w:tc>
        <w:tc>
          <w:tcPr>
            <w:tcW w:w="6374" w:type="dxa"/>
            <w:vAlign w:val="center"/>
          </w:tcPr>
          <w:p w14:paraId="60CE4467">
            <w:pPr>
              <w:keepNext w:val="0"/>
              <w:keepLines w:val="0"/>
              <w:pageBreakBefore w:val="0"/>
              <w:kinsoku/>
              <w:wordWrap/>
              <w:overflowPunct/>
              <w:topLinePunct w:val="0"/>
              <w:bidi w:val="0"/>
              <w:adjustRightInd/>
              <w:snapToGrid/>
              <w:spacing w:line="360" w:lineRule="auto"/>
              <w:ind w:firstLine="440" w:firstLineChars="200"/>
              <w:rPr>
                <w:rFonts w:ascii="Times New Roman" w:hAnsi="Times New Roman"/>
                <w:sz w:val="22"/>
                <w:szCs w:val="22"/>
              </w:rPr>
            </w:pPr>
            <w:r>
              <w:rPr>
                <w:rFonts w:hint="eastAsia" w:ascii="Times New Roman" w:hAnsi="Times New Roman" w:cs="Times New Roman"/>
                <w:kern w:val="2"/>
                <w:sz w:val="22"/>
                <w:szCs w:val="22"/>
              </w:rPr>
              <w:t>本项目投标报价不得超过采购预算</w:t>
            </w:r>
            <w:r>
              <w:rPr>
                <w:rFonts w:hint="eastAsia" w:ascii="Times New Roman" w:hAnsi="Times New Roman" w:cs="Times New Roman"/>
                <w:kern w:val="2"/>
                <w:sz w:val="22"/>
                <w:szCs w:val="22"/>
                <w:lang w:eastAsia="zh-CN"/>
              </w:rPr>
              <w:t>：</w:t>
            </w:r>
            <w:r>
              <w:rPr>
                <w:rFonts w:hint="eastAsia" w:ascii="宋体" w:hAnsi="宋体" w:eastAsia="宋体" w:cs="Times New Roman"/>
                <w:sz w:val="24"/>
                <w:lang w:eastAsia="zh-CN"/>
              </w:rPr>
              <w:t>采购预算：</w:t>
            </w:r>
            <w:r>
              <w:rPr>
                <w:rFonts w:hint="eastAsia" w:ascii="宋体" w:hAnsi="宋体" w:eastAsia="宋体" w:cs="Times New Roman"/>
                <w:sz w:val="24"/>
                <w:lang w:val="en-US" w:eastAsia="zh-CN"/>
              </w:rPr>
              <w:t>1344334元，其中01包814382元，02包529952元</w:t>
            </w:r>
            <w:r>
              <w:rPr>
                <w:rFonts w:hint="eastAsia" w:hAnsi="宋体" w:cs="Times New Roman"/>
                <w:sz w:val="24"/>
                <w:lang w:eastAsia="zh-CN"/>
              </w:rPr>
              <w:t>。</w:t>
            </w:r>
          </w:p>
          <w:p w14:paraId="24E9FC25">
            <w:pPr>
              <w:pStyle w:val="21"/>
              <w:spacing w:line="276" w:lineRule="auto"/>
              <w:ind w:firstLine="220" w:firstLineChars="100"/>
              <w:rPr>
                <w:rFonts w:ascii="Times New Roman" w:hAnsi="Times New Roman" w:cs="Times New Roman"/>
                <w:kern w:val="2"/>
                <w:sz w:val="22"/>
                <w:szCs w:val="22"/>
              </w:rPr>
            </w:pPr>
            <w:r>
              <w:rPr>
                <w:rFonts w:hint="eastAsia" w:ascii="Times New Roman" w:hAnsi="Times New Roman" w:cs="Times New Roman"/>
                <w:kern w:val="2"/>
                <w:sz w:val="22"/>
                <w:szCs w:val="22"/>
              </w:rPr>
              <w:t>投标报价超过采购预算（最高限价）</w:t>
            </w:r>
            <w:r>
              <w:rPr>
                <w:rFonts w:hint="eastAsia" w:ascii="Times New Roman" w:hAnsi="Times New Roman" w:cs="Times New Roman"/>
                <w:kern w:val="2"/>
                <w:sz w:val="22"/>
                <w:szCs w:val="22"/>
                <w:lang w:val="en-US" w:eastAsia="zh-CN"/>
              </w:rPr>
              <w:t>或</w:t>
            </w:r>
            <w:r>
              <w:rPr>
                <w:rFonts w:hint="eastAsia" w:ascii="Times New Roman" w:hAnsi="Times New Roman" w:cs="Times New Roman"/>
                <w:kern w:val="2"/>
                <w:sz w:val="22"/>
                <w:szCs w:val="22"/>
              </w:rPr>
              <w:t>单品最高限价的投标文件，将被视为无效投标文件。</w:t>
            </w:r>
          </w:p>
        </w:tc>
      </w:tr>
      <w:tr w14:paraId="27BE97F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40" w:hRule="exact"/>
          <w:jc w:val="center"/>
        </w:trPr>
        <w:tc>
          <w:tcPr>
            <w:tcW w:w="517" w:type="dxa"/>
            <w:vAlign w:val="center"/>
          </w:tcPr>
          <w:p w14:paraId="706A5175">
            <w:pPr>
              <w:pStyle w:val="21"/>
              <w:jc w:val="center"/>
              <w:rPr>
                <w:rFonts w:ascii="Times New Roman" w:hAnsi="Times New Roman" w:cs="Times New Roman"/>
                <w:kern w:val="2"/>
                <w:sz w:val="22"/>
                <w:szCs w:val="22"/>
              </w:rPr>
            </w:pPr>
            <w:r>
              <w:rPr>
                <w:rFonts w:ascii="Times New Roman" w:hAnsi="Times New Roman" w:cs="Times New Roman"/>
                <w:kern w:val="2"/>
                <w:sz w:val="22"/>
                <w:szCs w:val="22"/>
              </w:rPr>
              <w:t>2</w:t>
            </w:r>
          </w:p>
        </w:tc>
        <w:tc>
          <w:tcPr>
            <w:tcW w:w="1795" w:type="dxa"/>
            <w:vAlign w:val="center"/>
          </w:tcPr>
          <w:p w14:paraId="64D6E90D">
            <w:pPr>
              <w:pStyle w:val="21"/>
              <w:spacing w:line="276" w:lineRule="auto"/>
              <w:ind w:left="38" w:firstLine="220" w:firstLineChars="100"/>
              <w:rPr>
                <w:rFonts w:ascii="Times New Roman" w:hAnsi="Times New Roman" w:cs="Times New Roman"/>
                <w:kern w:val="2"/>
                <w:sz w:val="22"/>
                <w:szCs w:val="22"/>
              </w:rPr>
            </w:pPr>
            <w:r>
              <w:rPr>
                <w:rFonts w:hint="eastAsia" w:ascii="Times New Roman" w:hAnsi="Times New Roman" w:cs="Times New Roman"/>
                <w:kern w:val="2"/>
                <w:sz w:val="22"/>
                <w:szCs w:val="22"/>
              </w:rPr>
              <w:t>采购方式</w:t>
            </w:r>
          </w:p>
        </w:tc>
        <w:tc>
          <w:tcPr>
            <w:tcW w:w="6374" w:type="dxa"/>
            <w:vAlign w:val="center"/>
          </w:tcPr>
          <w:p w14:paraId="465DD5EE">
            <w:pPr>
              <w:pStyle w:val="21"/>
              <w:spacing w:line="276" w:lineRule="auto"/>
              <w:ind w:firstLine="110" w:firstLineChars="50"/>
              <w:rPr>
                <w:rFonts w:ascii="Times New Roman" w:hAnsi="Times New Roman" w:cs="Times New Roman"/>
                <w:kern w:val="2"/>
                <w:sz w:val="22"/>
                <w:szCs w:val="22"/>
              </w:rPr>
            </w:pPr>
            <w:r>
              <w:rPr>
                <w:rFonts w:hint="eastAsia" w:ascii="Times New Roman" w:hAnsi="Times New Roman" w:cs="Times New Roman"/>
                <w:kern w:val="2"/>
                <w:sz w:val="22"/>
                <w:szCs w:val="22"/>
              </w:rPr>
              <w:t>公开招标</w:t>
            </w:r>
          </w:p>
        </w:tc>
      </w:tr>
      <w:tr w14:paraId="2B846A1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14" w:hRule="atLeast"/>
          <w:jc w:val="center"/>
        </w:trPr>
        <w:tc>
          <w:tcPr>
            <w:tcW w:w="517" w:type="dxa"/>
            <w:vAlign w:val="center"/>
          </w:tcPr>
          <w:p w14:paraId="2B67559E">
            <w:pPr>
              <w:pStyle w:val="21"/>
              <w:jc w:val="center"/>
              <w:rPr>
                <w:rFonts w:ascii="Times New Roman" w:hAnsi="Times New Roman" w:cs="Times New Roman"/>
                <w:kern w:val="2"/>
                <w:sz w:val="22"/>
                <w:szCs w:val="22"/>
              </w:rPr>
            </w:pPr>
            <w:r>
              <w:rPr>
                <w:rFonts w:ascii="Times New Roman" w:hAnsi="Times New Roman" w:cs="Times New Roman"/>
                <w:kern w:val="2"/>
                <w:sz w:val="22"/>
                <w:szCs w:val="22"/>
              </w:rPr>
              <w:t>3</w:t>
            </w:r>
          </w:p>
        </w:tc>
        <w:tc>
          <w:tcPr>
            <w:tcW w:w="1795" w:type="dxa"/>
            <w:vAlign w:val="center"/>
          </w:tcPr>
          <w:p w14:paraId="19FEC9DE">
            <w:pPr>
              <w:pStyle w:val="21"/>
              <w:spacing w:line="276" w:lineRule="auto"/>
              <w:ind w:left="96" w:firstLine="220" w:firstLineChars="100"/>
              <w:rPr>
                <w:rFonts w:ascii="Times New Roman" w:hAnsi="Times New Roman" w:cs="Times New Roman"/>
                <w:kern w:val="2"/>
                <w:sz w:val="22"/>
                <w:szCs w:val="22"/>
              </w:rPr>
            </w:pPr>
            <w:r>
              <w:rPr>
                <w:rFonts w:hint="eastAsia" w:ascii="Times New Roman" w:hAnsi="Times New Roman" w:cs="Times New Roman"/>
                <w:kern w:val="2"/>
                <w:sz w:val="22"/>
                <w:szCs w:val="22"/>
              </w:rPr>
              <w:t>评标方法</w:t>
            </w:r>
          </w:p>
        </w:tc>
        <w:tc>
          <w:tcPr>
            <w:tcW w:w="6374" w:type="dxa"/>
            <w:vAlign w:val="center"/>
          </w:tcPr>
          <w:p w14:paraId="4807B80A">
            <w:pPr>
              <w:pStyle w:val="21"/>
              <w:spacing w:line="276" w:lineRule="auto"/>
              <w:ind w:firstLine="110" w:firstLineChars="50"/>
              <w:rPr>
                <w:rFonts w:ascii="Times New Roman" w:hAnsi="Times New Roman" w:cs="Times New Roman"/>
                <w:kern w:val="2"/>
                <w:sz w:val="22"/>
                <w:szCs w:val="22"/>
              </w:rPr>
            </w:pPr>
            <w:r>
              <w:rPr>
                <w:rFonts w:hint="eastAsia" w:ascii="Times New Roman" w:hAnsi="Times New Roman" w:cs="Times New Roman"/>
                <w:kern w:val="2"/>
                <w:sz w:val="22"/>
                <w:szCs w:val="22"/>
              </w:rPr>
              <w:t>综合评分法</w:t>
            </w:r>
          </w:p>
        </w:tc>
      </w:tr>
      <w:tr w14:paraId="7A546DF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660" w:hRule="atLeast"/>
          <w:jc w:val="center"/>
        </w:trPr>
        <w:tc>
          <w:tcPr>
            <w:tcW w:w="517" w:type="dxa"/>
            <w:vAlign w:val="center"/>
          </w:tcPr>
          <w:p w14:paraId="6C8F5490">
            <w:pPr>
              <w:pStyle w:val="21"/>
              <w:jc w:val="center"/>
              <w:rPr>
                <w:rFonts w:ascii="Times New Roman" w:hAnsi="Times New Roman" w:cs="Times New Roman"/>
                <w:kern w:val="2"/>
                <w:sz w:val="22"/>
                <w:szCs w:val="22"/>
              </w:rPr>
            </w:pPr>
            <w:r>
              <w:rPr>
                <w:rFonts w:ascii="Times New Roman" w:hAnsi="Times New Roman" w:cs="Times New Roman"/>
                <w:kern w:val="2"/>
                <w:sz w:val="22"/>
                <w:szCs w:val="22"/>
              </w:rPr>
              <w:t>4</w:t>
            </w:r>
          </w:p>
        </w:tc>
        <w:tc>
          <w:tcPr>
            <w:tcW w:w="1795" w:type="dxa"/>
            <w:vAlign w:val="center"/>
          </w:tcPr>
          <w:p w14:paraId="25400FA3">
            <w:pPr>
              <w:pStyle w:val="21"/>
              <w:spacing w:line="276" w:lineRule="auto"/>
              <w:ind w:left="96"/>
              <w:rPr>
                <w:rFonts w:ascii="Times New Roman" w:hAnsi="Times New Roman" w:cs="Times New Roman"/>
                <w:kern w:val="2"/>
                <w:sz w:val="22"/>
                <w:szCs w:val="22"/>
              </w:rPr>
            </w:pPr>
            <w:r>
              <w:rPr>
                <w:rFonts w:hint="eastAsia" w:ascii="Times New Roman" w:hAnsi="Times New Roman" w:cs="Times New Roman"/>
                <w:kern w:val="2"/>
                <w:sz w:val="22"/>
                <w:szCs w:val="22"/>
              </w:rPr>
              <w:t>投标保证金</w:t>
            </w:r>
          </w:p>
        </w:tc>
        <w:tc>
          <w:tcPr>
            <w:tcW w:w="6374" w:type="dxa"/>
            <w:vAlign w:val="center"/>
          </w:tcPr>
          <w:p w14:paraId="48D1EAF6">
            <w:pPr>
              <w:pStyle w:val="21"/>
              <w:ind w:firstLine="221" w:firstLineChars="100"/>
              <w:rPr>
                <w:rFonts w:hint="default" w:ascii="Times New Roman" w:hAnsi="Times New Roman" w:cs="Times New Roman" w:eastAsiaTheme="minorEastAsia"/>
                <w:b/>
                <w:sz w:val="22"/>
                <w:szCs w:val="22"/>
                <w:lang w:val="en-US" w:eastAsia="zh-CN"/>
              </w:rPr>
            </w:pPr>
            <w:r>
              <w:rPr>
                <w:rFonts w:hint="eastAsia" w:ascii="Times New Roman" w:hAnsi="Times New Roman" w:cs="Times New Roman" w:eastAsiaTheme="minorEastAsia"/>
                <w:b/>
                <w:sz w:val="22"/>
                <w:szCs w:val="22"/>
                <w:lang w:val="en-US" w:eastAsia="zh-CN"/>
              </w:rPr>
              <w:t>本项目不适用</w:t>
            </w:r>
          </w:p>
        </w:tc>
      </w:tr>
      <w:tr w14:paraId="69D924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71" w:hRule="atLeast"/>
          <w:jc w:val="center"/>
        </w:trPr>
        <w:tc>
          <w:tcPr>
            <w:tcW w:w="517" w:type="dxa"/>
            <w:vAlign w:val="center"/>
          </w:tcPr>
          <w:p w14:paraId="6D170186">
            <w:pPr>
              <w:pStyle w:val="21"/>
              <w:jc w:val="center"/>
              <w:rPr>
                <w:rFonts w:ascii="Times New Roman" w:hAnsi="Times New Roman" w:cs="Times New Roman"/>
                <w:kern w:val="2"/>
                <w:sz w:val="22"/>
                <w:szCs w:val="22"/>
              </w:rPr>
            </w:pPr>
            <w:bookmarkStart w:id="37" w:name="_Toc183582205"/>
            <w:bookmarkStart w:id="38" w:name="_Toc183682342"/>
            <w:bookmarkStart w:id="39" w:name="_Toc217446034"/>
            <w:r>
              <w:rPr>
                <w:rFonts w:ascii="Times New Roman" w:hAnsi="Times New Roman" w:cs="Times New Roman"/>
                <w:kern w:val="2"/>
                <w:sz w:val="22"/>
                <w:szCs w:val="22"/>
              </w:rPr>
              <w:t>5</w:t>
            </w:r>
          </w:p>
        </w:tc>
        <w:tc>
          <w:tcPr>
            <w:tcW w:w="1795" w:type="dxa"/>
            <w:vAlign w:val="center"/>
          </w:tcPr>
          <w:p w14:paraId="6ABF6485">
            <w:pPr>
              <w:pStyle w:val="21"/>
              <w:spacing w:line="276" w:lineRule="auto"/>
              <w:ind w:left="96"/>
              <w:rPr>
                <w:rFonts w:ascii="Times New Roman" w:hAnsi="Times New Roman" w:cs="Times New Roman"/>
                <w:sz w:val="22"/>
                <w:szCs w:val="22"/>
                <w:lang w:val="zh-CN"/>
              </w:rPr>
            </w:pPr>
            <w:r>
              <w:rPr>
                <w:rFonts w:hint="eastAsia" w:ascii="Times New Roman" w:cs="Times New Roman"/>
                <w:sz w:val="22"/>
                <w:szCs w:val="22"/>
                <w:lang w:val="zh-CN"/>
              </w:rPr>
              <w:t>履约保证金</w:t>
            </w:r>
          </w:p>
        </w:tc>
        <w:tc>
          <w:tcPr>
            <w:tcW w:w="6374" w:type="dxa"/>
            <w:vAlign w:val="center"/>
          </w:tcPr>
          <w:p w14:paraId="43F1DCB2">
            <w:pPr>
              <w:pStyle w:val="21"/>
              <w:ind w:firstLine="221" w:firstLineChars="100"/>
              <w:rPr>
                <w:rFonts w:ascii="Times New Roman" w:hAnsi="Times New Roman" w:cs="Times New Roman"/>
                <w:sz w:val="22"/>
                <w:szCs w:val="22"/>
                <w:highlight w:val="yellow"/>
                <w:lang w:val="zh-CN"/>
              </w:rPr>
            </w:pPr>
            <w:r>
              <w:rPr>
                <w:rFonts w:hint="eastAsia" w:ascii="Times New Roman" w:hAnsi="Times New Roman" w:cs="Times New Roman" w:eastAsiaTheme="minorEastAsia"/>
                <w:b/>
                <w:sz w:val="22"/>
                <w:szCs w:val="22"/>
                <w:lang w:val="en-US" w:eastAsia="zh-CN"/>
              </w:rPr>
              <w:t>本项目不适用</w:t>
            </w:r>
          </w:p>
        </w:tc>
      </w:tr>
      <w:tr w14:paraId="3A9011C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42" w:hRule="atLeast"/>
          <w:jc w:val="center"/>
        </w:trPr>
        <w:tc>
          <w:tcPr>
            <w:tcW w:w="517" w:type="dxa"/>
            <w:vAlign w:val="center"/>
          </w:tcPr>
          <w:p w14:paraId="6DB9DAD1">
            <w:pPr>
              <w:pStyle w:val="21"/>
              <w:ind w:firstLine="110" w:firstLineChars="50"/>
              <w:rPr>
                <w:rFonts w:ascii="Times New Roman" w:hAnsi="Times New Roman" w:cs="Times New Roman"/>
                <w:kern w:val="2"/>
                <w:sz w:val="22"/>
                <w:szCs w:val="22"/>
              </w:rPr>
            </w:pPr>
            <w:r>
              <w:rPr>
                <w:rFonts w:ascii="Times New Roman" w:hAnsi="Times New Roman" w:cs="Times New Roman"/>
                <w:sz w:val="22"/>
                <w:szCs w:val="22"/>
              </w:rPr>
              <w:t>6</w:t>
            </w:r>
          </w:p>
        </w:tc>
        <w:tc>
          <w:tcPr>
            <w:tcW w:w="1795" w:type="dxa"/>
            <w:vAlign w:val="center"/>
          </w:tcPr>
          <w:p w14:paraId="6C605193">
            <w:pPr>
              <w:pStyle w:val="21"/>
              <w:spacing w:line="370" w:lineRule="exact"/>
              <w:rPr>
                <w:sz w:val="22"/>
                <w:szCs w:val="22"/>
              </w:rPr>
            </w:pPr>
            <w:r>
              <w:rPr>
                <w:rFonts w:hint="eastAsia"/>
                <w:sz w:val="22"/>
                <w:szCs w:val="22"/>
              </w:rPr>
              <w:t>节能、环保产品政府采购政策</w:t>
            </w:r>
          </w:p>
        </w:tc>
        <w:tc>
          <w:tcPr>
            <w:tcW w:w="6374" w:type="dxa"/>
            <w:vAlign w:val="center"/>
          </w:tcPr>
          <w:p w14:paraId="02A80345">
            <w:pPr>
              <w:pStyle w:val="21"/>
              <w:spacing w:line="370" w:lineRule="exact"/>
              <w:ind w:firstLine="110" w:firstLineChars="50"/>
              <w:rPr>
                <w:b/>
                <w:sz w:val="22"/>
                <w:szCs w:val="22"/>
                <w:lang w:val="zh-CN"/>
              </w:rPr>
            </w:pPr>
            <w:r>
              <w:rPr>
                <w:rFonts w:hint="eastAsia"/>
                <w:b/>
                <w:sz w:val="22"/>
                <w:szCs w:val="22"/>
                <w:lang w:val="zh-CN"/>
              </w:rPr>
              <w:t>节能、</w:t>
            </w:r>
            <w:r>
              <w:rPr>
                <w:b/>
                <w:sz w:val="22"/>
                <w:szCs w:val="22"/>
                <w:lang w:val="zh-CN"/>
              </w:rPr>
              <w:t>环保产品政府采购政策：</w:t>
            </w:r>
          </w:p>
          <w:p w14:paraId="4C44CA50">
            <w:pPr>
              <w:pStyle w:val="21"/>
              <w:spacing w:line="370" w:lineRule="exact"/>
              <w:ind w:firstLine="110" w:firstLineChars="50"/>
              <w:rPr>
                <w:sz w:val="22"/>
                <w:szCs w:val="22"/>
                <w:lang w:val="zh-CN"/>
              </w:rPr>
            </w:pPr>
            <w:r>
              <w:rPr>
                <w:rFonts w:hint="eastAsia"/>
                <w:sz w:val="22"/>
                <w:szCs w:val="22"/>
                <w:lang w:val="zh-CN"/>
              </w:rPr>
              <w:t>根据《财政部 发展改革委 生态环境部 市场监管总局关于调整优化节能产品、环境标志产品政府采购执行机制的通知》（财库〔2019〕9号）相关要求，依据品目清单和认证证书实施政府优先采购和强制采购。本项目采购的产品属于品目清单范围的，依据国家确定的认证机构出具的、处于有效期之内的节能产品、环境标志产品认证证书，对获得证书的产品实施政府优先采购或强制采购。</w:t>
            </w:r>
          </w:p>
          <w:p w14:paraId="51316DDC">
            <w:pPr>
              <w:pStyle w:val="21"/>
              <w:spacing w:line="370" w:lineRule="exact"/>
              <w:ind w:firstLine="110" w:firstLineChars="50"/>
              <w:rPr>
                <w:sz w:val="22"/>
                <w:szCs w:val="22"/>
                <w:lang w:val="zh-CN"/>
              </w:rPr>
            </w:pPr>
            <w:r>
              <w:rPr>
                <w:rFonts w:hint="eastAsia"/>
                <w:sz w:val="22"/>
                <w:szCs w:val="22"/>
                <w:lang w:val="zh-CN"/>
              </w:rPr>
              <w:t>本项目采购的产品属于品目清单范围内优先采购的，按照第六章《综合评分明细表》的规则进行加分。</w:t>
            </w:r>
          </w:p>
          <w:p w14:paraId="609407E6">
            <w:pPr>
              <w:pStyle w:val="21"/>
              <w:spacing w:line="370" w:lineRule="exact"/>
              <w:ind w:firstLine="110" w:firstLineChars="50"/>
              <w:rPr>
                <w:sz w:val="22"/>
                <w:szCs w:val="22"/>
                <w:lang w:val="zh-CN"/>
              </w:rPr>
            </w:pPr>
            <w:r>
              <w:rPr>
                <w:rFonts w:hint="eastAsia"/>
                <w:sz w:val="22"/>
                <w:szCs w:val="22"/>
                <w:lang w:val="zh-CN"/>
              </w:rPr>
              <w:t>注：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w:t>
            </w:r>
          </w:p>
        </w:tc>
      </w:tr>
      <w:tr w14:paraId="492056B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71" w:hRule="atLeast"/>
          <w:jc w:val="center"/>
        </w:trPr>
        <w:tc>
          <w:tcPr>
            <w:tcW w:w="517" w:type="dxa"/>
            <w:vAlign w:val="center"/>
          </w:tcPr>
          <w:p w14:paraId="518BF051">
            <w:pPr>
              <w:pStyle w:val="21"/>
              <w:ind w:firstLine="110" w:firstLineChars="50"/>
              <w:rPr>
                <w:rFonts w:ascii="Times New Roman" w:hAnsi="Times New Roman" w:cs="Times New Roman"/>
                <w:sz w:val="22"/>
                <w:szCs w:val="22"/>
              </w:rPr>
            </w:pPr>
            <w:r>
              <w:rPr>
                <w:rFonts w:ascii="Times New Roman" w:hAnsi="Times New Roman" w:cs="Times New Roman"/>
                <w:sz w:val="22"/>
                <w:szCs w:val="22"/>
              </w:rPr>
              <w:t>7</w:t>
            </w:r>
          </w:p>
        </w:tc>
        <w:tc>
          <w:tcPr>
            <w:tcW w:w="1795" w:type="dxa"/>
            <w:vAlign w:val="center"/>
          </w:tcPr>
          <w:p w14:paraId="0FD23E18">
            <w:pPr>
              <w:pStyle w:val="21"/>
              <w:spacing w:line="370" w:lineRule="exact"/>
              <w:rPr>
                <w:rFonts w:ascii="Times New Roman" w:hAnsi="Times New Roman" w:cs="Times New Roman"/>
                <w:sz w:val="22"/>
                <w:szCs w:val="22"/>
                <w:lang w:val="zh-CN"/>
              </w:rPr>
            </w:pPr>
            <w:r>
              <w:rPr>
                <w:rFonts w:hint="eastAsia" w:ascii="Times New Roman" w:cs="Times New Roman"/>
                <w:sz w:val="22"/>
                <w:szCs w:val="22"/>
                <w:lang w:val="zh-CN"/>
              </w:rPr>
              <w:t>小微企业（监狱企业、残疾人福利性单位视同小微企业）价格扣除</w:t>
            </w:r>
          </w:p>
        </w:tc>
        <w:tc>
          <w:tcPr>
            <w:tcW w:w="6374" w:type="dxa"/>
            <w:vAlign w:val="center"/>
          </w:tcPr>
          <w:p w14:paraId="2636DF6B">
            <w:pPr>
              <w:pStyle w:val="21"/>
              <w:ind w:firstLine="110" w:firstLineChars="50"/>
              <w:rPr>
                <w:rFonts w:ascii="Times New Roman" w:cs="Times New Roman"/>
                <w:sz w:val="22"/>
                <w:szCs w:val="22"/>
                <w:lang w:val="zh-CN"/>
              </w:rPr>
            </w:pPr>
            <w:r>
              <w:rPr>
                <w:rFonts w:hint="eastAsia" w:ascii="Times New Roman" w:cs="Times New Roman"/>
                <w:sz w:val="22"/>
                <w:szCs w:val="22"/>
                <w:lang w:val="zh-CN"/>
              </w:rPr>
              <w:t>1、根据《政府采购促进中小企业发展管理办法》（财库〔2020〕46号）的规定，对于经主管预算单位统筹后未预留份额专门面向中小企业采购的采购项目，以及预留份额项目中的非预留部分采购包，对符合规定的小微企业报价给予</w:t>
            </w:r>
            <w:r>
              <w:rPr>
                <w:rFonts w:hint="eastAsia" w:ascii="Times New Roman" w:cs="Times New Roman"/>
                <w:sz w:val="22"/>
                <w:szCs w:val="22"/>
              </w:rPr>
              <w:t>10</w:t>
            </w:r>
            <w:r>
              <w:rPr>
                <w:rFonts w:hint="eastAsia" w:ascii="Times New Roman" w:cs="Times New Roman"/>
                <w:sz w:val="22"/>
                <w:szCs w:val="22"/>
                <w:lang w:val="zh-CN"/>
              </w:rPr>
              <w:t>%的扣除，用扣除后的价格参加评审。</w:t>
            </w:r>
          </w:p>
          <w:p w14:paraId="2A41A5EF">
            <w:pPr>
              <w:pStyle w:val="21"/>
              <w:ind w:firstLine="110" w:firstLineChars="50"/>
              <w:rPr>
                <w:rFonts w:ascii="Times New Roman" w:cs="Times New Roman"/>
                <w:sz w:val="22"/>
                <w:szCs w:val="22"/>
                <w:lang w:val="zh-CN"/>
              </w:rPr>
            </w:pPr>
            <w:r>
              <w:rPr>
                <w:rFonts w:hint="eastAsia" w:ascii="Times New Roman" w:cs="Times New Roman"/>
                <w:sz w:val="22"/>
                <w:szCs w:val="22"/>
                <w:lang w:val="zh-CN"/>
              </w:rPr>
              <w:t>2、参加政府采购活动的中小企业（监狱企业）提供《中小企业（监狱企业）声明函》原件，未提供的，视为放弃享受小微企业价格扣除优惠政策。</w:t>
            </w:r>
          </w:p>
          <w:p w14:paraId="6403A613">
            <w:pPr>
              <w:pStyle w:val="21"/>
              <w:ind w:firstLine="110" w:firstLineChars="50"/>
              <w:rPr>
                <w:rFonts w:ascii="Times New Roman" w:cs="Times New Roman"/>
                <w:sz w:val="22"/>
                <w:szCs w:val="22"/>
                <w:lang w:val="zh-CN"/>
              </w:rPr>
            </w:pPr>
            <w:r>
              <w:rPr>
                <w:rFonts w:hint="eastAsia" w:ascii="Times New Roman" w:cs="Times New Roman"/>
                <w:sz w:val="22"/>
                <w:szCs w:val="22"/>
                <w:lang w:val="zh-CN"/>
              </w:rPr>
              <w:t>3、接受大中型企业与小微企业组成联合体或者允许大中型企业向一家或者多家小微企业分包的采购项目，对于联合协议或者分包意向协议约定小微企业的合同份额占到合同总金额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w:t>
            </w:r>
            <w:r>
              <w:rPr>
                <w:rFonts w:hint="eastAsia" w:ascii="Times New Roman" w:cs="Times New Roman"/>
                <w:sz w:val="22"/>
                <w:szCs w:val="22"/>
              </w:rPr>
              <w:t>4</w:t>
            </w:r>
            <w:r>
              <w:rPr>
                <w:rFonts w:hint="eastAsia" w:ascii="Times New Roman" w:cs="Times New Roman"/>
                <w:sz w:val="22"/>
                <w:szCs w:val="22"/>
                <w:lang w:val="zh-CN"/>
              </w:rPr>
              <w:t>%的扣除，用扣除后的价格参加评审。</w:t>
            </w:r>
          </w:p>
          <w:p w14:paraId="57DCE20F">
            <w:pPr>
              <w:pStyle w:val="21"/>
              <w:ind w:firstLine="110" w:firstLineChars="50"/>
              <w:rPr>
                <w:rFonts w:ascii="Times New Roman" w:cs="Times New Roman"/>
                <w:sz w:val="22"/>
                <w:szCs w:val="22"/>
                <w:lang w:val="zh-CN"/>
              </w:rPr>
            </w:pPr>
            <w:r>
              <w:rPr>
                <w:rFonts w:hint="eastAsia" w:ascii="Times New Roman" w:cs="Times New Roman"/>
                <w:sz w:val="22"/>
                <w:szCs w:val="22"/>
                <w:lang w:val="zh-CN"/>
              </w:rPr>
              <w:t>联合体各方均为小型、微型企业的，联合体视同为小型、微型企业享受规定的扶持政策。组成联合体或者接受分包合同的中小企业与联合体内其他企业、分包企业之间不得存在直接控股、管理关系。</w:t>
            </w:r>
          </w:p>
          <w:p w14:paraId="01C8275A">
            <w:pPr>
              <w:pStyle w:val="21"/>
              <w:ind w:firstLine="110" w:firstLineChars="50"/>
              <w:rPr>
                <w:rFonts w:ascii="Times New Roman" w:cs="Times New Roman"/>
                <w:sz w:val="22"/>
                <w:szCs w:val="22"/>
                <w:lang w:val="zh-CN"/>
              </w:rPr>
            </w:pPr>
            <w:r>
              <w:rPr>
                <w:rFonts w:hint="eastAsia" w:ascii="Times New Roman" w:cs="Times New Roman"/>
                <w:sz w:val="22"/>
                <w:szCs w:val="22"/>
                <w:lang w:val="zh-CN"/>
              </w:rPr>
              <w:t>4、参加政府采购活动的残疾人福利性单位应当提供《残疾人福利性单位声明函》原件，未提供的，视为放弃享受小微企业价格扣除优惠政策。</w:t>
            </w:r>
          </w:p>
          <w:p w14:paraId="7C4C8DC0">
            <w:pPr>
              <w:pStyle w:val="21"/>
              <w:ind w:firstLine="110" w:firstLineChars="50"/>
              <w:rPr>
                <w:rFonts w:ascii="Times New Roman" w:hAnsi="Times New Roman" w:cs="Times New Roman"/>
                <w:sz w:val="22"/>
                <w:szCs w:val="22"/>
                <w:lang w:val="zh-CN"/>
              </w:rPr>
            </w:pPr>
            <w:r>
              <w:rPr>
                <w:rFonts w:hint="eastAsia" w:ascii="Times New Roman" w:cs="Times New Roman"/>
                <w:sz w:val="22"/>
                <w:szCs w:val="22"/>
                <w:lang w:val="zh-CN"/>
              </w:rPr>
              <w:t>5. 符合中小企业划分标准的个体工商户，在政府采购活动中视同中小企业。</w:t>
            </w:r>
          </w:p>
        </w:tc>
      </w:tr>
      <w:tr w14:paraId="2786009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901" w:hRule="atLeast"/>
          <w:jc w:val="center"/>
        </w:trPr>
        <w:tc>
          <w:tcPr>
            <w:tcW w:w="517" w:type="dxa"/>
            <w:vAlign w:val="center"/>
          </w:tcPr>
          <w:p w14:paraId="3D77FB64">
            <w:pPr>
              <w:pStyle w:val="21"/>
              <w:jc w:val="center"/>
              <w:rPr>
                <w:rFonts w:ascii="Times New Roman" w:hAnsi="Times New Roman" w:cs="Times New Roman"/>
                <w:kern w:val="2"/>
                <w:sz w:val="22"/>
                <w:szCs w:val="22"/>
              </w:rPr>
            </w:pPr>
            <w:r>
              <w:rPr>
                <w:rFonts w:ascii="Times New Roman" w:hAnsi="Times New Roman" w:cs="Times New Roman"/>
                <w:kern w:val="2"/>
                <w:sz w:val="22"/>
                <w:szCs w:val="22"/>
              </w:rPr>
              <w:t>8</w:t>
            </w:r>
          </w:p>
        </w:tc>
        <w:tc>
          <w:tcPr>
            <w:tcW w:w="1795" w:type="dxa"/>
            <w:vAlign w:val="center"/>
          </w:tcPr>
          <w:p w14:paraId="63FF334B">
            <w:pPr>
              <w:pStyle w:val="21"/>
              <w:spacing w:line="276" w:lineRule="auto"/>
              <w:ind w:left="96"/>
              <w:rPr>
                <w:rFonts w:ascii="Times New Roman" w:hAnsi="Times New Roman" w:cs="Times New Roman"/>
                <w:kern w:val="2"/>
                <w:sz w:val="22"/>
                <w:szCs w:val="22"/>
              </w:rPr>
            </w:pPr>
            <w:r>
              <w:rPr>
                <w:rFonts w:hint="eastAsia" w:ascii="Times New Roman" w:cs="Times New Roman"/>
                <w:b/>
                <w:bCs/>
                <w:sz w:val="22"/>
                <w:szCs w:val="22"/>
                <w:lang w:val="zh-CN"/>
              </w:rPr>
              <w:t>招标服务费（</w:t>
            </w:r>
            <w:r>
              <w:rPr>
                <w:rFonts w:hint="eastAsia" w:ascii="Times New Roman" w:cs="Times New Roman"/>
                <w:b/>
                <w:bCs/>
                <w:sz w:val="22"/>
                <w:szCs w:val="22"/>
                <w:lang w:val="en-US" w:eastAsia="zh-CN"/>
              </w:rPr>
              <w:t>实质性要求</w:t>
            </w:r>
            <w:r>
              <w:rPr>
                <w:rFonts w:hint="eastAsia" w:ascii="Times New Roman" w:cs="Times New Roman"/>
                <w:b/>
                <w:bCs/>
                <w:sz w:val="22"/>
                <w:szCs w:val="22"/>
                <w:lang w:val="zh-CN"/>
              </w:rPr>
              <w:t>）</w:t>
            </w:r>
          </w:p>
        </w:tc>
        <w:tc>
          <w:tcPr>
            <w:tcW w:w="6374" w:type="dxa"/>
            <w:vAlign w:val="center"/>
          </w:tcPr>
          <w:p w14:paraId="2EF8E087">
            <w:pPr>
              <w:pStyle w:val="21"/>
              <w:ind w:firstLine="630" w:firstLineChars="300"/>
              <w:rPr>
                <w:rFonts w:hint="eastAsia" w:ascii="宋体" w:hAnsi="宋体" w:eastAsia="宋体" w:cs="宋体"/>
                <w:kern w:val="2"/>
                <w:sz w:val="21"/>
                <w:szCs w:val="21"/>
                <w:highlight w:val="none"/>
                <w:lang w:val="zh-CN"/>
              </w:rPr>
            </w:pPr>
            <w:r>
              <w:rPr>
                <w:rFonts w:hint="eastAsia" w:ascii="宋体" w:hAnsi="宋体" w:eastAsia="宋体" w:cs="宋体"/>
                <w:kern w:val="2"/>
                <w:sz w:val="21"/>
                <w:szCs w:val="21"/>
                <w:highlight w:val="none"/>
                <w:lang w:val="zh-CN"/>
              </w:rPr>
              <w:t>以</w:t>
            </w:r>
            <w:r>
              <w:rPr>
                <w:rFonts w:hint="eastAsia" w:ascii="宋体" w:hAnsi="宋体" w:eastAsia="宋体" w:cs="宋体"/>
                <w:kern w:val="2"/>
                <w:sz w:val="21"/>
                <w:szCs w:val="21"/>
                <w:highlight w:val="none"/>
                <w:lang w:val="en-US" w:eastAsia="zh-CN"/>
              </w:rPr>
              <w:t>中标</w:t>
            </w:r>
            <w:r>
              <w:rPr>
                <w:rFonts w:hint="eastAsia" w:ascii="宋体" w:hAnsi="宋体" w:eastAsia="宋体" w:cs="宋体"/>
                <w:kern w:val="2"/>
                <w:sz w:val="21"/>
                <w:szCs w:val="21"/>
                <w:highlight w:val="none"/>
                <w:lang w:val="zh-CN"/>
              </w:rPr>
              <w:t>金额为基数，参照国家计委计价格[2002]1980号及发改办价格[2003]857号通知规定</w:t>
            </w:r>
            <w:r>
              <w:rPr>
                <w:rFonts w:hint="eastAsia" w:ascii="宋体" w:hAnsi="宋体" w:eastAsia="宋体" w:cs="宋体"/>
                <w:kern w:val="2"/>
                <w:sz w:val="21"/>
                <w:szCs w:val="21"/>
                <w:highlight w:val="none"/>
              </w:rPr>
              <w:t>收取</w:t>
            </w:r>
            <w:r>
              <w:rPr>
                <w:rFonts w:hint="eastAsia" w:cs="宋体"/>
                <w:kern w:val="2"/>
                <w:sz w:val="21"/>
                <w:szCs w:val="21"/>
                <w:highlight w:val="none"/>
                <w:lang w:val="en-US" w:eastAsia="zh-CN"/>
              </w:rPr>
              <w:t>下浮20%</w:t>
            </w:r>
            <w:r>
              <w:rPr>
                <w:rFonts w:hint="eastAsia" w:ascii="宋体" w:hAnsi="宋体" w:eastAsia="宋体" w:cs="宋体"/>
                <w:kern w:val="2"/>
                <w:sz w:val="21"/>
                <w:szCs w:val="21"/>
                <w:highlight w:val="none"/>
                <w:lang w:val="zh-CN"/>
              </w:rPr>
              <w:t>，由</w:t>
            </w:r>
            <w:r>
              <w:rPr>
                <w:rFonts w:hint="eastAsia" w:ascii="宋体" w:hAnsi="宋体" w:eastAsia="宋体" w:cs="宋体"/>
                <w:kern w:val="2"/>
                <w:sz w:val="21"/>
                <w:szCs w:val="21"/>
                <w:highlight w:val="none"/>
                <w:lang w:val="en-US" w:eastAsia="zh-CN"/>
              </w:rPr>
              <w:t>中标</w:t>
            </w:r>
            <w:r>
              <w:rPr>
                <w:rFonts w:hint="eastAsia" w:ascii="宋体" w:hAnsi="宋体" w:eastAsia="宋体" w:cs="宋体"/>
                <w:kern w:val="2"/>
                <w:sz w:val="21"/>
                <w:szCs w:val="21"/>
                <w:highlight w:val="none"/>
                <w:lang w:val="zh-CN"/>
              </w:rPr>
              <w:t>人在领取</w:t>
            </w:r>
            <w:r>
              <w:rPr>
                <w:rFonts w:hint="eastAsia" w:ascii="宋体" w:hAnsi="宋体" w:eastAsia="宋体" w:cs="宋体"/>
                <w:kern w:val="2"/>
                <w:sz w:val="21"/>
                <w:szCs w:val="21"/>
                <w:highlight w:val="none"/>
                <w:lang w:val="en-US" w:eastAsia="zh-CN"/>
              </w:rPr>
              <w:t>中标</w:t>
            </w:r>
            <w:r>
              <w:rPr>
                <w:rFonts w:hint="eastAsia" w:ascii="宋体" w:hAnsi="宋体" w:eastAsia="宋体" w:cs="宋体"/>
                <w:kern w:val="2"/>
                <w:sz w:val="21"/>
                <w:szCs w:val="21"/>
                <w:highlight w:val="none"/>
                <w:lang w:val="zh-CN"/>
              </w:rPr>
              <w:t>通知书前向招标代理机构交纳招标服务费。</w:t>
            </w:r>
          </w:p>
          <w:p w14:paraId="0751DD03">
            <w:pPr>
              <w:pStyle w:val="21"/>
              <w:rPr>
                <w:rFonts w:hint="eastAsia" w:ascii="宋体" w:hAnsi="宋体" w:eastAsia="宋体" w:cs="宋体"/>
                <w:kern w:val="2"/>
                <w:sz w:val="21"/>
                <w:szCs w:val="21"/>
                <w:highlight w:val="none"/>
                <w:lang w:val="zh-CN"/>
              </w:rPr>
            </w:pPr>
            <w:r>
              <w:rPr>
                <w:rFonts w:hint="eastAsia" w:ascii="宋体" w:hAnsi="宋体" w:eastAsia="宋体" w:cs="宋体"/>
                <w:kern w:val="2"/>
                <w:sz w:val="21"/>
                <w:szCs w:val="21"/>
                <w:highlight w:val="none"/>
                <w:lang w:val="zh-CN"/>
              </w:rPr>
              <w:t>招标代理服务费支付方式：银行转账或现金方式</w:t>
            </w:r>
          </w:p>
          <w:p w14:paraId="60B4EB48">
            <w:pPr>
              <w:pStyle w:val="21"/>
              <w:ind w:firstLine="105" w:firstLineChars="50"/>
              <w:rPr>
                <w:rFonts w:hint="eastAsia" w:ascii="宋体" w:hAnsi="宋体" w:eastAsia="宋体" w:cs="宋体"/>
                <w:kern w:val="2"/>
                <w:sz w:val="21"/>
                <w:szCs w:val="21"/>
                <w:highlight w:val="none"/>
                <w:lang w:val="zh-CN"/>
              </w:rPr>
            </w:pPr>
            <w:r>
              <w:rPr>
                <w:rFonts w:hint="eastAsia" w:ascii="宋体" w:hAnsi="宋体" w:eastAsia="宋体" w:cs="宋体"/>
                <w:kern w:val="2"/>
                <w:sz w:val="21"/>
                <w:szCs w:val="21"/>
                <w:highlight w:val="none"/>
                <w:lang w:val="zh-CN"/>
              </w:rPr>
              <w:t>收款单位：四川国际招标有限责任公司陕西分公司</w:t>
            </w:r>
          </w:p>
          <w:p w14:paraId="74D89B9D">
            <w:pPr>
              <w:pStyle w:val="21"/>
              <w:ind w:firstLine="105" w:firstLineChars="50"/>
              <w:rPr>
                <w:rFonts w:hint="eastAsia" w:ascii="宋体" w:hAnsi="宋体" w:eastAsia="宋体" w:cs="宋体"/>
                <w:kern w:val="2"/>
                <w:sz w:val="21"/>
                <w:szCs w:val="21"/>
                <w:highlight w:val="none"/>
                <w:lang w:val="zh-CN"/>
              </w:rPr>
            </w:pPr>
            <w:r>
              <w:rPr>
                <w:rFonts w:hint="eastAsia" w:ascii="宋体" w:hAnsi="宋体" w:eastAsia="宋体" w:cs="宋体"/>
                <w:kern w:val="2"/>
                <w:sz w:val="21"/>
                <w:szCs w:val="21"/>
                <w:highlight w:val="none"/>
                <w:lang w:val="zh-CN"/>
              </w:rPr>
              <w:t>开 户 行：中国民生银行股份有限公司西安高新开发区支行</w:t>
            </w:r>
          </w:p>
          <w:p w14:paraId="16627A9E">
            <w:pPr>
              <w:pStyle w:val="21"/>
              <w:ind w:firstLine="105" w:firstLineChars="50"/>
              <w:rPr>
                <w:rFonts w:hint="eastAsia" w:ascii="宋体" w:hAnsi="宋体" w:eastAsia="宋体" w:cs="宋体"/>
                <w:kern w:val="2"/>
                <w:sz w:val="21"/>
                <w:szCs w:val="21"/>
                <w:highlight w:val="none"/>
                <w:lang w:val="zh-CN"/>
              </w:rPr>
            </w:pPr>
            <w:r>
              <w:rPr>
                <w:rFonts w:hint="eastAsia" w:ascii="宋体" w:hAnsi="宋体" w:eastAsia="宋体" w:cs="宋体"/>
                <w:kern w:val="2"/>
                <w:sz w:val="21"/>
                <w:szCs w:val="21"/>
                <w:highlight w:val="none"/>
                <w:lang w:val="zh-CN"/>
              </w:rPr>
              <w:t>银行账号：600582071</w:t>
            </w:r>
          </w:p>
          <w:tbl>
            <w:tblPr>
              <w:tblStyle w:val="16"/>
              <w:tblW w:w="6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0"/>
              <w:gridCol w:w="1144"/>
              <w:gridCol w:w="1128"/>
              <w:gridCol w:w="1478"/>
            </w:tblGrid>
            <w:tr w14:paraId="2AC2D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510" w:type="dxa"/>
                  <w:tcBorders>
                    <w:top w:val="single" w:color="auto" w:sz="4" w:space="0"/>
                    <w:left w:val="single" w:color="auto" w:sz="4" w:space="0"/>
                    <w:bottom w:val="single" w:color="auto" w:sz="4" w:space="0"/>
                    <w:right w:val="single" w:color="auto" w:sz="4" w:space="0"/>
                  </w:tcBorders>
                </w:tcPr>
                <w:p w14:paraId="72792A62">
                  <w:pPr>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服务类型/费率/中标金额（万元）</w:t>
                  </w:r>
                </w:p>
              </w:tc>
              <w:tc>
                <w:tcPr>
                  <w:tcW w:w="1144" w:type="dxa"/>
                  <w:tcBorders>
                    <w:top w:val="single" w:color="auto" w:sz="4" w:space="0"/>
                    <w:left w:val="single" w:color="auto" w:sz="4" w:space="0"/>
                    <w:bottom w:val="single" w:color="auto" w:sz="4" w:space="0"/>
                    <w:right w:val="single" w:color="auto" w:sz="4" w:space="0"/>
                  </w:tcBorders>
                  <w:vAlign w:val="center"/>
                </w:tcPr>
                <w:p w14:paraId="7A45B0B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货物招标</w:t>
                  </w:r>
                </w:p>
              </w:tc>
              <w:tc>
                <w:tcPr>
                  <w:tcW w:w="1128" w:type="dxa"/>
                  <w:tcBorders>
                    <w:top w:val="single" w:color="auto" w:sz="4" w:space="0"/>
                    <w:left w:val="single" w:color="auto" w:sz="4" w:space="0"/>
                    <w:bottom w:val="single" w:color="auto" w:sz="4" w:space="0"/>
                    <w:right w:val="single" w:color="auto" w:sz="4" w:space="0"/>
                  </w:tcBorders>
                  <w:vAlign w:val="center"/>
                </w:tcPr>
                <w:p w14:paraId="166C6CE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服务招标</w:t>
                  </w:r>
                </w:p>
              </w:tc>
              <w:tc>
                <w:tcPr>
                  <w:tcW w:w="1478" w:type="dxa"/>
                  <w:tcBorders>
                    <w:top w:val="single" w:color="auto" w:sz="4" w:space="0"/>
                    <w:left w:val="single" w:color="auto" w:sz="4" w:space="0"/>
                    <w:bottom w:val="single" w:color="auto" w:sz="4" w:space="0"/>
                    <w:right w:val="single" w:color="auto" w:sz="4" w:space="0"/>
                  </w:tcBorders>
                  <w:vAlign w:val="center"/>
                </w:tcPr>
                <w:p w14:paraId="42198F4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工程招标</w:t>
                  </w:r>
                </w:p>
              </w:tc>
            </w:tr>
            <w:tr w14:paraId="0A7DF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2510" w:type="dxa"/>
                  <w:tcBorders>
                    <w:top w:val="single" w:color="auto" w:sz="4" w:space="0"/>
                    <w:left w:val="single" w:color="auto" w:sz="4" w:space="0"/>
                    <w:bottom w:val="single" w:color="auto" w:sz="4" w:space="0"/>
                    <w:right w:val="single" w:color="auto" w:sz="4" w:space="0"/>
                  </w:tcBorders>
                </w:tcPr>
                <w:p w14:paraId="053E1E1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100以下</w:t>
                  </w:r>
                </w:p>
              </w:tc>
              <w:tc>
                <w:tcPr>
                  <w:tcW w:w="1144" w:type="dxa"/>
                  <w:tcBorders>
                    <w:top w:val="single" w:color="auto" w:sz="4" w:space="0"/>
                    <w:left w:val="single" w:color="auto" w:sz="4" w:space="0"/>
                    <w:bottom w:val="single" w:color="auto" w:sz="4" w:space="0"/>
                    <w:right w:val="single" w:color="auto" w:sz="4" w:space="0"/>
                  </w:tcBorders>
                </w:tcPr>
                <w:p w14:paraId="2CE84D0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1128" w:type="dxa"/>
                  <w:tcBorders>
                    <w:top w:val="single" w:color="auto" w:sz="4" w:space="0"/>
                    <w:left w:val="single" w:color="auto" w:sz="4" w:space="0"/>
                    <w:bottom w:val="single" w:color="auto" w:sz="4" w:space="0"/>
                    <w:right w:val="single" w:color="auto" w:sz="4" w:space="0"/>
                  </w:tcBorders>
                </w:tcPr>
                <w:p w14:paraId="6469157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1478" w:type="dxa"/>
                  <w:tcBorders>
                    <w:top w:val="single" w:color="auto" w:sz="4" w:space="0"/>
                    <w:left w:val="single" w:color="auto" w:sz="4" w:space="0"/>
                    <w:bottom w:val="single" w:color="auto" w:sz="4" w:space="0"/>
                    <w:right w:val="single" w:color="auto" w:sz="4" w:space="0"/>
                  </w:tcBorders>
                </w:tcPr>
                <w:p w14:paraId="342013D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r>
            <w:tr w14:paraId="5FF76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510" w:type="dxa"/>
                  <w:tcBorders>
                    <w:top w:val="single" w:color="auto" w:sz="4" w:space="0"/>
                    <w:left w:val="single" w:color="auto" w:sz="4" w:space="0"/>
                    <w:bottom w:val="single" w:color="auto" w:sz="4" w:space="0"/>
                    <w:right w:val="single" w:color="auto" w:sz="4" w:space="0"/>
                  </w:tcBorders>
                </w:tcPr>
                <w:p w14:paraId="2BDB509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100-500</w:t>
                  </w:r>
                </w:p>
              </w:tc>
              <w:tc>
                <w:tcPr>
                  <w:tcW w:w="1144" w:type="dxa"/>
                  <w:tcBorders>
                    <w:top w:val="single" w:color="auto" w:sz="4" w:space="0"/>
                    <w:left w:val="single" w:color="auto" w:sz="4" w:space="0"/>
                    <w:bottom w:val="single" w:color="auto" w:sz="4" w:space="0"/>
                    <w:right w:val="single" w:color="auto" w:sz="4" w:space="0"/>
                  </w:tcBorders>
                </w:tcPr>
                <w:p w14:paraId="6952CB0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1128" w:type="dxa"/>
                  <w:tcBorders>
                    <w:top w:val="single" w:color="auto" w:sz="4" w:space="0"/>
                    <w:left w:val="single" w:color="auto" w:sz="4" w:space="0"/>
                    <w:bottom w:val="single" w:color="auto" w:sz="4" w:space="0"/>
                    <w:right w:val="single" w:color="auto" w:sz="4" w:space="0"/>
                  </w:tcBorders>
                </w:tcPr>
                <w:p w14:paraId="76E383B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0.8%</w:t>
                  </w:r>
                </w:p>
              </w:tc>
              <w:tc>
                <w:tcPr>
                  <w:tcW w:w="1478" w:type="dxa"/>
                  <w:tcBorders>
                    <w:top w:val="single" w:color="auto" w:sz="4" w:space="0"/>
                    <w:left w:val="single" w:color="auto" w:sz="4" w:space="0"/>
                    <w:bottom w:val="single" w:color="auto" w:sz="4" w:space="0"/>
                    <w:right w:val="single" w:color="auto" w:sz="4" w:space="0"/>
                  </w:tcBorders>
                </w:tcPr>
                <w:p w14:paraId="2BE4BCE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0.7%</w:t>
                  </w:r>
                </w:p>
              </w:tc>
            </w:tr>
            <w:tr w14:paraId="3E078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510" w:type="dxa"/>
                  <w:tcBorders>
                    <w:top w:val="single" w:color="auto" w:sz="4" w:space="0"/>
                    <w:left w:val="single" w:color="auto" w:sz="4" w:space="0"/>
                    <w:bottom w:val="single" w:color="auto" w:sz="4" w:space="0"/>
                    <w:right w:val="single" w:color="auto" w:sz="4" w:space="0"/>
                  </w:tcBorders>
                </w:tcPr>
                <w:p w14:paraId="3547EFA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500-1000</w:t>
                  </w:r>
                </w:p>
              </w:tc>
              <w:tc>
                <w:tcPr>
                  <w:tcW w:w="1144" w:type="dxa"/>
                  <w:tcBorders>
                    <w:top w:val="single" w:color="auto" w:sz="4" w:space="0"/>
                    <w:left w:val="single" w:color="auto" w:sz="4" w:space="0"/>
                    <w:bottom w:val="single" w:color="auto" w:sz="4" w:space="0"/>
                    <w:right w:val="single" w:color="auto" w:sz="4" w:space="0"/>
                  </w:tcBorders>
                </w:tcPr>
                <w:p w14:paraId="1D8A29A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0.8%</w:t>
                  </w:r>
                </w:p>
              </w:tc>
              <w:tc>
                <w:tcPr>
                  <w:tcW w:w="1128" w:type="dxa"/>
                  <w:tcBorders>
                    <w:top w:val="single" w:color="auto" w:sz="4" w:space="0"/>
                    <w:left w:val="single" w:color="auto" w:sz="4" w:space="0"/>
                    <w:bottom w:val="single" w:color="auto" w:sz="4" w:space="0"/>
                    <w:right w:val="single" w:color="auto" w:sz="4" w:space="0"/>
                  </w:tcBorders>
                </w:tcPr>
                <w:p w14:paraId="0997078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0.45%</w:t>
                  </w:r>
                </w:p>
              </w:tc>
              <w:tc>
                <w:tcPr>
                  <w:tcW w:w="1478" w:type="dxa"/>
                  <w:tcBorders>
                    <w:top w:val="single" w:color="auto" w:sz="4" w:space="0"/>
                    <w:left w:val="single" w:color="auto" w:sz="4" w:space="0"/>
                    <w:bottom w:val="single" w:color="auto" w:sz="4" w:space="0"/>
                    <w:right w:val="single" w:color="auto" w:sz="4" w:space="0"/>
                  </w:tcBorders>
                </w:tcPr>
                <w:p w14:paraId="6FAD054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0.55%</w:t>
                  </w:r>
                </w:p>
              </w:tc>
            </w:tr>
            <w:tr w14:paraId="3866D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510" w:type="dxa"/>
                  <w:tcBorders>
                    <w:top w:val="single" w:color="auto" w:sz="4" w:space="0"/>
                    <w:left w:val="single" w:color="auto" w:sz="4" w:space="0"/>
                    <w:bottom w:val="single" w:color="auto" w:sz="4" w:space="0"/>
                    <w:right w:val="single" w:color="auto" w:sz="4" w:space="0"/>
                  </w:tcBorders>
                </w:tcPr>
                <w:p w14:paraId="4F3D026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1000-5000</w:t>
                  </w:r>
                </w:p>
              </w:tc>
              <w:tc>
                <w:tcPr>
                  <w:tcW w:w="1144" w:type="dxa"/>
                  <w:tcBorders>
                    <w:top w:val="single" w:color="auto" w:sz="4" w:space="0"/>
                    <w:left w:val="single" w:color="auto" w:sz="4" w:space="0"/>
                    <w:bottom w:val="single" w:color="auto" w:sz="4" w:space="0"/>
                    <w:right w:val="single" w:color="auto" w:sz="4" w:space="0"/>
                  </w:tcBorders>
                </w:tcPr>
                <w:p w14:paraId="033610E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0.5%</w:t>
                  </w:r>
                </w:p>
              </w:tc>
              <w:tc>
                <w:tcPr>
                  <w:tcW w:w="1128" w:type="dxa"/>
                  <w:tcBorders>
                    <w:top w:val="single" w:color="auto" w:sz="4" w:space="0"/>
                    <w:left w:val="single" w:color="auto" w:sz="4" w:space="0"/>
                    <w:bottom w:val="single" w:color="auto" w:sz="4" w:space="0"/>
                    <w:right w:val="single" w:color="auto" w:sz="4" w:space="0"/>
                  </w:tcBorders>
                </w:tcPr>
                <w:p w14:paraId="0A9ADF5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0.25%</w:t>
                  </w:r>
                </w:p>
              </w:tc>
              <w:tc>
                <w:tcPr>
                  <w:tcW w:w="1478" w:type="dxa"/>
                  <w:tcBorders>
                    <w:top w:val="single" w:color="auto" w:sz="4" w:space="0"/>
                    <w:left w:val="single" w:color="auto" w:sz="4" w:space="0"/>
                    <w:bottom w:val="single" w:color="auto" w:sz="4" w:space="0"/>
                    <w:right w:val="single" w:color="auto" w:sz="4" w:space="0"/>
                  </w:tcBorders>
                </w:tcPr>
                <w:p w14:paraId="243F693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0.35%</w:t>
                  </w:r>
                </w:p>
              </w:tc>
            </w:tr>
            <w:tr w14:paraId="2F30D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510" w:type="dxa"/>
                  <w:tcBorders>
                    <w:top w:val="single" w:color="auto" w:sz="4" w:space="0"/>
                    <w:left w:val="single" w:color="auto" w:sz="4" w:space="0"/>
                    <w:bottom w:val="single" w:color="auto" w:sz="4" w:space="0"/>
                    <w:right w:val="single" w:color="auto" w:sz="4" w:space="0"/>
                  </w:tcBorders>
                </w:tcPr>
                <w:p w14:paraId="05819DE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5000-10000</w:t>
                  </w:r>
                </w:p>
              </w:tc>
              <w:tc>
                <w:tcPr>
                  <w:tcW w:w="1144" w:type="dxa"/>
                  <w:tcBorders>
                    <w:top w:val="single" w:color="auto" w:sz="4" w:space="0"/>
                    <w:left w:val="single" w:color="auto" w:sz="4" w:space="0"/>
                    <w:bottom w:val="single" w:color="auto" w:sz="4" w:space="0"/>
                    <w:right w:val="single" w:color="auto" w:sz="4" w:space="0"/>
                  </w:tcBorders>
                </w:tcPr>
                <w:p w14:paraId="195E11D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0.25%</w:t>
                  </w:r>
                </w:p>
              </w:tc>
              <w:tc>
                <w:tcPr>
                  <w:tcW w:w="1128" w:type="dxa"/>
                  <w:tcBorders>
                    <w:top w:val="single" w:color="auto" w:sz="4" w:space="0"/>
                    <w:left w:val="single" w:color="auto" w:sz="4" w:space="0"/>
                    <w:bottom w:val="single" w:color="auto" w:sz="4" w:space="0"/>
                    <w:right w:val="single" w:color="auto" w:sz="4" w:space="0"/>
                  </w:tcBorders>
                </w:tcPr>
                <w:p w14:paraId="2902CC9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0.1%</w:t>
                  </w:r>
                </w:p>
              </w:tc>
              <w:tc>
                <w:tcPr>
                  <w:tcW w:w="1478" w:type="dxa"/>
                  <w:tcBorders>
                    <w:top w:val="single" w:color="auto" w:sz="4" w:space="0"/>
                    <w:left w:val="single" w:color="auto" w:sz="4" w:space="0"/>
                    <w:bottom w:val="single" w:color="auto" w:sz="4" w:space="0"/>
                    <w:right w:val="single" w:color="auto" w:sz="4" w:space="0"/>
                  </w:tcBorders>
                </w:tcPr>
                <w:p w14:paraId="3C26568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0.2%</w:t>
                  </w:r>
                </w:p>
              </w:tc>
            </w:tr>
            <w:tr w14:paraId="47721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510" w:type="dxa"/>
                  <w:tcBorders>
                    <w:top w:val="single" w:color="auto" w:sz="4" w:space="0"/>
                    <w:left w:val="single" w:color="auto" w:sz="4" w:space="0"/>
                    <w:bottom w:val="single" w:color="auto" w:sz="4" w:space="0"/>
                    <w:right w:val="single" w:color="auto" w:sz="4" w:space="0"/>
                  </w:tcBorders>
                </w:tcPr>
                <w:p w14:paraId="07AF09F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10000-100000</w:t>
                  </w:r>
                </w:p>
              </w:tc>
              <w:tc>
                <w:tcPr>
                  <w:tcW w:w="1144" w:type="dxa"/>
                  <w:tcBorders>
                    <w:top w:val="single" w:color="auto" w:sz="4" w:space="0"/>
                    <w:left w:val="single" w:color="auto" w:sz="4" w:space="0"/>
                    <w:bottom w:val="single" w:color="auto" w:sz="4" w:space="0"/>
                    <w:right w:val="single" w:color="auto" w:sz="4" w:space="0"/>
                  </w:tcBorders>
                </w:tcPr>
                <w:p w14:paraId="032A5A5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0.05%</w:t>
                  </w:r>
                </w:p>
              </w:tc>
              <w:tc>
                <w:tcPr>
                  <w:tcW w:w="1128" w:type="dxa"/>
                  <w:tcBorders>
                    <w:top w:val="single" w:color="auto" w:sz="4" w:space="0"/>
                    <w:left w:val="single" w:color="auto" w:sz="4" w:space="0"/>
                    <w:bottom w:val="single" w:color="auto" w:sz="4" w:space="0"/>
                    <w:right w:val="single" w:color="auto" w:sz="4" w:space="0"/>
                  </w:tcBorders>
                </w:tcPr>
                <w:p w14:paraId="64C6033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0.05%</w:t>
                  </w:r>
                </w:p>
              </w:tc>
              <w:tc>
                <w:tcPr>
                  <w:tcW w:w="1478" w:type="dxa"/>
                  <w:tcBorders>
                    <w:top w:val="single" w:color="auto" w:sz="4" w:space="0"/>
                    <w:left w:val="single" w:color="auto" w:sz="4" w:space="0"/>
                    <w:bottom w:val="single" w:color="auto" w:sz="4" w:space="0"/>
                    <w:right w:val="single" w:color="auto" w:sz="4" w:space="0"/>
                  </w:tcBorders>
                </w:tcPr>
                <w:p w14:paraId="0BCDF8C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0.05%</w:t>
                  </w:r>
                </w:p>
              </w:tc>
            </w:tr>
            <w:tr w14:paraId="105EE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2510" w:type="dxa"/>
                  <w:tcBorders>
                    <w:top w:val="single" w:color="auto" w:sz="4" w:space="0"/>
                    <w:left w:val="single" w:color="auto" w:sz="4" w:space="0"/>
                    <w:bottom w:val="single" w:color="auto" w:sz="4" w:space="0"/>
                    <w:right w:val="single" w:color="auto" w:sz="4" w:space="0"/>
                  </w:tcBorders>
                </w:tcPr>
                <w:p w14:paraId="63865A3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1000000以上</w:t>
                  </w:r>
                </w:p>
              </w:tc>
              <w:tc>
                <w:tcPr>
                  <w:tcW w:w="1144" w:type="dxa"/>
                  <w:tcBorders>
                    <w:top w:val="single" w:color="auto" w:sz="4" w:space="0"/>
                    <w:left w:val="single" w:color="auto" w:sz="4" w:space="0"/>
                    <w:bottom w:val="single" w:color="auto" w:sz="4" w:space="0"/>
                    <w:right w:val="single" w:color="auto" w:sz="4" w:space="0"/>
                  </w:tcBorders>
                </w:tcPr>
                <w:p w14:paraId="2435842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0.01%</w:t>
                  </w:r>
                </w:p>
              </w:tc>
              <w:tc>
                <w:tcPr>
                  <w:tcW w:w="1128" w:type="dxa"/>
                  <w:tcBorders>
                    <w:top w:val="single" w:color="auto" w:sz="4" w:space="0"/>
                    <w:left w:val="single" w:color="auto" w:sz="4" w:space="0"/>
                    <w:bottom w:val="single" w:color="auto" w:sz="4" w:space="0"/>
                    <w:right w:val="single" w:color="auto" w:sz="4" w:space="0"/>
                  </w:tcBorders>
                </w:tcPr>
                <w:p w14:paraId="0FF3469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0.01%</w:t>
                  </w:r>
                </w:p>
              </w:tc>
              <w:tc>
                <w:tcPr>
                  <w:tcW w:w="1478" w:type="dxa"/>
                  <w:tcBorders>
                    <w:top w:val="single" w:color="auto" w:sz="4" w:space="0"/>
                    <w:left w:val="single" w:color="auto" w:sz="4" w:space="0"/>
                    <w:bottom w:val="single" w:color="auto" w:sz="4" w:space="0"/>
                    <w:right w:val="single" w:color="auto" w:sz="4" w:space="0"/>
                  </w:tcBorders>
                </w:tcPr>
                <w:p w14:paraId="2AB9368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0.01%</w:t>
                  </w:r>
                </w:p>
              </w:tc>
            </w:tr>
          </w:tbl>
          <w:p w14:paraId="2AF118AA">
            <w:pPr>
              <w:pStyle w:val="21"/>
              <w:ind w:firstLine="105" w:firstLineChars="50"/>
              <w:rPr>
                <w:rFonts w:ascii="Times New Roman" w:hAnsi="Times New Roman" w:cs="Times New Roman"/>
                <w:sz w:val="22"/>
                <w:szCs w:val="22"/>
                <w:lang w:val="zh-CN"/>
              </w:rPr>
            </w:pPr>
            <w:r>
              <w:rPr>
                <w:rFonts w:hint="eastAsia" w:ascii="宋体" w:hAnsi="宋体" w:eastAsia="宋体" w:cs="宋体"/>
                <w:sz w:val="21"/>
                <w:szCs w:val="21"/>
                <w:highlight w:val="none"/>
              </w:rPr>
              <w:t>注: 1、按本表费率计算的收费为招标代理服务全过程的收费基准价格。  2、招标代理服务收费按差额定率累进法计算。例如：某工程招标代理业务中标金额为6000万元，计算招标代理服务收费额如下：  100万元×1.0%=1万元  (500-100)万元×0.7%=2.8万元 (1000-500)万元×0.55%=2.75万元 (5000-1000)万元×0.35%=14万元 (6000-5000)万元×0.2%=2万元  合计收费=1＋2.8＋2.75＋14＋2=22.55(万元)</w:t>
            </w:r>
          </w:p>
        </w:tc>
      </w:tr>
      <w:tr w14:paraId="75DD6E8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97" w:hRule="atLeast"/>
          <w:jc w:val="center"/>
        </w:trPr>
        <w:tc>
          <w:tcPr>
            <w:tcW w:w="517" w:type="dxa"/>
            <w:tcBorders>
              <w:bottom w:val="single" w:color="auto" w:sz="8" w:space="0"/>
            </w:tcBorders>
            <w:vAlign w:val="center"/>
          </w:tcPr>
          <w:p w14:paraId="1CCA102C">
            <w:pPr>
              <w:pStyle w:val="21"/>
              <w:jc w:val="center"/>
              <w:rPr>
                <w:rFonts w:ascii="Times New Roman" w:hAnsi="Times New Roman" w:cs="Times New Roman"/>
                <w:kern w:val="2"/>
                <w:sz w:val="21"/>
                <w:szCs w:val="21"/>
              </w:rPr>
            </w:pPr>
            <w:r>
              <w:rPr>
                <w:rFonts w:ascii="Times New Roman" w:hAnsi="Times New Roman" w:cs="Times New Roman"/>
                <w:kern w:val="2"/>
                <w:sz w:val="21"/>
                <w:szCs w:val="21"/>
              </w:rPr>
              <w:t>9</w:t>
            </w:r>
          </w:p>
        </w:tc>
        <w:tc>
          <w:tcPr>
            <w:tcW w:w="1795" w:type="dxa"/>
            <w:tcBorders>
              <w:bottom w:val="single" w:color="auto" w:sz="8" w:space="0"/>
            </w:tcBorders>
            <w:vAlign w:val="center"/>
          </w:tcPr>
          <w:p w14:paraId="111DBE76">
            <w:pPr>
              <w:pStyle w:val="21"/>
              <w:spacing w:line="276" w:lineRule="auto"/>
              <w:ind w:left="96"/>
              <w:rPr>
                <w:rFonts w:ascii="Times New Roman" w:hAnsi="Times New Roman" w:cs="Times New Roman"/>
                <w:sz w:val="22"/>
                <w:szCs w:val="22"/>
              </w:rPr>
            </w:pPr>
            <w:r>
              <w:rPr>
                <w:rFonts w:hint="eastAsia" w:ascii="Times New Roman" w:hAnsi="Times New Roman" w:cs="Times New Roman"/>
                <w:sz w:val="22"/>
                <w:szCs w:val="22"/>
              </w:rPr>
              <w:t>本项目是否专门面向中小企业</w:t>
            </w:r>
          </w:p>
        </w:tc>
        <w:tc>
          <w:tcPr>
            <w:tcW w:w="6374" w:type="dxa"/>
            <w:tcBorders>
              <w:bottom w:val="single" w:color="auto" w:sz="8" w:space="0"/>
            </w:tcBorders>
            <w:vAlign w:val="center"/>
          </w:tcPr>
          <w:p w14:paraId="42D9DF38">
            <w:pPr>
              <w:pStyle w:val="21"/>
              <w:ind w:firstLine="110" w:firstLineChars="50"/>
              <w:rPr>
                <w:rFonts w:ascii="Times New Roman" w:hAnsi="Times New Roman" w:cs="Times New Roman"/>
                <w:sz w:val="22"/>
                <w:szCs w:val="22"/>
              </w:rPr>
            </w:pPr>
            <w:r>
              <w:rPr>
                <w:rFonts w:hint="eastAsia" w:ascii="Times New Roman" w:hAnsi="Times New Roman" w:cs="Times New Roman"/>
                <w:sz w:val="22"/>
                <w:szCs w:val="22"/>
              </w:rPr>
              <w:t>否</w:t>
            </w:r>
          </w:p>
        </w:tc>
      </w:tr>
    </w:tbl>
    <w:p w14:paraId="6C886B46">
      <w:pPr>
        <w:jc w:val="left"/>
        <w:rPr>
          <w:rFonts w:ascii="Times New Roman" w:hAnsi="Times New Roman" w:eastAsia="仿宋"/>
          <w:b/>
          <w:sz w:val="28"/>
          <w:szCs w:val="28"/>
        </w:rPr>
      </w:pPr>
      <w:bookmarkStart w:id="40" w:name="_Toc22823"/>
      <w:bookmarkStart w:id="41" w:name="_Toc1793"/>
      <w:bookmarkStart w:id="42" w:name="_Toc23324"/>
      <w:bookmarkStart w:id="43" w:name="_Toc7492"/>
    </w:p>
    <w:p w14:paraId="32E1F3AF">
      <w:pPr>
        <w:jc w:val="left"/>
        <w:rPr>
          <w:rFonts w:hint="eastAsia" w:hAnsi="宋体" w:cs="宋体"/>
          <w:b/>
          <w:sz w:val="24"/>
          <w:szCs w:val="24"/>
        </w:rPr>
      </w:pPr>
    </w:p>
    <w:p w14:paraId="6F013800">
      <w:pPr>
        <w:jc w:val="left"/>
        <w:rPr>
          <w:rFonts w:hint="eastAsia" w:hAnsi="宋体" w:cs="宋体"/>
          <w:b/>
          <w:sz w:val="24"/>
          <w:szCs w:val="24"/>
        </w:rPr>
      </w:pPr>
    </w:p>
    <w:p w14:paraId="0B7B5200">
      <w:pPr>
        <w:rPr>
          <w:rFonts w:ascii="Times New Roman" w:hAnsi="Times New Roman"/>
          <w:sz w:val="32"/>
          <w:szCs w:val="32"/>
        </w:rPr>
      </w:pPr>
      <w:bookmarkStart w:id="44" w:name="_Toc24931"/>
      <w:bookmarkStart w:id="45" w:name="_Toc5874"/>
      <w:r>
        <w:rPr>
          <w:rFonts w:hint="eastAsia" w:ascii="Times New Roman" w:hAnsi="Times New Roman"/>
          <w:sz w:val="32"/>
          <w:szCs w:val="32"/>
        </w:rPr>
        <w:br w:type="page"/>
      </w:r>
    </w:p>
    <w:p w14:paraId="10AB19D8">
      <w:pPr>
        <w:keepNext/>
        <w:keepLines/>
        <w:spacing w:before="340" w:after="330"/>
        <w:rPr>
          <w:rFonts w:ascii="Times New Roman" w:hAnsi="Times New Roman"/>
          <w:sz w:val="22"/>
          <w:szCs w:val="21"/>
        </w:rPr>
      </w:pPr>
      <w:r>
        <w:rPr>
          <w:rFonts w:hint="eastAsia" w:ascii="Times New Roman" w:hAnsi="Times New Roman"/>
          <w:sz w:val="32"/>
          <w:szCs w:val="32"/>
        </w:rPr>
        <w:t>二、总则</w:t>
      </w:r>
      <w:bookmarkEnd w:id="40"/>
      <w:bookmarkEnd w:id="41"/>
      <w:bookmarkEnd w:id="42"/>
      <w:bookmarkEnd w:id="43"/>
      <w:bookmarkEnd w:id="44"/>
      <w:bookmarkEnd w:id="45"/>
    </w:p>
    <w:p w14:paraId="7E8B5FA3">
      <w:pPr>
        <w:pStyle w:val="4"/>
        <w:spacing w:line="276" w:lineRule="auto"/>
        <w:rPr>
          <w:rFonts w:hAnsi="Times New Roman"/>
          <w:sz w:val="22"/>
          <w:szCs w:val="21"/>
        </w:rPr>
      </w:pPr>
      <w:bookmarkStart w:id="46" w:name="_Toc21879"/>
      <w:r>
        <w:rPr>
          <w:rFonts w:hAnsi="Times New Roman"/>
          <w:sz w:val="22"/>
          <w:szCs w:val="21"/>
        </w:rPr>
        <w:t>1.</w:t>
      </w:r>
      <w:bookmarkEnd w:id="37"/>
      <w:bookmarkEnd w:id="38"/>
      <w:r>
        <w:rPr>
          <w:rFonts w:hint="eastAsia" w:hAnsi="Times New Roman"/>
          <w:sz w:val="22"/>
        </w:rPr>
        <w:t>适用范围</w:t>
      </w:r>
      <w:bookmarkEnd w:id="39"/>
      <w:bookmarkEnd w:id="46"/>
    </w:p>
    <w:p w14:paraId="148DE2AE">
      <w:pPr>
        <w:tabs>
          <w:tab w:val="left" w:pos="7665"/>
        </w:tabs>
        <w:spacing w:line="460" w:lineRule="exact"/>
        <w:ind w:firstLine="440" w:firstLineChars="200"/>
        <w:rPr>
          <w:rFonts w:ascii="Times New Roman" w:hAnsi="Times New Roman"/>
          <w:sz w:val="22"/>
          <w:szCs w:val="21"/>
        </w:rPr>
      </w:pPr>
      <w:r>
        <w:rPr>
          <w:rFonts w:ascii="Times New Roman" w:hAnsi="Times New Roman"/>
          <w:sz w:val="22"/>
          <w:szCs w:val="21"/>
        </w:rPr>
        <w:t xml:space="preserve">1.1 </w:t>
      </w:r>
      <w:r>
        <w:rPr>
          <w:rFonts w:hint="eastAsia" w:ascii="Times New Roman" w:hAnsi="Times New Roman"/>
          <w:sz w:val="22"/>
          <w:szCs w:val="21"/>
        </w:rPr>
        <w:t>本招标文件仅适用于本次公开招标采购项目。</w:t>
      </w:r>
    </w:p>
    <w:p w14:paraId="2DBCBC5E">
      <w:pPr>
        <w:pStyle w:val="4"/>
        <w:spacing w:line="276" w:lineRule="auto"/>
        <w:rPr>
          <w:rFonts w:hAnsi="Times New Roman"/>
          <w:sz w:val="22"/>
          <w:szCs w:val="21"/>
        </w:rPr>
      </w:pPr>
      <w:bookmarkStart w:id="47" w:name="_Toc183582206"/>
      <w:bookmarkStart w:id="48" w:name="_Toc183682343"/>
      <w:bookmarkStart w:id="49" w:name="_Toc458"/>
      <w:bookmarkStart w:id="50" w:name="_Toc217446035"/>
      <w:r>
        <w:rPr>
          <w:rFonts w:hAnsi="Times New Roman"/>
          <w:sz w:val="22"/>
          <w:szCs w:val="21"/>
        </w:rPr>
        <w:t xml:space="preserve">2. </w:t>
      </w:r>
      <w:bookmarkEnd w:id="47"/>
      <w:bookmarkEnd w:id="48"/>
      <w:r>
        <w:rPr>
          <w:rFonts w:hint="eastAsia" w:hAnsi="Times New Roman"/>
          <w:sz w:val="22"/>
          <w:szCs w:val="21"/>
        </w:rPr>
        <w:t>有关</w:t>
      </w:r>
      <w:r>
        <w:rPr>
          <w:rFonts w:hint="eastAsia" w:hAnsi="Times New Roman"/>
          <w:sz w:val="22"/>
        </w:rPr>
        <w:t>定义</w:t>
      </w:r>
      <w:bookmarkEnd w:id="49"/>
      <w:bookmarkEnd w:id="50"/>
    </w:p>
    <w:p w14:paraId="0947E4BD">
      <w:pPr>
        <w:tabs>
          <w:tab w:val="left" w:pos="7665"/>
        </w:tabs>
        <w:spacing w:line="460" w:lineRule="exact"/>
        <w:ind w:firstLine="440" w:firstLineChars="200"/>
        <w:rPr>
          <w:rFonts w:ascii="Times New Roman" w:hAnsi="Times New Roman"/>
          <w:sz w:val="22"/>
          <w:szCs w:val="21"/>
        </w:rPr>
      </w:pPr>
      <w:r>
        <w:rPr>
          <w:rFonts w:ascii="Times New Roman" w:hAnsi="Times New Roman"/>
          <w:sz w:val="22"/>
          <w:szCs w:val="21"/>
        </w:rPr>
        <w:t>2.1 “</w:t>
      </w:r>
      <w:r>
        <w:rPr>
          <w:rFonts w:hint="eastAsia" w:ascii="Times New Roman" w:hAnsi="Times New Roman"/>
          <w:sz w:val="22"/>
          <w:szCs w:val="21"/>
        </w:rPr>
        <w:t>采购人</w:t>
      </w:r>
      <w:r>
        <w:rPr>
          <w:rFonts w:ascii="Times New Roman" w:hAnsi="Times New Roman"/>
          <w:sz w:val="22"/>
          <w:szCs w:val="21"/>
        </w:rPr>
        <w:t>”</w:t>
      </w:r>
      <w:r>
        <w:rPr>
          <w:rFonts w:hint="eastAsia" w:ascii="Times New Roman" w:hAnsi="Times New Roman"/>
          <w:sz w:val="22"/>
          <w:szCs w:val="21"/>
        </w:rPr>
        <w:t>系指依法进行政府采购的国家机关、事业单位、团体组织。本次招标的采购人是</w:t>
      </w:r>
      <w:r>
        <w:rPr>
          <w:rFonts w:hint="eastAsia" w:ascii="Times New Roman" w:hAnsi="宋体"/>
          <w:kern w:val="1"/>
          <w:sz w:val="22"/>
          <w:szCs w:val="21"/>
          <w:u w:val="single"/>
          <w:lang w:eastAsia="zh-CN"/>
        </w:rPr>
        <w:t>咸阳职业技术学院</w:t>
      </w:r>
      <w:r>
        <w:rPr>
          <w:rFonts w:hint="eastAsia" w:ascii="Times New Roman" w:hAnsi="Times New Roman"/>
          <w:sz w:val="22"/>
          <w:szCs w:val="21"/>
        </w:rPr>
        <w:t>。</w:t>
      </w:r>
    </w:p>
    <w:p w14:paraId="008F7E94">
      <w:pPr>
        <w:tabs>
          <w:tab w:val="left" w:pos="7665"/>
        </w:tabs>
        <w:spacing w:line="460" w:lineRule="exact"/>
        <w:ind w:firstLine="440" w:firstLineChars="200"/>
        <w:rPr>
          <w:rFonts w:ascii="Times New Roman" w:hAnsi="Times New Roman"/>
          <w:sz w:val="22"/>
          <w:szCs w:val="21"/>
        </w:rPr>
      </w:pPr>
      <w:r>
        <w:rPr>
          <w:rFonts w:ascii="Times New Roman" w:hAnsi="Times New Roman"/>
          <w:sz w:val="22"/>
          <w:szCs w:val="21"/>
        </w:rPr>
        <w:t>2.2 “</w:t>
      </w:r>
      <w:r>
        <w:rPr>
          <w:rFonts w:hint="eastAsia" w:ascii="Times New Roman" w:hAnsi="宋体"/>
          <w:sz w:val="22"/>
          <w:szCs w:val="21"/>
        </w:rPr>
        <w:t>采购代理机构</w:t>
      </w:r>
      <w:r>
        <w:rPr>
          <w:rFonts w:ascii="Times New Roman" w:hAnsi="Times New Roman"/>
          <w:sz w:val="22"/>
          <w:szCs w:val="21"/>
        </w:rPr>
        <w:t xml:space="preserve">” </w:t>
      </w:r>
      <w:r>
        <w:rPr>
          <w:rFonts w:hint="eastAsia" w:ascii="Times New Roman" w:hAnsi="宋体"/>
          <w:sz w:val="22"/>
          <w:szCs w:val="21"/>
        </w:rPr>
        <w:t>系指根据采购人的委托依法办理招标事宜的采购机构。本次招标的采购代理机构是</w:t>
      </w:r>
      <w:r>
        <w:rPr>
          <w:rFonts w:hint="eastAsia" w:ascii="Times New Roman" w:hAnsi="宋体"/>
          <w:sz w:val="22"/>
          <w:szCs w:val="21"/>
          <w:u w:val="single"/>
        </w:rPr>
        <w:t>四川国际招标有限责任公司</w:t>
      </w:r>
      <w:r>
        <w:rPr>
          <w:rFonts w:hint="eastAsia" w:ascii="Times New Roman" w:hAnsi="宋体"/>
          <w:sz w:val="22"/>
          <w:szCs w:val="21"/>
        </w:rPr>
        <w:t>。</w:t>
      </w:r>
    </w:p>
    <w:p w14:paraId="76F07A40">
      <w:pPr>
        <w:tabs>
          <w:tab w:val="left" w:pos="7665"/>
        </w:tabs>
        <w:spacing w:line="460" w:lineRule="exact"/>
        <w:ind w:firstLine="440" w:firstLineChars="200"/>
        <w:rPr>
          <w:rFonts w:ascii="Times New Roman" w:hAnsi="Times New Roman"/>
          <w:sz w:val="22"/>
          <w:szCs w:val="21"/>
        </w:rPr>
      </w:pPr>
      <w:r>
        <w:rPr>
          <w:rFonts w:ascii="Times New Roman" w:hAnsi="Times New Roman"/>
          <w:sz w:val="22"/>
          <w:szCs w:val="21"/>
        </w:rPr>
        <w:t>2.3 “</w:t>
      </w:r>
      <w:r>
        <w:rPr>
          <w:rFonts w:hint="eastAsia" w:ascii="Times New Roman" w:hAnsi="Times New Roman"/>
          <w:sz w:val="22"/>
          <w:szCs w:val="21"/>
        </w:rPr>
        <w:t>招标采购单位</w:t>
      </w:r>
      <w:r>
        <w:rPr>
          <w:rFonts w:ascii="Times New Roman" w:hAnsi="Times New Roman"/>
          <w:sz w:val="22"/>
          <w:szCs w:val="21"/>
        </w:rPr>
        <w:t>”</w:t>
      </w:r>
      <w:r>
        <w:rPr>
          <w:rFonts w:hint="eastAsia" w:ascii="Times New Roman" w:hAnsi="Times New Roman"/>
          <w:sz w:val="22"/>
          <w:szCs w:val="21"/>
        </w:rPr>
        <w:t>系指</w:t>
      </w:r>
      <w:r>
        <w:rPr>
          <w:rFonts w:ascii="Times New Roman" w:hAnsi="Times New Roman"/>
          <w:sz w:val="22"/>
          <w:szCs w:val="21"/>
        </w:rPr>
        <w:t>“</w:t>
      </w:r>
      <w:r>
        <w:rPr>
          <w:rFonts w:hint="eastAsia" w:ascii="Times New Roman" w:hAnsi="Times New Roman"/>
          <w:sz w:val="22"/>
          <w:szCs w:val="21"/>
        </w:rPr>
        <w:t>采购人</w:t>
      </w:r>
      <w:r>
        <w:rPr>
          <w:rFonts w:ascii="Times New Roman" w:hAnsi="Times New Roman"/>
          <w:sz w:val="22"/>
          <w:szCs w:val="21"/>
        </w:rPr>
        <w:t>”</w:t>
      </w:r>
      <w:r>
        <w:rPr>
          <w:rFonts w:hint="eastAsia" w:ascii="Times New Roman" w:hAnsi="Times New Roman"/>
          <w:sz w:val="22"/>
          <w:szCs w:val="21"/>
        </w:rPr>
        <w:t>和</w:t>
      </w:r>
      <w:r>
        <w:rPr>
          <w:rFonts w:ascii="Times New Roman" w:hAnsi="Times New Roman"/>
          <w:sz w:val="22"/>
          <w:szCs w:val="21"/>
        </w:rPr>
        <w:t>“</w:t>
      </w:r>
      <w:r>
        <w:rPr>
          <w:rFonts w:hint="eastAsia" w:ascii="Times New Roman" w:hAnsi="Times New Roman"/>
          <w:sz w:val="22"/>
          <w:szCs w:val="21"/>
        </w:rPr>
        <w:t>采购代理机构</w:t>
      </w:r>
      <w:r>
        <w:rPr>
          <w:rFonts w:ascii="Times New Roman" w:hAnsi="Times New Roman"/>
          <w:sz w:val="22"/>
          <w:szCs w:val="21"/>
        </w:rPr>
        <w:t>”</w:t>
      </w:r>
      <w:r>
        <w:rPr>
          <w:rFonts w:hint="eastAsia" w:ascii="Times New Roman" w:hAnsi="Times New Roman"/>
          <w:sz w:val="22"/>
          <w:szCs w:val="21"/>
        </w:rPr>
        <w:t>的统称。</w:t>
      </w:r>
    </w:p>
    <w:p w14:paraId="45625797">
      <w:pPr>
        <w:tabs>
          <w:tab w:val="left" w:pos="7665"/>
        </w:tabs>
        <w:spacing w:line="460" w:lineRule="exact"/>
        <w:ind w:firstLine="440" w:firstLineChars="200"/>
        <w:rPr>
          <w:rFonts w:ascii="Times New Roman" w:hAnsi="Times New Roman"/>
          <w:sz w:val="22"/>
          <w:szCs w:val="21"/>
        </w:rPr>
      </w:pPr>
      <w:r>
        <w:rPr>
          <w:rFonts w:ascii="Times New Roman" w:hAnsi="Times New Roman"/>
          <w:sz w:val="22"/>
          <w:szCs w:val="21"/>
        </w:rPr>
        <w:t>2.4 “</w:t>
      </w:r>
      <w:r>
        <w:rPr>
          <w:rFonts w:hint="eastAsia" w:ascii="Times New Roman" w:hAnsi="Times New Roman"/>
          <w:sz w:val="22"/>
          <w:szCs w:val="21"/>
        </w:rPr>
        <w:t>投标人</w:t>
      </w:r>
      <w:r>
        <w:rPr>
          <w:rFonts w:ascii="Times New Roman" w:hAnsi="Times New Roman"/>
          <w:sz w:val="22"/>
          <w:szCs w:val="21"/>
        </w:rPr>
        <w:t>”</w:t>
      </w:r>
      <w:r>
        <w:rPr>
          <w:rFonts w:hint="eastAsia" w:ascii="Times New Roman" w:hAnsi="Times New Roman"/>
          <w:sz w:val="22"/>
          <w:szCs w:val="21"/>
        </w:rPr>
        <w:t>系指购买了招标文件拟参加投标和向采购人提供服务的供应商。</w:t>
      </w:r>
    </w:p>
    <w:p w14:paraId="276BCA70">
      <w:pPr>
        <w:pStyle w:val="4"/>
        <w:spacing w:line="400" w:lineRule="exact"/>
        <w:rPr>
          <w:rFonts w:hAnsi="Times New Roman"/>
          <w:sz w:val="22"/>
          <w:szCs w:val="21"/>
        </w:rPr>
      </w:pPr>
      <w:bookmarkStart w:id="51" w:name="_Toc217390843"/>
      <w:bookmarkStart w:id="52" w:name="_Toc217446036"/>
      <w:bookmarkStart w:id="53" w:name="_Toc183682344"/>
      <w:bookmarkStart w:id="54" w:name="_Toc183582207"/>
      <w:bookmarkStart w:id="55" w:name="_Toc13323"/>
      <w:bookmarkStart w:id="56" w:name="_Toc13653"/>
      <w:bookmarkStart w:id="57" w:name="_Toc217446038"/>
      <w:bookmarkStart w:id="58" w:name="_Toc183582209"/>
      <w:bookmarkStart w:id="59" w:name="_Toc183682346"/>
      <w:bookmarkStart w:id="60" w:name="_Toc6652"/>
      <w:bookmarkStart w:id="61" w:name="_Toc89075875"/>
      <w:bookmarkStart w:id="62" w:name="_Toc18993"/>
      <w:bookmarkStart w:id="63" w:name="_Toc24610"/>
      <w:bookmarkStart w:id="64" w:name="_Toc77400779"/>
      <w:bookmarkStart w:id="65" w:name="_Toc22869"/>
      <w:r>
        <w:rPr>
          <w:rFonts w:hAnsi="Times New Roman"/>
          <w:sz w:val="22"/>
          <w:szCs w:val="21"/>
        </w:rPr>
        <w:t xml:space="preserve">3. </w:t>
      </w:r>
      <w:r>
        <w:rPr>
          <w:rFonts w:hint="eastAsia" w:hAnsi="Times New Roman"/>
          <w:sz w:val="22"/>
          <w:szCs w:val="21"/>
        </w:rPr>
        <w:t>合格的投标人</w:t>
      </w:r>
      <w:bookmarkEnd w:id="51"/>
      <w:bookmarkEnd w:id="52"/>
      <w:bookmarkEnd w:id="53"/>
      <w:bookmarkEnd w:id="54"/>
    </w:p>
    <w:p w14:paraId="3B9DAB67">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合格的投标人应具备以下条件：</w:t>
      </w:r>
    </w:p>
    <w:p w14:paraId="0BD0EBE1">
      <w:pPr>
        <w:tabs>
          <w:tab w:val="left" w:pos="7665"/>
        </w:tabs>
        <w:spacing w:line="400" w:lineRule="exact"/>
        <w:ind w:firstLine="440" w:firstLineChars="200"/>
        <w:rPr>
          <w:rFonts w:ascii="Times New Roman" w:hAnsi="Times New Roman"/>
          <w:spacing w:val="-4"/>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）本招标文件规定的供应商资格条件</w:t>
      </w:r>
      <w:r>
        <w:rPr>
          <w:rFonts w:hint="eastAsia" w:ascii="Times New Roman" w:hAnsi="Times New Roman"/>
          <w:spacing w:val="-4"/>
          <w:sz w:val="22"/>
          <w:szCs w:val="21"/>
        </w:rPr>
        <w:t>；</w:t>
      </w:r>
    </w:p>
    <w:p w14:paraId="6509ACB5">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）遵守国家有关的法律、法规、规章和其他政策制度；</w:t>
      </w:r>
    </w:p>
    <w:p w14:paraId="35567788">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）向采购代理机构购买了招标文件。</w:t>
      </w:r>
    </w:p>
    <w:p w14:paraId="6AB6AF62">
      <w:pPr>
        <w:pStyle w:val="4"/>
        <w:spacing w:line="400" w:lineRule="exact"/>
        <w:rPr>
          <w:rFonts w:hAnsi="Times New Roman"/>
          <w:sz w:val="22"/>
          <w:szCs w:val="21"/>
        </w:rPr>
      </w:pPr>
      <w:bookmarkStart w:id="66" w:name="_Toc183682345"/>
      <w:bookmarkStart w:id="67" w:name="_Toc217446037"/>
      <w:bookmarkStart w:id="68" w:name="_Toc183582208"/>
      <w:r>
        <w:rPr>
          <w:rFonts w:hAnsi="Times New Roman"/>
          <w:sz w:val="22"/>
          <w:szCs w:val="21"/>
        </w:rPr>
        <w:t xml:space="preserve">4. </w:t>
      </w:r>
      <w:r>
        <w:rPr>
          <w:rFonts w:hint="eastAsia" w:hAnsi="Times New Roman"/>
          <w:sz w:val="22"/>
          <w:szCs w:val="21"/>
        </w:rPr>
        <w:t>投标费用</w:t>
      </w:r>
      <w:bookmarkEnd w:id="66"/>
      <w:bookmarkEnd w:id="67"/>
      <w:bookmarkEnd w:id="68"/>
    </w:p>
    <w:p w14:paraId="00629178">
      <w:pPr>
        <w:tabs>
          <w:tab w:val="left" w:pos="7665"/>
        </w:tabs>
        <w:spacing w:line="400" w:lineRule="exact"/>
        <w:ind w:firstLine="480"/>
        <w:rPr>
          <w:rFonts w:ascii="Times New Roman" w:hAnsi="Times New Roman"/>
          <w:sz w:val="22"/>
          <w:szCs w:val="21"/>
        </w:rPr>
      </w:pPr>
      <w:r>
        <w:rPr>
          <w:rFonts w:hint="eastAsia" w:ascii="Times New Roman" w:hAnsi="Times New Roman"/>
          <w:sz w:val="22"/>
          <w:szCs w:val="21"/>
        </w:rPr>
        <w:t>投标人参加投标的有关费用由投标人自行承担。</w:t>
      </w:r>
    </w:p>
    <w:p w14:paraId="39D25D81">
      <w:pPr>
        <w:pStyle w:val="4"/>
        <w:spacing w:line="400" w:lineRule="exact"/>
        <w:rPr>
          <w:rFonts w:hAnsi="Times New Roman"/>
          <w:sz w:val="22"/>
          <w:szCs w:val="21"/>
        </w:rPr>
      </w:pPr>
      <w:r>
        <w:rPr>
          <w:rFonts w:hAnsi="Times New Roman"/>
          <w:sz w:val="22"/>
          <w:szCs w:val="21"/>
        </w:rPr>
        <w:t xml:space="preserve">5. </w:t>
      </w:r>
      <w:r>
        <w:rPr>
          <w:rFonts w:hint="eastAsia" w:hAnsi="Times New Roman"/>
          <w:sz w:val="22"/>
          <w:szCs w:val="21"/>
        </w:rPr>
        <w:t>充分、公平竞争保障措施</w:t>
      </w:r>
    </w:p>
    <w:p w14:paraId="384571B8">
      <w:pPr>
        <w:pStyle w:val="22"/>
        <w:spacing w:line="460" w:lineRule="exact"/>
        <w:ind w:left="1" w:firstLine="442" w:firstLineChars="200"/>
        <w:rPr>
          <w:rFonts w:ascii="Times New Roman" w:hAnsi="Times New Roman"/>
          <w:b/>
          <w:sz w:val="22"/>
        </w:rPr>
      </w:pPr>
      <w:r>
        <w:rPr>
          <w:rFonts w:ascii="Times New Roman" w:hAnsi="Times New Roman"/>
          <w:b/>
          <w:sz w:val="22"/>
          <w:szCs w:val="21"/>
        </w:rPr>
        <w:t xml:space="preserve">5.1 </w:t>
      </w:r>
      <w:r>
        <w:rPr>
          <w:rFonts w:hint="eastAsia" w:ascii="Times New Roman" w:hAnsi="Times New Roman"/>
          <w:b/>
          <w:sz w:val="22"/>
          <w:szCs w:val="21"/>
        </w:rPr>
        <w:t>提供相同品牌产品处理</w:t>
      </w:r>
      <w:r>
        <w:rPr>
          <w:rFonts w:hint="eastAsia" w:ascii="Times New Roman" w:hAnsi="Times New Roman"/>
          <w:b/>
          <w:sz w:val="22"/>
        </w:rPr>
        <w:t>。</w:t>
      </w:r>
    </w:p>
    <w:p w14:paraId="7F5E85CE">
      <w:pPr>
        <w:pStyle w:val="22"/>
        <w:spacing w:line="460" w:lineRule="exact"/>
        <w:ind w:left="1" w:firstLine="442" w:firstLineChars="200"/>
        <w:rPr>
          <w:rFonts w:ascii="Times New Roman" w:hAnsi="Times New Roman"/>
          <w:bCs/>
          <w:sz w:val="22"/>
        </w:rPr>
      </w:pPr>
      <w:r>
        <w:rPr>
          <w:rFonts w:ascii="Times New Roman" w:hAnsi="Times New Roman"/>
          <w:b/>
          <w:sz w:val="22"/>
        </w:rPr>
        <w:t xml:space="preserve">5.1.1 </w:t>
      </w:r>
      <w:r>
        <w:rPr>
          <w:rFonts w:hint="eastAsia" w:ascii="Times New Roman" w:hAnsi="Times New Roman"/>
          <w:bCs/>
          <w:sz w:val="22"/>
        </w:rPr>
        <w:t>非单一产品采购项目中，采购人根据采购项目技术构成、产品价格比重等合理确定核心产品。多家投标人提供的任一核心产品品牌相同的，视为提供相同品牌产品，本项目核心产品为</w:t>
      </w:r>
      <w:r>
        <w:rPr>
          <w:rFonts w:hint="eastAsia" w:ascii="Times New Roman" w:hAnsi="Times New Roman"/>
          <w:bCs/>
          <w:sz w:val="22"/>
          <w:lang w:val="en-US" w:eastAsia="zh-CN"/>
        </w:rPr>
        <w:t xml:space="preserve"> ：01包5G+健康医疗数字远程外科手术实训平台（5G+健康医疗手术互动教学设备）；02包外科护理技能虚拟仿真训练系统</w:t>
      </w:r>
      <w:r>
        <w:rPr>
          <w:rFonts w:hint="eastAsia" w:asciiTheme="minorEastAsia" w:hAnsiTheme="minorEastAsia" w:eastAsiaTheme="minorEastAsia" w:cstheme="minorEastAsia"/>
          <w:sz w:val="22"/>
        </w:rPr>
        <w:t>。</w:t>
      </w:r>
    </w:p>
    <w:p w14:paraId="75237CD9">
      <w:pPr>
        <w:pStyle w:val="22"/>
        <w:spacing w:line="460" w:lineRule="exact"/>
        <w:ind w:left="1" w:firstLine="442" w:firstLineChars="200"/>
        <w:rPr>
          <w:rFonts w:ascii="Times New Roman" w:hAnsi="Times New Roman"/>
          <w:b/>
          <w:sz w:val="22"/>
        </w:rPr>
      </w:pPr>
      <w:r>
        <w:rPr>
          <w:rFonts w:ascii="Times New Roman" w:hAnsi="Times New Roman"/>
          <w:b/>
          <w:sz w:val="22"/>
        </w:rPr>
        <w:t xml:space="preserve">5.1.2 </w:t>
      </w:r>
      <w:r>
        <w:rPr>
          <w:rFonts w:hint="eastAsia" w:ascii="Times New Roman" w:hAnsi="Times New Roman"/>
          <w:b/>
          <w:sz w:val="22"/>
        </w:rPr>
        <w:t>采用综合评分法的采购项目。</w:t>
      </w:r>
    </w:p>
    <w:p w14:paraId="4BE75318">
      <w:pPr>
        <w:pStyle w:val="22"/>
        <w:spacing w:line="460" w:lineRule="exact"/>
        <w:ind w:firstLine="440" w:firstLineChars="200"/>
        <w:rPr>
          <w:rFonts w:ascii="Times New Roman" w:hAnsi="Times New Roman"/>
          <w:bCs/>
          <w:sz w:val="22"/>
        </w:rPr>
      </w:pPr>
      <w:r>
        <w:rPr>
          <w:rFonts w:hint="eastAsia" w:ascii="Times New Roman" w:hAnsi="Times New Roman"/>
          <w:bCs/>
          <w:sz w:val="22"/>
        </w:rPr>
        <w:t>提供相同品牌产品且通过资格审查、符合性审查的不同投标人参加同一合同项下投标的，按一家投标人计算，评审后得分最高的同品牌投标人获得中标人推荐资格；评审得分相同的，由采购人采取随机抽取方式确定一个投标人获得中标人推荐资格，其他同品牌投标人不作为中标候选人。</w:t>
      </w:r>
    </w:p>
    <w:p w14:paraId="75422672">
      <w:pPr>
        <w:pStyle w:val="22"/>
        <w:spacing w:line="460" w:lineRule="exact"/>
        <w:ind w:left="1" w:firstLine="442" w:firstLineChars="200"/>
        <w:rPr>
          <w:rFonts w:ascii="Times New Roman" w:hAnsi="Times New Roman"/>
          <w:sz w:val="22"/>
          <w:szCs w:val="21"/>
        </w:rPr>
      </w:pPr>
      <w:r>
        <w:rPr>
          <w:rFonts w:ascii="Times New Roman" w:hAnsi="Times New Roman"/>
          <w:b/>
          <w:sz w:val="22"/>
          <w:szCs w:val="21"/>
        </w:rPr>
        <w:t xml:space="preserve">5.2 </w:t>
      </w:r>
      <w:r>
        <w:rPr>
          <w:rFonts w:hint="eastAsia" w:ascii="Times New Roman" w:hAnsi="Times New Roman"/>
          <w:b/>
          <w:sz w:val="22"/>
          <w:szCs w:val="21"/>
        </w:rPr>
        <w:t>利害关系供应商处理。</w:t>
      </w:r>
      <w:r>
        <w:rPr>
          <w:rFonts w:hint="eastAsia" w:ascii="Times New Roman" w:hAnsi="Times New Roman"/>
          <w:sz w:val="22"/>
          <w:szCs w:val="21"/>
        </w:rPr>
        <w:t>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投标文件作为无效处理。</w:t>
      </w:r>
    </w:p>
    <w:p w14:paraId="1B7E400C">
      <w:pPr>
        <w:pStyle w:val="22"/>
        <w:spacing w:line="460" w:lineRule="exact"/>
        <w:ind w:left="1" w:firstLine="442" w:firstLineChars="200"/>
        <w:rPr>
          <w:rFonts w:ascii="Times New Roman" w:hAnsi="Times New Roman"/>
          <w:sz w:val="22"/>
          <w:szCs w:val="21"/>
        </w:rPr>
      </w:pPr>
      <w:r>
        <w:rPr>
          <w:rFonts w:ascii="Times New Roman" w:hAnsi="Times New Roman"/>
          <w:b/>
          <w:sz w:val="22"/>
          <w:szCs w:val="21"/>
        </w:rPr>
        <w:t xml:space="preserve">5.3 </w:t>
      </w:r>
      <w:r>
        <w:rPr>
          <w:rFonts w:hint="eastAsia" w:ascii="Times New Roman" w:hAnsi="Times New Roman"/>
          <w:b/>
          <w:sz w:val="22"/>
          <w:szCs w:val="21"/>
        </w:rPr>
        <w:t>前期参与供应商处理。</w:t>
      </w:r>
      <w:r>
        <w:rPr>
          <w:rFonts w:hint="eastAsia" w:ascii="Times New Roman" w:hAnsi="Times New Roman"/>
          <w:sz w:val="22"/>
          <w:szCs w:val="21"/>
        </w:rPr>
        <w:t>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政府采购合同等实质性内容条款的，视同为采购项目提供规范编制。</w:t>
      </w:r>
    </w:p>
    <w:p w14:paraId="129B8325">
      <w:pPr>
        <w:pStyle w:val="22"/>
        <w:spacing w:line="460" w:lineRule="exact"/>
        <w:ind w:left="1" w:firstLine="442" w:firstLineChars="200"/>
        <w:rPr>
          <w:rFonts w:ascii="Times New Roman" w:hAnsi="Times New Roman"/>
          <w:sz w:val="22"/>
          <w:szCs w:val="21"/>
        </w:rPr>
      </w:pPr>
      <w:r>
        <w:rPr>
          <w:rFonts w:ascii="Times New Roman" w:hAnsi="Times New Roman"/>
          <w:b/>
          <w:sz w:val="22"/>
          <w:szCs w:val="21"/>
        </w:rPr>
        <w:t xml:space="preserve">5.4 </w:t>
      </w:r>
      <w:r>
        <w:rPr>
          <w:rFonts w:hint="eastAsia" w:ascii="Times New Roman" w:hAnsi="Times New Roman"/>
          <w:b/>
          <w:sz w:val="22"/>
          <w:szCs w:val="21"/>
        </w:rPr>
        <w:t>利害关系代理人处理。</w:t>
      </w:r>
      <w:r>
        <w:rPr>
          <w:rFonts w:ascii="Times New Roman" w:hAnsi="Times New Roman"/>
          <w:sz w:val="22"/>
          <w:szCs w:val="21"/>
        </w:rPr>
        <w:t>2</w:t>
      </w:r>
      <w:r>
        <w:rPr>
          <w:rFonts w:hint="eastAsia" w:ascii="Times New Roman" w:hAnsi="Times New Roman"/>
          <w:sz w:val="22"/>
          <w:szCs w:val="21"/>
        </w:rPr>
        <w:t>家以上的供应商不得在同一合同项下的采购项目中，同时委托同一个自然人、同一家庭的人员、同一单位的人员作为其代理人，否则，其投标文件作为无效处理。</w:t>
      </w:r>
    </w:p>
    <w:p w14:paraId="1054B1EA">
      <w:pPr>
        <w:keepNext/>
        <w:keepLines/>
        <w:spacing w:before="340" w:after="330" w:line="276" w:lineRule="auto"/>
        <w:jc w:val="center"/>
        <w:rPr>
          <w:rFonts w:ascii="Times New Roman" w:hAnsi="Times New Roman"/>
          <w:sz w:val="32"/>
          <w:szCs w:val="32"/>
        </w:rPr>
      </w:pPr>
      <w:r>
        <w:rPr>
          <w:rFonts w:hint="eastAsia" w:ascii="Times New Roman" w:hAnsi="Times New Roman"/>
          <w:sz w:val="32"/>
          <w:szCs w:val="32"/>
        </w:rPr>
        <w:t>三、招标文件</w:t>
      </w:r>
      <w:bookmarkEnd w:id="55"/>
      <w:bookmarkEnd w:id="56"/>
      <w:bookmarkEnd w:id="57"/>
      <w:bookmarkEnd w:id="58"/>
      <w:bookmarkEnd w:id="59"/>
      <w:bookmarkEnd w:id="60"/>
      <w:bookmarkEnd w:id="61"/>
      <w:bookmarkEnd w:id="62"/>
      <w:bookmarkEnd w:id="63"/>
      <w:bookmarkEnd w:id="64"/>
      <w:bookmarkEnd w:id="65"/>
    </w:p>
    <w:p w14:paraId="0F85F73F">
      <w:pPr>
        <w:pStyle w:val="4"/>
        <w:spacing w:line="400" w:lineRule="exact"/>
        <w:rPr>
          <w:rFonts w:hAnsi="Times New Roman"/>
          <w:sz w:val="22"/>
          <w:szCs w:val="21"/>
        </w:rPr>
      </w:pPr>
      <w:bookmarkStart w:id="69" w:name="_Toc3193"/>
      <w:bookmarkStart w:id="70" w:name="_Toc183582210"/>
      <w:bookmarkStart w:id="71" w:name="_Toc217446039"/>
      <w:bookmarkStart w:id="72" w:name="_Toc183682347"/>
      <w:r>
        <w:rPr>
          <w:rFonts w:hAnsi="Times New Roman"/>
          <w:sz w:val="22"/>
          <w:szCs w:val="21"/>
        </w:rPr>
        <w:t>6</w:t>
      </w:r>
      <w:r>
        <w:rPr>
          <w:rFonts w:hint="eastAsia" w:hAnsi="Times New Roman"/>
          <w:sz w:val="22"/>
          <w:szCs w:val="21"/>
        </w:rPr>
        <w:t>．招标文件的构成</w:t>
      </w:r>
      <w:bookmarkEnd w:id="69"/>
      <w:bookmarkEnd w:id="70"/>
      <w:bookmarkEnd w:id="71"/>
      <w:bookmarkEnd w:id="72"/>
    </w:p>
    <w:p w14:paraId="03B0C5AC">
      <w:pPr>
        <w:tabs>
          <w:tab w:val="left" w:pos="7665"/>
        </w:tabs>
        <w:spacing w:line="400" w:lineRule="exact"/>
        <w:ind w:firstLine="440" w:firstLineChars="200"/>
        <w:rPr>
          <w:rFonts w:ascii="Times New Roman" w:hAnsi="Times New Roman"/>
          <w:sz w:val="22"/>
          <w:szCs w:val="21"/>
        </w:rPr>
      </w:pPr>
      <w:r>
        <w:rPr>
          <w:rFonts w:ascii="Times New Roman" w:hAnsi="Times New Roman"/>
          <w:sz w:val="22"/>
          <w:szCs w:val="21"/>
        </w:rPr>
        <w:t xml:space="preserve">6.1 </w:t>
      </w:r>
      <w:r>
        <w:rPr>
          <w:rFonts w:hint="eastAsia" w:ascii="Times New Roman" w:hAnsi="Times New Roman"/>
          <w:sz w:val="22"/>
          <w:szCs w:val="21"/>
        </w:rPr>
        <w:t>招标文件是供应商准备投标文件和参加投标的依据，同时也是评标的重要依据，具有准法律文件性质。招标文件用以阐明招标项目所需的资质、技术、服务及报价等要求、招标投标程序、有关规定和注意事项以及合同主要条款等。本招标文件包括以下内容：</w:t>
      </w:r>
    </w:p>
    <w:p w14:paraId="7998E933">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（一）投标邀请；</w:t>
      </w:r>
    </w:p>
    <w:p w14:paraId="67C94A6D">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（二）投标人须知；</w:t>
      </w:r>
    </w:p>
    <w:p w14:paraId="4FB564D2">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（三）投标文件格式；</w:t>
      </w:r>
    </w:p>
    <w:p w14:paraId="2F307300">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（四）投标人和投标产品（如涉及）的资格、资质性及其他类似效力要求；</w:t>
      </w:r>
    </w:p>
    <w:p w14:paraId="4C707FFD">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（五）投标人应当提供的资格、资质性及其他类似效力要求的相关证明材料；</w:t>
      </w:r>
    </w:p>
    <w:p w14:paraId="2B558780">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（六）招标项目要求；</w:t>
      </w:r>
    </w:p>
    <w:p w14:paraId="2D917C7C">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（七）评标办法；</w:t>
      </w:r>
    </w:p>
    <w:p w14:paraId="77277D3A">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（八）合同主要条款。</w:t>
      </w:r>
    </w:p>
    <w:p w14:paraId="0F05BD5F">
      <w:pPr>
        <w:tabs>
          <w:tab w:val="left" w:pos="7665"/>
        </w:tabs>
        <w:spacing w:line="400" w:lineRule="exact"/>
        <w:ind w:firstLine="440" w:firstLineChars="200"/>
        <w:rPr>
          <w:rFonts w:ascii="Times New Roman" w:hAnsi="Times New Roman"/>
          <w:sz w:val="22"/>
          <w:szCs w:val="21"/>
        </w:rPr>
      </w:pPr>
      <w:r>
        <w:rPr>
          <w:rFonts w:ascii="Times New Roman" w:hAnsi="Times New Roman"/>
          <w:sz w:val="22"/>
          <w:szCs w:val="21"/>
        </w:rPr>
        <w:t xml:space="preserve">6.2 </w:t>
      </w:r>
      <w:r>
        <w:rPr>
          <w:rFonts w:hint="eastAsia" w:ascii="Times New Roman" w:hAnsi="Times New Roman"/>
          <w:sz w:val="22"/>
          <w:szCs w:val="21"/>
        </w:rPr>
        <w:t>投标人应认真阅读和充分理解招标文件中所有的事项、格式条款和规范要求。投标人没有对招标文件全面做出实质性响应是投标人的风险。没有按照招标文件要求作出实质性响应的投标文件将被拒绝。</w:t>
      </w:r>
    </w:p>
    <w:p w14:paraId="6DFD6E0C">
      <w:pPr>
        <w:pStyle w:val="4"/>
        <w:spacing w:line="400" w:lineRule="exact"/>
        <w:rPr>
          <w:rFonts w:hAnsi="Times New Roman"/>
          <w:sz w:val="22"/>
          <w:szCs w:val="21"/>
        </w:rPr>
      </w:pPr>
      <w:bookmarkStart w:id="73" w:name="_Toc183682348"/>
      <w:bookmarkStart w:id="74" w:name="_Toc183582211"/>
      <w:bookmarkStart w:id="75" w:name="_Toc12704"/>
      <w:bookmarkStart w:id="76" w:name="_Toc217446040"/>
      <w:r>
        <w:rPr>
          <w:rFonts w:hAnsi="Times New Roman"/>
          <w:sz w:val="22"/>
          <w:szCs w:val="21"/>
        </w:rPr>
        <w:t xml:space="preserve">7. </w:t>
      </w:r>
      <w:r>
        <w:rPr>
          <w:rFonts w:hint="eastAsia" w:hAnsi="Times New Roman"/>
          <w:sz w:val="22"/>
          <w:szCs w:val="21"/>
        </w:rPr>
        <w:t>招标文件的澄清</w:t>
      </w:r>
      <w:bookmarkEnd w:id="73"/>
      <w:bookmarkEnd w:id="74"/>
      <w:r>
        <w:rPr>
          <w:rFonts w:hint="eastAsia" w:hAnsi="Times New Roman"/>
          <w:sz w:val="22"/>
          <w:szCs w:val="21"/>
        </w:rPr>
        <w:t>和修改</w:t>
      </w:r>
      <w:bookmarkEnd w:id="75"/>
      <w:bookmarkEnd w:id="76"/>
    </w:p>
    <w:p w14:paraId="05FE190D">
      <w:pPr>
        <w:tabs>
          <w:tab w:val="left" w:pos="7665"/>
        </w:tabs>
        <w:spacing w:line="400" w:lineRule="exact"/>
        <w:ind w:firstLine="440" w:firstLineChars="200"/>
        <w:rPr>
          <w:rFonts w:ascii="Times New Roman" w:hAnsi="Times New Roman"/>
          <w:sz w:val="22"/>
          <w:szCs w:val="21"/>
        </w:rPr>
      </w:pPr>
      <w:bookmarkStart w:id="77" w:name="_Toc18406"/>
      <w:bookmarkStart w:id="78" w:name="_Toc217446042"/>
      <w:bookmarkStart w:id="79" w:name="_Toc183682351"/>
      <w:bookmarkStart w:id="80" w:name="_Toc89075876"/>
      <w:bookmarkStart w:id="81" w:name="_Toc3696"/>
      <w:bookmarkStart w:id="82" w:name="_Toc13906"/>
      <w:bookmarkStart w:id="83" w:name="_Toc183582214"/>
      <w:bookmarkStart w:id="84" w:name="_Toc24268"/>
      <w:bookmarkStart w:id="85" w:name="_Toc14522"/>
      <w:bookmarkStart w:id="86" w:name="_Toc77400780"/>
      <w:bookmarkStart w:id="87" w:name="_Toc21900"/>
      <w:r>
        <w:rPr>
          <w:rFonts w:ascii="Times New Roman" w:hAnsi="Times New Roman"/>
          <w:sz w:val="22"/>
          <w:szCs w:val="21"/>
        </w:rPr>
        <w:t xml:space="preserve">7.1 </w:t>
      </w:r>
      <w:r>
        <w:rPr>
          <w:rFonts w:hint="eastAsia" w:ascii="Times New Roman" w:hAnsi="Times New Roman"/>
          <w:sz w:val="22"/>
          <w:szCs w:val="21"/>
        </w:rPr>
        <w:t>招标采购单位可以依法对招标文件进行澄清或者修改。</w:t>
      </w:r>
    </w:p>
    <w:p w14:paraId="02ADD19C">
      <w:pPr>
        <w:tabs>
          <w:tab w:val="left" w:pos="7665"/>
        </w:tabs>
        <w:spacing w:line="400" w:lineRule="exact"/>
        <w:ind w:firstLine="440" w:firstLineChars="200"/>
        <w:rPr>
          <w:rFonts w:ascii="Times New Roman" w:hAnsi="Times New Roman"/>
          <w:sz w:val="22"/>
          <w:szCs w:val="21"/>
        </w:rPr>
      </w:pPr>
      <w:r>
        <w:rPr>
          <w:rFonts w:ascii="Times New Roman" w:hAnsi="Times New Roman"/>
          <w:sz w:val="22"/>
          <w:szCs w:val="21"/>
        </w:rPr>
        <w:t xml:space="preserve">7.2 </w:t>
      </w:r>
      <w:r>
        <w:rPr>
          <w:rFonts w:hint="eastAsia" w:ascii="Times New Roman" w:hAnsi="Times New Roman"/>
          <w:sz w:val="22"/>
          <w:szCs w:val="21"/>
        </w:rPr>
        <w:t>招标采购单位对已发出的招标文件进行澄清或者修改，应当以书面形式将澄清或者修改的内容通知所有购买了招标文件的供应商，同时在</w:t>
      </w:r>
      <w:r>
        <w:rPr>
          <w:rFonts w:hint="eastAsia" w:ascii="Times New Roman" w:hAnsi="宋体"/>
          <w:b/>
          <w:bCs/>
          <w:sz w:val="22"/>
          <w:u w:val="single"/>
          <w:lang w:eastAsia="zh-CN"/>
        </w:rPr>
        <w:t>陕西省政府采购网</w:t>
      </w:r>
      <w:r>
        <w:rPr>
          <w:rFonts w:hint="eastAsia" w:ascii="Times New Roman" w:hAnsi="Times New Roman"/>
          <w:sz w:val="22"/>
          <w:szCs w:val="21"/>
        </w:rPr>
        <w:t>上发布</w:t>
      </w:r>
      <w:r>
        <w:rPr>
          <w:rFonts w:hint="eastAsia" w:ascii="Times New Roman" w:hAnsi="Times New Roman"/>
          <w:b/>
          <w:bCs/>
          <w:sz w:val="22"/>
          <w:szCs w:val="21"/>
        </w:rPr>
        <w:t>更正公告</w:t>
      </w:r>
      <w:r>
        <w:rPr>
          <w:rFonts w:hint="eastAsia" w:ascii="Times New Roman" w:hAnsi="Times New Roman"/>
          <w:sz w:val="22"/>
          <w:szCs w:val="21"/>
        </w:rPr>
        <w:t>。该澄清或者修改的内容为招标文件的组成部分，澄清或者修改的内容可能影响投标文件、资格预审申请文件编制的，采购人或者采购代理机构发布公告并书面通知供应商的时间，应当在投标截止时间至少１５日前、提交资格预审申请文件截止时间至少３日前；不足上述时间的，应当顺延提交投标文件、资格预审申请文件的截止时间。</w:t>
      </w:r>
    </w:p>
    <w:p w14:paraId="09F4DF87">
      <w:pPr>
        <w:tabs>
          <w:tab w:val="left" w:pos="7665"/>
        </w:tabs>
        <w:spacing w:line="400" w:lineRule="exact"/>
        <w:ind w:firstLine="440" w:firstLineChars="200"/>
        <w:rPr>
          <w:rFonts w:ascii="Times New Roman" w:hAnsi="Times New Roman"/>
          <w:sz w:val="22"/>
          <w:szCs w:val="21"/>
        </w:rPr>
      </w:pPr>
      <w:r>
        <w:rPr>
          <w:rFonts w:ascii="Times New Roman" w:hAnsi="Times New Roman"/>
          <w:sz w:val="22"/>
          <w:szCs w:val="21"/>
        </w:rPr>
        <w:t xml:space="preserve">7.3 </w:t>
      </w:r>
      <w:r>
        <w:rPr>
          <w:rFonts w:hint="eastAsia" w:ascii="Times New Roman" w:hAnsi="Times New Roman"/>
          <w:sz w:val="22"/>
          <w:szCs w:val="21"/>
        </w:rPr>
        <w:t>供应商应于投标文件递交截止时间之前在《</w:t>
      </w:r>
      <w:r>
        <w:rPr>
          <w:rFonts w:hint="eastAsia" w:ascii="Times New Roman" w:hAnsi="Times New Roman"/>
          <w:sz w:val="22"/>
          <w:szCs w:val="21"/>
          <w:lang w:eastAsia="zh-CN"/>
        </w:rPr>
        <w:t>陕西省政府采购网</w:t>
      </w:r>
      <w:r>
        <w:rPr>
          <w:rFonts w:hint="eastAsia" w:ascii="Times New Roman" w:hAnsi="Times New Roman"/>
          <w:sz w:val="22"/>
          <w:szCs w:val="21"/>
        </w:rPr>
        <w:t>》查询本项目的更正公告，以保证其对招标文件做出正确的响应。供应商未按要求下载相关文件，或由于未及时关注更正公告的信息造成的后果，其责任由供应商自行负责。</w:t>
      </w:r>
    </w:p>
    <w:p w14:paraId="24CBCEA5">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更正公告通过供应商报名时备注的电子邮箱发送至所有购买招标文件的供应商，供应商在收到相应更正公告后，以书面形式给予确认，该更正公告作为招标文件的组成部分，具有约束作用。如供应商未给予书面回复，则视为收到并认可该更正公告的内容。</w:t>
      </w:r>
    </w:p>
    <w:p w14:paraId="6E8FB0E8">
      <w:pPr>
        <w:tabs>
          <w:tab w:val="left" w:pos="7665"/>
        </w:tabs>
        <w:spacing w:line="400" w:lineRule="exact"/>
        <w:ind w:firstLine="440" w:firstLineChars="200"/>
        <w:rPr>
          <w:rFonts w:ascii="Times New Roman" w:hAnsi="Times New Roman"/>
          <w:sz w:val="22"/>
          <w:szCs w:val="21"/>
        </w:rPr>
      </w:pPr>
      <w:r>
        <w:rPr>
          <w:rFonts w:ascii="Times New Roman" w:hAnsi="Times New Roman"/>
          <w:sz w:val="22"/>
          <w:szCs w:val="21"/>
        </w:rPr>
        <w:t xml:space="preserve">7.4 </w:t>
      </w:r>
      <w:r>
        <w:rPr>
          <w:rFonts w:hint="eastAsia" w:ascii="Times New Roman" w:hAnsi="Times New Roman"/>
          <w:sz w:val="22"/>
          <w:szCs w:val="21"/>
        </w:rPr>
        <w:t>投标人认为需要对招标文件进行澄清或者修改的，可以以书面形式向招标采购单位构提出申请，但招标采购单位可以决定是否采纳投标人的申请事项。</w:t>
      </w:r>
    </w:p>
    <w:p w14:paraId="4B3122DA">
      <w:pPr>
        <w:pStyle w:val="4"/>
        <w:spacing w:line="400" w:lineRule="exact"/>
        <w:rPr>
          <w:rFonts w:hint="eastAsia" w:hAnsi="Times New Roman" w:eastAsia="宋体"/>
          <w:sz w:val="22"/>
          <w:szCs w:val="21"/>
          <w:lang w:eastAsia="zh-CN"/>
        </w:rPr>
      </w:pPr>
      <w:bookmarkStart w:id="88" w:name="_Toc217446041"/>
      <w:bookmarkStart w:id="89" w:name="_Toc208848971"/>
      <w:r>
        <w:rPr>
          <w:rFonts w:hAnsi="Times New Roman"/>
          <w:sz w:val="22"/>
          <w:szCs w:val="21"/>
        </w:rPr>
        <w:t xml:space="preserve">8. </w:t>
      </w:r>
      <w:r>
        <w:rPr>
          <w:rFonts w:hint="eastAsia" w:hAnsi="Times New Roman"/>
          <w:sz w:val="22"/>
          <w:szCs w:val="21"/>
        </w:rPr>
        <w:t>答疑会和现场</w:t>
      </w:r>
      <w:bookmarkEnd w:id="88"/>
      <w:bookmarkEnd w:id="89"/>
      <w:r>
        <w:rPr>
          <w:rFonts w:hint="eastAsia" w:hAnsi="Times New Roman"/>
          <w:sz w:val="22"/>
          <w:szCs w:val="21"/>
        </w:rPr>
        <w:t>踏勘</w:t>
      </w:r>
      <w:r>
        <w:rPr>
          <w:rFonts w:hint="eastAsia" w:hAnsi="Times New Roman"/>
          <w:sz w:val="22"/>
          <w:szCs w:val="21"/>
          <w:lang w:eastAsia="zh-CN"/>
        </w:rPr>
        <w:t>（</w:t>
      </w:r>
      <w:r>
        <w:rPr>
          <w:rFonts w:hint="eastAsia" w:hAnsi="Times New Roman"/>
          <w:sz w:val="22"/>
          <w:szCs w:val="21"/>
          <w:lang w:val="en-US" w:eastAsia="zh-CN"/>
        </w:rPr>
        <w:t>本项目不适用</w:t>
      </w:r>
      <w:r>
        <w:rPr>
          <w:rFonts w:hint="eastAsia" w:hAnsi="Times New Roman"/>
          <w:sz w:val="22"/>
          <w:szCs w:val="21"/>
          <w:lang w:eastAsia="zh-CN"/>
        </w:rPr>
        <w:t>）</w:t>
      </w:r>
    </w:p>
    <w:p w14:paraId="76FB2A7A">
      <w:pPr>
        <w:tabs>
          <w:tab w:val="left" w:pos="7665"/>
        </w:tabs>
        <w:spacing w:line="400" w:lineRule="exact"/>
        <w:ind w:firstLine="440" w:firstLineChars="200"/>
        <w:rPr>
          <w:rFonts w:ascii="Times New Roman" w:hAnsi="Times New Roman"/>
          <w:sz w:val="22"/>
          <w:szCs w:val="21"/>
        </w:rPr>
      </w:pPr>
      <w:r>
        <w:rPr>
          <w:rFonts w:ascii="Times New Roman" w:hAnsi="Times New Roman"/>
          <w:sz w:val="22"/>
          <w:szCs w:val="21"/>
        </w:rPr>
        <w:t xml:space="preserve">8.1 </w:t>
      </w:r>
      <w:r>
        <w:rPr>
          <w:rFonts w:hint="eastAsia" w:ascii="Times New Roman" w:hAnsi="Times New Roman"/>
          <w:sz w:val="22"/>
          <w:szCs w:val="21"/>
        </w:rPr>
        <w:t>本项目采购人不统一组织踏勘，根据采购项目和具体情况，供应商认为有必要踏勘的可自行前往。</w:t>
      </w:r>
    </w:p>
    <w:p w14:paraId="4958F1CA">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8.2 供应商踏勘现场所发生的一切费用由供应商自己承担。</w:t>
      </w:r>
    </w:p>
    <w:p w14:paraId="245AD996">
      <w:pPr>
        <w:keepNext/>
        <w:keepLines/>
        <w:spacing w:before="340" w:after="330" w:line="276" w:lineRule="auto"/>
        <w:jc w:val="center"/>
        <w:rPr>
          <w:rFonts w:ascii="Times New Roman" w:hAnsi="Times New Roman"/>
          <w:sz w:val="28"/>
          <w:szCs w:val="28"/>
        </w:rPr>
      </w:pPr>
      <w:r>
        <w:rPr>
          <w:rFonts w:hint="eastAsia" w:ascii="Times New Roman" w:hAnsi="Times New Roman"/>
          <w:sz w:val="28"/>
          <w:szCs w:val="28"/>
        </w:rPr>
        <w:t>四、投标文件</w:t>
      </w:r>
      <w:bookmarkEnd w:id="77"/>
      <w:bookmarkEnd w:id="78"/>
      <w:bookmarkEnd w:id="79"/>
      <w:bookmarkEnd w:id="80"/>
      <w:bookmarkEnd w:id="81"/>
      <w:bookmarkEnd w:id="82"/>
      <w:bookmarkEnd w:id="83"/>
      <w:bookmarkEnd w:id="84"/>
      <w:bookmarkEnd w:id="85"/>
      <w:bookmarkEnd w:id="86"/>
      <w:bookmarkEnd w:id="87"/>
    </w:p>
    <w:p w14:paraId="14AEC48B">
      <w:pPr>
        <w:pStyle w:val="4"/>
        <w:spacing w:line="400" w:lineRule="exact"/>
        <w:rPr>
          <w:rFonts w:hAnsi="Times New Roman"/>
          <w:sz w:val="22"/>
          <w:szCs w:val="21"/>
        </w:rPr>
      </w:pPr>
      <w:bookmarkStart w:id="90" w:name="_Toc183582215"/>
      <w:bookmarkStart w:id="91" w:name="_Toc217446043"/>
      <w:bookmarkStart w:id="92" w:name="_Toc183682352"/>
      <w:bookmarkStart w:id="93" w:name="_Toc183682361"/>
      <w:bookmarkStart w:id="94" w:name="_Toc23329"/>
      <w:bookmarkStart w:id="95" w:name="_Toc217446051"/>
      <w:bookmarkStart w:id="96" w:name="_Toc183582224"/>
      <w:r>
        <w:rPr>
          <w:rFonts w:hAnsi="Times New Roman"/>
          <w:sz w:val="22"/>
          <w:szCs w:val="21"/>
        </w:rPr>
        <w:t>9</w:t>
      </w:r>
      <w:r>
        <w:rPr>
          <w:rFonts w:hint="eastAsia" w:hAnsi="Times New Roman"/>
          <w:sz w:val="22"/>
          <w:szCs w:val="21"/>
        </w:rPr>
        <w:t>．投标文件的语言</w:t>
      </w:r>
      <w:bookmarkEnd w:id="90"/>
      <w:bookmarkEnd w:id="91"/>
      <w:bookmarkEnd w:id="92"/>
    </w:p>
    <w:p w14:paraId="4B2910A4">
      <w:pPr>
        <w:tabs>
          <w:tab w:val="left" w:pos="1134"/>
        </w:tabs>
        <w:spacing w:line="360" w:lineRule="auto"/>
        <w:ind w:firstLine="440" w:firstLineChars="200"/>
        <w:jc w:val="left"/>
        <w:rPr>
          <w:rFonts w:ascii="Times New Roman" w:hAnsi="Times New Roman"/>
          <w:sz w:val="22"/>
          <w:szCs w:val="21"/>
        </w:rPr>
      </w:pPr>
      <w:bookmarkStart w:id="97" w:name="_Toc217446044"/>
      <w:bookmarkStart w:id="98" w:name="_Toc183582216"/>
      <w:bookmarkStart w:id="99" w:name="_Toc183682353"/>
      <w:r>
        <w:rPr>
          <w:rFonts w:ascii="Times New Roman" w:hAnsi="Times New Roman"/>
          <w:sz w:val="22"/>
          <w:szCs w:val="21"/>
        </w:rPr>
        <w:t xml:space="preserve">9.1 </w:t>
      </w:r>
      <w:r>
        <w:rPr>
          <w:rFonts w:hint="eastAsia" w:ascii="Times New Roman" w:hAnsi="Times New Roman"/>
          <w:sz w:val="22"/>
          <w:szCs w:val="21"/>
        </w:rPr>
        <w:t>投标人提交的投标文件以及投标人与招标采购单位就有关投标的所有来往书面文件均须使用中文。投标文件中如附有外文资料，主要部分对应翻译成中文并加盖投标人公章后附在相关外文资料后面。</w:t>
      </w:r>
    </w:p>
    <w:p w14:paraId="57B5ABCB">
      <w:pPr>
        <w:tabs>
          <w:tab w:val="left" w:pos="1134"/>
        </w:tabs>
        <w:spacing w:line="360" w:lineRule="auto"/>
        <w:ind w:firstLine="440" w:firstLineChars="200"/>
        <w:jc w:val="left"/>
        <w:rPr>
          <w:rFonts w:ascii="Times New Roman" w:hAnsi="Times New Roman"/>
          <w:sz w:val="22"/>
          <w:szCs w:val="21"/>
        </w:rPr>
      </w:pPr>
      <w:r>
        <w:rPr>
          <w:rFonts w:ascii="Times New Roman" w:hAnsi="Times New Roman"/>
          <w:sz w:val="22"/>
          <w:szCs w:val="21"/>
        </w:rPr>
        <w:t xml:space="preserve">9.2 </w:t>
      </w:r>
      <w:r>
        <w:rPr>
          <w:rFonts w:hint="eastAsia" w:ascii="Times New Roman" w:hAnsi="Times New Roman"/>
          <w:sz w:val="22"/>
          <w:szCs w:val="21"/>
        </w:rPr>
        <w:t>翻译的中文资料与外文资料如果出现差异和矛盾时，以中文为准。涉嫌虚假响应的按照相关法律法规处理。</w:t>
      </w:r>
    </w:p>
    <w:p w14:paraId="11739526">
      <w:pPr>
        <w:spacing w:line="400" w:lineRule="exact"/>
        <w:ind w:firstLine="440" w:firstLineChars="200"/>
        <w:rPr>
          <w:rFonts w:ascii="Times New Roman" w:hAnsi="Times New Roman"/>
          <w:sz w:val="22"/>
          <w:szCs w:val="21"/>
        </w:rPr>
      </w:pPr>
      <w:r>
        <w:rPr>
          <w:rFonts w:ascii="Times New Roman" w:hAnsi="Times New Roman"/>
          <w:sz w:val="22"/>
          <w:szCs w:val="21"/>
        </w:rPr>
        <w:t xml:space="preserve">9.3 </w:t>
      </w:r>
      <w:r>
        <w:rPr>
          <w:rFonts w:hint="eastAsia" w:ascii="Times New Roman" w:hAnsi="宋体"/>
          <w:sz w:val="22"/>
          <w:szCs w:val="21"/>
        </w:rPr>
        <w:t>如因未翻译而造成的废标，由投标人承担。</w:t>
      </w:r>
    </w:p>
    <w:p w14:paraId="09C8B145">
      <w:pPr>
        <w:pStyle w:val="4"/>
        <w:spacing w:line="400" w:lineRule="exact"/>
        <w:rPr>
          <w:rFonts w:hAnsi="Times New Roman"/>
          <w:sz w:val="22"/>
          <w:szCs w:val="21"/>
        </w:rPr>
      </w:pPr>
      <w:r>
        <w:rPr>
          <w:rFonts w:hAnsi="Times New Roman"/>
          <w:sz w:val="22"/>
          <w:szCs w:val="21"/>
        </w:rPr>
        <w:t>10</w:t>
      </w:r>
      <w:r>
        <w:rPr>
          <w:rFonts w:hint="eastAsia" w:hAnsi="Times New Roman"/>
          <w:sz w:val="22"/>
          <w:szCs w:val="21"/>
        </w:rPr>
        <w:t>．计量单位</w:t>
      </w:r>
      <w:bookmarkEnd w:id="97"/>
      <w:bookmarkEnd w:id="98"/>
      <w:bookmarkEnd w:id="99"/>
    </w:p>
    <w:p w14:paraId="79DE441F">
      <w:pPr>
        <w:spacing w:line="400" w:lineRule="exact"/>
        <w:ind w:firstLine="431" w:firstLineChars="196"/>
        <w:rPr>
          <w:rFonts w:ascii="Times New Roman" w:hAnsi="Times New Roman"/>
          <w:sz w:val="22"/>
          <w:szCs w:val="21"/>
        </w:rPr>
      </w:pPr>
      <w:r>
        <w:rPr>
          <w:rFonts w:hint="eastAsia" w:ascii="Times New Roman" w:hAnsi="Times New Roman"/>
          <w:sz w:val="22"/>
          <w:szCs w:val="21"/>
        </w:rPr>
        <w:t>除招标文件中另有规定外，本次采购项目所有合同项下的投标均采用国家法定的计量单位。</w:t>
      </w:r>
    </w:p>
    <w:p w14:paraId="3C5ABEA9">
      <w:pPr>
        <w:pStyle w:val="4"/>
        <w:spacing w:line="400" w:lineRule="exact"/>
        <w:rPr>
          <w:rFonts w:hAnsi="Times New Roman"/>
          <w:sz w:val="22"/>
          <w:szCs w:val="21"/>
        </w:rPr>
      </w:pPr>
      <w:bookmarkStart w:id="100" w:name="_Toc217446045"/>
      <w:r>
        <w:rPr>
          <w:rFonts w:hAnsi="Times New Roman"/>
          <w:sz w:val="22"/>
          <w:szCs w:val="21"/>
        </w:rPr>
        <w:t xml:space="preserve">11. </w:t>
      </w:r>
      <w:r>
        <w:rPr>
          <w:rFonts w:hint="eastAsia" w:hAnsi="Times New Roman"/>
          <w:sz w:val="22"/>
          <w:szCs w:val="21"/>
        </w:rPr>
        <w:t>投标货币</w:t>
      </w:r>
      <w:bookmarkEnd w:id="100"/>
    </w:p>
    <w:p w14:paraId="53E125B9">
      <w:pPr>
        <w:spacing w:line="400" w:lineRule="exact"/>
        <w:ind w:firstLine="431" w:firstLineChars="196"/>
        <w:rPr>
          <w:rFonts w:ascii="Times New Roman" w:hAnsi="Times New Roman"/>
          <w:sz w:val="22"/>
          <w:szCs w:val="21"/>
        </w:rPr>
      </w:pPr>
      <w:r>
        <w:rPr>
          <w:rFonts w:hint="eastAsia" w:ascii="Times New Roman" w:hAnsi="Times New Roman"/>
          <w:sz w:val="22"/>
          <w:szCs w:val="21"/>
        </w:rPr>
        <w:t>本次招标项目的投标均以人民币报价。</w:t>
      </w:r>
    </w:p>
    <w:p w14:paraId="0C54D3EE">
      <w:pPr>
        <w:pStyle w:val="4"/>
        <w:spacing w:line="400" w:lineRule="exact"/>
        <w:rPr>
          <w:rFonts w:hAnsi="Times New Roman"/>
          <w:sz w:val="22"/>
          <w:szCs w:val="21"/>
        </w:rPr>
      </w:pPr>
      <w:bookmarkStart w:id="101" w:name="_Toc217446046"/>
      <w:r>
        <w:rPr>
          <w:rFonts w:hAnsi="Times New Roman"/>
          <w:sz w:val="22"/>
          <w:szCs w:val="21"/>
        </w:rPr>
        <w:t xml:space="preserve">12. </w:t>
      </w:r>
      <w:r>
        <w:rPr>
          <w:rFonts w:hint="eastAsia" w:hAnsi="Times New Roman"/>
          <w:sz w:val="22"/>
          <w:szCs w:val="21"/>
        </w:rPr>
        <w:t>联合体投标</w:t>
      </w:r>
      <w:bookmarkEnd w:id="101"/>
      <w:r>
        <w:rPr>
          <w:rFonts w:hint="eastAsia" w:hAnsi="Times New Roman"/>
          <w:sz w:val="22"/>
          <w:szCs w:val="21"/>
        </w:rPr>
        <w:t>（本项目不适用）</w:t>
      </w:r>
    </w:p>
    <w:p w14:paraId="34B7AAF4">
      <w:pPr>
        <w:pStyle w:val="4"/>
        <w:spacing w:line="400" w:lineRule="exact"/>
        <w:rPr>
          <w:rFonts w:hAnsi="Times New Roman"/>
          <w:sz w:val="22"/>
          <w:szCs w:val="21"/>
        </w:rPr>
      </w:pPr>
      <w:bookmarkStart w:id="102" w:name="_Toc217446047"/>
      <w:bookmarkStart w:id="103" w:name="_Toc308164797"/>
      <w:r>
        <w:rPr>
          <w:rFonts w:hAnsi="Times New Roman"/>
          <w:sz w:val="22"/>
          <w:szCs w:val="21"/>
        </w:rPr>
        <w:t xml:space="preserve">13. </w:t>
      </w:r>
      <w:r>
        <w:rPr>
          <w:rFonts w:hint="eastAsia" w:hAnsi="Times New Roman"/>
          <w:sz w:val="22"/>
          <w:szCs w:val="21"/>
        </w:rPr>
        <w:t>知识产权</w:t>
      </w:r>
      <w:bookmarkEnd w:id="102"/>
      <w:bookmarkEnd w:id="103"/>
    </w:p>
    <w:p w14:paraId="3EE99EFE">
      <w:pPr>
        <w:pStyle w:val="9"/>
        <w:spacing w:line="400" w:lineRule="exact"/>
        <w:ind w:left="0" w:leftChars="0" w:firstLine="440" w:firstLineChars="200"/>
        <w:rPr>
          <w:rFonts w:ascii="Times New Roman" w:hAnsi="Times New Roman"/>
          <w:sz w:val="22"/>
          <w:szCs w:val="22"/>
        </w:rPr>
      </w:pPr>
      <w:r>
        <w:rPr>
          <w:rFonts w:ascii="Times New Roman" w:hAnsi="Times New Roman"/>
          <w:sz w:val="22"/>
          <w:szCs w:val="22"/>
        </w:rPr>
        <w:t xml:space="preserve">13.1 </w:t>
      </w:r>
      <w:r>
        <w:rPr>
          <w:rFonts w:hint="eastAsia" w:ascii="Times New Roman" w:hAnsi="Times New Roman"/>
          <w:sz w:val="22"/>
          <w:szCs w:val="22"/>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56E78BEA">
      <w:pPr>
        <w:pStyle w:val="9"/>
        <w:spacing w:line="400" w:lineRule="exact"/>
        <w:ind w:left="0" w:leftChars="0" w:firstLine="440" w:firstLineChars="200"/>
        <w:rPr>
          <w:rFonts w:ascii="Times New Roman" w:hAnsi="Times New Roman"/>
          <w:sz w:val="22"/>
          <w:szCs w:val="22"/>
        </w:rPr>
      </w:pPr>
      <w:r>
        <w:rPr>
          <w:rFonts w:ascii="Times New Roman" w:hAnsi="Times New Roman"/>
          <w:sz w:val="22"/>
          <w:szCs w:val="22"/>
        </w:rPr>
        <w:t xml:space="preserve">13.2 </w:t>
      </w:r>
      <w:r>
        <w:rPr>
          <w:rFonts w:hint="eastAsia" w:ascii="Times New Roman" w:hAnsi="Times New Roman"/>
          <w:sz w:val="22"/>
          <w:szCs w:val="22"/>
        </w:rPr>
        <w:t>采购人享有本项目实施过程中产生的知识成果及知识产权。</w:t>
      </w:r>
    </w:p>
    <w:p w14:paraId="32ED3340">
      <w:pPr>
        <w:spacing w:line="400" w:lineRule="exact"/>
        <w:ind w:firstLine="440" w:firstLineChars="200"/>
        <w:rPr>
          <w:rFonts w:ascii="Times New Roman" w:hAnsi="Times New Roman"/>
          <w:sz w:val="22"/>
          <w:szCs w:val="21"/>
        </w:rPr>
      </w:pPr>
      <w:r>
        <w:rPr>
          <w:rFonts w:ascii="Times New Roman" w:hAnsi="Times New Roman"/>
          <w:sz w:val="22"/>
          <w:szCs w:val="21"/>
        </w:rPr>
        <w:t xml:space="preserve">13.3 </w:t>
      </w:r>
      <w:r>
        <w:rPr>
          <w:rFonts w:hint="eastAsia" w:ascii="Times New Roman" w:hAnsi="Times New Roman"/>
          <w:sz w:val="22"/>
          <w:szCs w:val="21"/>
        </w:rPr>
        <w:t>投标人如欲在项目实施过程中采用自有知识成果，需在投标文件中声明，并提供相关知识产权证明文件。使用该知识成果后，投标人需提供开发接口和开发手册等技术文档，并承诺提供无限期技术支持，采购人享有永久使用权（含采购人委托第三方在该项目后续开发的使用权）。</w:t>
      </w:r>
    </w:p>
    <w:p w14:paraId="447EADE9">
      <w:pPr>
        <w:spacing w:line="400" w:lineRule="exact"/>
        <w:ind w:firstLine="422" w:firstLineChars="192"/>
        <w:rPr>
          <w:rFonts w:ascii="Times New Roman" w:hAnsi="Times New Roman"/>
          <w:sz w:val="22"/>
          <w:szCs w:val="21"/>
        </w:rPr>
      </w:pPr>
      <w:r>
        <w:rPr>
          <w:rFonts w:ascii="Times New Roman" w:hAnsi="Times New Roman"/>
          <w:sz w:val="22"/>
          <w:szCs w:val="21"/>
        </w:rPr>
        <w:t xml:space="preserve">13.4 </w:t>
      </w:r>
      <w:r>
        <w:rPr>
          <w:rFonts w:hint="eastAsia" w:ascii="Times New Roman" w:hAnsi="Times New Roman"/>
          <w:sz w:val="22"/>
          <w:szCs w:val="21"/>
        </w:rPr>
        <w:t>如采用投标人所不拥有的知识产权，则在投标报价中必须包括合法获取该知识产权的相关费用。</w:t>
      </w:r>
    </w:p>
    <w:p w14:paraId="18BAE32B">
      <w:pPr>
        <w:pStyle w:val="4"/>
        <w:spacing w:line="400" w:lineRule="exact"/>
        <w:rPr>
          <w:rFonts w:hAnsi="Times New Roman"/>
          <w:sz w:val="22"/>
          <w:szCs w:val="21"/>
        </w:rPr>
      </w:pPr>
      <w:bookmarkStart w:id="104" w:name="_Toc308164798"/>
      <w:bookmarkStart w:id="105" w:name="_Toc183582217"/>
      <w:bookmarkStart w:id="106" w:name="_Toc217446048"/>
      <w:bookmarkStart w:id="107" w:name="_Toc183682354"/>
      <w:r>
        <w:rPr>
          <w:rFonts w:hAnsi="Times New Roman"/>
          <w:sz w:val="22"/>
          <w:szCs w:val="21"/>
        </w:rPr>
        <w:t>14</w:t>
      </w:r>
      <w:r>
        <w:rPr>
          <w:rFonts w:hint="eastAsia" w:hAnsi="Times New Roman"/>
          <w:sz w:val="22"/>
          <w:szCs w:val="21"/>
        </w:rPr>
        <w:t>．投标文件的组成</w:t>
      </w:r>
      <w:bookmarkEnd w:id="104"/>
      <w:bookmarkEnd w:id="105"/>
      <w:bookmarkEnd w:id="106"/>
      <w:bookmarkEnd w:id="107"/>
    </w:p>
    <w:p w14:paraId="5D739B75">
      <w:pPr>
        <w:spacing w:line="400" w:lineRule="exact"/>
        <w:ind w:firstLine="440" w:firstLineChars="200"/>
        <w:rPr>
          <w:rFonts w:ascii="Times New Roman" w:hAnsi="Times New Roman"/>
          <w:sz w:val="22"/>
          <w:szCs w:val="21"/>
        </w:rPr>
      </w:pPr>
      <w:r>
        <w:rPr>
          <w:rFonts w:hint="eastAsia" w:ascii="Times New Roman" w:hAnsi="Times New Roman"/>
          <w:sz w:val="22"/>
          <w:szCs w:val="21"/>
        </w:rPr>
        <w:t>投标人应按照招标文件的规定和要求编制投标文件。投标人编写的投标文件应至少包括下列两部分文件：</w:t>
      </w:r>
    </w:p>
    <w:p w14:paraId="31C2E492">
      <w:pPr>
        <w:spacing w:line="400" w:lineRule="exact"/>
        <w:ind w:firstLine="442" w:firstLineChars="200"/>
        <w:rPr>
          <w:rFonts w:ascii="Times New Roman" w:hAnsi="Times New Roman"/>
          <w:b/>
          <w:sz w:val="22"/>
          <w:szCs w:val="21"/>
        </w:rPr>
      </w:pPr>
      <w:r>
        <w:rPr>
          <w:rFonts w:hint="eastAsia" w:ascii="Times New Roman" w:hAnsi="Times New Roman"/>
          <w:b/>
          <w:sz w:val="22"/>
          <w:szCs w:val="21"/>
        </w:rPr>
        <w:t>文件一：资格性投标文件（用于资格审查）</w:t>
      </w:r>
    </w:p>
    <w:p w14:paraId="19D95EF2">
      <w:pPr>
        <w:spacing w:line="400" w:lineRule="exact"/>
        <w:ind w:firstLine="440" w:firstLineChars="200"/>
        <w:rPr>
          <w:rFonts w:ascii="Times New Roman" w:hAnsi="Times New Roman"/>
          <w:sz w:val="22"/>
          <w:szCs w:val="21"/>
        </w:rPr>
      </w:pPr>
      <w:r>
        <w:rPr>
          <w:rFonts w:hint="eastAsia" w:ascii="Times New Roman" w:hAnsi="Times New Roman"/>
          <w:sz w:val="22"/>
          <w:szCs w:val="21"/>
        </w:rPr>
        <w:t>严格按照第四章要求提供相关资格、资质性及其他类似效力要求的相关证明材料。</w:t>
      </w:r>
    </w:p>
    <w:p w14:paraId="771C2438">
      <w:pPr>
        <w:spacing w:line="400" w:lineRule="exact"/>
        <w:ind w:firstLine="442" w:firstLineChars="200"/>
        <w:rPr>
          <w:rFonts w:ascii="Times New Roman" w:hAnsi="Times New Roman"/>
          <w:b/>
          <w:sz w:val="22"/>
          <w:szCs w:val="21"/>
        </w:rPr>
      </w:pPr>
      <w:r>
        <w:rPr>
          <w:rFonts w:hint="eastAsia" w:ascii="Times New Roman" w:hAnsi="Times New Roman"/>
          <w:b/>
          <w:sz w:val="22"/>
          <w:szCs w:val="21"/>
        </w:rPr>
        <w:t>文件二：其它响应性投标文件（用于资格审查以外的评标）</w:t>
      </w:r>
    </w:p>
    <w:p w14:paraId="3E0F74B4">
      <w:pPr>
        <w:spacing w:line="400" w:lineRule="exact"/>
        <w:ind w:firstLine="440" w:firstLineChars="200"/>
        <w:rPr>
          <w:rFonts w:ascii="Times New Roman" w:hAnsi="Times New Roman"/>
          <w:sz w:val="22"/>
          <w:szCs w:val="21"/>
        </w:rPr>
      </w:pPr>
      <w:r>
        <w:rPr>
          <w:rFonts w:hint="eastAsia" w:ascii="Times New Roman" w:hAnsi="Times New Roman"/>
          <w:sz w:val="22"/>
          <w:szCs w:val="21"/>
        </w:rPr>
        <w:t>严格按照招标文件要求提供以下五个方面的相关材料：</w:t>
      </w:r>
    </w:p>
    <w:p w14:paraId="42B197F4">
      <w:pPr>
        <w:spacing w:line="400" w:lineRule="exact"/>
        <w:ind w:firstLine="442" w:firstLineChars="200"/>
        <w:rPr>
          <w:rFonts w:ascii="Times New Roman" w:hAnsi="Times New Roman"/>
          <w:sz w:val="22"/>
          <w:szCs w:val="21"/>
        </w:rPr>
      </w:pPr>
      <w:r>
        <w:rPr>
          <w:rFonts w:hint="eastAsia" w:ascii="Times New Roman" w:hAnsi="Times New Roman"/>
          <w:b/>
          <w:sz w:val="22"/>
          <w:szCs w:val="21"/>
        </w:rPr>
        <w:t>（一）报价部分。</w:t>
      </w:r>
      <w:r>
        <w:rPr>
          <w:rFonts w:hint="eastAsia" w:ascii="Times New Roman" w:hAnsi="Times New Roman"/>
          <w:bCs/>
          <w:sz w:val="22"/>
          <w:szCs w:val="21"/>
        </w:rPr>
        <w:t>投标人</w:t>
      </w:r>
      <w:r>
        <w:rPr>
          <w:rFonts w:hint="eastAsia" w:ascii="Times New Roman" w:hAnsi="Times New Roman"/>
          <w:sz w:val="22"/>
          <w:szCs w:val="21"/>
        </w:rPr>
        <w:t>按照招标文件要求填写的</w:t>
      </w:r>
      <w:r>
        <w:rPr>
          <w:rFonts w:ascii="Times New Roman" w:hAnsi="Times New Roman"/>
          <w:sz w:val="22"/>
          <w:szCs w:val="21"/>
        </w:rPr>
        <w:t>“</w:t>
      </w:r>
      <w:r>
        <w:rPr>
          <w:rFonts w:hint="eastAsia" w:ascii="Times New Roman" w:hAnsi="Times New Roman"/>
          <w:sz w:val="22"/>
          <w:szCs w:val="21"/>
        </w:rPr>
        <w:t>开标一览表</w:t>
      </w:r>
      <w:r>
        <w:rPr>
          <w:rFonts w:ascii="Times New Roman" w:hAnsi="Times New Roman"/>
          <w:sz w:val="22"/>
          <w:szCs w:val="21"/>
        </w:rPr>
        <w:t>”</w:t>
      </w:r>
      <w:r>
        <w:rPr>
          <w:rFonts w:hint="eastAsia" w:ascii="Times New Roman" w:hAnsi="Times New Roman"/>
          <w:sz w:val="22"/>
          <w:szCs w:val="21"/>
        </w:rPr>
        <w:t>及</w:t>
      </w:r>
      <w:r>
        <w:rPr>
          <w:rFonts w:ascii="Times New Roman" w:hAnsi="Times New Roman"/>
          <w:sz w:val="22"/>
          <w:szCs w:val="21"/>
        </w:rPr>
        <w:t>“</w:t>
      </w:r>
      <w:r>
        <w:rPr>
          <w:rFonts w:hint="eastAsia" w:ascii="Times New Roman" w:hAnsi="Times New Roman"/>
          <w:sz w:val="22"/>
          <w:szCs w:val="21"/>
        </w:rPr>
        <w:t>报价明细表</w:t>
      </w:r>
      <w:r>
        <w:rPr>
          <w:rFonts w:ascii="Times New Roman" w:hAnsi="Times New Roman"/>
          <w:sz w:val="22"/>
          <w:szCs w:val="21"/>
        </w:rPr>
        <w:t>”</w:t>
      </w:r>
      <w:r>
        <w:rPr>
          <w:rFonts w:hint="eastAsia" w:ascii="Times New Roman" w:hAnsi="Times New Roman"/>
          <w:sz w:val="22"/>
          <w:szCs w:val="21"/>
        </w:rPr>
        <w:t>。本次招标报价要求：</w:t>
      </w:r>
    </w:p>
    <w:p w14:paraId="13D6B83A">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）投标人的报价是投标人响应招标项目要求的全部工作内容的价格体现，包括投标人完成本项目所需的一切费用（包括设备运输、保险、外贸代理服务费、安装调试、培训、税费、招标文件规定的其它费用）。</w:t>
      </w:r>
    </w:p>
    <w:p w14:paraId="36476BAA">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）投标人每种货物只允许有一个报价，并且在合同履行过程中是固定不变的，任何有选择或可调整的报价将不予接受，并按无效投标处理。</w:t>
      </w:r>
    </w:p>
    <w:p w14:paraId="38D35AD1">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）招标文件允许采购的进口产品如投标人投标产品为进口产品，如投标产品为进口产品，报价时请在开标一览表的备注栏中注明：</w:t>
      </w:r>
      <w:r>
        <w:rPr>
          <w:rFonts w:ascii="Times New Roman" w:hAnsi="Times New Roman"/>
          <w:sz w:val="22"/>
          <w:szCs w:val="21"/>
        </w:rPr>
        <w:t>“</w:t>
      </w:r>
      <w:r>
        <w:rPr>
          <w:rFonts w:hint="eastAsia" w:ascii="Times New Roman" w:hAnsi="Times New Roman"/>
          <w:sz w:val="22"/>
          <w:szCs w:val="21"/>
        </w:rPr>
        <w:t>进口产品</w:t>
      </w:r>
      <w:r>
        <w:rPr>
          <w:rFonts w:ascii="Times New Roman" w:hAnsi="Times New Roman"/>
          <w:sz w:val="22"/>
          <w:szCs w:val="21"/>
        </w:rPr>
        <w:t>”</w:t>
      </w:r>
      <w:r>
        <w:rPr>
          <w:rFonts w:hint="eastAsia" w:ascii="Times New Roman" w:hAnsi="Times New Roman"/>
          <w:sz w:val="22"/>
          <w:szCs w:val="21"/>
        </w:rPr>
        <w:t>。</w:t>
      </w:r>
    </w:p>
    <w:p w14:paraId="282CA954">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4</w:t>
      </w:r>
      <w:r>
        <w:rPr>
          <w:rFonts w:hint="eastAsia" w:ascii="Times New Roman" w:hAnsi="Times New Roman"/>
          <w:sz w:val="22"/>
          <w:szCs w:val="21"/>
        </w:rPr>
        <w:t>）采购人</w:t>
      </w:r>
      <w:r>
        <w:rPr>
          <w:rFonts w:ascii="Times New Roman" w:hAnsi="Times New Roman"/>
          <w:sz w:val="22"/>
          <w:szCs w:val="21"/>
        </w:rPr>
        <w:t>有减免税资格，供应商需自行确认进口设备是否列入免税清单，符合免税条件的提供科教免税后的人民币包干报价</w:t>
      </w:r>
      <w:r>
        <w:rPr>
          <w:rFonts w:hint="eastAsia" w:ascii="Times New Roman" w:hAnsi="Times New Roman"/>
          <w:sz w:val="22"/>
          <w:szCs w:val="21"/>
        </w:rPr>
        <w:t>；</w:t>
      </w:r>
      <w:r>
        <w:rPr>
          <w:rFonts w:ascii="Times New Roman" w:hAnsi="Times New Roman"/>
          <w:sz w:val="22"/>
          <w:szCs w:val="21"/>
        </w:rPr>
        <w:t>外贸代理公司由中标供应商自行选择，代理费用由中标供应商承担。</w:t>
      </w:r>
    </w:p>
    <w:p w14:paraId="47AE5FA1">
      <w:pPr>
        <w:spacing w:line="400" w:lineRule="exact"/>
        <w:ind w:firstLine="442" w:firstLineChars="200"/>
        <w:rPr>
          <w:rFonts w:ascii="Times New Roman" w:hAnsi="Times New Roman"/>
          <w:b/>
          <w:bCs/>
          <w:sz w:val="22"/>
          <w:szCs w:val="21"/>
        </w:rPr>
      </w:pPr>
      <w:r>
        <w:rPr>
          <w:rFonts w:hint="eastAsia" w:ascii="Times New Roman" w:hAnsi="Times New Roman"/>
          <w:b/>
          <w:sz w:val="22"/>
          <w:szCs w:val="21"/>
        </w:rPr>
        <w:t>（二）技术部分。</w:t>
      </w:r>
      <w:r>
        <w:rPr>
          <w:rFonts w:hint="eastAsia" w:ascii="Times New Roman" w:hAnsi="Times New Roman"/>
          <w:sz w:val="22"/>
          <w:szCs w:val="21"/>
        </w:rPr>
        <w:t>投标人按照招标文件要求做出的技术应答，主要是针对招标项目的技术指标、参数和技术要求做出的实质性响应和满足。投标人的技术应答包括下列内容：</w:t>
      </w:r>
    </w:p>
    <w:p w14:paraId="595A626B">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）投标产品的品牌、型号；</w:t>
      </w:r>
    </w:p>
    <w:p w14:paraId="2382C16E">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）投标产品技术应答表（应当尽可能提供检测报告、产品彩页、官网截图等材料予以佐证）；</w:t>
      </w:r>
    </w:p>
    <w:p w14:paraId="4EE8220B">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）产品配置清单（注明品名、数量、价格、规格型号和原产地或生产厂家）</w:t>
      </w:r>
    </w:p>
    <w:p w14:paraId="4747D425">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4</w:t>
      </w:r>
      <w:r>
        <w:rPr>
          <w:rFonts w:hint="eastAsia" w:ascii="Times New Roman" w:hAnsi="Times New Roman"/>
          <w:sz w:val="22"/>
          <w:szCs w:val="21"/>
        </w:rPr>
        <w:t>）投标人认为需要提供的文件和资料。</w:t>
      </w:r>
    </w:p>
    <w:p w14:paraId="0E841B07">
      <w:pPr>
        <w:spacing w:line="400" w:lineRule="exact"/>
        <w:ind w:firstLine="442" w:firstLineChars="200"/>
        <w:rPr>
          <w:rFonts w:ascii="Times New Roman" w:hAnsi="Times New Roman"/>
          <w:sz w:val="22"/>
          <w:szCs w:val="21"/>
        </w:rPr>
      </w:pPr>
      <w:r>
        <w:rPr>
          <w:rFonts w:hint="eastAsia" w:ascii="Times New Roman" w:hAnsi="Times New Roman"/>
          <w:b/>
          <w:sz w:val="22"/>
          <w:szCs w:val="21"/>
        </w:rPr>
        <w:t>（三）商务部分。</w:t>
      </w:r>
      <w:r>
        <w:rPr>
          <w:rFonts w:hint="eastAsia" w:ascii="Times New Roman" w:hAnsi="Times New Roman"/>
          <w:sz w:val="22"/>
          <w:szCs w:val="21"/>
        </w:rPr>
        <w:t>投标人按照招标文件要求提供的有关文件及优惠承诺。包括以下内容：</w:t>
      </w:r>
    </w:p>
    <w:p w14:paraId="564F5794">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）投标函；</w:t>
      </w:r>
    </w:p>
    <w:p w14:paraId="1F96B781">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）投标人承诺给予招标采购单位的各种优惠条件（优惠条件事项不能包括采购项目本身所包括涉及的采购事项。投标人不能以</w:t>
      </w:r>
      <w:r>
        <w:rPr>
          <w:rFonts w:ascii="Times New Roman" w:hAnsi="Times New Roman"/>
          <w:sz w:val="22"/>
          <w:szCs w:val="21"/>
        </w:rPr>
        <w:t>“</w:t>
      </w:r>
      <w:r>
        <w:rPr>
          <w:rFonts w:hint="eastAsia" w:ascii="Times New Roman" w:hAnsi="Times New Roman"/>
          <w:sz w:val="22"/>
          <w:szCs w:val="21"/>
        </w:rPr>
        <w:t>赠送、赠予</w:t>
      </w:r>
      <w:r>
        <w:rPr>
          <w:rFonts w:ascii="Times New Roman" w:hAnsi="Times New Roman"/>
          <w:sz w:val="22"/>
          <w:szCs w:val="21"/>
        </w:rPr>
        <w:t>”</w:t>
      </w:r>
      <w:r>
        <w:rPr>
          <w:rFonts w:hint="eastAsia" w:ascii="Times New Roman" w:hAnsi="Times New Roman"/>
          <w:sz w:val="22"/>
          <w:szCs w:val="21"/>
        </w:rPr>
        <w:t>等任何名义提供货物和服务以规避招标文件的约束。否则，投标人提供的投标文件将作为无效投标处理，即使中标也将取消中标资格）；</w:t>
      </w:r>
    </w:p>
    <w:p w14:paraId="4D324083">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）证明投标人业绩和荣誉的有关材料复印件；</w:t>
      </w:r>
    </w:p>
    <w:p w14:paraId="0606090F">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4</w:t>
      </w:r>
      <w:r>
        <w:rPr>
          <w:rFonts w:hint="eastAsia" w:ascii="Times New Roman" w:hAnsi="Times New Roman"/>
          <w:sz w:val="22"/>
          <w:szCs w:val="21"/>
        </w:rPr>
        <w:t>）商务应答表；</w:t>
      </w:r>
    </w:p>
    <w:p w14:paraId="452A0415">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5</w:t>
      </w:r>
      <w:r>
        <w:rPr>
          <w:rFonts w:hint="eastAsia" w:ascii="Times New Roman" w:hAnsi="Times New Roman"/>
          <w:sz w:val="22"/>
          <w:szCs w:val="21"/>
        </w:rPr>
        <w:t>）其他投标人认为需要提供的文件和资料。</w:t>
      </w:r>
    </w:p>
    <w:p w14:paraId="7D06CC2B">
      <w:pPr>
        <w:spacing w:line="400" w:lineRule="exact"/>
        <w:ind w:firstLine="442" w:firstLineChars="200"/>
        <w:rPr>
          <w:rFonts w:ascii="Times New Roman" w:hAnsi="Times New Roman"/>
          <w:b/>
          <w:bCs/>
          <w:sz w:val="22"/>
          <w:szCs w:val="21"/>
        </w:rPr>
      </w:pPr>
      <w:r>
        <w:rPr>
          <w:rFonts w:hint="eastAsia" w:ascii="Times New Roman" w:hAnsi="Times New Roman"/>
          <w:b/>
          <w:sz w:val="22"/>
          <w:szCs w:val="21"/>
        </w:rPr>
        <w:t>（四）售后服务。</w:t>
      </w:r>
      <w:r>
        <w:rPr>
          <w:rFonts w:hint="eastAsia" w:ascii="Times New Roman" w:hAnsi="Times New Roman"/>
          <w:sz w:val="22"/>
          <w:szCs w:val="21"/>
        </w:rPr>
        <w:t>投标人按照招标文件中售后服务要求作出的积极响应和承诺。包括以下内容：</w:t>
      </w:r>
    </w:p>
    <w:p w14:paraId="13D31095">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）产品制造厂家或投标人设立的售后服务机构网点清单、服务电话和维修人员名单；</w:t>
      </w:r>
    </w:p>
    <w:p w14:paraId="427AE86B">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）说明投标产品的保修时间、保修期内的保修内容与范围、维修响应时间等。提供投标人或产品制造厂家的服务承诺和保障措施；</w:t>
      </w:r>
    </w:p>
    <w:p w14:paraId="4940D067">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）培训措施：说明培训内容及培训的时间、地点、目标、培训人数、收费标准和办法；</w:t>
      </w:r>
    </w:p>
    <w:p w14:paraId="6ED6A860">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4</w:t>
      </w:r>
      <w:r>
        <w:rPr>
          <w:rFonts w:hint="eastAsia" w:ascii="Times New Roman" w:hAnsi="Times New Roman"/>
          <w:sz w:val="22"/>
          <w:szCs w:val="21"/>
        </w:rPr>
        <w:t>）其他有利于用户的服务承诺。</w:t>
      </w:r>
    </w:p>
    <w:p w14:paraId="281FEC7A">
      <w:pPr>
        <w:spacing w:line="400" w:lineRule="exact"/>
        <w:ind w:firstLine="440" w:firstLineChars="200"/>
        <w:rPr>
          <w:rFonts w:ascii="Times New Roman" w:hAnsi="Times New Roman"/>
          <w:sz w:val="22"/>
          <w:szCs w:val="21"/>
        </w:rPr>
      </w:pPr>
      <w:r>
        <w:rPr>
          <w:rFonts w:hint="eastAsia" w:ascii="Times New Roman" w:hAnsi="Times New Roman"/>
          <w:sz w:val="22"/>
          <w:szCs w:val="21"/>
        </w:rPr>
        <w:t>注：投标人承诺的保修时间、保修内容与范围等需要投标产品制造厂家授权的，投标人必须保证其承诺的保修时间、保修内容与范围等得到了制造厂家授权，如其承诺的保修时间、保修内容与范围等与制造厂家授权不一致的，以投标人承诺的为准。</w:t>
      </w:r>
    </w:p>
    <w:p w14:paraId="5B17C945">
      <w:pPr>
        <w:adjustRightInd w:val="0"/>
        <w:snapToGrid w:val="0"/>
        <w:spacing w:line="400" w:lineRule="exact"/>
        <w:ind w:firstLine="442" w:firstLineChars="200"/>
        <w:rPr>
          <w:rFonts w:ascii="Times New Roman" w:hAnsi="Times New Roman"/>
          <w:sz w:val="22"/>
          <w:szCs w:val="21"/>
        </w:rPr>
      </w:pPr>
      <w:r>
        <w:rPr>
          <w:rFonts w:hint="eastAsia" w:ascii="Times New Roman" w:hAnsi="Times New Roman"/>
          <w:b/>
          <w:bCs/>
          <w:sz w:val="22"/>
          <w:szCs w:val="21"/>
        </w:rPr>
        <w:t>（五）其他部分。</w:t>
      </w:r>
      <w:r>
        <w:rPr>
          <w:rFonts w:hint="eastAsia" w:ascii="Times New Roman" w:hAnsi="Times New Roman"/>
          <w:bCs/>
          <w:sz w:val="22"/>
          <w:szCs w:val="21"/>
        </w:rPr>
        <w:t>投标人按照招标文件要求作出的其他应答和承诺。</w:t>
      </w:r>
    </w:p>
    <w:p w14:paraId="76B32945">
      <w:pPr>
        <w:pStyle w:val="4"/>
        <w:spacing w:line="400" w:lineRule="exact"/>
        <w:rPr>
          <w:rFonts w:hAnsi="Times New Roman"/>
          <w:sz w:val="22"/>
          <w:szCs w:val="21"/>
        </w:rPr>
      </w:pPr>
      <w:bookmarkStart w:id="108" w:name="_Toc308164799"/>
      <w:bookmarkStart w:id="109" w:name="_Toc183582218"/>
      <w:bookmarkStart w:id="110" w:name="_Toc183682355"/>
      <w:bookmarkStart w:id="111" w:name="_Toc217446049"/>
      <w:r>
        <w:rPr>
          <w:rFonts w:hAnsi="Times New Roman"/>
          <w:sz w:val="22"/>
          <w:szCs w:val="21"/>
        </w:rPr>
        <w:t>15</w:t>
      </w:r>
      <w:r>
        <w:rPr>
          <w:rFonts w:hint="eastAsia" w:hAnsi="Times New Roman"/>
          <w:sz w:val="22"/>
          <w:szCs w:val="21"/>
        </w:rPr>
        <w:t>．投标文件格式</w:t>
      </w:r>
      <w:bookmarkEnd w:id="108"/>
      <w:bookmarkEnd w:id="109"/>
      <w:bookmarkEnd w:id="110"/>
      <w:bookmarkEnd w:id="111"/>
    </w:p>
    <w:p w14:paraId="52FEC09F">
      <w:pPr>
        <w:tabs>
          <w:tab w:val="left" w:pos="7665"/>
        </w:tabs>
        <w:spacing w:line="400" w:lineRule="exact"/>
        <w:ind w:left="20" w:leftChars="6" w:firstLine="440" w:firstLineChars="200"/>
        <w:rPr>
          <w:rFonts w:ascii="Times New Roman" w:hAnsi="Times New Roman"/>
          <w:sz w:val="22"/>
          <w:szCs w:val="21"/>
        </w:rPr>
      </w:pPr>
      <w:r>
        <w:rPr>
          <w:rFonts w:ascii="Times New Roman" w:hAnsi="Times New Roman"/>
          <w:sz w:val="22"/>
          <w:szCs w:val="21"/>
        </w:rPr>
        <w:t xml:space="preserve">15.1 </w:t>
      </w:r>
      <w:r>
        <w:rPr>
          <w:rFonts w:hint="eastAsia" w:ascii="Times New Roman" w:hAnsi="Times New Roman"/>
          <w:sz w:val="22"/>
          <w:szCs w:val="21"/>
        </w:rPr>
        <w:t>投标人应执行招标文件第三章的规定要求。第三章格式中</w:t>
      </w:r>
      <w:r>
        <w:rPr>
          <w:rFonts w:ascii="Times New Roman" w:hAnsi="Times New Roman"/>
          <w:sz w:val="22"/>
          <w:szCs w:val="21"/>
        </w:rPr>
        <w:t>“</w:t>
      </w:r>
      <w:r>
        <w:rPr>
          <w:rFonts w:hint="eastAsia" w:ascii="Times New Roman" w:hAnsi="Times New Roman"/>
          <w:sz w:val="22"/>
          <w:szCs w:val="21"/>
        </w:rPr>
        <w:t>注</w:t>
      </w:r>
      <w:r>
        <w:rPr>
          <w:rFonts w:ascii="Times New Roman" w:hAnsi="Times New Roman"/>
          <w:sz w:val="22"/>
          <w:szCs w:val="21"/>
        </w:rPr>
        <w:t>”</w:t>
      </w:r>
      <w:r>
        <w:rPr>
          <w:rFonts w:hint="eastAsia" w:ascii="Times New Roman" w:hAnsi="Times New Roman"/>
          <w:sz w:val="22"/>
          <w:szCs w:val="21"/>
        </w:rPr>
        <w:t>的内容，投标人可自行决定是否保留在投标文件中，未保留的视为投标人默认接受</w:t>
      </w:r>
      <w:r>
        <w:rPr>
          <w:rFonts w:ascii="Times New Roman" w:hAnsi="Times New Roman"/>
          <w:sz w:val="22"/>
          <w:szCs w:val="21"/>
        </w:rPr>
        <w:t>“</w:t>
      </w:r>
      <w:r>
        <w:rPr>
          <w:rFonts w:hint="eastAsia" w:ascii="Times New Roman" w:hAnsi="Times New Roman"/>
          <w:sz w:val="22"/>
          <w:szCs w:val="21"/>
        </w:rPr>
        <w:t>注</w:t>
      </w:r>
      <w:r>
        <w:rPr>
          <w:rFonts w:ascii="Times New Roman" w:hAnsi="Times New Roman"/>
          <w:sz w:val="22"/>
          <w:szCs w:val="21"/>
        </w:rPr>
        <w:t>”</w:t>
      </w:r>
      <w:r>
        <w:rPr>
          <w:rFonts w:hint="eastAsia" w:ascii="Times New Roman" w:hAnsi="Times New Roman"/>
          <w:sz w:val="22"/>
          <w:szCs w:val="21"/>
        </w:rPr>
        <w:t>的内容。</w:t>
      </w:r>
    </w:p>
    <w:p w14:paraId="14ACAB7F">
      <w:pPr>
        <w:tabs>
          <w:tab w:val="left" w:pos="7665"/>
        </w:tabs>
        <w:spacing w:line="400" w:lineRule="exact"/>
        <w:ind w:left="20" w:leftChars="6" w:firstLine="440" w:firstLineChars="200"/>
        <w:rPr>
          <w:rFonts w:ascii="Times New Roman" w:hAnsi="Times New Roman"/>
          <w:sz w:val="22"/>
          <w:szCs w:val="21"/>
        </w:rPr>
      </w:pPr>
      <w:r>
        <w:rPr>
          <w:rFonts w:ascii="Times New Roman" w:hAnsi="Times New Roman"/>
          <w:sz w:val="22"/>
          <w:szCs w:val="21"/>
        </w:rPr>
        <w:t xml:space="preserve">15.2 </w:t>
      </w:r>
      <w:r>
        <w:rPr>
          <w:rFonts w:hint="eastAsia" w:ascii="Times New Roman" w:hAnsi="Times New Roman"/>
          <w:sz w:val="22"/>
          <w:szCs w:val="21"/>
        </w:rPr>
        <w:t>对于没有格式要求的投标文件由投标人自行编写。</w:t>
      </w:r>
    </w:p>
    <w:p w14:paraId="4F5B0ED9">
      <w:pPr>
        <w:pStyle w:val="4"/>
        <w:spacing w:line="400" w:lineRule="exact"/>
        <w:rPr>
          <w:rFonts w:hAnsi="Times New Roman"/>
          <w:sz w:val="22"/>
          <w:szCs w:val="21"/>
        </w:rPr>
      </w:pPr>
      <w:bookmarkStart w:id="112" w:name="_Toc183682360"/>
      <w:bookmarkStart w:id="113" w:name="_Toc308164800"/>
      <w:bookmarkStart w:id="114" w:name="_Toc217446050"/>
      <w:bookmarkStart w:id="115" w:name="_Toc183582223"/>
      <w:r>
        <w:rPr>
          <w:rFonts w:hAnsi="Times New Roman"/>
          <w:sz w:val="22"/>
          <w:szCs w:val="21"/>
        </w:rPr>
        <w:t>16</w:t>
      </w:r>
      <w:r>
        <w:rPr>
          <w:rFonts w:hint="eastAsia" w:hAnsi="Times New Roman"/>
          <w:sz w:val="22"/>
          <w:szCs w:val="21"/>
        </w:rPr>
        <w:t>．投标保证金</w:t>
      </w:r>
      <w:bookmarkEnd w:id="112"/>
      <w:bookmarkEnd w:id="113"/>
      <w:bookmarkEnd w:id="114"/>
      <w:bookmarkEnd w:id="115"/>
    </w:p>
    <w:p w14:paraId="37DBC304">
      <w:pPr>
        <w:spacing w:line="400" w:lineRule="exact"/>
        <w:ind w:firstLine="440" w:firstLineChars="200"/>
        <w:rPr>
          <w:rFonts w:ascii="Times New Roman" w:hAnsi="Times New Roman"/>
          <w:sz w:val="22"/>
          <w:szCs w:val="21"/>
        </w:rPr>
      </w:pPr>
      <w:r>
        <w:rPr>
          <w:rFonts w:ascii="Times New Roman" w:hAnsi="Times New Roman"/>
          <w:sz w:val="22"/>
          <w:szCs w:val="21"/>
        </w:rPr>
        <w:t xml:space="preserve">16.1 </w:t>
      </w:r>
      <w:r>
        <w:rPr>
          <w:rFonts w:hint="eastAsia" w:ascii="Times New Roman" w:hAnsi="Times New Roman"/>
          <w:sz w:val="22"/>
          <w:szCs w:val="21"/>
        </w:rPr>
        <w:t>投标人投标时，必须以人民币提交招标文件规定数额的投标保证金，并作为其投标的一部分。</w:t>
      </w:r>
    </w:p>
    <w:p w14:paraId="7AA5A45C">
      <w:pPr>
        <w:tabs>
          <w:tab w:val="left" w:pos="1134"/>
        </w:tabs>
        <w:spacing w:line="400" w:lineRule="exact"/>
        <w:ind w:firstLine="389" w:firstLineChars="177"/>
        <w:rPr>
          <w:rFonts w:ascii="Times New Roman" w:hAnsi="Times New Roman"/>
          <w:sz w:val="22"/>
          <w:szCs w:val="21"/>
        </w:rPr>
      </w:pPr>
      <w:r>
        <w:rPr>
          <w:rFonts w:ascii="Times New Roman" w:hAnsi="Times New Roman"/>
          <w:sz w:val="22"/>
          <w:szCs w:val="21"/>
        </w:rPr>
        <w:t>16.2</w:t>
      </w:r>
      <w:r>
        <w:rPr>
          <w:rFonts w:hint="eastAsia" w:ascii="Times New Roman" w:hAnsi="Times New Roman"/>
          <w:sz w:val="22"/>
          <w:szCs w:val="21"/>
        </w:rPr>
        <w:t>投标保证金交款方式：详见投标人须知前附表。</w:t>
      </w:r>
    </w:p>
    <w:p w14:paraId="4DEB02A1">
      <w:pPr>
        <w:tabs>
          <w:tab w:val="left" w:pos="1134"/>
        </w:tabs>
        <w:spacing w:line="400" w:lineRule="exact"/>
        <w:ind w:firstLine="389" w:firstLineChars="177"/>
        <w:rPr>
          <w:rFonts w:ascii="Times New Roman" w:hAnsi="Times New Roman"/>
          <w:sz w:val="22"/>
          <w:szCs w:val="21"/>
        </w:rPr>
      </w:pPr>
      <w:r>
        <w:rPr>
          <w:rFonts w:ascii="Times New Roman" w:hAnsi="Times New Roman"/>
          <w:sz w:val="22"/>
          <w:szCs w:val="21"/>
        </w:rPr>
        <w:t>16.3</w:t>
      </w:r>
      <w:r>
        <w:rPr>
          <w:rFonts w:hint="eastAsia" w:ascii="Times New Roman" w:hAnsi="宋体"/>
          <w:sz w:val="22"/>
          <w:szCs w:val="21"/>
        </w:rPr>
        <w:t>未中标人的投标保证金，将在中标通知书发出后五个工作日内全额退还（非现金方式），中标人的投标保证金在中标人与采购人签订采购合同并按规定递交相关资料后</w:t>
      </w:r>
      <w:r>
        <w:rPr>
          <w:rFonts w:ascii="Times New Roman" w:hAnsi="Times New Roman"/>
          <w:sz w:val="22"/>
          <w:szCs w:val="21"/>
        </w:rPr>
        <w:t>5</w:t>
      </w:r>
      <w:r>
        <w:rPr>
          <w:rFonts w:hint="eastAsia" w:ascii="Times New Roman" w:hAnsi="宋体"/>
          <w:sz w:val="22"/>
          <w:szCs w:val="21"/>
        </w:rPr>
        <w:t>个工作日内退还（非现金方式），退还保证金需要的相关资料请参见第二章保证金退还注意事项</w:t>
      </w:r>
      <w:r>
        <w:rPr>
          <w:rFonts w:hint="eastAsia" w:ascii="Times New Roman" w:hAnsi="Times New Roman"/>
          <w:bCs/>
          <w:sz w:val="22"/>
          <w:szCs w:val="21"/>
        </w:rPr>
        <w:t>（注：</w:t>
      </w:r>
      <w:r>
        <w:rPr>
          <w:rFonts w:ascii="Times New Roman" w:hAnsi="Times New Roman"/>
          <w:bCs/>
          <w:sz w:val="22"/>
          <w:szCs w:val="21"/>
        </w:rPr>
        <w:fldChar w:fldCharType="begin"/>
      </w:r>
      <w:r>
        <w:rPr>
          <w:rFonts w:ascii="Times New Roman" w:hAnsi="Times New Roman"/>
          <w:bCs/>
          <w:sz w:val="22"/>
          <w:szCs w:val="21"/>
        </w:rPr>
        <w:instrText xml:space="preserve"> = 1 \* GB3 \* MERGEFORMAT </w:instrText>
      </w:r>
      <w:r>
        <w:rPr>
          <w:rFonts w:ascii="Times New Roman" w:hAnsi="Times New Roman"/>
          <w:bCs/>
          <w:sz w:val="22"/>
          <w:szCs w:val="21"/>
        </w:rPr>
        <w:fldChar w:fldCharType="separate"/>
      </w:r>
      <w:r>
        <w:rPr>
          <w:rFonts w:hint="eastAsia" w:hAnsi="宋体" w:cs="宋体"/>
          <w:bCs/>
          <w:sz w:val="22"/>
          <w:szCs w:val="21"/>
        </w:rPr>
        <w:t>①</w:t>
      </w:r>
      <w:r>
        <w:rPr>
          <w:rFonts w:ascii="Times New Roman" w:hAnsi="Times New Roman"/>
          <w:bCs/>
          <w:sz w:val="22"/>
          <w:szCs w:val="21"/>
        </w:rPr>
        <w:fldChar w:fldCharType="end"/>
      </w:r>
      <w:r>
        <w:rPr>
          <w:rFonts w:hint="eastAsia" w:ascii="Times New Roman" w:hAnsi="Times New Roman"/>
          <w:bCs/>
          <w:sz w:val="22"/>
          <w:szCs w:val="21"/>
        </w:rPr>
        <w:t>因投标人自身原因造成的保证金延迟退还或者投标人和采购代理机构书面协商可以延迟退还的，采购代理机构不承担相应责任；</w:t>
      </w:r>
      <w:r>
        <w:rPr>
          <w:rFonts w:ascii="Times New Roman" w:hAnsi="Times New Roman"/>
          <w:bCs/>
          <w:sz w:val="22"/>
          <w:szCs w:val="21"/>
        </w:rPr>
        <w:fldChar w:fldCharType="begin"/>
      </w:r>
      <w:r>
        <w:rPr>
          <w:rFonts w:ascii="Times New Roman" w:hAnsi="Times New Roman"/>
          <w:bCs/>
          <w:sz w:val="22"/>
          <w:szCs w:val="21"/>
        </w:rPr>
        <w:instrText xml:space="preserve"> = 2 \* GB3 \* MERGEFORMAT </w:instrText>
      </w:r>
      <w:r>
        <w:rPr>
          <w:rFonts w:ascii="Times New Roman" w:hAnsi="Times New Roman"/>
          <w:bCs/>
          <w:sz w:val="22"/>
          <w:szCs w:val="21"/>
        </w:rPr>
        <w:fldChar w:fldCharType="separate"/>
      </w:r>
      <w:r>
        <w:rPr>
          <w:rFonts w:hint="eastAsia" w:hAnsi="宋体" w:cs="宋体"/>
          <w:bCs/>
          <w:sz w:val="22"/>
          <w:szCs w:val="21"/>
        </w:rPr>
        <w:t>②</w:t>
      </w:r>
      <w:r>
        <w:rPr>
          <w:rFonts w:ascii="Times New Roman" w:hAnsi="Times New Roman"/>
          <w:bCs/>
          <w:sz w:val="22"/>
          <w:szCs w:val="21"/>
        </w:rPr>
        <w:fldChar w:fldCharType="end"/>
      </w:r>
      <w:r>
        <w:rPr>
          <w:rFonts w:hint="eastAsia" w:ascii="Times New Roman" w:hAnsi="Times New Roman"/>
          <w:bCs/>
          <w:sz w:val="22"/>
          <w:szCs w:val="21"/>
        </w:rPr>
        <w:t>供应商因涉嫌违法违规，按照规定应当不予退还保证金的，有关部门处理认定违法违规行为期间不计入退还保证金时限之内。）</w:t>
      </w:r>
      <w:r>
        <w:rPr>
          <w:rFonts w:hint="eastAsia" w:ascii="Times New Roman" w:hAnsi="Times New Roman"/>
          <w:sz w:val="22"/>
          <w:szCs w:val="21"/>
        </w:rPr>
        <w:t>；</w:t>
      </w:r>
    </w:p>
    <w:p w14:paraId="5A45F59E">
      <w:pPr>
        <w:spacing w:line="400" w:lineRule="exact"/>
        <w:ind w:firstLine="440" w:firstLineChars="200"/>
        <w:rPr>
          <w:rFonts w:ascii="Times New Roman" w:hAnsi="Times New Roman"/>
          <w:sz w:val="22"/>
          <w:szCs w:val="21"/>
        </w:rPr>
      </w:pPr>
      <w:r>
        <w:rPr>
          <w:rFonts w:ascii="Times New Roman" w:hAnsi="Times New Roman"/>
          <w:sz w:val="22"/>
          <w:szCs w:val="21"/>
        </w:rPr>
        <w:t>16.4</w:t>
      </w:r>
      <w:r>
        <w:rPr>
          <w:rFonts w:hint="eastAsia" w:ascii="Times New Roman" w:hAnsi="Times New Roman"/>
          <w:sz w:val="22"/>
          <w:szCs w:val="21"/>
        </w:rPr>
        <w:t>发生下列情形之一的，采购代理机构可以不予退还投标保证金：</w:t>
      </w:r>
    </w:p>
    <w:p w14:paraId="7FABBF15">
      <w:pPr>
        <w:spacing w:line="400" w:lineRule="exact"/>
        <w:ind w:firstLine="431" w:firstLineChars="196"/>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）在招标文件规定的投标截止时间后撤回投标的；</w:t>
      </w:r>
    </w:p>
    <w:p w14:paraId="584FB08B">
      <w:pPr>
        <w:spacing w:line="400" w:lineRule="exact"/>
        <w:ind w:firstLine="431" w:firstLineChars="196"/>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）在采购人确定中标人以前放弃中标候选资格的；</w:t>
      </w:r>
    </w:p>
    <w:p w14:paraId="0C242C63">
      <w:pPr>
        <w:spacing w:line="400" w:lineRule="exact"/>
        <w:ind w:firstLine="431" w:firstLineChars="196"/>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）中标后放弃中标、不领取或者不接收中标通知书的；</w:t>
      </w:r>
    </w:p>
    <w:p w14:paraId="13466250">
      <w:pPr>
        <w:spacing w:line="400" w:lineRule="exact"/>
        <w:ind w:firstLine="431" w:firstLineChars="196"/>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4</w:t>
      </w:r>
      <w:r>
        <w:rPr>
          <w:rFonts w:hint="eastAsia" w:ascii="Times New Roman" w:hAnsi="Times New Roman"/>
          <w:sz w:val="22"/>
          <w:szCs w:val="21"/>
        </w:rPr>
        <w:t>）由于中标人的原因未能按照招标文件的规定与采购人签订合同的；</w:t>
      </w:r>
    </w:p>
    <w:p w14:paraId="10CB5DE3">
      <w:pPr>
        <w:spacing w:line="400" w:lineRule="exact"/>
        <w:ind w:firstLine="431" w:firstLineChars="196"/>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5</w:t>
      </w:r>
      <w:r>
        <w:rPr>
          <w:rFonts w:hint="eastAsia" w:ascii="Times New Roman" w:hAnsi="Times New Roman"/>
          <w:sz w:val="22"/>
          <w:szCs w:val="21"/>
        </w:rPr>
        <w:t>）由于中标人的原因未能按照招标文件的规定交纳履约保证金的；</w:t>
      </w:r>
    </w:p>
    <w:p w14:paraId="7E1AA307">
      <w:pPr>
        <w:spacing w:line="400" w:lineRule="exact"/>
        <w:ind w:firstLine="431" w:firstLineChars="196"/>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6</w:t>
      </w:r>
      <w:r>
        <w:rPr>
          <w:rFonts w:hint="eastAsia" w:ascii="Times New Roman" w:hAnsi="Times New Roman"/>
          <w:sz w:val="22"/>
          <w:szCs w:val="21"/>
        </w:rPr>
        <w:t>）投标人提供虚假资料的；</w:t>
      </w:r>
    </w:p>
    <w:p w14:paraId="406807E3">
      <w:pPr>
        <w:spacing w:line="400" w:lineRule="exact"/>
        <w:ind w:firstLine="431" w:firstLineChars="196"/>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7</w:t>
      </w:r>
      <w:r>
        <w:rPr>
          <w:rFonts w:hint="eastAsia" w:ascii="Times New Roman" w:hAnsi="Times New Roman"/>
          <w:sz w:val="22"/>
          <w:szCs w:val="21"/>
        </w:rPr>
        <w:t>）投标有效期内，投标人在政府采购活动中有违法、违规、违纪行为。</w:t>
      </w:r>
    </w:p>
    <w:p w14:paraId="3B7A0549">
      <w:pPr>
        <w:spacing w:line="400" w:lineRule="exact"/>
        <w:ind w:firstLine="431" w:firstLineChars="196"/>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8</w:t>
      </w:r>
      <w:r>
        <w:rPr>
          <w:rFonts w:hint="eastAsia" w:ascii="Times New Roman" w:hAnsi="Times New Roman"/>
          <w:sz w:val="22"/>
          <w:szCs w:val="21"/>
        </w:rPr>
        <w:t>）投标有效期内，投标人撤销投标文件的。</w:t>
      </w:r>
    </w:p>
    <w:p w14:paraId="33E3041B">
      <w:pPr>
        <w:pStyle w:val="4"/>
        <w:spacing w:line="400" w:lineRule="exact"/>
        <w:rPr>
          <w:rFonts w:hAnsi="Times New Roman"/>
          <w:sz w:val="22"/>
          <w:szCs w:val="21"/>
        </w:rPr>
      </w:pPr>
      <w:r>
        <w:rPr>
          <w:rFonts w:hAnsi="Times New Roman"/>
          <w:sz w:val="22"/>
          <w:szCs w:val="21"/>
        </w:rPr>
        <w:t>17</w:t>
      </w:r>
      <w:r>
        <w:rPr>
          <w:rFonts w:hint="eastAsia" w:hAnsi="Times New Roman"/>
          <w:sz w:val="22"/>
          <w:szCs w:val="21"/>
        </w:rPr>
        <w:t>．投标有效期</w:t>
      </w:r>
      <w:bookmarkEnd w:id="93"/>
      <w:bookmarkEnd w:id="94"/>
      <w:bookmarkEnd w:id="95"/>
      <w:bookmarkEnd w:id="96"/>
    </w:p>
    <w:p w14:paraId="5236592C">
      <w:pPr>
        <w:tabs>
          <w:tab w:val="left" w:pos="7665"/>
        </w:tabs>
        <w:spacing w:line="400" w:lineRule="exact"/>
        <w:ind w:left="20" w:leftChars="6" w:firstLine="440" w:firstLineChars="200"/>
        <w:rPr>
          <w:rFonts w:ascii="Times New Roman" w:hAnsi="Times New Roman"/>
          <w:sz w:val="22"/>
          <w:szCs w:val="21"/>
        </w:rPr>
      </w:pPr>
      <w:bookmarkStart w:id="116" w:name="_Toc183682362"/>
      <w:bookmarkStart w:id="117" w:name="_Toc23833"/>
      <w:bookmarkStart w:id="118" w:name="_Toc183582225"/>
      <w:bookmarkStart w:id="119" w:name="_Toc217446052"/>
      <w:r>
        <w:rPr>
          <w:rFonts w:ascii="Times New Roman" w:hAnsi="Times New Roman"/>
          <w:sz w:val="22"/>
          <w:szCs w:val="21"/>
        </w:rPr>
        <w:t xml:space="preserve">17.1 </w:t>
      </w:r>
      <w:r>
        <w:rPr>
          <w:rFonts w:hint="eastAsia" w:ascii="Times New Roman" w:hAnsi="Times New Roman"/>
          <w:sz w:val="22"/>
          <w:szCs w:val="21"/>
        </w:rPr>
        <w:t>本项目投标有效期为投标截止时间届满后</w:t>
      </w:r>
      <w:r>
        <w:rPr>
          <w:rFonts w:hint="eastAsia" w:ascii="Times New Roman" w:hAnsi="Times New Roman"/>
          <w:b/>
          <w:bCs/>
          <w:sz w:val="22"/>
          <w:szCs w:val="21"/>
        </w:rPr>
        <w:t>90</w:t>
      </w:r>
      <w:r>
        <w:rPr>
          <w:rFonts w:hint="eastAsia" w:ascii="Times New Roman" w:hAnsi="Times New Roman"/>
          <w:sz w:val="22"/>
          <w:szCs w:val="21"/>
        </w:rPr>
        <w:t>天（投标有效期从提交投标文件的截至之日起算）。投标人投标文件中必须载明投标有效期，投标文件中载明的投标有效期可以长于招标文件规定的期限，但不得短于招标文件规定的期限。否则，其投标文件将作为无效投标处理。</w:t>
      </w:r>
    </w:p>
    <w:p w14:paraId="35AA73C0">
      <w:pPr>
        <w:tabs>
          <w:tab w:val="left" w:pos="7665"/>
        </w:tabs>
        <w:spacing w:line="400" w:lineRule="exact"/>
        <w:ind w:left="20" w:leftChars="6" w:firstLine="330" w:firstLineChars="150"/>
        <w:rPr>
          <w:rFonts w:ascii="Times New Roman" w:hAnsi="Times New Roman"/>
          <w:sz w:val="22"/>
          <w:szCs w:val="21"/>
        </w:rPr>
      </w:pPr>
      <w:r>
        <w:rPr>
          <w:rFonts w:ascii="Times New Roman" w:hAnsi="Times New Roman"/>
          <w:sz w:val="22"/>
          <w:szCs w:val="21"/>
        </w:rPr>
        <w:t xml:space="preserve">17.2 </w:t>
      </w:r>
      <w:r>
        <w:rPr>
          <w:rFonts w:hint="eastAsia" w:ascii="Times New Roman" w:hAnsi="Times New Roman"/>
          <w:sz w:val="22"/>
          <w:szCs w:val="21"/>
        </w:rPr>
        <w:t>因不可抗力事件，采购人可于投标有效期届满之前与投标人协商延长投标有效期。投标人拒绝延长投标有效期的，不得再参与该项目后续采购活动，但由此给投标人造成的损失，采购人可以自主决定是否可以给予适当补偿。投标人同意延长投标有效期的，不能修改投标文件。</w:t>
      </w:r>
    </w:p>
    <w:p w14:paraId="644B2E4E">
      <w:pPr>
        <w:tabs>
          <w:tab w:val="left" w:pos="7665"/>
        </w:tabs>
        <w:spacing w:line="400" w:lineRule="exact"/>
        <w:ind w:left="20" w:leftChars="6" w:firstLine="330" w:firstLineChars="150"/>
        <w:rPr>
          <w:rFonts w:ascii="Times New Roman" w:hAnsi="Times New Roman"/>
          <w:sz w:val="22"/>
          <w:szCs w:val="21"/>
        </w:rPr>
      </w:pPr>
      <w:r>
        <w:rPr>
          <w:rFonts w:ascii="Times New Roman" w:hAnsi="Times New Roman"/>
          <w:sz w:val="22"/>
          <w:szCs w:val="21"/>
        </w:rPr>
        <w:t xml:space="preserve">17.3 </w:t>
      </w:r>
      <w:r>
        <w:rPr>
          <w:rFonts w:hint="eastAsia" w:ascii="Times New Roman" w:hAnsi="Times New Roman"/>
          <w:sz w:val="22"/>
          <w:szCs w:val="21"/>
        </w:rPr>
        <w:t>因采购人采购需求作出必要调整，采购人可于投标有效期届满之前与投标人协商延长投标有效期。投标人拒绝延长投标有效期的，不得再参与该项目后续采购活动，但由此给投标人造成的损失，采购人应当予以赔偿或者合理补偿。投标人同意延长投标有效期的，不能修改投标文件。</w:t>
      </w:r>
    </w:p>
    <w:p w14:paraId="7A6CD2AC">
      <w:pPr>
        <w:pStyle w:val="4"/>
        <w:spacing w:line="400" w:lineRule="exact"/>
        <w:rPr>
          <w:rFonts w:hAnsi="Times New Roman"/>
          <w:sz w:val="22"/>
          <w:szCs w:val="21"/>
        </w:rPr>
      </w:pPr>
      <w:r>
        <w:rPr>
          <w:rFonts w:hAnsi="Times New Roman"/>
          <w:sz w:val="22"/>
          <w:szCs w:val="21"/>
        </w:rPr>
        <w:t>18</w:t>
      </w:r>
      <w:r>
        <w:rPr>
          <w:rFonts w:hint="eastAsia" w:hAnsi="Times New Roman"/>
          <w:sz w:val="22"/>
          <w:szCs w:val="21"/>
        </w:rPr>
        <w:t>．投标文件的印制和签署</w:t>
      </w:r>
      <w:bookmarkEnd w:id="116"/>
      <w:bookmarkEnd w:id="117"/>
      <w:bookmarkEnd w:id="118"/>
      <w:bookmarkEnd w:id="119"/>
    </w:p>
    <w:p w14:paraId="207DA18A">
      <w:pPr>
        <w:tabs>
          <w:tab w:val="left" w:pos="7665"/>
        </w:tabs>
        <w:spacing w:line="400" w:lineRule="exact"/>
        <w:ind w:left="20" w:leftChars="6" w:firstLine="330" w:firstLineChars="150"/>
        <w:rPr>
          <w:rFonts w:ascii="Times New Roman" w:hAnsi="Times New Roman"/>
          <w:sz w:val="22"/>
          <w:szCs w:val="21"/>
        </w:rPr>
      </w:pPr>
      <w:bookmarkStart w:id="120" w:name="_Toc89075877"/>
      <w:bookmarkStart w:id="121" w:name="_Toc183582226"/>
      <w:bookmarkStart w:id="122" w:name="_Toc183682363"/>
      <w:bookmarkStart w:id="123" w:name="_Toc77400781"/>
      <w:bookmarkStart w:id="124" w:name="_Toc20628"/>
      <w:bookmarkStart w:id="125" w:name="_Toc217446053"/>
      <w:r>
        <w:rPr>
          <w:rFonts w:ascii="Times New Roman" w:hAnsi="Times New Roman"/>
          <w:sz w:val="22"/>
          <w:szCs w:val="21"/>
        </w:rPr>
        <w:t xml:space="preserve">18.1 </w:t>
      </w:r>
      <w:r>
        <w:rPr>
          <w:rFonts w:hint="eastAsia" w:ascii="Times New Roman" w:hAnsi="Times New Roman"/>
          <w:sz w:val="22"/>
          <w:szCs w:val="21"/>
        </w:rPr>
        <w:t>投标文件分为</w:t>
      </w:r>
      <w:r>
        <w:rPr>
          <w:rFonts w:ascii="Times New Roman" w:hAnsi="Times New Roman"/>
          <w:sz w:val="22"/>
          <w:szCs w:val="21"/>
        </w:rPr>
        <w:t>“</w:t>
      </w:r>
      <w:r>
        <w:rPr>
          <w:rFonts w:hint="eastAsia" w:ascii="Times New Roman" w:hAnsi="Times New Roman"/>
          <w:sz w:val="22"/>
          <w:szCs w:val="21"/>
        </w:rPr>
        <w:t>资格性投标文件</w:t>
      </w:r>
      <w:r>
        <w:rPr>
          <w:rFonts w:ascii="Times New Roman" w:hAnsi="Times New Roman"/>
          <w:sz w:val="22"/>
          <w:szCs w:val="21"/>
        </w:rPr>
        <w:t>”</w:t>
      </w:r>
      <w:r>
        <w:rPr>
          <w:rFonts w:hint="eastAsia" w:ascii="Times New Roman" w:hAnsi="Times New Roman"/>
          <w:sz w:val="22"/>
          <w:szCs w:val="21"/>
        </w:rPr>
        <w:t>和</w:t>
      </w:r>
      <w:r>
        <w:rPr>
          <w:rFonts w:ascii="Times New Roman" w:hAnsi="Times New Roman"/>
          <w:sz w:val="22"/>
          <w:szCs w:val="21"/>
        </w:rPr>
        <w:t>“</w:t>
      </w:r>
      <w:r>
        <w:rPr>
          <w:rFonts w:hint="eastAsia" w:ascii="Times New Roman" w:hAnsi="Times New Roman"/>
          <w:sz w:val="22"/>
          <w:szCs w:val="21"/>
        </w:rPr>
        <w:t>其他响应性投标文件</w:t>
      </w:r>
      <w:r>
        <w:rPr>
          <w:rFonts w:ascii="Times New Roman" w:hAnsi="Times New Roman"/>
          <w:sz w:val="22"/>
          <w:szCs w:val="21"/>
        </w:rPr>
        <w:t>”</w:t>
      </w:r>
      <w:r>
        <w:rPr>
          <w:rFonts w:hint="eastAsia" w:ascii="Times New Roman" w:hAnsi="Times New Roman"/>
          <w:sz w:val="22"/>
          <w:szCs w:val="21"/>
        </w:rPr>
        <w:t>两部分，且该两部分应分册装订、密封。资格性投标文件包括招标文件第四章要求的证明材料，其他响应性投标文件包括投标人响应招标文件全部要求的证明材料（资格证明材料除外）。资格性投标文件用于采购人或采购代理机构资格审查，其他响应性投标文件用于评标委员会评标。</w:t>
      </w:r>
    </w:p>
    <w:p w14:paraId="34612018">
      <w:pPr>
        <w:tabs>
          <w:tab w:val="left" w:pos="1080"/>
        </w:tabs>
        <w:spacing w:line="400" w:lineRule="exact"/>
        <w:ind w:firstLine="422" w:firstLineChars="192"/>
        <w:rPr>
          <w:rFonts w:ascii="Times New Roman" w:hAnsi="Times New Roman"/>
          <w:sz w:val="22"/>
          <w:szCs w:val="21"/>
        </w:rPr>
      </w:pPr>
      <w:r>
        <w:rPr>
          <w:rFonts w:ascii="Times New Roman" w:hAnsi="Times New Roman"/>
          <w:sz w:val="22"/>
          <w:szCs w:val="21"/>
        </w:rPr>
        <w:t xml:space="preserve">18.2 </w:t>
      </w:r>
      <w:r>
        <w:rPr>
          <w:rFonts w:hint="eastAsia" w:ascii="Times New Roman" w:hAnsi="Times New Roman"/>
          <w:sz w:val="22"/>
          <w:szCs w:val="21"/>
        </w:rPr>
        <w:t>投标人应按</w:t>
      </w:r>
      <w:r>
        <w:rPr>
          <w:rFonts w:ascii="Times New Roman" w:hAnsi="Times New Roman"/>
          <w:sz w:val="22"/>
          <w:szCs w:val="21"/>
        </w:rPr>
        <w:t>18.1</w:t>
      </w:r>
      <w:r>
        <w:rPr>
          <w:rFonts w:hint="eastAsia" w:ascii="Times New Roman" w:hAnsi="Times New Roman"/>
          <w:sz w:val="22"/>
          <w:szCs w:val="21"/>
        </w:rPr>
        <w:t>准备两部分投标文件，每部分包含正本壹份、副本肆份和相应的电子文档</w:t>
      </w:r>
      <w:r>
        <w:rPr>
          <w:rFonts w:ascii="Times New Roman" w:hAnsi="Times New Roman"/>
          <w:sz w:val="22"/>
          <w:szCs w:val="21"/>
        </w:rPr>
        <w:t>“U</w:t>
      </w:r>
      <w:r>
        <w:rPr>
          <w:rFonts w:hint="eastAsia" w:ascii="Times New Roman" w:hAnsi="Times New Roman"/>
          <w:sz w:val="22"/>
          <w:szCs w:val="21"/>
        </w:rPr>
        <w:t>盘</w:t>
      </w:r>
      <w:r>
        <w:rPr>
          <w:rFonts w:ascii="Times New Roman" w:hAnsi="Times New Roman"/>
          <w:sz w:val="22"/>
          <w:szCs w:val="21"/>
        </w:rPr>
        <w:t>”</w:t>
      </w:r>
      <w:r>
        <w:rPr>
          <w:rFonts w:hint="eastAsia" w:ascii="Times New Roman" w:hAnsi="Times New Roman"/>
          <w:sz w:val="22"/>
          <w:szCs w:val="21"/>
        </w:rPr>
        <w:t>壹份，以及用于开标唱标单独密封提交的</w:t>
      </w:r>
      <w:r>
        <w:rPr>
          <w:rFonts w:ascii="Times New Roman" w:hAnsi="Times New Roman"/>
          <w:sz w:val="22"/>
          <w:szCs w:val="21"/>
        </w:rPr>
        <w:t>“</w:t>
      </w:r>
      <w:r>
        <w:rPr>
          <w:rFonts w:hint="eastAsia" w:ascii="Times New Roman" w:hAnsi="Times New Roman"/>
          <w:sz w:val="22"/>
          <w:szCs w:val="21"/>
        </w:rPr>
        <w:t>开标一览表</w:t>
      </w:r>
      <w:r>
        <w:rPr>
          <w:rFonts w:ascii="Times New Roman" w:hAnsi="Times New Roman"/>
          <w:sz w:val="22"/>
          <w:szCs w:val="21"/>
        </w:rPr>
        <w:t>”</w:t>
      </w:r>
      <w:r>
        <w:rPr>
          <w:rFonts w:hint="eastAsia" w:ascii="Times New Roman" w:hAnsi="Times New Roman"/>
          <w:sz w:val="22"/>
          <w:szCs w:val="21"/>
        </w:rPr>
        <w:t>（壹份）。投标文件的正本和副本应在其封面右上角清楚地标明</w:t>
      </w:r>
      <w:r>
        <w:rPr>
          <w:rFonts w:ascii="Times New Roman" w:hAnsi="Times New Roman"/>
          <w:sz w:val="22"/>
          <w:szCs w:val="21"/>
        </w:rPr>
        <w:t>“</w:t>
      </w:r>
      <w:r>
        <w:rPr>
          <w:rFonts w:hint="eastAsia" w:ascii="Times New Roman" w:hAnsi="Times New Roman"/>
          <w:sz w:val="22"/>
          <w:szCs w:val="21"/>
        </w:rPr>
        <w:t>正本</w:t>
      </w:r>
      <w:r>
        <w:rPr>
          <w:rFonts w:ascii="Times New Roman" w:hAnsi="Times New Roman"/>
          <w:sz w:val="22"/>
          <w:szCs w:val="21"/>
        </w:rPr>
        <w:t>”</w:t>
      </w:r>
      <w:r>
        <w:rPr>
          <w:rFonts w:hint="eastAsia" w:ascii="Times New Roman" w:hAnsi="Times New Roman"/>
          <w:sz w:val="22"/>
          <w:szCs w:val="21"/>
        </w:rPr>
        <w:t>或</w:t>
      </w:r>
      <w:r>
        <w:rPr>
          <w:rFonts w:ascii="Times New Roman" w:hAnsi="Times New Roman"/>
          <w:sz w:val="22"/>
          <w:szCs w:val="21"/>
        </w:rPr>
        <w:t>“</w:t>
      </w:r>
      <w:r>
        <w:rPr>
          <w:rFonts w:hint="eastAsia" w:ascii="Times New Roman" w:hAnsi="Times New Roman"/>
          <w:sz w:val="22"/>
          <w:szCs w:val="21"/>
        </w:rPr>
        <w:t>副本</w:t>
      </w:r>
      <w:r>
        <w:rPr>
          <w:rFonts w:ascii="Times New Roman" w:hAnsi="Times New Roman"/>
          <w:sz w:val="22"/>
          <w:szCs w:val="21"/>
        </w:rPr>
        <w:t>”</w:t>
      </w:r>
      <w:r>
        <w:rPr>
          <w:rFonts w:hint="eastAsia" w:ascii="Times New Roman" w:hAnsi="Times New Roman"/>
          <w:sz w:val="22"/>
          <w:szCs w:val="21"/>
        </w:rPr>
        <w:t>字样。若正本和副本有不一致的内容，以正本书面投标文件为准。</w:t>
      </w:r>
    </w:p>
    <w:p w14:paraId="4C59A9C2">
      <w:pPr>
        <w:tabs>
          <w:tab w:val="left" w:pos="7665"/>
        </w:tabs>
        <w:spacing w:line="276" w:lineRule="auto"/>
        <w:ind w:firstLine="440" w:firstLineChars="200"/>
        <w:rPr>
          <w:rFonts w:ascii="Times New Roman" w:hAnsi="Times New Roman"/>
          <w:sz w:val="22"/>
          <w:szCs w:val="21"/>
        </w:rPr>
      </w:pPr>
      <w:r>
        <w:rPr>
          <w:rFonts w:ascii="Times New Roman" w:hAnsi="Times New Roman"/>
          <w:sz w:val="22"/>
          <w:szCs w:val="21"/>
        </w:rPr>
        <w:t xml:space="preserve">18.3 </w:t>
      </w:r>
      <w:r>
        <w:rPr>
          <w:rFonts w:hint="eastAsia" w:ascii="Times New Roman" w:hAnsi="宋体"/>
          <w:sz w:val="22"/>
          <w:szCs w:val="21"/>
        </w:rPr>
        <w:t>投标文件的打印和书写应清楚工整，任何行间插字、涂改或增删，必须由投标人的法定代表人或其委托代理人：签字或盖个人印鉴。字迹潦草、表达不清或可能导致非唯一理解的投标文件可能视为无效投标。</w:t>
      </w:r>
    </w:p>
    <w:p w14:paraId="5D752040">
      <w:pPr>
        <w:tabs>
          <w:tab w:val="left" w:pos="7665"/>
        </w:tabs>
        <w:spacing w:line="276" w:lineRule="auto"/>
        <w:ind w:firstLine="440" w:firstLineChars="200"/>
        <w:rPr>
          <w:rFonts w:ascii="Times New Roman" w:hAnsi="Times New Roman"/>
          <w:sz w:val="22"/>
          <w:szCs w:val="21"/>
        </w:rPr>
      </w:pPr>
      <w:r>
        <w:rPr>
          <w:rFonts w:ascii="Times New Roman" w:hAnsi="Times New Roman"/>
          <w:sz w:val="22"/>
          <w:szCs w:val="21"/>
        </w:rPr>
        <w:t xml:space="preserve">18.4 </w:t>
      </w:r>
      <w:r>
        <w:rPr>
          <w:rFonts w:hint="eastAsia" w:ascii="Times New Roman" w:hAnsi="宋体"/>
          <w:b/>
          <w:bCs/>
          <w:sz w:val="22"/>
          <w:szCs w:val="21"/>
        </w:rPr>
        <w:t>投标文件正本和副本须装订成册并编码（左侧胶装）</w:t>
      </w:r>
      <w:r>
        <w:rPr>
          <w:rFonts w:hint="eastAsia" w:ascii="Times New Roman" w:hAnsi="宋体"/>
          <w:sz w:val="22"/>
          <w:szCs w:val="21"/>
        </w:rPr>
        <w:t>。</w:t>
      </w:r>
    </w:p>
    <w:p w14:paraId="250943C5">
      <w:pPr>
        <w:tabs>
          <w:tab w:val="left" w:pos="7665"/>
        </w:tabs>
        <w:spacing w:line="276" w:lineRule="auto"/>
        <w:ind w:firstLine="440" w:firstLineChars="200"/>
        <w:rPr>
          <w:rFonts w:ascii="Times New Roman" w:hAnsi="Times New Roman"/>
          <w:b/>
          <w:bCs/>
          <w:sz w:val="22"/>
          <w:szCs w:val="21"/>
        </w:rPr>
      </w:pPr>
      <w:r>
        <w:rPr>
          <w:rFonts w:ascii="Times New Roman" w:hAnsi="Times New Roman"/>
          <w:sz w:val="22"/>
          <w:szCs w:val="21"/>
        </w:rPr>
        <w:t xml:space="preserve">18.5 </w:t>
      </w:r>
      <w:r>
        <w:rPr>
          <w:rFonts w:hint="eastAsia" w:ascii="Times New Roman" w:hAnsi="宋体"/>
          <w:b/>
          <w:bCs/>
          <w:sz w:val="22"/>
          <w:szCs w:val="21"/>
        </w:rPr>
        <w:t>投标文件统一用</w:t>
      </w:r>
      <w:r>
        <w:rPr>
          <w:rFonts w:ascii="Times New Roman" w:hAnsi="Times New Roman"/>
          <w:b/>
          <w:bCs/>
          <w:sz w:val="22"/>
          <w:szCs w:val="21"/>
        </w:rPr>
        <w:t>A4</w:t>
      </w:r>
      <w:r>
        <w:rPr>
          <w:rFonts w:hint="eastAsia" w:ascii="Times New Roman" w:hAnsi="宋体"/>
          <w:b/>
          <w:bCs/>
          <w:sz w:val="22"/>
          <w:szCs w:val="21"/>
        </w:rPr>
        <w:t>幅面纸印制，优先采用正反面印制，若投标文件超过200张的，建议分册装订。</w:t>
      </w:r>
    </w:p>
    <w:p w14:paraId="054F3E7B">
      <w:pPr>
        <w:tabs>
          <w:tab w:val="left" w:pos="7665"/>
        </w:tabs>
        <w:spacing w:line="276" w:lineRule="auto"/>
        <w:ind w:firstLine="440" w:firstLineChars="200"/>
        <w:rPr>
          <w:rFonts w:ascii="Times New Roman" w:hAnsi="Times New Roman"/>
          <w:sz w:val="22"/>
          <w:szCs w:val="21"/>
        </w:rPr>
      </w:pPr>
      <w:r>
        <w:rPr>
          <w:rFonts w:ascii="Times New Roman" w:hAnsi="Times New Roman"/>
          <w:sz w:val="22"/>
          <w:szCs w:val="21"/>
        </w:rPr>
        <w:t xml:space="preserve">18.6  </w:t>
      </w:r>
      <w:r>
        <w:rPr>
          <w:rFonts w:hint="eastAsia" w:ascii="Times New Roman" w:hAnsi="宋体"/>
          <w:sz w:val="22"/>
          <w:szCs w:val="21"/>
        </w:rPr>
        <w:t>投标文件须连续、逐页编制页码便于评标小组进行评审。</w:t>
      </w:r>
    </w:p>
    <w:p w14:paraId="7C236A39">
      <w:pPr>
        <w:tabs>
          <w:tab w:val="left" w:pos="7665"/>
        </w:tabs>
        <w:spacing w:line="276" w:lineRule="auto"/>
        <w:ind w:firstLine="440" w:firstLineChars="200"/>
        <w:rPr>
          <w:rFonts w:ascii="Times New Roman" w:hAnsi="Times New Roman"/>
          <w:sz w:val="22"/>
          <w:szCs w:val="21"/>
        </w:rPr>
      </w:pPr>
      <w:r>
        <w:rPr>
          <w:rFonts w:ascii="Times New Roman" w:hAnsi="Times New Roman"/>
          <w:sz w:val="22"/>
          <w:szCs w:val="21"/>
        </w:rPr>
        <w:t>18.7</w:t>
      </w:r>
      <w:r>
        <w:rPr>
          <w:rFonts w:hint="eastAsia" w:ascii="Times New Roman" w:hAnsi="宋体"/>
          <w:sz w:val="22"/>
          <w:szCs w:val="21"/>
        </w:rPr>
        <w:t>投标文件应根据招标文件的要求制作，签署、盖章和内容应完整，如有遗漏，投标人将自行承担其投标文件被视为无效投标文件的风险。</w:t>
      </w:r>
    </w:p>
    <w:p w14:paraId="4E714C0E">
      <w:pPr>
        <w:pStyle w:val="4"/>
        <w:spacing w:line="400" w:lineRule="exact"/>
        <w:rPr>
          <w:rFonts w:hAnsi="Times New Roman"/>
          <w:sz w:val="22"/>
          <w:szCs w:val="21"/>
        </w:rPr>
      </w:pPr>
      <w:r>
        <w:rPr>
          <w:rFonts w:hAnsi="Times New Roman"/>
          <w:sz w:val="22"/>
          <w:szCs w:val="21"/>
        </w:rPr>
        <w:t xml:space="preserve">19. </w:t>
      </w:r>
      <w:r>
        <w:rPr>
          <w:rFonts w:hint="eastAsia" w:hAnsi="Times New Roman"/>
          <w:sz w:val="22"/>
          <w:szCs w:val="21"/>
        </w:rPr>
        <w:t>投标文件的密封和标</w:t>
      </w:r>
      <w:bookmarkEnd w:id="120"/>
      <w:bookmarkEnd w:id="121"/>
      <w:bookmarkEnd w:id="122"/>
      <w:bookmarkEnd w:id="123"/>
      <w:r>
        <w:rPr>
          <w:rFonts w:hint="eastAsia" w:hAnsi="Times New Roman"/>
          <w:sz w:val="22"/>
          <w:szCs w:val="21"/>
        </w:rPr>
        <w:t>注</w:t>
      </w:r>
      <w:bookmarkEnd w:id="124"/>
      <w:bookmarkEnd w:id="125"/>
    </w:p>
    <w:p w14:paraId="16C98379">
      <w:pPr>
        <w:tabs>
          <w:tab w:val="left" w:pos="1080"/>
        </w:tabs>
        <w:spacing w:line="400" w:lineRule="exact"/>
        <w:ind w:firstLine="440" w:firstLineChars="200"/>
        <w:rPr>
          <w:rFonts w:ascii="Times New Roman" w:hAnsi="Times New Roman"/>
          <w:sz w:val="22"/>
          <w:szCs w:val="21"/>
        </w:rPr>
      </w:pPr>
      <w:r>
        <w:rPr>
          <w:rFonts w:ascii="Times New Roman" w:hAnsi="Times New Roman"/>
          <w:sz w:val="22"/>
          <w:szCs w:val="21"/>
        </w:rPr>
        <w:t xml:space="preserve">19.1 </w:t>
      </w:r>
      <w:r>
        <w:rPr>
          <w:rFonts w:hint="eastAsia" w:ascii="Times New Roman" w:hAnsi="Times New Roman"/>
          <w:sz w:val="22"/>
          <w:szCs w:val="21"/>
        </w:rPr>
        <w:t>投标人应在投标文件正本和所有副本的封面上注明</w:t>
      </w:r>
      <w:r>
        <w:rPr>
          <w:rFonts w:ascii="Times New Roman" w:hAnsi="Times New Roman"/>
          <w:sz w:val="22"/>
          <w:szCs w:val="21"/>
        </w:rPr>
        <w:t>“</w:t>
      </w:r>
      <w:r>
        <w:rPr>
          <w:rFonts w:hint="eastAsia" w:ascii="Times New Roman" w:hAnsi="Times New Roman"/>
          <w:sz w:val="22"/>
          <w:szCs w:val="21"/>
        </w:rPr>
        <w:t>资格性投标文件</w:t>
      </w:r>
      <w:r>
        <w:rPr>
          <w:rFonts w:ascii="Times New Roman" w:hAnsi="Times New Roman"/>
          <w:sz w:val="22"/>
          <w:szCs w:val="21"/>
        </w:rPr>
        <w:t>/</w:t>
      </w:r>
      <w:r>
        <w:rPr>
          <w:rFonts w:hint="eastAsia" w:ascii="Times New Roman" w:hAnsi="Times New Roman"/>
          <w:sz w:val="22"/>
          <w:szCs w:val="21"/>
        </w:rPr>
        <w:t>其他响应性投标文件、正本</w:t>
      </w:r>
      <w:r>
        <w:rPr>
          <w:rFonts w:ascii="Times New Roman" w:hAnsi="Times New Roman"/>
          <w:sz w:val="22"/>
          <w:szCs w:val="21"/>
        </w:rPr>
        <w:t>/</w:t>
      </w:r>
      <w:r>
        <w:rPr>
          <w:rFonts w:hint="eastAsia" w:ascii="Times New Roman" w:hAnsi="Times New Roman"/>
          <w:sz w:val="22"/>
          <w:szCs w:val="21"/>
        </w:rPr>
        <w:t>副本、投标人名称、招标编号、项目名称及分包号（如有分包）</w:t>
      </w:r>
      <w:r>
        <w:rPr>
          <w:rFonts w:ascii="Times New Roman" w:hAnsi="Times New Roman"/>
          <w:sz w:val="22"/>
          <w:szCs w:val="21"/>
        </w:rPr>
        <w:t>”</w:t>
      </w:r>
      <w:r>
        <w:rPr>
          <w:rFonts w:hint="eastAsia" w:ascii="Times New Roman" w:hAnsi="Times New Roman"/>
          <w:sz w:val="22"/>
          <w:szCs w:val="21"/>
        </w:rPr>
        <w:t>。</w:t>
      </w:r>
    </w:p>
    <w:p w14:paraId="5458FE47">
      <w:pPr>
        <w:tabs>
          <w:tab w:val="left" w:pos="1080"/>
        </w:tabs>
        <w:spacing w:line="400" w:lineRule="exact"/>
        <w:ind w:firstLine="422" w:firstLineChars="192"/>
        <w:rPr>
          <w:rFonts w:ascii="Times New Roman" w:hAnsi="Times New Roman"/>
          <w:sz w:val="22"/>
          <w:szCs w:val="21"/>
        </w:rPr>
      </w:pPr>
      <w:r>
        <w:rPr>
          <w:rFonts w:ascii="Times New Roman" w:hAnsi="Times New Roman"/>
          <w:sz w:val="22"/>
          <w:szCs w:val="21"/>
        </w:rPr>
        <w:t xml:space="preserve">19.2 </w:t>
      </w:r>
      <w:r>
        <w:rPr>
          <w:rFonts w:hint="eastAsia" w:ascii="Times New Roman" w:hAnsi="Times New Roman"/>
          <w:sz w:val="22"/>
          <w:szCs w:val="21"/>
        </w:rPr>
        <w:t>投标文件包括资格性投标文件正本及副本、其他响应性投标文件正本及副本</w:t>
      </w:r>
      <w:r>
        <w:rPr>
          <w:rFonts w:hint="eastAsia" w:ascii="Times New Roman" w:hAnsi="宋体"/>
          <w:sz w:val="22"/>
          <w:szCs w:val="21"/>
        </w:rPr>
        <w:t>、电子文档</w:t>
      </w:r>
      <w:r>
        <w:rPr>
          <w:rFonts w:hint="eastAsia" w:ascii="Times New Roman" w:hAnsi="Times New Roman"/>
          <w:sz w:val="22"/>
          <w:szCs w:val="21"/>
        </w:rPr>
        <w:t>和用于开标唱标单独提交的</w:t>
      </w:r>
      <w:r>
        <w:rPr>
          <w:rFonts w:ascii="Times New Roman" w:hAnsi="Times New Roman"/>
          <w:sz w:val="22"/>
          <w:szCs w:val="21"/>
        </w:rPr>
        <w:t>“</w:t>
      </w:r>
      <w:r>
        <w:rPr>
          <w:rFonts w:hint="eastAsia" w:ascii="Times New Roman" w:hAnsi="Times New Roman"/>
          <w:sz w:val="22"/>
          <w:szCs w:val="21"/>
        </w:rPr>
        <w:t>开标一览表</w:t>
      </w:r>
      <w:r>
        <w:rPr>
          <w:rFonts w:ascii="Times New Roman" w:hAnsi="Times New Roman"/>
          <w:sz w:val="22"/>
          <w:szCs w:val="21"/>
        </w:rPr>
        <w:t>”</w:t>
      </w:r>
      <w:r>
        <w:rPr>
          <w:rFonts w:hint="eastAsia" w:ascii="Times New Roman" w:hAnsi="Times New Roman"/>
          <w:sz w:val="22"/>
          <w:szCs w:val="21"/>
        </w:rPr>
        <w:t>。投标文件应当密封，其中，</w:t>
      </w:r>
      <w:r>
        <w:rPr>
          <w:rFonts w:ascii="Times New Roman" w:hAnsi="Times New Roman"/>
          <w:sz w:val="22"/>
          <w:szCs w:val="21"/>
        </w:rPr>
        <w:t>“</w:t>
      </w:r>
      <w:r>
        <w:rPr>
          <w:rFonts w:hint="eastAsia" w:ascii="Times New Roman" w:hAnsi="Times New Roman"/>
          <w:sz w:val="22"/>
          <w:szCs w:val="21"/>
        </w:rPr>
        <w:t>电子文档</w:t>
      </w:r>
      <w:r>
        <w:rPr>
          <w:rFonts w:ascii="Times New Roman" w:hAnsi="Times New Roman"/>
          <w:sz w:val="22"/>
          <w:szCs w:val="21"/>
        </w:rPr>
        <w:t>”</w:t>
      </w:r>
      <w:r>
        <w:rPr>
          <w:rFonts w:hint="eastAsia" w:ascii="Times New Roman" w:hAnsi="Times New Roman"/>
          <w:sz w:val="22"/>
          <w:szCs w:val="21"/>
        </w:rPr>
        <w:t>、</w:t>
      </w:r>
      <w:r>
        <w:rPr>
          <w:rFonts w:ascii="Times New Roman" w:hAnsi="Times New Roman"/>
          <w:sz w:val="22"/>
          <w:szCs w:val="21"/>
        </w:rPr>
        <w:t>“</w:t>
      </w:r>
      <w:r>
        <w:rPr>
          <w:rFonts w:hint="eastAsia" w:ascii="Times New Roman" w:hAnsi="Times New Roman"/>
          <w:sz w:val="22"/>
          <w:szCs w:val="21"/>
        </w:rPr>
        <w:t>开标一览表</w:t>
      </w:r>
      <w:r>
        <w:rPr>
          <w:rFonts w:ascii="Times New Roman" w:hAnsi="Times New Roman"/>
          <w:sz w:val="22"/>
          <w:szCs w:val="21"/>
        </w:rPr>
        <w:t>”</w:t>
      </w:r>
      <w:r>
        <w:rPr>
          <w:rFonts w:hint="eastAsia" w:ascii="Times New Roman" w:hAnsi="Times New Roman"/>
          <w:sz w:val="22"/>
          <w:szCs w:val="21"/>
        </w:rPr>
        <w:t>单独密封。</w:t>
      </w:r>
    </w:p>
    <w:p w14:paraId="15513F6E">
      <w:pPr>
        <w:tabs>
          <w:tab w:val="left" w:pos="1080"/>
        </w:tabs>
        <w:spacing w:line="400" w:lineRule="exact"/>
        <w:ind w:firstLine="422" w:firstLineChars="192"/>
        <w:rPr>
          <w:rFonts w:ascii="Times New Roman" w:hAnsi="Times New Roman"/>
          <w:sz w:val="22"/>
          <w:szCs w:val="21"/>
        </w:rPr>
      </w:pPr>
      <w:r>
        <w:rPr>
          <w:rFonts w:ascii="Times New Roman" w:hAnsi="Times New Roman"/>
          <w:sz w:val="22"/>
          <w:szCs w:val="21"/>
        </w:rPr>
        <w:t xml:space="preserve">19.3 </w:t>
      </w:r>
      <w:r>
        <w:rPr>
          <w:rFonts w:hint="eastAsia" w:ascii="Times New Roman" w:hAnsi="Times New Roman"/>
          <w:sz w:val="22"/>
          <w:szCs w:val="21"/>
        </w:rPr>
        <w:t>投标文件的密封袋上应当注明资格性投标文件</w:t>
      </w:r>
      <w:r>
        <w:rPr>
          <w:rFonts w:ascii="Times New Roman" w:hAnsi="Times New Roman"/>
          <w:sz w:val="22"/>
          <w:szCs w:val="21"/>
        </w:rPr>
        <w:t>/</w:t>
      </w:r>
      <w:r>
        <w:rPr>
          <w:rFonts w:hint="eastAsia" w:ascii="Times New Roman" w:hAnsi="Times New Roman"/>
          <w:sz w:val="22"/>
          <w:szCs w:val="21"/>
        </w:rPr>
        <w:t>其他响应性投标文件</w:t>
      </w:r>
      <w:r>
        <w:rPr>
          <w:rFonts w:ascii="Times New Roman" w:hAnsi="Times New Roman"/>
          <w:sz w:val="22"/>
          <w:szCs w:val="21"/>
        </w:rPr>
        <w:t>/</w:t>
      </w:r>
      <w:r>
        <w:rPr>
          <w:rFonts w:hint="eastAsia" w:ascii="Times New Roman" w:hAnsi="Times New Roman"/>
          <w:sz w:val="22"/>
          <w:szCs w:val="21"/>
        </w:rPr>
        <w:t>开标一览表</w:t>
      </w:r>
      <w:r>
        <w:rPr>
          <w:rFonts w:ascii="Times New Roman" w:hAnsi="Times New Roman"/>
          <w:sz w:val="22"/>
          <w:szCs w:val="21"/>
        </w:rPr>
        <w:t>/</w:t>
      </w:r>
      <w:r>
        <w:rPr>
          <w:rFonts w:hint="eastAsia" w:ascii="Times New Roman" w:hAnsi="Times New Roman"/>
          <w:sz w:val="22"/>
          <w:szCs w:val="21"/>
        </w:rPr>
        <w:t>电子文档、投标人名称、招标编号、项目名称及分包号（如有分包）。</w:t>
      </w:r>
    </w:p>
    <w:p w14:paraId="5CCE44AD">
      <w:pPr>
        <w:tabs>
          <w:tab w:val="left" w:pos="7665"/>
        </w:tabs>
        <w:spacing w:line="276" w:lineRule="auto"/>
        <w:ind w:firstLine="440" w:firstLineChars="200"/>
        <w:rPr>
          <w:rFonts w:ascii="Times New Roman" w:hAnsi="Times New Roman"/>
          <w:sz w:val="32"/>
          <w:szCs w:val="21"/>
        </w:rPr>
      </w:pPr>
      <w:r>
        <w:rPr>
          <w:rFonts w:ascii="Times New Roman" w:hAnsi="Times New Roman"/>
          <w:sz w:val="22"/>
          <w:szCs w:val="21"/>
        </w:rPr>
        <w:t xml:space="preserve">19.4 </w:t>
      </w:r>
      <w:r>
        <w:rPr>
          <w:rFonts w:hint="eastAsia" w:ascii="Times New Roman" w:hAnsi="宋体"/>
          <w:sz w:val="22"/>
          <w:szCs w:val="21"/>
        </w:rPr>
        <w:t>所有外层密封袋的封口处应粘贴牢固，并加盖密封章（投标人公章）。</w:t>
      </w:r>
    </w:p>
    <w:p w14:paraId="6323E245">
      <w:pPr>
        <w:pStyle w:val="4"/>
        <w:spacing w:line="400" w:lineRule="exact"/>
        <w:rPr>
          <w:rFonts w:hAnsi="Times New Roman"/>
          <w:sz w:val="22"/>
          <w:szCs w:val="21"/>
        </w:rPr>
      </w:pPr>
      <w:bookmarkStart w:id="126" w:name="_Toc183582227"/>
      <w:bookmarkStart w:id="127" w:name="_Toc183682364"/>
      <w:bookmarkStart w:id="128" w:name="_Toc217446054"/>
      <w:bookmarkStart w:id="129" w:name="_Toc308164804"/>
      <w:bookmarkStart w:id="130" w:name="_Toc21425"/>
      <w:bookmarkStart w:id="131" w:name="_Toc21680"/>
      <w:bookmarkStart w:id="132" w:name="_Toc4869"/>
      <w:bookmarkStart w:id="133" w:name="_Toc25807"/>
      <w:bookmarkStart w:id="134" w:name="_Toc12048"/>
      <w:bookmarkStart w:id="135" w:name="_Toc20112"/>
      <w:bookmarkStart w:id="136" w:name="_Toc217446082"/>
      <w:r>
        <w:rPr>
          <w:rFonts w:hAnsi="Times New Roman"/>
          <w:sz w:val="22"/>
          <w:szCs w:val="21"/>
        </w:rPr>
        <w:t>20</w:t>
      </w:r>
      <w:r>
        <w:rPr>
          <w:rFonts w:hint="eastAsia" w:hAnsi="Times New Roman"/>
          <w:sz w:val="22"/>
          <w:szCs w:val="21"/>
        </w:rPr>
        <w:t>．投标文件的</w:t>
      </w:r>
      <w:bookmarkEnd w:id="126"/>
      <w:bookmarkEnd w:id="127"/>
      <w:r>
        <w:rPr>
          <w:rFonts w:hint="eastAsia" w:hAnsi="Times New Roman"/>
          <w:sz w:val="22"/>
          <w:szCs w:val="21"/>
        </w:rPr>
        <w:t>递交</w:t>
      </w:r>
      <w:bookmarkEnd w:id="128"/>
      <w:bookmarkEnd w:id="129"/>
    </w:p>
    <w:p w14:paraId="48B778EE">
      <w:pPr>
        <w:tabs>
          <w:tab w:val="left" w:pos="1095"/>
        </w:tabs>
        <w:spacing w:line="400" w:lineRule="exact"/>
        <w:ind w:firstLine="422" w:firstLineChars="192"/>
        <w:rPr>
          <w:rFonts w:ascii="Times New Roman" w:hAnsi="Times New Roman"/>
          <w:sz w:val="22"/>
          <w:szCs w:val="21"/>
        </w:rPr>
      </w:pPr>
      <w:r>
        <w:rPr>
          <w:rFonts w:ascii="Times New Roman" w:hAnsi="Times New Roman"/>
          <w:sz w:val="22"/>
          <w:szCs w:val="21"/>
        </w:rPr>
        <w:t xml:space="preserve">20.1 </w:t>
      </w:r>
      <w:r>
        <w:rPr>
          <w:rFonts w:hint="eastAsia" w:ascii="Times New Roman" w:hAnsi="Times New Roman"/>
          <w:sz w:val="22"/>
          <w:szCs w:val="21"/>
        </w:rPr>
        <w:t>投标人应在招标文件规定的投标截止时间前，将投标文件按招标文件的规定密封后送达开标地点。投标截止时间以后送达的投标文件将不予接收，招标采购单位将告知投标人不予接收的原因。</w:t>
      </w:r>
    </w:p>
    <w:p w14:paraId="0BF356D0">
      <w:pPr>
        <w:tabs>
          <w:tab w:val="left" w:pos="1095"/>
        </w:tabs>
        <w:spacing w:line="400" w:lineRule="exact"/>
        <w:ind w:firstLine="422" w:firstLineChars="192"/>
        <w:rPr>
          <w:rFonts w:ascii="Times New Roman" w:hAnsi="Times New Roman"/>
          <w:sz w:val="22"/>
          <w:szCs w:val="21"/>
        </w:rPr>
      </w:pPr>
      <w:r>
        <w:rPr>
          <w:rFonts w:ascii="Times New Roman" w:hAnsi="Times New Roman"/>
          <w:sz w:val="22"/>
          <w:szCs w:val="21"/>
        </w:rPr>
        <w:t>20.2</w:t>
      </w:r>
      <w:r>
        <w:rPr>
          <w:rFonts w:hint="eastAsia" w:ascii="Times New Roman" w:hAnsi="Times New Roman"/>
          <w:sz w:val="22"/>
          <w:szCs w:val="21"/>
        </w:rPr>
        <w:t>递交投标文件时，报名供应商名称和招标文件的文号、分包号应当与投标供应商名称和招标文件的文号、分包号一致。但是，投标文件实质内容报名供应商名称和招标文件的文号、分包号一致，只是封面文字错误的，可以在评标过程中当面予以澄清，以有效的澄清材料作为认定投标文件是否有效的依据。</w:t>
      </w:r>
    </w:p>
    <w:p w14:paraId="278DD2D3">
      <w:pPr>
        <w:tabs>
          <w:tab w:val="left" w:pos="1095"/>
        </w:tabs>
        <w:spacing w:line="400" w:lineRule="exact"/>
        <w:ind w:firstLine="422" w:firstLineChars="192"/>
        <w:rPr>
          <w:rFonts w:ascii="Times New Roman" w:hAnsi="Times New Roman"/>
          <w:sz w:val="22"/>
          <w:szCs w:val="21"/>
        </w:rPr>
      </w:pPr>
      <w:r>
        <w:rPr>
          <w:rFonts w:ascii="Times New Roman" w:hAnsi="Times New Roman"/>
          <w:sz w:val="22"/>
          <w:szCs w:val="21"/>
        </w:rPr>
        <w:t>20.3</w:t>
      </w:r>
      <w:r>
        <w:rPr>
          <w:rFonts w:hint="eastAsia" w:ascii="Times New Roman" w:hAnsi="Times New Roman"/>
          <w:sz w:val="22"/>
          <w:szCs w:val="21"/>
        </w:rPr>
        <w:t>本次招标不接收邮寄的投标文件。</w:t>
      </w:r>
    </w:p>
    <w:p w14:paraId="5C5AA9BA">
      <w:pPr>
        <w:pStyle w:val="4"/>
        <w:spacing w:line="400" w:lineRule="exact"/>
        <w:rPr>
          <w:rFonts w:hAnsi="Times New Roman"/>
          <w:sz w:val="22"/>
        </w:rPr>
      </w:pPr>
      <w:bookmarkStart w:id="137" w:name="_Toc183682365"/>
      <w:bookmarkStart w:id="138" w:name="_Toc183582228"/>
      <w:bookmarkStart w:id="139" w:name="_Toc217446055"/>
      <w:bookmarkStart w:id="140" w:name="_Toc183582231"/>
      <w:bookmarkStart w:id="141" w:name="_Toc183682368"/>
      <w:bookmarkStart w:id="142" w:name="_Toc217446056"/>
      <w:bookmarkStart w:id="143" w:name="_Toc77400782"/>
      <w:bookmarkStart w:id="144" w:name="_Toc89075878"/>
      <w:bookmarkStart w:id="145" w:name="_Toc308164805"/>
      <w:r>
        <w:rPr>
          <w:rFonts w:hAnsi="Times New Roman"/>
          <w:sz w:val="22"/>
          <w:szCs w:val="21"/>
        </w:rPr>
        <w:t>21</w:t>
      </w:r>
      <w:r>
        <w:rPr>
          <w:rFonts w:hint="eastAsia" w:hAnsi="Times New Roman"/>
          <w:sz w:val="22"/>
          <w:szCs w:val="21"/>
        </w:rPr>
        <w:t>．投标文件的修改和撤</w:t>
      </w:r>
      <w:bookmarkEnd w:id="137"/>
      <w:bookmarkEnd w:id="138"/>
      <w:r>
        <w:rPr>
          <w:rFonts w:hint="eastAsia" w:hAnsi="Times New Roman"/>
          <w:sz w:val="22"/>
          <w:szCs w:val="21"/>
        </w:rPr>
        <w:t>回</w:t>
      </w:r>
      <w:bookmarkEnd w:id="139"/>
    </w:p>
    <w:p w14:paraId="78941F4B">
      <w:pPr>
        <w:tabs>
          <w:tab w:val="left" w:pos="1095"/>
        </w:tabs>
        <w:spacing w:line="400" w:lineRule="exact"/>
        <w:ind w:firstLine="422" w:firstLineChars="192"/>
        <w:rPr>
          <w:rFonts w:ascii="Times New Roman" w:hAnsi="Times New Roman"/>
          <w:sz w:val="22"/>
          <w:szCs w:val="21"/>
        </w:rPr>
      </w:pPr>
      <w:r>
        <w:rPr>
          <w:rFonts w:ascii="Times New Roman" w:hAnsi="Times New Roman"/>
          <w:sz w:val="22"/>
          <w:szCs w:val="21"/>
        </w:rPr>
        <w:t xml:space="preserve">21.1 </w:t>
      </w:r>
      <w:r>
        <w:rPr>
          <w:rFonts w:hint="eastAsia" w:ascii="Times New Roman" w:hAnsi="Times New Roman"/>
          <w:sz w:val="22"/>
          <w:szCs w:val="21"/>
        </w:rPr>
        <w:t>投标人在递交了投标文件后，可以修改或撤回其投标文件，但必须在规定的投标截止时间前，以书面形式通知采购代理机构。</w:t>
      </w:r>
    </w:p>
    <w:p w14:paraId="4660A373">
      <w:pPr>
        <w:tabs>
          <w:tab w:val="left" w:pos="1095"/>
        </w:tabs>
        <w:spacing w:line="400" w:lineRule="exact"/>
        <w:ind w:firstLine="422" w:firstLineChars="192"/>
        <w:rPr>
          <w:rFonts w:ascii="Times New Roman" w:hAnsi="Times New Roman"/>
          <w:sz w:val="22"/>
          <w:szCs w:val="21"/>
        </w:rPr>
      </w:pPr>
      <w:r>
        <w:rPr>
          <w:rFonts w:ascii="Times New Roman" w:hAnsi="Times New Roman"/>
          <w:sz w:val="22"/>
          <w:szCs w:val="21"/>
        </w:rPr>
        <w:t xml:space="preserve">21.2 </w:t>
      </w:r>
      <w:r>
        <w:rPr>
          <w:rFonts w:hint="eastAsia" w:ascii="Times New Roman" w:hAnsi="Times New Roman"/>
          <w:sz w:val="22"/>
          <w:szCs w:val="21"/>
        </w:rPr>
        <w:t>投标人的修改书或撤回通知书，应由其法定代表人或委托代理人签署并盖单位印章。修改书应按投标须知第</w:t>
      </w:r>
      <w:r>
        <w:rPr>
          <w:rFonts w:ascii="Times New Roman" w:hAnsi="Times New Roman"/>
          <w:sz w:val="22"/>
          <w:szCs w:val="21"/>
        </w:rPr>
        <w:t>19</w:t>
      </w:r>
      <w:r>
        <w:rPr>
          <w:rFonts w:hint="eastAsia" w:ascii="Times New Roman" w:hAnsi="Times New Roman"/>
          <w:sz w:val="22"/>
          <w:szCs w:val="21"/>
        </w:rPr>
        <w:t>条规定进行密封和标注，并在密封袋上标注</w:t>
      </w:r>
      <w:r>
        <w:rPr>
          <w:rFonts w:ascii="Times New Roman" w:hAnsi="Times New Roman"/>
          <w:sz w:val="22"/>
          <w:szCs w:val="21"/>
        </w:rPr>
        <w:t>“</w:t>
      </w:r>
      <w:r>
        <w:rPr>
          <w:rFonts w:hint="eastAsia" w:ascii="Times New Roman" w:hAnsi="Times New Roman"/>
          <w:sz w:val="22"/>
          <w:szCs w:val="21"/>
        </w:rPr>
        <w:t>修改</w:t>
      </w:r>
      <w:r>
        <w:rPr>
          <w:rFonts w:ascii="Times New Roman" w:hAnsi="Times New Roman"/>
          <w:sz w:val="22"/>
          <w:szCs w:val="21"/>
        </w:rPr>
        <w:t>”</w:t>
      </w:r>
      <w:r>
        <w:rPr>
          <w:rFonts w:hint="eastAsia" w:ascii="Times New Roman" w:hAnsi="Times New Roman"/>
          <w:sz w:val="22"/>
          <w:szCs w:val="21"/>
        </w:rPr>
        <w:t>字样。</w:t>
      </w:r>
    </w:p>
    <w:p w14:paraId="16D15005">
      <w:pPr>
        <w:tabs>
          <w:tab w:val="left" w:pos="1095"/>
        </w:tabs>
        <w:spacing w:line="400" w:lineRule="exact"/>
        <w:ind w:firstLine="422" w:firstLineChars="192"/>
        <w:rPr>
          <w:rFonts w:ascii="Times New Roman" w:hAnsi="Times New Roman"/>
          <w:sz w:val="22"/>
          <w:szCs w:val="21"/>
        </w:rPr>
      </w:pPr>
      <w:r>
        <w:rPr>
          <w:rFonts w:ascii="Times New Roman" w:hAnsi="Times New Roman"/>
          <w:sz w:val="22"/>
          <w:szCs w:val="21"/>
        </w:rPr>
        <w:t xml:space="preserve">21.3 </w:t>
      </w:r>
      <w:r>
        <w:rPr>
          <w:rFonts w:hint="eastAsia" w:ascii="Times New Roman" w:hAnsi="Times New Roman"/>
          <w:sz w:val="22"/>
          <w:szCs w:val="21"/>
        </w:rPr>
        <w:t>在投标截止时间之后，投标人不得对其递交的投标文件做任何修改或撤销投标。</w:t>
      </w:r>
    </w:p>
    <w:p w14:paraId="419365F1">
      <w:pPr>
        <w:pStyle w:val="3"/>
        <w:spacing w:line="400" w:lineRule="exact"/>
        <w:jc w:val="center"/>
        <w:rPr>
          <w:rFonts w:ascii="Times New Roman" w:hAnsi="Times New Roman"/>
          <w:sz w:val="28"/>
          <w:szCs w:val="22"/>
        </w:rPr>
      </w:pPr>
      <w:r>
        <w:rPr>
          <w:rFonts w:hint="eastAsia" w:ascii="Times New Roman"/>
          <w:sz w:val="28"/>
          <w:szCs w:val="22"/>
        </w:rPr>
        <w:t>五、开标和中标</w:t>
      </w:r>
      <w:bookmarkEnd w:id="140"/>
      <w:bookmarkEnd w:id="141"/>
      <w:bookmarkEnd w:id="142"/>
      <w:bookmarkEnd w:id="143"/>
      <w:bookmarkEnd w:id="144"/>
      <w:bookmarkEnd w:id="145"/>
    </w:p>
    <w:p w14:paraId="5CDD6511">
      <w:pPr>
        <w:pStyle w:val="4"/>
        <w:spacing w:line="400" w:lineRule="exact"/>
        <w:rPr>
          <w:rFonts w:hAnsi="Times New Roman"/>
          <w:sz w:val="22"/>
          <w:szCs w:val="21"/>
        </w:rPr>
      </w:pPr>
      <w:bookmarkStart w:id="146" w:name="_Toc308164806"/>
      <w:bookmarkStart w:id="147" w:name="_Toc217446057"/>
      <w:bookmarkStart w:id="148" w:name="_Toc183682369"/>
      <w:bookmarkStart w:id="149" w:name="_Toc183582232"/>
      <w:r>
        <w:rPr>
          <w:rFonts w:hAnsi="Times New Roman"/>
          <w:sz w:val="22"/>
          <w:szCs w:val="21"/>
        </w:rPr>
        <w:t>22</w:t>
      </w:r>
      <w:r>
        <w:rPr>
          <w:rFonts w:hint="eastAsia" w:hAnsi="Times New Roman"/>
          <w:sz w:val="22"/>
          <w:szCs w:val="21"/>
        </w:rPr>
        <w:t>．开标</w:t>
      </w:r>
      <w:bookmarkEnd w:id="146"/>
      <w:bookmarkEnd w:id="147"/>
      <w:bookmarkEnd w:id="148"/>
      <w:bookmarkEnd w:id="149"/>
    </w:p>
    <w:p w14:paraId="5198D4E8">
      <w:pPr>
        <w:spacing w:before="120" w:line="400" w:lineRule="exact"/>
        <w:ind w:firstLine="440" w:firstLineChars="200"/>
        <w:rPr>
          <w:rFonts w:ascii="Times New Roman" w:hAnsi="Times New Roman"/>
          <w:sz w:val="22"/>
          <w:szCs w:val="21"/>
        </w:rPr>
      </w:pPr>
      <w:r>
        <w:rPr>
          <w:rFonts w:ascii="Times New Roman" w:hAnsi="Times New Roman"/>
          <w:sz w:val="22"/>
          <w:szCs w:val="21"/>
        </w:rPr>
        <w:t xml:space="preserve">22.1 </w:t>
      </w:r>
      <w:r>
        <w:rPr>
          <w:rFonts w:hint="eastAsia" w:ascii="Times New Roman" w:hAnsi="Times New Roman"/>
          <w:sz w:val="22"/>
          <w:szCs w:val="21"/>
        </w:rPr>
        <w:t>开标在招标文件规定的时间和地点公开进行，采购人、投标人应派代表参加并签到以证明其出席。开标由采购代理机构主持，邀请投标人参加。评标委员会成员不参加开标活动。</w:t>
      </w:r>
    </w:p>
    <w:p w14:paraId="0BDBAA99">
      <w:pPr>
        <w:spacing w:line="400" w:lineRule="exact"/>
        <w:ind w:firstLine="440" w:firstLineChars="200"/>
        <w:rPr>
          <w:rFonts w:ascii="Times New Roman" w:hAnsi="Times New Roman"/>
          <w:sz w:val="22"/>
          <w:szCs w:val="21"/>
        </w:rPr>
      </w:pPr>
      <w:r>
        <w:rPr>
          <w:rFonts w:ascii="Times New Roman" w:hAnsi="Times New Roman"/>
          <w:sz w:val="22"/>
          <w:szCs w:val="21"/>
        </w:rPr>
        <w:t xml:space="preserve">22.2 </w:t>
      </w:r>
      <w:r>
        <w:rPr>
          <w:rFonts w:hint="eastAsia" w:ascii="Times New Roman" w:hAnsi="Times New Roman"/>
          <w:sz w:val="22"/>
          <w:szCs w:val="21"/>
        </w:rPr>
        <w:t>开标时，可根据具体情况邀请有关监督管理部门对开标活动进行现场监督。</w:t>
      </w:r>
    </w:p>
    <w:p w14:paraId="437E680B">
      <w:pPr>
        <w:spacing w:line="400" w:lineRule="exact"/>
        <w:ind w:firstLine="440" w:firstLineChars="200"/>
        <w:rPr>
          <w:rFonts w:ascii="Times New Roman" w:hAnsi="Times New Roman"/>
          <w:sz w:val="22"/>
          <w:szCs w:val="21"/>
        </w:rPr>
      </w:pPr>
      <w:r>
        <w:rPr>
          <w:rFonts w:ascii="Times New Roman" w:hAnsi="Times New Roman"/>
          <w:sz w:val="22"/>
          <w:szCs w:val="21"/>
        </w:rPr>
        <w:t xml:space="preserve">22.3 </w:t>
      </w:r>
      <w:r>
        <w:rPr>
          <w:rFonts w:hint="eastAsia" w:ascii="Times New Roman" w:hAnsi="Times New Roman"/>
          <w:sz w:val="22"/>
          <w:szCs w:val="21"/>
        </w:rPr>
        <w:t>开标时，由投标人或者其推选的代表检查其自己递交的投标文件的密封情况，经确认无误后，由招标工作人员将投标人单独递交的</w:t>
      </w:r>
      <w:r>
        <w:rPr>
          <w:rFonts w:ascii="Times New Roman" w:hAnsi="Times New Roman"/>
          <w:sz w:val="22"/>
          <w:szCs w:val="21"/>
        </w:rPr>
        <w:t>“</w:t>
      </w:r>
      <w:r>
        <w:rPr>
          <w:rFonts w:hint="eastAsia" w:ascii="Times New Roman" w:hAnsi="Times New Roman"/>
          <w:sz w:val="22"/>
          <w:szCs w:val="21"/>
        </w:rPr>
        <w:t>开标一览表</w:t>
      </w:r>
      <w:r>
        <w:rPr>
          <w:rFonts w:ascii="Times New Roman" w:hAnsi="Times New Roman"/>
          <w:sz w:val="22"/>
          <w:szCs w:val="21"/>
        </w:rPr>
        <w:t>”</w:t>
      </w:r>
      <w:r>
        <w:rPr>
          <w:rFonts w:hint="eastAsia" w:ascii="Times New Roman" w:hAnsi="Times New Roman"/>
          <w:sz w:val="22"/>
          <w:szCs w:val="21"/>
        </w:rPr>
        <w:t>当众拆封，并由唱标人员按照招标文件规定的内容进行宣读。</w:t>
      </w:r>
    </w:p>
    <w:p w14:paraId="1786C82C">
      <w:pPr>
        <w:spacing w:line="400" w:lineRule="exact"/>
        <w:ind w:firstLine="440" w:firstLineChars="200"/>
        <w:rPr>
          <w:rFonts w:ascii="Times New Roman" w:hAnsi="Times New Roman"/>
          <w:sz w:val="22"/>
          <w:szCs w:val="21"/>
        </w:rPr>
      </w:pPr>
      <w:r>
        <w:rPr>
          <w:rFonts w:ascii="Times New Roman" w:hAnsi="Times New Roman"/>
          <w:sz w:val="22"/>
          <w:szCs w:val="21"/>
        </w:rPr>
        <w:t>22.4</w:t>
      </w:r>
      <w:r>
        <w:rPr>
          <w:rFonts w:hint="eastAsia" w:ascii="Times New Roman" w:hAnsi="Times New Roman"/>
          <w:sz w:val="22"/>
          <w:szCs w:val="21"/>
        </w:rPr>
        <w:t>投标人或者其推选的代表对其他投标人的投标文件密封情况有异议的，应当当场反映开标主持人或者现场监督人员，要求开标现场记录人员予以记录，并在评标时予以认定处理，但不得干扰、阻挠开标工作的正常进行</w:t>
      </w:r>
      <w:r>
        <w:rPr>
          <w:rFonts w:ascii="Times New Roman" w:hAnsi="Times New Roman"/>
          <w:sz w:val="22"/>
          <w:szCs w:val="21"/>
        </w:rPr>
        <w:t>.</w:t>
      </w:r>
    </w:p>
    <w:p w14:paraId="3C38D7D8">
      <w:pPr>
        <w:spacing w:line="400" w:lineRule="exact"/>
        <w:ind w:firstLine="440" w:firstLineChars="200"/>
        <w:rPr>
          <w:rFonts w:ascii="Times New Roman" w:hAnsi="Times New Roman"/>
          <w:sz w:val="22"/>
          <w:szCs w:val="21"/>
        </w:rPr>
      </w:pPr>
      <w:r>
        <w:rPr>
          <w:rFonts w:ascii="Times New Roman" w:hAnsi="Times New Roman"/>
          <w:sz w:val="22"/>
          <w:szCs w:val="21"/>
        </w:rPr>
        <w:t xml:space="preserve">22.5 </w:t>
      </w:r>
      <w:r>
        <w:rPr>
          <w:rFonts w:hint="eastAsia" w:ascii="Times New Roman" w:hAnsi="Times New Roman"/>
          <w:sz w:val="22"/>
          <w:szCs w:val="21"/>
        </w:rPr>
        <w:t>投标文件中相关内容与</w:t>
      </w:r>
      <w:r>
        <w:rPr>
          <w:rFonts w:ascii="Times New Roman" w:hAnsi="Times New Roman"/>
          <w:sz w:val="22"/>
          <w:szCs w:val="21"/>
        </w:rPr>
        <w:t>“</w:t>
      </w:r>
      <w:r>
        <w:rPr>
          <w:rFonts w:hint="eastAsia" w:ascii="Times New Roman" w:hAnsi="Times New Roman"/>
          <w:sz w:val="22"/>
          <w:szCs w:val="21"/>
        </w:rPr>
        <w:t>开标一览表</w:t>
      </w:r>
      <w:r>
        <w:rPr>
          <w:rFonts w:ascii="Times New Roman" w:hAnsi="Times New Roman"/>
          <w:sz w:val="22"/>
          <w:szCs w:val="21"/>
        </w:rPr>
        <w:t>”</w:t>
      </w:r>
      <w:r>
        <w:rPr>
          <w:rFonts w:hint="eastAsia" w:ascii="Times New Roman" w:hAnsi="Times New Roman"/>
          <w:sz w:val="22"/>
          <w:szCs w:val="21"/>
        </w:rPr>
        <w:t>不一致的，以</w:t>
      </w:r>
      <w:r>
        <w:rPr>
          <w:rFonts w:ascii="Times New Roman" w:hAnsi="Times New Roman"/>
          <w:sz w:val="22"/>
          <w:szCs w:val="21"/>
        </w:rPr>
        <w:t>“</w:t>
      </w:r>
      <w:r>
        <w:rPr>
          <w:rFonts w:hint="eastAsia" w:ascii="Times New Roman" w:hAnsi="Times New Roman"/>
          <w:sz w:val="22"/>
          <w:szCs w:val="21"/>
        </w:rPr>
        <w:t>开标一览表</w:t>
      </w:r>
      <w:r>
        <w:rPr>
          <w:rFonts w:ascii="Times New Roman" w:hAnsi="Times New Roman"/>
          <w:sz w:val="22"/>
          <w:szCs w:val="21"/>
        </w:rPr>
        <w:t>”</w:t>
      </w:r>
      <w:r>
        <w:rPr>
          <w:rFonts w:hint="eastAsia" w:ascii="Times New Roman" w:hAnsi="Times New Roman"/>
          <w:sz w:val="22"/>
          <w:szCs w:val="21"/>
        </w:rPr>
        <w:t>为准。对不同文字文本投标文件的解释发生异议的，以中文文本为准。</w:t>
      </w:r>
    </w:p>
    <w:p w14:paraId="2075B70E">
      <w:pPr>
        <w:spacing w:line="400" w:lineRule="exact"/>
        <w:ind w:firstLine="440" w:firstLineChars="200"/>
        <w:rPr>
          <w:rFonts w:ascii="Times New Roman" w:hAnsi="Times New Roman"/>
          <w:sz w:val="22"/>
          <w:szCs w:val="21"/>
        </w:rPr>
      </w:pPr>
      <w:r>
        <w:rPr>
          <w:rFonts w:ascii="Times New Roman" w:hAnsi="Times New Roman"/>
          <w:sz w:val="22"/>
          <w:szCs w:val="21"/>
        </w:rPr>
        <w:t>22.6</w:t>
      </w:r>
      <w:r>
        <w:rPr>
          <w:rFonts w:hint="eastAsia" w:ascii="Times New Roman" w:hAnsi="Times New Roman"/>
          <w:sz w:val="22"/>
          <w:szCs w:val="21"/>
        </w:rPr>
        <w:t>所有投标唱标完毕，如投标人代表对宣读的</w:t>
      </w:r>
      <w:r>
        <w:rPr>
          <w:rFonts w:ascii="Times New Roman" w:hAnsi="Times New Roman"/>
          <w:sz w:val="22"/>
          <w:szCs w:val="21"/>
        </w:rPr>
        <w:t>“</w:t>
      </w:r>
      <w:r>
        <w:rPr>
          <w:rFonts w:hint="eastAsia" w:ascii="Times New Roman" w:hAnsi="Times New Roman"/>
          <w:sz w:val="22"/>
          <w:szCs w:val="21"/>
        </w:rPr>
        <w:t>开标一览表</w:t>
      </w:r>
      <w:r>
        <w:rPr>
          <w:rFonts w:ascii="Times New Roman" w:hAnsi="Times New Roman"/>
          <w:sz w:val="22"/>
          <w:szCs w:val="21"/>
        </w:rPr>
        <w:t>”</w:t>
      </w:r>
      <w:r>
        <w:rPr>
          <w:rFonts w:hint="eastAsia" w:ascii="Times New Roman" w:hAnsi="Times New Roman"/>
          <w:sz w:val="22"/>
          <w:szCs w:val="21"/>
        </w:rPr>
        <w:t>上的内容有异议的，应在获得开标会主持人同意后当场提出。</w:t>
      </w:r>
    </w:p>
    <w:p w14:paraId="3B00074F">
      <w:pPr>
        <w:spacing w:line="400" w:lineRule="exact"/>
        <w:ind w:firstLine="440" w:firstLineChars="200"/>
        <w:rPr>
          <w:rFonts w:ascii="Times New Roman" w:hAnsi="Times New Roman"/>
          <w:sz w:val="22"/>
          <w:szCs w:val="21"/>
        </w:rPr>
      </w:pPr>
      <w:r>
        <w:rPr>
          <w:rFonts w:ascii="Times New Roman" w:hAnsi="Times New Roman"/>
          <w:sz w:val="22"/>
          <w:szCs w:val="21"/>
        </w:rPr>
        <w:t>22.7</w:t>
      </w:r>
      <w:r>
        <w:rPr>
          <w:rFonts w:hint="eastAsia" w:ascii="Times New Roman" w:hAnsi="Times New Roman"/>
          <w:sz w:val="22"/>
          <w:szCs w:val="21"/>
        </w:rPr>
        <w:t>投标人未参加开标的，视同认可开标结果。</w:t>
      </w:r>
    </w:p>
    <w:p w14:paraId="4BE9EBA4">
      <w:pPr>
        <w:pStyle w:val="4"/>
        <w:spacing w:line="400" w:lineRule="exact"/>
        <w:rPr>
          <w:rFonts w:hAnsi="Times New Roman"/>
          <w:sz w:val="22"/>
          <w:szCs w:val="21"/>
        </w:rPr>
      </w:pPr>
      <w:bookmarkStart w:id="150" w:name="_Toc308164807"/>
      <w:bookmarkStart w:id="151" w:name="_Toc217446058"/>
      <w:r>
        <w:rPr>
          <w:rFonts w:hAnsi="Times New Roman"/>
          <w:sz w:val="22"/>
          <w:szCs w:val="21"/>
        </w:rPr>
        <w:t xml:space="preserve">23. </w:t>
      </w:r>
      <w:r>
        <w:rPr>
          <w:rFonts w:hint="eastAsia" w:hAnsi="Times New Roman"/>
          <w:sz w:val="22"/>
          <w:szCs w:val="21"/>
        </w:rPr>
        <w:t>开标程序</w:t>
      </w:r>
      <w:bookmarkEnd w:id="150"/>
      <w:bookmarkEnd w:id="151"/>
    </w:p>
    <w:p w14:paraId="6784A87F">
      <w:pPr>
        <w:spacing w:line="400" w:lineRule="exact"/>
        <w:ind w:firstLine="440" w:firstLineChars="200"/>
        <w:rPr>
          <w:rFonts w:ascii="Times New Roman" w:hAnsi="Times New Roman"/>
          <w:sz w:val="22"/>
          <w:szCs w:val="21"/>
        </w:rPr>
      </w:pPr>
      <w:r>
        <w:rPr>
          <w:rFonts w:ascii="Times New Roman" w:hAnsi="Times New Roman"/>
          <w:sz w:val="22"/>
          <w:szCs w:val="21"/>
        </w:rPr>
        <w:t xml:space="preserve">23.1 </w:t>
      </w:r>
      <w:r>
        <w:rPr>
          <w:rFonts w:hint="eastAsia" w:ascii="Times New Roman" w:hAnsi="Times New Roman"/>
          <w:sz w:val="22"/>
          <w:szCs w:val="21"/>
        </w:rPr>
        <w:t>开标会主持人按照招标文件规定的开标时间宣布开标，按照规定要求主持开标会。开标将按以下程序进行：</w:t>
      </w:r>
    </w:p>
    <w:p w14:paraId="1BF921AB">
      <w:pPr>
        <w:numPr>
          <w:ilvl w:val="0"/>
          <w:numId w:val="1"/>
        </w:numPr>
        <w:spacing w:line="400" w:lineRule="exact"/>
        <w:ind w:firstLine="440" w:firstLineChars="200"/>
        <w:rPr>
          <w:rFonts w:ascii="Times New Roman" w:hAnsi="Times New Roman"/>
          <w:sz w:val="22"/>
          <w:szCs w:val="21"/>
        </w:rPr>
      </w:pPr>
      <w:r>
        <w:rPr>
          <w:rFonts w:hint="eastAsia" w:ascii="Times New Roman" w:hAnsi="Times New Roman"/>
          <w:sz w:val="22"/>
          <w:szCs w:val="21"/>
        </w:rPr>
        <w:t>宣布开标会开始。当众宣布参加开标会主持人、唱标人、会议记录人以及根据情况邀请的现场监督人等工作人员</w:t>
      </w:r>
    </w:p>
    <w:p w14:paraId="544B0981">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）根据投标人或者其推选的代表对投标文件密封的检查结果，当众宣布投标文件的密封情况。</w:t>
      </w:r>
    </w:p>
    <w:p w14:paraId="69EAB424">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开标唱标。主持人宣布开标后，由现场工作人员按任意顺序对投标人的投标文件当众进行拆封，由唱标人员宣读投标人名称、投标价格（价格折扣）、或招标文件允许提供的备选投标方案和投标文件的其他主要内容。未宣读的投标价格（价格折扣）或招标文件允许提供的备选投标方案等实质内容，评标时不予承认。同时，做好开标记录。唱标人员在唱标过程中，如遇有字迹不清楚或有明显错误的，应即刻报告主持人，经现场核实后，主持人立即请投标人代表现场进行澄清或确认。唱标完毕后投标人或者其推选的代表需现场对开标记录进行签字确认，投标人或者其推选的代表对唱标内容有异议的，应当当场提出，并要求会议记录人在开标记录中予以记录，或者另行提供书面异议资料，不签字又不提出异议的，视同认可唱标内容和结果，且不得干扰、阻挠开（唱）标、评标工作。</w:t>
      </w:r>
    </w:p>
    <w:p w14:paraId="1F650279">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4</w:t>
      </w:r>
      <w:r>
        <w:rPr>
          <w:rFonts w:hint="eastAsia" w:ascii="Times New Roman" w:hAnsi="Times New Roman"/>
          <w:sz w:val="22"/>
          <w:szCs w:val="21"/>
        </w:rPr>
        <w:t>）宣布开标会结束。主持人宣布开标会结束。所有投标人代表应立即退场（招标文件要求有演示、介绍等的除外）。同时所有投标人应保持通讯设备的畅通，以方便在评标过程中评标委员会要求投标人对投标文件的必要澄清、说明和纠正。评标结果投标人在</w:t>
      </w:r>
      <w:r>
        <w:rPr>
          <w:rFonts w:hint="eastAsia" w:ascii="Times New Roman" w:hAnsi="Times New Roman"/>
          <w:sz w:val="22"/>
          <w:szCs w:val="21"/>
          <w:lang w:eastAsia="zh-CN"/>
        </w:rPr>
        <w:t>陕西省政府采购网</w:t>
      </w:r>
      <w:r>
        <w:rPr>
          <w:rFonts w:hint="eastAsia" w:ascii="Times New Roman" w:hAnsi="Times New Roman"/>
          <w:sz w:val="22"/>
          <w:szCs w:val="21"/>
        </w:rPr>
        <w:t>上查询。</w:t>
      </w:r>
    </w:p>
    <w:p w14:paraId="4E3E9C22">
      <w:pPr>
        <w:pStyle w:val="4"/>
        <w:spacing w:line="400" w:lineRule="exact"/>
        <w:rPr>
          <w:rFonts w:hAnsi="Times New Roman"/>
          <w:sz w:val="22"/>
          <w:szCs w:val="21"/>
        </w:rPr>
      </w:pPr>
      <w:bookmarkStart w:id="152" w:name="_Toc183682375"/>
      <w:bookmarkStart w:id="153" w:name="_Toc183582238"/>
      <w:bookmarkStart w:id="154" w:name="_Toc217446063"/>
      <w:bookmarkStart w:id="155" w:name="_Toc308164809"/>
      <w:r>
        <w:rPr>
          <w:rFonts w:hAnsi="Times New Roman"/>
          <w:sz w:val="22"/>
          <w:szCs w:val="21"/>
        </w:rPr>
        <w:t>24</w:t>
      </w:r>
      <w:r>
        <w:rPr>
          <w:rFonts w:hint="eastAsia" w:hAnsi="Times New Roman"/>
          <w:sz w:val="22"/>
          <w:szCs w:val="21"/>
        </w:rPr>
        <w:t>．开评标过程存档</w:t>
      </w:r>
    </w:p>
    <w:p w14:paraId="4E1EF303">
      <w:pPr>
        <w:spacing w:line="400" w:lineRule="exact"/>
        <w:ind w:firstLine="440" w:firstLineChars="200"/>
        <w:rPr>
          <w:rFonts w:ascii="Times New Roman" w:hAnsi="Times New Roman"/>
          <w:sz w:val="22"/>
          <w:szCs w:val="21"/>
        </w:rPr>
      </w:pPr>
      <w:r>
        <w:rPr>
          <w:rFonts w:hint="eastAsia" w:ascii="Times New Roman" w:hAnsi="Times New Roman"/>
          <w:sz w:val="22"/>
          <w:szCs w:val="21"/>
        </w:rPr>
        <w:t>开标和评标过程进行全过程电子监控，并将电子监控资料存储介质留存归档。</w:t>
      </w:r>
    </w:p>
    <w:p w14:paraId="00D76B22">
      <w:pPr>
        <w:pStyle w:val="4"/>
        <w:spacing w:line="400" w:lineRule="exact"/>
        <w:rPr>
          <w:rFonts w:hAnsi="Times New Roman"/>
          <w:sz w:val="22"/>
          <w:szCs w:val="21"/>
        </w:rPr>
      </w:pPr>
      <w:r>
        <w:rPr>
          <w:rFonts w:hAnsi="Times New Roman"/>
          <w:sz w:val="22"/>
          <w:szCs w:val="21"/>
        </w:rPr>
        <w:t>25.</w:t>
      </w:r>
      <w:r>
        <w:rPr>
          <w:rFonts w:hint="eastAsia" w:hAnsi="Times New Roman"/>
          <w:sz w:val="22"/>
          <w:szCs w:val="21"/>
        </w:rPr>
        <w:t>中标通知</w:t>
      </w:r>
      <w:bookmarkEnd w:id="152"/>
      <w:bookmarkEnd w:id="153"/>
      <w:r>
        <w:rPr>
          <w:rFonts w:hint="eastAsia" w:hAnsi="Times New Roman"/>
          <w:sz w:val="22"/>
          <w:szCs w:val="21"/>
        </w:rPr>
        <w:t>书</w:t>
      </w:r>
      <w:bookmarkEnd w:id="154"/>
      <w:bookmarkEnd w:id="155"/>
    </w:p>
    <w:p w14:paraId="66CF4EFE">
      <w:pPr>
        <w:tabs>
          <w:tab w:val="left" w:pos="7665"/>
        </w:tabs>
        <w:spacing w:line="400" w:lineRule="exact"/>
        <w:ind w:firstLine="440" w:firstLineChars="200"/>
        <w:rPr>
          <w:rFonts w:ascii="Times New Roman" w:hAnsi="Times New Roman"/>
          <w:sz w:val="22"/>
          <w:szCs w:val="21"/>
        </w:rPr>
      </w:pPr>
      <w:r>
        <w:rPr>
          <w:rFonts w:ascii="Times New Roman" w:hAnsi="Times New Roman"/>
          <w:sz w:val="22"/>
          <w:szCs w:val="21"/>
        </w:rPr>
        <w:t>25</w:t>
      </w:r>
      <w:r>
        <w:rPr>
          <w:rFonts w:ascii="Times New Roman" w:hAnsi="Times New Roman"/>
          <w:bCs/>
          <w:sz w:val="22"/>
          <w:szCs w:val="21"/>
        </w:rPr>
        <w:t>.</w:t>
      </w:r>
      <w:r>
        <w:rPr>
          <w:rFonts w:ascii="Times New Roman" w:hAnsi="Times New Roman"/>
          <w:sz w:val="22"/>
          <w:szCs w:val="21"/>
        </w:rPr>
        <w:t xml:space="preserve">1 </w:t>
      </w:r>
      <w:r>
        <w:rPr>
          <w:rFonts w:hint="eastAsia" w:ascii="Times New Roman" w:hAnsi="Times New Roman"/>
          <w:sz w:val="22"/>
          <w:szCs w:val="21"/>
        </w:rPr>
        <w:t>中标通知书为签订政府采购合同的依据之一，是合同的有效组成部分。</w:t>
      </w:r>
    </w:p>
    <w:p w14:paraId="6DBEFC02">
      <w:pPr>
        <w:tabs>
          <w:tab w:val="left" w:pos="7665"/>
        </w:tabs>
        <w:spacing w:line="400" w:lineRule="exact"/>
        <w:ind w:firstLine="480"/>
        <w:rPr>
          <w:rFonts w:ascii="Times New Roman" w:hAnsi="Times New Roman"/>
          <w:sz w:val="22"/>
          <w:szCs w:val="21"/>
        </w:rPr>
      </w:pPr>
      <w:r>
        <w:rPr>
          <w:rFonts w:ascii="Times New Roman" w:hAnsi="Times New Roman"/>
          <w:sz w:val="22"/>
          <w:szCs w:val="21"/>
        </w:rPr>
        <w:t xml:space="preserve">25.2 </w:t>
      </w:r>
      <w:r>
        <w:rPr>
          <w:rFonts w:hint="eastAsia" w:ascii="Times New Roman" w:hAnsi="Times New Roman"/>
          <w:sz w:val="22"/>
          <w:szCs w:val="21"/>
        </w:rPr>
        <w:t>中标通知书对采购人和中标人均具有法律效力。中标通知书发出后，采购人改变中标结果，或者中标人无正当理由放弃中标的，应当承担相应的法律责任。</w:t>
      </w:r>
    </w:p>
    <w:p w14:paraId="242EA95E">
      <w:pPr>
        <w:tabs>
          <w:tab w:val="left" w:pos="7665"/>
        </w:tabs>
        <w:spacing w:line="400" w:lineRule="exact"/>
        <w:ind w:firstLine="480"/>
        <w:rPr>
          <w:rFonts w:ascii="Times New Roman" w:hAnsi="Times New Roman"/>
          <w:sz w:val="22"/>
          <w:szCs w:val="21"/>
        </w:rPr>
      </w:pPr>
      <w:r>
        <w:rPr>
          <w:rFonts w:ascii="Times New Roman" w:hAnsi="Times New Roman"/>
          <w:sz w:val="22"/>
          <w:szCs w:val="21"/>
        </w:rPr>
        <w:t>25</w:t>
      </w: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中标人的投标文件本应作为无效投标处理或者有政府采购法律法规规章制度规定的中标无效情形的，招标采购单位在取得有权主体的认定以后，将宣布发出的中标通知书无效，并收回发出的中标通知书（中标人也应当缴回），依法重新确定中标人或者重新开展采购活动。</w:t>
      </w:r>
    </w:p>
    <w:p w14:paraId="4E6D9418">
      <w:pPr>
        <w:tabs>
          <w:tab w:val="left" w:pos="7665"/>
        </w:tabs>
        <w:spacing w:line="400" w:lineRule="exact"/>
        <w:ind w:firstLine="480"/>
        <w:rPr>
          <w:rFonts w:ascii="Times New Roman" w:hAnsi="Times New Roman"/>
          <w:sz w:val="22"/>
          <w:szCs w:val="21"/>
        </w:rPr>
      </w:pPr>
      <w:r>
        <w:rPr>
          <w:rFonts w:ascii="Times New Roman" w:hAnsi="Times New Roman"/>
          <w:sz w:val="22"/>
          <w:szCs w:val="21"/>
        </w:rPr>
        <w:t>25.4</w:t>
      </w:r>
      <w:r>
        <w:rPr>
          <w:rFonts w:hint="eastAsia" w:ascii="Times New Roman" w:hAnsi="Times New Roman"/>
          <w:sz w:val="22"/>
          <w:szCs w:val="21"/>
        </w:rPr>
        <w:t>中标公告发出后，中标供应商自行领取中标通知书的，可凭有效身份证明证件到采购代理机构办理。</w:t>
      </w:r>
    </w:p>
    <w:p w14:paraId="4519D2B5">
      <w:pPr>
        <w:pStyle w:val="3"/>
        <w:spacing w:line="400" w:lineRule="exact"/>
        <w:jc w:val="center"/>
        <w:rPr>
          <w:rFonts w:ascii="Times New Roman" w:hAnsi="Times New Roman"/>
          <w:sz w:val="28"/>
        </w:rPr>
      </w:pPr>
      <w:bookmarkStart w:id="156" w:name="_Toc308164810"/>
      <w:bookmarkStart w:id="157" w:name="_Toc217446064"/>
      <w:bookmarkStart w:id="158" w:name="_Toc183682377"/>
      <w:bookmarkStart w:id="159" w:name="_Toc183582240"/>
      <w:r>
        <w:rPr>
          <w:rFonts w:hint="eastAsia" w:ascii="Times New Roman" w:hAnsi="Times New Roman"/>
          <w:sz w:val="28"/>
        </w:rPr>
        <w:t>六、签订及履行合同和验收</w:t>
      </w:r>
      <w:bookmarkEnd w:id="156"/>
      <w:bookmarkEnd w:id="157"/>
    </w:p>
    <w:p w14:paraId="1FADEE32">
      <w:pPr>
        <w:pStyle w:val="4"/>
        <w:spacing w:line="400" w:lineRule="exact"/>
        <w:rPr>
          <w:rFonts w:hAnsi="Times New Roman"/>
          <w:sz w:val="22"/>
          <w:szCs w:val="21"/>
        </w:rPr>
      </w:pPr>
      <w:bookmarkStart w:id="160" w:name="_Toc217446065"/>
      <w:bookmarkStart w:id="161" w:name="_Toc308164811"/>
      <w:r>
        <w:rPr>
          <w:rFonts w:hAnsi="Times New Roman"/>
          <w:sz w:val="22"/>
          <w:szCs w:val="21"/>
        </w:rPr>
        <w:t xml:space="preserve">26. </w:t>
      </w:r>
      <w:r>
        <w:rPr>
          <w:rFonts w:hint="eastAsia" w:hAnsi="Times New Roman"/>
          <w:sz w:val="22"/>
          <w:szCs w:val="21"/>
        </w:rPr>
        <w:t>签订合同</w:t>
      </w:r>
      <w:bookmarkEnd w:id="160"/>
      <w:bookmarkEnd w:id="161"/>
    </w:p>
    <w:p w14:paraId="60748164">
      <w:pPr>
        <w:spacing w:line="400" w:lineRule="exact"/>
        <w:ind w:firstLine="440" w:firstLineChars="200"/>
        <w:rPr>
          <w:rFonts w:ascii="Times New Roman" w:hAnsi="Times New Roman"/>
          <w:sz w:val="22"/>
          <w:szCs w:val="21"/>
        </w:rPr>
      </w:pPr>
      <w:r>
        <w:rPr>
          <w:rFonts w:ascii="Times New Roman" w:hAnsi="Times New Roman"/>
          <w:sz w:val="22"/>
          <w:szCs w:val="21"/>
        </w:rPr>
        <w:t xml:space="preserve">26.1 </w:t>
      </w:r>
      <w:r>
        <w:rPr>
          <w:rFonts w:hint="eastAsia" w:ascii="Times New Roman" w:hAnsi="Times New Roman"/>
          <w:sz w:val="22"/>
          <w:szCs w:val="21"/>
        </w:rPr>
        <w:t>中标人应在中标通知书发出之日起三十日内与采购人签订采购合同。由于中标人的原因逾期未与采购人签订采购合同的，将视为放弃中标，取消其中标资格并将按相关规定进行处理。</w:t>
      </w:r>
    </w:p>
    <w:p w14:paraId="0E5E1E88">
      <w:pPr>
        <w:spacing w:line="400" w:lineRule="exact"/>
        <w:ind w:firstLine="385" w:firstLineChars="175"/>
        <w:rPr>
          <w:rFonts w:ascii="Times New Roman" w:hAnsi="Times New Roman"/>
          <w:sz w:val="22"/>
          <w:szCs w:val="21"/>
        </w:rPr>
      </w:pPr>
      <w:r>
        <w:rPr>
          <w:rFonts w:ascii="Times New Roman" w:hAnsi="Times New Roman"/>
          <w:sz w:val="22"/>
          <w:szCs w:val="21"/>
        </w:rPr>
        <w:t xml:space="preserve">26.2 </w:t>
      </w:r>
      <w:r>
        <w:rPr>
          <w:rFonts w:hint="eastAsia" w:ascii="Times New Roman" w:hAnsi="Times New Roman"/>
          <w:sz w:val="22"/>
          <w:szCs w:val="21"/>
        </w:rPr>
        <w:t>采购人不得向中标人提出任何不合理的要求，作为签订合同的条件，不得与中标人私下订立背离合同实质性内容的任何协议，所签订的合同不得对招标文件和中标人投标文件确定的事项进行实质性修改。</w:t>
      </w:r>
    </w:p>
    <w:p w14:paraId="23C1E331">
      <w:pPr>
        <w:spacing w:line="400" w:lineRule="exact"/>
        <w:ind w:firstLine="385" w:firstLineChars="175"/>
        <w:rPr>
          <w:rFonts w:ascii="Times New Roman" w:hAnsi="Times New Roman"/>
          <w:sz w:val="22"/>
          <w:szCs w:val="21"/>
        </w:rPr>
      </w:pPr>
      <w:r>
        <w:rPr>
          <w:rFonts w:ascii="Times New Roman" w:hAnsi="Times New Roman"/>
          <w:sz w:val="22"/>
          <w:szCs w:val="21"/>
        </w:rPr>
        <w:t xml:space="preserve">26.3 </w:t>
      </w:r>
      <w:r>
        <w:rPr>
          <w:rFonts w:hint="eastAsia" w:ascii="Times New Roman" w:hAnsi="Times New Roman"/>
          <w:sz w:val="22"/>
          <w:szCs w:val="21"/>
        </w:rPr>
        <w:t>中标人拒绝与采购人签订合同的，采购人可以按照评审报告推荐的中标候选人名单排序，确定下一候选人为中标供应商，也可以重新开展政府采购活动。</w:t>
      </w:r>
    </w:p>
    <w:p w14:paraId="5EC1135E">
      <w:pPr>
        <w:spacing w:line="400" w:lineRule="exact"/>
        <w:ind w:firstLine="385" w:firstLineChars="175"/>
        <w:rPr>
          <w:rFonts w:ascii="Times New Roman" w:hAnsi="Times New Roman"/>
          <w:sz w:val="22"/>
          <w:szCs w:val="21"/>
        </w:rPr>
      </w:pPr>
      <w:r>
        <w:rPr>
          <w:rFonts w:ascii="Times New Roman" w:hAnsi="Times New Roman"/>
          <w:sz w:val="22"/>
          <w:szCs w:val="21"/>
        </w:rPr>
        <w:t xml:space="preserve">26.4 </w:t>
      </w:r>
      <w:r>
        <w:rPr>
          <w:rFonts w:hint="eastAsia" w:ascii="Times New Roman" w:hAnsi="Times New Roman"/>
          <w:sz w:val="22"/>
          <w:szCs w:val="21"/>
        </w:rPr>
        <w:t>中标人在合同签订之后三个工作日内，将签订的合同（一式壹份）送采购代理机构。中标人应及时到采购代理机构办理。</w:t>
      </w:r>
    </w:p>
    <w:p w14:paraId="24EBDE50">
      <w:pPr>
        <w:pStyle w:val="4"/>
        <w:spacing w:line="400" w:lineRule="exact"/>
        <w:rPr>
          <w:rFonts w:hAnsi="Times New Roman"/>
          <w:sz w:val="22"/>
          <w:szCs w:val="21"/>
        </w:rPr>
      </w:pPr>
      <w:r>
        <w:rPr>
          <w:rFonts w:hAnsi="Times New Roman"/>
          <w:sz w:val="22"/>
          <w:szCs w:val="21"/>
        </w:rPr>
        <w:t xml:space="preserve">27. </w:t>
      </w:r>
      <w:r>
        <w:rPr>
          <w:rFonts w:hint="eastAsia" w:hAnsi="Times New Roman"/>
          <w:sz w:val="22"/>
          <w:szCs w:val="21"/>
        </w:rPr>
        <w:t>合同分包</w:t>
      </w:r>
    </w:p>
    <w:p w14:paraId="7EC89424">
      <w:pPr>
        <w:spacing w:line="400" w:lineRule="exact"/>
        <w:ind w:firstLine="440" w:firstLineChars="200"/>
        <w:rPr>
          <w:rFonts w:ascii="Times New Roman" w:hAnsi="Times New Roman"/>
          <w:sz w:val="22"/>
          <w:szCs w:val="21"/>
        </w:rPr>
      </w:pPr>
      <w:r>
        <w:rPr>
          <w:rFonts w:ascii="Times New Roman" w:hAnsi="Times New Roman"/>
          <w:sz w:val="22"/>
          <w:szCs w:val="21"/>
        </w:rPr>
        <w:t xml:space="preserve">27.1 </w:t>
      </w:r>
      <w:r>
        <w:rPr>
          <w:rFonts w:hint="eastAsia" w:ascii="Times New Roman" w:hAnsi="Times New Roman"/>
          <w:sz w:val="22"/>
          <w:szCs w:val="21"/>
        </w:rPr>
        <w:t>经采购人同意，中标人可以依法采取分包方式履行合同。这种要求应当在合同签订之前征得采购人同意，并且分包供应商履行的分包项目的品牌、规格型号及技术要求等，必须与中标的一致。</w:t>
      </w:r>
    </w:p>
    <w:p w14:paraId="743F2B5D">
      <w:pPr>
        <w:spacing w:line="400" w:lineRule="exact"/>
        <w:ind w:firstLine="440" w:firstLineChars="200"/>
        <w:rPr>
          <w:rFonts w:ascii="Times New Roman" w:hAnsi="Times New Roman"/>
          <w:sz w:val="22"/>
          <w:szCs w:val="21"/>
        </w:rPr>
      </w:pPr>
      <w:r>
        <w:rPr>
          <w:rFonts w:hint="eastAsia" w:ascii="Times New Roman" w:hAnsi="Times New Roman"/>
          <w:sz w:val="22"/>
          <w:szCs w:val="21"/>
        </w:rPr>
        <w:t>分包履行合同的部分应当为采购项目的非主体、非关键性工作，不属于中标人的主要合同义务。投标人根据招标文件的规定和采购项目的实际情况，拟在中标后将中标项目的非主体、非关键性工作分包的，应当在投标文件中载明分包承担主体，分包承担主体应当具备相应资质条件且不得再次分包。</w:t>
      </w:r>
    </w:p>
    <w:p w14:paraId="4D3D7CD9">
      <w:pPr>
        <w:spacing w:line="400" w:lineRule="exact"/>
        <w:ind w:firstLine="440" w:firstLineChars="200"/>
        <w:rPr>
          <w:rFonts w:ascii="Times New Roman" w:hAnsi="Times New Roman"/>
          <w:sz w:val="22"/>
          <w:szCs w:val="21"/>
        </w:rPr>
      </w:pPr>
      <w:r>
        <w:rPr>
          <w:rFonts w:ascii="Times New Roman" w:hAnsi="Times New Roman"/>
          <w:sz w:val="22"/>
          <w:szCs w:val="21"/>
        </w:rPr>
        <w:t xml:space="preserve">27.2 </w:t>
      </w:r>
      <w:r>
        <w:rPr>
          <w:rFonts w:hint="eastAsia" w:ascii="Times New Roman" w:hAnsi="Times New Roman"/>
          <w:sz w:val="22"/>
          <w:szCs w:val="21"/>
        </w:rPr>
        <w:t>采购合同实行分包履行的，中标人就采购项目和分包项目向采购人负责，分包供应商就分包项目承担责任。</w:t>
      </w:r>
    </w:p>
    <w:p w14:paraId="25399E2A">
      <w:pPr>
        <w:spacing w:line="360" w:lineRule="auto"/>
        <w:ind w:firstLine="440" w:firstLineChars="200"/>
        <w:jc w:val="left"/>
        <w:rPr>
          <w:rFonts w:ascii="Times New Roman" w:hAnsi="Times New Roman"/>
          <w:sz w:val="22"/>
          <w:szCs w:val="21"/>
        </w:rPr>
      </w:pPr>
      <w:r>
        <w:rPr>
          <w:rFonts w:ascii="Times New Roman" w:hAnsi="Times New Roman"/>
          <w:sz w:val="22"/>
          <w:szCs w:val="21"/>
        </w:rPr>
        <w:t xml:space="preserve">27.3 </w:t>
      </w:r>
      <w:r>
        <w:rPr>
          <w:rFonts w:hint="eastAsia" w:ascii="Times New Roman" w:hAnsi="Times New Roman"/>
          <w:sz w:val="22"/>
          <w:szCs w:val="21"/>
        </w:rPr>
        <w:t>中小企业依据</w:t>
      </w:r>
      <w:r>
        <w:rPr>
          <w:rFonts w:hint="eastAsia"/>
          <w:sz w:val="22"/>
        </w:rPr>
        <w:t>《政府采购促进中小企业发展管理办法》（财库〔2020〕46号）</w:t>
      </w:r>
      <w:r>
        <w:rPr>
          <w:rFonts w:hint="eastAsia" w:ascii="Times New Roman" w:hAnsi="Times New Roman"/>
          <w:sz w:val="22"/>
          <w:szCs w:val="21"/>
        </w:rPr>
        <w:t>规定的政策获取政府采购合同后，小型、微型企业不得分包或转包给大型、中型企业，中型企业不得分包或转包给大型企业。</w:t>
      </w:r>
    </w:p>
    <w:p w14:paraId="6E2ADC10">
      <w:pPr>
        <w:pStyle w:val="4"/>
        <w:spacing w:line="400" w:lineRule="exact"/>
        <w:rPr>
          <w:rFonts w:hAnsi="Times New Roman"/>
          <w:sz w:val="22"/>
          <w:szCs w:val="21"/>
        </w:rPr>
      </w:pPr>
      <w:r>
        <w:rPr>
          <w:rFonts w:hAnsi="Times New Roman"/>
          <w:sz w:val="22"/>
          <w:szCs w:val="21"/>
        </w:rPr>
        <w:t>28.</w:t>
      </w:r>
      <w:r>
        <w:rPr>
          <w:rFonts w:hint="eastAsia" w:hAnsi="Times New Roman"/>
          <w:sz w:val="22"/>
          <w:szCs w:val="21"/>
        </w:rPr>
        <w:t>合同转包（本项目不适用）</w:t>
      </w:r>
    </w:p>
    <w:p w14:paraId="2EF077B3">
      <w:pPr>
        <w:spacing w:line="400" w:lineRule="exact"/>
        <w:ind w:firstLine="495" w:firstLineChars="225"/>
        <w:rPr>
          <w:rFonts w:ascii="Times New Roman" w:hAnsi="Times New Roman"/>
          <w:sz w:val="22"/>
          <w:szCs w:val="21"/>
        </w:rPr>
      </w:pPr>
      <w:r>
        <w:rPr>
          <w:rFonts w:hint="eastAsia" w:ascii="Times New Roman" w:hAnsi="Times New Roman"/>
          <w:sz w:val="22"/>
          <w:szCs w:val="21"/>
        </w:rPr>
        <w:t>本采购项目严禁中标人将任何政府采购合同义务转包。本项目所称转包，是指中标人将政府采购合同义务转让给第三人，并退出现有政府采购合同当事人双方的权利义务关系，受让人（即第三人）成为政府采购合同的另一方当事人的行为。</w:t>
      </w:r>
    </w:p>
    <w:p w14:paraId="004B147A">
      <w:pPr>
        <w:spacing w:line="400" w:lineRule="exact"/>
        <w:ind w:firstLine="495" w:firstLineChars="225"/>
        <w:rPr>
          <w:rFonts w:ascii="Times New Roman" w:hAnsi="Times New Roman"/>
          <w:sz w:val="22"/>
          <w:szCs w:val="21"/>
        </w:rPr>
      </w:pPr>
      <w:r>
        <w:rPr>
          <w:rFonts w:hint="eastAsia" w:ascii="Times New Roman" w:hAnsi="Times New Roman"/>
          <w:sz w:val="22"/>
          <w:szCs w:val="21"/>
        </w:rPr>
        <w:t>中标人转包的，视同拒绝履行政府采购合同义务，将依法追究法律责任。</w:t>
      </w:r>
    </w:p>
    <w:p w14:paraId="54620E5E">
      <w:pPr>
        <w:pStyle w:val="4"/>
        <w:spacing w:line="400" w:lineRule="exact"/>
        <w:rPr>
          <w:rFonts w:hAnsi="Times New Roman"/>
          <w:sz w:val="22"/>
          <w:szCs w:val="21"/>
        </w:rPr>
      </w:pPr>
      <w:bookmarkStart w:id="162" w:name="_Toc217446066"/>
      <w:r>
        <w:rPr>
          <w:rFonts w:hAnsi="Times New Roman"/>
          <w:sz w:val="22"/>
          <w:szCs w:val="21"/>
        </w:rPr>
        <w:t>29.</w:t>
      </w:r>
      <w:bookmarkEnd w:id="162"/>
      <w:r>
        <w:rPr>
          <w:rFonts w:hint="eastAsia" w:hAnsi="Times New Roman"/>
          <w:sz w:val="22"/>
          <w:szCs w:val="21"/>
        </w:rPr>
        <w:t>补充合同</w:t>
      </w:r>
    </w:p>
    <w:p w14:paraId="765F14C6">
      <w:pPr>
        <w:spacing w:line="400" w:lineRule="exact"/>
        <w:ind w:firstLine="440" w:firstLineChars="200"/>
        <w:rPr>
          <w:rFonts w:ascii="Times New Roman" w:hAnsi="Times New Roman"/>
          <w:sz w:val="22"/>
          <w:szCs w:val="21"/>
        </w:rPr>
      </w:pPr>
      <w:r>
        <w:rPr>
          <w:rFonts w:hint="eastAsia" w:ascii="Times New Roman" w:hAnsi="Times New Roman"/>
          <w:sz w:val="22"/>
          <w:szCs w:val="21"/>
        </w:rPr>
        <w:t>采购合同履行过程中，采购人需要追加与合同标的相同的货物或者服务的，在不改变合同其他条款的前提下，可以与中标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68296C29">
      <w:pPr>
        <w:pStyle w:val="4"/>
        <w:spacing w:line="400" w:lineRule="exact"/>
        <w:rPr>
          <w:rFonts w:hAnsi="Times New Roman"/>
          <w:sz w:val="22"/>
          <w:szCs w:val="21"/>
        </w:rPr>
      </w:pPr>
      <w:bookmarkStart w:id="163" w:name="_Toc308164812"/>
      <w:bookmarkStart w:id="164" w:name="_Toc217446068"/>
      <w:r>
        <w:rPr>
          <w:rFonts w:hAnsi="Times New Roman"/>
          <w:sz w:val="22"/>
          <w:szCs w:val="21"/>
        </w:rPr>
        <w:t xml:space="preserve">30. </w:t>
      </w:r>
      <w:r>
        <w:rPr>
          <w:rFonts w:hint="eastAsia" w:hAnsi="Times New Roman"/>
          <w:sz w:val="22"/>
          <w:szCs w:val="21"/>
        </w:rPr>
        <w:t>履约保证金</w:t>
      </w:r>
      <w:bookmarkEnd w:id="163"/>
      <w:bookmarkEnd w:id="164"/>
      <w:r>
        <w:rPr>
          <w:rFonts w:hint="eastAsia" w:hAnsi="Times New Roman"/>
          <w:sz w:val="22"/>
          <w:szCs w:val="21"/>
        </w:rPr>
        <w:t>（详见投标人须知）</w:t>
      </w:r>
    </w:p>
    <w:p w14:paraId="5731FA77">
      <w:pPr>
        <w:spacing w:line="400" w:lineRule="exact"/>
        <w:ind w:firstLine="440" w:firstLineChars="200"/>
        <w:rPr>
          <w:rFonts w:ascii="Times New Roman" w:hAnsi="Times New Roman"/>
          <w:sz w:val="22"/>
          <w:szCs w:val="21"/>
        </w:rPr>
      </w:pPr>
      <w:r>
        <w:rPr>
          <w:rFonts w:ascii="Times New Roman" w:hAnsi="Times New Roman"/>
          <w:sz w:val="22"/>
          <w:szCs w:val="21"/>
        </w:rPr>
        <w:t xml:space="preserve">30.1 </w:t>
      </w:r>
      <w:r>
        <w:rPr>
          <w:rFonts w:hint="eastAsia" w:ascii="Times New Roman" w:hAnsi="Times New Roman"/>
          <w:sz w:val="22"/>
          <w:szCs w:val="21"/>
        </w:rPr>
        <w:t>中标人应在合同签订之前交纳招标文件规定数额的履约保证金。</w:t>
      </w:r>
    </w:p>
    <w:p w14:paraId="5314FFF2">
      <w:pPr>
        <w:spacing w:line="400" w:lineRule="exact"/>
        <w:ind w:firstLine="440" w:firstLineChars="200"/>
        <w:rPr>
          <w:rFonts w:ascii="Times New Roman" w:hAnsi="Times New Roman"/>
          <w:sz w:val="22"/>
          <w:szCs w:val="21"/>
        </w:rPr>
      </w:pPr>
      <w:r>
        <w:rPr>
          <w:rFonts w:ascii="Times New Roman" w:hAnsi="Times New Roman"/>
          <w:sz w:val="22"/>
          <w:szCs w:val="21"/>
        </w:rPr>
        <w:t xml:space="preserve">30.2 </w:t>
      </w:r>
      <w:r>
        <w:rPr>
          <w:rFonts w:hint="eastAsia" w:ascii="Times New Roman" w:hAnsi="Times New Roman"/>
          <w:sz w:val="22"/>
          <w:szCs w:val="21"/>
        </w:rPr>
        <w:t>如果中标人在规定的合同签订时间内，没有按照招标文件的规定交纳履约保证金，且又无正当理由的，将视为放弃中标。</w:t>
      </w:r>
    </w:p>
    <w:p w14:paraId="20911285">
      <w:pPr>
        <w:pStyle w:val="4"/>
        <w:spacing w:line="400" w:lineRule="exact"/>
        <w:rPr>
          <w:rFonts w:hAnsi="Times New Roman"/>
          <w:sz w:val="22"/>
        </w:rPr>
      </w:pPr>
      <w:bookmarkStart w:id="165" w:name="_Toc308164818"/>
      <w:bookmarkStart w:id="166" w:name="_Toc217446077"/>
      <w:bookmarkStart w:id="167" w:name="_Toc217446071"/>
      <w:r>
        <w:rPr>
          <w:rFonts w:hAnsi="Times New Roman"/>
          <w:sz w:val="22"/>
          <w:szCs w:val="21"/>
        </w:rPr>
        <w:t>31.</w:t>
      </w:r>
      <w:r>
        <w:rPr>
          <w:rFonts w:hint="eastAsia" w:hAnsi="Times New Roman"/>
          <w:sz w:val="22"/>
          <w:szCs w:val="21"/>
        </w:rPr>
        <w:t>资金支付</w:t>
      </w:r>
      <w:bookmarkEnd w:id="165"/>
      <w:bookmarkEnd w:id="166"/>
    </w:p>
    <w:p w14:paraId="033B3BF2">
      <w:pPr>
        <w:spacing w:line="400" w:lineRule="exact"/>
        <w:ind w:firstLine="440" w:firstLineChars="200"/>
        <w:rPr>
          <w:rFonts w:ascii="Times New Roman" w:hAnsi="Times New Roman"/>
          <w:sz w:val="22"/>
          <w:szCs w:val="21"/>
        </w:rPr>
      </w:pPr>
      <w:r>
        <w:rPr>
          <w:rFonts w:hint="eastAsia" w:ascii="Times New Roman" w:hAnsi="Times New Roman"/>
          <w:sz w:val="22"/>
          <w:szCs w:val="21"/>
        </w:rPr>
        <w:t>采购人将按照政府采购合同规定，及时向中标供应商支付采购资金。本项目采购资金付款详见第五章商务要求中付款方式。</w:t>
      </w:r>
    </w:p>
    <w:bookmarkEnd w:id="158"/>
    <w:bookmarkEnd w:id="159"/>
    <w:bookmarkEnd w:id="167"/>
    <w:p w14:paraId="43420023">
      <w:pPr>
        <w:pStyle w:val="3"/>
        <w:spacing w:line="400" w:lineRule="exact"/>
        <w:jc w:val="center"/>
        <w:rPr>
          <w:rFonts w:ascii="Times New Roman" w:hAnsi="Times New Roman"/>
          <w:sz w:val="28"/>
        </w:rPr>
      </w:pPr>
      <w:bookmarkStart w:id="168" w:name="_Toc217446074"/>
      <w:bookmarkStart w:id="169" w:name="_Toc308164815"/>
      <w:bookmarkStart w:id="170" w:name="_Toc183682380"/>
      <w:bookmarkStart w:id="171" w:name="_Toc183582243"/>
      <w:r>
        <w:rPr>
          <w:rFonts w:hint="eastAsia" w:ascii="Times New Roman"/>
          <w:sz w:val="28"/>
        </w:rPr>
        <w:t>七、投标纪律要求</w:t>
      </w:r>
      <w:bookmarkEnd w:id="168"/>
      <w:bookmarkEnd w:id="169"/>
    </w:p>
    <w:p w14:paraId="17EE3BD9">
      <w:pPr>
        <w:pStyle w:val="4"/>
        <w:spacing w:line="400" w:lineRule="exact"/>
        <w:rPr>
          <w:rFonts w:hAnsi="Times New Roman"/>
          <w:sz w:val="22"/>
          <w:szCs w:val="21"/>
        </w:rPr>
      </w:pPr>
      <w:bookmarkStart w:id="172" w:name="_Toc217446075"/>
      <w:bookmarkStart w:id="173" w:name="_Toc308164816"/>
      <w:r>
        <w:rPr>
          <w:rFonts w:hAnsi="Times New Roman"/>
          <w:sz w:val="22"/>
          <w:szCs w:val="21"/>
        </w:rPr>
        <w:t xml:space="preserve">32. </w:t>
      </w:r>
      <w:r>
        <w:rPr>
          <w:rFonts w:hint="eastAsia" w:hAnsi="Times New Roman"/>
          <w:sz w:val="22"/>
          <w:szCs w:val="21"/>
        </w:rPr>
        <w:t>投标人</w:t>
      </w:r>
      <w:bookmarkEnd w:id="172"/>
      <w:bookmarkEnd w:id="173"/>
      <w:r>
        <w:rPr>
          <w:rFonts w:hint="eastAsia" w:hAnsi="Times New Roman"/>
          <w:sz w:val="22"/>
          <w:szCs w:val="21"/>
        </w:rPr>
        <w:t>纪律要求</w:t>
      </w:r>
    </w:p>
    <w:p w14:paraId="6A357904">
      <w:pPr>
        <w:pStyle w:val="6"/>
        <w:spacing w:line="400" w:lineRule="exact"/>
        <w:ind w:firstLine="440"/>
        <w:rPr>
          <w:rFonts w:ascii="Times New Roman" w:hAnsi="Times New Roman"/>
          <w:sz w:val="22"/>
          <w:szCs w:val="21"/>
        </w:rPr>
      </w:pPr>
      <w:r>
        <w:rPr>
          <w:rFonts w:hint="eastAsia" w:ascii="Times New Roman" w:hAnsi="Times New Roman"/>
          <w:sz w:val="22"/>
          <w:szCs w:val="21"/>
        </w:rPr>
        <w:t>投标人应当遵循公平竞争的原则，不得恶意串通，不得妨碍其他投标人的竞争行为，不得损害采购人或者其他投标人的合法权益。</w:t>
      </w:r>
    </w:p>
    <w:p w14:paraId="4270B897">
      <w:pPr>
        <w:pStyle w:val="6"/>
        <w:spacing w:line="400" w:lineRule="exact"/>
        <w:ind w:firstLine="440"/>
        <w:rPr>
          <w:rFonts w:ascii="Times New Roman" w:hAnsi="Times New Roman"/>
          <w:sz w:val="22"/>
          <w:szCs w:val="21"/>
        </w:rPr>
      </w:pPr>
      <w:r>
        <w:rPr>
          <w:rFonts w:hint="eastAsia" w:ascii="Times New Roman" w:hAnsi="Times New Roman"/>
          <w:sz w:val="22"/>
          <w:szCs w:val="21"/>
        </w:rPr>
        <w:t>在评标过程中发现投标人有上述情形的，评标委员会应当认定其投标无效，并书面报告本级财政部门。</w:t>
      </w:r>
    </w:p>
    <w:p w14:paraId="12A2D354">
      <w:pPr>
        <w:spacing w:line="400" w:lineRule="exact"/>
        <w:ind w:firstLine="440" w:firstLineChars="200"/>
        <w:rPr>
          <w:rFonts w:ascii="Times New Roman" w:hAnsi="Times New Roman"/>
          <w:sz w:val="22"/>
          <w:szCs w:val="21"/>
        </w:rPr>
      </w:pPr>
      <w:r>
        <w:rPr>
          <w:rFonts w:ascii="Times New Roman" w:hAnsi="Times New Roman"/>
          <w:sz w:val="22"/>
          <w:szCs w:val="21"/>
        </w:rPr>
        <w:t xml:space="preserve">32.1 </w:t>
      </w:r>
      <w:r>
        <w:rPr>
          <w:rFonts w:hint="eastAsia" w:ascii="Times New Roman" w:hAnsi="Times New Roman"/>
          <w:sz w:val="22"/>
          <w:szCs w:val="21"/>
        </w:rPr>
        <w:t>投标人参加本项目投标不得有下列情形：</w:t>
      </w:r>
    </w:p>
    <w:p w14:paraId="35227169">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）提供虚假材料谋取中标；</w:t>
      </w:r>
    </w:p>
    <w:p w14:paraId="42B85FCF">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）采取不正当手段诋毁、排挤其他投标人；</w:t>
      </w:r>
    </w:p>
    <w:p w14:paraId="7CC29680">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）与招标采购单位、其他投标人恶意串通；</w:t>
      </w:r>
    </w:p>
    <w:p w14:paraId="6B86B120">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4</w:t>
      </w:r>
      <w:r>
        <w:rPr>
          <w:rFonts w:hint="eastAsia" w:ascii="Times New Roman" w:hAnsi="Times New Roman"/>
          <w:sz w:val="22"/>
          <w:szCs w:val="21"/>
        </w:rPr>
        <w:t>）向招标采购单位、评标委员会成员行贿或者提供其他不正当利益；</w:t>
      </w:r>
    </w:p>
    <w:p w14:paraId="3EBA6F4D">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5</w:t>
      </w:r>
      <w:r>
        <w:rPr>
          <w:rFonts w:hint="eastAsia" w:ascii="Times New Roman" w:hAnsi="Times New Roman"/>
          <w:sz w:val="22"/>
          <w:szCs w:val="21"/>
        </w:rPr>
        <w:t>）在招标过程中与招标采购单位进行协商谈判；</w:t>
      </w:r>
    </w:p>
    <w:p w14:paraId="7D9D12A0">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6</w:t>
      </w:r>
      <w:r>
        <w:rPr>
          <w:rFonts w:hint="eastAsia" w:ascii="Times New Roman" w:hAnsi="Times New Roman"/>
          <w:sz w:val="22"/>
          <w:szCs w:val="21"/>
        </w:rPr>
        <w:t>）中标或者成交后无正当理由拒不与采购人签订政府采购合同；</w:t>
      </w:r>
    </w:p>
    <w:p w14:paraId="4E374A55">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7</w:t>
      </w:r>
      <w:r>
        <w:rPr>
          <w:rFonts w:hint="eastAsia" w:ascii="Times New Roman" w:hAnsi="Times New Roman"/>
          <w:sz w:val="22"/>
          <w:szCs w:val="21"/>
        </w:rPr>
        <w:t>）未按照采购文件确定的事项签订政府采购合同；</w:t>
      </w:r>
    </w:p>
    <w:p w14:paraId="78DE94AE">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8</w:t>
      </w:r>
      <w:r>
        <w:rPr>
          <w:rFonts w:hint="eastAsia" w:ascii="Times New Roman" w:hAnsi="Times New Roman"/>
          <w:sz w:val="22"/>
          <w:szCs w:val="21"/>
        </w:rPr>
        <w:t>）将政府采购合同转包或者违规分包；</w:t>
      </w:r>
    </w:p>
    <w:p w14:paraId="13495DCD">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9</w:t>
      </w:r>
      <w:r>
        <w:rPr>
          <w:rFonts w:hint="eastAsia" w:ascii="Times New Roman" w:hAnsi="Times New Roman"/>
          <w:sz w:val="22"/>
          <w:szCs w:val="21"/>
        </w:rPr>
        <w:t>）提供假冒伪劣产品；</w:t>
      </w:r>
    </w:p>
    <w:p w14:paraId="7242F16A">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10</w:t>
      </w:r>
      <w:r>
        <w:rPr>
          <w:rFonts w:hint="eastAsia" w:ascii="Times New Roman" w:hAnsi="Times New Roman"/>
          <w:sz w:val="22"/>
          <w:szCs w:val="21"/>
        </w:rPr>
        <w:t>）擅自变更、中止或者终止政府采购合同；</w:t>
      </w:r>
    </w:p>
    <w:p w14:paraId="1411D76F">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11</w:t>
      </w:r>
      <w:r>
        <w:rPr>
          <w:rFonts w:hint="eastAsia" w:ascii="Times New Roman" w:hAnsi="Times New Roman"/>
          <w:sz w:val="22"/>
          <w:szCs w:val="21"/>
        </w:rPr>
        <w:t>）拒绝有关部门的监督检查或者向监督检查部门提供虚假情况；</w:t>
      </w:r>
    </w:p>
    <w:p w14:paraId="396BCE8C">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12</w:t>
      </w:r>
      <w:r>
        <w:rPr>
          <w:rFonts w:hint="eastAsia" w:ascii="Times New Roman" w:hAnsi="Times New Roman"/>
          <w:sz w:val="22"/>
          <w:szCs w:val="21"/>
        </w:rPr>
        <w:t>）法律法规规定的其他情形。</w:t>
      </w:r>
    </w:p>
    <w:p w14:paraId="50905856">
      <w:pPr>
        <w:spacing w:line="400" w:lineRule="exact"/>
        <w:ind w:firstLine="440" w:firstLineChars="200"/>
        <w:rPr>
          <w:rFonts w:ascii="Times New Roman" w:hAnsi="Times New Roman"/>
          <w:sz w:val="22"/>
          <w:szCs w:val="21"/>
        </w:rPr>
      </w:pPr>
      <w:r>
        <w:rPr>
          <w:rFonts w:hint="eastAsia" w:ascii="Times New Roman" w:hAnsi="Times New Roman"/>
          <w:sz w:val="22"/>
          <w:szCs w:val="21"/>
        </w:rPr>
        <w:t>投标人有上述情形的，按照规定追究法律责任，具备（</w:t>
      </w:r>
      <w:r>
        <w:rPr>
          <w:rFonts w:ascii="Times New Roman" w:hAnsi="Times New Roman"/>
          <w:sz w:val="22"/>
          <w:szCs w:val="21"/>
        </w:rPr>
        <w:t>1</w:t>
      </w:r>
      <w:r>
        <w:rPr>
          <w:rFonts w:hint="eastAsia" w:ascii="Times New Roman" w:hAnsi="Times New Roman"/>
          <w:sz w:val="22"/>
          <w:szCs w:val="21"/>
        </w:rPr>
        <w:t>）</w:t>
      </w:r>
      <w:r>
        <w:rPr>
          <w:rFonts w:ascii="Times New Roman" w:hAnsi="Times New Roman"/>
          <w:sz w:val="22"/>
          <w:szCs w:val="21"/>
        </w:rPr>
        <w:t>-</w:t>
      </w:r>
      <w:r>
        <w:rPr>
          <w:rFonts w:hint="eastAsia" w:ascii="Times New Roman" w:hAnsi="Times New Roman"/>
          <w:sz w:val="22"/>
          <w:szCs w:val="21"/>
        </w:rPr>
        <w:t>（</w:t>
      </w:r>
      <w:r>
        <w:rPr>
          <w:rFonts w:ascii="Times New Roman" w:hAnsi="Times New Roman"/>
          <w:sz w:val="22"/>
          <w:szCs w:val="21"/>
        </w:rPr>
        <w:t>10</w:t>
      </w:r>
      <w:r>
        <w:rPr>
          <w:rFonts w:hint="eastAsia" w:ascii="Times New Roman" w:hAnsi="Times New Roman"/>
          <w:sz w:val="22"/>
          <w:szCs w:val="21"/>
        </w:rPr>
        <w:t>）条情形之一的，同时将取消中标资格或者认定中标无效。</w:t>
      </w:r>
    </w:p>
    <w:p w14:paraId="6E7920D6">
      <w:pPr>
        <w:spacing w:line="400" w:lineRule="exact"/>
        <w:ind w:firstLine="440" w:firstLineChars="200"/>
        <w:rPr>
          <w:rFonts w:ascii="Times New Roman" w:hAnsi="Times New Roman"/>
          <w:sz w:val="22"/>
          <w:szCs w:val="21"/>
        </w:rPr>
      </w:pPr>
      <w:r>
        <w:rPr>
          <w:rFonts w:ascii="Times New Roman" w:hAnsi="Times New Roman"/>
          <w:sz w:val="22"/>
          <w:szCs w:val="21"/>
        </w:rPr>
        <w:t xml:space="preserve">32.2 </w:t>
      </w:r>
      <w:r>
        <w:rPr>
          <w:rFonts w:hint="eastAsia" w:ascii="Times New Roman" w:hAnsi="Times New Roman"/>
          <w:sz w:val="22"/>
          <w:szCs w:val="21"/>
        </w:rPr>
        <w:t>投标人有下列情形之一的，视为投标人串通投标，其投标无效：</w:t>
      </w:r>
    </w:p>
    <w:p w14:paraId="5901C713">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）不同投标人的投标文件由同一单位或者个人编制；</w:t>
      </w:r>
    </w:p>
    <w:p w14:paraId="6D0F2381">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）不同投标人委托同一单位或者个人办理投标事宜；</w:t>
      </w:r>
    </w:p>
    <w:p w14:paraId="4BEC5CD5">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）不同投标人的投标文件载明的项目管理成员或者联系人员为同一人；</w:t>
      </w:r>
    </w:p>
    <w:p w14:paraId="68E9ECE0">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4</w:t>
      </w:r>
      <w:r>
        <w:rPr>
          <w:rFonts w:hint="eastAsia" w:ascii="Times New Roman" w:hAnsi="Times New Roman"/>
          <w:sz w:val="22"/>
          <w:szCs w:val="21"/>
        </w:rPr>
        <w:t>）不同投标人的投标文件异常一致或者投标报价呈规律性差异；</w:t>
      </w:r>
    </w:p>
    <w:p w14:paraId="152B4D64">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5</w:t>
      </w:r>
      <w:r>
        <w:rPr>
          <w:rFonts w:hint="eastAsia" w:ascii="Times New Roman" w:hAnsi="Times New Roman"/>
          <w:sz w:val="22"/>
          <w:szCs w:val="21"/>
        </w:rPr>
        <w:t>）不同投标人的投标文件相互混装；</w:t>
      </w:r>
    </w:p>
    <w:p w14:paraId="7BAE6027">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6</w:t>
      </w:r>
      <w:r>
        <w:rPr>
          <w:rFonts w:hint="eastAsia" w:ascii="Times New Roman" w:hAnsi="Times New Roman"/>
          <w:sz w:val="22"/>
          <w:szCs w:val="21"/>
        </w:rPr>
        <w:t>）不同投标人的投标保证金从同一单位或者个人的账户转出。</w:t>
      </w:r>
    </w:p>
    <w:p w14:paraId="549EB82D">
      <w:pPr>
        <w:spacing w:line="400" w:lineRule="exact"/>
        <w:ind w:firstLine="440" w:firstLineChars="200"/>
        <w:rPr>
          <w:rFonts w:ascii="Times New Roman" w:hAnsi="Times New Roman"/>
          <w:sz w:val="22"/>
          <w:szCs w:val="21"/>
        </w:rPr>
      </w:pPr>
      <w:r>
        <w:rPr>
          <w:rFonts w:ascii="Times New Roman" w:hAnsi="Times New Roman"/>
          <w:sz w:val="22"/>
          <w:szCs w:val="21"/>
        </w:rPr>
        <w:t xml:space="preserve">32.3 </w:t>
      </w:r>
      <w:r>
        <w:rPr>
          <w:rFonts w:hint="eastAsia" w:ascii="Times New Roman" w:hAnsi="Times New Roman"/>
          <w:sz w:val="22"/>
          <w:szCs w:val="21"/>
        </w:rPr>
        <w:t>投标人存在下列情况之一的，投标无效</w:t>
      </w:r>
      <w:r>
        <w:rPr>
          <w:rFonts w:ascii="Times New Roman" w:hAnsi="Times New Roman"/>
          <w:sz w:val="22"/>
          <w:szCs w:val="21"/>
        </w:rPr>
        <w:t>:</w:t>
      </w:r>
    </w:p>
    <w:p w14:paraId="68C961F1">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）未按照招标文件的规定提交投标保证金的；</w:t>
      </w:r>
    </w:p>
    <w:p w14:paraId="17AAF36C">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）投标文件未按招标文件要求签署、盖章的；</w:t>
      </w:r>
    </w:p>
    <w:p w14:paraId="2ADBB3C1">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）不具备招标文件中规定的资格要求的；</w:t>
      </w:r>
    </w:p>
    <w:p w14:paraId="159A4361">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4</w:t>
      </w:r>
      <w:r>
        <w:rPr>
          <w:rFonts w:hint="eastAsia" w:ascii="Times New Roman" w:hAnsi="Times New Roman"/>
          <w:sz w:val="22"/>
          <w:szCs w:val="21"/>
        </w:rPr>
        <w:t>）报价超过招标文件中规定的预算金额或者最高限价的；</w:t>
      </w:r>
    </w:p>
    <w:p w14:paraId="189CFE6E">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5</w:t>
      </w:r>
      <w:r>
        <w:rPr>
          <w:rFonts w:hint="eastAsia" w:ascii="Times New Roman" w:hAnsi="Times New Roman"/>
          <w:sz w:val="22"/>
          <w:szCs w:val="21"/>
        </w:rPr>
        <w:t>）投标文件含有采购人不能接受的附加条件的；</w:t>
      </w:r>
    </w:p>
    <w:p w14:paraId="062D31D4">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6</w:t>
      </w:r>
      <w:r>
        <w:rPr>
          <w:rFonts w:hint="eastAsia" w:ascii="Times New Roman" w:hAnsi="Times New Roman"/>
          <w:sz w:val="22"/>
          <w:szCs w:val="21"/>
        </w:rPr>
        <w:t>）法律、法规和招标文件规定的其他无效情形。</w:t>
      </w:r>
    </w:p>
    <w:p w14:paraId="0D6FCF55">
      <w:pPr>
        <w:pStyle w:val="3"/>
        <w:spacing w:line="400" w:lineRule="exact"/>
        <w:jc w:val="center"/>
        <w:rPr>
          <w:rFonts w:ascii="Times New Roman" w:hAnsi="Times New Roman"/>
          <w:sz w:val="28"/>
        </w:rPr>
      </w:pPr>
      <w:bookmarkStart w:id="174" w:name="_Toc308164819"/>
      <w:bookmarkStart w:id="175" w:name="_Toc217446078"/>
      <w:r>
        <w:rPr>
          <w:rFonts w:hint="eastAsia" w:ascii="Times New Roman" w:hAnsi="Times New Roman"/>
          <w:sz w:val="28"/>
        </w:rPr>
        <w:t>八、询问、质疑和投诉</w:t>
      </w:r>
      <w:bookmarkEnd w:id="174"/>
      <w:bookmarkEnd w:id="175"/>
      <w:bookmarkStart w:id="176" w:name="_Toc217446079"/>
    </w:p>
    <w:bookmarkEnd w:id="176"/>
    <w:p w14:paraId="19AAE6F1">
      <w:pPr>
        <w:pStyle w:val="6"/>
        <w:spacing w:line="400" w:lineRule="exact"/>
        <w:ind w:firstLine="442"/>
        <w:rPr>
          <w:rFonts w:ascii="Times New Roman" w:hAnsi="Times New Roman"/>
          <w:sz w:val="22"/>
          <w:szCs w:val="21"/>
        </w:rPr>
      </w:pPr>
      <w:r>
        <w:rPr>
          <w:rFonts w:ascii="Times New Roman" w:hAnsi="Times New Roman"/>
          <w:b/>
          <w:sz w:val="22"/>
          <w:szCs w:val="21"/>
        </w:rPr>
        <w:t>33</w:t>
      </w:r>
      <w:r>
        <w:rPr>
          <w:rFonts w:hint="eastAsia" w:ascii="Times New Roman" w:hAnsi="Times New Roman"/>
          <w:b/>
          <w:sz w:val="22"/>
          <w:szCs w:val="21"/>
        </w:rPr>
        <w:t>．</w:t>
      </w:r>
      <w:r>
        <w:rPr>
          <w:rFonts w:hint="eastAsia" w:ascii="Times New Roman" w:hAnsi="Times New Roman"/>
          <w:sz w:val="22"/>
          <w:szCs w:val="21"/>
        </w:rPr>
        <w:t>询问、质疑、投诉的接收和处理严格按照《中华人民共和国政府采购法》、《中华人民共和国政府采购法实施条例》、《政府采购货物和服务招标投标管理办法》、《政府采购供应商投诉办法》、《财政部关于加强政府采购供应商投诉受理审查工作的通知》和《中华人民共和国财政部令第</w:t>
      </w:r>
      <w:r>
        <w:rPr>
          <w:rFonts w:ascii="Times New Roman" w:hAnsi="Times New Roman"/>
          <w:sz w:val="22"/>
          <w:szCs w:val="21"/>
        </w:rPr>
        <w:t>94</w:t>
      </w:r>
      <w:r>
        <w:rPr>
          <w:rFonts w:hint="eastAsia" w:ascii="Times New Roman" w:hAnsi="Times New Roman"/>
          <w:sz w:val="22"/>
          <w:szCs w:val="21"/>
        </w:rPr>
        <w:t>号</w:t>
      </w:r>
      <w:r>
        <w:rPr>
          <w:rFonts w:ascii="Times New Roman" w:hAnsi="Times New Roman"/>
          <w:sz w:val="22"/>
          <w:szCs w:val="21"/>
        </w:rPr>
        <w:t>--</w:t>
      </w:r>
      <w:r>
        <w:rPr>
          <w:rFonts w:hint="eastAsia" w:ascii="Times New Roman" w:hAnsi="Times New Roman"/>
          <w:sz w:val="22"/>
          <w:szCs w:val="21"/>
        </w:rPr>
        <w:t>政府采购质疑和投诉办法》等的相关规定办理</w:t>
      </w:r>
      <w:r>
        <w:rPr>
          <w:rFonts w:ascii="Times New Roman" w:hAnsi="Times New Roman"/>
          <w:sz w:val="22"/>
          <w:szCs w:val="21"/>
        </w:rPr>
        <w:t>.</w:t>
      </w:r>
    </w:p>
    <w:p w14:paraId="6EC02BAD">
      <w:pPr>
        <w:pStyle w:val="6"/>
        <w:spacing w:line="400" w:lineRule="exact"/>
        <w:ind w:firstLine="440"/>
        <w:rPr>
          <w:rFonts w:ascii="Times New Roman" w:hAnsi="Times New Roman"/>
          <w:sz w:val="22"/>
          <w:szCs w:val="21"/>
        </w:rPr>
      </w:pPr>
      <w:r>
        <w:rPr>
          <w:rFonts w:hint="eastAsia" w:ascii="Times New Roman" w:hAnsi="Times New Roman"/>
          <w:sz w:val="22"/>
          <w:szCs w:val="21"/>
        </w:rPr>
        <w:t>注：根据《中华人民共和国政府采购法》等规定，供应商质疑不得超出采购文件、采购过程、采购结果的范围，供应商质疑不得超出采购文件、采购过程、采购结果的范围</w:t>
      </w:r>
      <w:r>
        <w:rPr>
          <w:rFonts w:ascii="Times New Roman" w:hAnsi="Times New Roman"/>
          <w:sz w:val="22"/>
          <w:szCs w:val="21"/>
        </w:rPr>
        <w:t xml:space="preserve">, </w:t>
      </w:r>
      <w:r>
        <w:rPr>
          <w:rFonts w:hint="eastAsia" w:ascii="Times New Roman" w:hAnsi="Times New Roman"/>
          <w:sz w:val="22"/>
          <w:szCs w:val="21"/>
        </w:rPr>
        <w:t>供应商针对同一采购程序环节的质疑应在法定质疑期内一次性提出。</w:t>
      </w:r>
    </w:p>
    <w:p w14:paraId="630CA2FB">
      <w:pPr>
        <w:pStyle w:val="8"/>
        <w:ind w:firstLine="660" w:firstLineChars="300"/>
        <w:rPr>
          <w:rFonts w:ascii="Times New Roman" w:hAnsi="Times New Roman"/>
          <w:sz w:val="22"/>
          <w:szCs w:val="18"/>
        </w:rPr>
      </w:pPr>
    </w:p>
    <w:p w14:paraId="695C95B6">
      <w:pPr>
        <w:pStyle w:val="6"/>
        <w:spacing w:line="400" w:lineRule="exact"/>
        <w:ind w:firstLine="440"/>
        <w:rPr>
          <w:rFonts w:ascii="Times New Roman" w:hAnsi="Times New Roman"/>
          <w:sz w:val="22"/>
          <w:szCs w:val="21"/>
        </w:rPr>
      </w:pPr>
      <w:r>
        <w:rPr>
          <w:rFonts w:hint="eastAsia" w:ascii="Times New Roman" w:hAnsi="Times New Roman"/>
          <w:sz w:val="22"/>
          <w:szCs w:val="21"/>
        </w:rPr>
        <w:t>接收质疑函的方式：书面形式</w:t>
      </w:r>
    </w:p>
    <w:p w14:paraId="7CCFBDC1">
      <w:pPr>
        <w:pStyle w:val="6"/>
        <w:spacing w:line="400" w:lineRule="exact"/>
        <w:ind w:firstLine="440"/>
        <w:rPr>
          <w:rFonts w:ascii="Times New Roman" w:hAnsi="Times New Roman"/>
          <w:sz w:val="22"/>
          <w:szCs w:val="21"/>
        </w:rPr>
      </w:pPr>
      <w:r>
        <w:rPr>
          <w:rFonts w:hint="eastAsia" w:ascii="Times New Roman" w:hAnsi="Times New Roman"/>
          <w:sz w:val="22"/>
          <w:szCs w:val="21"/>
        </w:rPr>
        <w:t>联系部门：招标部项目负责人：</w:t>
      </w:r>
      <w:r>
        <w:rPr>
          <w:rFonts w:hint="eastAsia" w:ascii="Times New Roman" w:hAnsi="Times New Roman"/>
          <w:sz w:val="22"/>
          <w:szCs w:val="21"/>
          <w:lang w:val="en-US" w:eastAsia="zh-CN"/>
        </w:rPr>
        <w:t>谭</w:t>
      </w:r>
      <w:r>
        <w:rPr>
          <w:rFonts w:hint="eastAsia" w:ascii="Times New Roman" w:hAnsi="Times New Roman"/>
          <w:sz w:val="22"/>
          <w:szCs w:val="21"/>
        </w:rPr>
        <w:t>先生</w:t>
      </w:r>
    </w:p>
    <w:p w14:paraId="52574CEF">
      <w:pPr>
        <w:pStyle w:val="6"/>
        <w:spacing w:line="400" w:lineRule="exact"/>
        <w:ind w:firstLine="440"/>
        <w:rPr>
          <w:rFonts w:hint="default" w:ascii="Times New Roman" w:hAnsi="Times New Roman" w:eastAsia="宋体"/>
          <w:sz w:val="22"/>
          <w:szCs w:val="21"/>
          <w:lang w:val="en-US" w:eastAsia="zh-CN"/>
        </w:rPr>
      </w:pPr>
      <w:r>
        <w:rPr>
          <w:rFonts w:hint="eastAsia" w:ascii="Times New Roman" w:hAnsi="Times New Roman"/>
          <w:sz w:val="22"/>
          <w:szCs w:val="21"/>
        </w:rPr>
        <w:t>联系电话：</w:t>
      </w:r>
      <w:r>
        <w:rPr>
          <w:rFonts w:ascii="Times New Roman" w:hAnsi="Times New Roman"/>
          <w:sz w:val="22"/>
          <w:szCs w:val="21"/>
        </w:rPr>
        <w:t>029-88854271</w:t>
      </w:r>
      <w:r>
        <w:rPr>
          <w:rFonts w:hint="eastAsia" w:ascii="Times New Roman" w:hAnsi="Times New Roman"/>
          <w:sz w:val="22"/>
          <w:szCs w:val="21"/>
        </w:rPr>
        <w:t>转</w:t>
      </w:r>
      <w:r>
        <w:rPr>
          <w:rFonts w:hint="eastAsia" w:ascii="Times New Roman" w:hAnsi="Times New Roman"/>
          <w:sz w:val="22"/>
          <w:szCs w:val="21"/>
          <w:lang w:val="en-US" w:eastAsia="zh-CN"/>
        </w:rPr>
        <w:t>8003</w:t>
      </w:r>
    </w:p>
    <w:p w14:paraId="535CD3D6">
      <w:pPr>
        <w:pStyle w:val="6"/>
        <w:spacing w:line="400" w:lineRule="exact"/>
        <w:ind w:firstLine="440"/>
        <w:rPr>
          <w:rFonts w:ascii="Times New Roman" w:hAnsi="Times New Roman"/>
          <w:sz w:val="22"/>
          <w:szCs w:val="21"/>
        </w:rPr>
      </w:pPr>
      <w:r>
        <w:rPr>
          <w:rFonts w:hint="eastAsia" w:ascii="Times New Roman" w:hAnsi="Times New Roman"/>
          <w:sz w:val="22"/>
          <w:szCs w:val="21"/>
        </w:rPr>
        <w:t>通讯地址：陕西省西安市高新区唐延路</w:t>
      </w:r>
      <w:r>
        <w:rPr>
          <w:rFonts w:ascii="Times New Roman" w:hAnsi="Times New Roman"/>
          <w:sz w:val="22"/>
          <w:szCs w:val="21"/>
        </w:rPr>
        <w:t>35</w:t>
      </w:r>
      <w:r>
        <w:rPr>
          <w:rFonts w:hint="eastAsia" w:ascii="Times New Roman" w:hAnsi="Times New Roman"/>
          <w:sz w:val="22"/>
          <w:szCs w:val="21"/>
        </w:rPr>
        <w:t>号旺座现代城</w:t>
      </w:r>
      <w:r>
        <w:rPr>
          <w:rFonts w:ascii="Times New Roman" w:hAnsi="Times New Roman"/>
          <w:sz w:val="22"/>
          <w:szCs w:val="21"/>
        </w:rPr>
        <w:t>G</w:t>
      </w:r>
      <w:r>
        <w:rPr>
          <w:rFonts w:hint="eastAsia" w:ascii="Times New Roman" w:hAnsi="Times New Roman"/>
          <w:sz w:val="22"/>
          <w:szCs w:val="21"/>
        </w:rPr>
        <w:t>座</w:t>
      </w:r>
      <w:r>
        <w:rPr>
          <w:rFonts w:ascii="Times New Roman" w:hAnsi="Times New Roman"/>
          <w:sz w:val="22"/>
          <w:szCs w:val="21"/>
        </w:rPr>
        <w:t>2301</w:t>
      </w:r>
      <w:r>
        <w:rPr>
          <w:rFonts w:hint="eastAsia" w:ascii="Times New Roman" w:hAnsi="Times New Roman"/>
          <w:sz w:val="22"/>
          <w:szCs w:val="21"/>
        </w:rPr>
        <w:t>室</w:t>
      </w:r>
    </w:p>
    <w:bookmarkEnd w:id="170"/>
    <w:bookmarkEnd w:id="171"/>
    <w:p w14:paraId="0AC6B9C1">
      <w:pPr>
        <w:pStyle w:val="3"/>
        <w:spacing w:line="400" w:lineRule="exact"/>
        <w:jc w:val="center"/>
        <w:rPr>
          <w:rFonts w:ascii="Times New Roman" w:hAnsi="Times New Roman"/>
          <w:sz w:val="28"/>
        </w:rPr>
      </w:pPr>
      <w:r>
        <w:rPr>
          <w:rFonts w:hint="eastAsia" w:ascii="Times New Roman" w:hAnsi="Times New Roman"/>
          <w:sz w:val="28"/>
        </w:rPr>
        <w:t>九、其他</w:t>
      </w:r>
    </w:p>
    <w:p w14:paraId="5CCDAD60">
      <w:pPr>
        <w:pStyle w:val="6"/>
        <w:spacing w:line="400" w:lineRule="exact"/>
        <w:ind w:firstLine="442"/>
        <w:rPr>
          <w:rFonts w:ascii="Times New Roman" w:hAnsi="Times New Roman"/>
          <w:sz w:val="22"/>
          <w:szCs w:val="21"/>
        </w:rPr>
      </w:pPr>
      <w:r>
        <w:rPr>
          <w:rFonts w:ascii="Times New Roman" w:hAnsi="Times New Roman"/>
          <w:b/>
          <w:sz w:val="22"/>
          <w:szCs w:val="21"/>
        </w:rPr>
        <w:t>34.</w:t>
      </w:r>
      <w:r>
        <w:rPr>
          <w:rFonts w:hint="eastAsia" w:ascii="Times New Roman" w:hAnsi="Times New Roman"/>
          <w:sz w:val="22"/>
          <w:szCs w:val="21"/>
        </w:rPr>
        <w:t>本招标文件中所引相关法律制度规定，在政府采购中有变化的，按照变化后的相关法律制度规定执行。本章和第六章中</w:t>
      </w:r>
      <w:r>
        <w:rPr>
          <w:rFonts w:ascii="Times New Roman" w:hAnsi="Times New Roman"/>
          <w:sz w:val="22"/>
          <w:szCs w:val="21"/>
        </w:rPr>
        <w:t>“1.</w:t>
      </w:r>
      <w:r>
        <w:rPr>
          <w:rFonts w:hint="eastAsia" w:ascii="Times New Roman" w:hAnsi="Times New Roman"/>
          <w:sz w:val="22"/>
          <w:szCs w:val="21"/>
        </w:rPr>
        <w:t>总则、</w:t>
      </w:r>
      <w:r>
        <w:rPr>
          <w:rFonts w:ascii="Times New Roman" w:hAnsi="Times New Roman"/>
          <w:sz w:val="22"/>
          <w:szCs w:val="21"/>
        </w:rPr>
        <w:t>2.</w:t>
      </w:r>
      <w:r>
        <w:rPr>
          <w:rFonts w:hint="eastAsia" w:ascii="Times New Roman" w:hAnsi="Times New Roman"/>
          <w:sz w:val="22"/>
          <w:szCs w:val="21"/>
        </w:rPr>
        <w:t>评标方法、</w:t>
      </w:r>
      <w:r>
        <w:rPr>
          <w:rFonts w:ascii="Times New Roman" w:hAnsi="Times New Roman"/>
          <w:sz w:val="22"/>
          <w:szCs w:val="21"/>
        </w:rPr>
        <w:t>3.</w:t>
      </w:r>
      <w:r>
        <w:rPr>
          <w:rFonts w:hint="eastAsia" w:ascii="Times New Roman" w:hAnsi="Times New Roman"/>
          <w:sz w:val="22"/>
          <w:szCs w:val="21"/>
        </w:rPr>
        <w:t>评标程序</w:t>
      </w:r>
      <w:r>
        <w:rPr>
          <w:rFonts w:ascii="Times New Roman" w:hAnsi="Times New Roman"/>
          <w:sz w:val="22"/>
          <w:szCs w:val="21"/>
        </w:rPr>
        <w:t>”</w:t>
      </w:r>
      <w:r>
        <w:rPr>
          <w:rFonts w:hint="eastAsia" w:ascii="Times New Roman" w:hAnsi="Times New Roman"/>
          <w:sz w:val="22"/>
          <w:szCs w:val="21"/>
        </w:rPr>
        <w:t>规定的内容条款，在本项目投标截止时间届满后，因相关法律制度规定的变化导致不符合相关法律制度规定的，直接按照变化后的相关法律制度规定执行，本招标文件不再做调整。</w:t>
      </w:r>
    </w:p>
    <w:bookmarkEnd w:id="130"/>
    <w:bookmarkEnd w:id="131"/>
    <w:bookmarkEnd w:id="132"/>
    <w:bookmarkEnd w:id="133"/>
    <w:bookmarkEnd w:id="134"/>
    <w:bookmarkEnd w:id="135"/>
    <w:p w14:paraId="30569BF8">
      <w:pPr>
        <w:jc w:val="left"/>
        <w:rPr>
          <w:rFonts w:ascii="Times New Roman" w:hAnsi="Times New Roman"/>
          <w:b/>
          <w:kern w:val="44"/>
          <w:sz w:val="32"/>
          <w:szCs w:val="32"/>
        </w:rPr>
      </w:pPr>
      <w:bookmarkStart w:id="177" w:name="_Toc3360"/>
      <w:bookmarkStart w:id="178" w:name="_Toc1164"/>
      <w:bookmarkStart w:id="179" w:name="_Toc28837"/>
      <w:bookmarkStart w:id="180" w:name="_Toc14559"/>
      <w:bookmarkStart w:id="181" w:name="_Toc18945"/>
      <w:bookmarkStart w:id="182" w:name="_Toc12725"/>
      <w:r>
        <w:rPr>
          <w:rFonts w:ascii="Times New Roman" w:hAnsi="Times New Roman"/>
          <w:sz w:val="32"/>
          <w:szCs w:val="32"/>
        </w:rPr>
        <w:br w:type="page"/>
      </w:r>
    </w:p>
    <w:p w14:paraId="6517FBA2">
      <w:pPr>
        <w:pStyle w:val="2"/>
        <w:jc w:val="center"/>
        <w:rPr>
          <w:rFonts w:ascii="Times New Roman" w:hAnsi="Times New Roman"/>
          <w:sz w:val="32"/>
          <w:szCs w:val="32"/>
        </w:rPr>
      </w:pPr>
      <w:bookmarkStart w:id="183" w:name="_Toc21453"/>
      <w:bookmarkStart w:id="184" w:name="_Toc119482811"/>
      <w:bookmarkStart w:id="185" w:name="_Toc917"/>
      <w:r>
        <w:rPr>
          <w:rFonts w:hint="eastAsia" w:ascii="Times New Roman" w:hAnsi="Times New Roman"/>
          <w:sz w:val="32"/>
          <w:szCs w:val="32"/>
        </w:rPr>
        <w:t>第三章投标文件格式</w:t>
      </w:r>
      <w:bookmarkEnd w:id="183"/>
      <w:bookmarkEnd w:id="184"/>
      <w:bookmarkEnd w:id="185"/>
    </w:p>
    <w:p w14:paraId="1EADCB90">
      <w:pPr>
        <w:pStyle w:val="10"/>
        <w:ind w:left="680"/>
        <w:rPr>
          <w:rFonts w:hAnsi="Times New Roman"/>
        </w:rPr>
      </w:pPr>
      <w:r>
        <w:rPr>
          <w:rFonts w:hint="eastAsia"/>
        </w:rPr>
        <w:t>第一部分</w:t>
      </w:r>
      <w:r>
        <w:rPr>
          <w:rFonts w:hAnsi="Times New Roman"/>
        </w:rPr>
        <w:t xml:space="preserve">     “</w:t>
      </w:r>
      <w:r>
        <w:rPr>
          <w:rFonts w:hint="eastAsia"/>
        </w:rPr>
        <w:t>资格性投标文件</w:t>
      </w:r>
      <w:r>
        <w:rPr>
          <w:rFonts w:hAnsi="Times New Roman"/>
        </w:rPr>
        <w:t>”</w:t>
      </w:r>
      <w:r>
        <w:rPr>
          <w:rFonts w:hint="eastAsia"/>
        </w:rPr>
        <w:t>格式</w:t>
      </w:r>
    </w:p>
    <w:p w14:paraId="3516B50F">
      <w:pPr>
        <w:spacing w:line="360" w:lineRule="auto"/>
        <w:jc w:val="center"/>
        <w:rPr>
          <w:rFonts w:ascii="Times New Roman" w:hAnsi="Times New Roman"/>
          <w:b/>
          <w:sz w:val="28"/>
          <w:szCs w:val="28"/>
        </w:rPr>
      </w:pPr>
      <w:r>
        <w:rPr>
          <w:rFonts w:hint="eastAsia" w:ascii="Times New Roman" w:hAnsi="宋体"/>
          <w:b/>
          <w:sz w:val="28"/>
          <w:szCs w:val="28"/>
        </w:rPr>
        <w:t>格式</w:t>
      </w:r>
      <w:r>
        <w:rPr>
          <w:rFonts w:ascii="Times New Roman" w:hAnsi="Times New Roman"/>
          <w:b/>
          <w:sz w:val="28"/>
          <w:szCs w:val="28"/>
        </w:rPr>
        <w:t xml:space="preserve">1-1 </w:t>
      </w:r>
      <w:r>
        <w:rPr>
          <w:rFonts w:hint="eastAsia" w:ascii="Times New Roman" w:hAnsi="宋体"/>
          <w:b/>
          <w:sz w:val="28"/>
          <w:szCs w:val="28"/>
        </w:rPr>
        <w:t>封面：</w:t>
      </w:r>
    </w:p>
    <w:p w14:paraId="35C9127B">
      <w:pPr>
        <w:spacing w:line="360" w:lineRule="auto"/>
        <w:jc w:val="right"/>
        <w:rPr>
          <w:rFonts w:ascii="Times New Roman" w:hAnsi="Times New Roman"/>
          <w:b/>
          <w:sz w:val="32"/>
          <w:szCs w:val="21"/>
        </w:rPr>
      </w:pPr>
      <w:r>
        <w:rPr>
          <w:rFonts w:hint="eastAsia" w:ascii="Times New Roman" w:hAnsi="宋体"/>
          <w:b/>
          <w:sz w:val="32"/>
          <w:szCs w:val="21"/>
        </w:rPr>
        <w:t>（正本</w:t>
      </w:r>
      <w:r>
        <w:rPr>
          <w:rFonts w:ascii="Times New Roman" w:hAnsi="Times New Roman"/>
          <w:b/>
          <w:sz w:val="32"/>
          <w:szCs w:val="21"/>
        </w:rPr>
        <w:t>/</w:t>
      </w:r>
      <w:r>
        <w:rPr>
          <w:rFonts w:hint="eastAsia" w:ascii="Times New Roman" w:hAnsi="宋体"/>
          <w:b/>
          <w:sz w:val="32"/>
          <w:szCs w:val="21"/>
        </w:rPr>
        <w:t>副本）</w:t>
      </w:r>
    </w:p>
    <w:p w14:paraId="154239DC">
      <w:pPr>
        <w:spacing w:line="360" w:lineRule="auto"/>
        <w:rPr>
          <w:rFonts w:ascii="Times New Roman" w:hAnsi="Times New Roman"/>
          <w:b/>
          <w:sz w:val="28"/>
          <w:szCs w:val="28"/>
        </w:rPr>
      </w:pPr>
    </w:p>
    <w:p w14:paraId="05B91ABD">
      <w:pPr>
        <w:spacing w:line="360" w:lineRule="auto"/>
        <w:rPr>
          <w:rFonts w:ascii="Times New Roman" w:hAnsi="Times New Roman"/>
          <w:b/>
          <w:sz w:val="28"/>
          <w:szCs w:val="28"/>
        </w:rPr>
      </w:pPr>
    </w:p>
    <w:p w14:paraId="5E9F9B6A">
      <w:pPr>
        <w:spacing w:line="360" w:lineRule="auto"/>
        <w:jc w:val="center"/>
        <w:rPr>
          <w:rFonts w:ascii="Times New Roman" w:hAnsi="Times New Roman"/>
          <w:b/>
          <w:sz w:val="56"/>
          <w:szCs w:val="21"/>
        </w:rPr>
      </w:pPr>
      <w:r>
        <w:rPr>
          <w:rFonts w:hint="eastAsia" w:ascii="Times New Roman" w:hAnsi="宋体"/>
          <w:b/>
          <w:sz w:val="36"/>
          <w:szCs w:val="44"/>
        </w:rPr>
        <w:t>项目</w:t>
      </w:r>
    </w:p>
    <w:p w14:paraId="1432415F">
      <w:pPr>
        <w:spacing w:line="360" w:lineRule="auto"/>
        <w:rPr>
          <w:rFonts w:ascii="Times New Roman" w:hAnsi="Times New Roman"/>
          <w:b/>
          <w:sz w:val="48"/>
          <w:szCs w:val="48"/>
        </w:rPr>
      </w:pPr>
    </w:p>
    <w:p w14:paraId="5EF8EA55">
      <w:pPr>
        <w:spacing w:line="360" w:lineRule="auto"/>
        <w:jc w:val="center"/>
        <w:rPr>
          <w:rFonts w:ascii="Times New Roman" w:hAnsi="Times New Roman"/>
          <w:b/>
          <w:sz w:val="32"/>
          <w:szCs w:val="21"/>
        </w:rPr>
      </w:pPr>
      <w:r>
        <w:rPr>
          <w:rFonts w:hint="eastAsia" w:ascii="Times New Roman" w:hAnsi="宋体"/>
          <w:b/>
          <w:sz w:val="48"/>
          <w:szCs w:val="48"/>
        </w:rPr>
        <w:t>资格性投标文件</w:t>
      </w:r>
    </w:p>
    <w:p w14:paraId="1C3A164C">
      <w:pPr>
        <w:spacing w:line="360" w:lineRule="auto"/>
        <w:rPr>
          <w:rFonts w:ascii="Times New Roman" w:hAnsi="Times New Roman"/>
          <w:b/>
          <w:sz w:val="32"/>
          <w:szCs w:val="21"/>
        </w:rPr>
      </w:pPr>
    </w:p>
    <w:bookmarkEnd w:id="136"/>
    <w:bookmarkEnd w:id="177"/>
    <w:bookmarkEnd w:id="178"/>
    <w:bookmarkEnd w:id="179"/>
    <w:bookmarkEnd w:id="180"/>
    <w:bookmarkEnd w:id="181"/>
    <w:bookmarkEnd w:id="182"/>
    <w:p w14:paraId="44B2A5F4">
      <w:pPr>
        <w:spacing w:line="360" w:lineRule="auto"/>
        <w:rPr>
          <w:rFonts w:asciiTheme="minorEastAsia" w:hAnsiTheme="minorEastAsia" w:eastAsiaTheme="minorEastAsia"/>
          <w:b/>
          <w:kern w:val="44"/>
          <w:sz w:val="28"/>
          <w:u w:val="single"/>
        </w:rPr>
      </w:pPr>
      <w:r>
        <w:rPr>
          <w:rFonts w:hint="eastAsia" w:asciiTheme="minorEastAsia" w:hAnsiTheme="minorEastAsia" w:eastAsiaTheme="minorEastAsia"/>
          <w:b/>
          <w:kern w:val="44"/>
          <w:sz w:val="28"/>
        </w:rPr>
        <w:t>投 标 人</w:t>
      </w:r>
      <w:r>
        <w:rPr>
          <w:rFonts w:asciiTheme="minorEastAsia" w:hAnsiTheme="minorEastAsia" w:eastAsiaTheme="minorEastAsia"/>
          <w:b/>
          <w:kern w:val="44"/>
          <w:sz w:val="28"/>
        </w:rPr>
        <w:t>名称：</w:t>
      </w:r>
    </w:p>
    <w:p w14:paraId="42431BD7">
      <w:pPr>
        <w:spacing w:line="360" w:lineRule="auto"/>
        <w:rPr>
          <w:rFonts w:asciiTheme="minorEastAsia" w:hAnsiTheme="minorEastAsia" w:eastAsiaTheme="minorEastAsia"/>
          <w:b/>
          <w:kern w:val="44"/>
          <w:sz w:val="28"/>
        </w:rPr>
      </w:pPr>
      <w:r>
        <w:rPr>
          <w:rFonts w:hint="eastAsia" w:asciiTheme="minorEastAsia" w:hAnsiTheme="minorEastAsia" w:eastAsiaTheme="minorEastAsia"/>
          <w:b/>
          <w:kern w:val="44"/>
          <w:sz w:val="28"/>
        </w:rPr>
        <w:t>委托代理人：</w:t>
      </w:r>
    </w:p>
    <w:p w14:paraId="6FF0FE1E">
      <w:pPr>
        <w:spacing w:line="360" w:lineRule="auto"/>
        <w:rPr>
          <w:rFonts w:asciiTheme="minorEastAsia" w:hAnsiTheme="minorEastAsia" w:eastAsiaTheme="minorEastAsia"/>
          <w:b/>
          <w:kern w:val="44"/>
          <w:sz w:val="28"/>
        </w:rPr>
      </w:pPr>
      <w:r>
        <w:rPr>
          <w:rFonts w:hint="eastAsia" w:asciiTheme="minorEastAsia" w:hAnsiTheme="minorEastAsia" w:eastAsiaTheme="minorEastAsia"/>
          <w:b/>
          <w:kern w:val="44"/>
          <w:sz w:val="28"/>
        </w:rPr>
        <w:t>委托代理人身份证号：</w:t>
      </w:r>
    </w:p>
    <w:p w14:paraId="456407E2">
      <w:pPr>
        <w:spacing w:line="360" w:lineRule="auto"/>
        <w:rPr>
          <w:rFonts w:asciiTheme="minorEastAsia" w:hAnsiTheme="minorEastAsia" w:eastAsiaTheme="minorEastAsia"/>
          <w:b/>
          <w:kern w:val="44"/>
          <w:sz w:val="28"/>
        </w:rPr>
      </w:pPr>
      <w:r>
        <w:rPr>
          <w:rFonts w:hint="eastAsia" w:asciiTheme="minorEastAsia" w:hAnsiTheme="minorEastAsia" w:eastAsiaTheme="minorEastAsia"/>
          <w:b/>
          <w:kern w:val="44"/>
          <w:sz w:val="28"/>
        </w:rPr>
        <w:t>采购项目</w:t>
      </w:r>
      <w:r>
        <w:rPr>
          <w:rFonts w:asciiTheme="minorEastAsia" w:hAnsiTheme="minorEastAsia" w:eastAsiaTheme="minorEastAsia"/>
          <w:b/>
          <w:kern w:val="44"/>
          <w:sz w:val="28"/>
        </w:rPr>
        <w:t xml:space="preserve">编号：                               </w:t>
      </w:r>
    </w:p>
    <w:p w14:paraId="39D0A6E8">
      <w:pPr>
        <w:spacing w:line="360" w:lineRule="auto"/>
        <w:rPr>
          <w:rFonts w:asciiTheme="minorEastAsia" w:hAnsiTheme="minorEastAsia" w:eastAsiaTheme="minorEastAsia"/>
          <w:b/>
          <w:sz w:val="28"/>
          <w:szCs w:val="21"/>
        </w:rPr>
      </w:pPr>
      <w:r>
        <w:rPr>
          <w:rFonts w:hint="eastAsia" w:asciiTheme="minorEastAsia" w:hAnsiTheme="minorEastAsia" w:eastAsiaTheme="minorEastAsia"/>
          <w:b/>
          <w:sz w:val="28"/>
          <w:szCs w:val="21"/>
        </w:rPr>
        <w:t>包   号</w:t>
      </w:r>
      <w:r>
        <w:rPr>
          <w:rFonts w:asciiTheme="minorEastAsia" w:hAnsiTheme="minorEastAsia" w:eastAsiaTheme="minorEastAsia"/>
          <w:b/>
          <w:sz w:val="28"/>
          <w:szCs w:val="21"/>
        </w:rPr>
        <w:t>：</w:t>
      </w:r>
    </w:p>
    <w:p w14:paraId="3D6E4F45">
      <w:pPr>
        <w:spacing w:line="360" w:lineRule="auto"/>
        <w:rPr>
          <w:rFonts w:asciiTheme="minorEastAsia" w:hAnsiTheme="minorEastAsia" w:eastAsiaTheme="minorEastAsia"/>
          <w:b/>
          <w:kern w:val="44"/>
          <w:sz w:val="28"/>
        </w:rPr>
      </w:pPr>
      <w:r>
        <w:rPr>
          <w:rFonts w:hint="eastAsia" w:asciiTheme="minorEastAsia" w:hAnsiTheme="minorEastAsia" w:eastAsiaTheme="minorEastAsia"/>
          <w:b/>
          <w:kern w:val="44"/>
          <w:sz w:val="28"/>
        </w:rPr>
        <w:t>时   间</w:t>
      </w:r>
      <w:r>
        <w:rPr>
          <w:rFonts w:asciiTheme="minorEastAsia" w:hAnsiTheme="minorEastAsia" w:eastAsiaTheme="minorEastAsia"/>
          <w:b/>
          <w:kern w:val="44"/>
          <w:sz w:val="28"/>
        </w:rPr>
        <w:t>：  年  月   日</w:t>
      </w:r>
    </w:p>
    <w:p w14:paraId="5678680F">
      <w:pPr>
        <w:spacing w:line="360" w:lineRule="auto"/>
        <w:jc w:val="left"/>
        <w:rPr>
          <w:rFonts w:ascii="Times New Roman" w:hAnsi="Times New Roman"/>
          <w:b/>
          <w:sz w:val="28"/>
          <w:szCs w:val="28"/>
        </w:rPr>
      </w:pPr>
      <w:r>
        <w:rPr>
          <w:rFonts w:ascii="Times New Roman" w:hAnsi="Times New Roman"/>
          <w:b/>
          <w:sz w:val="28"/>
          <w:szCs w:val="28"/>
        </w:rPr>
        <w:br w:type="page"/>
      </w:r>
      <w:r>
        <w:rPr>
          <w:rFonts w:hint="eastAsia" w:ascii="Times New Roman" w:hAnsi="宋体"/>
          <w:b/>
          <w:sz w:val="28"/>
          <w:szCs w:val="28"/>
        </w:rPr>
        <w:t>格式</w:t>
      </w:r>
      <w:r>
        <w:rPr>
          <w:rFonts w:ascii="Times New Roman" w:hAnsi="Times New Roman"/>
          <w:b/>
          <w:sz w:val="28"/>
          <w:szCs w:val="28"/>
        </w:rPr>
        <w:t xml:space="preserve">1-2 </w:t>
      </w:r>
    </w:p>
    <w:p w14:paraId="0FFC2C6A">
      <w:pPr>
        <w:spacing w:line="360" w:lineRule="auto"/>
        <w:jc w:val="center"/>
        <w:rPr>
          <w:rFonts w:ascii="Times New Roman" w:hAnsi="Times New Roman" w:eastAsia="黑体"/>
          <w:b/>
          <w:sz w:val="28"/>
          <w:szCs w:val="28"/>
        </w:rPr>
      </w:pPr>
      <w:r>
        <w:rPr>
          <w:rFonts w:hint="eastAsia" w:ascii="Times New Roman" w:hAnsi="华文中宋" w:eastAsia="华文中宋"/>
          <w:b/>
          <w:sz w:val="28"/>
          <w:szCs w:val="28"/>
        </w:rPr>
        <w:t>一、</w:t>
      </w:r>
      <w:r>
        <w:rPr>
          <w:rFonts w:hint="eastAsia" w:ascii="Times New Roman" w:hAnsi="Times New Roman" w:eastAsia="黑体"/>
          <w:b/>
          <w:sz w:val="28"/>
          <w:szCs w:val="28"/>
        </w:rPr>
        <w:t>法定代表人授权书</w:t>
      </w:r>
    </w:p>
    <w:p w14:paraId="0FB78AB6">
      <w:pPr>
        <w:spacing w:line="360" w:lineRule="atLeast"/>
        <w:ind w:firstLine="433" w:firstLineChars="196"/>
        <w:jc w:val="left"/>
        <w:outlineLvl w:val="1"/>
        <w:rPr>
          <w:rFonts w:ascii="Times New Roman" w:hAnsi="Times New Roman"/>
          <w:b/>
          <w:sz w:val="22"/>
          <w:szCs w:val="21"/>
        </w:rPr>
      </w:pPr>
    </w:p>
    <w:p w14:paraId="702E8191">
      <w:pPr>
        <w:spacing w:line="360" w:lineRule="atLeast"/>
        <w:ind w:firstLine="433" w:firstLineChars="196"/>
        <w:jc w:val="left"/>
        <w:outlineLvl w:val="1"/>
        <w:rPr>
          <w:rFonts w:ascii="Times New Roman" w:hAnsi="Times New Roman"/>
          <w:b/>
          <w:sz w:val="22"/>
          <w:szCs w:val="21"/>
        </w:rPr>
      </w:pPr>
    </w:p>
    <w:p w14:paraId="2DBEB9F9">
      <w:pPr>
        <w:spacing w:line="360" w:lineRule="atLeast"/>
        <w:jc w:val="left"/>
        <w:outlineLvl w:val="1"/>
        <w:rPr>
          <w:rFonts w:ascii="Times New Roman" w:hAnsi="Times New Roman"/>
          <w:sz w:val="22"/>
          <w:szCs w:val="21"/>
        </w:rPr>
      </w:pPr>
      <w:r>
        <w:rPr>
          <w:rFonts w:hint="eastAsia" w:ascii="Times New Roman" w:hAnsi="Times New Roman"/>
          <w:sz w:val="22"/>
          <w:szCs w:val="21"/>
          <w:u w:val="single"/>
        </w:rPr>
        <w:t>（采购代理机构名称）</w:t>
      </w:r>
      <w:r>
        <w:rPr>
          <w:rFonts w:hint="eastAsia" w:ascii="Times New Roman" w:hAnsi="Times New Roman"/>
          <w:sz w:val="22"/>
          <w:szCs w:val="21"/>
        </w:rPr>
        <w:t>：</w:t>
      </w:r>
    </w:p>
    <w:p w14:paraId="00048DBB">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本授权声明：</w:t>
      </w:r>
      <w:r>
        <w:rPr>
          <w:rFonts w:hint="eastAsia" w:ascii="Times New Roman" w:hAnsi="Times New Roman"/>
          <w:sz w:val="22"/>
          <w:szCs w:val="21"/>
          <w:u w:val="single"/>
        </w:rPr>
        <w:t xml:space="preserve">（投标人名称）（法定代表人姓名、职务）   </w:t>
      </w:r>
      <w:r>
        <w:rPr>
          <w:rFonts w:hint="eastAsia" w:ascii="Times New Roman" w:hAnsi="Times New Roman"/>
          <w:sz w:val="22"/>
          <w:szCs w:val="21"/>
        </w:rPr>
        <w:t>授权</w:t>
      </w:r>
      <w:r>
        <w:rPr>
          <w:rFonts w:hint="eastAsia" w:ascii="Times New Roman" w:hAnsi="Times New Roman"/>
          <w:sz w:val="22"/>
          <w:szCs w:val="21"/>
          <w:u w:val="single"/>
        </w:rPr>
        <w:t xml:space="preserve">（被授权人姓名、职务）   </w:t>
      </w:r>
      <w:r>
        <w:rPr>
          <w:rFonts w:hint="eastAsia" w:ascii="Times New Roman" w:hAnsi="Times New Roman"/>
          <w:sz w:val="22"/>
          <w:szCs w:val="21"/>
        </w:rPr>
        <w:t>为我方</w:t>
      </w:r>
      <w:r>
        <w:rPr>
          <w:rFonts w:ascii="Times New Roman" w:hAnsi="Times New Roman"/>
          <w:sz w:val="22"/>
          <w:szCs w:val="21"/>
        </w:rPr>
        <w:t xml:space="preserve"> “</w:t>
      </w:r>
      <w:r>
        <w:rPr>
          <w:rFonts w:hint="eastAsia" w:ascii="Times New Roman" w:hAnsi="Times New Roman"/>
          <w:sz w:val="22"/>
          <w:szCs w:val="21"/>
          <w:u w:val="single"/>
        </w:rPr>
        <w:t xml:space="preserve">（项目名称）  </w:t>
      </w:r>
      <w:r>
        <w:rPr>
          <w:rFonts w:ascii="Times New Roman" w:hAnsi="Times New Roman"/>
          <w:sz w:val="22"/>
          <w:szCs w:val="21"/>
        </w:rPr>
        <w:t xml:space="preserve">” </w:t>
      </w:r>
      <w:r>
        <w:rPr>
          <w:rFonts w:hint="eastAsia" w:ascii="Times New Roman" w:hAnsi="Times New Roman"/>
          <w:sz w:val="22"/>
          <w:szCs w:val="21"/>
        </w:rPr>
        <w:t>项目（招标编号：       ）投标活动的合法代表，以我方名义全权处理该项目有关投标、签订合同以及执行合同等一切事宜。</w:t>
      </w:r>
    </w:p>
    <w:p w14:paraId="185E2082">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特此声明。</w:t>
      </w:r>
    </w:p>
    <w:p w14:paraId="5CDC7EDE">
      <w:pPr>
        <w:spacing w:line="360" w:lineRule="atLeast"/>
        <w:ind w:firstLine="431" w:firstLineChars="196"/>
        <w:jc w:val="left"/>
        <w:outlineLvl w:val="1"/>
        <w:rPr>
          <w:rFonts w:ascii="Times New Roman" w:hAnsi="Times New Roman"/>
          <w:sz w:val="22"/>
          <w:szCs w:val="21"/>
        </w:rPr>
      </w:pPr>
    </w:p>
    <w:p w14:paraId="09003B85">
      <w:pPr>
        <w:pStyle w:val="8"/>
        <w:rPr>
          <w:rFonts w:ascii="Times New Roman" w:hAnsi="Times New Roman"/>
          <w:sz w:val="22"/>
          <w:szCs w:val="22"/>
        </w:rPr>
      </w:pPr>
    </w:p>
    <w:p w14:paraId="38784E3F">
      <w:pPr>
        <w:pStyle w:val="8"/>
        <w:rPr>
          <w:rFonts w:ascii="Times New Roman" w:hAnsi="Times New Roman"/>
          <w:sz w:val="22"/>
          <w:szCs w:val="22"/>
        </w:rPr>
      </w:pPr>
    </w:p>
    <w:p w14:paraId="03A658BA">
      <w:pPr>
        <w:pStyle w:val="8"/>
        <w:rPr>
          <w:rFonts w:ascii="Times New Roman" w:hAnsi="Times New Roman"/>
          <w:sz w:val="22"/>
          <w:szCs w:val="22"/>
        </w:rPr>
      </w:pPr>
    </w:p>
    <w:p w14:paraId="4BAFCAED">
      <w:pPr>
        <w:pStyle w:val="8"/>
        <w:rPr>
          <w:rFonts w:ascii="Times New Roman" w:hAnsi="Times New Roman"/>
          <w:sz w:val="22"/>
          <w:szCs w:val="22"/>
        </w:rPr>
      </w:pPr>
    </w:p>
    <w:p w14:paraId="7AE80150">
      <w:pPr>
        <w:spacing w:line="360" w:lineRule="atLeast"/>
        <w:ind w:firstLine="431" w:firstLineChars="196"/>
        <w:jc w:val="left"/>
        <w:outlineLvl w:val="1"/>
        <w:rPr>
          <w:rFonts w:ascii="Times New Roman" w:hAnsi="Times New Roman"/>
          <w:sz w:val="32"/>
          <w:szCs w:val="21"/>
        </w:rPr>
      </w:pPr>
      <w:r>
        <w:rPr>
          <w:rFonts w:hint="eastAsia" w:ascii="Times New Roman" w:hAnsi="Times New Roman"/>
          <w:sz w:val="22"/>
          <w:szCs w:val="21"/>
        </w:rPr>
        <w:t>法定代表人（签字或盖章）：</w:t>
      </w:r>
    </w:p>
    <w:p w14:paraId="67446139">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委托代理人（签字或盖章）：</w:t>
      </w:r>
    </w:p>
    <w:p w14:paraId="4698E892">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投标人名称：（盖公章）</w:t>
      </w:r>
    </w:p>
    <w:p w14:paraId="7BA57D79">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日 期：</w:t>
      </w:r>
    </w:p>
    <w:p w14:paraId="47DE8151">
      <w:pPr>
        <w:spacing w:line="360" w:lineRule="atLeast"/>
        <w:jc w:val="left"/>
        <w:outlineLvl w:val="1"/>
        <w:rPr>
          <w:rFonts w:ascii="Times New Roman" w:hAnsi="Times New Roman"/>
          <w:b/>
          <w:sz w:val="22"/>
          <w:szCs w:val="21"/>
        </w:rPr>
      </w:pPr>
      <w:bookmarkStart w:id="186" w:name="_Toc217446084"/>
    </w:p>
    <w:p w14:paraId="325D45AB">
      <w:pPr>
        <w:spacing w:line="360" w:lineRule="atLeast"/>
        <w:jc w:val="left"/>
        <w:outlineLvl w:val="1"/>
        <w:rPr>
          <w:rFonts w:ascii="Times New Roman" w:hAnsi="Times New Roman"/>
          <w:b/>
          <w:sz w:val="22"/>
          <w:szCs w:val="21"/>
        </w:rPr>
      </w:pPr>
    </w:p>
    <w:p w14:paraId="18412A2C">
      <w:pPr>
        <w:spacing w:line="400" w:lineRule="exact"/>
        <w:rPr>
          <w:rFonts w:ascii="Times New Roman" w:hAnsi="Times New Roman"/>
          <w:b/>
          <w:sz w:val="22"/>
          <w:szCs w:val="21"/>
        </w:rPr>
      </w:pPr>
      <w:r>
        <w:rPr>
          <w:rFonts w:hint="eastAsia" w:ascii="Times New Roman" w:hAnsi="Times New Roman"/>
          <w:b/>
          <w:sz w:val="22"/>
          <w:szCs w:val="21"/>
        </w:rPr>
        <w:t>附：</w:t>
      </w:r>
    </w:p>
    <w:p w14:paraId="28E47ABE">
      <w:pPr>
        <w:spacing w:line="400" w:lineRule="exact"/>
        <w:rPr>
          <w:rFonts w:ascii="Times New Roman" w:hAnsi="Times New Roman"/>
          <w:b/>
          <w:sz w:val="22"/>
          <w:szCs w:val="21"/>
        </w:rPr>
      </w:pPr>
      <w:r>
        <w:rPr>
          <w:rFonts w:hint="eastAsia" w:ascii="Times New Roman" w:hAnsi="Times New Roman"/>
          <w:b/>
          <w:sz w:val="22"/>
          <w:szCs w:val="21"/>
        </w:rPr>
        <w:t>1. 法定代表人身份证明复印件（加盖公章）</w:t>
      </w:r>
    </w:p>
    <w:p w14:paraId="138AA31C">
      <w:pPr>
        <w:spacing w:line="400" w:lineRule="exact"/>
        <w:rPr>
          <w:rFonts w:ascii="Times New Roman" w:hAnsi="Times New Roman"/>
          <w:b/>
          <w:sz w:val="22"/>
          <w:szCs w:val="21"/>
        </w:rPr>
      </w:pPr>
      <w:r>
        <w:rPr>
          <w:rFonts w:hint="eastAsia" w:ascii="Times New Roman" w:hAnsi="Times New Roman"/>
          <w:b/>
          <w:sz w:val="22"/>
          <w:szCs w:val="21"/>
        </w:rPr>
        <w:t>2. 委托代理人身份证证明复印件（加盖公章）</w:t>
      </w:r>
    </w:p>
    <w:p w14:paraId="51655BCC">
      <w:pPr>
        <w:spacing w:line="480" w:lineRule="auto"/>
        <w:rPr>
          <w:rFonts w:ascii="Times New Roman" w:hAnsi="Times New Roman"/>
          <w:sz w:val="22"/>
          <w:szCs w:val="21"/>
        </w:rPr>
      </w:pPr>
      <w:r>
        <w:rPr>
          <w:rFonts w:hint="eastAsia" w:ascii="Times New Roman" w:hAnsi="Times New Roman"/>
          <w:sz w:val="22"/>
          <w:szCs w:val="21"/>
        </w:rPr>
        <w:t>注：</w:t>
      </w:r>
    </w:p>
    <w:p w14:paraId="1B5B0DBB">
      <w:pPr>
        <w:spacing w:line="480" w:lineRule="auto"/>
        <w:rPr>
          <w:rFonts w:ascii="Times New Roman" w:hAnsi="Times New Roman"/>
          <w:sz w:val="22"/>
          <w:szCs w:val="21"/>
        </w:rPr>
      </w:pPr>
      <w:r>
        <w:rPr>
          <w:rFonts w:hint="eastAsia" w:ascii="Times New Roman" w:hAnsi="Times New Roman"/>
          <w:sz w:val="22"/>
          <w:szCs w:val="21"/>
        </w:rPr>
        <w:t>1.投标人为法人单位时提供“法定代表人授权书”投标人为其他组织时提供“单位负责人授权书”，投标人为自然人时提供“自然人身份证明材料”。</w:t>
      </w:r>
    </w:p>
    <w:p w14:paraId="3EDA43ED">
      <w:pPr>
        <w:spacing w:line="480" w:lineRule="auto"/>
        <w:rPr>
          <w:rFonts w:ascii="Times New Roman" w:hAnsi="Times New Roman"/>
          <w:sz w:val="22"/>
          <w:szCs w:val="21"/>
        </w:rPr>
      </w:pPr>
      <w:r>
        <w:rPr>
          <w:rFonts w:hint="eastAsia" w:ascii="Times New Roman" w:hAnsi="Times New Roman"/>
          <w:sz w:val="22"/>
          <w:szCs w:val="21"/>
        </w:rPr>
        <w:t>2.应附法定代表人/单位负责人身份证明材料复印件和委托代理人身份证明材料复印件。</w:t>
      </w:r>
    </w:p>
    <w:p w14:paraId="5A7F0EAC">
      <w:pPr>
        <w:spacing w:line="480" w:lineRule="auto"/>
        <w:rPr>
          <w:rFonts w:ascii="Times New Roman" w:hAnsi="Times New Roman"/>
          <w:sz w:val="22"/>
          <w:szCs w:val="21"/>
        </w:rPr>
      </w:pPr>
      <w:r>
        <w:rPr>
          <w:rFonts w:hint="eastAsia" w:ascii="Times New Roman" w:hAnsi="Times New Roman"/>
          <w:sz w:val="22"/>
          <w:szCs w:val="21"/>
        </w:rPr>
        <w:t>3.身份证明材料包括居民身份证或户口本或军官证或护照等。</w:t>
      </w:r>
    </w:p>
    <w:p w14:paraId="36AE1E32">
      <w:pPr>
        <w:spacing w:line="480" w:lineRule="auto"/>
        <w:rPr>
          <w:rFonts w:ascii="Times New Roman" w:hAnsi="Times New Roman"/>
          <w:b/>
          <w:sz w:val="22"/>
          <w:szCs w:val="21"/>
        </w:rPr>
      </w:pPr>
      <w:r>
        <w:rPr>
          <w:rFonts w:hint="eastAsia" w:ascii="Times New Roman" w:hAnsi="Times New Roman"/>
          <w:sz w:val="22"/>
          <w:szCs w:val="21"/>
        </w:rPr>
        <w:t>4.身份证明材料应同时提供其在有效期的材料，如居民身份证正、反面复印件。</w:t>
      </w:r>
    </w:p>
    <w:p w14:paraId="62C40AB5">
      <w:pPr>
        <w:spacing w:line="400" w:lineRule="exact"/>
        <w:rPr>
          <w:rFonts w:ascii="Times New Roman" w:hAnsi="Times New Roman"/>
          <w:b/>
          <w:sz w:val="22"/>
        </w:rPr>
      </w:pPr>
    </w:p>
    <w:p w14:paraId="5DC52206">
      <w:pPr>
        <w:spacing w:line="360" w:lineRule="atLeast"/>
        <w:jc w:val="left"/>
        <w:outlineLvl w:val="1"/>
        <w:rPr>
          <w:rFonts w:ascii="Times New Roman" w:hAnsi="Times New Roman"/>
          <w:b/>
          <w:sz w:val="22"/>
          <w:szCs w:val="21"/>
        </w:rPr>
      </w:pPr>
    </w:p>
    <w:bookmarkEnd w:id="186"/>
    <w:p w14:paraId="5029F9FA">
      <w:pPr>
        <w:spacing w:line="360" w:lineRule="auto"/>
        <w:jc w:val="left"/>
        <w:rPr>
          <w:rFonts w:ascii="Times New Roman" w:hAnsi="Times New Roman"/>
          <w:b/>
          <w:sz w:val="28"/>
          <w:szCs w:val="28"/>
        </w:rPr>
      </w:pPr>
      <w:r>
        <w:rPr>
          <w:rFonts w:ascii="Times New Roman" w:hAnsi="Times New Roman" w:eastAsia="黑体"/>
          <w:b/>
          <w:sz w:val="28"/>
          <w:szCs w:val="28"/>
        </w:rPr>
        <w:br w:type="page"/>
      </w:r>
      <w:r>
        <w:rPr>
          <w:rFonts w:hint="eastAsia" w:ascii="Times New Roman" w:hAnsi="宋体"/>
          <w:b/>
          <w:sz w:val="28"/>
          <w:szCs w:val="28"/>
        </w:rPr>
        <w:t>格式</w:t>
      </w:r>
      <w:r>
        <w:rPr>
          <w:rFonts w:ascii="Times New Roman" w:hAnsi="Times New Roman"/>
          <w:b/>
          <w:sz w:val="28"/>
          <w:szCs w:val="28"/>
        </w:rPr>
        <w:t xml:space="preserve">1-3               </w:t>
      </w:r>
    </w:p>
    <w:p w14:paraId="27BB3AF3">
      <w:pPr>
        <w:spacing w:line="360" w:lineRule="auto"/>
        <w:jc w:val="left"/>
        <w:rPr>
          <w:rFonts w:ascii="Times New Roman" w:hAnsi="Times New Roman"/>
          <w:b/>
          <w:sz w:val="28"/>
          <w:szCs w:val="28"/>
        </w:rPr>
      </w:pPr>
      <w:r>
        <w:rPr>
          <w:rFonts w:hint="eastAsia" w:ascii="Times New Roman" w:hAnsi="宋体"/>
          <w:b/>
          <w:sz w:val="28"/>
          <w:szCs w:val="28"/>
        </w:rPr>
        <w:t>二、《中华人民共和国政府采购法》第二十二条承诺函</w:t>
      </w:r>
    </w:p>
    <w:p w14:paraId="02BB6A9E">
      <w:pPr>
        <w:spacing w:line="360" w:lineRule="atLeast"/>
        <w:jc w:val="center"/>
        <w:outlineLvl w:val="1"/>
        <w:rPr>
          <w:rFonts w:ascii="Times New Roman" w:hAnsi="Times New Roman"/>
          <w:b/>
          <w:sz w:val="22"/>
          <w:szCs w:val="21"/>
        </w:rPr>
      </w:pPr>
    </w:p>
    <w:p w14:paraId="5C97B6BC">
      <w:pPr>
        <w:spacing w:line="360" w:lineRule="atLeast"/>
        <w:jc w:val="left"/>
        <w:outlineLvl w:val="1"/>
        <w:rPr>
          <w:rFonts w:ascii="Times New Roman" w:hAnsi="Times New Roman"/>
          <w:sz w:val="22"/>
          <w:szCs w:val="21"/>
        </w:rPr>
      </w:pPr>
      <w:r>
        <w:rPr>
          <w:rFonts w:hint="eastAsia" w:ascii="Times New Roman" w:hAnsi="Times New Roman"/>
          <w:sz w:val="22"/>
          <w:szCs w:val="21"/>
          <w:u w:val="single"/>
        </w:rPr>
        <w:t>（采购代理机构名称）</w:t>
      </w:r>
      <w:r>
        <w:rPr>
          <w:rFonts w:hint="eastAsia" w:ascii="Times New Roman" w:hAnsi="Times New Roman"/>
          <w:sz w:val="22"/>
          <w:szCs w:val="21"/>
        </w:rPr>
        <w:t>：</w:t>
      </w:r>
    </w:p>
    <w:p w14:paraId="6C986126">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我单位作为本次采购项目的投标人，根据招标文件要求，现郑重承诺如下：</w:t>
      </w:r>
    </w:p>
    <w:p w14:paraId="220C65CF">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具备《中华人民共和国政府采购法》第二十二条第一款和本项目规定的条件：</w:t>
      </w:r>
    </w:p>
    <w:p w14:paraId="605F8708">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（一）具有独立承担民事责任的能力；</w:t>
      </w:r>
    </w:p>
    <w:p w14:paraId="563BB7A9">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（二）具有良好的商业信誉和健全的财务会计制度；</w:t>
      </w:r>
    </w:p>
    <w:p w14:paraId="27E3A3AE">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（三）具有履行合同所必需的设备和专业技术能力；</w:t>
      </w:r>
    </w:p>
    <w:p w14:paraId="4732DA43">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（四）有依法缴纳税收和社会保障资金的良好记录；</w:t>
      </w:r>
    </w:p>
    <w:p w14:paraId="3F3D29D1">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（五）参加政府采购活动前三年内，在经营活动中没有重大违法记录；</w:t>
      </w:r>
    </w:p>
    <w:p w14:paraId="16FB9489">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（六）法律、行政法规规定的其他条件；</w:t>
      </w:r>
    </w:p>
    <w:p w14:paraId="401F20B6">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（七）根据采购项目提出的特殊条件。</w:t>
      </w:r>
    </w:p>
    <w:p w14:paraId="5E6A9678">
      <w:pPr>
        <w:pStyle w:val="8"/>
        <w:rPr>
          <w:rFonts w:ascii="Times New Roman" w:hAnsi="Times New Roman"/>
          <w:sz w:val="22"/>
          <w:szCs w:val="22"/>
        </w:rPr>
      </w:pPr>
    </w:p>
    <w:p w14:paraId="7267A2CA">
      <w:pPr>
        <w:pStyle w:val="8"/>
        <w:rPr>
          <w:rFonts w:ascii="Times New Roman" w:hAnsi="Times New Roman"/>
          <w:sz w:val="22"/>
          <w:szCs w:val="22"/>
        </w:rPr>
      </w:pPr>
    </w:p>
    <w:p w14:paraId="705BBA1D">
      <w:pPr>
        <w:pStyle w:val="8"/>
        <w:rPr>
          <w:rFonts w:ascii="Times New Roman" w:hAnsi="Times New Roman"/>
          <w:sz w:val="22"/>
          <w:szCs w:val="22"/>
        </w:rPr>
      </w:pPr>
    </w:p>
    <w:p w14:paraId="4DF92FF1">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投标人名称：（盖公章）</w:t>
      </w:r>
    </w:p>
    <w:p w14:paraId="43296F7C">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法定代表人或委托代理人（签字或盖章）：</w:t>
      </w:r>
    </w:p>
    <w:p w14:paraId="77B4449C">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日期：</w:t>
      </w:r>
    </w:p>
    <w:p w14:paraId="5CA305A3">
      <w:pPr>
        <w:spacing w:line="360" w:lineRule="atLeast"/>
        <w:outlineLvl w:val="1"/>
        <w:rPr>
          <w:rFonts w:ascii="Times New Roman" w:hAnsi="Times New Roman"/>
          <w:b/>
          <w:sz w:val="28"/>
          <w:szCs w:val="28"/>
        </w:rPr>
      </w:pPr>
      <w:r>
        <w:rPr>
          <w:rFonts w:ascii="Times New Roman" w:hAnsi="Times New Roman"/>
          <w:sz w:val="22"/>
          <w:szCs w:val="21"/>
        </w:rPr>
        <w:br w:type="page"/>
      </w:r>
    </w:p>
    <w:p w14:paraId="326DA071">
      <w:pPr>
        <w:pStyle w:val="3"/>
        <w:tabs>
          <w:tab w:val="left" w:pos="2096"/>
          <w:tab w:val="center" w:pos="5024"/>
        </w:tabs>
        <w:spacing w:before="319" w:beforeLines="100" w:after="478" w:afterLines="150" w:line="500" w:lineRule="exact"/>
        <w:ind w:firstLine="1084" w:firstLineChars="300"/>
        <w:rPr>
          <w:rFonts w:ascii="宋体" w:hAnsi="宋体" w:cs="宋体"/>
          <w:sz w:val="36"/>
          <w:szCs w:val="36"/>
        </w:rPr>
        <w:sectPr>
          <w:footerReference r:id="rId3" w:type="default"/>
          <w:pgSz w:w="11906" w:h="16838"/>
          <w:pgMar w:top="1440" w:right="1803" w:bottom="1440" w:left="1803" w:header="851" w:footer="992" w:gutter="0"/>
          <w:cols w:space="720" w:num="1"/>
          <w:docGrid w:type="lines" w:linePitch="319" w:charSpace="0"/>
        </w:sectPr>
      </w:pPr>
    </w:p>
    <w:p w14:paraId="111F6F6D">
      <w:pPr>
        <w:spacing w:line="360" w:lineRule="auto"/>
        <w:rPr>
          <w:rFonts w:ascii="Times New Roman" w:hAnsi="Times New Roman" w:eastAsia="黑体"/>
          <w:b/>
          <w:sz w:val="28"/>
          <w:szCs w:val="28"/>
        </w:rPr>
      </w:pPr>
      <w:r>
        <w:rPr>
          <w:rFonts w:hint="eastAsia" w:ascii="Times New Roman" w:hAnsi="Times New Roman" w:eastAsia="黑体"/>
          <w:b/>
          <w:sz w:val="28"/>
          <w:szCs w:val="28"/>
        </w:rPr>
        <w:t>格式1-4</w:t>
      </w:r>
    </w:p>
    <w:p w14:paraId="4F701625">
      <w:pPr>
        <w:spacing w:line="360" w:lineRule="auto"/>
        <w:ind w:firstLine="691" w:firstLineChars="246"/>
        <w:jc w:val="center"/>
        <w:rPr>
          <w:rFonts w:ascii="Times New Roman" w:hAnsi="Times New Roman" w:eastAsia="黑体"/>
          <w:b/>
          <w:sz w:val="28"/>
          <w:szCs w:val="28"/>
        </w:rPr>
      </w:pPr>
    </w:p>
    <w:p w14:paraId="5077BB4A">
      <w:pPr>
        <w:spacing w:line="360" w:lineRule="auto"/>
        <w:ind w:firstLine="691" w:firstLineChars="246"/>
        <w:jc w:val="center"/>
        <w:rPr>
          <w:rFonts w:ascii="Times New Roman" w:hAnsi="Times New Roman" w:eastAsia="黑体"/>
          <w:b/>
          <w:sz w:val="28"/>
          <w:szCs w:val="28"/>
        </w:rPr>
      </w:pPr>
      <w:r>
        <w:rPr>
          <w:rFonts w:hint="eastAsia" w:ascii="Times New Roman" w:hAnsi="Times New Roman" w:eastAsia="黑体"/>
          <w:b/>
          <w:sz w:val="28"/>
          <w:szCs w:val="28"/>
        </w:rPr>
        <w:t>三、投标人和投标产品其他资格、资质性及其他类似效力要求的相关证明材料</w:t>
      </w:r>
    </w:p>
    <w:p w14:paraId="38150661">
      <w:pPr>
        <w:spacing w:line="360" w:lineRule="auto"/>
        <w:rPr>
          <w:rFonts w:ascii="Times New Roman" w:hAnsi="Times New Roman"/>
          <w:bCs/>
          <w:sz w:val="22"/>
          <w:szCs w:val="21"/>
        </w:rPr>
      </w:pPr>
      <w:r>
        <w:rPr>
          <w:rFonts w:hint="eastAsia" w:ascii="Times New Roman" w:hAnsi="宋体"/>
          <w:bCs/>
          <w:sz w:val="22"/>
          <w:szCs w:val="21"/>
        </w:rPr>
        <w:t>注：投标人应按招标文件第四章相关要求提供佐证材料，有格式要求的从其要求，无格式要求的格式自拟。</w:t>
      </w:r>
    </w:p>
    <w:p w14:paraId="4BFB6EC3">
      <w:pPr>
        <w:tabs>
          <w:tab w:val="left" w:pos="900"/>
        </w:tabs>
        <w:spacing w:line="360" w:lineRule="auto"/>
        <w:jc w:val="center"/>
        <w:rPr>
          <w:rFonts w:ascii="Times New Roman" w:hAnsi="Times New Roman"/>
          <w:b/>
          <w:sz w:val="28"/>
          <w:szCs w:val="21"/>
        </w:rPr>
      </w:pPr>
      <w:r>
        <w:rPr>
          <w:rFonts w:ascii="Times New Roman" w:hAnsi="Times New Roman"/>
          <w:b/>
          <w:sz w:val="28"/>
          <w:szCs w:val="21"/>
        </w:rPr>
        <w:br w:type="page"/>
      </w:r>
      <w:r>
        <w:rPr>
          <w:rFonts w:hint="eastAsia" w:ascii="Times New Roman" w:hAnsi="宋体"/>
          <w:b/>
          <w:sz w:val="28"/>
          <w:szCs w:val="21"/>
        </w:rPr>
        <w:t>第二部分</w:t>
      </w:r>
      <w:r>
        <w:rPr>
          <w:rFonts w:ascii="Times New Roman" w:hAnsi="Times New Roman"/>
          <w:b/>
          <w:sz w:val="28"/>
          <w:szCs w:val="21"/>
        </w:rPr>
        <w:t xml:space="preserve">     “</w:t>
      </w:r>
      <w:r>
        <w:rPr>
          <w:rFonts w:hint="eastAsia" w:ascii="Times New Roman" w:hAnsi="宋体"/>
          <w:b/>
          <w:sz w:val="28"/>
          <w:szCs w:val="21"/>
        </w:rPr>
        <w:t>其他响应性投标文件</w:t>
      </w:r>
      <w:r>
        <w:rPr>
          <w:rFonts w:ascii="Times New Roman" w:hAnsi="Times New Roman"/>
          <w:b/>
          <w:sz w:val="28"/>
          <w:szCs w:val="21"/>
        </w:rPr>
        <w:t>”</w:t>
      </w:r>
      <w:r>
        <w:rPr>
          <w:rFonts w:hint="eastAsia" w:ascii="Times New Roman" w:hAnsi="宋体"/>
          <w:b/>
          <w:sz w:val="28"/>
          <w:szCs w:val="21"/>
        </w:rPr>
        <w:t>格式</w:t>
      </w:r>
    </w:p>
    <w:p w14:paraId="5BF442D6">
      <w:pPr>
        <w:spacing w:line="360" w:lineRule="auto"/>
        <w:rPr>
          <w:rFonts w:ascii="Times New Roman" w:hAnsi="Times New Roman" w:eastAsia="华文中宋"/>
          <w:b/>
          <w:sz w:val="28"/>
          <w:szCs w:val="28"/>
        </w:rPr>
      </w:pPr>
    </w:p>
    <w:p w14:paraId="176FF175">
      <w:pPr>
        <w:spacing w:line="360" w:lineRule="auto"/>
        <w:rPr>
          <w:rFonts w:ascii="Times New Roman" w:hAnsi="Times New Roman"/>
          <w:b/>
          <w:sz w:val="28"/>
          <w:szCs w:val="28"/>
        </w:rPr>
      </w:pPr>
      <w:r>
        <w:rPr>
          <w:rFonts w:hint="eastAsia" w:ascii="Times New Roman" w:hAnsi="宋体"/>
          <w:b/>
          <w:sz w:val="28"/>
          <w:szCs w:val="28"/>
        </w:rPr>
        <w:t>格式</w:t>
      </w:r>
      <w:r>
        <w:rPr>
          <w:rFonts w:ascii="Times New Roman" w:hAnsi="Times New Roman"/>
          <w:b/>
          <w:sz w:val="28"/>
          <w:szCs w:val="28"/>
        </w:rPr>
        <w:t xml:space="preserve">2-1             </w:t>
      </w:r>
      <w:r>
        <w:rPr>
          <w:rFonts w:hint="eastAsia" w:ascii="Times New Roman" w:hAnsi="宋体"/>
          <w:b/>
          <w:sz w:val="28"/>
          <w:szCs w:val="28"/>
        </w:rPr>
        <w:t>封面：</w:t>
      </w:r>
    </w:p>
    <w:p w14:paraId="75DE3B65">
      <w:pPr>
        <w:spacing w:line="360" w:lineRule="auto"/>
        <w:jc w:val="right"/>
        <w:rPr>
          <w:rFonts w:ascii="Times New Roman" w:hAnsi="Times New Roman"/>
          <w:b/>
          <w:sz w:val="32"/>
          <w:szCs w:val="21"/>
        </w:rPr>
      </w:pPr>
      <w:r>
        <w:rPr>
          <w:rFonts w:hint="eastAsia" w:ascii="Times New Roman" w:hAnsi="宋体"/>
          <w:b/>
          <w:sz w:val="32"/>
          <w:szCs w:val="21"/>
        </w:rPr>
        <w:t>（正本</w:t>
      </w:r>
      <w:r>
        <w:rPr>
          <w:rFonts w:ascii="Times New Roman" w:hAnsi="Times New Roman"/>
          <w:b/>
          <w:sz w:val="32"/>
          <w:szCs w:val="21"/>
        </w:rPr>
        <w:t>/</w:t>
      </w:r>
      <w:r>
        <w:rPr>
          <w:rFonts w:hint="eastAsia" w:ascii="Times New Roman" w:hAnsi="宋体"/>
          <w:b/>
          <w:sz w:val="32"/>
          <w:szCs w:val="21"/>
        </w:rPr>
        <w:t>副本）</w:t>
      </w:r>
    </w:p>
    <w:p w14:paraId="44C24F6A">
      <w:pPr>
        <w:spacing w:line="360" w:lineRule="auto"/>
        <w:rPr>
          <w:rFonts w:ascii="Times New Roman" w:hAnsi="Times New Roman"/>
          <w:b/>
          <w:sz w:val="28"/>
          <w:szCs w:val="28"/>
        </w:rPr>
      </w:pPr>
    </w:p>
    <w:p w14:paraId="17BDF14F">
      <w:pPr>
        <w:spacing w:line="360" w:lineRule="auto"/>
        <w:jc w:val="center"/>
        <w:rPr>
          <w:rFonts w:ascii="Times New Roman" w:hAnsi="Times New Roman"/>
          <w:b/>
          <w:sz w:val="56"/>
          <w:szCs w:val="21"/>
        </w:rPr>
      </w:pPr>
      <w:r>
        <w:rPr>
          <w:rFonts w:hint="eastAsia" w:ascii="Times New Roman" w:hAnsi="宋体"/>
          <w:b/>
          <w:sz w:val="36"/>
          <w:szCs w:val="44"/>
        </w:rPr>
        <w:t>项目</w:t>
      </w:r>
    </w:p>
    <w:p w14:paraId="31DCBE56">
      <w:pPr>
        <w:spacing w:line="360" w:lineRule="auto"/>
        <w:rPr>
          <w:rFonts w:ascii="Times New Roman" w:hAnsi="Times New Roman"/>
          <w:b/>
          <w:sz w:val="48"/>
          <w:szCs w:val="48"/>
        </w:rPr>
      </w:pPr>
    </w:p>
    <w:p w14:paraId="240B5525">
      <w:pPr>
        <w:spacing w:line="360" w:lineRule="auto"/>
        <w:jc w:val="center"/>
        <w:rPr>
          <w:rFonts w:ascii="Times New Roman" w:hAnsi="Times New Roman"/>
          <w:b/>
          <w:sz w:val="32"/>
          <w:szCs w:val="21"/>
        </w:rPr>
      </w:pPr>
      <w:r>
        <w:rPr>
          <w:rFonts w:hint="eastAsia" w:ascii="Times New Roman" w:hAnsi="宋体"/>
          <w:b/>
          <w:sz w:val="48"/>
          <w:szCs w:val="48"/>
        </w:rPr>
        <w:t>其他响应性投标文件</w:t>
      </w:r>
    </w:p>
    <w:p w14:paraId="7E434F61">
      <w:pPr>
        <w:spacing w:line="360" w:lineRule="auto"/>
        <w:rPr>
          <w:rFonts w:ascii="Times New Roman" w:hAnsi="Times New Roman"/>
          <w:b/>
          <w:sz w:val="32"/>
          <w:szCs w:val="21"/>
        </w:rPr>
      </w:pPr>
    </w:p>
    <w:p w14:paraId="567ECD0A">
      <w:pPr>
        <w:spacing w:line="360" w:lineRule="auto"/>
        <w:rPr>
          <w:rFonts w:asciiTheme="minorEastAsia" w:hAnsiTheme="minorEastAsia" w:eastAsiaTheme="minorEastAsia"/>
          <w:b/>
          <w:sz w:val="32"/>
        </w:rPr>
      </w:pPr>
    </w:p>
    <w:p w14:paraId="6F265C12">
      <w:pPr>
        <w:spacing w:line="360" w:lineRule="auto"/>
        <w:rPr>
          <w:rFonts w:asciiTheme="minorEastAsia" w:hAnsiTheme="minorEastAsia" w:eastAsiaTheme="minorEastAsia"/>
          <w:b/>
          <w:sz w:val="32"/>
        </w:rPr>
      </w:pPr>
    </w:p>
    <w:p w14:paraId="47500703">
      <w:pPr>
        <w:spacing w:line="360" w:lineRule="auto"/>
        <w:rPr>
          <w:rFonts w:asciiTheme="minorEastAsia" w:hAnsiTheme="minorEastAsia" w:eastAsiaTheme="minorEastAsia"/>
          <w:b/>
          <w:sz w:val="28"/>
          <w:szCs w:val="21"/>
        </w:rPr>
      </w:pPr>
      <w:r>
        <w:rPr>
          <w:rFonts w:hint="eastAsia" w:asciiTheme="minorEastAsia" w:hAnsiTheme="minorEastAsia" w:eastAsiaTheme="minorEastAsia"/>
          <w:b/>
          <w:sz w:val="28"/>
          <w:szCs w:val="21"/>
        </w:rPr>
        <w:t>投 标 人</w:t>
      </w:r>
      <w:r>
        <w:rPr>
          <w:rFonts w:asciiTheme="minorEastAsia" w:hAnsiTheme="minorEastAsia" w:eastAsiaTheme="minorEastAsia"/>
          <w:b/>
          <w:sz w:val="28"/>
          <w:szCs w:val="21"/>
        </w:rPr>
        <w:t>名称：</w:t>
      </w:r>
    </w:p>
    <w:p w14:paraId="112F64D8">
      <w:pPr>
        <w:spacing w:line="360" w:lineRule="auto"/>
        <w:rPr>
          <w:rFonts w:asciiTheme="minorEastAsia" w:hAnsiTheme="minorEastAsia" w:eastAsiaTheme="minorEastAsia"/>
          <w:b/>
          <w:kern w:val="44"/>
          <w:sz w:val="28"/>
        </w:rPr>
      </w:pPr>
      <w:r>
        <w:rPr>
          <w:rFonts w:hint="eastAsia" w:asciiTheme="minorEastAsia" w:hAnsiTheme="minorEastAsia" w:eastAsiaTheme="minorEastAsia"/>
          <w:b/>
          <w:kern w:val="44"/>
          <w:sz w:val="28"/>
        </w:rPr>
        <w:t>委托代理人：</w:t>
      </w:r>
    </w:p>
    <w:p w14:paraId="2BA2B2E4">
      <w:pPr>
        <w:spacing w:line="360" w:lineRule="auto"/>
        <w:rPr>
          <w:rFonts w:asciiTheme="minorEastAsia" w:hAnsiTheme="minorEastAsia" w:eastAsiaTheme="minorEastAsia"/>
          <w:b/>
          <w:sz w:val="28"/>
          <w:szCs w:val="21"/>
          <w:u w:val="single"/>
        </w:rPr>
      </w:pPr>
      <w:r>
        <w:rPr>
          <w:rFonts w:hint="eastAsia" w:asciiTheme="minorEastAsia" w:hAnsiTheme="minorEastAsia" w:eastAsiaTheme="minorEastAsia"/>
          <w:b/>
          <w:kern w:val="44"/>
          <w:sz w:val="28"/>
        </w:rPr>
        <w:t>委托代理人身份证号：</w:t>
      </w:r>
    </w:p>
    <w:p w14:paraId="3547F96A">
      <w:pPr>
        <w:spacing w:line="360" w:lineRule="auto"/>
        <w:rPr>
          <w:rFonts w:asciiTheme="minorEastAsia" w:hAnsiTheme="minorEastAsia" w:eastAsiaTheme="minorEastAsia"/>
          <w:b/>
          <w:sz w:val="28"/>
          <w:szCs w:val="21"/>
          <w:u w:val="single"/>
        </w:rPr>
      </w:pPr>
      <w:r>
        <w:rPr>
          <w:rFonts w:hint="eastAsia" w:asciiTheme="minorEastAsia" w:hAnsiTheme="minorEastAsia" w:eastAsiaTheme="minorEastAsia"/>
          <w:b/>
          <w:sz w:val="28"/>
          <w:szCs w:val="21"/>
        </w:rPr>
        <w:t>采购项目</w:t>
      </w:r>
      <w:r>
        <w:rPr>
          <w:rFonts w:asciiTheme="minorEastAsia" w:hAnsiTheme="minorEastAsia" w:eastAsiaTheme="minorEastAsia"/>
          <w:b/>
          <w:sz w:val="28"/>
          <w:szCs w:val="21"/>
        </w:rPr>
        <w:t>编号：</w:t>
      </w:r>
    </w:p>
    <w:p w14:paraId="5A199F71">
      <w:pPr>
        <w:spacing w:line="360" w:lineRule="auto"/>
        <w:rPr>
          <w:rFonts w:asciiTheme="minorEastAsia" w:hAnsiTheme="minorEastAsia" w:eastAsiaTheme="minorEastAsia"/>
          <w:b/>
          <w:sz w:val="28"/>
          <w:szCs w:val="21"/>
        </w:rPr>
      </w:pPr>
      <w:r>
        <w:rPr>
          <w:rFonts w:hint="eastAsia" w:asciiTheme="minorEastAsia" w:hAnsiTheme="minorEastAsia" w:eastAsiaTheme="minorEastAsia"/>
          <w:b/>
          <w:sz w:val="28"/>
          <w:szCs w:val="21"/>
        </w:rPr>
        <w:t>包   号</w:t>
      </w:r>
      <w:r>
        <w:rPr>
          <w:rFonts w:asciiTheme="minorEastAsia" w:hAnsiTheme="minorEastAsia" w:eastAsiaTheme="minorEastAsia"/>
          <w:b/>
          <w:sz w:val="28"/>
          <w:szCs w:val="21"/>
        </w:rPr>
        <w:t>：</w:t>
      </w:r>
    </w:p>
    <w:p w14:paraId="19C3B23C">
      <w:pPr>
        <w:spacing w:line="360" w:lineRule="auto"/>
        <w:rPr>
          <w:rFonts w:asciiTheme="minorEastAsia" w:hAnsiTheme="minorEastAsia" w:eastAsiaTheme="minorEastAsia"/>
          <w:b/>
          <w:sz w:val="28"/>
          <w:szCs w:val="21"/>
        </w:rPr>
      </w:pPr>
      <w:r>
        <w:rPr>
          <w:rFonts w:hint="eastAsia" w:asciiTheme="minorEastAsia" w:hAnsiTheme="minorEastAsia" w:eastAsiaTheme="minorEastAsia"/>
          <w:b/>
          <w:sz w:val="28"/>
          <w:szCs w:val="21"/>
        </w:rPr>
        <w:t>时   间</w:t>
      </w:r>
      <w:r>
        <w:rPr>
          <w:rFonts w:asciiTheme="minorEastAsia" w:hAnsiTheme="minorEastAsia" w:eastAsiaTheme="minorEastAsia"/>
          <w:b/>
          <w:sz w:val="28"/>
          <w:szCs w:val="21"/>
        </w:rPr>
        <w:t>：年</w:t>
      </w:r>
      <w:r>
        <w:rPr>
          <w:rFonts w:hint="eastAsia" w:asciiTheme="minorEastAsia" w:hAnsiTheme="minorEastAsia" w:eastAsiaTheme="minorEastAsia"/>
          <w:b/>
          <w:sz w:val="28"/>
          <w:szCs w:val="21"/>
        </w:rPr>
        <w:t xml:space="preserve"> </w:t>
      </w:r>
      <w:r>
        <w:rPr>
          <w:rFonts w:asciiTheme="minorEastAsia" w:hAnsiTheme="minorEastAsia" w:eastAsiaTheme="minorEastAsia"/>
          <w:b/>
          <w:sz w:val="28"/>
          <w:szCs w:val="21"/>
        </w:rPr>
        <w:t>月</w:t>
      </w:r>
      <w:r>
        <w:rPr>
          <w:rFonts w:hint="eastAsia" w:asciiTheme="minorEastAsia" w:hAnsiTheme="minorEastAsia" w:eastAsiaTheme="minorEastAsia"/>
          <w:b/>
          <w:sz w:val="28"/>
          <w:szCs w:val="21"/>
        </w:rPr>
        <w:t xml:space="preserve"> </w:t>
      </w:r>
      <w:r>
        <w:rPr>
          <w:rFonts w:asciiTheme="minorEastAsia" w:hAnsiTheme="minorEastAsia" w:eastAsiaTheme="minorEastAsia"/>
          <w:b/>
          <w:sz w:val="28"/>
          <w:szCs w:val="21"/>
        </w:rPr>
        <w:t>日</w:t>
      </w:r>
    </w:p>
    <w:p w14:paraId="62A7BD0C">
      <w:pPr>
        <w:spacing w:line="400" w:lineRule="exact"/>
        <w:rPr>
          <w:rFonts w:ascii="Times New Roman" w:hAnsi="Times New Roman"/>
          <w:b/>
          <w:sz w:val="28"/>
          <w:szCs w:val="28"/>
        </w:rPr>
      </w:pPr>
      <w:r>
        <w:rPr>
          <w:rFonts w:ascii="Times New Roman" w:hAnsi="Times New Roman"/>
          <w:b/>
          <w:sz w:val="28"/>
          <w:szCs w:val="28"/>
        </w:rPr>
        <w:br w:type="page"/>
      </w:r>
      <w:r>
        <w:rPr>
          <w:rFonts w:hint="eastAsia" w:ascii="Times New Roman" w:hAnsi="宋体"/>
          <w:b/>
          <w:sz w:val="28"/>
          <w:szCs w:val="28"/>
        </w:rPr>
        <w:t>格式</w:t>
      </w:r>
      <w:r>
        <w:rPr>
          <w:rFonts w:ascii="Times New Roman" w:hAnsi="Times New Roman"/>
          <w:b/>
          <w:sz w:val="28"/>
          <w:szCs w:val="28"/>
        </w:rPr>
        <w:t>2-2</w:t>
      </w:r>
    </w:p>
    <w:p w14:paraId="6BA2FFEA">
      <w:pPr>
        <w:spacing w:line="360" w:lineRule="atLeast"/>
        <w:jc w:val="center"/>
        <w:outlineLvl w:val="1"/>
        <w:rPr>
          <w:rFonts w:ascii="Times New Roman" w:hAnsi="Times New Roman" w:eastAsia="黑体"/>
          <w:b/>
          <w:sz w:val="28"/>
          <w:szCs w:val="28"/>
        </w:rPr>
      </w:pPr>
      <w:bookmarkStart w:id="187" w:name="_Toc20015"/>
      <w:bookmarkStart w:id="188" w:name="_Toc32711"/>
    </w:p>
    <w:p w14:paraId="77683597">
      <w:pPr>
        <w:spacing w:line="360" w:lineRule="atLeast"/>
        <w:jc w:val="center"/>
        <w:outlineLvl w:val="1"/>
        <w:rPr>
          <w:rFonts w:ascii="Times New Roman" w:hAnsi="Times New Roman" w:eastAsia="黑体"/>
          <w:b/>
          <w:sz w:val="28"/>
          <w:szCs w:val="28"/>
        </w:rPr>
      </w:pPr>
      <w:r>
        <w:rPr>
          <w:rFonts w:hint="eastAsia" w:ascii="Times New Roman" w:hAnsi="Times New Roman" w:eastAsia="黑体"/>
          <w:b/>
          <w:sz w:val="28"/>
          <w:szCs w:val="28"/>
        </w:rPr>
        <w:t>一、投标函</w:t>
      </w:r>
    </w:p>
    <w:p w14:paraId="1AC202F7">
      <w:pPr>
        <w:spacing w:line="360" w:lineRule="atLeast"/>
        <w:jc w:val="center"/>
        <w:outlineLvl w:val="1"/>
        <w:rPr>
          <w:rFonts w:ascii="Times New Roman" w:hAnsi="Times New Roman"/>
          <w:b/>
          <w:sz w:val="22"/>
          <w:szCs w:val="21"/>
        </w:rPr>
      </w:pPr>
    </w:p>
    <w:p w14:paraId="4262681A">
      <w:pPr>
        <w:pStyle w:val="10"/>
        <w:spacing w:line="240" w:lineRule="auto"/>
        <w:ind w:left="680"/>
        <w:rPr>
          <w:rFonts w:ascii="Times New Roman" w:hAnsi="Times New Roman"/>
          <w:bCs/>
          <w:sz w:val="22"/>
          <w:szCs w:val="21"/>
        </w:rPr>
      </w:pPr>
      <w:bookmarkStart w:id="189" w:name="_Toc308164824"/>
      <w:r>
        <w:rPr>
          <w:rFonts w:ascii="Times New Roman" w:hAnsi="Times New Roman"/>
          <w:bCs/>
          <w:sz w:val="22"/>
          <w:szCs w:val="21"/>
        </w:rPr>
        <w:t>__________________</w:t>
      </w:r>
      <w:r>
        <w:rPr>
          <w:rFonts w:hint="eastAsia" w:ascii="Times New Roman" w:hAnsi="Times New Roman"/>
          <w:bCs/>
          <w:sz w:val="22"/>
          <w:szCs w:val="21"/>
        </w:rPr>
        <w:t>（采购代理机构名称）：</w:t>
      </w:r>
    </w:p>
    <w:p w14:paraId="43C42C77">
      <w:pPr>
        <w:pStyle w:val="10"/>
        <w:spacing w:line="240" w:lineRule="auto"/>
        <w:ind w:left="680" w:firstLine="440" w:firstLineChars="200"/>
        <w:rPr>
          <w:rFonts w:ascii="Times New Roman" w:hAnsi="Times New Roman"/>
          <w:bCs/>
          <w:sz w:val="22"/>
          <w:szCs w:val="21"/>
        </w:rPr>
      </w:pPr>
      <w:r>
        <w:rPr>
          <w:rFonts w:hint="eastAsia" w:ascii="Times New Roman" w:hAnsi="Times New Roman"/>
          <w:bCs/>
          <w:sz w:val="22"/>
          <w:szCs w:val="21"/>
        </w:rPr>
        <w:t>我方全面研究了</w:t>
      </w:r>
      <w:r>
        <w:rPr>
          <w:rFonts w:ascii="Times New Roman" w:hAnsi="Times New Roman"/>
          <w:bCs/>
          <w:sz w:val="22"/>
          <w:szCs w:val="21"/>
        </w:rPr>
        <w:t xml:space="preserve"> “</w:t>
      </w:r>
      <w:r>
        <w:rPr>
          <w:rFonts w:hint="eastAsia" w:ascii="Times New Roman" w:hAnsi="Times New Roman"/>
          <w:bCs/>
          <w:sz w:val="22"/>
          <w:szCs w:val="21"/>
          <w:u w:val="single"/>
        </w:rPr>
        <w:t xml:space="preserve">（项目名称）    </w:t>
      </w:r>
      <w:r>
        <w:rPr>
          <w:rFonts w:ascii="Times New Roman" w:hAnsi="Times New Roman"/>
          <w:bCs/>
          <w:sz w:val="22"/>
          <w:szCs w:val="21"/>
        </w:rPr>
        <w:t>”</w:t>
      </w:r>
      <w:r>
        <w:rPr>
          <w:rFonts w:hint="eastAsia" w:ascii="Times New Roman" w:hAnsi="Times New Roman"/>
          <w:bCs/>
          <w:sz w:val="22"/>
          <w:szCs w:val="21"/>
        </w:rPr>
        <w:t>项目招标文件（招标编号：</w:t>
      </w:r>
      <w:r>
        <w:rPr>
          <w:rFonts w:hint="eastAsia" w:ascii="Times New Roman" w:hAnsi="Times New Roman"/>
          <w:bCs/>
          <w:sz w:val="22"/>
          <w:szCs w:val="21"/>
          <w:u w:val="single"/>
        </w:rPr>
        <w:t xml:space="preserve">         </w:t>
      </w:r>
      <w:r>
        <w:rPr>
          <w:rFonts w:hint="eastAsia" w:ascii="Times New Roman" w:hAnsi="Times New Roman"/>
          <w:bCs/>
          <w:sz w:val="22"/>
          <w:szCs w:val="21"/>
        </w:rPr>
        <w:t>），决定参加贵单位组织的本项目投标。我方授权</w:t>
      </w:r>
      <w:r>
        <w:rPr>
          <w:rFonts w:hint="eastAsia" w:ascii="Times New Roman" w:hAnsi="Times New Roman"/>
          <w:bCs/>
          <w:sz w:val="22"/>
          <w:szCs w:val="21"/>
          <w:u w:val="single"/>
        </w:rPr>
        <w:t xml:space="preserve">（姓名、职务）   </w:t>
      </w:r>
      <w:r>
        <w:rPr>
          <w:rFonts w:hint="eastAsia" w:ascii="Times New Roman" w:hAnsi="Times New Roman"/>
          <w:bCs/>
          <w:sz w:val="22"/>
          <w:szCs w:val="21"/>
        </w:rPr>
        <w:t>代表我方</w:t>
      </w:r>
      <w:r>
        <w:rPr>
          <w:rFonts w:hint="eastAsia" w:ascii="Times New Roman" w:hAnsi="Times New Roman"/>
          <w:bCs/>
          <w:sz w:val="22"/>
          <w:szCs w:val="21"/>
          <w:u w:val="single"/>
        </w:rPr>
        <w:t xml:space="preserve">（投标单位的名称）  </w:t>
      </w:r>
      <w:r>
        <w:rPr>
          <w:rFonts w:hint="eastAsia" w:ascii="Times New Roman" w:hAnsi="Times New Roman"/>
          <w:bCs/>
          <w:sz w:val="22"/>
          <w:szCs w:val="21"/>
        </w:rPr>
        <w:t>全权处理本项目投标的有关事宜。</w:t>
      </w:r>
    </w:p>
    <w:p w14:paraId="51F3721B">
      <w:pPr>
        <w:pStyle w:val="10"/>
        <w:spacing w:line="240" w:lineRule="auto"/>
        <w:ind w:left="680" w:firstLine="440" w:firstLineChars="200"/>
        <w:rPr>
          <w:rFonts w:ascii="Times New Roman" w:hAnsi="Times New Roman"/>
          <w:bCs/>
          <w:sz w:val="22"/>
          <w:szCs w:val="21"/>
        </w:rPr>
      </w:pPr>
      <w:r>
        <w:rPr>
          <w:rFonts w:ascii="Times New Roman" w:hAnsi="Times New Roman"/>
          <w:bCs/>
          <w:sz w:val="22"/>
          <w:szCs w:val="21"/>
        </w:rPr>
        <w:t>1</w:t>
      </w:r>
      <w:r>
        <w:rPr>
          <w:rFonts w:hint="eastAsia" w:ascii="Times New Roman" w:hAnsi="Times New Roman"/>
          <w:bCs/>
          <w:sz w:val="22"/>
          <w:szCs w:val="21"/>
        </w:rPr>
        <w:t>、我方自愿按照招标文件规定的各项要求向采购人提供所需货物</w:t>
      </w:r>
      <w:r>
        <w:rPr>
          <w:rFonts w:ascii="Times New Roman" w:hAnsi="Times New Roman"/>
          <w:bCs/>
          <w:sz w:val="22"/>
          <w:szCs w:val="21"/>
        </w:rPr>
        <w:t>/</w:t>
      </w:r>
      <w:r>
        <w:rPr>
          <w:rFonts w:hint="eastAsia" w:ascii="Times New Roman" w:hAnsi="Times New Roman"/>
          <w:bCs/>
          <w:sz w:val="22"/>
          <w:szCs w:val="21"/>
        </w:rPr>
        <w:t>服务，总投标价为人民币</w:t>
      </w:r>
      <w:r>
        <w:rPr>
          <w:rFonts w:hint="eastAsia" w:ascii="Times New Roman" w:hAnsi="Times New Roman"/>
          <w:bCs/>
          <w:sz w:val="22"/>
          <w:szCs w:val="21"/>
          <w:u w:val="single"/>
        </w:rPr>
        <w:t xml:space="preserve">          </w:t>
      </w:r>
      <w:r>
        <w:rPr>
          <w:rFonts w:hint="eastAsia" w:ascii="Times New Roman" w:hAnsi="Times New Roman"/>
          <w:bCs/>
          <w:sz w:val="22"/>
          <w:szCs w:val="21"/>
        </w:rPr>
        <w:t>万元（大写：</w:t>
      </w:r>
      <w:r>
        <w:rPr>
          <w:rFonts w:hint="eastAsia" w:ascii="Times New Roman" w:hAnsi="Times New Roman"/>
          <w:bCs/>
          <w:sz w:val="22"/>
          <w:szCs w:val="21"/>
          <w:u w:val="single"/>
        </w:rPr>
        <w:t xml:space="preserve">           </w:t>
      </w:r>
      <w:r>
        <w:rPr>
          <w:rFonts w:hint="eastAsia" w:ascii="Times New Roman" w:hAnsi="Times New Roman"/>
          <w:bCs/>
          <w:sz w:val="22"/>
          <w:szCs w:val="21"/>
        </w:rPr>
        <w:t>）。</w:t>
      </w:r>
    </w:p>
    <w:p w14:paraId="676BA595">
      <w:pPr>
        <w:pStyle w:val="10"/>
        <w:spacing w:line="240" w:lineRule="auto"/>
        <w:ind w:left="680" w:firstLine="440" w:firstLineChars="200"/>
        <w:rPr>
          <w:rFonts w:ascii="Times New Roman" w:hAnsi="Times New Roman"/>
          <w:bCs/>
          <w:sz w:val="22"/>
          <w:szCs w:val="21"/>
        </w:rPr>
      </w:pPr>
      <w:r>
        <w:rPr>
          <w:rFonts w:ascii="Times New Roman" w:hAnsi="Times New Roman"/>
          <w:bCs/>
          <w:sz w:val="22"/>
          <w:szCs w:val="21"/>
        </w:rPr>
        <w:t>2</w:t>
      </w:r>
      <w:r>
        <w:rPr>
          <w:rFonts w:hint="eastAsia" w:ascii="Times New Roman" w:hAnsi="Times New Roman"/>
          <w:bCs/>
          <w:sz w:val="22"/>
          <w:szCs w:val="21"/>
        </w:rPr>
        <w:t>、一旦我方中标，我方将严格履行合同规定的责任和义务，保证按我方承诺时间内完成项目的供货、安装、调试并交付采购人验收、使用。</w:t>
      </w:r>
    </w:p>
    <w:p w14:paraId="6C8682AB">
      <w:pPr>
        <w:pStyle w:val="10"/>
        <w:spacing w:line="240" w:lineRule="auto"/>
        <w:ind w:left="680" w:firstLine="440" w:firstLineChars="200"/>
        <w:rPr>
          <w:rFonts w:ascii="Times New Roman" w:hAnsi="Times New Roman"/>
          <w:bCs/>
          <w:sz w:val="22"/>
          <w:szCs w:val="21"/>
        </w:rPr>
      </w:pPr>
      <w:r>
        <w:rPr>
          <w:rFonts w:hint="eastAsia" w:ascii="Times New Roman" w:hAnsi="Times New Roman"/>
          <w:bCs/>
          <w:sz w:val="22"/>
          <w:szCs w:val="21"/>
          <w:lang w:val="en-US" w:eastAsia="zh-CN"/>
        </w:rPr>
        <w:t>3</w:t>
      </w:r>
      <w:r>
        <w:rPr>
          <w:rFonts w:hint="eastAsia" w:ascii="Times New Roman" w:hAnsi="Times New Roman"/>
          <w:bCs/>
          <w:sz w:val="22"/>
          <w:szCs w:val="21"/>
        </w:rPr>
        <w:t>、我方为本项目提交的投标文件正本</w:t>
      </w:r>
      <w:r>
        <w:rPr>
          <w:rFonts w:ascii="Times New Roman" w:hAnsi="Times New Roman"/>
          <w:bCs/>
          <w:sz w:val="22"/>
          <w:szCs w:val="21"/>
        </w:rPr>
        <w:t>1</w:t>
      </w:r>
      <w:r>
        <w:rPr>
          <w:rFonts w:hint="eastAsia" w:ascii="Times New Roman" w:hAnsi="Times New Roman"/>
          <w:bCs/>
          <w:sz w:val="22"/>
          <w:szCs w:val="21"/>
        </w:rPr>
        <w:t>份，副本4份，电子文档（</w:t>
      </w:r>
      <w:r>
        <w:rPr>
          <w:rFonts w:ascii="Times New Roman" w:hAnsi="Times New Roman"/>
          <w:bCs/>
          <w:sz w:val="22"/>
          <w:szCs w:val="21"/>
        </w:rPr>
        <w:t>U</w:t>
      </w:r>
      <w:r>
        <w:rPr>
          <w:rFonts w:hint="eastAsia" w:ascii="Times New Roman" w:hAnsi="Times New Roman"/>
          <w:bCs/>
          <w:sz w:val="22"/>
          <w:szCs w:val="21"/>
        </w:rPr>
        <w:t>盘）</w:t>
      </w:r>
      <w:r>
        <w:rPr>
          <w:rFonts w:ascii="Times New Roman" w:hAnsi="Times New Roman"/>
          <w:bCs/>
          <w:sz w:val="22"/>
          <w:szCs w:val="21"/>
        </w:rPr>
        <w:t>1</w:t>
      </w:r>
      <w:r>
        <w:rPr>
          <w:rFonts w:hint="eastAsia" w:ascii="Times New Roman" w:hAnsi="Times New Roman"/>
          <w:bCs/>
          <w:sz w:val="22"/>
          <w:szCs w:val="21"/>
        </w:rPr>
        <w:t>份，用于开标唱标的</w:t>
      </w:r>
      <w:r>
        <w:rPr>
          <w:rFonts w:ascii="Times New Roman" w:hAnsi="Times New Roman"/>
          <w:bCs/>
          <w:sz w:val="22"/>
          <w:szCs w:val="21"/>
        </w:rPr>
        <w:t>“</w:t>
      </w:r>
      <w:r>
        <w:rPr>
          <w:rFonts w:hint="eastAsia" w:ascii="Times New Roman" w:hAnsi="Times New Roman"/>
          <w:bCs/>
          <w:sz w:val="22"/>
          <w:szCs w:val="21"/>
        </w:rPr>
        <w:t>开标一览表</w:t>
      </w:r>
      <w:r>
        <w:rPr>
          <w:rFonts w:ascii="Times New Roman" w:hAnsi="Times New Roman"/>
          <w:bCs/>
          <w:sz w:val="22"/>
          <w:szCs w:val="21"/>
        </w:rPr>
        <w:t>”1</w:t>
      </w:r>
      <w:r>
        <w:rPr>
          <w:rFonts w:hint="eastAsia" w:ascii="Times New Roman" w:hAnsi="Times New Roman"/>
          <w:bCs/>
          <w:sz w:val="22"/>
          <w:szCs w:val="21"/>
        </w:rPr>
        <w:t>份。</w:t>
      </w:r>
    </w:p>
    <w:p w14:paraId="22773D5B">
      <w:pPr>
        <w:pStyle w:val="10"/>
        <w:spacing w:line="240" w:lineRule="auto"/>
        <w:ind w:left="680" w:firstLine="440" w:firstLineChars="200"/>
        <w:rPr>
          <w:rFonts w:ascii="Times New Roman" w:hAnsi="Times New Roman"/>
          <w:bCs/>
          <w:sz w:val="22"/>
          <w:szCs w:val="21"/>
        </w:rPr>
      </w:pPr>
      <w:r>
        <w:rPr>
          <w:rFonts w:hint="eastAsia" w:ascii="Times New Roman" w:hAnsi="Times New Roman"/>
          <w:bCs/>
          <w:sz w:val="22"/>
          <w:szCs w:val="21"/>
          <w:lang w:val="en-US" w:eastAsia="zh-CN"/>
        </w:rPr>
        <w:t>4</w:t>
      </w:r>
      <w:r>
        <w:rPr>
          <w:rFonts w:hint="eastAsia" w:ascii="Times New Roman" w:hAnsi="Times New Roman"/>
          <w:bCs/>
          <w:sz w:val="22"/>
          <w:szCs w:val="21"/>
        </w:rPr>
        <w:t>、我方承诺投标有效期为开标后</w:t>
      </w:r>
      <w:r>
        <w:rPr>
          <w:rFonts w:hint="eastAsia" w:ascii="Times New Roman" w:hAnsi="Times New Roman"/>
          <w:bCs/>
          <w:sz w:val="22"/>
          <w:szCs w:val="21"/>
          <w:u w:val="single"/>
        </w:rPr>
        <w:t xml:space="preserve">      </w:t>
      </w:r>
      <w:r>
        <w:rPr>
          <w:rFonts w:hint="eastAsia" w:ascii="Times New Roman" w:hAnsi="Times New Roman"/>
          <w:bCs/>
          <w:sz w:val="22"/>
          <w:szCs w:val="21"/>
        </w:rPr>
        <w:t>天（日历日）。</w:t>
      </w:r>
    </w:p>
    <w:p w14:paraId="4A518ECA">
      <w:pPr>
        <w:pStyle w:val="10"/>
        <w:spacing w:line="240" w:lineRule="auto"/>
        <w:ind w:left="680" w:firstLine="440" w:firstLineChars="200"/>
        <w:rPr>
          <w:rFonts w:ascii="Times New Roman" w:hAnsi="Times New Roman"/>
          <w:bCs/>
          <w:sz w:val="22"/>
          <w:szCs w:val="21"/>
        </w:rPr>
      </w:pPr>
      <w:r>
        <w:rPr>
          <w:rFonts w:hint="eastAsia" w:ascii="Times New Roman" w:hAnsi="Times New Roman"/>
          <w:bCs/>
          <w:sz w:val="22"/>
          <w:szCs w:val="21"/>
          <w:lang w:val="en-US" w:eastAsia="zh-CN"/>
        </w:rPr>
        <w:t>5</w:t>
      </w:r>
      <w:r>
        <w:rPr>
          <w:rFonts w:hint="eastAsia" w:ascii="Times New Roman" w:hAnsi="Times New Roman"/>
          <w:bCs/>
          <w:sz w:val="22"/>
          <w:szCs w:val="21"/>
        </w:rPr>
        <w:t>、我方愿意提供贵公司可能另外要求的，与投标有关的文件资料，并保证我方已提供和将要提供的文件资料是真实、准确的。</w:t>
      </w:r>
    </w:p>
    <w:p w14:paraId="0FE40C69">
      <w:pPr>
        <w:pStyle w:val="10"/>
        <w:spacing w:line="240" w:lineRule="auto"/>
        <w:ind w:left="680" w:firstLine="440" w:firstLineChars="200"/>
        <w:rPr>
          <w:rFonts w:ascii="Times New Roman" w:hAnsi="Times New Roman"/>
          <w:bCs/>
          <w:sz w:val="22"/>
          <w:szCs w:val="21"/>
        </w:rPr>
      </w:pPr>
      <w:r>
        <w:rPr>
          <w:rFonts w:hint="eastAsia" w:ascii="Times New Roman" w:hAnsi="Times New Roman"/>
          <w:bCs/>
          <w:sz w:val="22"/>
          <w:szCs w:val="21"/>
          <w:lang w:val="en-US" w:eastAsia="zh-CN"/>
        </w:rPr>
        <w:t>6</w:t>
      </w:r>
      <w:r>
        <w:rPr>
          <w:rFonts w:hint="eastAsia" w:ascii="Times New Roman" w:hAnsi="Times New Roman"/>
          <w:bCs/>
          <w:sz w:val="22"/>
          <w:szCs w:val="21"/>
        </w:rPr>
        <w:t>、我方完全理解采购人不一定将合同授予最低报价的投标人的行为。</w:t>
      </w:r>
    </w:p>
    <w:p w14:paraId="40BB903C">
      <w:pPr>
        <w:pStyle w:val="10"/>
        <w:spacing w:line="240" w:lineRule="auto"/>
        <w:ind w:left="680" w:firstLine="440" w:firstLineChars="200"/>
        <w:rPr>
          <w:rFonts w:ascii="Times New Roman" w:hAnsi="Times New Roman"/>
          <w:bCs/>
          <w:sz w:val="22"/>
          <w:szCs w:val="21"/>
        </w:rPr>
      </w:pPr>
    </w:p>
    <w:p w14:paraId="023F539F">
      <w:pPr>
        <w:pStyle w:val="10"/>
        <w:spacing w:line="240" w:lineRule="auto"/>
        <w:ind w:left="680" w:firstLine="440" w:firstLineChars="200"/>
        <w:rPr>
          <w:rFonts w:ascii="Times New Roman" w:hAnsi="Times New Roman"/>
          <w:bCs/>
          <w:sz w:val="22"/>
          <w:szCs w:val="21"/>
        </w:rPr>
      </w:pPr>
    </w:p>
    <w:p w14:paraId="084942D1">
      <w:pPr>
        <w:pStyle w:val="10"/>
        <w:spacing w:line="240" w:lineRule="auto"/>
        <w:ind w:left="680" w:firstLine="440" w:firstLineChars="200"/>
        <w:rPr>
          <w:rFonts w:ascii="Times New Roman" w:hAnsi="Times New Roman"/>
          <w:bCs/>
          <w:sz w:val="22"/>
          <w:szCs w:val="21"/>
        </w:rPr>
      </w:pPr>
    </w:p>
    <w:p w14:paraId="43B0A3EA">
      <w:pPr>
        <w:pStyle w:val="10"/>
        <w:spacing w:line="240" w:lineRule="auto"/>
        <w:ind w:left="680" w:firstLine="440" w:firstLineChars="200"/>
        <w:rPr>
          <w:rFonts w:ascii="Times New Roman" w:hAnsi="Times New Roman"/>
          <w:bCs/>
          <w:sz w:val="22"/>
          <w:szCs w:val="21"/>
        </w:rPr>
      </w:pPr>
    </w:p>
    <w:p w14:paraId="33E4658A">
      <w:pPr>
        <w:pStyle w:val="10"/>
        <w:spacing w:line="240" w:lineRule="auto"/>
        <w:ind w:left="680" w:firstLine="440" w:firstLineChars="200"/>
        <w:rPr>
          <w:rFonts w:ascii="Times New Roman" w:hAnsi="Times New Roman"/>
          <w:bCs/>
          <w:sz w:val="22"/>
          <w:szCs w:val="21"/>
        </w:rPr>
      </w:pPr>
      <w:r>
        <w:rPr>
          <w:rFonts w:hint="eastAsia" w:ascii="Times New Roman" w:hAnsi="Times New Roman"/>
          <w:bCs/>
          <w:sz w:val="22"/>
          <w:szCs w:val="21"/>
        </w:rPr>
        <w:t>投标人名称：（盖公章）</w:t>
      </w:r>
    </w:p>
    <w:p w14:paraId="7B1CA0BA">
      <w:pPr>
        <w:pStyle w:val="10"/>
        <w:spacing w:line="240" w:lineRule="auto"/>
        <w:ind w:left="680" w:firstLine="440" w:firstLineChars="200"/>
        <w:rPr>
          <w:rFonts w:ascii="Times New Roman" w:hAnsi="Times New Roman"/>
          <w:bCs/>
          <w:sz w:val="22"/>
          <w:szCs w:val="21"/>
        </w:rPr>
      </w:pPr>
      <w:r>
        <w:rPr>
          <w:rFonts w:hint="eastAsia" w:ascii="Times New Roman" w:hAnsi="Times New Roman"/>
          <w:bCs/>
          <w:sz w:val="22"/>
          <w:szCs w:val="21"/>
        </w:rPr>
        <w:t>法定代表人或委托代理人：（签字或盖章）：</w:t>
      </w:r>
    </w:p>
    <w:p w14:paraId="59A96F44">
      <w:pPr>
        <w:pStyle w:val="10"/>
        <w:spacing w:line="240" w:lineRule="auto"/>
        <w:ind w:left="680" w:firstLine="440" w:firstLineChars="200"/>
        <w:rPr>
          <w:rFonts w:ascii="Times New Roman" w:hAnsi="Times New Roman"/>
          <w:bCs/>
          <w:sz w:val="22"/>
          <w:szCs w:val="21"/>
        </w:rPr>
      </w:pPr>
      <w:r>
        <w:rPr>
          <w:rFonts w:hint="eastAsia" w:ascii="Times New Roman" w:hAnsi="Times New Roman"/>
          <w:bCs/>
          <w:sz w:val="22"/>
          <w:szCs w:val="21"/>
        </w:rPr>
        <w:t>通讯地址：</w:t>
      </w:r>
    </w:p>
    <w:p w14:paraId="3ED2B61E">
      <w:pPr>
        <w:pStyle w:val="10"/>
        <w:spacing w:line="240" w:lineRule="auto"/>
        <w:ind w:left="680" w:firstLine="440" w:firstLineChars="200"/>
        <w:rPr>
          <w:rFonts w:ascii="Times New Roman" w:hAnsi="Times New Roman"/>
          <w:bCs/>
          <w:sz w:val="22"/>
          <w:szCs w:val="21"/>
        </w:rPr>
      </w:pPr>
      <w:r>
        <w:rPr>
          <w:rFonts w:hint="eastAsia" w:ascii="Times New Roman" w:hAnsi="Times New Roman"/>
          <w:bCs/>
          <w:sz w:val="22"/>
          <w:szCs w:val="21"/>
        </w:rPr>
        <w:t>邮政编码：</w:t>
      </w:r>
    </w:p>
    <w:p w14:paraId="790A17DD">
      <w:pPr>
        <w:pStyle w:val="10"/>
        <w:spacing w:line="240" w:lineRule="auto"/>
        <w:ind w:left="680" w:firstLine="440" w:firstLineChars="200"/>
        <w:rPr>
          <w:rFonts w:ascii="Times New Roman" w:hAnsi="Times New Roman"/>
          <w:bCs/>
          <w:sz w:val="22"/>
          <w:szCs w:val="21"/>
        </w:rPr>
      </w:pPr>
      <w:r>
        <w:rPr>
          <w:rFonts w:hint="eastAsia" w:ascii="Times New Roman" w:hAnsi="Times New Roman"/>
          <w:bCs/>
          <w:sz w:val="22"/>
          <w:szCs w:val="21"/>
        </w:rPr>
        <w:t>联系电话：</w:t>
      </w:r>
    </w:p>
    <w:p w14:paraId="29FF1E35">
      <w:pPr>
        <w:pStyle w:val="10"/>
        <w:spacing w:line="240" w:lineRule="auto"/>
        <w:ind w:left="680" w:firstLine="440" w:firstLineChars="200"/>
        <w:rPr>
          <w:rFonts w:ascii="Times New Roman" w:hAnsi="Times New Roman"/>
          <w:bCs/>
          <w:sz w:val="22"/>
          <w:szCs w:val="21"/>
        </w:rPr>
      </w:pPr>
      <w:r>
        <w:rPr>
          <w:rFonts w:hint="eastAsia" w:ascii="Times New Roman" w:hAnsi="Times New Roman"/>
          <w:bCs/>
          <w:sz w:val="22"/>
          <w:szCs w:val="21"/>
        </w:rPr>
        <w:t>传真：</w:t>
      </w:r>
    </w:p>
    <w:p w14:paraId="0C2ECB7E">
      <w:pPr>
        <w:pStyle w:val="10"/>
        <w:spacing w:line="240" w:lineRule="auto"/>
        <w:ind w:left="680" w:firstLine="440" w:firstLineChars="200"/>
        <w:rPr>
          <w:rFonts w:ascii="Times New Roman" w:hAnsi="Times New Roman"/>
          <w:sz w:val="32"/>
          <w:szCs w:val="32"/>
        </w:rPr>
      </w:pPr>
      <w:r>
        <w:rPr>
          <w:rFonts w:hint="eastAsia" w:ascii="Times New Roman" w:hAnsi="Times New Roman"/>
          <w:bCs/>
          <w:sz w:val="22"/>
          <w:szCs w:val="21"/>
        </w:rPr>
        <w:t>日期：</w:t>
      </w:r>
    </w:p>
    <w:p w14:paraId="5BC9A995">
      <w:pPr>
        <w:spacing w:line="360" w:lineRule="auto"/>
        <w:rPr>
          <w:rFonts w:ascii="Times New Roman" w:hAnsi="Times New Roman" w:eastAsia="华文中宋"/>
          <w:b/>
          <w:sz w:val="28"/>
          <w:szCs w:val="28"/>
        </w:rPr>
      </w:pPr>
      <w:r>
        <w:rPr>
          <w:rFonts w:ascii="Times New Roman" w:hAnsi="Times New Roman" w:eastAsia="华文中宋"/>
          <w:b/>
          <w:sz w:val="28"/>
          <w:szCs w:val="28"/>
        </w:rPr>
        <w:br w:type="page"/>
      </w:r>
      <w:r>
        <w:rPr>
          <w:rFonts w:hint="eastAsia" w:ascii="Times New Roman" w:hAnsi="宋体"/>
          <w:b/>
          <w:sz w:val="28"/>
          <w:szCs w:val="28"/>
        </w:rPr>
        <w:t>格式</w:t>
      </w:r>
      <w:r>
        <w:rPr>
          <w:rFonts w:ascii="Times New Roman" w:hAnsi="Times New Roman"/>
          <w:b/>
          <w:sz w:val="28"/>
          <w:szCs w:val="28"/>
        </w:rPr>
        <w:t>2-3</w:t>
      </w:r>
    </w:p>
    <w:p w14:paraId="3586475F">
      <w:pPr>
        <w:spacing w:line="360" w:lineRule="atLeast"/>
        <w:jc w:val="center"/>
        <w:outlineLvl w:val="1"/>
        <w:rPr>
          <w:rFonts w:ascii="Times New Roman" w:hAnsi="Times New Roman" w:eastAsia="黑体"/>
          <w:b/>
          <w:sz w:val="28"/>
          <w:szCs w:val="28"/>
        </w:rPr>
      </w:pPr>
      <w:r>
        <w:rPr>
          <w:rFonts w:hint="eastAsia" w:ascii="Times New Roman" w:hAnsi="Times New Roman" w:eastAsia="黑体"/>
          <w:b/>
          <w:sz w:val="28"/>
          <w:szCs w:val="28"/>
        </w:rPr>
        <w:t>二、承诺函</w:t>
      </w:r>
    </w:p>
    <w:p w14:paraId="08BF0399">
      <w:pPr>
        <w:spacing w:line="360" w:lineRule="atLeast"/>
        <w:jc w:val="center"/>
        <w:outlineLvl w:val="1"/>
        <w:rPr>
          <w:rFonts w:ascii="Times New Roman" w:hAnsi="Times New Roman"/>
          <w:b/>
          <w:sz w:val="22"/>
          <w:szCs w:val="21"/>
        </w:rPr>
      </w:pPr>
    </w:p>
    <w:p w14:paraId="7468572A">
      <w:pPr>
        <w:spacing w:line="360" w:lineRule="atLeast"/>
        <w:jc w:val="left"/>
        <w:outlineLvl w:val="1"/>
        <w:rPr>
          <w:rFonts w:ascii="Times New Roman" w:hAnsi="Times New Roman"/>
          <w:sz w:val="22"/>
          <w:szCs w:val="21"/>
        </w:rPr>
      </w:pPr>
      <w:r>
        <w:rPr>
          <w:rFonts w:hint="eastAsia" w:ascii="Times New Roman" w:hAnsi="Times New Roman"/>
          <w:sz w:val="22"/>
          <w:szCs w:val="21"/>
          <w:u w:val="single"/>
        </w:rPr>
        <w:t>（采购代理机构名称）</w:t>
      </w:r>
      <w:r>
        <w:rPr>
          <w:rFonts w:hint="eastAsia" w:ascii="Times New Roman" w:hAnsi="Times New Roman"/>
          <w:sz w:val="22"/>
          <w:szCs w:val="21"/>
        </w:rPr>
        <w:t>：</w:t>
      </w:r>
    </w:p>
    <w:p w14:paraId="4FC69D5C">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我单位作为本次采购项目的投标人，根据招标文件要求，现郑重承诺如下：</w:t>
      </w:r>
    </w:p>
    <w:p w14:paraId="46646C13">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一、完全接受和满足本项目招标文件中规定的实质性要求，如对招标文件有异议，已依法进行维权救济，不存在对招标文件有异议的同时又参加投标以求侥幸中标或者为实现其他非法目的的行为。</w:t>
      </w:r>
    </w:p>
    <w:p w14:paraId="76910751">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二、参加本次招标采购活动，为采购项目提供整体设计、规范编制或者项目管理、监理、检测等服务的供应商，不得再参加该采购项目的其他采购活动。</w:t>
      </w:r>
    </w:p>
    <w:p w14:paraId="074E5531">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三、参加本次招标采购活动，不存在和其他供应商在同一合同项下的采购项目中，同时委托同一个自然人、同一家庭的人员、同一单位的人员作为代理人的行为。</w:t>
      </w:r>
    </w:p>
    <w:p w14:paraId="4D3BBB9B">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四、投标文件中提供的能够给予我单位带来优惠、好处的任何材料资料和技术、服务、商务、响应产品等响应承诺情况都是真实的、有效的、合法的。</w:t>
      </w:r>
    </w:p>
    <w:p w14:paraId="71C8D974">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五、如本项目评标过程中需要提供样品，则我单位提供的样品即为中标后将要提供的中标产品，我单位对提供样品的性能和质量负责，因样品存在缺陷或者不符合招标文件要求导致未能中标的，我单位愿意承担相应不利后果。</w:t>
      </w:r>
    </w:p>
    <w:p w14:paraId="542DDCD5">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本单位对上述承诺的内容事项真实性负责。如经查实上述承诺的内容事项存在虚假，我单位愿意接受以提供虚假材料谋取中标追究法律责任。</w:t>
      </w:r>
    </w:p>
    <w:p w14:paraId="6F0BECC0">
      <w:pPr>
        <w:spacing w:line="360" w:lineRule="atLeast"/>
        <w:ind w:firstLine="431" w:firstLineChars="196"/>
        <w:jc w:val="left"/>
        <w:outlineLvl w:val="1"/>
        <w:rPr>
          <w:rFonts w:ascii="Times New Roman" w:hAnsi="Times New Roman"/>
          <w:sz w:val="22"/>
          <w:szCs w:val="21"/>
        </w:rPr>
      </w:pPr>
    </w:p>
    <w:p w14:paraId="00ADD98B">
      <w:pPr>
        <w:pStyle w:val="8"/>
        <w:rPr>
          <w:rFonts w:ascii="Times New Roman" w:hAnsi="Times New Roman"/>
          <w:sz w:val="22"/>
          <w:szCs w:val="22"/>
        </w:rPr>
      </w:pPr>
    </w:p>
    <w:p w14:paraId="55DED13D">
      <w:pPr>
        <w:pStyle w:val="8"/>
        <w:rPr>
          <w:rFonts w:ascii="Times New Roman" w:hAnsi="Times New Roman"/>
          <w:sz w:val="22"/>
          <w:szCs w:val="22"/>
        </w:rPr>
      </w:pPr>
    </w:p>
    <w:p w14:paraId="41327AAA">
      <w:pPr>
        <w:pStyle w:val="8"/>
        <w:rPr>
          <w:rFonts w:ascii="Times New Roman" w:hAnsi="Times New Roman"/>
          <w:sz w:val="22"/>
          <w:szCs w:val="22"/>
        </w:rPr>
      </w:pPr>
    </w:p>
    <w:p w14:paraId="157950E9">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投标人名称：（单位公章）</w:t>
      </w:r>
    </w:p>
    <w:p w14:paraId="324781B9">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法定代表人或委托代理人：（签字或盖章）：</w:t>
      </w:r>
    </w:p>
    <w:p w14:paraId="4C240C02">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日期：</w:t>
      </w:r>
    </w:p>
    <w:p w14:paraId="3A81140D">
      <w:pPr>
        <w:spacing w:line="360" w:lineRule="auto"/>
        <w:rPr>
          <w:rFonts w:ascii="Times New Roman" w:hAnsi="Times New Roman" w:eastAsia="华文中宋"/>
          <w:b/>
          <w:sz w:val="28"/>
          <w:szCs w:val="28"/>
        </w:rPr>
      </w:pPr>
      <w:r>
        <w:rPr>
          <w:rFonts w:ascii="Times New Roman" w:hAnsi="Times New Roman" w:eastAsia="华文中宋"/>
          <w:b/>
          <w:sz w:val="28"/>
          <w:szCs w:val="28"/>
        </w:rPr>
        <w:br w:type="page"/>
      </w:r>
      <w:r>
        <w:rPr>
          <w:rFonts w:hint="eastAsia" w:ascii="Times New Roman" w:hAnsi="宋体"/>
          <w:b/>
          <w:sz w:val="28"/>
          <w:szCs w:val="28"/>
        </w:rPr>
        <w:t>格式</w:t>
      </w:r>
      <w:r>
        <w:rPr>
          <w:rFonts w:ascii="Times New Roman" w:hAnsi="Times New Roman"/>
          <w:b/>
          <w:sz w:val="28"/>
          <w:szCs w:val="28"/>
        </w:rPr>
        <w:t>2-4</w:t>
      </w:r>
    </w:p>
    <w:bookmarkEnd w:id="189"/>
    <w:p w14:paraId="62778A6A">
      <w:pPr>
        <w:numPr>
          <w:ilvl w:val="0"/>
          <w:numId w:val="2"/>
        </w:numPr>
        <w:spacing w:line="400" w:lineRule="exact"/>
        <w:ind w:firstLine="562" w:firstLineChars="200"/>
        <w:jc w:val="center"/>
        <w:rPr>
          <w:rFonts w:ascii="Times New Roman" w:hAnsi="Times New Roman" w:eastAsia="黑体"/>
          <w:b/>
          <w:sz w:val="28"/>
          <w:szCs w:val="28"/>
        </w:rPr>
      </w:pPr>
      <w:bookmarkStart w:id="190" w:name="_Toc217446085"/>
      <w:r>
        <w:rPr>
          <w:rFonts w:hint="eastAsia" w:ascii="Times New Roman" w:hAnsi="Times New Roman" w:eastAsia="黑体"/>
          <w:b/>
          <w:sz w:val="28"/>
          <w:szCs w:val="28"/>
        </w:rPr>
        <w:t>开标一览表</w:t>
      </w:r>
      <w:bookmarkEnd w:id="190"/>
    </w:p>
    <w:p w14:paraId="011CFE38">
      <w:pPr>
        <w:pStyle w:val="8"/>
        <w:rPr>
          <w:rFonts w:ascii="Times New Roman" w:hAnsi="Times New Roman"/>
          <w:sz w:val="24"/>
          <w:szCs w:val="15"/>
        </w:rPr>
      </w:pPr>
      <w:r>
        <w:rPr>
          <w:rFonts w:hint="eastAsia" w:ascii="Times New Roman" w:hAnsi="Times New Roman"/>
          <w:sz w:val="24"/>
          <w:szCs w:val="15"/>
        </w:rPr>
        <w:t>项目编号</w:t>
      </w:r>
      <w:r>
        <w:rPr>
          <w:rFonts w:ascii="Times New Roman" w:hAnsi="Times New Roman"/>
          <w:sz w:val="24"/>
          <w:szCs w:val="15"/>
        </w:rPr>
        <w:t>/</w:t>
      </w:r>
      <w:r>
        <w:rPr>
          <w:rFonts w:hint="eastAsia" w:ascii="Times New Roman" w:hAnsi="Times New Roman"/>
          <w:sz w:val="24"/>
          <w:szCs w:val="15"/>
        </w:rPr>
        <w:t>包号</w:t>
      </w:r>
    </w:p>
    <w:tbl>
      <w:tblPr>
        <w:tblStyle w:val="16"/>
        <w:tblW w:w="945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1"/>
        <w:gridCol w:w="1255"/>
        <w:gridCol w:w="771"/>
        <w:gridCol w:w="997"/>
        <w:gridCol w:w="642"/>
        <w:gridCol w:w="1517"/>
        <w:gridCol w:w="995"/>
        <w:gridCol w:w="1227"/>
        <w:gridCol w:w="927"/>
        <w:gridCol w:w="520"/>
      </w:tblGrid>
      <w:tr w14:paraId="609742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35" w:hRule="atLeast"/>
          <w:jc w:val="center"/>
        </w:trPr>
        <w:tc>
          <w:tcPr>
            <w:tcW w:w="601" w:type="dxa"/>
            <w:tcBorders>
              <w:top w:val="single" w:color="auto" w:sz="12" w:space="0"/>
            </w:tcBorders>
            <w:vAlign w:val="center"/>
          </w:tcPr>
          <w:p w14:paraId="2BB5C8A1">
            <w:pPr>
              <w:spacing w:line="400" w:lineRule="exact"/>
              <w:jc w:val="center"/>
              <w:rPr>
                <w:rFonts w:ascii="Times New Roman" w:hAnsi="Times New Roman"/>
                <w:sz w:val="22"/>
                <w:szCs w:val="21"/>
              </w:rPr>
            </w:pPr>
            <w:r>
              <w:rPr>
                <w:rFonts w:hint="eastAsia" w:ascii="Times New Roman" w:hAnsi="宋体"/>
                <w:sz w:val="22"/>
                <w:szCs w:val="21"/>
              </w:rPr>
              <w:t>序号</w:t>
            </w:r>
          </w:p>
        </w:tc>
        <w:tc>
          <w:tcPr>
            <w:tcW w:w="1255" w:type="dxa"/>
            <w:tcBorders>
              <w:top w:val="single" w:color="auto" w:sz="12" w:space="0"/>
            </w:tcBorders>
            <w:vAlign w:val="center"/>
          </w:tcPr>
          <w:p w14:paraId="010B3275">
            <w:pPr>
              <w:spacing w:line="400" w:lineRule="exact"/>
              <w:jc w:val="center"/>
              <w:rPr>
                <w:rFonts w:ascii="Times New Roman" w:hAnsi="Times New Roman"/>
                <w:sz w:val="22"/>
                <w:szCs w:val="21"/>
              </w:rPr>
            </w:pPr>
            <w:r>
              <w:rPr>
                <w:rFonts w:hint="eastAsia" w:ascii="Times New Roman" w:hAnsi="宋体"/>
                <w:sz w:val="22"/>
                <w:szCs w:val="21"/>
              </w:rPr>
              <w:t>货物名称</w:t>
            </w:r>
          </w:p>
        </w:tc>
        <w:tc>
          <w:tcPr>
            <w:tcW w:w="771" w:type="dxa"/>
            <w:tcBorders>
              <w:top w:val="single" w:color="auto" w:sz="12" w:space="0"/>
            </w:tcBorders>
            <w:vAlign w:val="center"/>
          </w:tcPr>
          <w:p w14:paraId="09C4D851">
            <w:pPr>
              <w:spacing w:line="400" w:lineRule="exact"/>
              <w:rPr>
                <w:rFonts w:ascii="Times New Roman" w:hAnsi="Times New Roman"/>
                <w:sz w:val="22"/>
                <w:szCs w:val="21"/>
              </w:rPr>
            </w:pPr>
            <w:r>
              <w:rPr>
                <w:rFonts w:hint="eastAsia" w:ascii="Times New Roman" w:hAnsi="宋体"/>
                <w:sz w:val="22"/>
                <w:szCs w:val="21"/>
              </w:rPr>
              <w:t>制造商品牌</w:t>
            </w:r>
          </w:p>
        </w:tc>
        <w:tc>
          <w:tcPr>
            <w:tcW w:w="997" w:type="dxa"/>
            <w:tcBorders>
              <w:top w:val="single" w:color="auto" w:sz="12" w:space="0"/>
            </w:tcBorders>
            <w:vAlign w:val="center"/>
          </w:tcPr>
          <w:p w14:paraId="3D08456D">
            <w:pPr>
              <w:spacing w:line="400" w:lineRule="exact"/>
              <w:jc w:val="center"/>
              <w:rPr>
                <w:rFonts w:ascii="Times New Roman" w:hAnsi="宋体"/>
                <w:sz w:val="22"/>
                <w:szCs w:val="21"/>
              </w:rPr>
            </w:pPr>
            <w:r>
              <w:rPr>
                <w:rFonts w:hint="eastAsia" w:ascii="Times New Roman" w:hAnsi="宋体"/>
                <w:sz w:val="22"/>
                <w:szCs w:val="21"/>
              </w:rPr>
              <w:t>规格型号</w:t>
            </w:r>
          </w:p>
        </w:tc>
        <w:tc>
          <w:tcPr>
            <w:tcW w:w="642" w:type="dxa"/>
            <w:tcBorders>
              <w:top w:val="single" w:color="auto" w:sz="12" w:space="0"/>
            </w:tcBorders>
            <w:vAlign w:val="center"/>
          </w:tcPr>
          <w:p w14:paraId="00FFAD76">
            <w:pPr>
              <w:spacing w:line="400" w:lineRule="exact"/>
              <w:jc w:val="center"/>
              <w:rPr>
                <w:rFonts w:ascii="Times New Roman" w:hAnsi="Times New Roman"/>
                <w:sz w:val="22"/>
                <w:szCs w:val="21"/>
              </w:rPr>
            </w:pPr>
            <w:r>
              <w:rPr>
                <w:rFonts w:hint="eastAsia" w:ascii="Times New Roman" w:hAnsi="宋体"/>
                <w:sz w:val="22"/>
                <w:szCs w:val="21"/>
              </w:rPr>
              <w:t>数量</w:t>
            </w:r>
          </w:p>
        </w:tc>
        <w:tc>
          <w:tcPr>
            <w:tcW w:w="1517" w:type="dxa"/>
            <w:tcBorders>
              <w:top w:val="single" w:color="auto" w:sz="12" w:space="0"/>
            </w:tcBorders>
            <w:vAlign w:val="center"/>
          </w:tcPr>
          <w:p w14:paraId="594D494A">
            <w:pPr>
              <w:spacing w:line="400" w:lineRule="exact"/>
              <w:jc w:val="center"/>
              <w:rPr>
                <w:rFonts w:ascii="Times New Roman" w:hAnsi="Times New Roman"/>
                <w:sz w:val="22"/>
                <w:szCs w:val="21"/>
              </w:rPr>
            </w:pPr>
            <w:r>
              <w:rPr>
                <w:rFonts w:hint="eastAsia" w:ascii="Times New Roman" w:hAnsi="宋体"/>
                <w:sz w:val="22"/>
                <w:szCs w:val="21"/>
              </w:rPr>
              <w:t>投标单价</w:t>
            </w:r>
          </w:p>
          <w:p w14:paraId="4A5DEE08">
            <w:pPr>
              <w:spacing w:line="400" w:lineRule="exact"/>
              <w:jc w:val="center"/>
              <w:rPr>
                <w:rFonts w:ascii="Times New Roman" w:hAnsi="Times New Roman"/>
                <w:sz w:val="22"/>
                <w:szCs w:val="21"/>
              </w:rPr>
            </w:pPr>
            <w:r>
              <w:rPr>
                <w:rFonts w:hint="eastAsia" w:ascii="Times New Roman" w:hAnsi="宋体"/>
                <w:sz w:val="22"/>
                <w:szCs w:val="21"/>
              </w:rPr>
              <w:t>（元）</w:t>
            </w:r>
          </w:p>
        </w:tc>
        <w:tc>
          <w:tcPr>
            <w:tcW w:w="995" w:type="dxa"/>
            <w:tcBorders>
              <w:top w:val="single" w:color="auto" w:sz="12" w:space="0"/>
            </w:tcBorders>
            <w:vAlign w:val="center"/>
          </w:tcPr>
          <w:p w14:paraId="5035B87A">
            <w:pPr>
              <w:spacing w:line="400" w:lineRule="exact"/>
              <w:jc w:val="center"/>
              <w:rPr>
                <w:rFonts w:ascii="Times New Roman" w:hAnsi="宋体"/>
                <w:sz w:val="22"/>
                <w:szCs w:val="21"/>
              </w:rPr>
            </w:pPr>
            <w:r>
              <w:rPr>
                <w:rFonts w:hint="eastAsia" w:ascii="Times New Roman" w:hAnsi="宋体"/>
                <w:sz w:val="22"/>
                <w:szCs w:val="21"/>
              </w:rPr>
              <w:t>小计</w:t>
            </w:r>
          </w:p>
          <w:p w14:paraId="7C0D9A64">
            <w:pPr>
              <w:spacing w:line="400" w:lineRule="exact"/>
              <w:jc w:val="center"/>
              <w:rPr>
                <w:rFonts w:ascii="Times New Roman" w:hAnsi="宋体"/>
                <w:sz w:val="22"/>
                <w:szCs w:val="21"/>
              </w:rPr>
            </w:pPr>
            <w:r>
              <w:rPr>
                <w:rFonts w:hint="eastAsia" w:ascii="Times New Roman" w:hAnsi="宋体"/>
                <w:sz w:val="22"/>
                <w:szCs w:val="21"/>
              </w:rPr>
              <w:t>（元）</w:t>
            </w:r>
          </w:p>
        </w:tc>
        <w:tc>
          <w:tcPr>
            <w:tcW w:w="1227" w:type="dxa"/>
            <w:tcBorders>
              <w:top w:val="single" w:color="auto" w:sz="12" w:space="0"/>
            </w:tcBorders>
            <w:vAlign w:val="center"/>
          </w:tcPr>
          <w:p w14:paraId="5C19F5A5">
            <w:pPr>
              <w:spacing w:line="400" w:lineRule="exact"/>
              <w:jc w:val="center"/>
              <w:rPr>
                <w:rFonts w:ascii="Times New Roman" w:hAnsi="Times New Roman"/>
                <w:sz w:val="22"/>
                <w:szCs w:val="21"/>
              </w:rPr>
            </w:pPr>
            <w:r>
              <w:rPr>
                <w:rFonts w:hint="eastAsia" w:ascii="Times New Roman" w:hAnsi="宋体"/>
                <w:sz w:val="22"/>
                <w:szCs w:val="21"/>
              </w:rPr>
              <w:t>交货（完工）时间</w:t>
            </w:r>
          </w:p>
        </w:tc>
        <w:tc>
          <w:tcPr>
            <w:tcW w:w="927" w:type="dxa"/>
            <w:tcBorders>
              <w:top w:val="single" w:color="auto" w:sz="12" w:space="0"/>
            </w:tcBorders>
            <w:vAlign w:val="center"/>
          </w:tcPr>
          <w:p w14:paraId="12C9CE36">
            <w:pPr>
              <w:spacing w:line="400" w:lineRule="exact"/>
              <w:jc w:val="center"/>
              <w:rPr>
                <w:rFonts w:ascii="Times New Roman" w:hAnsi="Times New Roman"/>
                <w:sz w:val="22"/>
                <w:szCs w:val="21"/>
              </w:rPr>
            </w:pPr>
            <w:r>
              <w:rPr>
                <w:rFonts w:hint="eastAsia" w:ascii="Times New Roman" w:hAnsi="宋体"/>
                <w:sz w:val="22"/>
                <w:szCs w:val="21"/>
              </w:rPr>
              <w:t>质保期</w:t>
            </w:r>
          </w:p>
        </w:tc>
        <w:tc>
          <w:tcPr>
            <w:tcW w:w="520" w:type="dxa"/>
            <w:tcBorders>
              <w:top w:val="single" w:color="auto" w:sz="12" w:space="0"/>
            </w:tcBorders>
            <w:vAlign w:val="center"/>
          </w:tcPr>
          <w:p w14:paraId="7AD9B837">
            <w:pPr>
              <w:spacing w:line="400" w:lineRule="exact"/>
              <w:jc w:val="center"/>
              <w:rPr>
                <w:rFonts w:ascii="Times New Roman" w:hAnsi="Times New Roman"/>
                <w:sz w:val="22"/>
                <w:szCs w:val="21"/>
              </w:rPr>
            </w:pPr>
            <w:r>
              <w:rPr>
                <w:rFonts w:hint="eastAsia" w:ascii="Times New Roman" w:hAnsi="宋体"/>
                <w:sz w:val="22"/>
                <w:szCs w:val="21"/>
              </w:rPr>
              <w:t>备注</w:t>
            </w:r>
          </w:p>
        </w:tc>
      </w:tr>
      <w:tr w14:paraId="4C8ED5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01" w:type="dxa"/>
            <w:vAlign w:val="center"/>
          </w:tcPr>
          <w:p w14:paraId="589A84BA">
            <w:pPr>
              <w:spacing w:line="400" w:lineRule="exact"/>
              <w:ind w:firstLine="100" w:firstLineChars="50"/>
              <w:rPr>
                <w:rFonts w:ascii="Times New Roman" w:hAnsi="Times New Roman"/>
                <w:sz w:val="20"/>
                <w:szCs w:val="20"/>
              </w:rPr>
            </w:pPr>
            <w:r>
              <w:rPr>
                <w:rFonts w:ascii="Times New Roman" w:hAnsi="Times New Roman"/>
                <w:sz w:val="20"/>
                <w:szCs w:val="20"/>
              </w:rPr>
              <w:t>1</w:t>
            </w:r>
          </w:p>
        </w:tc>
        <w:tc>
          <w:tcPr>
            <w:tcW w:w="1255" w:type="dxa"/>
            <w:vAlign w:val="center"/>
          </w:tcPr>
          <w:p w14:paraId="0E57D9FE">
            <w:pPr>
              <w:spacing w:line="400" w:lineRule="exact"/>
              <w:ind w:firstLine="100" w:firstLineChars="50"/>
              <w:rPr>
                <w:rFonts w:ascii="Times New Roman" w:hAnsi="Times New Roman"/>
                <w:sz w:val="20"/>
                <w:szCs w:val="20"/>
              </w:rPr>
            </w:pPr>
          </w:p>
        </w:tc>
        <w:tc>
          <w:tcPr>
            <w:tcW w:w="771" w:type="dxa"/>
            <w:vAlign w:val="center"/>
          </w:tcPr>
          <w:p w14:paraId="73FA78AA">
            <w:pPr>
              <w:spacing w:line="400" w:lineRule="exact"/>
              <w:ind w:firstLine="100" w:firstLineChars="50"/>
              <w:rPr>
                <w:rFonts w:ascii="Times New Roman" w:hAnsi="Times New Roman"/>
                <w:sz w:val="20"/>
                <w:szCs w:val="20"/>
              </w:rPr>
            </w:pPr>
          </w:p>
        </w:tc>
        <w:tc>
          <w:tcPr>
            <w:tcW w:w="997" w:type="dxa"/>
            <w:vAlign w:val="center"/>
          </w:tcPr>
          <w:p w14:paraId="3C297A4C">
            <w:pPr>
              <w:spacing w:line="400" w:lineRule="exact"/>
              <w:ind w:firstLine="100" w:firstLineChars="50"/>
              <w:rPr>
                <w:rFonts w:ascii="Times New Roman" w:hAnsi="Times New Roman"/>
                <w:sz w:val="20"/>
                <w:szCs w:val="20"/>
              </w:rPr>
            </w:pPr>
          </w:p>
        </w:tc>
        <w:tc>
          <w:tcPr>
            <w:tcW w:w="642" w:type="dxa"/>
            <w:vAlign w:val="center"/>
          </w:tcPr>
          <w:p w14:paraId="555C851C">
            <w:pPr>
              <w:spacing w:line="400" w:lineRule="exact"/>
              <w:ind w:firstLine="100" w:firstLineChars="50"/>
              <w:rPr>
                <w:rFonts w:ascii="Times New Roman" w:hAnsi="Times New Roman"/>
                <w:sz w:val="20"/>
                <w:szCs w:val="20"/>
              </w:rPr>
            </w:pPr>
          </w:p>
        </w:tc>
        <w:tc>
          <w:tcPr>
            <w:tcW w:w="1517" w:type="dxa"/>
            <w:vAlign w:val="center"/>
          </w:tcPr>
          <w:p w14:paraId="6792509A">
            <w:pPr>
              <w:spacing w:line="400" w:lineRule="exact"/>
              <w:ind w:firstLine="100" w:firstLineChars="50"/>
              <w:rPr>
                <w:rFonts w:ascii="Times New Roman" w:hAnsi="Times New Roman"/>
                <w:sz w:val="20"/>
                <w:szCs w:val="20"/>
              </w:rPr>
            </w:pPr>
          </w:p>
        </w:tc>
        <w:tc>
          <w:tcPr>
            <w:tcW w:w="995" w:type="dxa"/>
            <w:vAlign w:val="center"/>
          </w:tcPr>
          <w:p w14:paraId="49FCBD0A">
            <w:pPr>
              <w:spacing w:line="400" w:lineRule="exact"/>
              <w:ind w:firstLine="100" w:firstLineChars="50"/>
              <w:rPr>
                <w:rFonts w:ascii="Times New Roman" w:hAnsi="Times New Roman"/>
                <w:sz w:val="20"/>
                <w:szCs w:val="20"/>
              </w:rPr>
            </w:pPr>
          </w:p>
        </w:tc>
        <w:tc>
          <w:tcPr>
            <w:tcW w:w="1227" w:type="dxa"/>
            <w:vAlign w:val="center"/>
          </w:tcPr>
          <w:p w14:paraId="6F759DEF">
            <w:pPr>
              <w:spacing w:line="400" w:lineRule="exact"/>
              <w:ind w:firstLine="100" w:firstLineChars="50"/>
              <w:rPr>
                <w:rFonts w:ascii="Times New Roman" w:hAnsi="Times New Roman"/>
                <w:sz w:val="20"/>
                <w:szCs w:val="20"/>
              </w:rPr>
            </w:pPr>
          </w:p>
        </w:tc>
        <w:tc>
          <w:tcPr>
            <w:tcW w:w="927" w:type="dxa"/>
            <w:vAlign w:val="center"/>
          </w:tcPr>
          <w:p w14:paraId="72D69E5A">
            <w:pPr>
              <w:spacing w:line="400" w:lineRule="exact"/>
              <w:ind w:firstLine="100" w:firstLineChars="50"/>
              <w:rPr>
                <w:rFonts w:ascii="Times New Roman" w:hAnsi="Times New Roman"/>
                <w:sz w:val="20"/>
                <w:szCs w:val="20"/>
              </w:rPr>
            </w:pPr>
          </w:p>
        </w:tc>
        <w:tc>
          <w:tcPr>
            <w:tcW w:w="520" w:type="dxa"/>
            <w:vAlign w:val="center"/>
          </w:tcPr>
          <w:p w14:paraId="3D290D45">
            <w:pPr>
              <w:spacing w:line="400" w:lineRule="exact"/>
              <w:ind w:firstLine="100" w:firstLineChars="50"/>
              <w:rPr>
                <w:rFonts w:ascii="Times New Roman" w:hAnsi="Times New Roman"/>
                <w:sz w:val="20"/>
                <w:szCs w:val="20"/>
              </w:rPr>
            </w:pPr>
          </w:p>
        </w:tc>
      </w:tr>
      <w:tr w14:paraId="5F1469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01" w:type="dxa"/>
            <w:vAlign w:val="center"/>
          </w:tcPr>
          <w:p w14:paraId="51A0D2AD">
            <w:pPr>
              <w:spacing w:line="400" w:lineRule="exact"/>
              <w:ind w:firstLine="100" w:firstLineChars="50"/>
              <w:rPr>
                <w:rFonts w:ascii="Times New Roman" w:hAnsi="Times New Roman"/>
                <w:sz w:val="20"/>
                <w:szCs w:val="20"/>
              </w:rPr>
            </w:pPr>
            <w:r>
              <w:rPr>
                <w:rFonts w:hint="eastAsia" w:ascii="Times New Roman" w:hAnsi="Times New Roman"/>
                <w:sz w:val="20"/>
                <w:szCs w:val="20"/>
              </w:rPr>
              <w:t>2</w:t>
            </w:r>
          </w:p>
        </w:tc>
        <w:tc>
          <w:tcPr>
            <w:tcW w:w="1255" w:type="dxa"/>
            <w:vAlign w:val="center"/>
          </w:tcPr>
          <w:p w14:paraId="1A3DB4B8">
            <w:pPr>
              <w:spacing w:line="400" w:lineRule="exact"/>
              <w:ind w:firstLine="100" w:firstLineChars="50"/>
              <w:rPr>
                <w:rFonts w:ascii="Times New Roman" w:hAnsi="Times New Roman"/>
                <w:sz w:val="20"/>
                <w:szCs w:val="20"/>
              </w:rPr>
            </w:pPr>
          </w:p>
        </w:tc>
        <w:tc>
          <w:tcPr>
            <w:tcW w:w="771" w:type="dxa"/>
            <w:vAlign w:val="center"/>
          </w:tcPr>
          <w:p w14:paraId="544BA04D">
            <w:pPr>
              <w:spacing w:line="400" w:lineRule="exact"/>
              <w:ind w:firstLine="100" w:firstLineChars="50"/>
              <w:rPr>
                <w:rFonts w:ascii="Times New Roman" w:hAnsi="Times New Roman"/>
                <w:sz w:val="20"/>
                <w:szCs w:val="20"/>
              </w:rPr>
            </w:pPr>
          </w:p>
        </w:tc>
        <w:tc>
          <w:tcPr>
            <w:tcW w:w="997" w:type="dxa"/>
            <w:vAlign w:val="center"/>
          </w:tcPr>
          <w:p w14:paraId="39DD5540">
            <w:pPr>
              <w:spacing w:line="400" w:lineRule="exact"/>
              <w:ind w:firstLine="100" w:firstLineChars="50"/>
              <w:rPr>
                <w:rFonts w:ascii="Times New Roman" w:hAnsi="Times New Roman"/>
                <w:sz w:val="20"/>
                <w:szCs w:val="20"/>
              </w:rPr>
            </w:pPr>
          </w:p>
        </w:tc>
        <w:tc>
          <w:tcPr>
            <w:tcW w:w="642" w:type="dxa"/>
            <w:vAlign w:val="center"/>
          </w:tcPr>
          <w:p w14:paraId="1E35E7B0">
            <w:pPr>
              <w:spacing w:line="400" w:lineRule="exact"/>
              <w:ind w:firstLine="100" w:firstLineChars="50"/>
              <w:rPr>
                <w:rFonts w:ascii="Times New Roman" w:hAnsi="Times New Roman"/>
                <w:sz w:val="20"/>
                <w:szCs w:val="20"/>
              </w:rPr>
            </w:pPr>
          </w:p>
        </w:tc>
        <w:tc>
          <w:tcPr>
            <w:tcW w:w="1517" w:type="dxa"/>
            <w:vAlign w:val="center"/>
          </w:tcPr>
          <w:p w14:paraId="3FD2F4DC">
            <w:pPr>
              <w:spacing w:line="400" w:lineRule="exact"/>
              <w:ind w:firstLine="100" w:firstLineChars="50"/>
              <w:rPr>
                <w:rFonts w:ascii="Times New Roman" w:hAnsi="Times New Roman"/>
                <w:sz w:val="20"/>
                <w:szCs w:val="20"/>
              </w:rPr>
            </w:pPr>
          </w:p>
        </w:tc>
        <w:tc>
          <w:tcPr>
            <w:tcW w:w="995" w:type="dxa"/>
            <w:vAlign w:val="center"/>
          </w:tcPr>
          <w:p w14:paraId="0A686B2C">
            <w:pPr>
              <w:spacing w:line="400" w:lineRule="exact"/>
              <w:ind w:firstLine="100" w:firstLineChars="50"/>
              <w:rPr>
                <w:rFonts w:ascii="Times New Roman" w:hAnsi="Times New Roman"/>
                <w:sz w:val="20"/>
                <w:szCs w:val="20"/>
              </w:rPr>
            </w:pPr>
          </w:p>
        </w:tc>
        <w:tc>
          <w:tcPr>
            <w:tcW w:w="1227" w:type="dxa"/>
            <w:vAlign w:val="center"/>
          </w:tcPr>
          <w:p w14:paraId="4E914312">
            <w:pPr>
              <w:spacing w:line="400" w:lineRule="exact"/>
              <w:ind w:firstLine="100" w:firstLineChars="50"/>
              <w:rPr>
                <w:rFonts w:ascii="Times New Roman" w:hAnsi="Times New Roman"/>
                <w:sz w:val="20"/>
                <w:szCs w:val="20"/>
              </w:rPr>
            </w:pPr>
          </w:p>
        </w:tc>
        <w:tc>
          <w:tcPr>
            <w:tcW w:w="927" w:type="dxa"/>
            <w:vAlign w:val="center"/>
          </w:tcPr>
          <w:p w14:paraId="75E66374">
            <w:pPr>
              <w:spacing w:line="400" w:lineRule="exact"/>
              <w:ind w:firstLine="100" w:firstLineChars="50"/>
              <w:rPr>
                <w:rFonts w:ascii="Times New Roman" w:hAnsi="Times New Roman"/>
                <w:sz w:val="20"/>
                <w:szCs w:val="20"/>
              </w:rPr>
            </w:pPr>
          </w:p>
        </w:tc>
        <w:tc>
          <w:tcPr>
            <w:tcW w:w="520" w:type="dxa"/>
            <w:vAlign w:val="center"/>
          </w:tcPr>
          <w:p w14:paraId="4B08A49A">
            <w:pPr>
              <w:spacing w:line="400" w:lineRule="exact"/>
              <w:ind w:firstLine="100" w:firstLineChars="50"/>
              <w:rPr>
                <w:rFonts w:ascii="Times New Roman" w:hAnsi="Times New Roman"/>
                <w:sz w:val="20"/>
                <w:szCs w:val="20"/>
              </w:rPr>
            </w:pPr>
          </w:p>
        </w:tc>
      </w:tr>
      <w:tr w14:paraId="394ACB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01" w:type="dxa"/>
            <w:vAlign w:val="center"/>
          </w:tcPr>
          <w:p w14:paraId="523E1446">
            <w:pPr>
              <w:spacing w:line="400" w:lineRule="exact"/>
              <w:ind w:firstLine="100" w:firstLineChars="50"/>
              <w:rPr>
                <w:rFonts w:ascii="Times New Roman" w:hAnsi="Times New Roman"/>
                <w:sz w:val="20"/>
                <w:szCs w:val="20"/>
              </w:rPr>
            </w:pPr>
            <w:r>
              <w:rPr>
                <w:rFonts w:ascii="Times New Roman" w:hAnsi="Times New Roman"/>
                <w:sz w:val="20"/>
                <w:szCs w:val="20"/>
              </w:rPr>
              <w:t>.....</w:t>
            </w:r>
          </w:p>
        </w:tc>
        <w:tc>
          <w:tcPr>
            <w:tcW w:w="1255" w:type="dxa"/>
            <w:vAlign w:val="center"/>
          </w:tcPr>
          <w:p w14:paraId="70834DCF">
            <w:pPr>
              <w:spacing w:line="400" w:lineRule="exact"/>
              <w:ind w:firstLine="100" w:firstLineChars="50"/>
              <w:rPr>
                <w:rFonts w:ascii="Times New Roman" w:hAnsi="Times New Roman"/>
                <w:sz w:val="20"/>
                <w:szCs w:val="20"/>
              </w:rPr>
            </w:pPr>
          </w:p>
        </w:tc>
        <w:tc>
          <w:tcPr>
            <w:tcW w:w="771" w:type="dxa"/>
            <w:vAlign w:val="center"/>
          </w:tcPr>
          <w:p w14:paraId="613724F5">
            <w:pPr>
              <w:spacing w:line="400" w:lineRule="exact"/>
              <w:ind w:firstLine="100" w:firstLineChars="50"/>
              <w:rPr>
                <w:rFonts w:ascii="Times New Roman" w:hAnsi="Times New Roman"/>
                <w:sz w:val="20"/>
                <w:szCs w:val="20"/>
              </w:rPr>
            </w:pPr>
          </w:p>
        </w:tc>
        <w:tc>
          <w:tcPr>
            <w:tcW w:w="997" w:type="dxa"/>
            <w:vAlign w:val="center"/>
          </w:tcPr>
          <w:p w14:paraId="5706CD6A">
            <w:pPr>
              <w:spacing w:line="400" w:lineRule="exact"/>
              <w:ind w:firstLine="100" w:firstLineChars="50"/>
              <w:rPr>
                <w:rFonts w:ascii="Times New Roman" w:hAnsi="Times New Roman"/>
                <w:sz w:val="20"/>
                <w:szCs w:val="20"/>
              </w:rPr>
            </w:pPr>
          </w:p>
        </w:tc>
        <w:tc>
          <w:tcPr>
            <w:tcW w:w="642" w:type="dxa"/>
            <w:vAlign w:val="center"/>
          </w:tcPr>
          <w:p w14:paraId="57204F65">
            <w:pPr>
              <w:spacing w:line="400" w:lineRule="exact"/>
              <w:ind w:firstLine="100" w:firstLineChars="50"/>
              <w:rPr>
                <w:rFonts w:ascii="Times New Roman" w:hAnsi="Times New Roman"/>
                <w:sz w:val="20"/>
                <w:szCs w:val="20"/>
              </w:rPr>
            </w:pPr>
          </w:p>
        </w:tc>
        <w:tc>
          <w:tcPr>
            <w:tcW w:w="1517" w:type="dxa"/>
            <w:vAlign w:val="center"/>
          </w:tcPr>
          <w:p w14:paraId="0E235202">
            <w:pPr>
              <w:spacing w:line="400" w:lineRule="exact"/>
              <w:ind w:firstLine="100" w:firstLineChars="50"/>
              <w:rPr>
                <w:rFonts w:ascii="Times New Roman" w:hAnsi="Times New Roman"/>
                <w:sz w:val="20"/>
                <w:szCs w:val="20"/>
              </w:rPr>
            </w:pPr>
          </w:p>
        </w:tc>
        <w:tc>
          <w:tcPr>
            <w:tcW w:w="995" w:type="dxa"/>
            <w:vAlign w:val="center"/>
          </w:tcPr>
          <w:p w14:paraId="2CC3A00D">
            <w:pPr>
              <w:spacing w:line="400" w:lineRule="exact"/>
              <w:ind w:firstLine="100" w:firstLineChars="50"/>
              <w:rPr>
                <w:rFonts w:ascii="Times New Roman" w:hAnsi="Times New Roman"/>
                <w:sz w:val="20"/>
                <w:szCs w:val="20"/>
              </w:rPr>
            </w:pPr>
          </w:p>
        </w:tc>
        <w:tc>
          <w:tcPr>
            <w:tcW w:w="1227" w:type="dxa"/>
            <w:vAlign w:val="center"/>
          </w:tcPr>
          <w:p w14:paraId="0B2AEB13">
            <w:pPr>
              <w:spacing w:line="400" w:lineRule="exact"/>
              <w:ind w:firstLine="100" w:firstLineChars="50"/>
              <w:rPr>
                <w:rFonts w:ascii="Times New Roman" w:hAnsi="Times New Roman"/>
                <w:sz w:val="20"/>
                <w:szCs w:val="20"/>
              </w:rPr>
            </w:pPr>
          </w:p>
        </w:tc>
        <w:tc>
          <w:tcPr>
            <w:tcW w:w="927" w:type="dxa"/>
            <w:vAlign w:val="center"/>
          </w:tcPr>
          <w:p w14:paraId="6954FF49">
            <w:pPr>
              <w:spacing w:line="400" w:lineRule="exact"/>
              <w:ind w:firstLine="100" w:firstLineChars="50"/>
              <w:rPr>
                <w:rFonts w:ascii="Times New Roman" w:hAnsi="Times New Roman"/>
                <w:sz w:val="20"/>
                <w:szCs w:val="20"/>
              </w:rPr>
            </w:pPr>
          </w:p>
        </w:tc>
        <w:tc>
          <w:tcPr>
            <w:tcW w:w="520" w:type="dxa"/>
            <w:vAlign w:val="center"/>
          </w:tcPr>
          <w:p w14:paraId="4A780AF8">
            <w:pPr>
              <w:spacing w:line="400" w:lineRule="exact"/>
              <w:ind w:firstLine="100" w:firstLineChars="50"/>
              <w:rPr>
                <w:rFonts w:ascii="Times New Roman" w:hAnsi="Times New Roman"/>
                <w:sz w:val="20"/>
                <w:szCs w:val="20"/>
              </w:rPr>
            </w:pPr>
          </w:p>
        </w:tc>
      </w:tr>
      <w:tr w14:paraId="0978F5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9452" w:type="dxa"/>
            <w:gridSpan w:val="10"/>
            <w:tcBorders>
              <w:bottom w:val="single" w:color="auto" w:sz="12" w:space="0"/>
            </w:tcBorders>
            <w:vAlign w:val="center"/>
          </w:tcPr>
          <w:p w14:paraId="3FC0A4C2">
            <w:pPr>
              <w:spacing w:line="400" w:lineRule="exact"/>
              <w:ind w:firstLine="100" w:firstLineChars="50"/>
              <w:rPr>
                <w:rFonts w:ascii="Times New Roman" w:hAnsi="宋体"/>
                <w:sz w:val="20"/>
                <w:szCs w:val="20"/>
              </w:rPr>
            </w:pPr>
            <w:r>
              <w:rPr>
                <w:rFonts w:hint="eastAsia" w:ascii="Times New Roman" w:hAnsi="宋体"/>
                <w:sz w:val="20"/>
                <w:szCs w:val="20"/>
              </w:rPr>
              <w:t>投标总价（元）：</w:t>
            </w:r>
          </w:p>
          <w:p w14:paraId="7EC6AA49">
            <w:pPr>
              <w:spacing w:line="400" w:lineRule="exact"/>
              <w:ind w:firstLine="100" w:firstLineChars="50"/>
              <w:rPr>
                <w:rFonts w:ascii="Times New Roman" w:hAnsi="Times New Roman"/>
                <w:sz w:val="32"/>
                <w:szCs w:val="21"/>
                <w:u w:val="single"/>
              </w:rPr>
            </w:pPr>
            <w:r>
              <w:rPr>
                <w:rFonts w:hint="eastAsia" w:ascii="Times New Roman" w:hAnsi="宋体"/>
                <w:sz w:val="20"/>
                <w:szCs w:val="20"/>
              </w:rPr>
              <w:t>小写：</w:t>
            </w:r>
            <w:r>
              <w:rPr>
                <w:rFonts w:hint="eastAsia" w:ascii="Times New Roman" w:hAnsi="Times New Roman"/>
                <w:sz w:val="20"/>
                <w:szCs w:val="20"/>
                <w:u w:val="single"/>
              </w:rPr>
              <w:t xml:space="preserve">            </w:t>
            </w:r>
            <w:r>
              <w:rPr>
                <w:rFonts w:hint="eastAsia" w:ascii="Times New Roman" w:hAnsi="Times New Roman"/>
                <w:sz w:val="20"/>
                <w:szCs w:val="20"/>
              </w:rPr>
              <w:t>；</w:t>
            </w:r>
            <w:r>
              <w:rPr>
                <w:rFonts w:hint="eastAsia" w:ascii="Times New Roman" w:hAnsi="宋体"/>
                <w:sz w:val="20"/>
                <w:szCs w:val="20"/>
              </w:rPr>
              <w:t>大写：</w:t>
            </w:r>
            <w:r>
              <w:rPr>
                <w:rFonts w:hint="eastAsia" w:ascii="Times New Roman" w:hAnsi="宋体"/>
                <w:sz w:val="20"/>
                <w:szCs w:val="20"/>
                <w:u w:val="single"/>
              </w:rPr>
              <w:t xml:space="preserve">         </w:t>
            </w:r>
          </w:p>
        </w:tc>
      </w:tr>
    </w:tbl>
    <w:p w14:paraId="46FE1ADC">
      <w:pPr>
        <w:spacing w:line="360" w:lineRule="atLeast"/>
        <w:jc w:val="left"/>
        <w:outlineLvl w:val="1"/>
        <w:rPr>
          <w:rFonts w:ascii="Times New Roman" w:hAnsi="Times New Roman"/>
          <w:sz w:val="22"/>
          <w:szCs w:val="21"/>
        </w:rPr>
      </w:pPr>
    </w:p>
    <w:p w14:paraId="030D577B">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注：</w:t>
      </w:r>
      <w:r>
        <w:rPr>
          <w:rFonts w:ascii="Times New Roman" w:hAnsi="Times New Roman"/>
          <w:sz w:val="22"/>
          <w:szCs w:val="21"/>
        </w:rPr>
        <w:t>1</w:t>
      </w:r>
      <w:r>
        <w:rPr>
          <w:rFonts w:hint="eastAsia" w:ascii="Times New Roman" w:hAnsi="Times New Roman"/>
          <w:sz w:val="22"/>
          <w:szCs w:val="21"/>
        </w:rPr>
        <w:t>、报价应是最终用户验收合格后的总价，包括设备成本、运输、保险、外贸代理服务费（如有）、安装调试费用、培训、税费以及招标文件规定的其它费用。本项目所采购货物均需安装调试到位，安装调试费用不再单独报价。</w:t>
      </w:r>
    </w:p>
    <w:p w14:paraId="2D302617">
      <w:pPr>
        <w:pStyle w:val="5"/>
        <w:ind w:firstLine="440" w:firstLineChars="200"/>
        <w:rPr>
          <w:rFonts w:ascii="Times New Roman" w:hAnsi="宋体"/>
          <w:b w:val="0"/>
          <w:sz w:val="22"/>
          <w:szCs w:val="21"/>
        </w:rPr>
      </w:pPr>
      <w:r>
        <w:rPr>
          <w:rFonts w:ascii="Times New Roman" w:hAnsi="宋体"/>
          <w:b w:val="0"/>
          <w:bCs w:val="0"/>
          <w:sz w:val="22"/>
          <w:szCs w:val="21"/>
        </w:rPr>
        <w:t>2</w:t>
      </w:r>
      <w:r>
        <w:rPr>
          <w:rFonts w:hint="eastAsia" w:ascii="Times New Roman" w:hAnsi="宋体"/>
          <w:b w:val="0"/>
          <w:bCs w:val="0"/>
          <w:sz w:val="22"/>
          <w:szCs w:val="21"/>
        </w:rPr>
        <w:t>、</w:t>
      </w:r>
      <w:r>
        <w:rPr>
          <w:rFonts w:hint="eastAsia" w:ascii="Times New Roman" w:hAnsi="宋体"/>
          <w:b w:val="0"/>
          <w:sz w:val="22"/>
          <w:szCs w:val="21"/>
        </w:rPr>
        <w:t>小计=数量*投标单价。</w:t>
      </w:r>
    </w:p>
    <w:p w14:paraId="52241608">
      <w:pPr>
        <w:spacing w:line="400" w:lineRule="exact"/>
        <w:ind w:firstLine="440" w:firstLineChars="200"/>
        <w:rPr>
          <w:rFonts w:ascii="Times New Roman" w:hAnsi="Times New Roman"/>
          <w:sz w:val="22"/>
          <w:szCs w:val="21"/>
        </w:rPr>
      </w:pPr>
      <w:r>
        <w:rPr>
          <w:rFonts w:hint="eastAsia" w:ascii="Times New Roman" w:hAnsi="宋体"/>
          <w:sz w:val="22"/>
          <w:szCs w:val="21"/>
        </w:rPr>
        <w:t>3、</w:t>
      </w:r>
      <w:r>
        <w:rPr>
          <w:rFonts w:ascii="Times New Roman" w:hAnsi="Times New Roman"/>
          <w:sz w:val="22"/>
          <w:szCs w:val="21"/>
        </w:rPr>
        <w:t>“</w:t>
      </w:r>
      <w:r>
        <w:rPr>
          <w:rFonts w:hint="eastAsia" w:ascii="Times New Roman" w:hAnsi="宋体"/>
          <w:sz w:val="22"/>
          <w:szCs w:val="21"/>
        </w:rPr>
        <w:t>开标一览表</w:t>
      </w:r>
      <w:r>
        <w:rPr>
          <w:rFonts w:ascii="Times New Roman" w:hAnsi="Times New Roman"/>
          <w:sz w:val="22"/>
          <w:szCs w:val="21"/>
        </w:rPr>
        <w:t>”</w:t>
      </w:r>
      <w:r>
        <w:rPr>
          <w:rFonts w:hint="eastAsia" w:ascii="Times New Roman" w:hAnsi="宋体"/>
          <w:sz w:val="22"/>
          <w:szCs w:val="21"/>
        </w:rPr>
        <w:t>除了单独密封递交外，投标文件（正副本）也应当提供。</w:t>
      </w:r>
    </w:p>
    <w:p w14:paraId="67C40219">
      <w:pPr>
        <w:spacing w:line="400" w:lineRule="exact"/>
        <w:ind w:firstLine="440" w:firstLineChars="200"/>
        <w:rPr>
          <w:rFonts w:ascii="Times New Roman" w:hAnsi="Times New Roman"/>
          <w:sz w:val="22"/>
          <w:szCs w:val="21"/>
        </w:rPr>
      </w:pPr>
      <w:r>
        <w:rPr>
          <w:rFonts w:hint="eastAsia" w:ascii="Times New Roman" w:hAnsi="宋体"/>
          <w:sz w:val="22"/>
          <w:szCs w:val="21"/>
        </w:rPr>
        <w:t>4、如是进口设备，须在表格中标明</w:t>
      </w:r>
      <w:r>
        <w:rPr>
          <w:rFonts w:ascii="Times New Roman" w:hAnsi="Times New Roman"/>
          <w:sz w:val="22"/>
          <w:szCs w:val="21"/>
        </w:rPr>
        <w:t>“</w:t>
      </w:r>
      <w:r>
        <w:rPr>
          <w:rFonts w:hint="eastAsia" w:ascii="Times New Roman" w:hAnsi="宋体"/>
          <w:sz w:val="22"/>
          <w:szCs w:val="21"/>
        </w:rPr>
        <w:t>进口产品</w:t>
      </w:r>
      <w:r>
        <w:rPr>
          <w:rFonts w:ascii="Times New Roman" w:hAnsi="Times New Roman"/>
          <w:sz w:val="22"/>
          <w:szCs w:val="21"/>
        </w:rPr>
        <w:t>”</w:t>
      </w:r>
      <w:r>
        <w:rPr>
          <w:rFonts w:hint="eastAsia" w:ascii="Times New Roman" w:hAnsi="宋体"/>
          <w:sz w:val="22"/>
          <w:szCs w:val="21"/>
        </w:rPr>
        <w:t>。招标文件未明确</w:t>
      </w:r>
      <w:r>
        <w:rPr>
          <w:rFonts w:ascii="Times New Roman" w:hAnsi="Times New Roman"/>
          <w:sz w:val="22"/>
          <w:szCs w:val="21"/>
        </w:rPr>
        <w:t>“</w:t>
      </w:r>
      <w:r>
        <w:rPr>
          <w:rFonts w:hint="eastAsia" w:ascii="Times New Roman" w:hAnsi="宋体"/>
          <w:sz w:val="22"/>
          <w:szCs w:val="21"/>
        </w:rPr>
        <w:t>允许进口</w:t>
      </w:r>
      <w:r>
        <w:rPr>
          <w:rFonts w:ascii="Times New Roman" w:hAnsi="Times New Roman"/>
          <w:sz w:val="22"/>
          <w:szCs w:val="21"/>
        </w:rPr>
        <w:t>”</w:t>
      </w:r>
      <w:r>
        <w:rPr>
          <w:rFonts w:hint="eastAsia" w:ascii="Times New Roman" w:hAnsi="宋体"/>
          <w:sz w:val="22"/>
          <w:szCs w:val="21"/>
        </w:rPr>
        <w:t>的，供应商以进口产品进行投标时，将视为无效投标。</w:t>
      </w:r>
    </w:p>
    <w:p w14:paraId="69DB2D8A">
      <w:pPr>
        <w:spacing w:line="360" w:lineRule="atLeast"/>
        <w:ind w:firstLine="431" w:firstLineChars="196"/>
        <w:jc w:val="left"/>
        <w:outlineLvl w:val="1"/>
        <w:rPr>
          <w:rFonts w:ascii="Times New Roman" w:hAnsi="Times New Roman"/>
          <w:sz w:val="22"/>
          <w:szCs w:val="21"/>
        </w:rPr>
      </w:pPr>
    </w:p>
    <w:p w14:paraId="7884FFAF">
      <w:pPr>
        <w:pStyle w:val="8"/>
        <w:rPr>
          <w:rFonts w:ascii="Times New Roman" w:hAnsi="Times New Roman"/>
          <w:sz w:val="22"/>
          <w:szCs w:val="22"/>
        </w:rPr>
      </w:pPr>
    </w:p>
    <w:p w14:paraId="54409C5E">
      <w:pPr>
        <w:pStyle w:val="8"/>
        <w:rPr>
          <w:rFonts w:ascii="Times New Roman" w:hAnsi="Times New Roman"/>
          <w:sz w:val="22"/>
          <w:szCs w:val="22"/>
        </w:rPr>
      </w:pPr>
    </w:p>
    <w:p w14:paraId="42AA1117">
      <w:pPr>
        <w:pStyle w:val="8"/>
        <w:rPr>
          <w:rFonts w:ascii="Times New Roman" w:hAnsi="Times New Roman"/>
          <w:sz w:val="22"/>
          <w:szCs w:val="22"/>
        </w:rPr>
      </w:pPr>
    </w:p>
    <w:p w14:paraId="274A2072">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投标人名称：（单位公章）</w:t>
      </w:r>
    </w:p>
    <w:p w14:paraId="6E6639BB">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法定代表人或委托代理人（签字或盖章）：</w:t>
      </w:r>
    </w:p>
    <w:p w14:paraId="258F34E5">
      <w:pPr>
        <w:spacing w:line="360" w:lineRule="atLeast"/>
        <w:ind w:firstLine="431" w:firstLineChars="196"/>
        <w:jc w:val="left"/>
        <w:outlineLvl w:val="1"/>
        <w:rPr>
          <w:rFonts w:ascii="Times New Roman" w:hAnsi="Times New Roman"/>
          <w:b/>
          <w:sz w:val="22"/>
          <w:szCs w:val="21"/>
        </w:rPr>
        <w:sectPr>
          <w:headerReference r:id="rId4" w:type="default"/>
          <w:footerReference r:id="rId5" w:type="default"/>
          <w:pgSz w:w="11907" w:h="16840"/>
          <w:pgMar w:top="1440" w:right="1474" w:bottom="1440" w:left="1474" w:header="851" w:footer="992" w:gutter="0"/>
          <w:cols w:space="425" w:num="1"/>
          <w:docGrid w:linePitch="312" w:charSpace="0"/>
        </w:sectPr>
      </w:pPr>
      <w:r>
        <w:rPr>
          <w:rFonts w:hint="eastAsia" w:ascii="Times New Roman" w:hAnsi="Times New Roman"/>
          <w:sz w:val="22"/>
          <w:szCs w:val="21"/>
        </w:rPr>
        <w:t>日期：</w:t>
      </w:r>
    </w:p>
    <w:p w14:paraId="4067B7CA">
      <w:pPr>
        <w:spacing w:line="360" w:lineRule="auto"/>
        <w:rPr>
          <w:rFonts w:ascii="Times New Roman" w:hAnsi="Times New Roman"/>
          <w:b/>
          <w:sz w:val="28"/>
          <w:szCs w:val="28"/>
        </w:rPr>
      </w:pPr>
      <w:bookmarkStart w:id="191" w:name="_Toc217446086"/>
      <w:r>
        <w:rPr>
          <w:rFonts w:hint="eastAsia" w:ascii="Times New Roman" w:hAnsi="宋体"/>
          <w:b/>
          <w:sz w:val="28"/>
          <w:szCs w:val="28"/>
        </w:rPr>
        <w:t>格式</w:t>
      </w:r>
      <w:r>
        <w:rPr>
          <w:rFonts w:ascii="Times New Roman" w:hAnsi="Times New Roman"/>
          <w:b/>
          <w:sz w:val="28"/>
          <w:szCs w:val="28"/>
        </w:rPr>
        <w:t>2-5</w:t>
      </w:r>
    </w:p>
    <w:p w14:paraId="259B2C46">
      <w:pPr>
        <w:spacing w:line="360" w:lineRule="atLeast"/>
        <w:jc w:val="center"/>
        <w:outlineLvl w:val="1"/>
        <w:rPr>
          <w:rFonts w:ascii="Times New Roman" w:hAnsi="Times New Roman" w:eastAsia="黑体"/>
          <w:b/>
          <w:sz w:val="28"/>
          <w:szCs w:val="28"/>
        </w:rPr>
      </w:pPr>
      <w:r>
        <w:rPr>
          <w:rFonts w:hint="eastAsia" w:ascii="Times New Roman" w:hAnsi="Times New Roman" w:eastAsia="黑体"/>
          <w:b/>
          <w:sz w:val="28"/>
          <w:szCs w:val="28"/>
        </w:rPr>
        <w:t>四、分项报价明细表</w:t>
      </w:r>
    </w:p>
    <w:p w14:paraId="73B2E6BB">
      <w:pPr>
        <w:spacing w:line="360" w:lineRule="atLeast"/>
        <w:ind w:firstLine="431" w:firstLineChars="196"/>
        <w:jc w:val="left"/>
        <w:outlineLvl w:val="1"/>
        <w:rPr>
          <w:rFonts w:ascii="Times New Roman" w:hAnsi="Times New Roman"/>
          <w:b/>
          <w:sz w:val="22"/>
          <w:szCs w:val="21"/>
        </w:rPr>
      </w:pPr>
      <w:r>
        <w:rPr>
          <w:rFonts w:hint="eastAsia" w:ascii="Times New Roman" w:hAnsi="宋体"/>
          <w:sz w:val="22"/>
        </w:rPr>
        <w:t>招标编号</w:t>
      </w:r>
      <w:r>
        <w:rPr>
          <w:rFonts w:ascii="Times New Roman" w:hAnsi="Times New Roman"/>
          <w:sz w:val="22"/>
        </w:rPr>
        <w:t>/</w:t>
      </w:r>
      <w:r>
        <w:rPr>
          <w:rFonts w:hint="eastAsia" w:ascii="Times New Roman" w:hAnsi="宋体"/>
          <w:sz w:val="22"/>
        </w:rPr>
        <w:t>包号：</w:t>
      </w:r>
    </w:p>
    <w:tbl>
      <w:tblPr>
        <w:tblStyle w:val="16"/>
        <w:tblW w:w="53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
        <w:gridCol w:w="781"/>
        <w:gridCol w:w="480"/>
        <w:gridCol w:w="480"/>
        <w:gridCol w:w="509"/>
        <w:gridCol w:w="419"/>
        <w:gridCol w:w="502"/>
        <w:gridCol w:w="307"/>
        <w:gridCol w:w="704"/>
        <w:gridCol w:w="643"/>
        <w:gridCol w:w="1139"/>
        <w:gridCol w:w="884"/>
        <w:gridCol w:w="792"/>
        <w:gridCol w:w="840"/>
        <w:gridCol w:w="347"/>
      </w:tblGrid>
      <w:tr w14:paraId="561FD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5" w:hRule="exact"/>
          <w:jc w:val="center"/>
        </w:trPr>
        <w:tc>
          <w:tcPr>
            <w:tcW w:w="197" w:type="pct"/>
            <w:vAlign w:val="center"/>
          </w:tcPr>
          <w:p w14:paraId="2691D931">
            <w:pPr>
              <w:spacing w:line="360" w:lineRule="atLeast"/>
              <w:jc w:val="center"/>
              <w:outlineLvl w:val="1"/>
              <w:rPr>
                <w:rFonts w:ascii="Times New Roman" w:hAnsi="Times New Roman"/>
                <w:sz w:val="20"/>
                <w:szCs w:val="18"/>
              </w:rPr>
            </w:pPr>
            <w:r>
              <w:rPr>
                <w:rFonts w:hint="eastAsia" w:ascii="Times New Roman" w:hAnsi="Times New Roman"/>
                <w:sz w:val="20"/>
                <w:szCs w:val="18"/>
              </w:rPr>
              <w:t>序号</w:t>
            </w:r>
          </w:p>
        </w:tc>
        <w:tc>
          <w:tcPr>
            <w:tcW w:w="425" w:type="pct"/>
            <w:vAlign w:val="center"/>
          </w:tcPr>
          <w:p w14:paraId="16F968D7">
            <w:pPr>
              <w:spacing w:line="360" w:lineRule="atLeast"/>
              <w:jc w:val="center"/>
              <w:outlineLvl w:val="1"/>
              <w:rPr>
                <w:rFonts w:ascii="Times New Roman" w:hAnsi="Times New Roman"/>
                <w:sz w:val="20"/>
                <w:szCs w:val="18"/>
              </w:rPr>
            </w:pPr>
            <w:r>
              <w:rPr>
                <w:rFonts w:hint="eastAsia" w:ascii="Times New Roman" w:hAnsi="Times New Roman"/>
                <w:sz w:val="20"/>
                <w:szCs w:val="18"/>
              </w:rPr>
              <w:t>产品</w:t>
            </w:r>
          </w:p>
          <w:p w14:paraId="1DCB0D45">
            <w:pPr>
              <w:spacing w:line="360" w:lineRule="atLeast"/>
              <w:jc w:val="center"/>
              <w:outlineLvl w:val="1"/>
              <w:rPr>
                <w:rFonts w:ascii="Times New Roman" w:hAnsi="Times New Roman"/>
                <w:sz w:val="20"/>
                <w:szCs w:val="18"/>
              </w:rPr>
            </w:pPr>
            <w:r>
              <w:rPr>
                <w:rFonts w:hint="eastAsia" w:ascii="Times New Roman" w:hAnsi="Times New Roman"/>
                <w:sz w:val="20"/>
                <w:szCs w:val="18"/>
              </w:rPr>
              <w:t>名称</w:t>
            </w:r>
          </w:p>
        </w:tc>
        <w:tc>
          <w:tcPr>
            <w:tcW w:w="261" w:type="pct"/>
            <w:vAlign w:val="center"/>
          </w:tcPr>
          <w:p w14:paraId="1B9DEDBB">
            <w:pPr>
              <w:spacing w:line="360" w:lineRule="atLeast"/>
              <w:jc w:val="center"/>
              <w:outlineLvl w:val="1"/>
              <w:rPr>
                <w:rFonts w:ascii="Times New Roman" w:hAnsi="Times New Roman"/>
                <w:sz w:val="20"/>
                <w:szCs w:val="18"/>
              </w:rPr>
            </w:pPr>
            <w:r>
              <w:rPr>
                <w:rFonts w:hint="eastAsia" w:ascii="Times New Roman" w:hAnsi="Times New Roman"/>
                <w:sz w:val="20"/>
                <w:szCs w:val="18"/>
              </w:rPr>
              <w:t>规格型号</w:t>
            </w:r>
          </w:p>
        </w:tc>
        <w:tc>
          <w:tcPr>
            <w:tcW w:w="261" w:type="pct"/>
            <w:vAlign w:val="center"/>
          </w:tcPr>
          <w:p w14:paraId="5E165CCD">
            <w:pPr>
              <w:spacing w:line="360" w:lineRule="atLeast"/>
              <w:jc w:val="center"/>
              <w:outlineLvl w:val="1"/>
              <w:rPr>
                <w:rFonts w:ascii="Times New Roman" w:hAnsi="Times New Roman"/>
                <w:sz w:val="20"/>
                <w:szCs w:val="18"/>
              </w:rPr>
            </w:pPr>
            <w:r>
              <w:rPr>
                <w:rFonts w:hint="eastAsia" w:ascii="Times New Roman" w:hAnsi="Times New Roman"/>
                <w:sz w:val="20"/>
                <w:szCs w:val="18"/>
              </w:rPr>
              <w:t>品牌</w:t>
            </w:r>
          </w:p>
        </w:tc>
        <w:tc>
          <w:tcPr>
            <w:tcW w:w="277" w:type="pct"/>
            <w:vAlign w:val="center"/>
          </w:tcPr>
          <w:p w14:paraId="6CCB1DC5">
            <w:pPr>
              <w:spacing w:line="360" w:lineRule="atLeast"/>
              <w:jc w:val="center"/>
              <w:outlineLvl w:val="1"/>
              <w:rPr>
                <w:rFonts w:ascii="Times New Roman" w:hAnsi="Times New Roman"/>
                <w:sz w:val="20"/>
                <w:szCs w:val="18"/>
              </w:rPr>
            </w:pPr>
            <w:r>
              <w:rPr>
                <w:rFonts w:hint="eastAsia" w:ascii="Times New Roman" w:hAnsi="Times New Roman"/>
                <w:sz w:val="20"/>
                <w:szCs w:val="18"/>
              </w:rPr>
              <w:t>制造商名称</w:t>
            </w:r>
          </w:p>
        </w:tc>
        <w:tc>
          <w:tcPr>
            <w:tcW w:w="228" w:type="pct"/>
            <w:vAlign w:val="center"/>
          </w:tcPr>
          <w:p w14:paraId="4358C8C6">
            <w:pPr>
              <w:spacing w:line="360" w:lineRule="atLeast"/>
              <w:jc w:val="center"/>
              <w:outlineLvl w:val="1"/>
              <w:rPr>
                <w:rFonts w:ascii="Times New Roman" w:hAnsi="Times New Roman"/>
                <w:sz w:val="20"/>
                <w:szCs w:val="18"/>
              </w:rPr>
            </w:pPr>
            <w:r>
              <w:rPr>
                <w:rFonts w:hint="eastAsia" w:ascii="Times New Roman" w:hAnsi="Times New Roman"/>
                <w:sz w:val="20"/>
                <w:szCs w:val="18"/>
              </w:rPr>
              <w:t>原产地</w:t>
            </w:r>
          </w:p>
        </w:tc>
        <w:tc>
          <w:tcPr>
            <w:tcW w:w="273" w:type="pct"/>
            <w:vAlign w:val="center"/>
          </w:tcPr>
          <w:p w14:paraId="4BC57DE1">
            <w:pPr>
              <w:spacing w:line="360" w:lineRule="atLeast"/>
              <w:jc w:val="center"/>
              <w:outlineLvl w:val="1"/>
              <w:rPr>
                <w:rFonts w:ascii="Times New Roman" w:hAnsi="Times New Roman"/>
                <w:sz w:val="20"/>
                <w:szCs w:val="18"/>
              </w:rPr>
            </w:pPr>
            <w:r>
              <w:rPr>
                <w:rFonts w:hint="eastAsia" w:ascii="Times New Roman" w:hAnsi="Times New Roman"/>
                <w:sz w:val="20"/>
                <w:szCs w:val="18"/>
              </w:rPr>
              <w:t>单位</w:t>
            </w:r>
          </w:p>
        </w:tc>
        <w:tc>
          <w:tcPr>
            <w:tcW w:w="167" w:type="pct"/>
            <w:vAlign w:val="center"/>
          </w:tcPr>
          <w:p w14:paraId="2BC173F8">
            <w:pPr>
              <w:spacing w:line="360" w:lineRule="atLeast"/>
              <w:jc w:val="center"/>
              <w:outlineLvl w:val="1"/>
              <w:rPr>
                <w:rFonts w:ascii="Times New Roman" w:hAnsi="Times New Roman"/>
                <w:sz w:val="20"/>
                <w:szCs w:val="18"/>
              </w:rPr>
            </w:pPr>
            <w:r>
              <w:rPr>
                <w:rFonts w:hint="eastAsia" w:ascii="Times New Roman" w:hAnsi="Times New Roman"/>
                <w:sz w:val="20"/>
                <w:szCs w:val="18"/>
              </w:rPr>
              <w:t>数量</w:t>
            </w:r>
          </w:p>
        </w:tc>
        <w:tc>
          <w:tcPr>
            <w:tcW w:w="383" w:type="pct"/>
            <w:vAlign w:val="center"/>
          </w:tcPr>
          <w:p w14:paraId="19CB9EFC">
            <w:pPr>
              <w:spacing w:line="360" w:lineRule="atLeast"/>
              <w:jc w:val="center"/>
              <w:outlineLvl w:val="1"/>
              <w:rPr>
                <w:rFonts w:ascii="Times New Roman" w:hAnsi="Times New Roman"/>
                <w:sz w:val="20"/>
                <w:szCs w:val="18"/>
              </w:rPr>
            </w:pPr>
            <w:r>
              <w:rPr>
                <w:rFonts w:hint="eastAsia" w:ascii="Times New Roman" w:hAnsi="Times New Roman"/>
                <w:sz w:val="20"/>
                <w:szCs w:val="18"/>
              </w:rPr>
              <w:t>单价（元）</w:t>
            </w:r>
          </w:p>
        </w:tc>
        <w:tc>
          <w:tcPr>
            <w:tcW w:w="350" w:type="pct"/>
            <w:vAlign w:val="center"/>
          </w:tcPr>
          <w:p w14:paraId="1764E12E">
            <w:pPr>
              <w:spacing w:line="360" w:lineRule="atLeast"/>
              <w:jc w:val="center"/>
              <w:outlineLvl w:val="1"/>
              <w:rPr>
                <w:rFonts w:ascii="Times New Roman" w:hAnsi="Times New Roman"/>
                <w:sz w:val="20"/>
                <w:szCs w:val="18"/>
              </w:rPr>
            </w:pPr>
            <w:r>
              <w:rPr>
                <w:rFonts w:hint="eastAsia" w:ascii="Times New Roman" w:hAnsi="Times New Roman"/>
                <w:sz w:val="20"/>
                <w:szCs w:val="18"/>
              </w:rPr>
              <w:t>小计（元）</w:t>
            </w:r>
          </w:p>
        </w:tc>
        <w:tc>
          <w:tcPr>
            <w:tcW w:w="620" w:type="pct"/>
            <w:vAlign w:val="center"/>
          </w:tcPr>
          <w:p w14:paraId="48C07EC5">
            <w:pPr>
              <w:spacing w:line="360" w:lineRule="atLeast"/>
              <w:jc w:val="center"/>
              <w:outlineLvl w:val="1"/>
              <w:rPr>
                <w:rFonts w:ascii="Times New Roman" w:hAnsi="Times New Roman"/>
                <w:sz w:val="20"/>
                <w:szCs w:val="18"/>
              </w:rPr>
            </w:pPr>
            <w:r>
              <w:rPr>
                <w:rFonts w:hint="eastAsia" w:ascii="Times New Roman" w:hAnsi="Times New Roman"/>
                <w:sz w:val="20"/>
                <w:szCs w:val="18"/>
              </w:rPr>
              <w:t>制造商规模</w:t>
            </w:r>
          </w:p>
        </w:tc>
        <w:tc>
          <w:tcPr>
            <w:tcW w:w="481" w:type="pct"/>
            <w:vAlign w:val="center"/>
          </w:tcPr>
          <w:p w14:paraId="56E73989">
            <w:pPr>
              <w:spacing w:line="360" w:lineRule="atLeast"/>
              <w:jc w:val="center"/>
              <w:outlineLvl w:val="1"/>
              <w:rPr>
                <w:rFonts w:ascii="Times New Roman" w:hAnsi="Times New Roman"/>
                <w:sz w:val="20"/>
                <w:szCs w:val="18"/>
              </w:rPr>
            </w:pPr>
            <w:r>
              <w:rPr>
                <w:rFonts w:hint="eastAsia" w:ascii="Times New Roman" w:hAnsi="Times New Roman"/>
                <w:sz w:val="20"/>
                <w:szCs w:val="18"/>
              </w:rPr>
              <w:t>特殊性质</w:t>
            </w:r>
          </w:p>
        </w:tc>
        <w:tc>
          <w:tcPr>
            <w:tcW w:w="431" w:type="pct"/>
            <w:vAlign w:val="center"/>
          </w:tcPr>
          <w:p w14:paraId="716A0D77">
            <w:pPr>
              <w:spacing w:line="360" w:lineRule="atLeast"/>
              <w:jc w:val="center"/>
              <w:outlineLvl w:val="1"/>
              <w:rPr>
                <w:rFonts w:ascii="Times New Roman" w:hAnsi="Times New Roman"/>
                <w:sz w:val="20"/>
                <w:szCs w:val="18"/>
              </w:rPr>
            </w:pPr>
            <w:r>
              <w:rPr>
                <w:rFonts w:hint="eastAsia" w:ascii="Times New Roman" w:hAnsi="Times New Roman"/>
                <w:sz w:val="20"/>
                <w:szCs w:val="18"/>
              </w:rPr>
              <w:t>是否外商投资企业</w:t>
            </w:r>
          </w:p>
        </w:tc>
        <w:tc>
          <w:tcPr>
            <w:tcW w:w="457" w:type="pct"/>
            <w:vAlign w:val="center"/>
          </w:tcPr>
          <w:p w14:paraId="6E43ACDD">
            <w:pPr>
              <w:spacing w:line="360" w:lineRule="atLeast"/>
              <w:jc w:val="center"/>
              <w:outlineLvl w:val="1"/>
              <w:rPr>
                <w:rFonts w:ascii="Times New Roman" w:hAnsi="Times New Roman"/>
                <w:sz w:val="20"/>
                <w:szCs w:val="18"/>
              </w:rPr>
            </w:pPr>
            <w:r>
              <w:rPr>
                <w:rFonts w:hint="eastAsia" w:ascii="Times New Roman" w:hAnsi="宋体"/>
                <w:sz w:val="20"/>
                <w:szCs w:val="18"/>
              </w:rPr>
              <w:t>供应商绝对所有权拥有者性别：</w:t>
            </w:r>
          </w:p>
        </w:tc>
        <w:tc>
          <w:tcPr>
            <w:tcW w:w="182" w:type="pct"/>
            <w:vAlign w:val="center"/>
          </w:tcPr>
          <w:p w14:paraId="1EBF0246">
            <w:pPr>
              <w:spacing w:line="360" w:lineRule="atLeast"/>
              <w:jc w:val="center"/>
              <w:outlineLvl w:val="1"/>
              <w:rPr>
                <w:rFonts w:ascii="Times New Roman" w:hAnsi="Times New Roman"/>
                <w:sz w:val="20"/>
                <w:szCs w:val="18"/>
              </w:rPr>
            </w:pPr>
            <w:r>
              <w:rPr>
                <w:rFonts w:hint="eastAsia" w:ascii="Times New Roman" w:hAnsi="Times New Roman"/>
                <w:sz w:val="20"/>
                <w:szCs w:val="18"/>
              </w:rPr>
              <w:t>备注</w:t>
            </w:r>
          </w:p>
        </w:tc>
      </w:tr>
      <w:tr w14:paraId="1C037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97" w:type="pct"/>
            <w:vAlign w:val="center"/>
          </w:tcPr>
          <w:p w14:paraId="000C3CDD">
            <w:pPr>
              <w:spacing w:line="360" w:lineRule="atLeast"/>
              <w:jc w:val="center"/>
              <w:outlineLvl w:val="1"/>
              <w:rPr>
                <w:rFonts w:ascii="Times New Roman" w:hAnsi="Times New Roman"/>
                <w:sz w:val="22"/>
                <w:szCs w:val="21"/>
              </w:rPr>
            </w:pPr>
            <w:r>
              <w:rPr>
                <w:rFonts w:hint="eastAsia" w:ascii="Times New Roman" w:hAnsi="Times New Roman"/>
                <w:sz w:val="20"/>
                <w:szCs w:val="18"/>
              </w:rPr>
              <w:t>1</w:t>
            </w:r>
          </w:p>
        </w:tc>
        <w:tc>
          <w:tcPr>
            <w:tcW w:w="425" w:type="pct"/>
            <w:vAlign w:val="center"/>
          </w:tcPr>
          <w:p w14:paraId="4B524395">
            <w:pPr>
              <w:spacing w:line="360" w:lineRule="atLeast"/>
              <w:ind w:firstLine="431" w:firstLineChars="196"/>
              <w:jc w:val="left"/>
              <w:outlineLvl w:val="1"/>
              <w:rPr>
                <w:rFonts w:ascii="Times New Roman" w:hAnsi="Times New Roman"/>
                <w:sz w:val="22"/>
                <w:szCs w:val="21"/>
              </w:rPr>
            </w:pPr>
          </w:p>
        </w:tc>
        <w:tc>
          <w:tcPr>
            <w:tcW w:w="261" w:type="pct"/>
            <w:vAlign w:val="center"/>
          </w:tcPr>
          <w:p w14:paraId="19C9C700">
            <w:pPr>
              <w:spacing w:line="360" w:lineRule="atLeast"/>
              <w:ind w:firstLine="431" w:firstLineChars="196"/>
              <w:jc w:val="left"/>
              <w:outlineLvl w:val="1"/>
              <w:rPr>
                <w:rFonts w:ascii="Times New Roman" w:hAnsi="Times New Roman"/>
                <w:sz w:val="22"/>
                <w:szCs w:val="21"/>
              </w:rPr>
            </w:pPr>
          </w:p>
        </w:tc>
        <w:tc>
          <w:tcPr>
            <w:tcW w:w="261" w:type="pct"/>
            <w:vAlign w:val="center"/>
          </w:tcPr>
          <w:p w14:paraId="122617A4">
            <w:pPr>
              <w:spacing w:line="360" w:lineRule="atLeast"/>
              <w:ind w:firstLine="431" w:firstLineChars="196"/>
              <w:jc w:val="left"/>
              <w:outlineLvl w:val="1"/>
              <w:rPr>
                <w:rFonts w:ascii="Times New Roman" w:hAnsi="Times New Roman"/>
                <w:sz w:val="22"/>
                <w:szCs w:val="21"/>
              </w:rPr>
            </w:pPr>
          </w:p>
        </w:tc>
        <w:tc>
          <w:tcPr>
            <w:tcW w:w="277" w:type="pct"/>
            <w:vAlign w:val="center"/>
          </w:tcPr>
          <w:p w14:paraId="64F5305E">
            <w:pPr>
              <w:spacing w:line="360" w:lineRule="atLeast"/>
              <w:ind w:firstLine="431" w:firstLineChars="196"/>
              <w:jc w:val="left"/>
              <w:outlineLvl w:val="1"/>
              <w:rPr>
                <w:rFonts w:ascii="Times New Roman" w:hAnsi="Times New Roman"/>
                <w:sz w:val="22"/>
                <w:szCs w:val="21"/>
              </w:rPr>
            </w:pPr>
          </w:p>
        </w:tc>
        <w:tc>
          <w:tcPr>
            <w:tcW w:w="228" w:type="pct"/>
            <w:vAlign w:val="center"/>
          </w:tcPr>
          <w:p w14:paraId="69C9929E">
            <w:pPr>
              <w:spacing w:line="360" w:lineRule="atLeast"/>
              <w:ind w:firstLine="431" w:firstLineChars="196"/>
              <w:jc w:val="left"/>
              <w:outlineLvl w:val="1"/>
              <w:rPr>
                <w:rFonts w:ascii="Times New Roman" w:hAnsi="Times New Roman"/>
                <w:sz w:val="22"/>
                <w:szCs w:val="21"/>
              </w:rPr>
            </w:pPr>
          </w:p>
        </w:tc>
        <w:tc>
          <w:tcPr>
            <w:tcW w:w="273" w:type="pct"/>
            <w:vAlign w:val="center"/>
          </w:tcPr>
          <w:p w14:paraId="23547374">
            <w:pPr>
              <w:spacing w:line="360" w:lineRule="atLeast"/>
              <w:ind w:firstLine="431" w:firstLineChars="196"/>
              <w:jc w:val="left"/>
              <w:outlineLvl w:val="1"/>
              <w:rPr>
                <w:rFonts w:ascii="Times New Roman" w:hAnsi="Times New Roman"/>
                <w:sz w:val="22"/>
                <w:szCs w:val="21"/>
              </w:rPr>
            </w:pPr>
          </w:p>
        </w:tc>
        <w:tc>
          <w:tcPr>
            <w:tcW w:w="167" w:type="pct"/>
            <w:vAlign w:val="center"/>
          </w:tcPr>
          <w:p w14:paraId="57D47C25">
            <w:pPr>
              <w:spacing w:line="360" w:lineRule="atLeast"/>
              <w:ind w:firstLine="431" w:firstLineChars="196"/>
              <w:jc w:val="left"/>
              <w:outlineLvl w:val="1"/>
              <w:rPr>
                <w:rFonts w:ascii="Times New Roman" w:hAnsi="Times New Roman"/>
                <w:sz w:val="22"/>
                <w:szCs w:val="21"/>
              </w:rPr>
            </w:pPr>
          </w:p>
        </w:tc>
        <w:tc>
          <w:tcPr>
            <w:tcW w:w="383" w:type="pct"/>
            <w:vAlign w:val="center"/>
          </w:tcPr>
          <w:p w14:paraId="429DF318">
            <w:pPr>
              <w:spacing w:line="360" w:lineRule="atLeast"/>
              <w:ind w:firstLine="431" w:firstLineChars="196"/>
              <w:jc w:val="left"/>
              <w:outlineLvl w:val="1"/>
              <w:rPr>
                <w:rFonts w:ascii="Times New Roman" w:hAnsi="Times New Roman"/>
                <w:sz w:val="22"/>
                <w:szCs w:val="21"/>
              </w:rPr>
            </w:pPr>
          </w:p>
        </w:tc>
        <w:tc>
          <w:tcPr>
            <w:tcW w:w="350" w:type="pct"/>
            <w:vAlign w:val="center"/>
          </w:tcPr>
          <w:p w14:paraId="7B3724CB">
            <w:pPr>
              <w:spacing w:line="360" w:lineRule="atLeast"/>
              <w:ind w:firstLine="431" w:firstLineChars="196"/>
              <w:jc w:val="left"/>
              <w:outlineLvl w:val="1"/>
              <w:rPr>
                <w:rFonts w:ascii="Times New Roman" w:hAnsi="Times New Roman"/>
                <w:sz w:val="22"/>
                <w:szCs w:val="21"/>
              </w:rPr>
            </w:pPr>
          </w:p>
        </w:tc>
        <w:tc>
          <w:tcPr>
            <w:tcW w:w="620" w:type="pct"/>
            <w:shd w:val="clear" w:color="auto" w:fill="FFFFFF" w:themeFill="background1"/>
            <w:vAlign w:val="center"/>
          </w:tcPr>
          <w:p w14:paraId="458BE750">
            <w:pPr>
              <w:spacing w:line="360" w:lineRule="atLeast"/>
              <w:outlineLvl w:val="1"/>
              <w:rPr>
                <w:rFonts w:ascii="Times New Roman" w:hAnsi="Times New Roman"/>
                <w:sz w:val="20"/>
                <w:szCs w:val="18"/>
              </w:rPr>
            </w:pPr>
            <w:r>
              <w:rPr>
                <w:rFonts w:hint="eastAsia" w:ascii="Times New Roman" w:hAnsi="Times New Roman"/>
                <w:sz w:val="20"/>
                <w:szCs w:val="18"/>
              </w:rPr>
              <w:t>□大型企业</w:t>
            </w:r>
          </w:p>
          <w:p w14:paraId="70E01655">
            <w:pPr>
              <w:spacing w:line="360" w:lineRule="atLeast"/>
              <w:jc w:val="center"/>
              <w:outlineLvl w:val="1"/>
              <w:rPr>
                <w:rFonts w:ascii="Times New Roman" w:hAnsi="Times New Roman"/>
                <w:sz w:val="20"/>
                <w:szCs w:val="18"/>
              </w:rPr>
            </w:pPr>
            <w:r>
              <w:rPr>
                <w:rFonts w:hint="eastAsia" w:ascii="Times New Roman" w:hAnsi="Times New Roman"/>
                <w:sz w:val="20"/>
                <w:szCs w:val="18"/>
              </w:rPr>
              <w:t>□中型企业</w:t>
            </w:r>
          </w:p>
          <w:p w14:paraId="0BE90C93">
            <w:pPr>
              <w:spacing w:line="360" w:lineRule="atLeast"/>
              <w:jc w:val="center"/>
              <w:outlineLvl w:val="1"/>
              <w:rPr>
                <w:rFonts w:ascii="Times New Roman" w:hAnsi="Times New Roman"/>
                <w:sz w:val="20"/>
                <w:szCs w:val="18"/>
              </w:rPr>
            </w:pPr>
            <w:r>
              <w:rPr>
                <w:rFonts w:hint="eastAsia" w:ascii="Times New Roman" w:hAnsi="Times New Roman"/>
                <w:sz w:val="20"/>
                <w:szCs w:val="18"/>
              </w:rPr>
              <w:t>□小型企业</w:t>
            </w:r>
          </w:p>
          <w:p w14:paraId="70EFBB2B">
            <w:pPr>
              <w:spacing w:line="360" w:lineRule="atLeast"/>
              <w:jc w:val="center"/>
              <w:outlineLvl w:val="1"/>
              <w:rPr>
                <w:rFonts w:ascii="Times New Roman" w:hAnsi="Times New Roman"/>
                <w:sz w:val="20"/>
                <w:szCs w:val="18"/>
              </w:rPr>
            </w:pPr>
            <w:r>
              <w:rPr>
                <w:rFonts w:hint="eastAsia" w:ascii="Times New Roman" w:hAnsi="Times New Roman"/>
                <w:sz w:val="20"/>
                <w:szCs w:val="18"/>
              </w:rPr>
              <w:t>□微型企业</w:t>
            </w:r>
          </w:p>
          <w:p w14:paraId="10B78A18">
            <w:pPr>
              <w:spacing w:line="360" w:lineRule="atLeast"/>
              <w:outlineLvl w:val="1"/>
              <w:rPr>
                <w:rFonts w:ascii="Times New Roman" w:hAnsi="Times New Roman"/>
                <w:sz w:val="20"/>
                <w:szCs w:val="18"/>
              </w:rPr>
            </w:pPr>
            <w:r>
              <w:rPr>
                <w:rFonts w:hint="eastAsia" w:ascii="Times New Roman" w:hAnsi="Times New Roman"/>
                <w:sz w:val="20"/>
                <w:szCs w:val="18"/>
              </w:rPr>
              <w:t>□其他</w:t>
            </w:r>
          </w:p>
        </w:tc>
        <w:tc>
          <w:tcPr>
            <w:tcW w:w="481" w:type="pct"/>
            <w:shd w:val="clear" w:color="auto" w:fill="FFFFFF" w:themeFill="background1"/>
            <w:vAlign w:val="center"/>
          </w:tcPr>
          <w:p w14:paraId="3D094344">
            <w:pPr>
              <w:spacing w:line="360" w:lineRule="atLeast"/>
              <w:jc w:val="center"/>
              <w:outlineLvl w:val="1"/>
              <w:rPr>
                <w:rFonts w:ascii="Times New Roman" w:hAnsi="Times New Roman"/>
                <w:sz w:val="20"/>
                <w:szCs w:val="18"/>
              </w:rPr>
            </w:pPr>
            <w:r>
              <w:rPr>
                <w:rFonts w:hint="eastAsia" w:ascii="Times New Roman" w:hAnsi="Times New Roman"/>
                <w:sz w:val="20"/>
                <w:szCs w:val="18"/>
              </w:rPr>
              <w:t>□监狱企业</w:t>
            </w:r>
          </w:p>
          <w:p w14:paraId="01CAC2EF">
            <w:pPr>
              <w:spacing w:line="360" w:lineRule="atLeast"/>
              <w:jc w:val="center"/>
              <w:outlineLvl w:val="1"/>
              <w:rPr>
                <w:rFonts w:ascii="Times New Roman" w:hAnsi="Times New Roman"/>
                <w:sz w:val="20"/>
                <w:szCs w:val="18"/>
              </w:rPr>
            </w:pPr>
            <w:r>
              <w:rPr>
                <w:rFonts w:hint="eastAsia" w:ascii="Times New Roman" w:hAnsi="Times New Roman"/>
                <w:sz w:val="20"/>
                <w:szCs w:val="18"/>
              </w:rPr>
              <w:t>□残疾人企业</w:t>
            </w:r>
          </w:p>
          <w:p w14:paraId="340CD069">
            <w:pPr>
              <w:spacing w:line="360" w:lineRule="atLeast"/>
              <w:jc w:val="center"/>
              <w:outlineLvl w:val="1"/>
              <w:rPr>
                <w:rFonts w:ascii="Times New Roman" w:hAnsi="Times New Roman"/>
                <w:sz w:val="20"/>
                <w:szCs w:val="18"/>
              </w:rPr>
            </w:pPr>
            <w:r>
              <w:rPr>
                <w:rFonts w:hint="eastAsia" w:ascii="Times New Roman" w:hAnsi="Times New Roman"/>
                <w:sz w:val="20"/>
                <w:szCs w:val="18"/>
              </w:rPr>
              <w:t>□其他</w:t>
            </w:r>
          </w:p>
        </w:tc>
        <w:tc>
          <w:tcPr>
            <w:tcW w:w="431" w:type="pct"/>
            <w:shd w:val="clear" w:color="auto" w:fill="FFFFFF" w:themeFill="background1"/>
            <w:vAlign w:val="center"/>
          </w:tcPr>
          <w:p w14:paraId="0508FB4F">
            <w:pPr>
              <w:spacing w:line="360" w:lineRule="atLeast"/>
              <w:jc w:val="center"/>
              <w:outlineLvl w:val="1"/>
              <w:rPr>
                <w:rFonts w:ascii="Times New Roman" w:hAnsi="Times New Roman"/>
                <w:sz w:val="20"/>
                <w:szCs w:val="18"/>
              </w:rPr>
            </w:pPr>
            <w:r>
              <w:rPr>
                <w:rFonts w:hint="eastAsia" w:ascii="Times New Roman" w:hAnsi="Times New Roman"/>
                <w:sz w:val="20"/>
                <w:szCs w:val="18"/>
              </w:rPr>
              <w:t>□是</w:t>
            </w:r>
          </w:p>
          <w:p w14:paraId="1F23E6C6">
            <w:pPr>
              <w:spacing w:line="360" w:lineRule="atLeast"/>
              <w:jc w:val="center"/>
              <w:outlineLvl w:val="1"/>
              <w:rPr>
                <w:rFonts w:ascii="Times New Roman" w:hAnsi="Times New Roman"/>
                <w:sz w:val="20"/>
                <w:szCs w:val="18"/>
              </w:rPr>
            </w:pPr>
            <w:r>
              <w:rPr>
                <w:rFonts w:hint="eastAsia" w:ascii="Times New Roman" w:hAnsi="Times New Roman"/>
                <w:sz w:val="20"/>
                <w:szCs w:val="18"/>
              </w:rPr>
              <w:t>□否</w:t>
            </w:r>
          </w:p>
        </w:tc>
        <w:tc>
          <w:tcPr>
            <w:tcW w:w="457" w:type="pct"/>
            <w:vAlign w:val="center"/>
          </w:tcPr>
          <w:p w14:paraId="4F9D1FE4">
            <w:pPr>
              <w:spacing w:line="360" w:lineRule="atLeast"/>
              <w:jc w:val="left"/>
              <w:outlineLvl w:val="1"/>
              <w:rPr>
                <w:rFonts w:ascii="Times New Roman" w:hAnsi="宋体"/>
                <w:sz w:val="22"/>
                <w:szCs w:val="21"/>
              </w:rPr>
            </w:pPr>
            <w:r>
              <w:rPr>
                <w:rFonts w:hint="eastAsia" w:ascii="Times New Roman" w:hAnsi="宋体"/>
                <w:sz w:val="22"/>
                <w:szCs w:val="21"/>
              </w:rPr>
              <w:t>男□</w:t>
            </w:r>
          </w:p>
          <w:p w14:paraId="4BE0EFC3">
            <w:pPr>
              <w:spacing w:line="360" w:lineRule="atLeast"/>
              <w:jc w:val="left"/>
              <w:outlineLvl w:val="1"/>
              <w:rPr>
                <w:rFonts w:ascii="Times New Roman" w:hAnsi="Times New Roman"/>
                <w:sz w:val="22"/>
                <w:szCs w:val="21"/>
              </w:rPr>
            </w:pPr>
            <w:r>
              <w:rPr>
                <w:rFonts w:hint="eastAsia" w:ascii="Times New Roman" w:hAnsi="宋体"/>
                <w:sz w:val="22"/>
                <w:szCs w:val="21"/>
              </w:rPr>
              <w:t>女□</w:t>
            </w:r>
          </w:p>
        </w:tc>
        <w:tc>
          <w:tcPr>
            <w:tcW w:w="182" w:type="pct"/>
            <w:vAlign w:val="center"/>
          </w:tcPr>
          <w:p w14:paraId="225A70A7">
            <w:pPr>
              <w:spacing w:line="360" w:lineRule="atLeast"/>
              <w:ind w:firstLine="431" w:firstLineChars="196"/>
              <w:jc w:val="left"/>
              <w:outlineLvl w:val="1"/>
              <w:rPr>
                <w:rFonts w:ascii="Times New Roman" w:hAnsi="Times New Roman"/>
                <w:sz w:val="22"/>
                <w:szCs w:val="21"/>
              </w:rPr>
            </w:pPr>
          </w:p>
        </w:tc>
      </w:tr>
      <w:tr w14:paraId="42F22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7" w:type="pct"/>
            <w:vAlign w:val="center"/>
          </w:tcPr>
          <w:p w14:paraId="79712AC7">
            <w:pPr>
              <w:spacing w:line="360" w:lineRule="atLeast"/>
              <w:jc w:val="left"/>
              <w:outlineLvl w:val="1"/>
              <w:rPr>
                <w:rFonts w:ascii="Times New Roman" w:hAnsi="Times New Roman"/>
                <w:sz w:val="22"/>
                <w:szCs w:val="21"/>
              </w:rPr>
            </w:pPr>
            <w:r>
              <w:rPr>
                <w:rFonts w:hint="eastAsia" w:ascii="Times New Roman" w:hAnsi="Times New Roman"/>
                <w:sz w:val="22"/>
                <w:szCs w:val="21"/>
              </w:rPr>
              <w:t>...</w:t>
            </w:r>
          </w:p>
        </w:tc>
        <w:tc>
          <w:tcPr>
            <w:tcW w:w="425" w:type="pct"/>
            <w:vAlign w:val="center"/>
          </w:tcPr>
          <w:p w14:paraId="23878A8A">
            <w:pPr>
              <w:spacing w:line="360" w:lineRule="atLeast"/>
              <w:ind w:firstLine="431" w:firstLineChars="196"/>
              <w:jc w:val="left"/>
              <w:outlineLvl w:val="1"/>
              <w:rPr>
                <w:rFonts w:ascii="Times New Roman" w:hAnsi="Times New Roman"/>
                <w:sz w:val="22"/>
                <w:szCs w:val="21"/>
              </w:rPr>
            </w:pPr>
          </w:p>
        </w:tc>
        <w:tc>
          <w:tcPr>
            <w:tcW w:w="261" w:type="pct"/>
            <w:vAlign w:val="center"/>
          </w:tcPr>
          <w:p w14:paraId="62BF37B1">
            <w:pPr>
              <w:spacing w:line="360" w:lineRule="atLeast"/>
              <w:ind w:firstLine="431" w:firstLineChars="196"/>
              <w:jc w:val="left"/>
              <w:outlineLvl w:val="1"/>
              <w:rPr>
                <w:rFonts w:ascii="Times New Roman" w:hAnsi="Times New Roman"/>
                <w:sz w:val="22"/>
                <w:szCs w:val="21"/>
              </w:rPr>
            </w:pPr>
          </w:p>
        </w:tc>
        <w:tc>
          <w:tcPr>
            <w:tcW w:w="261" w:type="pct"/>
            <w:vAlign w:val="center"/>
          </w:tcPr>
          <w:p w14:paraId="3333BB36">
            <w:pPr>
              <w:spacing w:line="360" w:lineRule="atLeast"/>
              <w:ind w:firstLine="431" w:firstLineChars="196"/>
              <w:jc w:val="left"/>
              <w:outlineLvl w:val="1"/>
              <w:rPr>
                <w:rFonts w:ascii="Times New Roman" w:hAnsi="Times New Roman"/>
                <w:sz w:val="22"/>
                <w:szCs w:val="21"/>
              </w:rPr>
            </w:pPr>
          </w:p>
        </w:tc>
        <w:tc>
          <w:tcPr>
            <w:tcW w:w="277" w:type="pct"/>
            <w:vAlign w:val="center"/>
          </w:tcPr>
          <w:p w14:paraId="05E6B570">
            <w:pPr>
              <w:spacing w:line="360" w:lineRule="atLeast"/>
              <w:ind w:firstLine="431" w:firstLineChars="196"/>
              <w:jc w:val="left"/>
              <w:outlineLvl w:val="1"/>
              <w:rPr>
                <w:rFonts w:ascii="Times New Roman" w:hAnsi="Times New Roman"/>
                <w:sz w:val="22"/>
                <w:szCs w:val="21"/>
              </w:rPr>
            </w:pPr>
          </w:p>
        </w:tc>
        <w:tc>
          <w:tcPr>
            <w:tcW w:w="228" w:type="pct"/>
            <w:vAlign w:val="center"/>
          </w:tcPr>
          <w:p w14:paraId="5082CF36">
            <w:pPr>
              <w:spacing w:line="360" w:lineRule="atLeast"/>
              <w:ind w:firstLine="431" w:firstLineChars="196"/>
              <w:jc w:val="left"/>
              <w:outlineLvl w:val="1"/>
              <w:rPr>
                <w:rFonts w:ascii="Times New Roman" w:hAnsi="Times New Roman"/>
                <w:sz w:val="22"/>
                <w:szCs w:val="21"/>
              </w:rPr>
            </w:pPr>
          </w:p>
        </w:tc>
        <w:tc>
          <w:tcPr>
            <w:tcW w:w="273" w:type="pct"/>
            <w:vAlign w:val="center"/>
          </w:tcPr>
          <w:p w14:paraId="2544C626">
            <w:pPr>
              <w:spacing w:line="360" w:lineRule="atLeast"/>
              <w:ind w:firstLine="431" w:firstLineChars="196"/>
              <w:jc w:val="left"/>
              <w:outlineLvl w:val="1"/>
              <w:rPr>
                <w:rFonts w:ascii="Times New Roman" w:hAnsi="Times New Roman"/>
                <w:sz w:val="22"/>
                <w:szCs w:val="21"/>
              </w:rPr>
            </w:pPr>
          </w:p>
        </w:tc>
        <w:tc>
          <w:tcPr>
            <w:tcW w:w="167" w:type="pct"/>
            <w:vAlign w:val="center"/>
          </w:tcPr>
          <w:p w14:paraId="376492F3">
            <w:pPr>
              <w:spacing w:line="360" w:lineRule="atLeast"/>
              <w:ind w:firstLine="431" w:firstLineChars="196"/>
              <w:jc w:val="left"/>
              <w:outlineLvl w:val="1"/>
              <w:rPr>
                <w:rFonts w:ascii="Times New Roman" w:hAnsi="Times New Roman"/>
                <w:sz w:val="22"/>
                <w:szCs w:val="21"/>
              </w:rPr>
            </w:pPr>
          </w:p>
        </w:tc>
        <w:tc>
          <w:tcPr>
            <w:tcW w:w="383" w:type="pct"/>
            <w:vAlign w:val="center"/>
          </w:tcPr>
          <w:p w14:paraId="3B97F2E8">
            <w:pPr>
              <w:spacing w:line="360" w:lineRule="atLeast"/>
              <w:ind w:firstLine="431" w:firstLineChars="196"/>
              <w:jc w:val="left"/>
              <w:outlineLvl w:val="1"/>
              <w:rPr>
                <w:rFonts w:ascii="Times New Roman" w:hAnsi="Times New Roman"/>
                <w:sz w:val="22"/>
                <w:szCs w:val="21"/>
              </w:rPr>
            </w:pPr>
          </w:p>
        </w:tc>
        <w:tc>
          <w:tcPr>
            <w:tcW w:w="350" w:type="pct"/>
            <w:vAlign w:val="center"/>
          </w:tcPr>
          <w:p w14:paraId="0C3C8E01">
            <w:pPr>
              <w:spacing w:line="360" w:lineRule="atLeast"/>
              <w:ind w:firstLine="431" w:firstLineChars="196"/>
              <w:jc w:val="left"/>
              <w:outlineLvl w:val="1"/>
              <w:rPr>
                <w:rFonts w:ascii="Times New Roman" w:hAnsi="Times New Roman"/>
                <w:sz w:val="22"/>
                <w:szCs w:val="21"/>
              </w:rPr>
            </w:pPr>
          </w:p>
        </w:tc>
        <w:tc>
          <w:tcPr>
            <w:tcW w:w="620" w:type="pct"/>
            <w:vAlign w:val="center"/>
          </w:tcPr>
          <w:p w14:paraId="59193876">
            <w:pPr>
              <w:spacing w:line="360" w:lineRule="atLeast"/>
              <w:jc w:val="center"/>
              <w:outlineLvl w:val="1"/>
              <w:rPr>
                <w:rFonts w:ascii="Times New Roman" w:hAnsi="Times New Roman"/>
                <w:sz w:val="20"/>
                <w:szCs w:val="18"/>
              </w:rPr>
            </w:pPr>
          </w:p>
        </w:tc>
        <w:tc>
          <w:tcPr>
            <w:tcW w:w="481" w:type="pct"/>
            <w:vAlign w:val="center"/>
          </w:tcPr>
          <w:p w14:paraId="1738B971">
            <w:pPr>
              <w:spacing w:line="360" w:lineRule="atLeast"/>
              <w:jc w:val="center"/>
              <w:outlineLvl w:val="1"/>
              <w:rPr>
                <w:rFonts w:ascii="Times New Roman" w:hAnsi="Times New Roman"/>
                <w:sz w:val="20"/>
                <w:szCs w:val="18"/>
              </w:rPr>
            </w:pPr>
          </w:p>
        </w:tc>
        <w:tc>
          <w:tcPr>
            <w:tcW w:w="431" w:type="pct"/>
            <w:vAlign w:val="center"/>
          </w:tcPr>
          <w:p w14:paraId="282BC311">
            <w:pPr>
              <w:spacing w:line="360" w:lineRule="atLeast"/>
              <w:jc w:val="center"/>
              <w:outlineLvl w:val="1"/>
              <w:rPr>
                <w:rFonts w:ascii="Times New Roman" w:hAnsi="Times New Roman"/>
                <w:sz w:val="20"/>
                <w:szCs w:val="18"/>
              </w:rPr>
            </w:pPr>
          </w:p>
        </w:tc>
        <w:tc>
          <w:tcPr>
            <w:tcW w:w="457" w:type="pct"/>
            <w:vAlign w:val="center"/>
          </w:tcPr>
          <w:p w14:paraId="4E07BE8C">
            <w:pPr>
              <w:spacing w:line="360" w:lineRule="atLeast"/>
              <w:ind w:firstLine="431" w:firstLineChars="196"/>
              <w:jc w:val="left"/>
              <w:outlineLvl w:val="1"/>
              <w:rPr>
                <w:rFonts w:ascii="Times New Roman" w:hAnsi="Times New Roman"/>
                <w:sz w:val="22"/>
                <w:szCs w:val="21"/>
              </w:rPr>
            </w:pPr>
          </w:p>
        </w:tc>
        <w:tc>
          <w:tcPr>
            <w:tcW w:w="182" w:type="pct"/>
            <w:vAlign w:val="center"/>
          </w:tcPr>
          <w:p w14:paraId="0314C6EF">
            <w:pPr>
              <w:spacing w:line="360" w:lineRule="atLeast"/>
              <w:ind w:firstLine="431" w:firstLineChars="196"/>
              <w:jc w:val="left"/>
              <w:outlineLvl w:val="1"/>
              <w:rPr>
                <w:rFonts w:ascii="Times New Roman" w:hAnsi="Times New Roman"/>
                <w:sz w:val="22"/>
                <w:szCs w:val="21"/>
              </w:rPr>
            </w:pPr>
          </w:p>
        </w:tc>
      </w:tr>
      <w:tr w14:paraId="4F62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7" w:type="pct"/>
            <w:vAlign w:val="center"/>
          </w:tcPr>
          <w:p w14:paraId="74F85A20">
            <w:pPr>
              <w:spacing w:line="360" w:lineRule="atLeast"/>
              <w:ind w:firstLine="431" w:firstLineChars="196"/>
              <w:jc w:val="left"/>
              <w:outlineLvl w:val="1"/>
              <w:rPr>
                <w:rFonts w:ascii="Times New Roman" w:hAnsi="Times New Roman"/>
                <w:sz w:val="22"/>
                <w:szCs w:val="21"/>
              </w:rPr>
            </w:pPr>
          </w:p>
        </w:tc>
        <w:tc>
          <w:tcPr>
            <w:tcW w:w="425" w:type="pct"/>
            <w:vAlign w:val="center"/>
          </w:tcPr>
          <w:p w14:paraId="0EAC4AB3">
            <w:pPr>
              <w:spacing w:line="360" w:lineRule="atLeast"/>
              <w:ind w:firstLine="431" w:firstLineChars="196"/>
              <w:jc w:val="left"/>
              <w:outlineLvl w:val="1"/>
              <w:rPr>
                <w:rFonts w:ascii="Times New Roman" w:hAnsi="Times New Roman"/>
                <w:sz w:val="22"/>
                <w:szCs w:val="21"/>
              </w:rPr>
            </w:pPr>
          </w:p>
        </w:tc>
        <w:tc>
          <w:tcPr>
            <w:tcW w:w="261" w:type="pct"/>
            <w:vAlign w:val="center"/>
          </w:tcPr>
          <w:p w14:paraId="3635C2F7">
            <w:pPr>
              <w:spacing w:line="360" w:lineRule="atLeast"/>
              <w:ind w:firstLine="431" w:firstLineChars="196"/>
              <w:jc w:val="left"/>
              <w:outlineLvl w:val="1"/>
              <w:rPr>
                <w:rFonts w:ascii="Times New Roman" w:hAnsi="Times New Roman"/>
                <w:sz w:val="22"/>
                <w:szCs w:val="21"/>
              </w:rPr>
            </w:pPr>
          </w:p>
        </w:tc>
        <w:tc>
          <w:tcPr>
            <w:tcW w:w="261" w:type="pct"/>
            <w:vAlign w:val="center"/>
          </w:tcPr>
          <w:p w14:paraId="1D92CF0B">
            <w:pPr>
              <w:spacing w:line="360" w:lineRule="atLeast"/>
              <w:ind w:firstLine="431" w:firstLineChars="196"/>
              <w:jc w:val="left"/>
              <w:outlineLvl w:val="1"/>
              <w:rPr>
                <w:rFonts w:ascii="Times New Roman" w:hAnsi="Times New Roman"/>
                <w:sz w:val="22"/>
                <w:szCs w:val="21"/>
              </w:rPr>
            </w:pPr>
          </w:p>
        </w:tc>
        <w:tc>
          <w:tcPr>
            <w:tcW w:w="277" w:type="pct"/>
            <w:vAlign w:val="center"/>
          </w:tcPr>
          <w:p w14:paraId="72D2B461">
            <w:pPr>
              <w:spacing w:line="360" w:lineRule="atLeast"/>
              <w:ind w:firstLine="431" w:firstLineChars="196"/>
              <w:jc w:val="left"/>
              <w:outlineLvl w:val="1"/>
              <w:rPr>
                <w:rFonts w:ascii="Times New Roman" w:hAnsi="Times New Roman"/>
                <w:sz w:val="22"/>
                <w:szCs w:val="21"/>
              </w:rPr>
            </w:pPr>
          </w:p>
        </w:tc>
        <w:tc>
          <w:tcPr>
            <w:tcW w:w="228" w:type="pct"/>
            <w:vAlign w:val="center"/>
          </w:tcPr>
          <w:p w14:paraId="09E70455">
            <w:pPr>
              <w:spacing w:line="360" w:lineRule="atLeast"/>
              <w:ind w:firstLine="431" w:firstLineChars="196"/>
              <w:jc w:val="left"/>
              <w:outlineLvl w:val="1"/>
              <w:rPr>
                <w:rFonts w:ascii="Times New Roman" w:hAnsi="Times New Roman"/>
                <w:sz w:val="22"/>
                <w:szCs w:val="21"/>
              </w:rPr>
            </w:pPr>
          </w:p>
        </w:tc>
        <w:tc>
          <w:tcPr>
            <w:tcW w:w="273" w:type="pct"/>
            <w:vAlign w:val="center"/>
          </w:tcPr>
          <w:p w14:paraId="4B0999D7">
            <w:pPr>
              <w:spacing w:line="360" w:lineRule="atLeast"/>
              <w:ind w:firstLine="431" w:firstLineChars="196"/>
              <w:jc w:val="left"/>
              <w:outlineLvl w:val="1"/>
              <w:rPr>
                <w:rFonts w:ascii="Times New Roman" w:hAnsi="Times New Roman"/>
                <w:sz w:val="22"/>
                <w:szCs w:val="21"/>
              </w:rPr>
            </w:pPr>
          </w:p>
        </w:tc>
        <w:tc>
          <w:tcPr>
            <w:tcW w:w="167" w:type="pct"/>
            <w:vAlign w:val="center"/>
          </w:tcPr>
          <w:p w14:paraId="7C9CCBBF">
            <w:pPr>
              <w:spacing w:line="360" w:lineRule="atLeast"/>
              <w:ind w:firstLine="431" w:firstLineChars="196"/>
              <w:jc w:val="left"/>
              <w:outlineLvl w:val="1"/>
              <w:rPr>
                <w:rFonts w:ascii="Times New Roman" w:hAnsi="Times New Roman"/>
                <w:sz w:val="22"/>
                <w:szCs w:val="21"/>
              </w:rPr>
            </w:pPr>
          </w:p>
        </w:tc>
        <w:tc>
          <w:tcPr>
            <w:tcW w:w="383" w:type="pct"/>
            <w:vAlign w:val="center"/>
          </w:tcPr>
          <w:p w14:paraId="36836900">
            <w:pPr>
              <w:spacing w:line="360" w:lineRule="atLeast"/>
              <w:ind w:firstLine="431" w:firstLineChars="196"/>
              <w:jc w:val="left"/>
              <w:outlineLvl w:val="1"/>
              <w:rPr>
                <w:rFonts w:ascii="Times New Roman" w:hAnsi="Times New Roman"/>
                <w:sz w:val="22"/>
                <w:szCs w:val="21"/>
              </w:rPr>
            </w:pPr>
          </w:p>
        </w:tc>
        <w:tc>
          <w:tcPr>
            <w:tcW w:w="350" w:type="pct"/>
            <w:vAlign w:val="center"/>
          </w:tcPr>
          <w:p w14:paraId="5FEF08DC">
            <w:pPr>
              <w:spacing w:line="360" w:lineRule="atLeast"/>
              <w:ind w:firstLine="431" w:firstLineChars="196"/>
              <w:jc w:val="left"/>
              <w:outlineLvl w:val="1"/>
              <w:rPr>
                <w:rFonts w:ascii="Times New Roman" w:hAnsi="Times New Roman"/>
                <w:sz w:val="22"/>
                <w:szCs w:val="21"/>
              </w:rPr>
            </w:pPr>
          </w:p>
        </w:tc>
        <w:tc>
          <w:tcPr>
            <w:tcW w:w="620" w:type="pct"/>
            <w:vAlign w:val="center"/>
          </w:tcPr>
          <w:p w14:paraId="162863EF">
            <w:pPr>
              <w:rPr>
                <w:rFonts w:ascii="Times New Roman" w:hAnsi="Times New Roman"/>
                <w:sz w:val="22"/>
                <w:szCs w:val="21"/>
              </w:rPr>
            </w:pPr>
          </w:p>
        </w:tc>
        <w:tc>
          <w:tcPr>
            <w:tcW w:w="481" w:type="pct"/>
            <w:vAlign w:val="center"/>
          </w:tcPr>
          <w:p w14:paraId="2C57AF24">
            <w:pPr>
              <w:spacing w:line="360" w:lineRule="atLeast"/>
              <w:ind w:firstLine="431" w:firstLineChars="196"/>
              <w:jc w:val="left"/>
              <w:outlineLvl w:val="1"/>
              <w:rPr>
                <w:rFonts w:ascii="Times New Roman" w:hAnsi="Times New Roman"/>
                <w:sz w:val="22"/>
                <w:szCs w:val="21"/>
              </w:rPr>
            </w:pPr>
          </w:p>
        </w:tc>
        <w:tc>
          <w:tcPr>
            <w:tcW w:w="431" w:type="pct"/>
            <w:vAlign w:val="center"/>
          </w:tcPr>
          <w:p w14:paraId="5937B44A">
            <w:pPr>
              <w:spacing w:line="360" w:lineRule="atLeast"/>
              <w:ind w:firstLine="431" w:firstLineChars="196"/>
              <w:jc w:val="left"/>
              <w:outlineLvl w:val="1"/>
              <w:rPr>
                <w:rFonts w:ascii="Times New Roman" w:hAnsi="Times New Roman"/>
                <w:sz w:val="22"/>
                <w:szCs w:val="21"/>
              </w:rPr>
            </w:pPr>
          </w:p>
        </w:tc>
        <w:tc>
          <w:tcPr>
            <w:tcW w:w="457" w:type="pct"/>
            <w:vAlign w:val="center"/>
          </w:tcPr>
          <w:p w14:paraId="24CD46AB">
            <w:pPr>
              <w:spacing w:line="360" w:lineRule="atLeast"/>
              <w:ind w:firstLine="431" w:firstLineChars="196"/>
              <w:jc w:val="left"/>
              <w:outlineLvl w:val="1"/>
              <w:rPr>
                <w:rFonts w:ascii="Times New Roman" w:hAnsi="Times New Roman"/>
                <w:sz w:val="22"/>
                <w:szCs w:val="21"/>
              </w:rPr>
            </w:pPr>
          </w:p>
        </w:tc>
        <w:tc>
          <w:tcPr>
            <w:tcW w:w="182" w:type="pct"/>
            <w:vAlign w:val="center"/>
          </w:tcPr>
          <w:p w14:paraId="393EA0A8">
            <w:pPr>
              <w:spacing w:line="360" w:lineRule="atLeast"/>
              <w:ind w:firstLine="431" w:firstLineChars="196"/>
              <w:jc w:val="left"/>
              <w:outlineLvl w:val="1"/>
              <w:rPr>
                <w:rFonts w:ascii="Times New Roman" w:hAnsi="Times New Roman"/>
                <w:sz w:val="22"/>
                <w:szCs w:val="21"/>
              </w:rPr>
            </w:pPr>
          </w:p>
        </w:tc>
      </w:tr>
      <w:tr w14:paraId="126DF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7" w:type="pct"/>
            <w:vAlign w:val="center"/>
          </w:tcPr>
          <w:p w14:paraId="1EE45F3C">
            <w:pPr>
              <w:spacing w:line="360" w:lineRule="atLeast"/>
              <w:ind w:firstLine="431" w:firstLineChars="196"/>
              <w:jc w:val="left"/>
              <w:outlineLvl w:val="1"/>
              <w:rPr>
                <w:rFonts w:ascii="Times New Roman" w:hAnsi="Times New Roman"/>
                <w:sz w:val="22"/>
                <w:szCs w:val="21"/>
              </w:rPr>
            </w:pPr>
          </w:p>
        </w:tc>
        <w:tc>
          <w:tcPr>
            <w:tcW w:w="425" w:type="pct"/>
            <w:vAlign w:val="center"/>
          </w:tcPr>
          <w:p w14:paraId="434A139A">
            <w:pPr>
              <w:spacing w:line="360" w:lineRule="atLeast"/>
              <w:ind w:firstLine="431" w:firstLineChars="196"/>
              <w:jc w:val="left"/>
              <w:outlineLvl w:val="1"/>
              <w:rPr>
                <w:rFonts w:ascii="Times New Roman" w:hAnsi="Times New Roman"/>
                <w:sz w:val="22"/>
                <w:szCs w:val="21"/>
              </w:rPr>
            </w:pPr>
          </w:p>
        </w:tc>
        <w:tc>
          <w:tcPr>
            <w:tcW w:w="261" w:type="pct"/>
            <w:vAlign w:val="center"/>
          </w:tcPr>
          <w:p w14:paraId="6C3D83C9">
            <w:pPr>
              <w:spacing w:line="360" w:lineRule="atLeast"/>
              <w:ind w:firstLine="431" w:firstLineChars="196"/>
              <w:jc w:val="left"/>
              <w:outlineLvl w:val="1"/>
              <w:rPr>
                <w:rFonts w:ascii="Times New Roman" w:hAnsi="Times New Roman"/>
                <w:sz w:val="22"/>
                <w:szCs w:val="21"/>
              </w:rPr>
            </w:pPr>
          </w:p>
        </w:tc>
        <w:tc>
          <w:tcPr>
            <w:tcW w:w="261" w:type="pct"/>
            <w:vAlign w:val="center"/>
          </w:tcPr>
          <w:p w14:paraId="7DD1F6E6">
            <w:pPr>
              <w:spacing w:line="360" w:lineRule="atLeast"/>
              <w:ind w:firstLine="431" w:firstLineChars="196"/>
              <w:jc w:val="left"/>
              <w:outlineLvl w:val="1"/>
              <w:rPr>
                <w:rFonts w:ascii="Times New Roman" w:hAnsi="Times New Roman"/>
                <w:sz w:val="22"/>
                <w:szCs w:val="21"/>
              </w:rPr>
            </w:pPr>
          </w:p>
        </w:tc>
        <w:tc>
          <w:tcPr>
            <w:tcW w:w="277" w:type="pct"/>
            <w:vAlign w:val="center"/>
          </w:tcPr>
          <w:p w14:paraId="6E143F90">
            <w:pPr>
              <w:spacing w:line="360" w:lineRule="atLeast"/>
              <w:ind w:firstLine="431" w:firstLineChars="196"/>
              <w:jc w:val="left"/>
              <w:outlineLvl w:val="1"/>
              <w:rPr>
                <w:rFonts w:ascii="Times New Roman" w:hAnsi="Times New Roman"/>
                <w:sz w:val="22"/>
                <w:szCs w:val="21"/>
              </w:rPr>
            </w:pPr>
          </w:p>
        </w:tc>
        <w:tc>
          <w:tcPr>
            <w:tcW w:w="228" w:type="pct"/>
            <w:vAlign w:val="center"/>
          </w:tcPr>
          <w:p w14:paraId="770D957C">
            <w:pPr>
              <w:spacing w:line="360" w:lineRule="atLeast"/>
              <w:ind w:firstLine="431" w:firstLineChars="196"/>
              <w:jc w:val="left"/>
              <w:outlineLvl w:val="1"/>
              <w:rPr>
                <w:rFonts w:ascii="Times New Roman" w:hAnsi="Times New Roman"/>
                <w:sz w:val="22"/>
                <w:szCs w:val="21"/>
              </w:rPr>
            </w:pPr>
          </w:p>
        </w:tc>
        <w:tc>
          <w:tcPr>
            <w:tcW w:w="273" w:type="pct"/>
            <w:vAlign w:val="center"/>
          </w:tcPr>
          <w:p w14:paraId="459A3F1D">
            <w:pPr>
              <w:spacing w:line="360" w:lineRule="atLeast"/>
              <w:ind w:firstLine="431" w:firstLineChars="196"/>
              <w:jc w:val="left"/>
              <w:outlineLvl w:val="1"/>
              <w:rPr>
                <w:rFonts w:ascii="Times New Roman" w:hAnsi="Times New Roman"/>
                <w:sz w:val="22"/>
                <w:szCs w:val="21"/>
              </w:rPr>
            </w:pPr>
          </w:p>
        </w:tc>
        <w:tc>
          <w:tcPr>
            <w:tcW w:w="167" w:type="pct"/>
            <w:vAlign w:val="center"/>
          </w:tcPr>
          <w:p w14:paraId="2452F8AC">
            <w:pPr>
              <w:spacing w:line="360" w:lineRule="atLeast"/>
              <w:ind w:firstLine="431" w:firstLineChars="196"/>
              <w:jc w:val="left"/>
              <w:outlineLvl w:val="1"/>
              <w:rPr>
                <w:rFonts w:ascii="Times New Roman" w:hAnsi="Times New Roman"/>
                <w:sz w:val="22"/>
                <w:szCs w:val="21"/>
              </w:rPr>
            </w:pPr>
          </w:p>
        </w:tc>
        <w:tc>
          <w:tcPr>
            <w:tcW w:w="383" w:type="pct"/>
            <w:vAlign w:val="center"/>
          </w:tcPr>
          <w:p w14:paraId="2A5AC55C">
            <w:pPr>
              <w:spacing w:line="360" w:lineRule="atLeast"/>
              <w:ind w:firstLine="431" w:firstLineChars="196"/>
              <w:jc w:val="left"/>
              <w:outlineLvl w:val="1"/>
              <w:rPr>
                <w:rFonts w:ascii="Times New Roman" w:hAnsi="Times New Roman"/>
                <w:sz w:val="22"/>
                <w:szCs w:val="21"/>
              </w:rPr>
            </w:pPr>
          </w:p>
        </w:tc>
        <w:tc>
          <w:tcPr>
            <w:tcW w:w="350" w:type="pct"/>
            <w:vAlign w:val="center"/>
          </w:tcPr>
          <w:p w14:paraId="1DC01AD8">
            <w:pPr>
              <w:spacing w:line="360" w:lineRule="atLeast"/>
              <w:ind w:firstLine="431" w:firstLineChars="196"/>
              <w:jc w:val="left"/>
              <w:outlineLvl w:val="1"/>
              <w:rPr>
                <w:rFonts w:ascii="Times New Roman" w:hAnsi="Times New Roman"/>
                <w:sz w:val="22"/>
                <w:szCs w:val="21"/>
              </w:rPr>
            </w:pPr>
          </w:p>
        </w:tc>
        <w:tc>
          <w:tcPr>
            <w:tcW w:w="620" w:type="pct"/>
            <w:vAlign w:val="center"/>
          </w:tcPr>
          <w:p w14:paraId="47F899BE">
            <w:pPr>
              <w:jc w:val="center"/>
              <w:rPr>
                <w:rFonts w:ascii="Times New Roman" w:hAnsi="Times New Roman"/>
                <w:sz w:val="22"/>
                <w:szCs w:val="21"/>
              </w:rPr>
            </w:pPr>
          </w:p>
        </w:tc>
        <w:tc>
          <w:tcPr>
            <w:tcW w:w="481" w:type="pct"/>
            <w:vAlign w:val="center"/>
          </w:tcPr>
          <w:p w14:paraId="6EA601DE">
            <w:pPr>
              <w:spacing w:line="360" w:lineRule="atLeast"/>
              <w:ind w:firstLine="431" w:firstLineChars="196"/>
              <w:jc w:val="left"/>
              <w:outlineLvl w:val="1"/>
              <w:rPr>
                <w:rFonts w:ascii="Times New Roman" w:hAnsi="Times New Roman"/>
                <w:sz w:val="22"/>
                <w:szCs w:val="21"/>
              </w:rPr>
            </w:pPr>
          </w:p>
        </w:tc>
        <w:tc>
          <w:tcPr>
            <w:tcW w:w="431" w:type="pct"/>
            <w:vAlign w:val="center"/>
          </w:tcPr>
          <w:p w14:paraId="4AD3BB93">
            <w:pPr>
              <w:spacing w:line="360" w:lineRule="atLeast"/>
              <w:ind w:firstLine="431" w:firstLineChars="196"/>
              <w:jc w:val="left"/>
              <w:outlineLvl w:val="1"/>
              <w:rPr>
                <w:rFonts w:ascii="Times New Roman" w:hAnsi="Times New Roman"/>
                <w:sz w:val="22"/>
                <w:szCs w:val="21"/>
              </w:rPr>
            </w:pPr>
          </w:p>
        </w:tc>
        <w:tc>
          <w:tcPr>
            <w:tcW w:w="457" w:type="pct"/>
            <w:vAlign w:val="center"/>
          </w:tcPr>
          <w:p w14:paraId="10388799">
            <w:pPr>
              <w:spacing w:line="360" w:lineRule="atLeast"/>
              <w:ind w:firstLine="431" w:firstLineChars="196"/>
              <w:jc w:val="left"/>
              <w:outlineLvl w:val="1"/>
              <w:rPr>
                <w:rFonts w:ascii="Times New Roman" w:hAnsi="Times New Roman"/>
                <w:sz w:val="22"/>
                <w:szCs w:val="21"/>
              </w:rPr>
            </w:pPr>
          </w:p>
        </w:tc>
        <w:tc>
          <w:tcPr>
            <w:tcW w:w="182" w:type="pct"/>
            <w:vAlign w:val="center"/>
          </w:tcPr>
          <w:p w14:paraId="079C853A">
            <w:pPr>
              <w:spacing w:line="360" w:lineRule="atLeast"/>
              <w:ind w:firstLine="431" w:firstLineChars="196"/>
              <w:jc w:val="left"/>
              <w:outlineLvl w:val="1"/>
              <w:rPr>
                <w:rFonts w:ascii="Times New Roman" w:hAnsi="Times New Roman"/>
                <w:sz w:val="22"/>
                <w:szCs w:val="21"/>
              </w:rPr>
            </w:pPr>
          </w:p>
        </w:tc>
      </w:tr>
      <w:tr w14:paraId="1F555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7" w:type="pct"/>
            <w:vAlign w:val="center"/>
          </w:tcPr>
          <w:p w14:paraId="39EDF46C">
            <w:pPr>
              <w:spacing w:line="360" w:lineRule="atLeast"/>
              <w:ind w:firstLine="431" w:firstLineChars="196"/>
              <w:jc w:val="left"/>
              <w:outlineLvl w:val="1"/>
              <w:rPr>
                <w:rFonts w:ascii="Times New Roman" w:hAnsi="Times New Roman"/>
                <w:sz w:val="22"/>
                <w:szCs w:val="21"/>
              </w:rPr>
            </w:pPr>
          </w:p>
        </w:tc>
        <w:tc>
          <w:tcPr>
            <w:tcW w:w="425" w:type="pct"/>
            <w:vAlign w:val="center"/>
          </w:tcPr>
          <w:p w14:paraId="2C6DDFA0">
            <w:pPr>
              <w:spacing w:line="360" w:lineRule="atLeast"/>
              <w:ind w:firstLine="431" w:firstLineChars="196"/>
              <w:jc w:val="left"/>
              <w:outlineLvl w:val="1"/>
              <w:rPr>
                <w:rFonts w:ascii="Times New Roman" w:hAnsi="Times New Roman"/>
                <w:sz w:val="22"/>
                <w:szCs w:val="21"/>
              </w:rPr>
            </w:pPr>
          </w:p>
        </w:tc>
        <w:tc>
          <w:tcPr>
            <w:tcW w:w="261" w:type="pct"/>
            <w:vAlign w:val="center"/>
          </w:tcPr>
          <w:p w14:paraId="025F46B9">
            <w:pPr>
              <w:spacing w:line="360" w:lineRule="atLeast"/>
              <w:ind w:firstLine="431" w:firstLineChars="196"/>
              <w:jc w:val="left"/>
              <w:outlineLvl w:val="1"/>
              <w:rPr>
                <w:rFonts w:ascii="Times New Roman" w:hAnsi="Times New Roman"/>
                <w:sz w:val="22"/>
                <w:szCs w:val="21"/>
              </w:rPr>
            </w:pPr>
          </w:p>
        </w:tc>
        <w:tc>
          <w:tcPr>
            <w:tcW w:w="261" w:type="pct"/>
            <w:vAlign w:val="center"/>
          </w:tcPr>
          <w:p w14:paraId="7517A43F">
            <w:pPr>
              <w:spacing w:line="360" w:lineRule="atLeast"/>
              <w:ind w:firstLine="431" w:firstLineChars="196"/>
              <w:jc w:val="left"/>
              <w:outlineLvl w:val="1"/>
              <w:rPr>
                <w:rFonts w:ascii="Times New Roman" w:hAnsi="Times New Roman"/>
                <w:sz w:val="22"/>
                <w:szCs w:val="21"/>
              </w:rPr>
            </w:pPr>
          </w:p>
        </w:tc>
        <w:tc>
          <w:tcPr>
            <w:tcW w:w="277" w:type="pct"/>
            <w:vAlign w:val="center"/>
          </w:tcPr>
          <w:p w14:paraId="0EB39EBE">
            <w:pPr>
              <w:spacing w:line="360" w:lineRule="atLeast"/>
              <w:ind w:firstLine="431" w:firstLineChars="196"/>
              <w:jc w:val="left"/>
              <w:outlineLvl w:val="1"/>
              <w:rPr>
                <w:rFonts w:ascii="Times New Roman" w:hAnsi="Times New Roman"/>
                <w:sz w:val="22"/>
                <w:szCs w:val="21"/>
              </w:rPr>
            </w:pPr>
          </w:p>
        </w:tc>
        <w:tc>
          <w:tcPr>
            <w:tcW w:w="228" w:type="pct"/>
            <w:vAlign w:val="center"/>
          </w:tcPr>
          <w:p w14:paraId="352B8C68">
            <w:pPr>
              <w:spacing w:line="360" w:lineRule="atLeast"/>
              <w:ind w:firstLine="431" w:firstLineChars="196"/>
              <w:jc w:val="left"/>
              <w:outlineLvl w:val="1"/>
              <w:rPr>
                <w:rFonts w:ascii="Times New Roman" w:hAnsi="Times New Roman"/>
                <w:sz w:val="22"/>
                <w:szCs w:val="21"/>
              </w:rPr>
            </w:pPr>
          </w:p>
        </w:tc>
        <w:tc>
          <w:tcPr>
            <w:tcW w:w="273" w:type="pct"/>
            <w:vAlign w:val="center"/>
          </w:tcPr>
          <w:p w14:paraId="12E25C7A">
            <w:pPr>
              <w:spacing w:line="360" w:lineRule="atLeast"/>
              <w:ind w:firstLine="431" w:firstLineChars="196"/>
              <w:jc w:val="left"/>
              <w:outlineLvl w:val="1"/>
              <w:rPr>
                <w:rFonts w:ascii="Times New Roman" w:hAnsi="Times New Roman"/>
                <w:sz w:val="22"/>
                <w:szCs w:val="21"/>
              </w:rPr>
            </w:pPr>
          </w:p>
        </w:tc>
        <w:tc>
          <w:tcPr>
            <w:tcW w:w="167" w:type="pct"/>
            <w:vAlign w:val="center"/>
          </w:tcPr>
          <w:p w14:paraId="15F3626A">
            <w:pPr>
              <w:spacing w:line="360" w:lineRule="atLeast"/>
              <w:ind w:firstLine="431" w:firstLineChars="196"/>
              <w:jc w:val="left"/>
              <w:outlineLvl w:val="1"/>
              <w:rPr>
                <w:rFonts w:ascii="Times New Roman" w:hAnsi="Times New Roman"/>
                <w:sz w:val="22"/>
                <w:szCs w:val="21"/>
              </w:rPr>
            </w:pPr>
          </w:p>
        </w:tc>
        <w:tc>
          <w:tcPr>
            <w:tcW w:w="383" w:type="pct"/>
            <w:vAlign w:val="center"/>
          </w:tcPr>
          <w:p w14:paraId="31B50067">
            <w:pPr>
              <w:spacing w:line="360" w:lineRule="atLeast"/>
              <w:ind w:firstLine="431" w:firstLineChars="196"/>
              <w:jc w:val="left"/>
              <w:outlineLvl w:val="1"/>
              <w:rPr>
                <w:rFonts w:ascii="Times New Roman" w:hAnsi="Times New Roman"/>
                <w:sz w:val="22"/>
                <w:szCs w:val="21"/>
              </w:rPr>
            </w:pPr>
          </w:p>
        </w:tc>
        <w:tc>
          <w:tcPr>
            <w:tcW w:w="350" w:type="pct"/>
            <w:vAlign w:val="center"/>
          </w:tcPr>
          <w:p w14:paraId="6D0965DA">
            <w:pPr>
              <w:spacing w:line="360" w:lineRule="atLeast"/>
              <w:ind w:firstLine="431" w:firstLineChars="196"/>
              <w:jc w:val="left"/>
              <w:outlineLvl w:val="1"/>
              <w:rPr>
                <w:rFonts w:ascii="Times New Roman" w:hAnsi="Times New Roman"/>
                <w:sz w:val="22"/>
                <w:szCs w:val="21"/>
              </w:rPr>
            </w:pPr>
          </w:p>
        </w:tc>
        <w:tc>
          <w:tcPr>
            <w:tcW w:w="620" w:type="pct"/>
            <w:vAlign w:val="center"/>
          </w:tcPr>
          <w:p w14:paraId="03942C2D">
            <w:pPr>
              <w:rPr>
                <w:rFonts w:ascii="Times New Roman" w:hAnsi="Times New Roman"/>
                <w:sz w:val="22"/>
                <w:szCs w:val="21"/>
              </w:rPr>
            </w:pPr>
          </w:p>
        </w:tc>
        <w:tc>
          <w:tcPr>
            <w:tcW w:w="481" w:type="pct"/>
            <w:vAlign w:val="center"/>
          </w:tcPr>
          <w:p w14:paraId="1D023508">
            <w:pPr>
              <w:spacing w:line="360" w:lineRule="atLeast"/>
              <w:ind w:firstLine="431" w:firstLineChars="196"/>
              <w:jc w:val="left"/>
              <w:outlineLvl w:val="1"/>
              <w:rPr>
                <w:rFonts w:ascii="Times New Roman" w:hAnsi="Times New Roman"/>
                <w:sz w:val="22"/>
                <w:szCs w:val="21"/>
              </w:rPr>
            </w:pPr>
          </w:p>
        </w:tc>
        <w:tc>
          <w:tcPr>
            <w:tcW w:w="431" w:type="pct"/>
            <w:vAlign w:val="center"/>
          </w:tcPr>
          <w:p w14:paraId="021A1C95">
            <w:pPr>
              <w:spacing w:line="360" w:lineRule="atLeast"/>
              <w:ind w:firstLine="431" w:firstLineChars="196"/>
              <w:jc w:val="left"/>
              <w:outlineLvl w:val="1"/>
              <w:rPr>
                <w:rFonts w:ascii="Times New Roman" w:hAnsi="Times New Roman"/>
                <w:sz w:val="22"/>
                <w:szCs w:val="21"/>
              </w:rPr>
            </w:pPr>
          </w:p>
        </w:tc>
        <w:tc>
          <w:tcPr>
            <w:tcW w:w="457" w:type="pct"/>
            <w:vAlign w:val="center"/>
          </w:tcPr>
          <w:p w14:paraId="2C929C08">
            <w:pPr>
              <w:spacing w:line="360" w:lineRule="atLeast"/>
              <w:ind w:firstLine="431" w:firstLineChars="196"/>
              <w:jc w:val="left"/>
              <w:outlineLvl w:val="1"/>
              <w:rPr>
                <w:rFonts w:ascii="Times New Roman" w:hAnsi="Times New Roman"/>
                <w:sz w:val="22"/>
                <w:szCs w:val="21"/>
              </w:rPr>
            </w:pPr>
          </w:p>
        </w:tc>
        <w:tc>
          <w:tcPr>
            <w:tcW w:w="182" w:type="pct"/>
            <w:vAlign w:val="center"/>
          </w:tcPr>
          <w:p w14:paraId="161215CA">
            <w:pPr>
              <w:spacing w:line="360" w:lineRule="atLeast"/>
              <w:ind w:firstLine="431" w:firstLineChars="196"/>
              <w:jc w:val="left"/>
              <w:outlineLvl w:val="1"/>
              <w:rPr>
                <w:rFonts w:ascii="Times New Roman" w:hAnsi="Times New Roman"/>
                <w:sz w:val="22"/>
                <w:szCs w:val="21"/>
              </w:rPr>
            </w:pPr>
          </w:p>
        </w:tc>
      </w:tr>
      <w:tr w14:paraId="30F1C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7" w:type="pct"/>
            <w:vAlign w:val="center"/>
          </w:tcPr>
          <w:p w14:paraId="61B28CBD">
            <w:pPr>
              <w:spacing w:line="360" w:lineRule="atLeast"/>
              <w:ind w:firstLine="431" w:firstLineChars="196"/>
              <w:jc w:val="left"/>
              <w:outlineLvl w:val="1"/>
              <w:rPr>
                <w:rFonts w:ascii="Times New Roman" w:hAnsi="Times New Roman"/>
                <w:sz w:val="22"/>
                <w:szCs w:val="21"/>
              </w:rPr>
            </w:pPr>
          </w:p>
        </w:tc>
        <w:tc>
          <w:tcPr>
            <w:tcW w:w="425" w:type="pct"/>
            <w:vAlign w:val="center"/>
          </w:tcPr>
          <w:p w14:paraId="105A8E23">
            <w:pPr>
              <w:spacing w:line="360" w:lineRule="atLeast"/>
              <w:ind w:firstLine="431" w:firstLineChars="196"/>
              <w:jc w:val="left"/>
              <w:outlineLvl w:val="1"/>
              <w:rPr>
                <w:rFonts w:ascii="Times New Roman" w:hAnsi="Times New Roman"/>
                <w:sz w:val="22"/>
                <w:szCs w:val="21"/>
              </w:rPr>
            </w:pPr>
          </w:p>
        </w:tc>
        <w:tc>
          <w:tcPr>
            <w:tcW w:w="261" w:type="pct"/>
            <w:vAlign w:val="center"/>
          </w:tcPr>
          <w:p w14:paraId="292F2467">
            <w:pPr>
              <w:spacing w:line="360" w:lineRule="atLeast"/>
              <w:ind w:firstLine="431" w:firstLineChars="196"/>
              <w:jc w:val="left"/>
              <w:outlineLvl w:val="1"/>
              <w:rPr>
                <w:rFonts w:ascii="Times New Roman" w:hAnsi="Times New Roman"/>
                <w:sz w:val="22"/>
                <w:szCs w:val="21"/>
              </w:rPr>
            </w:pPr>
          </w:p>
        </w:tc>
        <w:tc>
          <w:tcPr>
            <w:tcW w:w="261" w:type="pct"/>
            <w:vAlign w:val="center"/>
          </w:tcPr>
          <w:p w14:paraId="5621BFB9">
            <w:pPr>
              <w:spacing w:line="360" w:lineRule="atLeast"/>
              <w:ind w:firstLine="431" w:firstLineChars="196"/>
              <w:jc w:val="left"/>
              <w:outlineLvl w:val="1"/>
              <w:rPr>
                <w:rFonts w:ascii="Times New Roman" w:hAnsi="Times New Roman"/>
                <w:sz w:val="22"/>
                <w:szCs w:val="21"/>
              </w:rPr>
            </w:pPr>
          </w:p>
        </w:tc>
        <w:tc>
          <w:tcPr>
            <w:tcW w:w="277" w:type="pct"/>
            <w:vAlign w:val="center"/>
          </w:tcPr>
          <w:p w14:paraId="00955899">
            <w:pPr>
              <w:spacing w:line="360" w:lineRule="atLeast"/>
              <w:ind w:firstLine="431" w:firstLineChars="196"/>
              <w:jc w:val="left"/>
              <w:outlineLvl w:val="1"/>
              <w:rPr>
                <w:rFonts w:ascii="Times New Roman" w:hAnsi="Times New Roman"/>
                <w:sz w:val="22"/>
                <w:szCs w:val="21"/>
              </w:rPr>
            </w:pPr>
          </w:p>
        </w:tc>
        <w:tc>
          <w:tcPr>
            <w:tcW w:w="228" w:type="pct"/>
            <w:vAlign w:val="center"/>
          </w:tcPr>
          <w:p w14:paraId="46C71B47">
            <w:pPr>
              <w:spacing w:line="360" w:lineRule="atLeast"/>
              <w:ind w:firstLine="431" w:firstLineChars="196"/>
              <w:jc w:val="left"/>
              <w:outlineLvl w:val="1"/>
              <w:rPr>
                <w:rFonts w:ascii="Times New Roman" w:hAnsi="Times New Roman"/>
                <w:sz w:val="22"/>
                <w:szCs w:val="21"/>
              </w:rPr>
            </w:pPr>
          </w:p>
        </w:tc>
        <w:tc>
          <w:tcPr>
            <w:tcW w:w="273" w:type="pct"/>
            <w:vAlign w:val="center"/>
          </w:tcPr>
          <w:p w14:paraId="03520B6E">
            <w:pPr>
              <w:spacing w:line="360" w:lineRule="atLeast"/>
              <w:ind w:firstLine="431" w:firstLineChars="196"/>
              <w:jc w:val="left"/>
              <w:outlineLvl w:val="1"/>
              <w:rPr>
                <w:rFonts w:ascii="Times New Roman" w:hAnsi="Times New Roman"/>
                <w:sz w:val="22"/>
                <w:szCs w:val="21"/>
              </w:rPr>
            </w:pPr>
          </w:p>
        </w:tc>
        <w:tc>
          <w:tcPr>
            <w:tcW w:w="167" w:type="pct"/>
            <w:vAlign w:val="center"/>
          </w:tcPr>
          <w:p w14:paraId="760627D5">
            <w:pPr>
              <w:spacing w:line="360" w:lineRule="atLeast"/>
              <w:ind w:firstLine="431" w:firstLineChars="196"/>
              <w:jc w:val="left"/>
              <w:outlineLvl w:val="1"/>
              <w:rPr>
                <w:rFonts w:ascii="Times New Roman" w:hAnsi="Times New Roman"/>
                <w:sz w:val="22"/>
                <w:szCs w:val="21"/>
              </w:rPr>
            </w:pPr>
          </w:p>
        </w:tc>
        <w:tc>
          <w:tcPr>
            <w:tcW w:w="383" w:type="pct"/>
            <w:vAlign w:val="center"/>
          </w:tcPr>
          <w:p w14:paraId="2A678E83">
            <w:pPr>
              <w:spacing w:line="360" w:lineRule="atLeast"/>
              <w:ind w:firstLine="431" w:firstLineChars="196"/>
              <w:jc w:val="left"/>
              <w:outlineLvl w:val="1"/>
              <w:rPr>
                <w:rFonts w:ascii="Times New Roman" w:hAnsi="Times New Roman"/>
                <w:sz w:val="22"/>
                <w:szCs w:val="21"/>
              </w:rPr>
            </w:pPr>
          </w:p>
        </w:tc>
        <w:tc>
          <w:tcPr>
            <w:tcW w:w="350" w:type="pct"/>
            <w:vAlign w:val="center"/>
          </w:tcPr>
          <w:p w14:paraId="34F96F0F">
            <w:pPr>
              <w:spacing w:line="360" w:lineRule="atLeast"/>
              <w:ind w:firstLine="431" w:firstLineChars="196"/>
              <w:jc w:val="left"/>
              <w:outlineLvl w:val="1"/>
              <w:rPr>
                <w:rFonts w:ascii="Times New Roman" w:hAnsi="Times New Roman"/>
                <w:sz w:val="22"/>
                <w:szCs w:val="21"/>
              </w:rPr>
            </w:pPr>
          </w:p>
        </w:tc>
        <w:tc>
          <w:tcPr>
            <w:tcW w:w="620" w:type="pct"/>
            <w:vAlign w:val="center"/>
          </w:tcPr>
          <w:p w14:paraId="60184C5B">
            <w:pPr>
              <w:spacing w:line="360" w:lineRule="atLeast"/>
              <w:ind w:firstLine="431" w:firstLineChars="196"/>
              <w:jc w:val="left"/>
              <w:outlineLvl w:val="1"/>
              <w:rPr>
                <w:rFonts w:ascii="Times New Roman" w:hAnsi="Times New Roman"/>
                <w:sz w:val="22"/>
                <w:szCs w:val="21"/>
              </w:rPr>
            </w:pPr>
          </w:p>
        </w:tc>
        <w:tc>
          <w:tcPr>
            <w:tcW w:w="481" w:type="pct"/>
            <w:vAlign w:val="center"/>
          </w:tcPr>
          <w:p w14:paraId="6479037A">
            <w:pPr>
              <w:spacing w:line="360" w:lineRule="atLeast"/>
              <w:ind w:firstLine="431" w:firstLineChars="196"/>
              <w:jc w:val="left"/>
              <w:outlineLvl w:val="1"/>
              <w:rPr>
                <w:rFonts w:ascii="Times New Roman" w:hAnsi="Times New Roman"/>
                <w:sz w:val="22"/>
                <w:szCs w:val="21"/>
              </w:rPr>
            </w:pPr>
          </w:p>
        </w:tc>
        <w:tc>
          <w:tcPr>
            <w:tcW w:w="431" w:type="pct"/>
            <w:vAlign w:val="center"/>
          </w:tcPr>
          <w:p w14:paraId="311D13AF">
            <w:pPr>
              <w:spacing w:line="360" w:lineRule="atLeast"/>
              <w:ind w:firstLine="431" w:firstLineChars="196"/>
              <w:jc w:val="left"/>
              <w:outlineLvl w:val="1"/>
              <w:rPr>
                <w:rFonts w:ascii="Times New Roman" w:hAnsi="Times New Roman"/>
                <w:sz w:val="22"/>
                <w:szCs w:val="21"/>
              </w:rPr>
            </w:pPr>
          </w:p>
        </w:tc>
        <w:tc>
          <w:tcPr>
            <w:tcW w:w="457" w:type="pct"/>
            <w:vAlign w:val="center"/>
          </w:tcPr>
          <w:p w14:paraId="70C13503">
            <w:pPr>
              <w:spacing w:line="360" w:lineRule="atLeast"/>
              <w:ind w:firstLine="431" w:firstLineChars="196"/>
              <w:jc w:val="left"/>
              <w:outlineLvl w:val="1"/>
              <w:rPr>
                <w:rFonts w:ascii="Times New Roman" w:hAnsi="Times New Roman"/>
                <w:sz w:val="22"/>
                <w:szCs w:val="21"/>
              </w:rPr>
            </w:pPr>
          </w:p>
        </w:tc>
        <w:tc>
          <w:tcPr>
            <w:tcW w:w="182" w:type="pct"/>
            <w:vAlign w:val="center"/>
          </w:tcPr>
          <w:p w14:paraId="1D1E113F">
            <w:pPr>
              <w:spacing w:line="360" w:lineRule="atLeast"/>
              <w:ind w:firstLine="431" w:firstLineChars="196"/>
              <w:jc w:val="left"/>
              <w:outlineLvl w:val="1"/>
              <w:rPr>
                <w:rFonts w:ascii="Times New Roman" w:hAnsi="Times New Roman"/>
                <w:sz w:val="22"/>
                <w:szCs w:val="21"/>
              </w:rPr>
            </w:pPr>
          </w:p>
        </w:tc>
      </w:tr>
      <w:tr w14:paraId="1E618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000" w:type="pct"/>
            <w:gridSpan w:val="15"/>
            <w:vAlign w:val="center"/>
          </w:tcPr>
          <w:p w14:paraId="6DD50903">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分项报价合计（元）：           大写：</w:t>
            </w:r>
          </w:p>
        </w:tc>
      </w:tr>
    </w:tbl>
    <w:p w14:paraId="078956A4">
      <w:pPr>
        <w:spacing w:line="360" w:lineRule="atLeast"/>
        <w:jc w:val="left"/>
        <w:outlineLvl w:val="1"/>
        <w:rPr>
          <w:rFonts w:ascii="Times New Roman" w:hAnsi="Times New Roman"/>
          <w:sz w:val="22"/>
          <w:szCs w:val="21"/>
        </w:rPr>
      </w:pPr>
    </w:p>
    <w:p w14:paraId="6AFCF592">
      <w:pPr>
        <w:spacing w:line="400" w:lineRule="exact"/>
        <w:ind w:left="770" w:hanging="770" w:hangingChars="350"/>
        <w:rPr>
          <w:rFonts w:ascii="Times New Roman" w:hAnsi="Times New Roman"/>
          <w:sz w:val="22"/>
          <w:szCs w:val="21"/>
        </w:rPr>
      </w:pPr>
      <w:r>
        <w:rPr>
          <w:rFonts w:hint="eastAsia" w:ascii="Times New Roman" w:hAnsi="宋体"/>
          <w:sz w:val="22"/>
          <w:szCs w:val="21"/>
        </w:rPr>
        <w:t>注：</w:t>
      </w:r>
      <w:r>
        <w:rPr>
          <w:rFonts w:ascii="Times New Roman" w:hAnsi="Times New Roman"/>
          <w:sz w:val="22"/>
          <w:szCs w:val="21"/>
        </w:rPr>
        <w:t>1</w:t>
      </w:r>
      <w:r>
        <w:rPr>
          <w:rFonts w:hint="eastAsia" w:ascii="Times New Roman" w:hAnsi="宋体"/>
          <w:sz w:val="22"/>
          <w:szCs w:val="21"/>
        </w:rPr>
        <w:t>、投标人必须按</w:t>
      </w:r>
      <w:r>
        <w:rPr>
          <w:rFonts w:ascii="Times New Roman" w:hAnsi="Times New Roman"/>
          <w:sz w:val="22"/>
          <w:szCs w:val="21"/>
        </w:rPr>
        <w:t>“</w:t>
      </w:r>
      <w:r>
        <w:rPr>
          <w:rFonts w:hint="eastAsia" w:ascii="Times New Roman" w:hAnsi="宋体"/>
          <w:sz w:val="22"/>
          <w:szCs w:val="21"/>
        </w:rPr>
        <w:t>分项报价明细表</w:t>
      </w:r>
      <w:r>
        <w:rPr>
          <w:rFonts w:ascii="Times New Roman" w:hAnsi="Times New Roman"/>
          <w:sz w:val="22"/>
          <w:szCs w:val="21"/>
        </w:rPr>
        <w:t>”</w:t>
      </w:r>
      <w:r>
        <w:rPr>
          <w:rFonts w:hint="eastAsia" w:ascii="Times New Roman" w:hAnsi="宋体"/>
          <w:sz w:val="22"/>
          <w:szCs w:val="21"/>
        </w:rPr>
        <w:t>的格式详细报出投标总价的各个组成部分的报价，否则作无效投标处理。</w:t>
      </w:r>
    </w:p>
    <w:p w14:paraId="5734A3C0">
      <w:pPr>
        <w:spacing w:line="400" w:lineRule="exact"/>
        <w:ind w:firstLine="465"/>
        <w:jc w:val="left"/>
        <w:rPr>
          <w:rFonts w:ascii="Times New Roman" w:hAnsi="Times New Roman"/>
          <w:sz w:val="22"/>
          <w:szCs w:val="21"/>
        </w:rPr>
      </w:pPr>
      <w:r>
        <w:rPr>
          <w:rFonts w:ascii="Times New Roman" w:hAnsi="Times New Roman"/>
          <w:sz w:val="22"/>
          <w:szCs w:val="21"/>
        </w:rPr>
        <w:t>2</w:t>
      </w:r>
      <w:r>
        <w:rPr>
          <w:rFonts w:hint="eastAsia" w:ascii="Times New Roman" w:hAnsi="宋体"/>
          <w:sz w:val="22"/>
          <w:szCs w:val="21"/>
        </w:rPr>
        <w:t>、</w:t>
      </w:r>
      <w:r>
        <w:rPr>
          <w:rFonts w:ascii="Times New Roman" w:hAnsi="Times New Roman"/>
          <w:sz w:val="22"/>
          <w:szCs w:val="21"/>
        </w:rPr>
        <w:t>“</w:t>
      </w:r>
      <w:r>
        <w:rPr>
          <w:rFonts w:hint="eastAsia" w:ascii="Times New Roman" w:hAnsi="宋体"/>
          <w:sz w:val="22"/>
          <w:szCs w:val="21"/>
        </w:rPr>
        <w:t>分项报价明细表</w:t>
      </w:r>
      <w:r>
        <w:rPr>
          <w:rFonts w:ascii="Times New Roman" w:hAnsi="Times New Roman"/>
          <w:sz w:val="22"/>
          <w:szCs w:val="21"/>
        </w:rPr>
        <w:t>”</w:t>
      </w:r>
      <w:r>
        <w:rPr>
          <w:rFonts w:hint="eastAsia" w:ascii="Times New Roman" w:hAnsi="宋体"/>
          <w:sz w:val="22"/>
          <w:szCs w:val="21"/>
        </w:rPr>
        <w:t>各分项报价合计应当与</w:t>
      </w:r>
      <w:r>
        <w:rPr>
          <w:rFonts w:ascii="Times New Roman" w:hAnsi="Times New Roman"/>
          <w:sz w:val="22"/>
          <w:szCs w:val="21"/>
        </w:rPr>
        <w:t>“</w:t>
      </w:r>
      <w:r>
        <w:rPr>
          <w:rFonts w:hint="eastAsia" w:ascii="Times New Roman" w:hAnsi="宋体"/>
          <w:sz w:val="22"/>
          <w:szCs w:val="21"/>
        </w:rPr>
        <w:t>开标一览表</w:t>
      </w:r>
      <w:r>
        <w:rPr>
          <w:rFonts w:ascii="Times New Roman" w:hAnsi="Times New Roman"/>
          <w:sz w:val="22"/>
          <w:szCs w:val="21"/>
        </w:rPr>
        <w:t>”</w:t>
      </w:r>
      <w:r>
        <w:rPr>
          <w:rFonts w:hint="eastAsia" w:ascii="Times New Roman" w:hAnsi="宋体"/>
          <w:sz w:val="22"/>
          <w:szCs w:val="21"/>
        </w:rPr>
        <w:t>报价合计相等。</w:t>
      </w:r>
    </w:p>
    <w:p w14:paraId="68666E69">
      <w:pPr>
        <w:spacing w:line="400" w:lineRule="exact"/>
        <w:ind w:firstLine="465"/>
        <w:jc w:val="left"/>
        <w:rPr>
          <w:rFonts w:ascii="Times New Roman" w:hAnsi="Times New Roman"/>
          <w:sz w:val="22"/>
          <w:szCs w:val="21"/>
        </w:rPr>
      </w:pPr>
      <w:r>
        <w:rPr>
          <w:rFonts w:ascii="Times New Roman" w:hAnsi="宋体"/>
          <w:sz w:val="22"/>
          <w:szCs w:val="21"/>
        </w:rPr>
        <w:t>3</w:t>
      </w:r>
      <w:r>
        <w:rPr>
          <w:rFonts w:hint="eastAsia" w:ascii="Times New Roman" w:hAnsi="宋体"/>
          <w:sz w:val="22"/>
          <w:szCs w:val="21"/>
        </w:rPr>
        <w:t>、投标人在本表中必须详细注明所投产品的</w:t>
      </w:r>
      <w:r>
        <w:rPr>
          <w:rFonts w:ascii="Times New Roman" w:hAnsi="Times New Roman"/>
          <w:sz w:val="22"/>
          <w:szCs w:val="21"/>
        </w:rPr>
        <w:t>“</w:t>
      </w:r>
      <w:r>
        <w:rPr>
          <w:rFonts w:hint="eastAsia" w:ascii="Times New Roman" w:hAnsi="宋体"/>
          <w:sz w:val="22"/>
          <w:szCs w:val="21"/>
        </w:rPr>
        <w:t>品牌</w:t>
      </w:r>
      <w:r>
        <w:rPr>
          <w:rFonts w:ascii="Times New Roman" w:hAnsi="Times New Roman"/>
          <w:sz w:val="22"/>
          <w:szCs w:val="21"/>
        </w:rPr>
        <w:t>”</w:t>
      </w:r>
      <w:r>
        <w:rPr>
          <w:rFonts w:hint="eastAsia" w:ascii="Times New Roman" w:hAnsi="宋体"/>
          <w:sz w:val="22"/>
          <w:szCs w:val="21"/>
        </w:rPr>
        <w:t>和</w:t>
      </w:r>
      <w:r>
        <w:rPr>
          <w:rFonts w:ascii="Times New Roman" w:hAnsi="Times New Roman"/>
          <w:sz w:val="22"/>
          <w:szCs w:val="21"/>
        </w:rPr>
        <w:t>“</w:t>
      </w:r>
      <w:r>
        <w:rPr>
          <w:rFonts w:hint="eastAsia" w:ascii="Times New Roman" w:hAnsi="宋体"/>
          <w:sz w:val="22"/>
          <w:szCs w:val="21"/>
        </w:rPr>
        <w:t>规格型号</w:t>
      </w:r>
      <w:r>
        <w:rPr>
          <w:rFonts w:ascii="Times New Roman" w:hAnsi="Times New Roman"/>
          <w:sz w:val="22"/>
          <w:szCs w:val="21"/>
        </w:rPr>
        <w:t>”</w:t>
      </w:r>
      <w:r>
        <w:rPr>
          <w:rFonts w:hint="eastAsia" w:ascii="Times New Roman" w:hAnsi="宋体"/>
          <w:sz w:val="22"/>
          <w:szCs w:val="21"/>
        </w:rPr>
        <w:t>，自行承担填写错误被视为无效投标文件的风险。</w:t>
      </w:r>
    </w:p>
    <w:p w14:paraId="7E071BD5">
      <w:pPr>
        <w:spacing w:line="400" w:lineRule="exact"/>
        <w:ind w:firstLine="465"/>
        <w:jc w:val="left"/>
        <w:rPr>
          <w:rFonts w:ascii="Times New Roman" w:hAnsi="Times New Roman"/>
          <w:sz w:val="22"/>
          <w:szCs w:val="21"/>
        </w:rPr>
      </w:pPr>
      <w:r>
        <w:rPr>
          <w:rFonts w:ascii="Times New Roman" w:hAnsi="宋体"/>
          <w:sz w:val="22"/>
          <w:szCs w:val="21"/>
        </w:rPr>
        <w:t>4</w:t>
      </w:r>
      <w:r>
        <w:rPr>
          <w:rFonts w:hint="eastAsia" w:ascii="Times New Roman" w:hAnsi="宋体"/>
          <w:sz w:val="22"/>
          <w:szCs w:val="21"/>
        </w:rPr>
        <w:t>、对于所投进口产品，如报关备案名称与招标文件中招标货物名称不一致的，应在备注栏中注明报关备案的具体名称。</w:t>
      </w:r>
    </w:p>
    <w:p w14:paraId="60C561C8">
      <w:pPr>
        <w:spacing w:line="400" w:lineRule="exact"/>
        <w:ind w:firstLine="465"/>
        <w:jc w:val="left"/>
        <w:rPr>
          <w:rFonts w:ascii="Times New Roman" w:hAnsi="宋体"/>
          <w:sz w:val="22"/>
          <w:szCs w:val="21"/>
        </w:rPr>
      </w:pPr>
      <w:r>
        <w:rPr>
          <w:rFonts w:hint="eastAsia" w:ascii="Times New Roman" w:hAnsi="宋体"/>
          <w:sz w:val="22"/>
          <w:szCs w:val="21"/>
        </w:rPr>
        <w:t>5.供应商拥有者性别指拥有供应商51%以上绝对所有权的性别;绝对所有权拥有者可以是一个人，也可以是多人合计计算。</w:t>
      </w:r>
    </w:p>
    <w:p w14:paraId="3F44DA28">
      <w:pPr>
        <w:pStyle w:val="8"/>
        <w:rPr>
          <w:rFonts w:ascii="Times New Roman" w:hAnsi="Times New Roman"/>
          <w:sz w:val="32"/>
          <w:szCs w:val="22"/>
        </w:rPr>
      </w:pPr>
    </w:p>
    <w:p w14:paraId="11FF5CDE">
      <w:pPr>
        <w:adjustRightInd w:val="0"/>
        <w:spacing w:line="400" w:lineRule="exact"/>
        <w:ind w:firstLine="440" w:firstLineChars="200"/>
        <w:jc w:val="left"/>
        <w:rPr>
          <w:rFonts w:ascii="Times New Roman" w:hAnsi="Times New Roman"/>
          <w:sz w:val="22"/>
          <w:szCs w:val="21"/>
        </w:rPr>
      </w:pPr>
      <w:r>
        <w:rPr>
          <w:rFonts w:hint="eastAsia" w:ascii="Times New Roman" w:hAnsi="宋体"/>
          <w:sz w:val="22"/>
          <w:szCs w:val="21"/>
        </w:rPr>
        <w:t>投标人名称：（盖章）</w:t>
      </w:r>
    </w:p>
    <w:p w14:paraId="615F3619">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法定代表人或委托代理人（签字或盖章）：</w:t>
      </w:r>
    </w:p>
    <w:p w14:paraId="1EC90C97">
      <w:pPr>
        <w:adjustRightInd w:val="0"/>
        <w:spacing w:line="400" w:lineRule="exact"/>
        <w:ind w:firstLine="440" w:firstLineChars="200"/>
        <w:jc w:val="left"/>
        <w:rPr>
          <w:rFonts w:ascii="Times New Roman" w:hAnsi="Times New Roman"/>
          <w:sz w:val="22"/>
          <w:szCs w:val="21"/>
        </w:rPr>
      </w:pPr>
      <w:r>
        <w:rPr>
          <w:rFonts w:hint="eastAsia" w:ascii="Times New Roman" w:hAnsi="宋体"/>
          <w:sz w:val="22"/>
          <w:szCs w:val="21"/>
        </w:rPr>
        <w:t>日期：</w:t>
      </w:r>
    </w:p>
    <w:p w14:paraId="79A33E87">
      <w:pPr>
        <w:spacing w:line="360" w:lineRule="atLeast"/>
        <w:outlineLvl w:val="1"/>
        <w:rPr>
          <w:rFonts w:ascii="Times New Roman" w:hAnsi="Times New Roman"/>
          <w:b/>
          <w:sz w:val="28"/>
          <w:szCs w:val="28"/>
        </w:rPr>
      </w:pPr>
      <w:r>
        <w:rPr>
          <w:rFonts w:ascii="Times New Roman" w:hAnsi="Times New Roman"/>
          <w:sz w:val="22"/>
          <w:szCs w:val="21"/>
        </w:rPr>
        <w:br w:type="page"/>
      </w:r>
      <w:r>
        <w:rPr>
          <w:rFonts w:hint="eastAsia" w:ascii="Times New Roman" w:hAnsi="宋体"/>
          <w:b/>
          <w:sz w:val="28"/>
          <w:szCs w:val="28"/>
        </w:rPr>
        <w:t>格式</w:t>
      </w:r>
      <w:r>
        <w:rPr>
          <w:rFonts w:ascii="Times New Roman" w:hAnsi="Times New Roman"/>
          <w:b/>
          <w:sz w:val="28"/>
          <w:szCs w:val="28"/>
        </w:rPr>
        <w:t>2-6</w:t>
      </w:r>
    </w:p>
    <w:p w14:paraId="780D4EB6">
      <w:pPr>
        <w:spacing w:line="360" w:lineRule="atLeast"/>
        <w:jc w:val="center"/>
        <w:outlineLvl w:val="1"/>
        <w:rPr>
          <w:rFonts w:ascii="Times New Roman" w:hAnsi="Times New Roman" w:eastAsia="黑体"/>
          <w:b/>
          <w:sz w:val="28"/>
          <w:szCs w:val="28"/>
        </w:rPr>
      </w:pPr>
      <w:r>
        <w:rPr>
          <w:rFonts w:hint="eastAsia" w:ascii="Times New Roman" w:hAnsi="Times New Roman" w:eastAsia="黑体"/>
          <w:b/>
          <w:sz w:val="28"/>
          <w:szCs w:val="28"/>
        </w:rPr>
        <w:t>五、产品配置一览表（单台/套）</w:t>
      </w:r>
    </w:p>
    <w:p w14:paraId="3DF0EED9">
      <w:pPr>
        <w:spacing w:line="360" w:lineRule="atLeast"/>
        <w:ind w:firstLine="431" w:firstLineChars="196"/>
        <w:jc w:val="left"/>
        <w:outlineLvl w:val="1"/>
        <w:rPr>
          <w:rFonts w:ascii="Times New Roman" w:hAnsi="Times New Roman"/>
          <w:b/>
          <w:sz w:val="22"/>
          <w:szCs w:val="21"/>
        </w:rPr>
      </w:pPr>
      <w:r>
        <w:rPr>
          <w:rFonts w:hint="eastAsia" w:ascii="Times New Roman" w:hAnsi="宋体"/>
          <w:sz w:val="22"/>
        </w:rPr>
        <w:t>招标编号</w:t>
      </w:r>
      <w:r>
        <w:rPr>
          <w:rFonts w:ascii="Times New Roman" w:hAnsi="Times New Roman"/>
          <w:sz w:val="22"/>
        </w:rPr>
        <w:t>/</w:t>
      </w:r>
      <w:r>
        <w:rPr>
          <w:rFonts w:hint="eastAsia" w:ascii="Times New Roman" w:hAnsi="宋体"/>
          <w:sz w:val="22"/>
        </w:rPr>
        <w:t>包号：</w:t>
      </w:r>
    </w:p>
    <w:tbl>
      <w:tblPr>
        <w:tblStyle w:val="1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719"/>
        <w:gridCol w:w="1265"/>
        <w:gridCol w:w="821"/>
        <w:gridCol w:w="1347"/>
        <w:gridCol w:w="978"/>
        <w:gridCol w:w="846"/>
        <w:gridCol w:w="795"/>
        <w:gridCol w:w="1001"/>
      </w:tblGrid>
      <w:tr w14:paraId="0EC09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2" w:hRule="exact"/>
          <w:jc w:val="center"/>
        </w:trPr>
        <w:tc>
          <w:tcPr>
            <w:tcW w:w="747" w:type="dxa"/>
            <w:vAlign w:val="center"/>
          </w:tcPr>
          <w:p w14:paraId="72052C91">
            <w:pPr>
              <w:spacing w:line="360" w:lineRule="atLeast"/>
              <w:jc w:val="center"/>
              <w:outlineLvl w:val="1"/>
              <w:rPr>
                <w:rFonts w:ascii="Times New Roman" w:hAnsi="Times New Roman"/>
                <w:sz w:val="20"/>
                <w:szCs w:val="18"/>
              </w:rPr>
            </w:pPr>
            <w:r>
              <w:rPr>
                <w:rFonts w:hint="eastAsia" w:ascii="Times New Roman" w:hAnsi="Times New Roman"/>
                <w:sz w:val="20"/>
                <w:szCs w:val="18"/>
              </w:rPr>
              <w:t>序号</w:t>
            </w:r>
          </w:p>
        </w:tc>
        <w:tc>
          <w:tcPr>
            <w:tcW w:w="719" w:type="dxa"/>
            <w:vAlign w:val="center"/>
          </w:tcPr>
          <w:p w14:paraId="17FDFF7D">
            <w:pPr>
              <w:spacing w:line="360" w:lineRule="atLeast"/>
              <w:jc w:val="center"/>
              <w:outlineLvl w:val="1"/>
              <w:rPr>
                <w:rFonts w:ascii="Times New Roman" w:hAnsi="Times New Roman"/>
                <w:sz w:val="20"/>
                <w:szCs w:val="18"/>
              </w:rPr>
            </w:pPr>
            <w:r>
              <w:rPr>
                <w:rFonts w:hint="eastAsia" w:ascii="Times New Roman" w:hAnsi="Times New Roman"/>
                <w:sz w:val="20"/>
                <w:szCs w:val="18"/>
              </w:rPr>
              <w:t>设备名称</w:t>
            </w:r>
          </w:p>
        </w:tc>
        <w:tc>
          <w:tcPr>
            <w:tcW w:w="1265" w:type="dxa"/>
            <w:vAlign w:val="center"/>
          </w:tcPr>
          <w:p w14:paraId="62B8C05B">
            <w:pPr>
              <w:spacing w:line="360" w:lineRule="atLeast"/>
              <w:jc w:val="center"/>
              <w:outlineLvl w:val="1"/>
              <w:rPr>
                <w:rFonts w:ascii="Times New Roman" w:hAnsi="Times New Roman"/>
                <w:sz w:val="20"/>
                <w:szCs w:val="18"/>
              </w:rPr>
            </w:pPr>
            <w:r>
              <w:rPr>
                <w:rFonts w:hint="eastAsia" w:ascii="Times New Roman" w:hAnsi="Times New Roman"/>
                <w:sz w:val="20"/>
                <w:szCs w:val="18"/>
              </w:rPr>
              <w:t>具体配置名称</w:t>
            </w:r>
          </w:p>
        </w:tc>
        <w:tc>
          <w:tcPr>
            <w:tcW w:w="821" w:type="dxa"/>
            <w:vAlign w:val="center"/>
          </w:tcPr>
          <w:p w14:paraId="7E88FCE3">
            <w:pPr>
              <w:spacing w:line="360" w:lineRule="atLeast"/>
              <w:jc w:val="center"/>
              <w:outlineLvl w:val="1"/>
              <w:rPr>
                <w:rFonts w:ascii="Times New Roman" w:hAnsi="Times New Roman"/>
                <w:sz w:val="20"/>
                <w:szCs w:val="18"/>
              </w:rPr>
            </w:pPr>
            <w:r>
              <w:rPr>
                <w:rFonts w:hint="eastAsia" w:ascii="Times New Roman" w:hAnsi="Times New Roman"/>
                <w:sz w:val="20"/>
                <w:szCs w:val="18"/>
              </w:rPr>
              <w:t>具体配置品牌</w:t>
            </w:r>
          </w:p>
        </w:tc>
        <w:tc>
          <w:tcPr>
            <w:tcW w:w="1347" w:type="dxa"/>
            <w:vAlign w:val="center"/>
          </w:tcPr>
          <w:p w14:paraId="4C901E9B">
            <w:pPr>
              <w:spacing w:line="360" w:lineRule="atLeast"/>
              <w:jc w:val="center"/>
              <w:outlineLvl w:val="1"/>
              <w:rPr>
                <w:rFonts w:ascii="Times New Roman" w:hAnsi="Times New Roman"/>
                <w:sz w:val="20"/>
                <w:szCs w:val="18"/>
              </w:rPr>
            </w:pPr>
            <w:r>
              <w:rPr>
                <w:rFonts w:hint="eastAsia" w:ascii="Times New Roman" w:hAnsi="Times New Roman"/>
                <w:sz w:val="20"/>
                <w:szCs w:val="18"/>
              </w:rPr>
              <w:t>具体配置型号</w:t>
            </w:r>
          </w:p>
        </w:tc>
        <w:tc>
          <w:tcPr>
            <w:tcW w:w="978" w:type="dxa"/>
            <w:vAlign w:val="center"/>
          </w:tcPr>
          <w:p w14:paraId="75994AB5">
            <w:pPr>
              <w:spacing w:line="360" w:lineRule="atLeast"/>
              <w:jc w:val="center"/>
              <w:outlineLvl w:val="1"/>
              <w:rPr>
                <w:rFonts w:ascii="Times New Roman" w:hAnsi="Times New Roman"/>
                <w:sz w:val="20"/>
                <w:szCs w:val="18"/>
              </w:rPr>
            </w:pPr>
            <w:r>
              <w:rPr>
                <w:rFonts w:hint="eastAsia" w:ascii="Times New Roman" w:hAnsi="Times New Roman"/>
                <w:sz w:val="20"/>
                <w:szCs w:val="18"/>
              </w:rPr>
              <w:t>具体配置生产厂家</w:t>
            </w:r>
          </w:p>
        </w:tc>
        <w:tc>
          <w:tcPr>
            <w:tcW w:w="846" w:type="dxa"/>
            <w:vAlign w:val="center"/>
          </w:tcPr>
          <w:p w14:paraId="6FD44777">
            <w:pPr>
              <w:spacing w:line="360" w:lineRule="atLeast"/>
              <w:outlineLvl w:val="1"/>
              <w:rPr>
                <w:rFonts w:ascii="Times New Roman" w:hAnsi="Times New Roman"/>
                <w:sz w:val="20"/>
                <w:szCs w:val="18"/>
              </w:rPr>
            </w:pPr>
            <w:r>
              <w:rPr>
                <w:rFonts w:hint="eastAsia" w:ascii="Times New Roman" w:hAnsi="Times New Roman"/>
                <w:sz w:val="20"/>
                <w:szCs w:val="18"/>
              </w:rPr>
              <w:t>原产地</w:t>
            </w:r>
          </w:p>
        </w:tc>
        <w:tc>
          <w:tcPr>
            <w:tcW w:w="795" w:type="dxa"/>
            <w:vAlign w:val="center"/>
          </w:tcPr>
          <w:p w14:paraId="7E93DA52">
            <w:pPr>
              <w:spacing w:line="360" w:lineRule="atLeast"/>
              <w:jc w:val="center"/>
              <w:outlineLvl w:val="1"/>
              <w:rPr>
                <w:rFonts w:ascii="Times New Roman" w:hAnsi="Times New Roman"/>
                <w:sz w:val="20"/>
                <w:szCs w:val="18"/>
              </w:rPr>
            </w:pPr>
            <w:r>
              <w:rPr>
                <w:rFonts w:hint="eastAsia" w:ascii="Times New Roman" w:hAnsi="Times New Roman"/>
                <w:sz w:val="20"/>
                <w:szCs w:val="18"/>
              </w:rPr>
              <w:t>数量</w:t>
            </w:r>
          </w:p>
        </w:tc>
        <w:tc>
          <w:tcPr>
            <w:tcW w:w="1001" w:type="dxa"/>
            <w:vAlign w:val="center"/>
          </w:tcPr>
          <w:p w14:paraId="7623B772">
            <w:pPr>
              <w:spacing w:line="360" w:lineRule="atLeast"/>
              <w:outlineLvl w:val="1"/>
              <w:rPr>
                <w:rFonts w:ascii="Times New Roman" w:hAnsi="Times New Roman"/>
                <w:sz w:val="20"/>
                <w:szCs w:val="18"/>
              </w:rPr>
            </w:pPr>
            <w:r>
              <w:rPr>
                <w:rFonts w:hint="eastAsia" w:ascii="Times New Roman" w:hAnsi="Times New Roman"/>
                <w:sz w:val="20"/>
                <w:szCs w:val="18"/>
              </w:rPr>
              <w:t>备注</w:t>
            </w:r>
          </w:p>
        </w:tc>
      </w:tr>
      <w:tr w14:paraId="4B68D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747" w:type="dxa"/>
            <w:vMerge w:val="restart"/>
            <w:vAlign w:val="center"/>
          </w:tcPr>
          <w:p w14:paraId="52FE2CC5">
            <w:pPr>
              <w:spacing w:line="360" w:lineRule="atLeast"/>
              <w:jc w:val="left"/>
              <w:outlineLvl w:val="1"/>
              <w:rPr>
                <w:rFonts w:ascii="Times New Roman" w:hAnsi="Times New Roman"/>
                <w:sz w:val="22"/>
                <w:szCs w:val="21"/>
              </w:rPr>
            </w:pPr>
            <w:r>
              <w:rPr>
                <w:rFonts w:ascii="Times New Roman" w:hAnsi="Times New Roman"/>
                <w:sz w:val="22"/>
                <w:szCs w:val="21"/>
              </w:rPr>
              <w:t>1</w:t>
            </w:r>
          </w:p>
        </w:tc>
        <w:tc>
          <w:tcPr>
            <w:tcW w:w="719" w:type="dxa"/>
            <w:vMerge w:val="restart"/>
            <w:vAlign w:val="center"/>
          </w:tcPr>
          <w:p w14:paraId="60440502">
            <w:pPr>
              <w:spacing w:line="360" w:lineRule="atLeast"/>
              <w:ind w:firstLine="431" w:firstLineChars="196"/>
              <w:jc w:val="left"/>
              <w:outlineLvl w:val="1"/>
              <w:rPr>
                <w:rFonts w:ascii="Times New Roman" w:hAnsi="Times New Roman"/>
                <w:sz w:val="22"/>
                <w:szCs w:val="21"/>
              </w:rPr>
            </w:pPr>
          </w:p>
        </w:tc>
        <w:tc>
          <w:tcPr>
            <w:tcW w:w="1265" w:type="dxa"/>
            <w:vAlign w:val="center"/>
          </w:tcPr>
          <w:p w14:paraId="41394CEB">
            <w:pPr>
              <w:spacing w:line="360" w:lineRule="atLeast"/>
              <w:jc w:val="left"/>
              <w:outlineLvl w:val="1"/>
              <w:rPr>
                <w:rFonts w:ascii="Times New Roman" w:hAnsi="Times New Roman"/>
                <w:sz w:val="22"/>
                <w:szCs w:val="21"/>
              </w:rPr>
            </w:pPr>
            <w:r>
              <w:rPr>
                <w:rFonts w:ascii="Times New Roman" w:hAnsi="Times New Roman"/>
                <w:sz w:val="22"/>
                <w:szCs w:val="21"/>
              </w:rPr>
              <w:t>1</w:t>
            </w:r>
            <w:r>
              <w:rPr>
                <w:rFonts w:hint="eastAsia" w:ascii="Times New Roman" w:hAnsi="Times New Roman"/>
                <w:sz w:val="22"/>
                <w:szCs w:val="21"/>
              </w:rPr>
              <w:t>、</w:t>
            </w:r>
          </w:p>
        </w:tc>
        <w:tc>
          <w:tcPr>
            <w:tcW w:w="821" w:type="dxa"/>
            <w:vAlign w:val="center"/>
          </w:tcPr>
          <w:p w14:paraId="1D12F4ED">
            <w:pPr>
              <w:spacing w:line="360" w:lineRule="atLeast"/>
              <w:ind w:firstLine="431" w:firstLineChars="196"/>
              <w:jc w:val="left"/>
              <w:outlineLvl w:val="1"/>
              <w:rPr>
                <w:rFonts w:ascii="Times New Roman" w:hAnsi="Times New Roman"/>
                <w:sz w:val="22"/>
                <w:szCs w:val="21"/>
              </w:rPr>
            </w:pPr>
          </w:p>
        </w:tc>
        <w:tc>
          <w:tcPr>
            <w:tcW w:w="1347" w:type="dxa"/>
            <w:vAlign w:val="center"/>
          </w:tcPr>
          <w:p w14:paraId="012C7C9F">
            <w:pPr>
              <w:spacing w:line="360" w:lineRule="atLeast"/>
              <w:ind w:firstLine="431" w:firstLineChars="196"/>
              <w:jc w:val="left"/>
              <w:outlineLvl w:val="1"/>
              <w:rPr>
                <w:rFonts w:ascii="Times New Roman" w:hAnsi="Times New Roman"/>
                <w:sz w:val="22"/>
                <w:szCs w:val="21"/>
              </w:rPr>
            </w:pPr>
          </w:p>
        </w:tc>
        <w:tc>
          <w:tcPr>
            <w:tcW w:w="978" w:type="dxa"/>
            <w:vAlign w:val="center"/>
          </w:tcPr>
          <w:p w14:paraId="78A4F84F">
            <w:pPr>
              <w:spacing w:line="360" w:lineRule="atLeast"/>
              <w:ind w:firstLine="431" w:firstLineChars="196"/>
              <w:jc w:val="left"/>
              <w:outlineLvl w:val="1"/>
              <w:rPr>
                <w:rFonts w:ascii="Times New Roman" w:hAnsi="Times New Roman"/>
                <w:sz w:val="22"/>
                <w:szCs w:val="21"/>
              </w:rPr>
            </w:pPr>
          </w:p>
        </w:tc>
        <w:tc>
          <w:tcPr>
            <w:tcW w:w="846" w:type="dxa"/>
            <w:vAlign w:val="center"/>
          </w:tcPr>
          <w:p w14:paraId="7BBA3D5C">
            <w:pPr>
              <w:spacing w:line="360" w:lineRule="atLeast"/>
              <w:ind w:firstLine="431" w:firstLineChars="196"/>
              <w:jc w:val="left"/>
              <w:outlineLvl w:val="1"/>
              <w:rPr>
                <w:rFonts w:ascii="Times New Roman" w:hAnsi="Times New Roman"/>
                <w:sz w:val="22"/>
                <w:szCs w:val="21"/>
              </w:rPr>
            </w:pPr>
          </w:p>
        </w:tc>
        <w:tc>
          <w:tcPr>
            <w:tcW w:w="795" w:type="dxa"/>
            <w:vAlign w:val="center"/>
          </w:tcPr>
          <w:p w14:paraId="0571A25D">
            <w:pPr>
              <w:spacing w:line="360" w:lineRule="atLeast"/>
              <w:ind w:firstLine="431" w:firstLineChars="196"/>
              <w:jc w:val="left"/>
              <w:outlineLvl w:val="1"/>
              <w:rPr>
                <w:rFonts w:ascii="Times New Roman" w:hAnsi="Times New Roman"/>
                <w:sz w:val="22"/>
                <w:szCs w:val="21"/>
              </w:rPr>
            </w:pPr>
          </w:p>
        </w:tc>
        <w:tc>
          <w:tcPr>
            <w:tcW w:w="1001" w:type="dxa"/>
            <w:vAlign w:val="center"/>
          </w:tcPr>
          <w:p w14:paraId="7F7E5F95">
            <w:pPr>
              <w:spacing w:line="360" w:lineRule="atLeast"/>
              <w:ind w:firstLine="431" w:firstLineChars="196"/>
              <w:jc w:val="left"/>
              <w:outlineLvl w:val="1"/>
              <w:rPr>
                <w:rFonts w:ascii="Times New Roman" w:hAnsi="Times New Roman"/>
                <w:sz w:val="22"/>
                <w:szCs w:val="21"/>
              </w:rPr>
            </w:pPr>
          </w:p>
        </w:tc>
      </w:tr>
      <w:tr w14:paraId="60FB3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747" w:type="dxa"/>
            <w:vMerge w:val="continue"/>
            <w:vAlign w:val="center"/>
          </w:tcPr>
          <w:p w14:paraId="4DA39F3D">
            <w:pPr>
              <w:spacing w:line="360" w:lineRule="atLeast"/>
              <w:ind w:firstLine="666" w:firstLineChars="196"/>
              <w:jc w:val="left"/>
              <w:outlineLvl w:val="1"/>
              <w:rPr>
                <w:rFonts w:ascii="Times New Roman" w:hAnsi="Times New Roman"/>
              </w:rPr>
            </w:pPr>
          </w:p>
        </w:tc>
        <w:tc>
          <w:tcPr>
            <w:tcW w:w="719" w:type="dxa"/>
            <w:vMerge w:val="continue"/>
            <w:vAlign w:val="center"/>
          </w:tcPr>
          <w:p w14:paraId="6710BCB3">
            <w:pPr>
              <w:spacing w:line="360" w:lineRule="atLeast"/>
              <w:ind w:firstLine="666" w:firstLineChars="196"/>
              <w:jc w:val="left"/>
              <w:outlineLvl w:val="1"/>
              <w:rPr>
                <w:rFonts w:ascii="Times New Roman" w:hAnsi="Times New Roman"/>
              </w:rPr>
            </w:pPr>
          </w:p>
        </w:tc>
        <w:tc>
          <w:tcPr>
            <w:tcW w:w="1265" w:type="dxa"/>
            <w:vAlign w:val="center"/>
          </w:tcPr>
          <w:p w14:paraId="4B8C66FB">
            <w:pPr>
              <w:spacing w:line="360" w:lineRule="atLeast"/>
              <w:jc w:val="left"/>
              <w:outlineLvl w:val="1"/>
              <w:rPr>
                <w:rFonts w:ascii="Times New Roman" w:hAnsi="Times New Roman"/>
                <w:sz w:val="22"/>
                <w:szCs w:val="21"/>
              </w:rPr>
            </w:pPr>
            <w:r>
              <w:rPr>
                <w:rFonts w:ascii="Times New Roman" w:hAnsi="Times New Roman"/>
                <w:sz w:val="22"/>
                <w:szCs w:val="21"/>
              </w:rPr>
              <w:t>2</w:t>
            </w:r>
            <w:r>
              <w:rPr>
                <w:rFonts w:hint="eastAsia" w:ascii="Times New Roman" w:hAnsi="Times New Roman"/>
                <w:sz w:val="22"/>
                <w:szCs w:val="21"/>
              </w:rPr>
              <w:t>、</w:t>
            </w:r>
          </w:p>
        </w:tc>
        <w:tc>
          <w:tcPr>
            <w:tcW w:w="821" w:type="dxa"/>
            <w:vAlign w:val="center"/>
          </w:tcPr>
          <w:p w14:paraId="29BECBF5">
            <w:pPr>
              <w:spacing w:line="360" w:lineRule="atLeast"/>
              <w:ind w:firstLine="431" w:firstLineChars="196"/>
              <w:jc w:val="left"/>
              <w:outlineLvl w:val="1"/>
              <w:rPr>
                <w:rFonts w:ascii="Times New Roman" w:hAnsi="Times New Roman"/>
                <w:sz w:val="22"/>
                <w:szCs w:val="21"/>
              </w:rPr>
            </w:pPr>
          </w:p>
        </w:tc>
        <w:tc>
          <w:tcPr>
            <w:tcW w:w="1347" w:type="dxa"/>
            <w:vAlign w:val="center"/>
          </w:tcPr>
          <w:p w14:paraId="631FFA3F">
            <w:pPr>
              <w:spacing w:line="360" w:lineRule="atLeast"/>
              <w:ind w:firstLine="431" w:firstLineChars="196"/>
              <w:jc w:val="left"/>
              <w:outlineLvl w:val="1"/>
              <w:rPr>
                <w:rFonts w:ascii="Times New Roman" w:hAnsi="Times New Roman"/>
                <w:sz w:val="22"/>
                <w:szCs w:val="21"/>
              </w:rPr>
            </w:pPr>
          </w:p>
        </w:tc>
        <w:tc>
          <w:tcPr>
            <w:tcW w:w="978" w:type="dxa"/>
            <w:vAlign w:val="center"/>
          </w:tcPr>
          <w:p w14:paraId="7F2B6545">
            <w:pPr>
              <w:spacing w:line="360" w:lineRule="atLeast"/>
              <w:ind w:firstLine="431" w:firstLineChars="196"/>
              <w:jc w:val="left"/>
              <w:outlineLvl w:val="1"/>
              <w:rPr>
                <w:rFonts w:ascii="Times New Roman" w:hAnsi="Times New Roman"/>
                <w:sz w:val="22"/>
                <w:szCs w:val="21"/>
              </w:rPr>
            </w:pPr>
          </w:p>
        </w:tc>
        <w:tc>
          <w:tcPr>
            <w:tcW w:w="846" w:type="dxa"/>
            <w:vAlign w:val="center"/>
          </w:tcPr>
          <w:p w14:paraId="2E2DE0F3">
            <w:pPr>
              <w:spacing w:line="360" w:lineRule="atLeast"/>
              <w:ind w:firstLine="431" w:firstLineChars="196"/>
              <w:jc w:val="left"/>
              <w:outlineLvl w:val="1"/>
              <w:rPr>
                <w:rFonts w:ascii="Times New Roman" w:hAnsi="Times New Roman"/>
                <w:sz w:val="22"/>
                <w:szCs w:val="21"/>
              </w:rPr>
            </w:pPr>
          </w:p>
        </w:tc>
        <w:tc>
          <w:tcPr>
            <w:tcW w:w="795" w:type="dxa"/>
            <w:vAlign w:val="center"/>
          </w:tcPr>
          <w:p w14:paraId="1B047187">
            <w:pPr>
              <w:spacing w:line="360" w:lineRule="atLeast"/>
              <w:ind w:firstLine="431" w:firstLineChars="196"/>
              <w:jc w:val="left"/>
              <w:outlineLvl w:val="1"/>
              <w:rPr>
                <w:rFonts w:ascii="Times New Roman" w:hAnsi="Times New Roman"/>
                <w:sz w:val="22"/>
                <w:szCs w:val="21"/>
              </w:rPr>
            </w:pPr>
          </w:p>
        </w:tc>
        <w:tc>
          <w:tcPr>
            <w:tcW w:w="1001" w:type="dxa"/>
            <w:vAlign w:val="center"/>
          </w:tcPr>
          <w:p w14:paraId="6B667A97">
            <w:pPr>
              <w:spacing w:line="360" w:lineRule="atLeast"/>
              <w:ind w:firstLine="431" w:firstLineChars="196"/>
              <w:jc w:val="left"/>
              <w:outlineLvl w:val="1"/>
              <w:rPr>
                <w:rFonts w:ascii="Times New Roman" w:hAnsi="Times New Roman"/>
                <w:sz w:val="22"/>
                <w:szCs w:val="21"/>
              </w:rPr>
            </w:pPr>
          </w:p>
        </w:tc>
      </w:tr>
      <w:tr w14:paraId="5B86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747" w:type="dxa"/>
            <w:vMerge w:val="continue"/>
            <w:vAlign w:val="center"/>
          </w:tcPr>
          <w:p w14:paraId="277D42C1">
            <w:pPr>
              <w:spacing w:line="360" w:lineRule="atLeast"/>
              <w:ind w:firstLine="431" w:firstLineChars="196"/>
              <w:jc w:val="left"/>
              <w:outlineLvl w:val="1"/>
              <w:rPr>
                <w:rFonts w:ascii="Times New Roman" w:hAnsi="Times New Roman"/>
                <w:sz w:val="22"/>
                <w:szCs w:val="21"/>
              </w:rPr>
            </w:pPr>
          </w:p>
        </w:tc>
        <w:tc>
          <w:tcPr>
            <w:tcW w:w="719" w:type="dxa"/>
            <w:vMerge w:val="continue"/>
            <w:vAlign w:val="center"/>
          </w:tcPr>
          <w:p w14:paraId="66B37066">
            <w:pPr>
              <w:spacing w:line="360" w:lineRule="atLeast"/>
              <w:ind w:firstLine="431" w:firstLineChars="196"/>
              <w:jc w:val="left"/>
              <w:outlineLvl w:val="1"/>
              <w:rPr>
                <w:rFonts w:ascii="Times New Roman" w:hAnsi="Times New Roman"/>
                <w:sz w:val="22"/>
                <w:szCs w:val="21"/>
              </w:rPr>
            </w:pPr>
          </w:p>
        </w:tc>
        <w:tc>
          <w:tcPr>
            <w:tcW w:w="1265" w:type="dxa"/>
            <w:vAlign w:val="center"/>
          </w:tcPr>
          <w:p w14:paraId="0934DF00">
            <w:pPr>
              <w:spacing w:line="360" w:lineRule="atLeast"/>
              <w:jc w:val="left"/>
              <w:outlineLvl w:val="1"/>
              <w:rPr>
                <w:rFonts w:ascii="Times New Roman" w:hAnsi="Times New Roman"/>
                <w:sz w:val="22"/>
                <w:szCs w:val="21"/>
              </w:rPr>
            </w:pPr>
            <w:r>
              <w:rPr>
                <w:rFonts w:ascii="Times New Roman" w:hAnsi="Times New Roman"/>
                <w:sz w:val="22"/>
                <w:szCs w:val="21"/>
              </w:rPr>
              <w:t>N</w:t>
            </w:r>
          </w:p>
        </w:tc>
        <w:tc>
          <w:tcPr>
            <w:tcW w:w="821" w:type="dxa"/>
            <w:vAlign w:val="center"/>
          </w:tcPr>
          <w:p w14:paraId="523D936F">
            <w:pPr>
              <w:spacing w:line="360" w:lineRule="atLeast"/>
              <w:ind w:firstLine="431" w:firstLineChars="196"/>
              <w:jc w:val="left"/>
              <w:outlineLvl w:val="1"/>
              <w:rPr>
                <w:rFonts w:ascii="Times New Roman" w:hAnsi="Times New Roman"/>
                <w:sz w:val="22"/>
                <w:szCs w:val="21"/>
              </w:rPr>
            </w:pPr>
          </w:p>
        </w:tc>
        <w:tc>
          <w:tcPr>
            <w:tcW w:w="1347" w:type="dxa"/>
            <w:vAlign w:val="center"/>
          </w:tcPr>
          <w:p w14:paraId="7C8A49CB">
            <w:pPr>
              <w:spacing w:line="360" w:lineRule="atLeast"/>
              <w:ind w:firstLine="431" w:firstLineChars="196"/>
              <w:jc w:val="left"/>
              <w:outlineLvl w:val="1"/>
              <w:rPr>
                <w:rFonts w:ascii="Times New Roman" w:hAnsi="Times New Roman"/>
                <w:sz w:val="22"/>
                <w:szCs w:val="21"/>
              </w:rPr>
            </w:pPr>
          </w:p>
        </w:tc>
        <w:tc>
          <w:tcPr>
            <w:tcW w:w="978" w:type="dxa"/>
            <w:vAlign w:val="center"/>
          </w:tcPr>
          <w:p w14:paraId="74837A1A">
            <w:pPr>
              <w:spacing w:line="360" w:lineRule="atLeast"/>
              <w:ind w:firstLine="431" w:firstLineChars="196"/>
              <w:jc w:val="left"/>
              <w:outlineLvl w:val="1"/>
              <w:rPr>
                <w:rFonts w:ascii="Times New Roman" w:hAnsi="Times New Roman"/>
                <w:sz w:val="22"/>
                <w:szCs w:val="21"/>
              </w:rPr>
            </w:pPr>
          </w:p>
        </w:tc>
        <w:tc>
          <w:tcPr>
            <w:tcW w:w="846" w:type="dxa"/>
            <w:vAlign w:val="center"/>
          </w:tcPr>
          <w:p w14:paraId="7334DCB5">
            <w:pPr>
              <w:spacing w:line="360" w:lineRule="atLeast"/>
              <w:ind w:firstLine="431" w:firstLineChars="196"/>
              <w:jc w:val="left"/>
              <w:outlineLvl w:val="1"/>
              <w:rPr>
                <w:rFonts w:ascii="Times New Roman" w:hAnsi="Times New Roman"/>
                <w:sz w:val="22"/>
                <w:szCs w:val="21"/>
              </w:rPr>
            </w:pPr>
          </w:p>
        </w:tc>
        <w:tc>
          <w:tcPr>
            <w:tcW w:w="795" w:type="dxa"/>
            <w:vAlign w:val="center"/>
          </w:tcPr>
          <w:p w14:paraId="12883FB7">
            <w:pPr>
              <w:spacing w:line="360" w:lineRule="atLeast"/>
              <w:ind w:firstLine="431" w:firstLineChars="196"/>
              <w:jc w:val="left"/>
              <w:outlineLvl w:val="1"/>
              <w:rPr>
                <w:rFonts w:ascii="Times New Roman" w:hAnsi="Times New Roman"/>
                <w:sz w:val="22"/>
                <w:szCs w:val="21"/>
              </w:rPr>
            </w:pPr>
          </w:p>
        </w:tc>
        <w:tc>
          <w:tcPr>
            <w:tcW w:w="1001" w:type="dxa"/>
            <w:vAlign w:val="center"/>
          </w:tcPr>
          <w:p w14:paraId="19384B50">
            <w:pPr>
              <w:spacing w:line="360" w:lineRule="atLeast"/>
              <w:ind w:firstLine="431" w:firstLineChars="196"/>
              <w:jc w:val="left"/>
              <w:outlineLvl w:val="1"/>
              <w:rPr>
                <w:rFonts w:ascii="Times New Roman" w:hAnsi="Times New Roman"/>
                <w:sz w:val="22"/>
                <w:szCs w:val="21"/>
              </w:rPr>
            </w:pPr>
          </w:p>
        </w:tc>
      </w:tr>
      <w:tr w14:paraId="0A817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747" w:type="dxa"/>
            <w:vMerge w:val="restart"/>
            <w:vAlign w:val="center"/>
          </w:tcPr>
          <w:p w14:paraId="58D15A44">
            <w:pPr>
              <w:spacing w:line="360" w:lineRule="atLeast"/>
              <w:jc w:val="left"/>
              <w:outlineLvl w:val="1"/>
              <w:rPr>
                <w:rFonts w:ascii="Times New Roman" w:hAnsi="Times New Roman"/>
                <w:sz w:val="22"/>
                <w:szCs w:val="21"/>
              </w:rPr>
            </w:pPr>
            <w:r>
              <w:rPr>
                <w:rFonts w:ascii="Times New Roman" w:hAnsi="Times New Roman"/>
                <w:sz w:val="22"/>
                <w:szCs w:val="21"/>
              </w:rPr>
              <w:t>2</w:t>
            </w:r>
          </w:p>
        </w:tc>
        <w:tc>
          <w:tcPr>
            <w:tcW w:w="719" w:type="dxa"/>
            <w:vMerge w:val="restart"/>
            <w:vAlign w:val="center"/>
          </w:tcPr>
          <w:p w14:paraId="0EF604A9">
            <w:pPr>
              <w:spacing w:line="360" w:lineRule="atLeast"/>
              <w:ind w:firstLine="431" w:firstLineChars="196"/>
              <w:jc w:val="left"/>
              <w:outlineLvl w:val="1"/>
              <w:rPr>
                <w:rFonts w:ascii="Times New Roman" w:hAnsi="Times New Roman"/>
                <w:sz w:val="22"/>
                <w:szCs w:val="21"/>
              </w:rPr>
            </w:pPr>
          </w:p>
        </w:tc>
        <w:tc>
          <w:tcPr>
            <w:tcW w:w="1265" w:type="dxa"/>
            <w:vAlign w:val="center"/>
          </w:tcPr>
          <w:p w14:paraId="10017F86">
            <w:pPr>
              <w:spacing w:line="360" w:lineRule="atLeast"/>
              <w:jc w:val="left"/>
              <w:outlineLvl w:val="1"/>
              <w:rPr>
                <w:rFonts w:ascii="Times New Roman" w:hAnsi="Times New Roman"/>
                <w:sz w:val="22"/>
                <w:szCs w:val="21"/>
              </w:rPr>
            </w:pPr>
            <w:r>
              <w:rPr>
                <w:rFonts w:ascii="Times New Roman" w:hAnsi="Times New Roman"/>
                <w:sz w:val="22"/>
                <w:szCs w:val="21"/>
              </w:rPr>
              <w:t>1</w:t>
            </w:r>
            <w:r>
              <w:rPr>
                <w:rFonts w:hint="eastAsia" w:ascii="Times New Roman" w:hAnsi="Times New Roman"/>
                <w:sz w:val="22"/>
                <w:szCs w:val="21"/>
              </w:rPr>
              <w:t>、</w:t>
            </w:r>
          </w:p>
        </w:tc>
        <w:tc>
          <w:tcPr>
            <w:tcW w:w="821" w:type="dxa"/>
            <w:vAlign w:val="center"/>
          </w:tcPr>
          <w:p w14:paraId="47CED4FF">
            <w:pPr>
              <w:spacing w:line="360" w:lineRule="atLeast"/>
              <w:ind w:firstLine="431" w:firstLineChars="196"/>
              <w:jc w:val="left"/>
              <w:outlineLvl w:val="1"/>
              <w:rPr>
                <w:rFonts w:ascii="Times New Roman" w:hAnsi="Times New Roman"/>
                <w:sz w:val="22"/>
                <w:szCs w:val="21"/>
              </w:rPr>
            </w:pPr>
          </w:p>
        </w:tc>
        <w:tc>
          <w:tcPr>
            <w:tcW w:w="1347" w:type="dxa"/>
            <w:vAlign w:val="center"/>
          </w:tcPr>
          <w:p w14:paraId="0C1D5FC4">
            <w:pPr>
              <w:spacing w:line="360" w:lineRule="atLeast"/>
              <w:ind w:firstLine="431" w:firstLineChars="196"/>
              <w:jc w:val="left"/>
              <w:outlineLvl w:val="1"/>
              <w:rPr>
                <w:rFonts w:ascii="Times New Roman" w:hAnsi="Times New Roman"/>
                <w:sz w:val="22"/>
                <w:szCs w:val="21"/>
              </w:rPr>
            </w:pPr>
          </w:p>
        </w:tc>
        <w:tc>
          <w:tcPr>
            <w:tcW w:w="978" w:type="dxa"/>
            <w:vAlign w:val="center"/>
          </w:tcPr>
          <w:p w14:paraId="01627A41">
            <w:pPr>
              <w:spacing w:line="360" w:lineRule="atLeast"/>
              <w:ind w:firstLine="431" w:firstLineChars="196"/>
              <w:jc w:val="left"/>
              <w:outlineLvl w:val="1"/>
              <w:rPr>
                <w:rFonts w:ascii="Times New Roman" w:hAnsi="Times New Roman"/>
                <w:sz w:val="22"/>
                <w:szCs w:val="21"/>
              </w:rPr>
            </w:pPr>
          </w:p>
        </w:tc>
        <w:tc>
          <w:tcPr>
            <w:tcW w:w="846" w:type="dxa"/>
            <w:vAlign w:val="center"/>
          </w:tcPr>
          <w:p w14:paraId="1120511F">
            <w:pPr>
              <w:spacing w:line="360" w:lineRule="atLeast"/>
              <w:ind w:firstLine="431" w:firstLineChars="196"/>
              <w:jc w:val="left"/>
              <w:outlineLvl w:val="1"/>
              <w:rPr>
                <w:rFonts w:ascii="Times New Roman" w:hAnsi="Times New Roman"/>
                <w:sz w:val="22"/>
                <w:szCs w:val="21"/>
              </w:rPr>
            </w:pPr>
          </w:p>
        </w:tc>
        <w:tc>
          <w:tcPr>
            <w:tcW w:w="795" w:type="dxa"/>
            <w:vAlign w:val="center"/>
          </w:tcPr>
          <w:p w14:paraId="33494279">
            <w:pPr>
              <w:spacing w:line="360" w:lineRule="atLeast"/>
              <w:ind w:firstLine="431" w:firstLineChars="196"/>
              <w:jc w:val="left"/>
              <w:outlineLvl w:val="1"/>
              <w:rPr>
                <w:rFonts w:ascii="Times New Roman" w:hAnsi="Times New Roman"/>
                <w:sz w:val="22"/>
                <w:szCs w:val="21"/>
              </w:rPr>
            </w:pPr>
          </w:p>
        </w:tc>
        <w:tc>
          <w:tcPr>
            <w:tcW w:w="1001" w:type="dxa"/>
            <w:vAlign w:val="center"/>
          </w:tcPr>
          <w:p w14:paraId="1A2A29EC">
            <w:pPr>
              <w:spacing w:line="360" w:lineRule="atLeast"/>
              <w:ind w:firstLine="431" w:firstLineChars="196"/>
              <w:jc w:val="left"/>
              <w:outlineLvl w:val="1"/>
              <w:rPr>
                <w:rFonts w:ascii="Times New Roman" w:hAnsi="Times New Roman"/>
                <w:sz w:val="22"/>
                <w:szCs w:val="21"/>
              </w:rPr>
            </w:pPr>
          </w:p>
        </w:tc>
      </w:tr>
      <w:tr w14:paraId="31D33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747" w:type="dxa"/>
            <w:vMerge w:val="continue"/>
            <w:vAlign w:val="center"/>
          </w:tcPr>
          <w:p w14:paraId="5A8BCB45">
            <w:pPr>
              <w:spacing w:line="360" w:lineRule="atLeast"/>
              <w:ind w:firstLine="666" w:firstLineChars="196"/>
              <w:jc w:val="left"/>
              <w:outlineLvl w:val="1"/>
              <w:rPr>
                <w:rFonts w:ascii="Times New Roman" w:hAnsi="Times New Roman"/>
              </w:rPr>
            </w:pPr>
          </w:p>
        </w:tc>
        <w:tc>
          <w:tcPr>
            <w:tcW w:w="719" w:type="dxa"/>
            <w:vMerge w:val="continue"/>
            <w:vAlign w:val="center"/>
          </w:tcPr>
          <w:p w14:paraId="4895FDA4">
            <w:pPr>
              <w:spacing w:line="360" w:lineRule="atLeast"/>
              <w:ind w:firstLine="666" w:firstLineChars="196"/>
              <w:jc w:val="left"/>
              <w:outlineLvl w:val="1"/>
              <w:rPr>
                <w:rFonts w:ascii="Times New Roman" w:hAnsi="Times New Roman"/>
              </w:rPr>
            </w:pPr>
          </w:p>
        </w:tc>
        <w:tc>
          <w:tcPr>
            <w:tcW w:w="1265" w:type="dxa"/>
            <w:vAlign w:val="center"/>
          </w:tcPr>
          <w:p w14:paraId="34B28787">
            <w:pPr>
              <w:spacing w:line="360" w:lineRule="atLeast"/>
              <w:jc w:val="left"/>
              <w:outlineLvl w:val="1"/>
              <w:rPr>
                <w:rFonts w:ascii="Times New Roman" w:hAnsi="Times New Roman"/>
                <w:sz w:val="22"/>
                <w:szCs w:val="21"/>
              </w:rPr>
            </w:pPr>
            <w:r>
              <w:rPr>
                <w:rFonts w:ascii="Times New Roman" w:hAnsi="Times New Roman"/>
                <w:sz w:val="22"/>
                <w:szCs w:val="21"/>
              </w:rPr>
              <w:t>2</w:t>
            </w:r>
            <w:r>
              <w:rPr>
                <w:rFonts w:hint="eastAsia" w:ascii="Times New Roman" w:hAnsi="Times New Roman"/>
                <w:sz w:val="22"/>
                <w:szCs w:val="21"/>
              </w:rPr>
              <w:t>、</w:t>
            </w:r>
          </w:p>
        </w:tc>
        <w:tc>
          <w:tcPr>
            <w:tcW w:w="821" w:type="dxa"/>
            <w:vAlign w:val="center"/>
          </w:tcPr>
          <w:p w14:paraId="55055269">
            <w:pPr>
              <w:spacing w:line="360" w:lineRule="atLeast"/>
              <w:ind w:firstLine="431" w:firstLineChars="196"/>
              <w:jc w:val="left"/>
              <w:outlineLvl w:val="1"/>
              <w:rPr>
                <w:rFonts w:ascii="Times New Roman" w:hAnsi="Times New Roman"/>
                <w:sz w:val="22"/>
                <w:szCs w:val="21"/>
              </w:rPr>
            </w:pPr>
          </w:p>
        </w:tc>
        <w:tc>
          <w:tcPr>
            <w:tcW w:w="1347" w:type="dxa"/>
            <w:vAlign w:val="center"/>
          </w:tcPr>
          <w:p w14:paraId="311E2E71">
            <w:pPr>
              <w:spacing w:line="360" w:lineRule="atLeast"/>
              <w:ind w:firstLine="431" w:firstLineChars="196"/>
              <w:jc w:val="left"/>
              <w:outlineLvl w:val="1"/>
              <w:rPr>
                <w:rFonts w:ascii="Times New Roman" w:hAnsi="Times New Roman"/>
                <w:sz w:val="22"/>
                <w:szCs w:val="21"/>
              </w:rPr>
            </w:pPr>
          </w:p>
        </w:tc>
        <w:tc>
          <w:tcPr>
            <w:tcW w:w="978" w:type="dxa"/>
            <w:vAlign w:val="center"/>
          </w:tcPr>
          <w:p w14:paraId="75E03203">
            <w:pPr>
              <w:spacing w:line="360" w:lineRule="atLeast"/>
              <w:ind w:firstLine="431" w:firstLineChars="196"/>
              <w:jc w:val="left"/>
              <w:outlineLvl w:val="1"/>
              <w:rPr>
                <w:rFonts w:ascii="Times New Roman" w:hAnsi="Times New Roman"/>
                <w:sz w:val="22"/>
                <w:szCs w:val="21"/>
              </w:rPr>
            </w:pPr>
          </w:p>
        </w:tc>
        <w:tc>
          <w:tcPr>
            <w:tcW w:w="846" w:type="dxa"/>
            <w:vAlign w:val="center"/>
          </w:tcPr>
          <w:p w14:paraId="28A266C0">
            <w:pPr>
              <w:spacing w:line="360" w:lineRule="atLeast"/>
              <w:ind w:firstLine="431" w:firstLineChars="196"/>
              <w:jc w:val="left"/>
              <w:outlineLvl w:val="1"/>
              <w:rPr>
                <w:rFonts w:ascii="Times New Roman" w:hAnsi="Times New Roman"/>
                <w:sz w:val="22"/>
                <w:szCs w:val="21"/>
              </w:rPr>
            </w:pPr>
          </w:p>
        </w:tc>
        <w:tc>
          <w:tcPr>
            <w:tcW w:w="795" w:type="dxa"/>
            <w:vAlign w:val="center"/>
          </w:tcPr>
          <w:p w14:paraId="2BB5F6F6">
            <w:pPr>
              <w:spacing w:line="360" w:lineRule="atLeast"/>
              <w:ind w:firstLine="431" w:firstLineChars="196"/>
              <w:jc w:val="left"/>
              <w:outlineLvl w:val="1"/>
              <w:rPr>
                <w:rFonts w:ascii="Times New Roman" w:hAnsi="Times New Roman"/>
                <w:sz w:val="22"/>
                <w:szCs w:val="21"/>
              </w:rPr>
            </w:pPr>
          </w:p>
        </w:tc>
        <w:tc>
          <w:tcPr>
            <w:tcW w:w="1001" w:type="dxa"/>
            <w:vAlign w:val="center"/>
          </w:tcPr>
          <w:p w14:paraId="4A9633E6">
            <w:pPr>
              <w:spacing w:line="360" w:lineRule="atLeast"/>
              <w:ind w:firstLine="431" w:firstLineChars="196"/>
              <w:jc w:val="left"/>
              <w:outlineLvl w:val="1"/>
              <w:rPr>
                <w:rFonts w:ascii="Times New Roman" w:hAnsi="Times New Roman"/>
                <w:sz w:val="22"/>
                <w:szCs w:val="21"/>
              </w:rPr>
            </w:pPr>
          </w:p>
        </w:tc>
      </w:tr>
      <w:tr w14:paraId="59CFD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747" w:type="dxa"/>
            <w:vMerge w:val="continue"/>
            <w:vAlign w:val="center"/>
          </w:tcPr>
          <w:p w14:paraId="2C56A263">
            <w:pPr>
              <w:spacing w:line="360" w:lineRule="atLeast"/>
              <w:ind w:firstLine="431" w:firstLineChars="196"/>
              <w:jc w:val="left"/>
              <w:outlineLvl w:val="1"/>
              <w:rPr>
                <w:rFonts w:ascii="Times New Roman" w:hAnsi="Times New Roman"/>
                <w:sz w:val="22"/>
                <w:szCs w:val="21"/>
              </w:rPr>
            </w:pPr>
          </w:p>
        </w:tc>
        <w:tc>
          <w:tcPr>
            <w:tcW w:w="719" w:type="dxa"/>
            <w:vMerge w:val="continue"/>
            <w:vAlign w:val="center"/>
          </w:tcPr>
          <w:p w14:paraId="7A22EFF1">
            <w:pPr>
              <w:spacing w:line="360" w:lineRule="atLeast"/>
              <w:ind w:firstLine="431" w:firstLineChars="196"/>
              <w:jc w:val="left"/>
              <w:outlineLvl w:val="1"/>
              <w:rPr>
                <w:rFonts w:ascii="Times New Roman" w:hAnsi="Times New Roman"/>
                <w:sz w:val="22"/>
                <w:szCs w:val="21"/>
              </w:rPr>
            </w:pPr>
          </w:p>
        </w:tc>
        <w:tc>
          <w:tcPr>
            <w:tcW w:w="1265" w:type="dxa"/>
            <w:vAlign w:val="center"/>
          </w:tcPr>
          <w:p w14:paraId="26B2A547">
            <w:pPr>
              <w:spacing w:line="360" w:lineRule="atLeast"/>
              <w:jc w:val="left"/>
              <w:outlineLvl w:val="1"/>
              <w:rPr>
                <w:rFonts w:ascii="Times New Roman" w:hAnsi="Times New Roman"/>
                <w:sz w:val="22"/>
                <w:szCs w:val="21"/>
              </w:rPr>
            </w:pPr>
            <w:r>
              <w:rPr>
                <w:rFonts w:ascii="Times New Roman" w:hAnsi="Times New Roman"/>
                <w:sz w:val="22"/>
                <w:szCs w:val="21"/>
              </w:rPr>
              <w:t>N</w:t>
            </w:r>
          </w:p>
        </w:tc>
        <w:tc>
          <w:tcPr>
            <w:tcW w:w="821" w:type="dxa"/>
            <w:vAlign w:val="center"/>
          </w:tcPr>
          <w:p w14:paraId="0496B09B">
            <w:pPr>
              <w:spacing w:line="360" w:lineRule="atLeast"/>
              <w:ind w:firstLine="431" w:firstLineChars="196"/>
              <w:jc w:val="left"/>
              <w:outlineLvl w:val="1"/>
              <w:rPr>
                <w:rFonts w:ascii="Times New Roman" w:hAnsi="Times New Roman"/>
                <w:sz w:val="22"/>
                <w:szCs w:val="21"/>
              </w:rPr>
            </w:pPr>
          </w:p>
        </w:tc>
        <w:tc>
          <w:tcPr>
            <w:tcW w:w="1347" w:type="dxa"/>
            <w:vAlign w:val="center"/>
          </w:tcPr>
          <w:p w14:paraId="56CC5313">
            <w:pPr>
              <w:spacing w:line="360" w:lineRule="atLeast"/>
              <w:ind w:firstLine="431" w:firstLineChars="196"/>
              <w:jc w:val="left"/>
              <w:outlineLvl w:val="1"/>
              <w:rPr>
                <w:rFonts w:ascii="Times New Roman" w:hAnsi="Times New Roman"/>
                <w:sz w:val="22"/>
                <w:szCs w:val="21"/>
              </w:rPr>
            </w:pPr>
          </w:p>
        </w:tc>
        <w:tc>
          <w:tcPr>
            <w:tcW w:w="978" w:type="dxa"/>
            <w:vAlign w:val="center"/>
          </w:tcPr>
          <w:p w14:paraId="6D4752DA">
            <w:pPr>
              <w:spacing w:line="360" w:lineRule="atLeast"/>
              <w:ind w:firstLine="431" w:firstLineChars="196"/>
              <w:jc w:val="left"/>
              <w:outlineLvl w:val="1"/>
              <w:rPr>
                <w:rFonts w:ascii="Times New Roman" w:hAnsi="Times New Roman"/>
                <w:sz w:val="22"/>
                <w:szCs w:val="21"/>
              </w:rPr>
            </w:pPr>
          </w:p>
        </w:tc>
        <w:tc>
          <w:tcPr>
            <w:tcW w:w="846" w:type="dxa"/>
            <w:vAlign w:val="center"/>
          </w:tcPr>
          <w:p w14:paraId="5E537889">
            <w:pPr>
              <w:spacing w:line="360" w:lineRule="atLeast"/>
              <w:ind w:firstLine="431" w:firstLineChars="196"/>
              <w:jc w:val="left"/>
              <w:outlineLvl w:val="1"/>
              <w:rPr>
                <w:rFonts w:ascii="Times New Roman" w:hAnsi="Times New Roman"/>
                <w:sz w:val="22"/>
                <w:szCs w:val="21"/>
              </w:rPr>
            </w:pPr>
          </w:p>
        </w:tc>
        <w:tc>
          <w:tcPr>
            <w:tcW w:w="795" w:type="dxa"/>
            <w:vAlign w:val="center"/>
          </w:tcPr>
          <w:p w14:paraId="18A008D4">
            <w:pPr>
              <w:spacing w:line="360" w:lineRule="atLeast"/>
              <w:ind w:firstLine="431" w:firstLineChars="196"/>
              <w:jc w:val="left"/>
              <w:outlineLvl w:val="1"/>
              <w:rPr>
                <w:rFonts w:ascii="Times New Roman" w:hAnsi="Times New Roman"/>
                <w:sz w:val="22"/>
                <w:szCs w:val="21"/>
              </w:rPr>
            </w:pPr>
          </w:p>
        </w:tc>
        <w:tc>
          <w:tcPr>
            <w:tcW w:w="1001" w:type="dxa"/>
            <w:vAlign w:val="center"/>
          </w:tcPr>
          <w:p w14:paraId="43833FF9">
            <w:pPr>
              <w:spacing w:line="360" w:lineRule="atLeast"/>
              <w:ind w:firstLine="431" w:firstLineChars="196"/>
              <w:jc w:val="left"/>
              <w:outlineLvl w:val="1"/>
              <w:rPr>
                <w:rFonts w:ascii="Times New Roman" w:hAnsi="Times New Roman"/>
                <w:sz w:val="22"/>
                <w:szCs w:val="21"/>
              </w:rPr>
            </w:pPr>
          </w:p>
        </w:tc>
      </w:tr>
      <w:tr w14:paraId="75915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747" w:type="dxa"/>
            <w:vMerge w:val="restart"/>
            <w:vAlign w:val="center"/>
          </w:tcPr>
          <w:p w14:paraId="7DA9E2D5">
            <w:pPr>
              <w:spacing w:line="360" w:lineRule="atLeast"/>
              <w:jc w:val="left"/>
              <w:outlineLvl w:val="1"/>
              <w:rPr>
                <w:rFonts w:ascii="Times New Roman" w:hAnsi="Times New Roman"/>
                <w:sz w:val="22"/>
                <w:szCs w:val="21"/>
              </w:rPr>
            </w:pPr>
            <w:r>
              <w:rPr>
                <w:rFonts w:ascii="Times New Roman" w:hAnsi="Times New Roman"/>
                <w:sz w:val="22"/>
                <w:szCs w:val="21"/>
              </w:rPr>
              <w:t>3</w:t>
            </w:r>
          </w:p>
        </w:tc>
        <w:tc>
          <w:tcPr>
            <w:tcW w:w="719" w:type="dxa"/>
            <w:vMerge w:val="restart"/>
            <w:vAlign w:val="center"/>
          </w:tcPr>
          <w:p w14:paraId="5FFFF369">
            <w:pPr>
              <w:spacing w:line="360" w:lineRule="atLeast"/>
              <w:ind w:firstLine="431" w:firstLineChars="196"/>
              <w:jc w:val="left"/>
              <w:outlineLvl w:val="1"/>
              <w:rPr>
                <w:rFonts w:ascii="Times New Roman" w:hAnsi="Times New Roman"/>
                <w:sz w:val="22"/>
                <w:szCs w:val="21"/>
              </w:rPr>
            </w:pPr>
          </w:p>
        </w:tc>
        <w:tc>
          <w:tcPr>
            <w:tcW w:w="1265" w:type="dxa"/>
            <w:vAlign w:val="center"/>
          </w:tcPr>
          <w:p w14:paraId="7C0D47DD">
            <w:pPr>
              <w:spacing w:line="360" w:lineRule="atLeast"/>
              <w:jc w:val="left"/>
              <w:outlineLvl w:val="1"/>
              <w:rPr>
                <w:rFonts w:ascii="Times New Roman" w:hAnsi="Times New Roman"/>
                <w:sz w:val="22"/>
                <w:szCs w:val="21"/>
              </w:rPr>
            </w:pPr>
            <w:r>
              <w:rPr>
                <w:rFonts w:ascii="Times New Roman" w:hAnsi="Times New Roman"/>
                <w:sz w:val="22"/>
                <w:szCs w:val="21"/>
              </w:rPr>
              <w:t>1</w:t>
            </w:r>
            <w:r>
              <w:rPr>
                <w:rFonts w:hint="eastAsia" w:ascii="Times New Roman" w:hAnsi="Times New Roman"/>
                <w:sz w:val="22"/>
                <w:szCs w:val="21"/>
              </w:rPr>
              <w:t>、</w:t>
            </w:r>
          </w:p>
        </w:tc>
        <w:tc>
          <w:tcPr>
            <w:tcW w:w="821" w:type="dxa"/>
            <w:vAlign w:val="center"/>
          </w:tcPr>
          <w:p w14:paraId="09FEED53">
            <w:pPr>
              <w:spacing w:line="360" w:lineRule="atLeast"/>
              <w:ind w:firstLine="431" w:firstLineChars="196"/>
              <w:jc w:val="left"/>
              <w:outlineLvl w:val="1"/>
              <w:rPr>
                <w:rFonts w:ascii="Times New Roman" w:hAnsi="Times New Roman"/>
                <w:sz w:val="22"/>
                <w:szCs w:val="21"/>
              </w:rPr>
            </w:pPr>
          </w:p>
        </w:tc>
        <w:tc>
          <w:tcPr>
            <w:tcW w:w="1347" w:type="dxa"/>
            <w:vAlign w:val="center"/>
          </w:tcPr>
          <w:p w14:paraId="6630740C">
            <w:pPr>
              <w:spacing w:line="360" w:lineRule="atLeast"/>
              <w:ind w:firstLine="431" w:firstLineChars="196"/>
              <w:jc w:val="left"/>
              <w:outlineLvl w:val="1"/>
              <w:rPr>
                <w:rFonts w:ascii="Times New Roman" w:hAnsi="Times New Roman"/>
                <w:sz w:val="22"/>
                <w:szCs w:val="21"/>
              </w:rPr>
            </w:pPr>
          </w:p>
        </w:tc>
        <w:tc>
          <w:tcPr>
            <w:tcW w:w="978" w:type="dxa"/>
            <w:vAlign w:val="center"/>
          </w:tcPr>
          <w:p w14:paraId="507F7422">
            <w:pPr>
              <w:spacing w:line="360" w:lineRule="atLeast"/>
              <w:ind w:firstLine="431" w:firstLineChars="196"/>
              <w:jc w:val="left"/>
              <w:outlineLvl w:val="1"/>
              <w:rPr>
                <w:rFonts w:ascii="Times New Roman" w:hAnsi="Times New Roman"/>
                <w:sz w:val="22"/>
                <w:szCs w:val="21"/>
              </w:rPr>
            </w:pPr>
          </w:p>
        </w:tc>
        <w:tc>
          <w:tcPr>
            <w:tcW w:w="846" w:type="dxa"/>
            <w:vAlign w:val="center"/>
          </w:tcPr>
          <w:p w14:paraId="64476CBF">
            <w:pPr>
              <w:spacing w:line="360" w:lineRule="atLeast"/>
              <w:ind w:firstLine="431" w:firstLineChars="196"/>
              <w:jc w:val="left"/>
              <w:outlineLvl w:val="1"/>
              <w:rPr>
                <w:rFonts w:ascii="Times New Roman" w:hAnsi="Times New Roman"/>
                <w:sz w:val="22"/>
                <w:szCs w:val="21"/>
              </w:rPr>
            </w:pPr>
          </w:p>
        </w:tc>
        <w:tc>
          <w:tcPr>
            <w:tcW w:w="795" w:type="dxa"/>
            <w:vAlign w:val="center"/>
          </w:tcPr>
          <w:p w14:paraId="078F38A6">
            <w:pPr>
              <w:spacing w:line="360" w:lineRule="atLeast"/>
              <w:ind w:firstLine="431" w:firstLineChars="196"/>
              <w:jc w:val="left"/>
              <w:outlineLvl w:val="1"/>
              <w:rPr>
                <w:rFonts w:ascii="Times New Roman" w:hAnsi="Times New Roman"/>
                <w:sz w:val="22"/>
                <w:szCs w:val="21"/>
              </w:rPr>
            </w:pPr>
          </w:p>
        </w:tc>
        <w:tc>
          <w:tcPr>
            <w:tcW w:w="1001" w:type="dxa"/>
            <w:vAlign w:val="center"/>
          </w:tcPr>
          <w:p w14:paraId="3102B2CC">
            <w:pPr>
              <w:spacing w:line="360" w:lineRule="atLeast"/>
              <w:ind w:firstLine="431" w:firstLineChars="196"/>
              <w:jc w:val="left"/>
              <w:outlineLvl w:val="1"/>
              <w:rPr>
                <w:rFonts w:ascii="Times New Roman" w:hAnsi="Times New Roman"/>
                <w:sz w:val="22"/>
                <w:szCs w:val="21"/>
              </w:rPr>
            </w:pPr>
          </w:p>
        </w:tc>
      </w:tr>
      <w:tr w14:paraId="42B7E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747" w:type="dxa"/>
            <w:vMerge w:val="continue"/>
            <w:vAlign w:val="center"/>
          </w:tcPr>
          <w:p w14:paraId="206D9A6F">
            <w:pPr>
              <w:spacing w:line="360" w:lineRule="atLeast"/>
              <w:ind w:firstLine="666" w:firstLineChars="196"/>
              <w:jc w:val="left"/>
              <w:outlineLvl w:val="1"/>
              <w:rPr>
                <w:rFonts w:ascii="Times New Roman" w:hAnsi="Times New Roman"/>
              </w:rPr>
            </w:pPr>
          </w:p>
        </w:tc>
        <w:tc>
          <w:tcPr>
            <w:tcW w:w="719" w:type="dxa"/>
            <w:vMerge w:val="continue"/>
            <w:vAlign w:val="center"/>
          </w:tcPr>
          <w:p w14:paraId="7B11C5B9">
            <w:pPr>
              <w:spacing w:line="360" w:lineRule="atLeast"/>
              <w:ind w:firstLine="666" w:firstLineChars="196"/>
              <w:jc w:val="left"/>
              <w:outlineLvl w:val="1"/>
              <w:rPr>
                <w:rFonts w:ascii="Times New Roman" w:hAnsi="Times New Roman"/>
              </w:rPr>
            </w:pPr>
          </w:p>
        </w:tc>
        <w:tc>
          <w:tcPr>
            <w:tcW w:w="1265" w:type="dxa"/>
            <w:vAlign w:val="center"/>
          </w:tcPr>
          <w:p w14:paraId="568FF699">
            <w:pPr>
              <w:spacing w:line="360" w:lineRule="atLeast"/>
              <w:jc w:val="left"/>
              <w:outlineLvl w:val="1"/>
              <w:rPr>
                <w:rFonts w:ascii="Times New Roman" w:hAnsi="Times New Roman"/>
                <w:sz w:val="22"/>
                <w:szCs w:val="21"/>
              </w:rPr>
            </w:pPr>
            <w:r>
              <w:rPr>
                <w:rFonts w:ascii="Times New Roman" w:hAnsi="Times New Roman"/>
                <w:sz w:val="22"/>
                <w:szCs w:val="21"/>
              </w:rPr>
              <w:t>2</w:t>
            </w:r>
            <w:r>
              <w:rPr>
                <w:rFonts w:hint="eastAsia" w:ascii="Times New Roman" w:hAnsi="Times New Roman"/>
                <w:sz w:val="22"/>
                <w:szCs w:val="21"/>
              </w:rPr>
              <w:t>、</w:t>
            </w:r>
          </w:p>
        </w:tc>
        <w:tc>
          <w:tcPr>
            <w:tcW w:w="821" w:type="dxa"/>
            <w:vAlign w:val="center"/>
          </w:tcPr>
          <w:p w14:paraId="2BA11F17">
            <w:pPr>
              <w:spacing w:line="360" w:lineRule="atLeast"/>
              <w:ind w:firstLine="431" w:firstLineChars="196"/>
              <w:jc w:val="left"/>
              <w:outlineLvl w:val="1"/>
              <w:rPr>
                <w:rFonts w:ascii="Times New Roman" w:hAnsi="Times New Roman"/>
                <w:sz w:val="22"/>
                <w:szCs w:val="21"/>
              </w:rPr>
            </w:pPr>
          </w:p>
        </w:tc>
        <w:tc>
          <w:tcPr>
            <w:tcW w:w="1347" w:type="dxa"/>
            <w:vAlign w:val="center"/>
          </w:tcPr>
          <w:p w14:paraId="73B4CAB2">
            <w:pPr>
              <w:spacing w:line="360" w:lineRule="atLeast"/>
              <w:ind w:firstLine="431" w:firstLineChars="196"/>
              <w:jc w:val="left"/>
              <w:outlineLvl w:val="1"/>
              <w:rPr>
                <w:rFonts w:ascii="Times New Roman" w:hAnsi="Times New Roman"/>
                <w:sz w:val="22"/>
                <w:szCs w:val="21"/>
              </w:rPr>
            </w:pPr>
          </w:p>
        </w:tc>
        <w:tc>
          <w:tcPr>
            <w:tcW w:w="978" w:type="dxa"/>
            <w:vAlign w:val="center"/>
          </w:tcPr>
          <w:p w14:paraId="07C4D592">
            <w:pPr>
              <w:spacing w:line="360" w:lineRule="atLeast"/>
              <w:ind w:firstLine="431" w:firstLineChars="196"/>
              <w:jc w:val="left"/>
              <w:outlineLvl w:val="1"/>
              <w:rPr>
                <w:rFonts w:ascii="Times New Roman" w:hAnsi="Times New Roman"/>
                <w:sz w:val="22"/>
                <w:szCs w:val="21"/>
              </w:rPr>
            </w:pPr>
          </w:p>
        </w:tc>
        <w:tc>
          <w:tcPr>
            <w:tcW w:w="846" w:type="dxa"/>
            <w:vAlign w:val="center"/>
          </w:tcPr>
          <w:p w14:paraId="1E359DDE">
            <w:pPr>
              <w:spacing w:line="360" w:lineRule="atLeast"/>
              <w:ind w:firstLine="431" w:firstLineChars="196"/>
              <w:jc w:val="left"/>
              <w:outlineLvl w:val="1"/>
              <w:rPr>
                <w:rFonts w:ascii="Times New Roman" w:hAnsi="Times New Roman"/>
                <w:sz w:val="22"/>
                <w:szCs w:val="21"/>
              </w:rPr>
            </w:pPr>
          </w:p>
        </w:tc>
        <w:tc>
          <w:tcPr>
            <w:tcW w:w="795" w:type="dxa"/>
            <w:vAlign w:val="center"/>
          </w:tcPr>
          <w:p w14:paraId="4762956B">
            <w:pPr>
              <w:spacing w:line="360" w:lineRule="atLeast"/>
              <w:ind w:firstLine="431" w:firstLineChars="196"/>
              <w:jc w:val="left"/>
              <w:outlineLvl w:val="1"/>
              <w:rPr>
                <w:rFonts w:ascii="Times New Roman" w:hAnsi="Times New Roman"/>
                <w:sz w:val="22"/>
                <w:szCs w:val="21"/>
              </w:rPr>
            </w:pPr>
          </w:p>
        </w:tc>
        <w:tc>
          <w:tcPr>
            <w:tcW w:w="1001" w:type="dxa"/>
            <w:vAlign w:val="center"/>
          </w:tcPr>
          <w:p w14:paraId="1185591A">
            <w:pPr>
              <w:spacing w:line="360" w:lineRule="atLeast"/>
              <w:ind w:firstLine="431" w:firstLineChars="196"/>
              <w:jc w:val="left"/>
              <w:outlineLvl w:val="1"/>
              <w:rPr>
                <w:rFonts w:ascii="Times New Roman" w:hAnsi="Times New Roman"/>
                <w:sz w:val="22"/>
                <w:szCs w:val="21"/>
              </w:rPr>
            </w:pPr>
          </w:p>
        </w:tc>
      </w:tr>
      <w:tr w14:paraId="331B3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747" w:type="dxa"/>
            <w:vMerge w:val="continue"/>
            <w:vAlign w:val="center"/>
          </w:tcPr>
          <w:p w14:paraId="28C06B82">
            <w:pPr>
              <w:spacing w:line="360" w:lineRule="atLeast"/>
              <w:ind w:firstLine="431" w:firstLineChars="196"/>
              <w:jc w:val="left"/>
              <w:outlineLvl w:val="1"/>
              <w:rPr>
                <w:rFonts w:ascii="Times New Roman" w:hAnsi="Times New Roman"/>
                <w:sz w:val="22"/>
                <w:szCs w:val="21"/>
              </w:rPr>
            </w:pPr>
          </w:p>
        </w:tc>
        <w:tc>
          <w:tcPr>
            <w:tcW w:w="719" w:type="dxa"/>
            <w:vMerge w:val="continue"/>
            <w:vAlign w:val="center"/>
          </w:tcPr>
          <w:p w14:paraId="465780A8">
            <w:pPr>
              <w:spacing w:line="360" w:lineRule="atLeast"/>
              <w:ind w:firstLine="431" w:firstLineChars="196"/>
              <w:jc w:val="left"/>
              <w:outlineLvl w:val="1"/>
              <w:rPr>
                <w:rFonts w:ascii="Times New Roman" w:hAnsi="Times New Roman"/>
                <w:sz w:val="22"/>
                <w:szCs w:val="21"/>
              </w:rPr>
            </w:pPr>
          </w:p>
        </w:tc>
        <w:tc>
          <w:tcPr>
            <w:tcW w:w="1265" w:type="dxa"/>
            <w:vAlign w:val="center"/>
          </w:tcPr>
          <w:p w14:paraId="18131B5F">
            <w:pPr>
              <w:spacing w:line="360" w:lineRule="atLeast"/>
              <w:jc w:val="left"/>
              <w:outlineLvl w:val="1"/>
              <w:rPr>
                <w:rFonts w:ascii="Times New Roman" w:hAnsi="Times New Roman"/>
                <w:sz w:val="22"/>
                <w:szCs w:val="21"/>
              </w:rPr>
            </w:pPr>
            <w:r>
              <w:rPr>
                <w:rFonts w:ascii="Times New Roman" w:hAnsi="Times New Roman"/>
                <w:sz w:val="22"/>
                <w:szCs w:val="21"/>
              </w:rPr>
              <w:t>N</w:t>
            </w:r>
          </w:p>
        </w:tc>
        <w:tc>
          <w:tcPr>
            <w:tcW w:w="821" w:type="dxa"/>
            <w:vAlign w:val="center"/>
          </w:tcPr>
          <w:p w14:paraId="4AA35A38">
            <w:pPr>
              <w:spacing w:line="360" w:lineRule="atLeast"/>
              <w:ind w:firstLine="431" w:firstLineChars="196"/>
              <w:jc w:val="left"/>
              <w:outlineLvl w:val="1"/>
              <w:rPr>
                <w:rFonts w:ascii="Times New Roman" w:hAnsi="Times New Roman"/>
                <w:sz w:val="22"/>
                <w:szCs w:val="21"/>
              </w:rPr>
            </w:pPr>
          </w:p>
        </w:tc>
        <w:tc>
          <w:tcPr>
            <w:tcW w:w="1347" w:type="dxa"/>
            <w:vAlign w:val="center"/>
          </w:tcPr>
          <w:p w14:paraId="7DA58C58">
            <w:pPr>
              <w:spacing w:line="360" w:lineRule="atLeast"/>
              <w:ind w:firstLine="431" w:firstLineChars="196"/>
              <w:jc w:val="left"/>
              <w:outlineLvl w:val="1"/>
              <w:rPr>
                <w:rFonts w:ascii="Times New Roman" w:hAnsi="Times New Roman"/>
                <w:sz w:val="22"/>
                <w:szCs w:val="21"/>
              </w:rPr>
            </w:pPr>
          </w:p>
        </w:tc>
        <w:tc>
          <w:tcPr>
            <w:tcW w:w="978" w:type="dxa"/>
            <w:vAlign w:val="center"/>
          </w:tcPr>
          <w:p w14:paraId="0988757E">
            <w:pPr>
              <w:spacing w:line="360" w:lineRule="atLeast"/>
              <w:ind w:firstLine="431" w:firstLineChars="196"/>
              <w:jc w:val="left"/>
              <w:outlineLvl w:val="1"/>
              <w:rPr>
                <w:rFonts w:ascii="Times New Roman" w:hAnsi="Times New Roman"/>
                <w:sz w:val="22"/>
                <w:szCs w:val="21"/>
              </w:rPr>
            </w:pPr>
          </w:p>
        </w:tc>
        <w:tc>
          <w:tcPr>
            <w:tcW w:w="846" w:type="dxa"/>
            <w:vAlign w:val="center"/>
          </w:tcPr>
          <w:p w14:paraId="3BFA62D0">
            <w:pPr>
              <w:spacing w:line="360" w:lineRule="atLeast"/>
              <w:ind w:firstLine="431" w:firstLineChars="196"/>
              <w:jc w:val="left"/>
              <w:outlineLvl w:val="1"/>
              <w:rPr>
                <w:rFonts w:ascii="Times New Roman" w:hAnsi="Times New Roman"/>
                <w:sz w:val="22"/>
                <w:szCs w:val="21"/>
              </w:rPr>
            </w:pPr>
          </w:p>
        </w:tc>
        <w:tc>
          <w:tcPr>
            <w:tcW w:w="795" w:type="dxa"/>
            <w:vAlign w:val="center"/>
          </w:tcPr>
          <w:p w14:paraId="047DE80B">
            <w:pPr>
              <w:spacing w:line="360" w:lineRule="atLeast"/>
              <w:ind w:firstLine="431" w:firstLineChars="196"/>
              <w:jc w:val="left"/>
              <w:outlineLvl w:val="1"/>
              <w:rPr>
                <w:rFonts w:ascii="Times New Roman" w:hAnsi="Times New Roman"/>
                <w:sz w:val="22"/>
                <w:szCs w:val="21"/>
              </w:rPr>
            </w:pPr>
          </w:p>
        </w:tc>
        <w:tc>
          <w:tcPr>
            <w:tcW w:w="1001" w:type="dxa"/>
            <w:vAlign w:val="center"/>
          </w:tcPr>
          <w:p w14:paraId="1A7F01D2">
            <w:pPr>
              <w:spacing w:line="360" w:lineRule="atLeast"/>
              <w:ind w:firstLine="431" w:firstLineChars="196"/>
              <w:jc w:val="left"/>
              <w:outlineLvl w:val="1"/>
              <w:rPr>
                <w:rFonts w:ascii="Times New Roman" w:hAnsi="Times New Roman"/>
                <w:sz w:val="22"/>
                <w:szCs w:val="21"/>
              </w:rPr>
            </w:pPr>
          </w:p>
        </w:tc>
      </w:tr>
      <w:tr w14:paraId="400C3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47" w:type="dxa"/>
            <w:vAlign w:val="center"/>
          </w:tcPr>
          <w:p w14:paraId="7214D0EB">
            <w:pPr>
              <w:spacing w:line="360" w:lineRule="atLeast"/>
              <w:jc w:val="left"/>
              <w:outlineLvl w:val="1"/>
              <w:rPr>
                <w:rFonts w:ascii="Times New Roman" w:hAnsi="Times New Roman"/>
                <w:sz w:val="22"/>
                <w:szCs w:val="21"/>
              </w:rPr>
            </w:pPr>
            <w:r>
              <w:rPr>
                <w:rFonts w:ascii="Times New Roman" w:hAnsi="Times New Roman"/>
                <w:sz w:val="20"/>
                <w:szCs w:val="20"/>
              </w:rPr>
              <w:t>.....</w:t>
            </w:r>
          </w:p>
        </w:tc>
        <w:tc>
          <w:tcPr>
            <w:tcW w:w="719" w:type="dxa"/>
            <w:vAlign w:val="center"/>
          </w:tcPr>
          <w:p w14:paraId="457D5274">
            <w:pPr>
              <w:spacing w:line="360" w:lineRule="atLeast"/>
              <w:ind w:firstLine="431" w:firstLineChars="196"/>
              <w:jc w:val="left"/>
              <w:outlineLvl w:val="1"/>
              <w:rPr>
                <w:rFonts w:ascii="Times New Roman" w:hAnsi="Times New Roman"/>
                <w:sz w:val="22"/>
                <w:szCs w:val="21"/>
              </w:rPr>
            </w:pPr>
          </w:p>
        </w:tc>
        <w:tc>
          <w:tcPr>
            <w:tcW w:w="1265" w:type="dxa"/>
            <w:vAlign w:val="center"/>
          </w:tcPr>
          <w:p w14:paraId="2F41BECE">
            <w:pPr>
              <w:spacing w:line="360" w:lineRule="atLeast"/>
              <w:ind w:firstLine="431" w:firstLineChars="196"/>
              <w:jc w:val="left"/>
              <w:outlineLvl w:val="1"/>
              <w:rPr>
                <w:rFonts w:ascii="Times New Roman" w:hAnsi="Times New Roman"/>
                <w:sz w:val="22"/>
                <w:szCs w:val="21"/>
              </w:rPr>
            </w:pPr>
          </w:p>
        </w:tc>
        <w:tc>
          <w:tcPr>
            <w:tcW w:w="821" w:type="dxa"/>
            <w:vAlign w:val="center"/>
          </w:tcPr>
          <w:p w14:paraId="07DA4BDE">
            <w:pPr>
              <w:spacing w:line="360" w:lineRule="atLeast"/>
              <w:ind w:firstLine="431" w:firstLineChars="196"/>
              <w:jc w:val="left"/>
              <w:outlineLvl w:val="1"/>
              <w:rPr>
                <w:rFonts w:ascii="Times New Roman" w:hAnsi="Times New Roman"/>
                <w:sz w:val="22"/>
                <w:szCs w:val="21"/>
              </w:rPr>
            </w:pPr>
          </w:p>
        </w:tc>
        <w:tc>
          <w:tcPr>
            <w:tcW w:w="1347" w:type="dxa"/>
            <w:vAlign w:val="center"/>
          </w:tcPr>
          <w:p w14:paraId="620D7F0B">
            <w:pPr>
              <w:spacing w:line="360" w:lineRule="atLeast"/>
              <w:ind w:firstLine="431" w:firstLineChars="196"/>
              <w:jc w:val="left"/>
              <w:outlineLvl w:val="1"/>
              <w:rPr>
                <w:rFonts w:ascii="Times New Roman" w:hAnsi="Times New Roman"/>
                <w:sz w:val="22"/>
                <w:szCs w:val="21"/>
              </w:rPr>
            </w:pPr>
          </w:p>
        </w:tc>
        <w:tc>
          <w:tcPr>
            <w:tcW w:w="978" w:type="dxa"/>
            <w:vAlign w:val="center"/>
          </w:tcPr>
          <w:p w14:paraId="112A7D3C">
            <w:pPr>
              <w:spacing w:line="360" w:lineRule="atLeast"/>
              <w:ind w:firstLine="431" w:firstLineChars="196"/>
              <w:jc w:val="left"/>
              <w:outlineLvl w:val="1"/>
              <w:rPr>
                <w:rFonts w:ascii="Times New Roman" w:hAnsi="Times New Roman"/>
                <w:sz w:val="22"/>
                <w:szCs w:val="21"/>
              </w:rPr>
            </w:pPr>
          </w:p>
        </w:tc>
        <w:tc>
          <w:tcPr>
            <w:tcW w:w="846" w:type="dxa"/>
            <w:vAlign w:val="center"/>
          </w:tcPr>
          <w:p w14:paraId="4B1E463E">
            <w:pPr>
              <w:spacing w:line="360" w:lineRule="atLeast"/>
              <w:ind w:firstLine="431" w:firstLineChars="196"/>
              <w:jc w:val="left"/>
              <w:outlineLvl w:val="1"/>
              <w:rPr>
                <w:rFonts w:ascii="Times New Roman" w:hAnsi="Times New Roman"/>
                <w:sz w:val="22"/>
                <w:szCs w:val="21"/>
              </w:rPr>
            </w:pPr>
          </w:p>
        </w:tc>
        <w:tc>
          <w:tcPr>
            <w:tcW w:w="795" w:type="dxa"/>
            <w:vAlign w:val="center"/>
          </w:tcPr>
          <w:p w14:paraId="2BD72120">
            <w:pPr>
              <w:spacing w:line="360" w:lineRule="atLeast"/>
              <w:ind w:firstLine="431" w:firstLineChars="196"/>
              <w:jc w:val="left"/>
              <w:outlineLvl w:val="1"/>
              <w:rPr>
                <w:rFonts w:ascii="Times New Roman" w:hAnsi="Times New Roman"/>
                <w:sz w:val="22"/>
                <w:szCs w:val="21"/>
              </w:rPr>
            </w:pPr>
          </w:p>
        </w:tc>
        <w:tc>
          <w:tcPr>
            <w:tcW w:w="1001" w:type="dxa"/>
            <w:vAlign w:val="center"/>
          </w:tcPr>
          <w:p w14:paraId="053DCDB5">
            <w:pPr>
              <w:spacing w:line="360" w:lineRule="atLeast"/>
              <w:ind w:firstLine="431" w:firstLineChars="196"/>
              <w:jc w:val="left"/>
              <w:outlineLvl w:val="1"/>
              <w:rPr>
                <w:rFonts w:ascii="Times New Roman" w:hAnsi="Times New Roman"/>
                <w:sz w:val="22"/>
                <w:szCs w:val="21"/>
              </w:rPr>
            </w:pPr>
          </w:p>
        </w:tc>
      </w:tr>
      <w:tr w14:paraId="39229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47" w:type="dxa"/>
            <w:vAlign w:val="center"/>
          </w:tcPr>
          <w:p w14:paraId="7027765B">
            <w:pPr>
              <w:spacing w:line="360" w:lineRule="atLeast"/>
              <w:ind w:firstLine="431" w:firstLineChars="196"/>
              <w:jc w:val="left"/>
              <w:outlineLvl w:val="1"/>
              <w:rPr>
                <w:rFonts w:ascii="Times New Roman" w:hAnsi="Times New Roman"/>
                <w:sz w:val="22"/>
                <w:szCs w:val="21"/>
              </w:rPr>
            </w:pPr>
          </w:p>
        </w:tc>
        <w:tc>
          <w:tcPr>
            <w:tcW w:w="719" w:type="dxa"/>
            <w:vAlign w:val="center"/>
          </w:tcPr>
          <w:p w14:paraId="04AC0450">
            <w:pPr>
              <w:spacing w:line="360" w:lineRule="atLeast"/>
              <w:ind w:firstLine="431" w:firstLineChars="196"/>
              <w:jc w:val="left"/>
              <w:outlineLvl w:val="1"/>
              <w:rPr>
                <w:rFonts w:ascii="Times New Roman" w:hAnsi="Times New Roman"/>
                <w:sz w:val="22"/>
                <w:szCs w:val="21"/>
              </w:rPr>
            </w:pPr>
          </w:p>
        </w:tc>
        <w:tc>
          <w:tcPr>
            <w:tcW w:w="1265" w:type="dxa"/>
            <w:vAlign w:val="center"/>
          </w:tcPr>
          <w:p w14:paraId="115FFC21">
            <w:pPr>
              <w:spacing w:line="360" w:lineRule="atLeast"/>
              <w:ind w:firstLine="431" w:firstLineChars="196"/>
              <w:jc w:val="left"/>
              <w:outlineLvl w:val="1"/>
              <w:rPr>
                <w:rFonts w:ascii="Times New Roman" w:hAnsi="Times New Roman"/>
                <w:sz w:val="22"/>
                <w:szCs w:val="21"/>
              </w:rPr>
            </w:pPr>
          </w:p>
        </w:tc>
        <w:tc>
          <w:tcPr>
            <w:tcW w:w="821" w:type="dxa"/>
            <w:vAlign w:val="center"/>
          </w:tcPr>
          <w:p w14:paraId="0279E033">
            <w:pPr>
              <w:spacing w:line="360" w:lineRule="atLeast"/>
              <w:ind w:firstLine="431" w:firstLineChars="196"/>
              <w:jc w:val="left"/>
              <w:outlineLvl w:val="1"/>
              <w:rPr>
                <w:rFonts w:ascii="Times New Roman" w:hAnsi="Times New Roman"/>
                <w:sz w:val="22"/>
                <w:szCs w:val="21"/>
              </w:rPr>
            </w:pPr>
          </w:p>
        </w:tc>
        <w:tc>
          <w:tcPr>
            <w:tcW w:w="1347" w:type="dxa"/>
            <w:vAlign w:val="center"/>
          </w:tcPr>
          <w:p w14:paraId="6F4D575A">
            <w:pPr>
              <w:spacing w:line="360" w:lineRule="atLeast"/>
              <w:ind w:firstLine="431" w:firstLineChars="196"/>
              <w:jc w:val="left"/>
              <w:outlineLvl w:val="1"/>
              <w:rPr>
                <w:rFonts w:ascii="Times New Roman" w:hAnsi="Times New Roman"/>
                <w:sz w:val="22"/>
                <w:szCs w:val="21"/>
              </w:rPr>
            </w:pPr>
          </w:p>
        </w:tc>
        <w:tc>
          <w:tcPr>
            <w:tcW w:w="978" w:type="dxa"/>
            <w:vAlign w:val="center"/>
          </w:tcPr>
          <w:p w14:paraId="71A551C2">
            <w:pPr>
              <w:spacing w:line="360" w:lineRule="atLeast"/>
              <w:ind w:firstLine="431" w:firstLineChars="196"/>
              <w:jc w:val="left"/>
              <w:outlineLvl w:val="1"/>
              <w:rPr>
                <w:rFonts w:ascii="Times New Roman" w:hAnsi="Times New Roman"/>
                <w:sz w:val="22"/>
                <w:szCs w:val="21"/>
              </w:rPr>
            </w:pPr>
          </w:p>
        </w:tc>
        <w:tc>
          <w:tcPr>
            <w:tcW w:w="846" w:type="dxa"/>
            <w:vAlign w:val="center"/>
          </w:tcPr>
          <w:p w14:paraId="0D0F9EE0">
            <w:pPr>
              <w:spacing w:line="360" w:lineRule="atLeast"/>
              <w:ind w:firstLine="431" w:firstLineChars="196"/>
              <w:jc w:val="left"/>
              <w:outlineLvl w:val="1"/>
              <w:rPr>
                <w:rFonts w:ascii="Times New Roman" w:hAnsi="Times New Roman"/>
                <w:sz w:val="22"/>
                <w:szCs w:val="21"/>
              </w:rPr>
            </w:pPr>
          </w:p>
        </w:tc>
        <w:tc>
          <w:tcPr>
            <w:tcW w:w="795" w:type="dxa"/>
            <w:vAlign w:val="center"/>
          </w:tcPr>
          <w:p w14:paraId="4A3C17A6">
            <w:pPr>
              <w:spacing w:line="360" w:lineRule="atLeast"/>
              <w:ind w:firstLine="431" w:firstLineChars="196"/>
              <w:jc w:val="left"/>
              <w:outlineLvl w:val="1"/>
              <w:rPr>
                <w:rFonts w:ascii="Times New Roman" w:hAnsi="Times New Roman"/>
                <w:sz w:val="22"/>
                <w:szCs w:val="21"/>
              </w:rPr>
            </w:pPr>
          </w:p>
        </w:tc>
        <w:tc>
          <w:tcPr>
            <w:tcW w:w="1001" w:type="dxa"/>
            <w:vAlign w:val="center"/>
          </w:tcPr>
          <w:p w14:paraId="02C2C94C">
            <w:pPr>
              <w:spacing w:line="360" w:lineRule="atLeast"/>
              <w:ind w:firstLine="431" w:firstLineChars="196"/>
              <w:jc w:val="left"/>
              <w:outlineLvl w:val="1"/>
              <w:rPr>
                <w:rFonts w:ascii="Times New Roman" w:hAnsi="Times New Roman"/>
                <w:sz w:val="22"/>
                <w:szCs w:val="21"/>
              </w:rPr>
            </w:pPr>
          </w:p>
        </w:tc>
      </w:tr>
    </w:tbl>
    <w:p w14:paraId="03BA82AF">
      <w:pPr>
        <w:spacing w:line="360" w:lineRule="atLeast"/>
        <w:jc w:val="left"/>
        <w:outlineLvl w:val="1"/>
        <w:rPr>
          <w:rFonts w:ascii="Times New Roman" w:hAnsi="Times New Roman"/>
          <w:sz w:val="22"/>
          <w:szCs w:val="21"/>
        </w:rPr>
      </w:pPr>
    </w:p>
    <w:p w14:paraId="2DFC1B60">
      <w:pPr>
        <w:spacing w:line="400" w:lineRule="exact"/>
        <w:ind w:firstLine="465"/>
        <w:jc w:val="left"/>
        <w:rPr>
          <w:rFonts w:ascii="Times New Roman" w:hAnsi="Times New Roman"/>
          <w:sz w:val="22"/>
          <w:szCs w:val="21"/>
        </w:rPr>
      </w:pPr>
      <w:r>
        <w:rPr>
          <w:rFonts w:hint="eastAsia" w:ascii="Times New Roman" w:hAnsi="宋体"/>
          <w:sz w:val="22"/>
          <w:szCs w:val="21"/>
        </w:rPr>
        <w:t>注：</w:t>
      </w:r>
      <w:r>
        <w:rPr>
          <w:rFonts w:ascii="Times New Roman" w:hAnsi="Times New Roman"/>
          <w:sz w:val="22"/>
          <w:szCs w:val="21"/>
        </w:rPr>
        <w:t>1</w:t>
      </w:r>
      <w:r>
        <w:rPr>
          <w:rFonts w:hint="eastAsia" w:ascii="Times New Roman" w:hAnsi="宋体"/>
          <w:sz w:val="22"/>
          <w:szCs w:val="21"/>
        </w:rPr>
        <w:t>、投标人须详细注明</w:t>
      </w:r>
      <w:r>
        <w:rPr>
          <w:rFonts w:ascii="Times New Roman" w:hAnsi="Times New Roman"/>
          <w:sz w:val="22"/>
          <w:szCs w:val="21"/>
        </w:rPr>
        <w:t>“</w:t>
      </w:r>
      <w:r>
        <w:rPr>
          <w:rFonts w:hint="eastAsia" w:ascii="Times New Roman" w:hAnsi="宋体"/>
          <w:sz w:val="22"/>
          <w:szCs w:val="21"/>
        </w:rPr>
        <w:t>采购文件第五章技术要求中每项设备的</w:t>
      </w:r>
      <w:r>
        <w:rPr>
          <w:rFonts w:ascii="Times New Roman" w:hAnsi="Times New Roman"/>
          <w:sz w:val="22"/>
          <w:szCs w:val="21"/>
        </w:rPr>
        <w:t>“</w:t>
      </w:r>
      <w:r>
        <w:rPr>
          <w:rFonts w:hint="eastAsia" w:ascii="Times New Roman" w:hAnsi="宋体"/>
          <w:sz w:val="22"/>
          <w:szCs w:val="21"/>
        </w:rPr>
        <w:t>配置要求</w:t>
      </w:r>
      <w:r>
        <w:rPr>
          <w:rFonts w:ascii="Times New Roman" w:hAnsi="Times New Roman"/>
          <w:sz w:val="22"/>
          <w:szCs w:val="21"/>
        </w:rPr>
        <w:t>”</w:t>
      </w:r>
      <w:r>
        <w:rPr>
          <w:rFonts w:hint="eastAsia" w:ascii="Times New Roman" w:hAnsi="宋体"/>
          <w:sz w:val="22"/>
          <w:szCs w:val="21"/>
        </w:rPr>
        <w:t>中的所有配件的</w:t>
      </w:r>
      <w:r>
        <w:rPr>
          <w:rFonts w:ascii="Times New Roman" w:hAnsi="Times New Roman"/>
          <w:sz w:val="22"/>
          <w:szCs w:val="21"/>
        </w:rPr>
        <w:t>“</w:t>
      </w:r>
      <w:r>
        <w:rPr>
          <w:rFonts w:hint="eastAsia" w:ascii="Times New Roman" w:hAnsi="宋体"/>
          <w:sz w:val="22"/>
          <w:szCs w:val="21"/>
        </w:rPr>
        <w:t>名称</w:t>
      </w:r>
      <w:r>
        <w:rPr>
          <w:rFonts w:ascii="Times New Roman" w:hAnsi="Times New Roman"/>
          <w:sz w:val="22"/>
          <w:szCs w:val="21"/>
        </w:rPr>
        <w:t>”</w:t>
      </w:r>
      <w:r>
        <w:rPr>
          <w:rFonts w:hint="eastAsia" w:ascii="Times New Roman" w:hAnsi="宋体"/>
          <w:sz w:val="22"/>
          <w:szCs w:val="21"/>
        </w:rPr>
        <w:t>、</w:t>
      </w:r>
      <w:r>
        <w:rPr>
          <w:rFonts w:ascii="Times New Roman" w:hAnsi="Times New Roman"/>
          <w:sz w:val="22"/>
          <w:szCs w:val="21"/>
        </w:rPr>
        <w:t>“</w:t>
      </w:r>
      <w:r>
        <w:rPr>
          <w:rFonts w:hint="eastAsia" w:ascii="Times New Roman" w:hAnsi="宋体"/>
          <w:sz w:val="22"/>
          <w:szCs w:val="21"/>
        </w:rPr>
        <w:t>品牌</w:t>
      </w:r>
      <w:r>
        <w:rPr>
          <w:rFonts w:ascii="Times New Roman" w:hAnsi="Times New Roman"/>
          <w:sz w:val="22"/>
          <w:szCs w:val="21"/>
        </w:rPr>
        <w:t>”</w:t>
      </w:r>
      <w:r>
        <w:rPr>
          <w:rFonts w:hint="eastAsia" w:ascii="Times New Roman" w:hAnsi="宋体"/>
          <w:sz w:val="22"/>
          <w:szCs w:val="21"/>
        </w:rPr>
        <w:t>、</w:t>
      </w:r>
      <w:r>
        <w:rPr>
          <w:rFonts w:ascii="Times New Roman" w:hAnsi="Times New Roman"/>
          <w:sz w:val="22"/>
          <w:szCs w:val="21"/>
        </w:rPr>
        <w:t>“</w:t>
      </w:r>
      <w:r>
        <w:rPr>
          <w:rFonts w:hint="eastAsia" w:ascii="Times New Roman" w:hAnsi="宋体"/>
          <w:sz w:val="22"/>
          <w:szCs w:val="21"/>
        </w:rPr>
        <w:t>规格型号</w:t>
      </w:r>
      <w:r>
        <w:rPr>
          <w:rFonts w:ascii="Times New Roman" w:hAnsi="Times New Roman"/>
          <w:sz w:val="22"/>
          <w:szCs w:val="21"/>
        </w:rPr>
        <w:t>”“</w:t>
      </w:r>
      <w:r>
        <w:rPr>
          <w:rFonts w:hint="eastAsia" w:ascii="Times New Roman" w:hAnsi="宋体"/>
          <w:sz w:val="22"/>
          <w:szCs w:val="21"/>
        </w:rPr>
        <w:t>生产厂家</w:t>
      </w:r>
      <w:r>
        <w:rPr>
          <w:rFonts w:ascii="Times New Roman" w:hAnsi="Times New Roman"/>
          <w:sz w:val="22"/>
          <w:szCs w:val="21"/>
        </w:rPr>
        <w:t>”</w:t>
      </w:r>
      <w:r>
        <w:rPr>
          <w:rFonts w:hint="eastAsia" w:ascii="Times New Roman" w:hAnsi="宋体"/>
          <w:sz w:val="22"/>
          <w:szCs w:val="21"/>
        </w:rPr>
        <w:t>和</w:t>
      </w:r>
      <w:r>
        <w:rPr>
          <w:rFonts w:ascii="Times New Roman" w:hAnsi="Times New Roman"/>
          <w:sz w:val="22"/>
          <w:szCs w:val="21"/>
        </w:rPr>
        <w:t>“</w:t>
      </w:r>
      <w:r>
        <w:rPr>
          <w:rFonts w:hint="eastAsia" w:ascii="Times New Roman" w:hAnsi="宋体"/>
          <w:sz w:val="22"/>
          <w:szCs w:val="21"/>
        </w:rPr>
        <w:t>原产地</w:t>
      </w:r>
      <w:r>
        <w:rPr>
          <w:rFonts w:ascii="Times New Roman" w:hAnsi="Times New Roman"/>
          <w:sz w:val="22"/>
          <w:szCs w:val="21"/>
        </w:rPr>
        <w:t>”</w:t>
      </w:r>
      <w:r>
        <w:rPr>
          <w:rFonts w:hint="eastAsia" w:ascii="Times New Roman" w:hAnsi="宋体"/>
          <w:sz w:val="22"/>
          <w:szCs w:val="21"/>
        </w:rPr>
        <w:t>等相关信息，自行承担填写错误被视为无效投标文件的风险；</w:t>
      </w:r>
    </w:p>
    <w:p w14:paraId="3B0AF9BC">
      <w:pPr>
        <w:pStyle w:val="8"/>
        <w:ind w:firstLine="880" w:firstLineChars="400"/>
        <w:rPr>
          <w:rFonts w:ascii="Times New Roman" w:hAnsi="Times New Roman"/>
          <w:sz w:val="22"/>
          <w:szCs w:val="21"/>
        </w:rPr>
      </w:pPr>
      <w:r>
        <w:rPr>
          <w:rFonts w:ascii="Times New Roman" w:hAnsi="Times New Roman"/>
          <w:sz w:val="22"/>
          <w:szCs w:val="21"/>
        </w:rPr>
        <w:t>2</w:t>
      </w:r>
      <w:r>
        <w:rPr>
          <w:rFonts w:hint="eastAsia" w:ascii="Times New Roman" w:hAnsi="宋体"/>
          <w:sz w:val="22"/>
          <w:szCs w:val="21"/>
        </w:rPr>
        <w:t>、如有需要可根据</w:t>
      </w:r>
      <w:r>
        <w:rPr>
          <w:rFonts w:ascii="Times New Roman" w:hAnsi="Times New Roman"/>
          <w:sz w:val="22"/>
          <w:szCs w:val="21"/>
        </w:rPr>
        <w:t>“</w:t>
      </w:r>
      <w:r>
        <w:rPr>
          <w:rFonts w:hint="eastAsia" w:ascii="Times New Roman" w:hAnsi="宋体"/>
          <w:sz w:val="22"/>
          <w:szCs w:val="21"/>
        </w:rPr>
        <w:t>配置要求</w:t>
      </w:r>
      <w:r>
        <w:rPr>
          <w:rFonts w:ascii="Times New Roman" w:hAnsi="Times New Roman"/>
          <w:sz w:val="22"/>
          <w:szCs w:val="21"/>
        </w:rPr>
        <w:t>”</w:t>
      </w:r>
      <w:r>
        <w:rPr>
          <w:rFonts w:hint="eastAsia" w:ascii="Times New Roman" w:hAnsi="宋体"/>
          <w:sz w:val="22"/>
          <w:szCs w:val="21"/>
        </w:rPr>
        <w:t>中的实际情况拓展本表格。</w:t>
      </w:r>
    </w:p>
    <w:p w14:paraId="7A6CF571">
      <w:pPr>
        <w:adjustRightInd w:val="0"/>
        <w:spacing w:line="400" w:lineRule="exact"/>
        <w:ind w:firstLine="440" w:firstLineChars="200"/>
        <w:jc w:val="left"/>
        <w:rPr>
          <w:rFonts w:ascii="Times New Roman" w:hAnsi="Times New Roman"/>
          <w:sz w:val="22"/>
          <w:szCs w:val="21"/>
        </w:rPr>
      </w:pPr>
    </w:p>
    <w:p w14:paraId="35146435">
      <w:pPr>
        <w:adjustRightInd w:val="0"/>
        <w:spacing w:line="400" w:lineRule="exact"/>
        <w:ind w:firstLine="440" w:firstLineChars="200"/>
        <w:jc w:val="left"/>
        <w:rPr>
          <w:rFonts w:ascii="Times New Roman" w:hAnsi="Times New Roman"/>
          <w:sz w:val="22"/>
          <w:szCs w:val="21"/>
        </w:rPr>
      </w:pPr>
    </w:p>
    <w:p w14:paraId="14D19632">
      <w:pPr>
        <w:adjustRightInd w:val="0"/>
        <w:spacing w:line="400" w:lineRule="exact"/>
        <w:ind w:firstLine="440" w:firstLineChars="200"/>
        <w:jc w:val="left"/>
        <w:rPr>
          <w:rFonts w:ascii="Times New Roman" w:hAnsi="Times New Roman"/>
          <w:sz w:val="22"/>
          <w:szCs w:val="21"/>
        </w:rPr>
      </w:pPr>
      <w:r>
        <w:rPr>
          <w:rFonts w:hint="eastAsia" w:ascii="Times New Roman" w:hAnsi="宋体"/>
          <w:sz w:val="22"/>
          <w:szCs w:val="21"/>
        </w:rPr>
        <w:t>投标人名称：（盖章）</w:t>
      </w:r>
    </w:p>
    <w:p w14:paraId="1BC9A9E9">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法定代表人或委托代理人（签字或盖章）：</w:t>
      </w:r>
    </w:p>
    <w:p w14:paraId="4600FDB7">
      <w:pPr>
        <w:adjustRightInd w:val="0"/>
        <w:spacing w:line="400" w:lineRule="exact"/>
        <w:ind w:firstLine="440" w:firstLineChars="200"/>
        <w:jc w:val="left"/>
        <w:rPr>
          <w:rFonts w:ascii="Times New Roman" w:hAnsi="Times New Roman"/>
          <w:sz w:val="22"/>
          <w:szCs w:val="21"/>
        </w:rPr>
      </w:pPr>
      <w:r>
        <w:rPr>
          <w:rFonts w:hint="eastAsia" w:ascii="Times New Roman" w:hAnsi="宋体"/>
          <w:sz w:val="22"/>
          <w:szCs w:val="21"/>
        </w:rPr>
        <w:t>日期：</w:t>
      </w:r>
    </w:p>
    <w:p w14:paraId="06DCDDE6">
      <w:pPr>
        <w:spacing w:line="360" w:lineRule="atLeast"/>
        <w:ind w:firstLine="431" w:firstLineChars="196"/>
        <w:jc w:val="left"/>
        <w:outlineLvl w:val="1"/>
        <w:rPr>
          <w:rFonts w:ascii="Times New Roman" w:hAnsi="Times New Roman"/>
          <w:b/>
          <w:sz w:val="28"/>
          <w:szCs w:val="28"/>
        </w:rPr>
      </w:pPr>
      <w:r>
        <w:rPr>
          <w:rFonts w:ascii="Times New Roman" w:hAnsi="Times New Roman"/>
          <w:sz w:val="22"/>
          <w:szCs w:val="21"/>
        </w:rPr>
        <w:br w:type="page"/>
      </w:r>
      <w:r>
        <w:rPr>
          <w:rFonts w:hint="eastAsia" w:ascii="Times New Roman" w:hAnsi="宋体"/>
          <w:b/>
          <w:sz w:val="28"/>
          <w:szCs w:val="28"/>
        </w:rPr>
        <w:t>格式</w:t>
      </w:r>
      <w:r>
        <w:rPr>
          <w:rFonts w:ascii="Times New Roman" w:hAnsi="Times New Roman"/>
          <w:b/>
          <w:sz w:val="28"/>
          <w:szCs w:val="28"/>
        </w:rPr>
        <w:t>2-7</w:t>
      </w:r>
    </w:p>
    <w:p w14:paraId="002F91B4">
      <w:pPr>
        <w:spacing w:line="360" w:lineRule="atLeast"/>
        <w:jc w:val="center"/>
        <w:outlineLvl w:val="1"/>
        <w:rPr>
          <w:rFonts w:ascii="Times New Roman" w:hAnsi="Times New Roman"/>
          <w:b/>
          <w:sz w:val="22"/>
          <w:szCs w:val="21"/>
        </w:rPr>
      </w:pPr>
      <w:r>
        <w:rPr>
          <w:rFonts w:hint="eastAsia" w:ascii="Times New Roman" w:hAnsi="Times New Roman" w:eastAsia="黑体"/>
          <w:b/>
          <w:sz w:val="28"/>
          <w:szCs w:val="28"/>
        </w:rPr>
        <w:t>六、商务应答表</w:t>
      </w:r>
    </w:p>
    <w:p w14:paraId="183A9CFC">
      <w:pPr>
        <w:pStyle w:val="12"/>
        <w:pBdr>
          <w:bottom w:val="none" w:color="auto" w:sz="0" w:space="0"/>
        </w:pBdr>
        <w:tabs>
          <w:tab w:val="clear" w:pos="4153"/>
          <w:tab w:val="clear" w:pos="8306"/>
        </w:tabs>
        <w:snapToGrid/>
        <w:spacing w:line="400" w:lineRule="exact"/>
        <w:jc w:val="left"/>
        <w:rPr>
          <w:rFonts w:ascii="Times New Roman" w:hAnsi="Times New Roman"/>
          <w:sz w:val="22"/>
        </w:rPr>
      </w:pPr>
      <w:r>
        <w:rPr>
          <w:rFonts w:hint="eastAsia" w:ascii="Times New Roman" w:hAnsi="宋体"/>
          <w:sz w:val="22"/>
        </w:rPr>
        <w:t>招标编号</w:t>
      </w:r>
      <w:r>
        <w:rPr>
          <w:rFonts w:ascii="Times New Roman" w:hAnsi="Times New Roman"/>
          <w:sz w:val="22"/>
        </w:rPr>
        <w:t>/</w:t>
      </w:r>
      <w:r>
        <w:rPr>
          <w:rFonts w:hint="eastAsia" w:ascii="Times New Roman" w:hAnsi="宋体"/>
          <w:sz w:val="22"/>
        </w:rPr>
        <w:t>包号：</w:t>
      </w:r>
    </w:p>
    <w:tbl>
      <w:tblPr>
        <w:tblStyle w:val="16"/>
        <w:tblW w:w="882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704"/>
        <w:gridCol w:w="1466"/>
        <w:gridCol w:w="3103"/>
        <w:gridCol w:w="1587"/>
      </w:tblGrid>
      <w:tr w14:paraId="66594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960" w:type="dxa"/>
            <w:vAlign w:val="center"/>
          </w:tcPr>
          <w:p w14:paraId="6EDA04F5">
            <w:pPr>
              <w:spacing w:line="400" w:lineRule="exact"/>
              <w:jc w:val="center"/>
              <w:rPr>
                <w:rFonts w:ascii="Times New Roman" w:hAnsi="Times New Roman"/>
                <w:sz w:val="20"/>
                <w:szCs w:val="20"/>
              </w:rPr>
            </w:pPr>
            <w:r>
              <w:rPr>
                <w:rFonts w:hint="eastAsia" w:ascii="Times New Roman" w:hAnsi="宋体"/>
                <w:sz w:val="20"/>
                <w:szCs w:val="20"/>
              </w:rPr>
              <w:t>序号</w:t>
            </w:r>
          </w:p>
        </w:tc>
        <w:tc>
          <w:tcPr>
            <w:tcW w:w="1704" w:type="dxa"/>
            <w:vAlign w:val="center"/>
          </w:tcPr>
          <w:p w14:paraId="0FA834CD">
            <w:pPr>
              <w:spacing w:line="400" w:lineRule="exact"/>
              <w:jc w:val="center"/>
              <w:rPr>
                <w:rFonts w:ascii="Times New Roman" w:hAnsi="Times New Roman"/>
                <w:sz w:val="20"/>
                <w:szCs w:val="20"/>
              </w:rPr>
            </w:pPr>
            <w:r>
              <w:rPr>
                <w:rFonts w:hint="eastAsia" w:ascii="Times New Roman" w:hAnsi="宋体"/>
                <w:sz w:val="20"/>
                <w:szCs w:val="20"/>
              </w:rPr>
              <w:t>招标文件条目号</w:t>
            </w:r>
          </w:p>
        </w:tc>
        <w:tc>
          <w:tcPr>
            <w:tcW w:w="1466" w:type="dxa"/>
            <w:vAlign w:val="center"/>
          </w:tcPr>
          <w:p w14:paraId="0AD9C9AC">
            <w:pPr>
              <w:spacing w:line="400" w:lineRule="exact"/>
              <w:jc w:val="center"/>
              <w:rPr>
                <w:rFonts w:ascii="Times New Roman" w:hAnsi="Times New Roman"/>
                <w:sz w:val="20"/>
                <w:szCs w:val="20"/>
              </w:rPr>
            </w:pPr>
            <w:r>
              <w:rPr>
                <w:rFonts w:hint="eastAsia" w:ascii="Times New Roman" w:hAnsi="宋体"/>
                <w:sz w:val="20"/>
                <w:szCs w:val="20"/>
              </w:rPr>
              <w:t>招标要求</w:t>
            </w:r>
          </w:p>
        </w:tc>
        <w:tc>
          <w:tcPr>
            <w:tcW w:w="3103" w:type="dxa"/>
            <w:vAlign w:val="center"/>
          </w:tcPr>
          <w:p w14:paraId="343E45C5">
            <w:pPr>
              <w:spacing w:line="400" w:lineRule="exact"/>
              <w:jc w:val="center"/>
              <w:rPr>
                <w:rFonts w:ascii="Times New Roman" w:hAnsi="Times New Roman"/>
                <w:sz w:val="20"/>
                <w:szCs w:val="20"/>
              </w:rPr>
            </w:pPr>
            <w:r>
              <w:rPr>
                <w:rFonts w:hint="eastAsia" w:ascii="Times New Roman" w:hAnsi="宋体"/>
                <w:sz w:val="20"/>
                <w:szCs w:val="20"/>
              </w:rPr>
              <w:t>投标应答</w:t>
            </w:r>
          </w:p>
        </w:tc>
        <w:tc>
          <w:tcPr>
            <w:tcW w:w="1587" w:type="dxa"/>
            <w:vAlign w:val="center"/>
          </w:tcPr>
          <w:p w14:paraId="43FB6DD2">
            <w:pPr>
              <w:spacing w:line="400" w:lineRule="exact"/>
              <w:jc w:val="center"/>
              <w:rPr>
                <w:rFonts w:ascii="Times New Roman" w:hAnsi="Times New Roman"/>
                <w:sz w:val="20"/>
                <w:szCs w:val="20"/>
              </w:rPr>
            </w:pPr>
            <w:r>
              <w:rPr>
                <w:rFonts w:hint="eastAsia" w:ascii="Times New Roman" w:hAnsi="宋体"/>
                <w:sz w:val="20"/>
                <w:szCs w:val="20"/>
              </w:rPr>
              <w:t>响应</w:t>
            </w:r>
            <w:r>
              <w:rPr>
                <w:rFonts w:ascii="Times New Roman" w:hAnsi="Times New Roman"/>
                <w:sz w:val="20"/>
                <w:szCs w:val="20"/>
              </w:rPr>
              <w:t>/</w:t>
            </w:r>
            <w:r>
              <w:rPr>
                <w:rFonts w:hint="eastAsia" w:ascii="Times New Roman" w:hAnsi="宋体"/>
                <w:sz w:val="20"/>
                <w:szCs w:val="20"/>
              </w:rPr>
              <w:t>偏离</w:t>
            </w:r>
          </w:p>
        </w:tc>
      </w:tr>
      <w:tr w14:paraId="7AB3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960" w:type="dxa"/>
          </w:tcPr>
          <w:p w14:paraId="36AD490B">
            <w:pPr>
              <w:spacing w:line="400" w:lineRule="exact"/>
              <w:jc w:val="center"/>
              <w:rPr>
                <w:rFonts w:ascii="Times New Roman" w:hAnsi="Times New Roman"/>
                <w:sz w:val="28"/>
                <w:szCs w:val="21"/>
              </w:rPr>
            </w:pPr>
          </w:p>
        </w:tc>
        <w:tc>
          <w:tcPr>
            <w:tcW w:w="1704" w:type="dxa"/>
          </w:tcPr>
          <w:p w14:paraId="1D31A3A1">
            <w:pPr>
              <w:spacing w:line="400" w:lineRule="exact"/>
              <w:jc w:val="center"/>
              <w:rPr>
                <w:rFonts w:ascii="Times New Roman" w:hAnsi="Times New Roman"/>
                <w:sz w:val="28"/>
                <w:szCs w:val="21"/>
              </w:rPr>
            </w:pPr>
          </w:p>
        </w:tc>
        <w:tc>
          <w:tcPr>
            <w:tcW w:w="1466" w:type="dxa"/>
          </w:tcPr>
          <w:p w14:paraId="1C2C694A">
            <w:pPr>
              <w:spacing w:line="400" w:lineRule="exact"/>
              <w:jc w:val="center"/>
              <w:rPr>
                <w:rFonts w:ascii="Times New Roman" w:hAnsi="Times New Roman"/>
                <w:sz w:val="28"/>
                <w:szCs w:val="21"/>
              </w:rPr>
            </w:pPr>
          </w:p>
        </w:tc>
        <w:tc>
          <w:tcPr>
            <w:tcW w:w="3103" w:type="dxa"/>
          </w:tcPr>
          <w:p w14:paraId="38D5F9B8">
            <w:pPr>
              <w:spacing w:line="400" w:lineRule="exact"/>
              <w:ind w:left="370" w:hanging="369" w:hangingChars="132"/>
              <w:jc w:val="center"/>
              <w:rPr>
                <w:rFonts w:ascii="Times New Roman" w:hAnsi="Times New Roman"/>
                <w:sz w:val="28"/>
                <w:szCs w:val="21"/>
              </w:rPr>
            </w:pPr>
          </w:p>
        </w:tc>
        <w:tc>
          <w:tcPr>
            <w:tcW w:w="1587" w:type="dxa"/>
          </w:tcPr>
          <w:p w14:paraId="01367C3B">
            <w:pPr>
              <w:spacing w:line="400" w:lineRule="exact"/>
              <w:ind w:left="370" w:hanging="369" w:hangingChars="132"/>
              <w:jc w:val="center"/>
              <w:rPr>
                <w:rFonts w:ascii="Times New Roman" w:hAnsi="Times New Roman"/>
                <w:sz w:val="28"/>
                <w:szCs w:val="21"/>
              </w:rPr>
            </w:pPr>
          </w:p>
        </w:tc>
      </w:tr>
      <w:tr w14:paraId="49FF4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960" w:type="dxa"/>
          </w:tcPr>
          <w:p w14:paraId="0B8659C6">
            <w:pPr>
              <w:spacing w:line="400" w:lineRule="exact"/>
              <w:jc w:val="center"/>
              <w:rPr>
                <w:rFonts w:ascii="Times New Roman" w:hAnsi="Times New Roman"/>
                <w:sz w:val="28"/>
                <w:szCs w:val="21"/>
              </w:rPr>
            </w:pPr>
          </w:p>
        </w:tc>
        <w:tc>
          <w:tcPr>
            <w:tcW w:w="1704" w:type="dxa"/>
          </w:tcPr>
          <w:p w14:paraId="3CDE71AD">
            <w:pPr>
              <w:spacing w:line="400" w:lineRule="exact"/>
              <w:jc w:val="center"/>
              <w:rPr>
                <w:rFonts w:ascii="Times New Roman" w:hAnsi="Times New Roman"/>
                <w:sz w:val="28"/>
                <w:szCs w:val="21"/>
              </w:rPr>
            </w:pPr>
          </w:p>
        </w:tc>
        <w:tc>
          <w:tcPr>
            <w:tcW w:w="1466" w:type="dxa"/>
          </w:tcPr>
          <w:p w14:paraId="47A41741">
            <w:pPr>
              <w:spacing w:line="400" w:lineRule="exact"/>
              <w:jc w:val="center"/>
              <w:rPr>
                <w:rFonts w:ascii="Times New Roman" w:hAnsi="Times New Roman"/>
                <w:sz w:val="28"/>
                <w:szCs w:val="21"/>
              </w:rPr>
            </w:pPr>
          </w:p>
        </w:tc>
        <w:tc>
          <w:tcPr>
            <w:tcW w:w="3103" w:type="dxa"/>
          </w:tcPr>
          <w:p w14:paraId="17148FFC">
            <w:pPr>
              <w:spacing w:line="400" w:lineRule="exact"/>
              <w:jc w:val="center"/>
              <w:rPr>
                <w:rFonts w:ascii="Times New Roman" w:hAnsi="Times New Roman"/>
                <w:sz w:val="28"/>
                <w:szCs w:val="21"/>
              </w:rPr>
            </w:pPr>
          </w:p>
        </w:tc>
        <w:tc>
          <w:tcPr>
            <w:tcW w:w="1587" w:type="dxa"/>
          </w:tcPr>
          <w:p w14:paraId="206EB0B9">
            <w:pPr>
              <w:spacing w:line="400" w:lineRule="exact"/>
              <w:jc w:val="center"/>
              <w:rPr>
                <w:rFonts w:ascii="Times New Roman" w:hAnsi="Times New Roman"/>
                <w:sz w:val="28"/>
                <w:szCs w:val="21"/>
              </w:rPr>
            </w:pPr>
          </w:p>
        </w:tc>
      </w:tr>
      <w:tr w14:paraId="1BE20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8" w:hRule="atLeast"/>
        </w:trPr>
        <w:tc>
          <w:tcPr>
            <w:tcW w:w="960" w:type="dxa"/>
          </w:tcPr>
          <w:p w14:paraId="120B4654">
            <w:pPr>
              <w:spacing w:line="400" w:lineRule="exact"/>
              <w:jc w:val="center"/>
              <w:rPr>
                <w:rFonts w:ascii="Times New Roman" w:hAnsi="Times New Roman"/>
                <w:sz w:val="28"/>
                <w:szCs w:val="21"/>
              </w:rPr>
            </w:pPr>
          </w:p>
        </w:tc>
        <w:tc>
          <w:tcPr>
            <w:tcW w:w="1704" w:type="dxa"/>
          </w:tcPr>
          <w:p w14:paraId="3F59D5EC">
            <w:pPr>
              <w:spacing w:line="400" w:lineRule="exact"/>
              <w:jc w:val="center"/>
              <w:rPr>
                <w:rFonts w:ascii="Times New Roman" w:hAnsi="Times New Roman"/>
                <w:sz w:val="28"/>
                <w:szCs w:val="21"/>
              </w:rPr>
            </w:pPr>
          </w:p>
        </w:tc>
        <w:tc>
          <w:tcPr>
            <w:tcW w:w="1466" w:type="dxa"/>
          </w:tcPr>
          <w:p w14:paraId="07E72F3B">
            <w:pPr>
              <w:spacing w:line="400" w:lineRule="exact"/>
              <w:jc w:val="center"/>
              <w:rPr>
                <w:rFonts w:ascii="Times New Roman" w:hAnsi="Times New Roman"/>
                <w:sz w:val="28"/>
                <w:szCs w:val="21"/>
              </w:rPr>
            </w:pPr>
          </w:p>
        </w:tc>
        <w:tc>
          <w:tcPr>
            <w:tcW w:w="3103" w:type="dxa"/>
          </w:tcPr>
          <w:p w14:paraId="2395718B">
            <w:pPr>
              <w:spacing w:line="400" w:lineRule="exact"/>
              <w:jc w:val="center"/>
              <w:rPr>
                <w:rFonts w:ascii="Times New Roman" w:hAnsi="Times New Roman"/>
                <w:sz w:val="28"/>
                <w:szCs w:val="21"/>
              </w:rPr>
            </w:pPr>
          </w:p>
        </w:tc>
        <w:tc>
          <w:tcPr>
            <w:tcW w:w="1587" w:type="dxa"/>
          </w:tcPr>
          <w:p w14:paraId="116B6BDE">
            <w:pPr>
              <w:spacing w:line="400" w:lineRule="exact"/>
              <w:jc w:val="center"/>
              <w:rPr>
                <w:rFonts w:ascii="Times New Roman" w:hAnsi="Times New Roman"/>
                <w:sz w:val="28"/>
                <w:szCs w:val="21"/>
              </w:rPr>
            </w:pPr>
          </w:p>
        </w:tc>
      </w:tr>
      <w:tr w14:paraId="74318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960" w:type="dxa"/>
          </w:tcPr>
          <w:p w14:paraId="6C3211C5">
            <w:pPr>
              <w:spacing w:line="400" w:lineRule="exact"/>
              <w:jc w:val="center"/>
              <w:rPr>
                <w:rFonts w:ascii="Times New Roman" w:hAnsi="Times New Roman"/>
                <w:sz w:val="28"/>
                <w:szCs w:val="21"/>
              </w:rPr>
            </w:pPr>
          </w:p>
        </w:tc>
        <w:tc>
          <w:tcPr>
            <w:tcW w:w="1704" w:type="dxa"/>
          </w:tcPr>
          <w:p w14:paraId="36953A38">
            <w:pPr>
              <w:spacing w:line="400" w:lineRule="exact"/>
              <w:jc w:val="center"/>
              <w:rPr>
                <w:rFonts w:ascii="Times New Roman" w:hAnsi="Times New Roman"/>
                <w:sz w:val="28"/>
                <w:szCs w:val="21"/>
              </w:rPr>
            </w:pPr>
          </w:p>
        </w:tc>
        <w:tc>
          <w:tcPr>
            <w:tcW w:w="1466" w:type="dxa"/>
          </w:tcPr>
          <w:p w14:paraId="7CCFFB8B">
            <w:pPr>
              <w:spacing w:line="400" w:lineRule="exact"/>
              <w:jc w:val="center"/>
              <w:rPr>
                <w:rFonts w:ascii="Times New Roman" w:hAnsi="Times New Roman"/>
                <w:sz w:val="28"/>
                <w:szCs w:val="21"/>
              </w:rPr>
            </w:pPr>
          </w:p>
        </w:tc>
        <w:tc>
          <w:tcPr>
            <w:tcW w:w="3103" w:type="dxa"/>
          </w:tcPr>
          <w:p w14:paraId="08944451">
            <w:pPr>
              <w:spacing w:line="400" w:lineRule="exact"/>
              <w:jc w:val="center"/>
              <w:rPr>
                <w:rFonts w:ascii="Times New Roman" w:hAnsi="Times New Roman"/>
                <w:sz w:val="28"/>
                <w:szCs w:val="21"/>
              </w:rPr>
            </w:pPr>
          </w:p>
        </w:tc>
        <w:tc>
          <w:tcPr>
            <w:tcW w:w="1587" w:type="dxa"/>
          </w:tcPr>
          <w:p w14:paraId="44F9F26F">
            <w:pPr>
              <w:spacing w:line="400" w:lineRule="exact"/>
              <w:jc w:val="center"/>
              <w:rPr>
                <w:rFonts w:ascii="Times New Roman" w:hAnsi="Times New Roman"/>
                <w:sz w:val="28"/>
                <w:szCs w:val="21"/>
              </w:rPr>
            </w:pPr>
          </w:p>
        </w:tc>
      </w:tr>
    </w:tbl>
    <w:p w14:paraId="418B707B">
      <w:pPr>
        <w:spacing w:line="400" w:lineRule="exact"/>
        <w:rPr>
          <w:rFonts w:ascii="Times New Roman" w:hAnsi="Times New Roman"/>
          <w:sz w:val="22"/>
          <w:szCs w:val="21"/>
        </w:rPr>
      </w:pPr>
      <w:r>
        <w:rPr>
          <w:rFonts w:hint="eastAsia" w:ascii="Times New Roman" w:hAnsi="宋体"/>
          <w:sz w:val="22"/>
          <w:szCs w:val="21"/>
        </w:rPr>
        <w:t>注：</w:t>
      </w:r>
      <w:r>
        <w:rPr>
          <w:rFonts w:ascii="Times New Roman" w:hAnsi="Times New Roman"/>
          <w:sz w:val="22"/>
          <w:szCs w:val="21"/>
        </w:rPr>
        <w:t>1.</w:t>
      </w:r>
      <w:r>
        <w:rPr>
          <w:rFonts w:hint="eastAsia" w:ascii="Times New Roman" w:hAnsi="宋体"/>
          <w:sz w:val="22"/>
          <w:szCs w:val="21"/>
        </w:rPr>
        <w:t>投标供应商须对商务条款逐条响应，并保证响应的真实性。</w:t>
      </w:r>
    </w:p>
    <w:p w14:paraId="2D55CE23">
      <w:pPr>
        <w:spacing w:line="400" w:lineRule="exact"/>
        <w:ind w:firstLine="480"/>
        <w:rPr>
          <w:rFonts w:ascii="Times New Roman" w:hAnsi="Times New Roman"/>
          <w:sz w:val="22"/>
          <w:szCs w:val="21"/>
        </w:rPr>
      </w:pPr>
      <w:r>
        <w:rPr>
          <w:rFonts w:ascii="Times New Roman" w:hAnsi="Times New Roman"/>
          <w:sz w:val="22"/>
          <w:szCs w:val="21"/>
        </w:rPr>
        <w:t>2.</w:t>
      </w:r>
      <w:r>
        <w:rPr>
          <w:rFonts w:hint="eastAsia" w:ascii="Times New Roman" w:hAnsi="宋体"/>
          <w:sz w:val="22"/>
          <w:szCs w:val="21"/>
        </w:rPr>
        <w:t>投标供应商未按要求响应的，漏项的，自行承担被视为无效投标文件的风险。</w:t>
      </w:r>
    </w:p>
    <w:p w14:paraId="2B13AF60">
      <w:pPr>
        <w:spacing w:line="400" w:lineRule="exact"/>
        <w:ind w:firstLine="480"/>
        <w:rPr>
          <w:rFonts w:ascii="Times New Roman" w:hAnsi="Times New Roman"/>
          <w:sz w:val="22"/>
          <w:szCs w:val="21"/>
        </w:rPr>
      </w:pPr>
      <w:r>
        <w:rPr>
          <w:rFonts w:ascii="Times New Roman" w:hAnsi="Times New Roman"/>
          <w:sz w:val="22"/>
          <w:szCs w:val="21"/>
        </w:rPr>
        <w:t>3.</w:t>
      </w:r>
      <w:r>
        <w:rPr>
          <w:rFonts w:hint="eastAsia" w:ascii="Times New Roman" w:hAnsi="宋体"/>
          <w:sz w:val="22"/>
          <w:szCs w:val="21"/>
        </w:rPr>
        <w:t>商务条款不允许负偏离。</w:t>
      </w:r>
    </w:p>
    <w:p w14:paraId="65D5247C">
      <w:pPr>
        <w:spacing w:line="400" w:lineRule="exact"/>
        <w:ind w:left="634" w:leftChars="57" w:hanging="440" w:hangingChars="200"/>
        <w:rPr>
          <w:rFonts w:ascii="Times New Roman" w:hAnsi="Times New Roman"/>
          <w:sz w:val="22"/>
          <w:szCs w:val="21"/>
        </w:rPr>
      </w:pPr>
    </w:p>
    <w:p w14:paraId="471E8A51">
      <w:pPr>
        <w:adjustRightInd w:val="0"/>
        <w:spacing w:line="400" w:lineRule="exact"/>
        <w:ind w:firstLine="420" w:firstLineChars="175"/>
        <w:jc w:val="left"/>
        <w:rPr>
          <w:rFonts w:ascii="Times New Roman" w:hAnsi="Times New Roman"/>
          <w:bCs/>
          <w:sz w:val="24"/>
          <w:szCs w:val="24"/>
        </w:rPr>
      </w:pPr>
    </w:p>
    <w:p w14:paraId="5E26D286">
      <w:pPr>
        <w:adjustRightInd w:val="0"/>
        <w:spacing w:line="400" w:lineRule="exact"/>
        <w:ind w:firstLine="385" w:firstLineChars="175"/>
        <w:jc w:val="left"/>
        <w:rPr>
          <w:rFonts w:ascii="Times New Roman" w:hAnsi="Times New Roman"/>
          <w:bCs/>
          <w:sz w:val="22"/>
          <w:szCs w:val="21"/>
        </w:rPr>
      </w:pPr>
      <w:r>
        <w:rPr>
          <w:rFonts w:hint="eastAsia" w:ascii="Times New Roman" w:hAnsi="宋体"/>
          <w:bCs/>
          <w:sz w:val="22"/>
          <w:szCs w:val="21"/>
        </w:rPr>
        <w:t>投标人名称：（盖公章）</w:t>
      </w:r>
    </w:p>
    <w:p w14:paraId="5B184A5F">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法定代表人或委托代理人（签字或盖章）：</w:t>
      </w:r>
    </w:p>
    <w:p w14:paraId="66A0564F">
      <w:pPr>
        <w:adjustRightInd w:val="0"/>
        <w:spacing w:line="400" w:lineRule="exact"/>
        <w:ind w:firstLine="385" w:firstLineChars="175"/>
        <w:jc w:val="left"/>
        <w:rPr>
          <w:rFonts w:ascii="Times New Roman" w:hAnsi="Times New Roman"/>
          <w:bCs/>
          <w:sz w:val="22"/>
          <w:szCs w:val="21"/>
        </w:rPr>
      </w:pPr>
      <w:r>
        <w:rPr>
          <w:rFonts w:hint="eastAsia" w:ascii="Times New Roman" w:hAnsi="宋体"/>
          <w:bCs/>
          <w:sz w:val="22"/>
          <w:szCs w:val="21"/>
        </w:rPr>
        <w:t>日期</w:t>
      </w:r>
      <w:r>
        <w:rPr>
          <w:rFonts w:ascii="Times New Roman" w:hAnsi="Times New Roman"/>
          <w:bCs/>
          <w:sz w:val="22"/>
          <w:szCs w:val="21"/>
        </w:rPr>
        <w:t>:</w:t>
      </w:r>
    </w:p>
    <w:p w14:paraId="72C10A4E">
      <w:pPr>
        <w:spacing w:line="400" w:lineRule="exact"/>
        <w:rPr>
          <w:rFonts w:ascii="Times New Roman" w:hAnsi="Times New Roman"/>
          <w:bCs/>
          <w:sz w:val="24"/>
          <w:szCs w:val="24"/>
        </w:rPr>
      </w:pPr>
    </w:p>
    <w:p w14:paraId="0F8573D7">
      <w:pPr>
        <w:spacing w:line="400" w:lineRule="exact"/>
        <w:rPr>
          <w:rFonts w:ascii="Times New Roman" w:hAnsi="Times New Roman"/>
          <w:bCs/>
          <w:sz w:val="24"/>
          <w:szCs w:val="24"/>
        </w:rPr>
      </w:pPr>
    </w:p>
    <w:p w14:paraId="22670BE7">
      <w:pPr>
        <w:spacing w:line="400" w:lineRule="exact"/>
        <w:rPr>
          <w:rFonts w:ascii="Times New Roman" w:hAnsi="Times New Roman"/>
          <w:bCs/>
          <w:sz w:val="24"/>
          <w:szCs w:val="24"/>
        </w:rPr>
      </w:pPr>
    </w:p>
    <w:p w14:paraId="5F39C256">
      <w:pPr>
        <w:spacing w:line="360" w:lineRule="auto"/>
        <w:rPr>
          <w:rFonts w:ascii="Times New Roman" w:hAnsi="Times New Roman"/>
          <w:b/>
          <w:sz w:val="28"/>
          <w:szCs w:val="28"/>
        </w:rPr>
      </w:pPr>
      <w:r>
        <w:rPr>
          <w:rFonts w:ascii="Times New Roman" w:hAnsi="Times New Roman"/>
          <w:sz w:val="22"/>
          <w:szCs w:val="21"/>
        </w:rPr>
        <w:br w:type="page"/>
      </w:r>
      <w:r>
        <w:rPr>
          <w:rFonts w:hint="eastAsia" w:ascii="Times New Roman" w:hAnsi="宋体"/>
          <w:b/>
          <w:sz w:val="28"/>
          <w:szCs w:val="28"/>
        </w:rPr>
        <w:t>格式</w:t>
      </w:r>
      <w:r>
        <w:rPr>
          <w:rFonts w:ascii="Times New Roman" w:hAnsi="Times New Roman"/>
          <w:b/>
          <w:sz w:val="28"/>
          <w:szCs w:val="28"/>
        </w:rPr>
        <w:t>2-8</w:t>
      </w:r>
    </w:p>
    <w:p w14:paraId="5F3ED69F">
      <w:pPr>
        <w:spacing w:line="360" w:lineRule="atLeast"/>
        <w:jc w:val="center"/>
        <w:outlineLvl w:val="1"/>
        <w:rPr>
          <w:rFonts w:ascii="Times New Roman" w:hAnsi="Times New Roman" w:eastAsia="黑体"/>
          <w:b/>
          <w:sz w:val="28"/>
          <w:szCs w:val="28"/>
        </w:rPr>
      </w:pPr>
      <w:r>
        <w:rPr>
          <w:rFonts w:hint="eastAsia" w:ascii="Times New Roman" w:hAnsi="Times New Roman" w:eastAsia="黑体"/>
          <w:b/>
          <w:sz w:val="28"/>
          <w:szCs w:val="28"/>
        </w:rPr>
        <w:t>七、投标人基本情况表</w:t>
      </w:r>
    </w:p>
    <w:tbl>
      <w:tblPr>
        <w:tblStyle w:val="16"/>
        <w:tblW w:w="8215"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58"/>
        <w:gridCol w:w="692"/>
        <w:gridCol w:w="1080"/>
      </w:tblGrid>
      <w:tr w14:paraId="213A753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18" w:space="0"/>
            </w:tcBorders>
            <w:vAlign w:val="center"/>
          </w:tcPr>
          <w:p w14:paraId="596B82FC">
            <w:pPr>
              <w:spacing w:line="360" w:lineRule="atLeast"/>
              <w:jc w:val="left"/>
              <w:outlineLvl w:val="1"/>
              <w:rPr>
                <w:rFonts w:ascii="Times New Roman" w:hAnsi="Times New Roman"/>
                <w:sz w:val="22"/>
                <w:szCs w:val="21"/>
              </w:rPr>
            </w:pPr>
            <w:r>
              <w:rPr>
                <w:rFonts w:hint="eastAsia" w:ascii="Times New Roman" w:hAnsi="Times New Roman"/>
                <w:sz w:val="22"/>
                <w:szCs w:val="21"/>
              </w:rPr>
              <w:t>投标人名称</w:t>
            </w:r>
          </w:p>
        </w:tc>
        <w:tc>
          <w:tcPr>
            <w:tcW w:w="6693" w:type="dxa"/>
            <w:gridSpan w:val="7"/>
            <w:tcBorders>
              <w:top w:val="single" w:color="auto" w:sz="18" w:space="0"/>
            </w:tcBorders>
            <w:vAlign w:val="center"/>
          </w:tcPr>
          <w:p w14:paraId="5C091A9D">
            <w:pPr>
              <w:spacing w:line="360" w:lineRule="atLeast"/>
              <w:ind w:firstLine="431" w:firstLineChars="196"/>
              <w:jc w:val="left"/>
              <w:outlineLvl w:val="1"/>
              <w:rPr>
                <w:rFonts w:ascii="Times New Roman" w:hAnsi="Times New Roman"/>
                <w:sz w:val="22"/>
                <w:szCs w:val="21"/>
              </w:rPr>
            </w:pPr>
          </w:p>
        </w:tc>
      </w:tr>
      <w:tr w14:paraId="43CB51E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14:paraId="348C0913">
            <w:pPr>
              <w:spacing w:line="360" w:lineRule="atLeast"/>
              <w:jc w:val="left"/>
              <w:outlineLvl w:val="1"/>
              <w:rPr>
                <w:rFonts w:ascii="Times New Roman" w:hAnsi="Times New Roman"/>
                <w:sz w:val="22"/>
                <w:szCs w:val="21"/>
              </w:rPr>
            </w:pPr>
            <w:r>
              <w:rPr>
                <w:rFonts w:hint="eastAsia" w:ascii="Times New Roman" w:hAnsi="Times New Roman"/>
                <w:sz w:val="22"/>
                <w:szCs w:val="21"/>
              </w:rPr>
              <w:t>注册地址</w:t>
            </w:r>
          </w:p>
        </w:tc>
        <w:tc>
          <w:tcPr>
            <w:tcW w:w="3443" w:type="dxa"/>
            <w:gridSpan w:val="3"/>
            <w:vAlign w:val="center"/>
          </w:tcPr>
          <w:p w14:paraId="1694F365">
            <w:pPr>
              <w:spacing w:line="360" w:lineRule="atLeast"/>
              <w:ind w:firstLine="431" w:firstLineChars="196"/>
              <w:jc w:val="left"/>
              <w:outlineLvl w:val="1"/>
              <w:rPr>
                <w:rFonts w:ascii="Times New Roman" w:hAnsi="Times New Roman"/>
                <w:sz w:val="22"/>
                <w:szCs w:val="21"/>
              </w:rPr>
            </w:pPr>
          </w:p>
        </w:tc>
        <w:tc>
          <w:tcPr>
            <w:tcW w:w="1320" w:type="dxa"/>
            <w:vAlign w:val="center"/>
          </w:tcPr>
          <w:p w14:paraId="6E1C29B5">
            <w:pPr>
              <w:spacing w:line="360" w:lineRule="atLeast"/>
              <w:jc w:val="left"/>
              <w:outlineLvl w:val="1"/>
              <w:rPr>
                <w:rFonts w:ascii="Times New Roman" w:hAnsi="Times New Roman"/>
                <w:sz w:val="22"/>
                <w:szCs w:val="21"/>
              </w:rPr>
            </w:pPr>
            <w:r>
              <w:rPr>
                <w:rFonts w:hint="eastAsia" w:ascii="Times New Roman" w:hAnsi="Times New Roman"/>
                <w:sz w:val="22"/>
                <w:szCs w:val="21"/>
              </w:rPr>
              <w:t>邮政编码</w:t>
            </w:r>
          </w:p>
        </w:tc>
        <w:tc>
          <w:tcPr>
            <w:tcW w:w="1930" w:type="dxa"/>
            <w:gridSpan w:val="3"/>
            <w:vAlign w:val="center"/>
          </w:tcPr>
          <w:p w14:paraId="02F588A1">
            <w:pPr>
              <w:spacing w:line="360" w:lineRule="atLeast"/>
              <w:ind w:firstLine="431" w:firstLineChars="196"/>
              <w:jc w:val="left"/>
              <w:outlineLvl w:val="1"/>
              <w:rPr>
                <w:rFonts w:ascii="Times New Roman" w:hAnsi="Times New Roman"/>
                <w:sz w:val="22"/>
                <w:szCs w:val="21"/>
              </w:rPr>
            </w:pPr>
          </w:p>
        </w:tc>
      </w:tr>
      <w:tr w14:paraId="1F72C92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Merge w:val="restart"/>
            <w:vAlign w:val="center"/>
          </w:tcPr>
          <w:p w14:paraId="5BA6129F">
            <w:pPr>
              <w:spacing w:line="360" w:lineRule="atLeast"/>
              <w:jc w:val="left"/>
              <w:outlineLvl w:val="1"/>
              <w:rPr>
                <w:rFonts w:ascii="Times New Roman" w:hAnsi="Times New Roman"/>
                <w:sz w:val="22"/>
                <w:szCs w:val="21"/>
              </w:rPr>
            </w:pPr>
            <w:r>
              <w:rPr>
                <w:rFonts w:hint="eastAsia" w:ascii="Times New Roman" w:hAnsi="Times New Roman"/>
                <w:sz w:val="22"/>
                <w:szCs w:val="21"/>
              </w:rPr>
              <w:t>联系方式</w:t>
            </w:r>
          </w:p>
        </w:tc>
        <w:tc>
          <w:tcPr>
            <w:tcW w:w="957" w:type="dxa"/>
            <w:vAlign w:val="center"/>
          </w:tcPr>
          <w:p w14:paraId="3BEFBACE">
            <w:pPr>
              <w:spacing w:line="360" w:lineRule="atLeast"/>
              <w:jc w:val="left"/>
              <w:outlineLvl w:val="1"/>
              <w:rPr>
                <w:rFonts w:ascii="Times New Roman" w:hAnsi="Times New Roman"/>
                <w:sz w:val="22"/>
                <w:szCs w:val="21"/>
              </w:rPr>
            </w:pPr>
            <w:r>
              <w:rPr>
                <w:rFonts w:hint="eastAsia" w:ascii="Times New Roman" w:hAnsi="Times New Roman"/>
                <w:sz w:val="22"/>
                <w:szCs w:val="21"/>
              </w:rPr>
              <w:t>联系人</w:t>
            </w:r>
          </w:p>
        </w:tc>
        <w:tc>
          <w:tcPr>
            <w:tcW w:w="2486" w:type="dxa"/>
            <w:gridSpan w:val="2"/>
            <w:vAlign w:val="center"/>
          </w:tcPr>
          <w:p w14:paraId="12501026">
            <w:pPr>
              <w:spacing w:line="360" w:lineRule="atLeast"/>
              <w:ind w:firstLine="431" w:firstLineChars="196"/>
              <w:jc w:val="left"/>
              <w:outlineLvl w:val="1"/>
              <w:rPr>
                <w:rFonts w:ascii="Times New Roman" w:hAnsi="Times New Roman"/>
                <w:sz w:val="22"/>
                <w:szCs w:val="21"/>
              </w:rPr>
            </w:pPr>
          </w:p>
        </w:tc>
        <w:tc>
          <w:tcPr>
            <w:tcW w:w="1320" w:type="dxa"/>
            <w:vAlign w:val="center"/>
          </w:tcPr>
          <w:p w14:paraId="12BBDA26">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电话</w:t>
            </w:r>
          </w:p>
        </w:tc>
        <w:tc>
          <w:tcPr>
            <w:tcW w:w="1930" w:type="dxa"/>
            <w:gridSpan w:val="3"/>
            <w:vAlign w:val="center"/>
          </w:tcPr>
          <w:p w14:paraId="3E66A72B">
            <w:pPr>
              <w:spacing w:line="360" w:lineRule="atLeast"/>
              <w:ind w:firstLine="431" w:firstLineChars="196"/>
              <w:jc w:val="left"/>
              <w:outlineLvl w:val="1"/>
              <w:rPr>
                <w:rFonts w:ascii="Times New Roman" w:hAnsi="Times New Roman"/>
                <w:sz w:val="22"/>
                <w:szCs w:val="21"/>
              </w:rPr>
            </w:pPr>
          </w:p>
        </w:tc>
      </w:tr>
      <w:tr w14:paraId="334E79A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522" w:type="dxa"/>
            <w:vMerge w:val="continue"/>
            <w:vAlign w:val="center"/>
          </w:tcPr>
          <w:p w14:paraId="54FE148F">
            <w:pPr>
              <w:rPr>
                <w:rFonts w:ascii="Times New Roman" w:hAnsi="Times New Roman"/>
                <w:sz w:val="32"/>
                <w:szCs w:val="21"/>
              </w:rPr>
            </w:pPr>
          </w:p>
        </w:tc>
        <w:tc>
          <w:tcPr>
            <w:tcW w:w="957" w:type="dxa"/>
            <w:vAlign w:val="center"/>
          </w:tcPr>
          <w:p w14:paraId="0BE10704">
            <w:pPr>
              <w:spacing w:line="360" w:lineRule="atLeast"/>
              <w:jc w:val="left"/>
              <w:outlineLvl w:val="1"/>
              <w:rPr>
                <w:rFonts w:ascii="Times New Roman" w:hAnsi="Times New Roman"/>
                <w:sz w:val="22"/>
                <w:szCs w:val="21"/>
              </w:rPr>
            </w:pPr>
            <w:r>
              <w:rPr>
                <w:rFonts w:hint="eastAsia" w:ascii="Times New Roman" w:hAnsi="Times New Roman"/>
                <w:sz w:val="22"/>
                <w:szCs w:val="21"/>
              </w:rPr>
              <w:t>传真</w:t>
            </w:r>
          </w:p>
        </w:tc>
        <w:tc>
          <w:tcPr>
            <w:tcW w:w="2486" w:type="dxa"/>
            <w:gridSpan w:val="2"/>
            <w:vAlign w:val="center"/>
          </w:tcPr>
          <w:p w14:paraId="35122E80">
            <w:pPr>
              <w:spacing w:line="360" w:lineRule="atLeast"/>
              <w:ind w:firstLine="431" w:firstLineChars="196"/>
              <w:jc w:val="left"/>
              <w:outlineLvl w:val="1"/>
              <w:rPr>
                <w:rFonts w:ascii="Times New Roman" w:hAnsi="Times New Roman"/>
                <w:sz w:val="22"/>
                <w:szCs w:val="21"/>
              </w:rPr>
            </w:pPr>
          </w:p>
        </w:tc>
        <w:tc>
          <w:tcPr>
            <w:tcW w:w="1320" w:type="dxa"/>
            <w:vAlign w:val="center"/>
          </w:tcPr>
          <w:p w14:paraId="21C32B1B">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网址</w:t>
            </w:r>
          </w:p>
        </w:tc>
        <w:tc>
          <w:tcPr>
            <w:tcW w:w="1930" w:type="dxa"/>
            <w:gridSpan w:val="3"/>
            <w:vAlign w:val="center"/>
          </w:tcPr>
          <w:p w14:paraId="076CF7BA">
            <w:pPr>
              <w:spacing w:line="360" w:lineRule="atLeast"/>
              <w:ind w:firstLine="431" w:firstLineChars="196"/>
              <w:jc w:val="left"/>
              <w:outlineLvl w:val="1"/>
              <w:rPr>
                <w:rFonts w:ascii="Times New Roman" w:hAnsi="Times New Roman"/>
                <w:sz w:val="22"/>
                <w:szCs w:val="21"/>
              </w:rPr>
            </w:pPr>
          </w:p>
        </w:tc>
      </w:tr>
      <w:tr w14:paraId="6B32807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14:paraId="39CD4DB9">
            <w:pPr>
              <w:spacing w:line="360" w:lineRule="atLeast"/>
              <w:jc w:val="left"/>
              <w:outlineLvl w:val="1"/>
              <w:rPr>
                <w:rFonts w:ascii="Times New Roman" w:hAnsi="Times New Roman"/>
                <w:sz w:val="22"/>
                <w:szCs w:val="21"/>
              </w:rPr>
            </w:pPr>
            <w:r>
              <w:rPr>
                <w:rFonts w:hint="eastAsia" w:ascii="Times New Roman" w:hAnsi="Times New Roman"/>
                <w:sz w:val="22"/>
                <w:szCs w:val="21"/>
              </w:rPr>
              <w:t>组织结构</w:t>
            </w:r>
          </w:p>
        </w:tc>
        <w:tc>
          <w:tcPr>
            <w:tcW w:w="6693" w:type="dxa"/>
            <w:gridSpan w:val="7"/>
            <w:vAlign w:val="center"/>
          </w:tcPr>
          <w:p w14:paraId="495F9C30">
            <w:pPr>
              <w:spacing w:line="360" w:lineRule="atLeast"/>
              <w:ind w:firstLine="431" w:firstLineChars="196"/>
              <w:jc w:val="left"/>
              <w:outlineLvl w:val="1"/>
              <w:rPr>
                <w:rFonts w:ascii="Times New Roman" w:hAnsi="Times New Roman"/>
                <w:sz w:val="22"/>
                <w:szCs w:val="21"/>
              </w:rPr>
            </w:pPr>
          </w:p>
        </w:tc>
      </w:tr>
      <w:tr w14:paraId="3C3F525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522" w:type="dxa"/>
            <w:vAlign w:val="center"/>
          </w:tcPr>
          <w:p w14:paraId="4EAB0ED1">
            <w:pPr>
              <w:spacing w:line="360" w:lineRule="atLeast"/>
              <w:jc w:val="left"/>
              <w:outlineLvl w:val="1"/>
              <w:rPr>
                <w:rFonts w:ascii="Times New Roman" w:hAnsi="Times New Roman"/>
                <w:sz w:val="22"/>
                <w:szCs w:val="21"/>
              </w:rPr>
            </w:pPr>
            <w:r>
              <w:rPr>
                <w:rFonts w:hint="eastAsia" w:ascii="Times New Roman" w:hAnsi="Times New Roman"/>
                <w:sz w:val="22"/>
                <w:szCs w:val="21"/>
              </w:rPr>
              <w:t>法定代表人</w:t>
            </w:r>
          </w:p>
        </w:tc>
        <w:tc>
          <w:tcPr>
            <w:tcW w:w="957" w:type="dxa"/>
            <w:vAlign w:val="center"/>
          </w:tcPr>
          <w:p w14:paraId="507B4DB8">
            <w:pPr>
              <w:spacing w:line="360" w:lineRule="atLeast"/>
              <w:jc w:val="left"/>
              <w:outlineLvl w:val="1"/>
              <w:rPr>
                <w:rFonts w:ascii="Times New Roman" w:hAnsi="Times New Roman"/>
                <w:sz w:val="22"/>
                <w:szCs w:val="21"/>
              </w:rPr>
            </w:pPr>
            <w:r>
              <w:rPr>
                <w:rFonts w:hint="eastAsia" w:ascii="Times New Roman" w:hAnsi="Times New Roman"/>
                <w:sz w:val="22"/>
                <w:szCs w:val="21"/>
              </w:rPr>
              <w:t>姓名</w:t>
            </w:r>
          </w:p>
        </w:tc>
        <w:tc>
          <w:tcPr>
            <w:tcW w:w="1239" w:type="dxa"/>
            <w:vAlign w:val="center"/>
          </w:tcPr>
          <w:p w14:paraId="1D82D91A">
            <w:pPr>
              <w:spacing w:line="360" w:lineRule="atLeast"/>
              <w:ind w:firstLine="431" w:firstLineChars="196"/>
              <w:jc w:val="left"/>
              <w:outlineLvl w:val="1"/>
              <w:rPr>
                <w:rFonts w:ascii="Times New Roman" w:hAnsi="Times New Roman"/>
                <w:sz w:val="22"/>
                <w:szCs w:val="21"/>
              </w:rPr>
            </w:pPr>
          </w:p>
        </w:tc>
        <w:tc>
          <w:tcPr>
            <w:tcW w:w="1247" w:type="dxa"/>
            <w:vAlign w:val="center"/>
          </w:tcPr>
          <w:p w14:paraId="2F04E70F">
            <w:pPr>
              <w:spacing w:line="360" w:lineRule="atLeast"/>
              <w:jc w:val="left"/>
              <w:outlineLvl w:val="1"/>
              <w:rPr>
                <w:rFonts w:ascii="Times New Roman" w:hAnsi="Times New Roman"/>
                <w:sz w:val="22"/>
                <w:szCs w:val="21"/>
              </w:rPr>
            </w:pPr>
            <w:r>
              <w:rPr>
                <w:rFonts w:hint="eastAsia" w:ascii="Times New Roman" w:hAnsi="Times New Roman"/>
                <w:sz w:val="22"/>
                <w:szCs w:val="21"/>
              </w:rPr>
              <w:t>技术职称</w:t>
            </w:r>
          </w:p>
        </w:tc>
        <w:tc>
          <w:tcPr>
            <w:tcW w:w="1320" w:type="dxa"/>
            <w:vAlign w:val="center"/>
          </w:tcPr>
          <w:p w14:paraId="4B5AB87C">
            <w:pPr>
              <w:spacing w:line="360" w:lineRule="atLeast"/>
              <w:ind w:firstLine="431" w:firstLineChars="196"/>
              <w:jc w:val="left"/>
              <w:outlineLvl w:val="1"/>
              <w:rPr>
                <w:rFonts w:ascii="Times New Roman" w:hAnsi="Times New Roman"/>
                <w:sz w:val="22"/>
                <w:szCs w:val="21"/>
              </w:rPr>
            </w:pPr>
          </w:p>
        </w:tc>
        <w:tc>
          <w:tcPr>
            <w:tcW w:w="850" w:type="dxa"/>
            <w:gridSpan w:val="2"/>
            <w:vAlign w:val="center"/>
          </w:tcPr>
          <w:p w14:paraId="7F0814FF">
            <w:pPr>
              <w:spacing w:line="360" w:lineRule="atLeast"/>
              <w:jc w:val="left"/>
              <w:outlineLvl w:val="1"/>
              <w:rPr>
                <w:rFonts w:ascii="Times New Roman" w:hAnsi="Times New Roman"/>
                <w:sz w:val="22"/>
                <w:szCs w:val="21"/>
              </w:rPr>
            </w:pPr>
            <w:r>
              <w:rPr>
                <w:rFonts w:hint="eastAsia" w:ascii="Times New Roman" w:hAnsi="Times New Roman"/>
                <w:sz w:val="22"/>
                <w:szCs w:val="21"/>
              </w:rPr>
              <w:t>电话</w:t>
            </w:r>
          </w:p>
        </w:tc>
        <w:tc>
          <w:tcPr>
            <w:tcW w:w="1080" w:type="dxa"/>
            <w:vAlign w:val="center"/>
          </w:tcPr>
          <w:p w14:paraId="68A3A86E">
            <w:pPr>
              <w:spacing w:line="360" w:lineRule="atLeast"/>
              <w:ind w:firstLine="431" w:firstLineChars="196"/>
              <w:jc w:val="left"/>
              <w:outlineLvl w:val="1"/>
              <w:rPr>
                <w:rFonts w:ascii="Times New Roman" w:hAnsi="Times New Roman"/>
                <w:sz w:val="22"/>
                <w:szCs w:val="21"/>
              </w:rPr>
            </w:pPr>
          </w:p>
        </w:tc>
      </w:tr>
      <w:tr w14:paraId="77C47B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522" w:type="dxa"/>
            <w:vAlign w:val="center"/>
          </w:tcPr>
          <w:p w14:paraId="2A02C036">
            <w:pPr>
              <w:spacing w:line="360" w:lineRule="atLeast"/>
              <w:jc w:val="left"/>
              <w:outlineLvl w:val="1"/>
              <w:rPr>
                <w:rFonts w:ascii="Times New Roman" w:hAnsi="Times New Roman"/>
                <w:sz w:val="22"/>
                <w:szCs w:val="21"/>
              </w:rPr>
            </w:pPr>
            <w:r>
              <w:rPr>
                <w:rFonts w:hint="eastAsia" w:ascii="Times New Roman" w:hAnsi="Times New Roman"/>
                <w:sz w:val="22"/>
                <w:szCs w:val="21"/>
              </w:rPr>
              <w:t>技术负责人</w:t>
            </w:r>
          </w:p>
        </w:tc>
        <w:tc>
          <w:tcPr>
            <w:tcW w:w="957" w:type="dxa"/>
            <w:vAlign w:val="center"/>
          </w:tcPr>
          <w:p w14:paraId="2258D6A7">
            <w:pPr>
              <w:spacing w:line="360" w:lineRule="atLeast"/>
              <w:jc w:val="left"/>
              <w:outlineLvl w:val="1"/>
              <w:rPr>
                <w:rFonts w:ascii="Times New Roman" w:hAnsi="Times New Roman"/>
                <w:sz w:val="22"/>
                <w:szCs w:val="21"/>
              </w:rPr>
            </w:pPr>
            <w:r>
              <w:rPr>
                <w:rFonts w:hint="eastAsia" w:ascii="Times New Roman" w:hAnsi="Times New Roman"/>
                <w:sz w:val="22"/>
                <w:szCs w:val="21"/>
              </w:rPr>
              <w:t>姓名</w:t>
            </w:r>
          </w:p>
        </w:tc>
        <w:tc>
          <w:tcPr>
            <w:tcW w:w="1239" w:type="dxa"/>
            <w:vAlign w:val="center"/>
          </w:tcPr>
          <w:p w14:paraId="2048D977">
            <w:pPr>
              <w:spacing w:line="360" w:lineRule="atLeast"/>
              <w:ind w:firstLine="431" w:firstLineChars="196"/>
              <w:jc w:val="left"/>
              <w:outlineLvl w:val="1"/>
              <w:rPr>
                <w:rFonts w:ascii="Times New Roman" w:hAnsi="Times New Roman"/>
                <w:sz w:val="22"/>
                <w:szCs w:val="21"/>
              </w:rPr>
            </w:pPr>
          </w:p>
        </w:tc>
        <w:tc>
          <w:tcPr>
            <w:tcW w:w="1247" w:type="dxa"/>
            <w:vAlign w:val="center"/>
          </w:tcPr>
          <w:p w14:paraId="33737741">
            <w:pPr>
              <w:spacing w:line="360" w:lineRule="atLeast"/>
              <w:jc w:val="left"/>
              <w:outlineLvl w:val="1"/>
              <w:rPr>
                <w:rFonts w:ascii="Times New Roman" w:hAnsi="Times New Roman"/>
                <w:sz w:val="22"/>
                <w:szCs w:val="21"/>
              </w:rPr>
            </w:pPr>
            <w:r>
              <w:rPr>
                <w:rFonts w:hint="eastAsia" w:ascii="Times New Roman" w:hAnsi="Times New Roman"/>
                <w:sz w:val="22"/>
                <w:szCs w:val="21"/>
              </w:rPr>
              <w:t>技术职称</w:t>
            </w:r>
          </w:p>
        </w:tc>
        <w:tc>
          <w:tcPr>
            <w:tcW w:w="1320" w:type="dxa"/>
            <w:vAlign w:val="center"/>
          </w:tcPr>
          <w:p w14:paraId="17B39A90">
            <w:pPr>
              <w:spacing w:line="360" w:lineRule="atLeast"/>
              <w:ind w:firstLine="431" w:firstLineChars="196"/>
              <w:jc w:val="left"/>
              <w:outlineLvl w:val="1"/>
              <w:rPr>
                <w:rFonts w:ascii="Times New Roman" w:hAnsi="Times New Roman"/>
                <w:sz w:val="22"/>
                <w:szCs w:val="21"/>
              </w:rPr>
            </w:pPr>
          </w:p>
        </w:tc>
        <w:tc>
          <w:tcPr>
            <w:tcW w:w="850" w:type="dxa"/>
            <w:gridSpan w:val="2"/>
            <w:vAlign w:val="center"/>
          </w:tcPr>
          <w:p w14:paraId="617C718F">
            <w:pPr>
              <w:spacing w:line="360" w:lineRule="atLeast"/>
              <w:jc w:val="left"/>
              <w:outlineLvl w:val="1"/>
              <w:rPr>
                <w:rFonts w:ascii="Times New Roman" w:hAnsi="Times New Roman"/>
                <w:sz w:val="22"/>
                <w:szCs w:val="21"/>
              </w:rPr>
            </w:pPr>
            <w:r>
              <w:rPr>
                <w:rFonts w:hint="eastAsia" w:ascii="Times New Roman" w:hAnsi="Times New Roman"/>
                <w:sz w:val="22"/>
                <w:szCs w:val="21"/>
              </w:rPr>
              <w:t>电话</w:t>
            </w:r>
          </w:p>
        </w:tc>
        <w:tc>
          <w:tcPr>
            <w:tcW w:w="1080" w:type="dxa"/>
            <w:vAlign w:val="center"/>
          </w:tcPr>
          <w:p w14:paraId="776CFB64">
            <w:pPr>
              <w:spacing w:line="360" w:lineRule="atLeast"/>
              <w:ind w:firstLine="431" w:firstLineChars="196"/>
              <w:jc w:val="left"/>
              <w:outlineLvl w:val="1"/>
              <w:rPr>
                <w:rFonts w:ascii="Times New Roman" w:hAnsi="Times New Roman"/>
                <w:sz w:val="22"/>
                <w:szCs w:val="21"/>
              </w:rPr>
            </w:pPr>
          </w:p>
        </w:tc>
      </w:tr>
      <w:tr w14:paraId="71F8C7B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14:paraId="40B56E4F">
            <w:pPr>
              <w:spacing w:line="360" w:lineRule="atLeast"/>
              <w:jc w:val="left"/>
              <w:outlineLvl w:val="1"/>
              <w:rPr>
                <w:rFonts w:ascii="Times New Roman" w:hAnsi="Times New Roman"/>
                <w:sz w:val="22"/>
                <w:szCs w:val="21"/>
              </w:rPr>
            </w:pPr>
            <w:r>
              <w:rPr>
                <w:rFonts w:hint="eastAsia" w:ascii="Times New Roman" w:hAnsi="Times New Roman"/>
                <w:sz w:val="22"/>
                <w:szCs w:val="21"/>
              </w:rPr>
              <w:t>成立时间</w:t>
            </w:r>
          </w:p>
        </w:tc>
        <w:tc>
          <w:tcPr>
            <w:tcW w:w="2196" w:type="dxa"/>
            <w:gridSpan w:val="2"/>
            <w:vAlign w:val="center"/>
          </w:tcPr>
          <w:p w14:paraId="141E0566">
            <w:pPr>
              <w:spacing w:line="360" w:lineRule="atLeast"/>
              <w:ind w:firstLine="431" w:firstLineChars="196"/>
              <w:jc w:val="left"/>
              <w:outlineLvl w:val="1"/>
              <w:rPr>
                <w:rFonts w:ascii="Times New Roman" w:hAnsi="Times New Roman"/>
                <w:sz w:val="22"/>
                <w:szCs w:val="21"/>
              </w:rPr>
            </w:pPr>
          </w:p>
        </w:tc>
        <w:tc>
          <w:tcPr>
            <w:tcW w:w="4497" w:type="dxa"/>
            <w:gridSpan w:val="5"/>
            <w:vAlign w:val="center"/>
          </w:tcPr>
          <w:p w14:paraId="1D154A13">
            <w:pPr>
              <w:spacing w:line="360" w:lineRule="atLeast"/>
              <w:jc w:val="left"/>
              <w:outlineLvl w:val="1"/>
              <w:rPr>
                <w:rFonts w:ascii="Times New Roman" w:hAnsi="Times New Roman"/>
                <w:sz w:val="22"/>
                <w:szCs w:val="21"/>
              </w:rPr>
            </w:pPr>
            <w:r>
              <w:rPr>
                <w:rFonts w:hint="eastAsia" w:ascii="Times New Roman" w:hAnsi="Times New Roman"/>
                <w:sz w:val="22"/>
                <w:szCs w:val="21"/>
              </w:rPr>
              <w:t>员工总人数：</w:t>
            </w:r>
          </w:p>
        </w:tc>
      </w:tr>
      <w:tr w14:paraId="75C9E02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14:paraId="3691E4C3">
            <w:pPr>
              <w:spacing w:line="360" w:lineRule="atLeast"/>
              <w:jc w:val="left"/>
              <w:outlineLvl w:val="1"/>
              <w:rPr>
                <w:rFonts w:ascii="Times New Roman" w:hAnsi="Times New Roman"/>
                <w:sz w:val="22"/>
                <w:szCs w:val="21"/>
              </w:rPr>
            </w:pPr>
            <w:r>
              <w:rPr>
                <w:rFonts w:hint="eastAsia" w:ascii="Times New Roman" w:hAnsi="Times New Roman"/>
                <w:sz w:val="22"/>
                <w:szCs w:val="21"/>
              </w:rPr>
              <w:t>企业资质等级</w:t>
            </w:r>
          </w:p>
        </w:tc>
        <w:tc>
          <w:tcPr>
            <w:tcW w:w="2196" w:type="dxa"/>
            <w:gridSpan w:val="2"/>
            <w:vAlign w:val="center"/>
          </w:tcPr>
          <w:p w14:paraId="37D83BD2">
            <w:pPr>
              <w:spacing w:line="360" w:lineRule="atLeast"/>
              <w:ind w:firstLine="431" w:firstLineChars="196"/>
              <w:jc w:val="left"/>
              <w:outlineLvl w:val="1"/>
              <w:rPr>
                <w:rFonts w:ascii="Times New Roman" w:hAnsi="Times New Roman"/>
                <w:sz w:val="22"/>
                <w:szCs w:val="21"/>
              </w:rPr>
            </w:pPr>
          </w:p>
        </w:tc>
        <w:tc>
          <w:tcPr>
            <w:tcW w:w="1247" w:type="dxa"/>
            <w:vMerge w:val="restart"/>
            <w:vAlign w:val="center"/>
          </w:tcPr>
          <w:p w14:paraId="3EE43CB6">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其中</w:t>
            </w:r>
          </w:p>
        </w:tc>
        <w:tc>
          <w:tcPr>
            <w:tcW w:w="1478" w:type="dxa"/>
            <w:gridSpan w:val="2"/>
            <w:vAlign w:val="center"/>
          </w:tcPr>
          <w:p w14:paraId="47867B45">
            <w:pPr>
              <w:spacing w:line="360" w:lineRule="atLeast"/>
              <w:jc w:val="left"/>
              <w:outlineLvl w:val="1"/>
              <w:rPr>
                <w:rFonts w:ascii="Times New Roman" w:hAnsi="Times New Roman"/>
                <w:sz w:val="22"/>
                <w:szCs w:val="21"/>
              </w:rPr>
            </w:pPr>
            <w:r>
              <w:rPr>
                <w:rFonts w:hint="eastAsia" w:ascii="Times New Roman" w:hAnsi="Times New Roman"/>
                <w:sz w:val="22"/>
                <w:szCs w:val="21"/>
              </w:rPr>
              <w:t>项目经理</w:t>
            </w:r>
          </w:p>
        </w:tc>
        <w:tc>
          <w:tcPr>
            <w:tcW w:w="1772" w:type="dxa"/>
            <w:gridSpan w:val="2"/>
            <w:vAlign w:val="center"/>
          </w:tcPr>
          <w:p w14:paraId="3FF11628">
            <w:pPr>
              <w:spacing w:line="360" w:lineRule="atLeast"/>
              <w:ind w:firstLine="431" w:firstLineChars="196"/>
              <w:jc w:val="left"/>
              <w:outlineLvl w:val="1"/>
              <w:rPr>
                <w:rFonts w:ascii="Times New Roman" w:hAnsi="Times New Roman"/>
                <w:sz w:val="22"/>
                <w:szCs w:val="21"/>
              </w:rPr>
            </w:pPr>
          </w:p>
        </w:tc>
      </w:tr>
      <w:tr w14:paraId="5BB7B51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14:paraId="640B66D6">
            <w:pPr>
              <w:spacing w:line="360" w:lineRule="atLeast"/>
              <w:jc w:val="left"/>
              <w:outlineLvl w:val="1"/>
              <w:rPr>
                <w:rFonts w:ascii="Times New Roman" w:hAnsi="Times New Roman"/>
                <w:sz w:val="22"/>
                <w:szCs w:val="21"/>
              </w:rPr>
            </w:pPr>
            <w:r>
              <w:rPr>
                <w:rFonts w:hint="eastAsia" w:ascii="Times New Roman" w:hAnsi="Times New Roman"/>
                <w:sz w:val="22"/>
                <w:szCs w:val="21"/>
              </w:rPr>
              <w:t>营业执照号</w:t>
            </w:r>
          </w:p>
        </w:tc>
        <w:tc>
          <w:tcPr>
            <w:tcW w:w="2196" w:type="dxa"/>
            <w:gridSpan w:val="2"/>
            <w:vAlign w:val="center"/>
          </w:tcPr>
          <w:p w14:paraId="581F35DA">
            <w:pPr>
              <w:spacing w:line="360" w:lineRule="atLeast"/>
              <w:ind w:firstLine="431" w:firstLineChars="196"/>
              <w:jc w:val="left"/>
              <w:outlineLvl w:val="1"/>
              <w:rPr>
                <w:rFonts w:ascii="Times New Roman" w:hAnsi="Times New Roman"/>
                <w:sz w:val="22"/>
                <w:szCs w:val="21"/>
              </w:rPr>
            </w:pPr>
          </w:p>
        </w:tc>
        <w:tc>
          <w:tcPr>
            <w:tcW w:w="1247" w:type="dxa"/>
            <w:vMerge w:val="continue"/>
            <w:vAlign w:val="center"/>
          </w:tcPr>
          <w:p w14:paraId="74471548">
            <w:pPr>
              <w:rPr>
                <w:rFonts w:ascii="Times New Roman" w:hAnsi="Times New Roman"/>
                <w:sz w:val="32"/>
                <w:szCs w:val="21"/>
              </w:rPr>
            </w:pPr>
          </w:p>
        </w:tc>
        <w:tc>
          <w:tcPr>
            <w:tcW w:w="1478" w:type="dxa"/>
            <w:gridSpan w:val="2"/>
            <w:vAlign w:val="center"/>
          </w:tcPr>
          <w:p w14:paraId="25804CCB">
            <w:pPr>
              <w:spacing w:line="360" w:lineRule="atLeast"/>
              <w:jc w:val="left"/>
              <w:outlineLvl w:val="1"/>
              <w:rPr>
                <w:rFonts w:ascii="Times New Roman" w:hAnsi="Times New Roman"/>
                <w:sz w:val="22"/>
                <w:szCs w:val="21"/>
              </w:rPr>
            </w:pPr>
            <w:r>
              <w:rPr>
                <w:rFonts w:hint="eastAsia" w:ascii="Times New Roman" w:hAnsi="Times New Roman"/>
                <w:sz w:val="22"/>
                <w:szCs w:val="21"/>
              </w:rPr>
              <w:t>高级职称人员</w:t>
            </w:r>
          </w:p>
        </w:tc>
        <w:tc>
          <w:tcPr>
            <w:tcW w:w="1772" w:type="dxa"/>
            <w:gridSpan w:val="2"/>
            <w:vAlign w:val="center"/>
          </w:tcPr>
          <w:p w14:paraId="116D1802">
            <w:pPr>
              <w:spacing w:line="360" w:lineRule="atLeast"/>
              <w:ind w:firstLine="431" w:firstLineChars="196"/>
              <w:jc w:val="left"/>
              <w:outlineLvl w:val="1"/>
              <w:rPr>
                <w:rFonts w:ascii="Times New Roman" w:hAnsi="Times New Roman"/>
                <w:sz w:val="22"/>
                <w:szCs w:val="21"/>
              </w:rPr>
            </w:pPr>
          </w:p>
        </w:tc>
      </w:tr>
      <w:tr w14:paraId="2B2D1E6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14:paraId="548AEA45">
            <w:pPr>
              <w:spacing w:line="360" w:lineRule="atLeast"/>
              <w:jc w:val="left"/>
              <w:outlineLvl w:val="1"/>
              <w:rPr>
                <w:rFonts w:ascii="Times New Roman" w:hAnsi="Times New Roman"/>
                <w:sz w:val="22"/>
                <w:szCs w:val="21"/>
              </w:rPr>
            </w:pPr>
            <w:r>
              <w:rPr>
                <w:rFonts w:hint="eastAsia" w:ascii="Times New Roman" w:hAnsi="Times New Roman"/>
                <w:sz w:val="22"/>
                <w:szCs w:val="21"/>
              </w:rPr>
              <w:t>注册资金</w:t>
            </w:r>
          </w:p>
        </w:tc>
        <w:tc>
          <w:tcPr>
            <w:tcW w:w="2196" w:type="dxa"/>
            <w:gridSpan w:val="2"/>
            <w:vAlign w:val="center"/>
          </w:tcPr>
          <w:p w14:paraId="39C7DBDD">
            <w:pPr>
              <w:spacing w:line="360" w:lineRule="atLeast"/>
              <w:ind w:firstLine="431" w:firstLineChars="196"/>
              <w:jc w:val="left"/>
              <w:outlineLvl w:val="1"/>
              <w:rPr>
                <w:rFonts w:ascii="Times New Roman" w:hAnsi="Times New Roman"/>
                <w:sz w:val="22"/>
                <w:szCs w:val="21"/>
              </w:rPr>
            </w:pPr>
          </w:p>
        </w:tc>
        <w:tc>
          <w:tcPr>
            <w:tcW w:w="1247" w:type="dxa"/>
            <w:vMerge w:val="continue"/>
            <w:vAlign w:val="center"/>
          </w:tcPr>
          <w:p w14:paraId="59DCF752">
            <w:pPr>
              <w:rPr>
                <w:rFonts w:ascii="Times New Roman" w:hAnsi="Times New Roman"/>
                <w:sz w:val="32"/>
                <w:szCs w:val="21"/>
              </w:rPr>
            </w:pPr>
          </w:p>
        </w:tc>
        <w:tc>
          <w:tcPr>
            <w:tcW w:w="1478" w:type="dxa"/>
            <w:gridSpan w:val="2"/>
            <w:vAlign w:val="center"/>
          </w:tcPr>
          <w:p w14:paraId="6FB69F69">
            <w:pPr>
              <w:spacing w:line="360" w:lineRule="atLeast"/>
              <w:jc w:val="left"/>
              <w:outlineLvl w:val="1"/>
              <w:rPr>
                <w:rFonts w:ascii="Times New Roman" w:hAnsi="Times New Roman"/>
                <w:sz w:val="22"/>
                <w:szCs w:val="21"/>
              </w:rPr>
            </w:pPr>
            <w:r>
              <w:rPr>
                <w:rFonts w:hint="eastAsia" w:ascii="Times New Roman" w:hAnsi="Times New Roman"/>
                <w:sz w:val="22"/>
                <w:szCs w:val="21"/>
              </w:rPr>
              <w:t>中级职称人员</w:t>
            </w:r>
          </w:p>
        </w:tc>
        <w:tc>
          <w:tcPr>
            <w:tcW w:w="1772" w:type="dxa"/>
            <w:gridSpan w:val="2"/>
            <w:vAlign w:val="center"/>
          </w:tcPr>
          <w:p w14:paraId="7FD470DC">
            <w:pPr>
              <w:spacing w:line="360" w:lineRule="atLeast"/>
              <w:ind w:firstLine="431" w:firstLineChars="196"/>
              <w:jc w:val="left"/>
              <w:outlineLvl w:val="1"/>
              <w:rPr>
                <w:rFonts w:ascii="Times New Roman" w:hAnsi="Times New Roman"/>
                <w:sz w:val="22"/>
                <w:szCs w:val="21"/>
              </w:rPr>
            </w:pPr>
          </w:p>
        </w:tc>
      </w:tr>
      <w:tr w14:paraId="1D67024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14:paraId="3A67FB3C">
            <w:pPr>
              <w:spacing w:line="360" w:lineRule="atLeast"/>
              <w:jc w:val="left"/>
              <w:outlineLvl w:val="1"/>
              <w:rPr>
                <w:rFonts w:ascii="Times New Roman" w:hAnsi="Times New Roman"/>
                <w:sz w:val="22"/>
                <w:szCs w:val="21"/>
              </w:rPr>
            </w:pPr>
            <w:r>
              <w:rPr>
                <w:rFonts w:hint="eastAsia" w:ascii="Times New Roman" w:hAnsi="Times New Roman"/>
                <w:sz w:val="22"/>
                <w:szCs w:val="21"/>
              </w:rPr>
              <w:t>开户银行</w:t>
            </w:r>
          </w:p>
        </w:tc>
        <w:tc>
          <w:tcPr>
            <w:tcW w:w="2196" w:type="dxa"/>
            <w:gridSpan w:val="2"/>
            <w:vAlign w:val="center"/>
          </w:tcPr>
          <w:p w14:paraId="211010FA">
            <w:pPr>
              <w:spacing w:line="360" w:lineRule="atLeast"/>
              <w:ind w:firstLine="431" w:firstLineChars="196"/>
              <w:jc w:val="left"/>
              <w:outlineLvl w:val="1"/>
              <w:rPr>
                <w:rFonts w:ascii="Times New Roman" w:hAnsi="Times New Roman"/>
                <w:sz w:val="22"/>
                <w:szCs w:val="21"/>
              </w:rPr>
            </w:pPr>
          </w:p>
        </w:tc>
        <w:tc>
          <w:tcPr>
            <w:tcW w:w="1247" w:type="dxa"/>
            <w:vMerge w:val="continue"/>
            <w:vAlign w:val="center"/>
          </w:tcPr>
          <w:p w14:paraId="44734B3F">
            <w:pPr>
              <w:rPr>
                <w:rFonts w:ascii="Times New Roman" w:hAnsi="Times New Roman"/>
                <w:sz w:val="32"/>
                <w:szCs w:val="21"/>
              </w:rPr>
            </w:pPr>
          </w:p>
        </w:tc>
        <w:tc>
          <w:tcPr>
            <w:tcW w:w="1478" w:type="dxa"/>
            <w:gridSpan w:val="2"/>
            <w:vAlign w:val="center"/>
          </w:tcPr>
          <w:p w14:paraId="741C9014">
            <w:pPr>
              <w:spacing w:line="360" w:lineRule="atLeast"/>
              <w:jc w:val="left"/>
              <w:outlineLvl w:val="1"/>
              <w:rPr>
                <w:rFonts w:ascii="Times New Roman" w:hAnsi="Times New Roman"/>
                <w:sz w:val="22"/>
                <w:szCs w:val="21"/>
              </w:rPr>
            </w:pPr>
            <w:r>
              <w:rPr>
                <w:rFonts w:hint="eastAsia" w:ascii="Times New Roman" w:hAnsi="Times New Roman"/>
                <w:sz w:val="22"/>
                <w:szCs w:val="21"/>
              </w:rPr>
              <w:t>初级职称人员</w:t>
            </w:r>
          </w:p>
        </w:tc>
        <w:tc>
          <w:tcPr>
            <w:tcW w:w="1772" w:type="dxa"/>
            <w:gridSpan w:val="2"/>
            <w:vAlign w:val="center"/>
          </w:tcPr>
          <w:p w14:paraId="225EF4E9">
            <w:pPr>
              <w:spacing w:line="360" w:lineRule="atLeast"/>
              <w:ind w:firstLine="431" w:firstLineChars="196"/>
              <w:jc w:val="left"/>
              <w:outlineLvl w:val="1"/>
              <w:rPr>
                <w:rFonts w:ascii="Times New Roman" w:hAnsi="Times New Roman"/>
                <w:sz w:val="22"/>
                <w:szCs w:val="21"/>
              </w:rPr>
            </w:pPr>
          </w:p>
        </w:tc>
      </w:tr>
      <w:tr w14:paraId="1B6CA00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14:paraId="24FE2834">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账号</w:t>
            </w:r>
          </w:p>
        </w:tc>
        <w:tc>
          <w:tcPr>
            <w:tcW w:w="2196" w:type="dxa"/>
            <w:gridSpan w:val="2"/>
            <w:vAlign w:val="center"/>
          </w:tcPr>
          <w:p w14:paraId="6037564E">
            <w:pPr>
              <w:spacing w:line="360" w:lineRule="atLeast"/>
              <w:ind w:firstLine="431" w:firstLineChars="196"/>
              <w:jc w:val="left"/>
              <w:outlineLvl w:val="1"/>
              <w:rPr>
                <w:rFonts w:ascii="Times New Roman" w:hAnsi="Times New Roman"/>
                <w:sz w:val="22"/>
                <w:szCs w:val="21"/>
              </w:rPr>
            </w:pPr>
          </w:p>
        </w:tc>
        <w:tc>
          <w:tcPr>
            <w:tcW w:w="1247" w:type="dxa"/>
            <w:vMerge w:val="continue"/>
            <w:vAlign w:val="center"/>
          </w:tcPr>
          <w:p w14:paraId="281A2890">
            <w:pPr>
              <w:rPr>
                <w:rFonts w:ascii="Times New Roman" w:hAnsi="Times New Roman"/>
                <w:sz w:val="32"/>
                <w:szCs w:val="21"/>
              </w:rPr>
            </w:pPr>
          </w:p>
        </w:tc>
        <w:tc>
          <w:tcPr>
            <w:tcW w:w="1478" w:type="dxa"/>
            <w:gridSpan w:val="2"/>
            <w:vAlign w:val="center"/>
          </w:tcPr>
          <w:p w14:paraId="778CDF55">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技工</w:t>
            </w:r>
          </w:p>
        </w:tc>
        <w:tc>
          <w:tcPr>
            <w:tcW w:w="1772" w:type="dxa"/>
            <w:gridSpan w:val="2"/>
            <w:vAlign w:val="center"/>
          </w:tcPr>
          <w:p w14:paraId="5AF06278">
            <w:pPr>
              <w:spacing w:line="360" w:lineRule="atLeast"/>
              <w:ind w:firstLine="431" w:firstLineChars="196"/>
              <w:jc w:val="left"/>
              <w:outlineLvl w:val="1"/>
              <w:rPr>
                <w:rFonts w:ascii="Times New Roman" w:hAnsi="Times New Roman"/>
                <w:sz w:val="22"/>
                <w:szCs w:val="21"/>
              </w:rPr>
            </w:pPr>
          </w:p>
        </w:tc>
      </w:tr>
      <w:tr w14:paraId="6BAE1A2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trPr>
        <w:tc>
          <w:tcPr>
            <w:tcW w:w="1522" w:type="dxa"/>
            <w:vAlign w:val="center"/>
          </w:tcPr>
          <w:p w14:paraId="6D0AAB49">
            <w:pPr>
              <w:spacing w:line="360" w:lineRule="atLeast"/>
              <w:jc w:val="left"/>
              <w:outlineLvl w:val="1"/>
              <w:rPr>
                <w:rFonts w:ascii="Times New Roman" w:hAnsi="Times New Roman"/>
                <w:sz w:val="22"/>
                <w:szCs w:val="21"/>
              </w:rPr>
            </w:pPr>
            <w:r>
              <w:rPr>
                <w:rFonts w:hint="eastAsia" w:ascii="Times New Roman" w:hAnsi="Times New Roman"/>
                <w:sz w:val="22"/>
                <w:szCs w:val="21"/>
              </w:rPr>
              <w:t>经营范围</w:t>
            </w:r>
          </w:p>
        </w:tc>
        <w:tc>
          <w:tcPr>
            <w:tcW w:w="6693" w:type="dxa"/>
            <w:gridSpan w:val="7"/>
            <w:vAlign w:val="center"/>
          </w:tcPr>
          <w:p w14:paraId="6BB487F2">
            <w:pPr>
              <w:spacing w:line="360" w:lineRule="atLeast"/>
              <w:ind w:firstLine="431" w:firstLineChars="196"/>
              <w:jc w:val="left"/>
              <w:outlineLvl w:val="1"/>
              <w:rPr>
                <w:rFonts w:ascii="Times New Roman" w:hAnsi="Times New Roman"/>
                <w:sz w:val="22"/>
                <w:szCs w:val="21"/>
              </w:rPr>
            </w:pPr>
          </w:p>
        </w:tc>
      </w:tr>
      <w:tr w14:paraId="2624DBE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522" w:type="dxa"/>
            <w:tcBorders>
              <w:bottom w:val="single" w:color="auto" w:sz="18" w:space="0"/>
            </w:tcBorders>
          </w:tcPr>
          <w:p w14:paraId="7DE608C2">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备注</w:t>
            </w:r>
          </w:p>
        </w:tc>
        <w:tc>
          <w:tcPr>
            <w:tcW w:w="6693" w:type="dxa"/>
            <w:gridSpan w:val="7"/>
            <w:tcBorders>
              <w:bottom w:val="single" w:color="auto" w:sz="18" w:space="0"/>
            </w:tcBorders>
          </w:tcPr>
          <w:p w14:paraId="3581D5DB">
            <w:pPr>
              <w:spacing w:line="360" w:lineRule="atLeast"/>
              <w:ind w:firstLine="431" w:firstLineChars="196"/>
              <w:jc w:val="left"/>
              <w:outlineLvl w:val="1"/>
              <w:rPr>
                <w:rFonts w:ascii="Times New Roman" w:hAnsi="Times New Roman"/>
                <w:sz w:val="22"/>
                <w:szCs w:val="21"/>
              </w:rPr>
            </w:pPr>
          </w:p>
        </w:tc>
      </w:tr>
    </w:tbl>
    <w:p w14:paraId="415833FB">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投标人名称：（单位盖章）</w:t>
      </w:r>
    </w:p>
    <w:p w14:paraId="241A4AB4">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法定代表人或委托代理人（签字或盖章）：</w:t>
      </w:r>
    </w:p>
    <w:p w14:paraId="3CFF3B0D">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日期</w:t>
      </w:r>
      <w:r>
        <w:rPr>
          <w:rFonts w:ascii="Times New Roman" w:hAnsi="Times New Roman"/>
          <w:sz w:val="22"/>
          <w:szCs w:val="21"/>
        </w:rPr>
        <w:t xml:space="preserve">: </w:t>
      </w:r>
    </w:p>
    <w:p w14:paraId="63F4987B">
      <w:pPr>
        <w:spacing w:line="360" w:lineRule="auto"/>
        <w:rPr>
          <w:rFonts w:ascii="Times New Roman" w:hAnsi="Times New Roman"/>
          <w:b/>
          <w:sz w:val="28"/>
          <w:szCs w:val="28"/>
        </w:rPr>
      </w:pPr>
      <w:r>
        <w:rPr>
          <w:rFonts w:ascii="Times New Roman" w:hAnsi="Times New Roman" w:eastAsia="黑体"/>
          <w:b/>
          <w:sz w:val="32"/>
          <w:szCs w:val="32"/>
        </w:rPr>
        <w:br w:type="page"/>
      </w:r>
      <w:r>
        <w:rPr>
          <w:rFonts w:hint="eastAsia" w:ascii="Times New Roman" w:hAnsi="宋体"/>
          <w:b/>
          <w:sz w:val="28"/>
          <w:szCs w:val="28"/>
        </w:rPr>
        <w:t>格式</w:t>
      </w:r>
      <w:r>
        <w:rPr>
          <w:rFonts w:ascii="Times New Roman" w:hAnsi="Times New Roman"/>
          <w:b/>
          <w:sz w:val="28"/>
          <w:szCs w:val="28"/>
        </w:rPr>
        <w:t>2-9</w:t>
      </w:r>
    </w:p>
    <w:p w14:paraId="1916B3D2">
      <w:pPr>
        <w:spacing w:line="360" w:lineRule="atLeast"/>
        <w:jc w:val="center"/>
        <w:outlineLvl w:val="1"/>
        <w:rPr>
          <w:rFonts w:ascii="Times New Roman" w:hAnsi="Times New Roman" w:eastAsia="黑体"/>
          <w:b/>
          <w:sz w:val="32"/>
          <w:szCs w:val="32"/>
        </w:rPr>
      </w:pPr>
      <w:r>
        <w:rPr>
          <w:rFonts w:hint="eastAsia" w:ascii="Times New Roman" w:hAnsi="Times New Roman" w:eastAsia="黑体"/>
          <w:b/>
          <w:sz w:val="32"/>
          <w:szCs w:val="32"/>
        </w:rPr>
        <w:t>八、类似项目业绩一览表</w:t>
      </w:r>
    </w:p>
    <w:p w14:paraId="076478BD">
      <w:pPr>
        <w:spacing w:line="360" w:lineRule="atLeast"/>
        <w:ind w:firstLine="433" w:firstLineChars="196"/>
        <w:jc w:val="left"/>
        <w:outlineLvl w:val="1"/>
        <w:rPr>
          <w:rFonts w:ascii="Times New Roman" w:hAnsi="Times New Roman"/>
          <w:b/>
          <w:sz w:val="22"/>
          <w:szCs w:val="21"/>
        </w:rPr>
      </w:pPr>
    </w:p>
    <w:tbl>
      <w:tblPr>
        <w:tblStyle w:val="16"/>
        <w:tblW w:w="852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424"/>
        <w:gridCol w:w="1466"/>
        <w:gridCol w:w="992"/>
      </w:tblGrid>
      <w:tr w14:paraId="2BEE3E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vAlign w:val="center"/>
          </w:tcPr>
          <w:p w14:paraId="3414198D">
            <w:pPr>
              <w:spacing w:line="360" w:lineRule="atLeast"/>
              <w:jc w:val="left"/>
              <w:outlineLvl w:val="1"/>
              <w:rPr>
                <w:rFonts w:ascii="Times New Roman" w:hAnsi="Times New Roman"/>
                <w:sz w:val="22"/>
                <w:szCs w:val="21"/>
              </w:rPr>
            </w:pPr>
            <w:r>
              <w:rPr>
                <w:rFonts w:hint="eastAsia" w:ascii="Times New Roman" w:hAnsi="Times New Roman"/>
                <w:sz w:val="22"/>
                <w:szCs w:val="21"/>
              </w:rPr>
              <w:t>年份</w:t>
            </w:r>
          </w:p>
        </w:tc>
        <w:tc>
          <w:tcPr>
            <w:tcW w:w="1440" w:type="dxa"/>
            <w:tcBorders>
              <w:top w:val="single" w:color="auto" w:sz="4" w:space="0"/>
            </w:tcBorders>
            <w:vAlign w:val="center"/>
          </w:tcPr>
          <w:p w14:paraId="15B582D2">
            <w:pPr>
              <w:spacing w:line="360" w:lineRule="atLeast"/>
              <w:jc w:val="left"/>
              <w:outlineLvl w:val="1"/>
              <w:rPr>
                <w:rFonts w:ascii="Times New Roman" w:hAnsi="Times New Roman"/>
                <w:sz w:val="22"/>
                <w:szCs w:val="21"/>
              </w:rPr>
            </w:pPr>
            <w:r>
              <w:rPr>
                <w:rFonts w:hint="eastAsia" w:ascii="Times New Roman" w:hAnsi="Times New Roman"/>
                <w:sz w:val="22"/>
                <w:szCs w:val="21"/>
              </w:rPr>
              <w:t>用户名称</w:t>
            </w:r>
          </w:p>
        </w:tc>
        <w:tc>
          <w:tcPr>
            <w:tcW w:w="1320" w:type="dxa"/>
            <w:tcBorders>
              <w:top w:val="single" w:color="auto" w:sz="4" w:space="0"/>
            </w:tcBorders>
            <w:vAlign w:val="center"/>
          </w:tcPr>
          <w:p w14:paraId="075BBE98">
            <w:pPr>
              <w:spacing w:line="360" w:lineRule="atLeast"/>
              <w:jc w:val="left"/>
              <w:outlineLvl w:val="1"/>
              <w:rPr>
                <w:rFonts w:ascii="Times New Roman" w:hAnsi="Times New Roman"/>
                <w:sz w:val="22"/>
                <w:szCs w:val="21"/>
              </w:rPr>
            </w:pPr>
            <w:r>
              <w:rPr>
                <w:rFonts w:hint="eastAsia" w:ascii="Times New Roman" w:hAnsi="Times New Roman"/>
                <w:sz w:val="22"/>
                <w:szCs w:val="21"/>
              </w:rPr>
              <w:t>项目名称</w:t>
            </w:r>
          </w:p>
        </w:tc>
        <w:tc>
          <w:tcPr>
            <w:tcW w:w="1161" w:type="dxa"/>
            <w:tcBorders>
              <w:top w:val="single" w:color="auto" w:sz="4" w:space="0"/>
            </w:tcBorders>
            <w:vAlign w:val="center"/>
          </w:tcPr>
          <w:p w14:paraId="146F13CE">
            <w:pPr>
              <w:spacing w:line="360" w:lineRule="atLeast"/>
              <w:jc w:val="left"/>
              <w:outlineLvl w:val="1"/>
              <w:rPr>
                <w:rFonts w:ascii="Times New Roman" w:hAnsi="Times New Roman"/>
                <w:sz w:val="22"/>
                <w:szCs w:val="21"/>
              </w:rPr>
            </w:pPr>
            <w:r>
              <w:rPr>
                <w:rFonts w:hint="eastAsia" w:ascii="Times New Roman" w:hAnsi="Times New Roman"/>
                <w:sz w:val="22"/>
                <w:szCs w:val="21"/>
              </w:rPr>
              <w:t>完成时间</w:t>
            </w:r>
          </w:p>
        </w:tc>
        <w:tc>
          <w:tcPr>
            <w:tcW w:w="1424" w:type="dxa"/>
            <w:tcBorders>
              <w:top w:val="single" w:color="auto" w:sz="4" w:space="0"/>
            </w:tcBorders>
            <w:vAlign w:val="center"/>
          </w:tcPr>
          <w:p w14:paraId="263F05DD">
            <w:pPr>
              <w:spacing w:line="360" w:lineRule="atLeast"/>
              <w:jc w:val="left"/>
              <w:outlineLvl w:val="1"/>
              <w:rPr>
                <w:rFonts w:ascii="Times New Roman" w:hAnsi="Times New Roman"/>
                <w:sz w:val="22"/>
                <w:szCs w:val="21"/>
              </w:rPr>
            </w:pPr>
            <w:r>
              <w:rPr>
                <w:rFonts w:hint="eastAsia" w:ascii="Times New Roman" w:hAnsi="Times New Roman"/>
                <w:sz w:val="22"/>
                <w:szCs w:val="21"/>
              </w:rPr>
              <w:t>合同金额（元）</w:t>
            </w:r>
          </w:p>
        </w:tc>
        <w:tc>
          <w:tcPr>
            <w:tcW w:w="1466" w:type="dxa"/>
            <w:tcBorders>
              <w:top w:val="single" w:color="auto" w:sz="4" w:space="0"/>
              <w:right w:val="single" w:color="auto" w:sz="4" w:space="0"/>
            </w:tcBorders>
            <w:vAlign w:val="center"/>
          </w:tcPr>
          <w:p w14:paraId="454DEAD9">
            <w:pPr>
              <w:spacing w:line="360" w:lineRule="atLeast"/>
              <w:jc w:val="left"/>
              <w:outlineLvl w:val="1"/>
              <w:rPr>
                <w:rFonts w:ascii="Times New Roman" w:hAnsi="Times New Roman"/>
                <w:sz w:val="22"/>
                <w:szCs w:val="21"/>
              </w:rPr>
            </w:pPr>
            <w:r>
              <w:rPr>
                <w:rFonts w:hint="eastAsia" w:ascii="Times New Roman" w:hAnsi="Times New Roman"/>
                <w:sz w:val="22"/>
                <w:szCs w:val="21"/>
              </w:rPr>
              <w:t>是否通过验收</w:t>
            </w:r>
          </w:p>
        </w:tc>
        <w:tc>
          <w:tcPr>
            <w:tcW w:w="992" w:type="dxa"/>
            <w:tcBorders>
              <w:top w:val="single" w:color="auto" w:sz="4" w:space="0"/>
              <w:left w:val="single" w:color="auto" w:sz="4" w:space="0"/>
            </w:tcBorders>
            <w:vAlign w:val="center"/>
          </w:tcPr>
          <w:p w14:paraId="3153ACBE">
            <w:pPr>
              <w:spacing w:line="360" w:lineRule="atLeast"/>
              <w:jc w:val="left"/>
              <w:outlineLvl w:val="1"/>
              <w:rPr>
                <w:rFonts w:ascii="Times New Roman" w:hAnsi="Times New Roman"/>
                <w:sz w:val="22"/>
                <w:szCs w:val="21"/>
              </w:rPr>
            </w:pPr>
            <w:r>
              <w:rPr>
                <w:rFonts w:hint="eastAsia" w:ascii="Times New Roman" w:hAnsi="Times New Roman"/>
                <w:sz w:val="22"/>
                <w:szCs w:val="21"/>
              </w:rPr>
              <w:t>备注</w:t>
            </w:r>
          </w:p>
        </w:tc>
      </w:tr>
      <w:tr w14:paraId="397304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1FE3654F">
            <w:pPr>
              <w:spacing w:line="360" w:lineRule="atLeast"/>
              <w:ind w:firstLine="431" w:firstLineChars="196"/>
              <w:jc w:val="left"/>
              <w:outlineLvl w:val="1"/>
              <w:rPr>
                <w:rFonts w:ascii="Times New Roman" w:hAnsi="Times New Roman"/>
                <w:sz w:val="22"/>
                <w:szCs w:val="21"/>
              </w:rPr>
            </w:pPr>
          </w:p>
        </w:tc>
        <w:tc>
          <w:tcPr>
            <w:tcW w:w="1440" w:type="dxa"/>
            <w:vAlign w:val="center"/>
          </w:tcPr>
          <w:p w14:paraId="3A252AE9">
            <w:pPr>
              <w:spacing w:line="360" w:lineRule="atLeast"/>
              <w:ind w:firstLine="431" w:firstLineChars="196"/>
              <w:jc w:val="left"/>
              <w:outlineLvl w:val="1"/>
              <w:rPr>
                <w:rFonts w:ascii="Times New Roman" w:hAnsi="Times New Roman"/>
                <w:sz w:val="22"/>
                <w:szCs w:val="21"/>
              </w:rPr>
            </w:pPr>
          </w:p>
        </w:tc>
        <w:tc>
          <w:tcPr>
            <w:tcW w:w="1320" w:type="dxa"/>
            <w:vAlign w:val="center"/>
          </w:tcPr>
          <w:p w14:paraId="24F0A3C7">
            <w:pPr>
              <w:spacing w:line="360" w:lineRule="atLeast"/>
              <w:ind w:firstLine="431" w:firstLineChars="196"/>
              <w:jc w:val="left"/>
              <w:outlineLvl w:val="1"/>
              <w:rPr>
                <w:rFonts w:ascii="Times New Roman" w:hAnsi="Times New Roman"/>
                <w:sz w:val="22"/>
                <w:szCs w:val="21"/>
              </w:rPr>
            </w:pPr>
          </w:p>
        </w:tc>
        <w:tc>
          <w:tcPr>
            <w:tcW w:w="1161" w:type="dxa"/>
            <w:vAlign w:val="center"/>
          </w:tcPr>
          <w:p w14:paraId="4C3E529A">
            <w:pPr>
              <w:spacing w:line="360" w:lineRule="atLeast"/>
              <w:ind w:firstLine="431" w:firstLineChars="196"/>
              <w:jc w:val="left"/>
              <w:outlineLvl w:val="1"/>
              <w:rPr>
                <w:rFonts w:ascii="Times New Roman" w:hAnsi="Times New Roman"/>
                <w:sz w:val="22"/>
                <w:szCs w:val="21"/>
              </w:rPr>
            </w:pPr>
          </w:p>
        </w:tc>
        <w:tc>
          <w:tcPr>
            <w:tcW w:w="1424" w:type="dxa"/>
            <w:vAlign w:val="center"/>
          </w:tcPr>
          <w:p w14:paraId="4AF49423">
            <w:pPr>
              <w:spacing w:line="360" w:lineRule="atLeast"/>
              <w:ind w:firstLine="431" w:firstLineChars="196"/>
              <w:jc w:val="left"/>
              <w:outlineLvl w:val="1"/>
              <w:rPr>
                <w:rFonts w:ascii="Times New Roman" w:hAnsi="Times New Roman"/>
                <w:sz w:val="22"/>
                <w:szCs w:val="21"/>
              </w:rPr>
            </w:pPr>
          </w:p>
        </w:tc>
        <w:tc>
          <w:tcPr>
            <w:tcW w:w="1466" w:type="dxa"/>
            <w:tcBorders>
              <w:right w:val="single" w:color="auto" w:sz="4" w:space="0"/>
            </w:tcBorders>
            <w:vAlign w:val="center"/>
          </w:tcPr>
          <w:p w14:paraId="531FE5F7">
            <w:pPr>
              <w:spacing w:line="360" w:lineRule="atLeast"/>
              <w:ind w:firstLine="431" w:firstLineChars="196"/>
              <w:jc w:val="left"/>
              <w:outlineLvl w:val="1"/>
              <w:rPr>
                <w:rFonts w:ascii="Times New Roman" w:hAnsi="Times New Roman"/>
                <w:sz w:val="22"/>
                <w:szCs w:val="21"/>
              </w:rPr>
            </w:pPr>
          </w:p>
        </w:tc>
        <w:tc>
          <w:tcPr>
            <w:tcW w:w="992" w:type="dxa"/>
            <w:tcBorders>
              <w:left w:val="single" w:color="auto" w:sz="4" w:space="0"/>
            </w:tcBorders>
            <w:vAlign w:val="center"/>
          </w:tcPr>
          <w:p w14:paraId="6A951A57">
            <w:pPr>
              <w:spacing w:line="360" w:lineRule="atLeast"/>
              <w:ind w:firstLine="431" w:firstLineChars="196"/>
              <w:jc w:val="left"/>
              <w:outlineLvl w:val="1"/>
              <w:rPr>
                <w:rFonts w:ascii="Times New Roman" w:hAnsi="Times New Roman"/>
                <w:sz w:val="22"/>
                <w:szCs w:val="21"/>
              </w:rPr>
            </w:pPr>
          </w:p>
        </w:tc>
      </w:tr>
      <w:tr w14:paraId="0AC0A7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47190A3D">
            <w:pPr>
              <w:spacing w:line="360" w:lineRule="atLeast"/>
              <w:ind w:firstLine="431" w:firstLineChars="196"/>
              <w:jc w:val="left"/>
              <w:outlineLvl w:val="1"/>
              <w:rPr>
                <w:rFonts w:ascii="Times New Roman" w:hAnsi="Times New Roman"/>
                <w:sz w:val="22"/>
                <w:szCs w:val="21"/>
              </w:rPr>
            </w:pPr>
          </w:p>
        </w:tc>
        <w:tc>
          <w:tcPr>
            <w:tcW w:w="1440" w:type="dxa"/>
            <w:vAlign w:val="center"/>
          </w:tcPr>
          <w:p w14:paraId="5BC5CA7C">
            <w:pPr>
              <w:spacing w:line="360" w:lineRule="atLeast"/>
              <w:ind w:firstLine="431" w:firstLineChars="196"/>
              <w:jc w:val="left"/>
              <w:outlineLvl w:val="1"/>
              <w:rPr>
                <w:rFonts w:ascii="Times New Roman" w:hAnsi="Times New Roman"/>
                <w:sz w:val="22"/>
                <w:szCs w:val="21"/>
              </w:rPr>
            </w:pPr>
          </w:p>
        </w:tc>
        <w:tc>
          <w:tcPr>
            <w:tcW w:w="1320" w:type="dxa"/>
            <w:vAlign w:val="center"/>
          </w:tcPr>
          <w:p w14:paraId="76DED1AB">
            <w:pPr>
              <w:spacing w:line="360" w:lineRule="atLeast"/>
              <w:ind w:firstLine="431" w:firstLineChars="196"/>
              <w:jc w:val="left"/>
              <w:outlineLvl w:val="1"/>
              <w:rPr>
                <w:rFonts w:ascii="Times New Roman" w:hAnsi="Times New Roman"/>
                <w:sz w:val="22"/>
                <w:szCs w:val="21"/>
              </w:rPr>
            </w:pPr>
          </w:p>
        </w:tc>
        <w:tc>
          <w:tcPr>
            <w:tcW w:w="1161" w:type="dxa"/>
            <w:vAlign w:val="center"/>
          </w:tcPr>
          <w:p w14:paraId="7BDBA75C">
            <w:pPr>
              <w:spacing w:line="360" w:lineRule="atLeast"/>
              <w:ind w:firstLine="431" w:firstLineChars="196"/>
              <w:jc w:val="left"/>
              <w:outlineLvl w:val="1"/>
              <w:rPr>
                <w:rFonts w:ascii="Times New Roman" w:hAnsi="Times New Roman"/>
                <w:sz w:val="22"/>
                <w:szCs w:val="21"/>
              </w:rPr>
            </w:pPr>
          </w:p>
        </w:tc>
        <w:tc>
          <w:tcPr>
            <w:tcW w:w="1424" w:type="dxa"/>
            <w:vAlign w:val="center"/>
          </w:tcPr>
          <w:p w14:paraId="330E07F2">
            <w:pPr>
              <w:spacing w:line="360" w:lineRule="atLeast"/>
              <w:ind w:firstLine="431" w:firstLineChars="196"/>
              <w:jc w:val="left"/>
              <w:outlineLvl w:val="1"/>
              <w:rPr>
                <w:rFonts w:ascii="Times New Roman" w:hAnsi="Times New Roman"/>
                <w:sz w:val="22"/>
                <w:szCs w:val="21"/>
              </w:rPr>
            </w:pPr>
          </w:p>
        </w:tc>
        <w:tc>
          <w:tcPr>
            <w:tcW w:w="1466" w:type="dxa"/>
            <w:tcBorders>
              <w:right w:val="single" w:color="auto" w:sz="4" w:space="0"/>
            </w:tcBorders>
            <w:vAlign w:val="center"/>
          </w:tcPr>
          <w:p w14:paraId="013B8E6C">
            <w:pPr>
              <w:spacing w:line="360" w:lineRule="atLeast"/>
              <w:ind w:firstLine="431" w:firstLineChars="196"/>
              <w:jc w:val="left"/>
              <w:outlineLvl w:val="1"/>
              <w:rPr>
                <w:rFonts w:ascii="Times New Roman" w:hAnsi="Times New Roman"/>
                <w:sz w:val="22"/>
                <w:szCs w:val="21"/>
              </w:rPr>
            </w:pPr>
          </w:p>
        </w:tc>
        <w:tc>
          <w:tcPr>
            <w:tcW w:w="992" w:type="dxa"/>
            <w:tcBorders>
              <w:left w:val="single" w:color="auto" w:sz="4" w:space="0"/>
            </w:tcBorders>
            <w:vAlign w:val="center"/>
          </w:tcPr>
          <w:p w14:paraId="2FCA5276">
            <w:pPr>
              <w:spacing w:line="360" w:lineRule="atLeast"/>
              <w:ind w:firstLine="431" w:firstLineChars="196"/>
              <w:jc w:val="left"/>
              <w:outlineLvl w:val="1"/>
              <w:rPr>
                <w:rFonts w:ascii="Times New Roman" w:hAnsi="Times New Roman"/>
                <w:sz w:val="22"/>
                <w:szCs w:val="21"/>
              </w:rPr>
            </w:pPr>
          </w:p>
        </w:tc>
      </w:tr>
      <w:tr w14:paraId="0BBF2D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3951DE22">
            <w:pPr>
              <w:spacing w:line="360" w:lineRule="atLeast"/>
              <w:ind w:firstLine="431" w:firstLineChars="196"/>
              <w:jc w:val="left"/>
              <w:outlineLvl w:val="1"/>
              <w:rPr>
                <w:rFonts w:ascii="Times New Roman" w:hAnsi="Times New Roman"/>
                <w:sz w:val="22"/>
                <w:szCs w:val="21"/>
              </w:rPr>
            </w:pPr>
          </w:p>
        </w:tc>
        <w:tc>
          <w:tcPr>
            <w:tcW w:w="1440" w:type="dxa"/>
            <w:vAlign w:val="center"/>
          </w:tcPr>
          <w:p w14:paraId="05612B90">
            <w:pPr>
              <w:spacing w:line="360" w:lineRule="atLeast"/>
              <w:ind w:firstLine="431" w:firstLineChars="196"/>
              <w:jc w:val="left"/>
              <w:outlineLvl w:val="1"/>
              <w:rPr>
                <w:rFonts w:ascii="Times New Roman" w:hAnsi="Times New Roman"/>
                <w:sz w:val="22"/>
                <w:szCs w:val="21"/>
              </w:rPr>
            </w:pPr>
          </w:p>
        </w:tc>
        <w:tc>
          <w:tcPr>
            <w:tcW w:w="1320" w:type="dxa"/>
            <w:vAlign w:val="center"/>
          </w:tcPr>
          <w:p w14:paraId="6C6E2DE3">
            <w:pPr>
              <w:spacing w:line="360" w:lineRule="atLeast"/>
              <w:ind w:firstLine="431" w:firstLineChars="196"/>
              <w:jc w:val="left"/>
              <w:outlineLvl w:val="1"/>
              <w:rPr>
                <w:rFonts w:ascii="Times New Roman" w:hAnsi="Times New Roman"/>
                <w:sz w:val="22"/>
                <w:szCs w:val="21"/>
              </w:rPr>
            </w:pPr>
          </w:p>
        </w:tc>
        <w:tc>
          <w:tcPr>
            <w:tcW w:w="1161" w:type="dxa"/>
            <w:vAlign w:val="center"/>
          </w:tcPr>
          <w:p w14:paraId="084E938A">
            <w:pPr>
              <w:spacing w:line="360" w:lineRule="atLeast"/>
              <w:ind w:firstLine="431" w:firstLineChars="196"/>
              <w:jc w:val="left"/>
              <w:outlineLvl w:val="1"/>
              <w:rPr>
                <w:rFonts w:ascii="Times New Roman" w:hAnsi="Times New Roman"/>
                <w:sz w:val="22"/>
                <w:szCs w:val="21"/>
              </w:rPr>
            </w:pPr>
          </w:p>
        </w:tc>
        <w:tc>
          <w:tcPr>
            <w:tcW w:w="1424" w:type="dxa"/>
            <w:vAlign w:val="center"/>
          </w:tcPr>
          <w:p w14:paraId="013A892B">
            <w:pPr>
              <w:spacing w:line="360" w:lineRule="atLeast"/>
              <w:ind w:firstLine="431" w:firstLineChars="196"/>
              <w:jc w:val="left"/>
              <w:outlineLvl w:val="1"/>
              <w:rPr>
                <w:rFonts w:ascii="Times New Roman" w:hAnsi="Times New Roman"/>
                <w:sz w:val="22"/>
                <w:szCs w:val="21"/>
              </w:rPr>
            </w:pPr>
          </w:p>
        </w:tc>
        <w:tc>
          <w:tcPr>
            <w:tcW w:w="1466" w:type="dxa"/>
            <w:tcBorders>
              <w:right w:val="single" w:color="auto" w:sz="4" w:space="0"/>
            </w:tcBorders>
            <w:vAlign w:val="center"/>
          </w:tcPr>
          <w:p w14:paraId="22F83FB3">
            <w:pPr>
              <w:spacing w:line="360" w:lineRule="atLeast"/>
              <w:ind w:firstLine="431" w:firstLineChars="196"/>
              <w:jc w:val="left"/>
              <w:outlineLvl w:val="1"/>
              <w:rPr>
                <w:rFonts w:ascii="Times New Roman" w:hAnsi="Times New Roman"/>
                <w:sz w:val="22"/>
                <w:szCs w:val="21"/>
              </w:rPr>
            </w:pPr>
          </w:p>
        </w:tc>
        <w:tc>
          <w:tcPr>
            <w:tcW w:w="992" w:type="dxa"/>
            <w:tcBorders>
              <w:left w:val="single" w:color="auto" w:sz="4" w:space="0"/>
            </w:tcBorders>
            <w:vAlign w:val="center"/>
          </w:tcPr>
          <w:p w14:paraId="03BD33E1">
            <w:pPr>
              <w:spacing w:line="360" w:lineRule="atLeast"/>
              <w:ind w:firstLine="431" w:firstLineChars="196"/>
              <w:jc w:val="left"/>
              <w:outlineLvl w:val="1"/>
              <w:rPr>
                <w:rFonts w:ascii="Times New Roman" w:hAnsi="Times New Roman"/>
                <w:sz w:val="22"/>
                <w:szCs w:val="21"/>
              </w:rPr>
            </w:pPr>
          </w:p>
        </w:tc>
      </w:tr>
      <w:tr w14:paraId="267A78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7BFE5054">
            <w:pPr>
              <w:spacing w:line="360" w:lineRule="atLeast"/>
              <w:ind w:firstLine="431" w:firstLineChars="196"/>
              <w:jc w:val="left"/>
              <w:outlineLvl w:val="1"/>
              <w:rPr>
                <w:rFonts w:ascii="Times New Roman" w:hAnsi="Times New Roman"/>
                <w:sz w:val="22"/>
                <w:szCs w:val="21"/>
              </w:rPr>
            </w:pPr>
          </w:p>
        </w:tc>
        <w:tc>
          <w:tcPr>
            <w:tcW w:w="1440" w:type="dxa"/>
            <w:tcBorders>
              <w:right w:val="single" w:color="auto" w:sz="4" w:space="0"/>
            </w:tcBorders>
            <w:vAlign w:val="center"/>
          </w:tcPr>
          <w:p w14:paraId="25C11B9A">
            <w:pPr>
              <w:spacing w:line="360" w:lineRule="atLeast"/>
              <w:ind w:firstLine="431" w:firstLineChars="196"/>
              <w:jc w:val="left"/>
              <w:outlineLvl w:val="1"/>
              <w:rPr>
                <w:rFonts w:ascii="Times New Roman" w:hAnsi="Times New Roman"/>
                <w:sz w:val="22"/>
                <w:szCs w:val="21"/>
              </w:rPr>
            </w:pPr>
          </w:p>
        </w:tc>
        <w:tc>
          <w:tcPr>
            <w:tcW w:w="1320" w:type="dxa"/>
            <w:tcBorders>
              <w:left w:val="single" w:color="auto" w:sz="4" w:space="0"/>
            </w:tcBorders>
            <w:vAlign w:val="center"/>
          </w:tcPr>
          <w:p w14:paraId="152A962C">
            <w:pPr>
              <w:spacing w:line="360" w:lineRule="atLeast"/>
              <w:ind w:firstLine="431" w:firstLineChars="196"/>
              <w:jc w:val="left"/>
              <w:outlineLvl w:val="1"/>
              <w:rPr>
                <w:rFonts w:ascii="Times New Roman" w:hAnsi="Times New Roman"/>
                <w:sz w:val="22"/>
                <w:szCs w:val="21"/>
              </w:rPr>
            </w:pPr>
          </w:p>
        </w:tc>
        <w:tc>
          <w:tcPr>
            <w:tcW w:w="1161" w:type="dxa"/>
            <w:vAlign w:val="center"/>
          </w:tcPr>
          <w:p w14:paraId="27F9EF30">
            <w:pPr>
              <w:spacing w:line="360" w:lineRule="atLeast"/>
              <w:ind w:firstLine="431" w:firstLineChars="196"/>
              <w:jc w:val="left"/>
              <w:outlineLvl w:val="1"/>
              <w:rPr>
                <w:rFonts w:ascii="Times New Roman" w:hAnsi="Times New Roman"/>
                <w:sz w:val="22"/>
                <w:szCs w:val="21"/>
              </w:rPr>
            </w:pPr>
          </w:p>
        </w:tc>
        <w:tc>
          <w:tcPr>
            <w:tcW w:w="1424" w:type="dxa"/>
            <w:vAlign w:val="center"/>
          </w:tcPr>
          <w:p w14:paraId="70932EBE">
            <w:pPr>
              <w:spacing w:line="360" w:lineRule="atLeast"/>
              <w:ind w:firstLine="431" w:firstLineChars="196"/>
              <w:jc w:val="left"/>
              <w:outlineLvl w:val="1"/>
              <w:rPr>
                <w:rFonts w:ascii="Times New Roman" w:hAnsi="Times New Roman"/>
                <w:sz w:val="22"/>
                <w:szCs w:val="21"/>
              </w:rPr>
            </w:pPr>
          </w:p>
        </w:tc>
        <w:tc>
          <w:tcPr>
            <w:tcW w:w="1466" w:type="dxa"/>
            <w:tcBorders>
              <w:right w:val="single" w:color="auto" w:sz="4" w:space="0"/>
            </w:tcBorders>
            <w:vAlign w:val="center"/>
          </w:tcPr>
          <w:p w14:paraId="1D4CED4F">
            <w:pPr>
              <w:spacing w:line="360" w:lineRule="atLeast"/>
              <w:ind w:firstLine="431" w:firstLineChars="196"/>
              <w:jc w:val="left"/>
              <w:outlineLvl w:val="1"/>
              <w:rPr>
                <w:rFonts w:ascii="Times New Roman" w:hAnsi="Times New Roman"/>
                <w:sz w:val="22"/>
                <w:szCs w:val="21"/>
              </w:rPr>
            </w:pPr>
          </w:p>
        </w:tc>
        <w:tc>
          <w:tcPr>
            <w:tcW w:w="992" w:type="dxa"/>
            <w:tcBorders>
              <w:left w:val="single" w:color="auto" w:sz="4" w:space="0"/>
            </w:tcBorders>
            <w:vAlign w:val="center"/>
          </w:tcPr>
          <w:p w14:paraId="7EE4DA2E">
            <w:pPr>
              <w:spacing w:line="360" w:lineRule="atLeast"/>
              <w:ind w:firstLine="431" w:firstLineChars="196"/>
              <w:jc w:val="left"/>
              <w:outlineLvl w:val="1"/>
              <w:rPr>
                <w:rFonts w:ascii="Times New Roman" w:hAnsi="Times New Roman"/>
                <w:sz w:val="22"/>
                <w:szCs w:val="21"/>
              </w:rPr>
            </w:pPr>
          </w:p>
        </w:tc>
      </w:tr>
      <w:tr w14:paraId="71EAF9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vAlign w:val="center"/>
          </w:tcPr>
          <w:p w14:paraId="6ECFD9E8">
            <w:pPr>
              <w:spacing w:line="360" w:lineRule="atLeast"/>
              <w:ind w:firstLine="431" w:firstLineChars="196"/>
              <w:jc w:val="left"/>
              <w:outlineLvl w:val="1"/>
              <w:rPr>
                <w:rFonts w:ascii="Times New Roman" w:hAnsi="Times New Roman"/>
                <w:sz w:val="22"/>
                <w:szCs w:val="21"/>
              </w:rPr>
            </w:pPr>
          </w:p>
        </w:tc>
        <w:tc>
          <w:tcPr>
            <w:tcW w:w="1440" w:type="dxa"/>
            <w:tcBorders>
              <w:left w:val="single" w:color="auto" w:sz="4" w:space="0"/>
              <w:right w:val="single" w:color="auto" w:sz="4" w:space="0"/>
            </w:tcBorders>
            <w:vAlign w:val="center"/>
          </w:tcPr>
          <w:p w14:paraId="24E4F3D1">
            <w:pPr>
              <w:spacing w:line="360" w:lineRule="atLeast"/>
              <w:ind w:firstLine="431" w:firstLineChars="196"/>
              <w:jc w:val="left"/>
              <w:outlineLvl w:val="1"/>
              <w:rPr>
                <w:rFonts w:ascii="Times New Roman" w:hAnsi="Times New Roman"/>
                <w:sz w:val="22"/>
                <w:szCs w:val="21"/>
              </w:rPr>
            </w:pPr>
          </w:p>
        </w:tc>
        <w:tc>
          <w:tcPr>
            <w:tcW w:w="1320" w:type="dxa"/>
            <w:tcBorders>
              <w:left w:val="single" w:color="auto" w:sz="4" w:space="0"/>
              <w:right w:val="single" w:color="auto" w:sz="4" w:space="0"/>
            </w:tcBorders>
            <w:vAlign w:val="center"/>
          </w:tcPr>
          <w:p w14:paraId="30674B69">
            <w:pPr>
              <w:spacing w:line="360" w:lineRule="atLeast"/>
              <w:ind w:firstLine="431" w:firstLineChars="196"/>
              <w:jc w:val="left"/>
              <w:outlineLvl w:val="1"/>
              <w:rPr>
                <w:rFonts w:ascii="Times New Roman" w:hAnsi="Times New Roman"/>
                <w:sz w:val="22"/>
                <w:szCs w:val="21"/>
              </w:rPr>
            </w:pPr>
          </w:p>
        </w:tc>
        <w:tc>
          <w:tcPr>
            <w:tcW w:w="1161" w:type="dxa"/>
            <w:tcBorders>
              <w:left w:val="single" w:color="auto" w:sz="4" w:space="0"/>
              <w:right w:val="single" w:color="auto" w:sz="4" w:space="0"/>
            </w:tcBorders>
            <w:vAlign w:val="center"/>
          </w:tcPr>
          <w:p w14:paraId="4D605DD0">
            <w:pPr>
              <w:spacing w:line="360" w:lineRule="atLeast"/>
              <w:ind w:firstLine="431" w:firstLineChars="196"/>
              <w:jc w:val="left"/>
              <w:outlineLvl w:val="1"/>
              <w:rPr>
                <w:rFonts w:ascii="Times New Roman" w:hAnsi="Times New Roman"/>
                <w:sz w:val="22"/>
                <w:szCs w:val="21"/>
              </w:rPr>
            </w:pPr>
          </w:p>
        </w:tc>
        <w:tc>
          <w:tcPr>
            <w:tcW w:w="1424" w:type="dxa"/>
            <w:tcBorders>
              <w:left w:val="single" w:color="auto" w:sz="4" w:space="0"/>
              <w:right w:val="single" w:color="auto" w:sz="4" w:space="0"/>
            </w:tcBorders>
            <w:vAlign w:val="center"/>
          </w:tcPr>
          <w:p w14:paraId="4C295629">
            <w:pPr>
              <w:spacing w:line="360" w:lineRule="atLeast"/>
              <w:ind w:firstLine="431" w:firstLineChars="196"/>
              <w:jc w:val="left"/>
              <w:outlineLvl w:val="1"/>
              <w:rPr>
                <w:rFonts w:ascii="Times New Roman" w:hAnsi="Times New Roman"/>
                <w:sz w:val="22"/>
                <w:szCs w:val="21"/>
              </w:rPr>
            </w:pPr>
          </w:p>
        </w:tc>
        <w:tc>
          <w:tcPr>
            <w:tcW w:w="1466" w:type="dxa"/>
            <w:tcBorders>
              <w:left w:val="single" w:color="auto" w:sz="4" w:space="0"/>
              <w:right w:val="single" w:color="auto" w:sz="4" w:space="0"/>
            </w:tcBorders>
            <w:vAlign w:val="center"/>
          </w:tcPr>
          <w:p w14:paraId="526B57FF">
            <w:pPr>
              <w:spacing w:line="360" w:lineRule="atLeast"/>
              <w:ind w:firstLine="431" w:firstLineChars="196"/>
              <w:jc w:val="left"/>
              <w:outlineLvl w:val="1"/>
              <w:rPr>
                <w:rFonts w:ascii="Times New Roman" w:hAnsi="Times New Roman"/>
                <w:sz w:val="22"/>
                <w:szCs w:val="21"/>
              </w:rPr>
            </w:pPr>
          </w:p>
        </w:tc>
        <w:tc>
          <w:tcPr>
            <w:tcW w:w="992" w:type="dxa"/>
            <w:tcBorders>
              <w:left w:val="single" w:color="auto" w:sz="4" w:space="0"/>
            </w:tcBorders>
            <w:vAlign w:val="center"/>
          </w:tcPr>
          <w:p w14:paraId="4978676C">
            <w:pPr>
              <w:spacing w:line="360" w:lineRule="atLeast"/>
              <w:ind w:firstLine="431" w:firstLineChars="196"/>
              <w:jc w:val="left"/>
              <w:outlineLvl w:val="1"/>
              <w:rPr>
                <w:rFonts w:ascii="Times New Roman" w:hAnsi="Times New Roman"/>
                <w:sz w:val="22"/>
                <w:szCs w:val="21"/>
              </w:rPr>
            </w:pPr>
          </w:p>
        </w:tc>
      </w:tr>
      <w:tr w14:paraId="400B10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4CC01355">
            <w:pPr>
              <w:spacing w:line="360" w:lineRule="atLeast"/>
              <w:ind w:firstLine="431" w:firstLineChars="196"/>
              <w:jc w:val="left"/>
              <w:outlineLvl w:val="1"/>
              <w:rPr>
                <w:rFonts w:ascii="Times New Roman" w:hAnsi="Times New Roman"/>
                <w:sz w:val="22"/>
                <w:szCs w:val="21"/>
              </w:rPr>
            </w:pPr>
          </w:p>
        </w:tc>
        <w:tc>
          <w:tcPr>
            <w:tcW w:w="1440" w:type="dxa"/>
            <w:vAlign w:val="center"/>
          </w:tcPr>
          <w:p w14:paraId="200C9957">
            <w:pPr>
              <w:spacing w:line="360" w:lineRule="atLeast"/>
              <w:ind w:firstLine="431" w:firstLineChars="196"/>
              <w:jc w:val="left"/>
              <w:outlineLvl w:val="1"/>
              <w:rPr>
                <w:rFonts w:ascii="Times New Roman" w:hAnsi="Times New Roman"/>
                <w:sz w:val="22"/>
                <w:szCs w:val="21"/>
              </w:rPr>
            </w:pPr>
          </w:p>
        </w:tc>
        <w:tc>
          <w:tcPr>
            <w:tcW w:w="1320" w:type="dxa"/>
            <w:vAlign w:val="center"/>
          </w:tcPr>
          <w:p w14:paraId="66D96EB3">
            <w:pPr>
              <w:spacing w:line="360" w:lineRule="atLeast"/>
              <w:ind w:firstLine="431" w:firstLineChars="196"/>
              <w:jc w:val="left"/>
              <w:outlineLvl w:val="1"/>
              <w:rPr>
                <w:rFonts w:ascii="Times New Roman" w:hAnsi="Times New Roman"/>
                <w:sz w:val="22"/>
                <w:szCs w:val="21"/>
              </w:rPr>
            </w:pPr>
          </w:p>
        </w:tc>
        <w:tc>
          <w:tcPr>
            <w:tcW w:w="1161" w:type="dxa"/>
            <w:vAlign w:val="center"/>
          </w:tcPr>
          <w:p w14:paraId="39EF0293">
            <w:pPr>
              <w:spacing w:line="360" w:lineRule="atLeast"/>
              <w:ind w:firstLine="431" w:firstLineChars="196"/>
              <w:jc w:val="left"/>
              <w:outlineLvl w:val="1"/>
              <w:rPr>
                <w:rFonts w:ascii="Times New Roman" w:hAnsi="Times New Roman"/>
                <w:sz w:val="22"/>
                <w:szCs w:val="21"/>
              </w:rPr>
            </w:pPr>
          </w:p>
        </w:tc>
        <w:tc>
          <w:tcPr>
            <w:tcW w:w="1424" w:type="dxa"/>
            <w:tcBorders>
              <w:right w:val="single" w:color="auto" w:sz="4" w:space="0"/>
            </w:tcBorders>
            <w:vAlign w:val="center"/>
          </w:tcPr>
          <w:p w14:paraId="6C9D4621">
            <w:pPr>
              <w:spacing w:line="360" w:lineRule="atLeast"/>
              <w:ind w:firstLine="431" w:firstLineChars="196"/>
              <w:jc w:val="left"/>
              <w:outlineLvl w:val="1"/>
              <w:rPr>
                <w:rFonts w:ascii="Times New Roman" w:hAnsi="Times New Roman"/>
                <w:sz w:val="22"/>
                <w:szCs w:val="21"/>
              </w:rPr>
            </w:pPr>
          </w:p>
        </w:tc>
        <w:tc>
          <w:tcPr>
            <w:tcW w:w="1466" w:type="dxa"/>
            <w:tcBorders>
              <w:left w:val="single" w:color="auto" w:sz="4" w:space="0"/>
              <w:right w:val="single" w:color="auto" w:sz="4" w:space="0"/>
            </w:tcBorders>
            <w:vAlign w:val="center"/>
          </w:tcPr>
          <w:p w14:paraId="3EFCF737">
            <w:pPr>
              <w:spacing w:line="360" w:lineRule="atLeast"/>
              <w:ind w:firstLine="431" w:firstLineChars="196"/>
              <w:jc w:val="left"/>
              <w:outlineLvl w:val="1"/>
              <w:rPr>
                <w:rFonts w:ascii="Times New Roman" w:hAnsi="Times New Roman"/>
                <w:sz w:val="22"/>
                <w:szCs w:val="21"/>
              </w:rPr>
            </w:pPr>
          </w:p>
        </w:tc>
        <w:tc>
          <w:tcPr>
            <w:tcW w:w="992" w:type="dxa"/>
            <w:tcBorders>
              <w:left w:val="single" w:color="auto" w:sz="4" w:space="0"/>
            </w:tcBorders>
            <w:vAlign w:val="center"/>
          </w:tcPr>
          <w:p w14:paraId="6FF3813D">
            <w:pPr>
              <w:spacing w:line="360" w:lineRule="atLeast"/>
              <w:ind w:firstLine="431" w:firstLineChars="196"/>
              <w:jc w:val="left"/>
              <w:outlineLvl w:val="1"/>
              <w:rPr>
                <w:rFonts w:ascii="Times New Roman" w:hAnsi="Times New Roman"/>
                <w:sz w:val="22"/>
                <w:szCs w:val="21"/>
              </w:rPr>
            </w:pPr>
          </w:p>
        </w:tc>
      </w:tr>
      <w:tr w14:paraId="3BAA82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3A0AF261">
            <w:pPr>
              <w:spacing w:line="360" w:lineRule="atLeast"/>
              <w:ind w:firstLine="431" w:firstLineChars="196"/>
              <w:jc w:val="left"/>
              <w:outlineLvl w:val="1"/>
              <w:rPr>
                <w:rFonts w:ascii="Times New Roman" w:hAnsi="Times New Roman"/>
                <w:sz w:val="22"/>
                <w:szCs w:val="21"/>
              </w:rPr>
            </w:pPr>
          </w:p>
        </w:tc>
        <w:tc>
          <w:tcPr>
            <w:tcW w:w="1440" w:type="dxa"/>
            <w:vAlign w:val="center"/>
          </w:tcPr>
          <w:p w14:paraId="67743000">
            <w:pPr>
              <w:spacing w:line="360" w:lineRule="atLeast"/>
              <w:ind w:firstLine="431" w:firstLineChars="196"/>
              <w:jc w:val="left"/>
              <w:outlineLvl w:val="1"/>
              <w:rPr>
                <w:rFonts w:ascii="Times New Roman" w:hAnsi="Times New Roman"/>
                <w:sz w:val="22"/>
                <w:szCs w:val="21"/>
              </w:rPr>
            </w:pPr>
          </w:p>
        </w:tc>
        <w:tc>
          <w:tcPr>
            <w:tcW w:w="1320" w:type="dxa"/>
            <w:vAlign w:val="center"/>
          </w:tcPr>
          <w:p w14:paraId="435FF6CD">
            <w:pPr>
              <w:spacing w:line="360" w:lineRule="atLeast"/>
              <w:ind w:firstLine="431" w:firstLineChars="196"/>
              <w:jc w:val="left"/>
              <w:outlineLvl w:val="1"/>
              <w:rPr>
                <w:rFonts w:ascii="Times New Roman" w:hAnsi="Times New Roman"/>
                <w:sz w:val="22"/>
                <w:szCs w:val="21"/>
              </w:rPr>
            </w:pPr>
          </w:p>
        </w:tc>
        <w:tc>
          <w:tcPr>
            <w:tcW w:w="1161" w:type="dxa"/>
            <w:vAlign w:val="center"/>
          </w:tcPr>
          <w:p w14:paraId="3C938A05">
            <w:pPr>
              <w:spacing w:line="360" w:lineRule="atLeast"/>
              <w:ind w:firstLine="431" w:firstLineChars="196"/>
              <w:jc w:val="left"/>
              <w:outlineLvl w:val="1"/>
              <w:rPr>
                <w:rFonts w:ascii="Times New Roman" w:hAnsi="Times New Roman"/>
                <w:sz w:val="22"/>
                <w:szCs w:val="21"/>
              </w:rPr>
            </w:pPr>
          </w:p>
        </w:tc>
        <w:tc>
          <w:tcPr>
            <w:tcW w:w="1424" w:type="dxa"/>
            <w:tcBorders>
              <w:right w:val="single" w:color="auto" w:sz="4" w:space="0"/>
            </w:tcBorders>
            <w:vAlign w:val="center"/>
          </w:tcPr>
          <w:p w14:paraId="41385A53">
            <w:pPr>
              <w:spacing w:line="360" w:lineRule="atLeast"/>
              <w:ind w:firstLine="431" w:firstLineChars="196"/>
              <w:jc w:val="left"/>
              <w:outlineLvl w:val="1"/>
              <w:rPr>
                <w:rFonts w:ascii="Times New Roman" w:hAnsi="Times New Roman"/>
                <w:sz w:val="22"/>
                <w:szCs w:val="21"/>
              </w:rPr>
            </w:pPr>
          </w:p>
        </w:tc>
        <w:tc>
          <w:tcPr>
            <w:tcW w:w="1466" w:type="dxa"/>
            <w:tcBorders>
              <w:left w:val="single" w:color="auto" w:sz="4" w:space="0"/>
              <w:right w:val="single" w:color="auto" w:sz="4" w:space="0"/>
            </w:tcBorders>
            <w:vAlign w:val="center"/>
          </w:tcPr>
          <w:p w14:paraId="2E8EDCD7">
            <w:pPr>
              <w:spacing w:line="360" w:lineRule="atLeast"/>
              <w:ind w:firstLine="431" w:firstLineChars="196"/>
              <w:jc w:val="left"/>
              <w:outlineLvl w:val="1"/>
              <w:rPr>
                <w:rFonts w:ascii="Times New Roman" w:hAnsi="Times New Roman"/>
                <w:sz w:val="22"/>
                <w:szCs w:val="21"/>
              </w:rPr>
            </w:pPr>
          </w:p>
        </w:tc>
        <w:tc>
          <w:tcPr>
            <w:tcW w:w="992" w:type="dxa"/>
            <w:tcBorders>
              <w:left w:val="single" w:color="auto" w:sz="4" w:space="0"/>
            </w:tcBorders>
            <w:vAlign w:val="center"/>
          </w:tcPr>
          <w:p w14:paraId="5B00D9A3">
            <w:pPr>
              <w:spacing w:line="360" w:lineRule="atLeast"/>
              <w:ind w:firstLine="431" w:firstLineChars="196"/>
              <w:jc w:val="left"/>
              <w:outlineLvl w:val="1"/>
              <w:rPr>
                <w:rFonts w:ascii="Times New Roman" w:hAnsi="Times New Roman"/>
                <w:sz w:val="22"/>
                <w:szCs w:val="21"/>
              </w:rPr>
            </w:pPr>
          </w:p>
        </w:tc>
      </w:tr>
      <w:tr w14:paraId="4C5D96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65BD03F3">
            <w:pPr>
              <w:spacing w:line="360" w:lineRule="atLeast"/>
              <w:ind w:firstLine="431" w:firstLineChars="196"/>
              <w:jc w:val="left"/>
              <w:outlineLvl w:val="1"/>
              <w:rPr>
                <w:rFonts w:ascii="Times New Roman" w:hAnsi="Times New Roman"/>
                <w:sz w:val="22"/>
                <w:szCs w:val="21"/>
              </w:rPr>
            </w:pPr>
          </w:p>
        </w:tc>
        <w:tc>
          <w:tcPr>
            <w:tcW w:w="1440" w:type="dxa"/>
            <w:vAlign w:val="center"/>
          </w:tcPr>
          <w:p w14:paraId="105F55C0">
            <w:pPr>
              <w:spacing w:line="360" w:lineRule="atLeast"/>
              <w:ind w:firstLine="431" w:firstLineChars="196"/>
              <w:jc w:val="left"/>
              <w:outlineLvl w:val="1"/>
              <w:rPr>
                <w:rFonts w:ascii="Times New Roman" w:hAnsi="Times New Roman"/>
                <w:sz w:val="22"/>
                <w:szCs w:val="21"/>
              </w:rPr>
            </w:pPr>
          </w:p>
        </w:tc>
        <w:tc>
          <w:tcPr>
            <w:tcW w:w="1320" w:type="dxa"/>
            <w:vAlign w:val="center"/>
          </w:tcPr>
          <w:p w14:paraId="3D223EC4">
            <w:pPr>
              <w:spacing w:line="360" w:lineRule="atLeast"/>
              <w:ind w:firstLine="431" w:firstLineChars="196"/>
              <w:jc w:val="left"/>
              <w:outlineLvl w:val="1"/>
              <w:rPr>
                <w:rFonts w:ascii="Times New Roman" w:hAnsi="Times New Roman"/>
                <w:sz w:val="22"/>
                <w:szCs w:val="21"/>
              </w:rPr>
            </w:pPr>
          </w:p>
        </w:tc>
        <w:tc>
          <w:tcPr>
            <w:tcW w:w="1161" w:type="dxa"/>
            <w:vAlign w:val="center"/>
          </w:tcPr>
          <w:p w14:paraId="40F509CE">
            <w:pPr>
              <w:spacing w:line="360" w:lineRule="atLeast"/>
              <w:ind w:firstLine="431" w:firstLineChars="196"/>
              <w:jc w:val="left"/>
              <w:outlineLvl w:val="1"/>
              <w:rPr>
                <w:rFonts w:ascii="Times New Roman" w:hAnsi="Times New Roman"/>
                <w:sz w:val="22"/>
                <w:szCs w:val="21"/>
              </w:rPr>
            </w:pPr>
          </w:p>
        </w:tc>
        <w:tc>
          <w:tcPr>
            <w:tcW w:w="1424" w:type="dxa"/>
            <w:tcBorders>
              <w:right w:val="single" w:color="auto" w:sz="4" w:space="0"/>
            </w:tcBorders>
            <w:vAlign w:val="center"/>
          </w:tcPr>
          <w:p w14:paraId="05B10F9C">
            <w:pPr>
              <w:spacing w:line="360" w:lineRule="atLeast"/>
              <w:ind w:firstLine="431" w:firstLineChars="196"/>
              <w:jc w:val="left"/>
              <w:outlineLvl w:val="1"/>
              <w:rPr>
                <w:rFonts w:ascii="Times New Roman" w:hAnsi="Times New Roman"/>
                <w:sz w:val="22"/>
                <w:szCs w:val="21"/>
              </w:rPr>
            </w:pPr>
          </w:p>
        </w:tc>
        <w:tc>
          <w:tcPr>
            <w:tcW w:w="1466" w:type="dxa"/>
            <w:tcBorders>
              <w:left w:val="single" w:color="auto" w:sz="4" w:space="0"/>
              <w:right w:val="single" w:color="auto" w:sz="4" w:space="0"/>
            </w:tcBorders>
            <w:vAlign w:val="center"/>
          </w:tcPr>
          <w:p w14:paraId="610A60EB">
            <w:pPr>
              <w:spacing w:line="360" w:lineRule="atLeast"/>
              <w:ind w:firstLine="431" w:firstLineChars="196"/>
              <w:jc w:val="left"/>
              <w:outlineLvl w:val="1"/>
              <w:rPr>
                <w:rFonts w:ascii="Times New Roman" w:hAnsi="Times New Roman"/>
                <w:sz w:val="22"/>
                <w:szCs w:val="21"/>
              </w:rPr>
            </w:pPr>
          </w:p>
        </w:tc>
        <w:tc>
          <w:tcPr>
            <w:tcW w:w="992" w:type="dxa"/>
            <w:tcBorders>
              <w:left w:val="single" w:color="auto" w:sz="4" w:space="0"/>
            </w:tcBorders>
            <w:vAlign w:val="center"/>
          </w:tcPr>
          <w:p w14:paraId="5EA4F84C">
            <w:pPr>
              <w:spacing w:line="360" w:lineRule="atLeast"/>
              <w:ind w:firstLine="431" w:firstLineChars="196"/>
              <w:jc w:val="left"/>
              <w:outlineLvl w:val="1"/>
              <w:rPr>
                <w:rFonts w:ascii="Times New Roman" w:hAnsi="Times New Roman"/>
                <w:sz w:val="22"/>
                <w:szCs w:val="21"/>
              </w:rPr>
            </w:pPr>
          </w:p>
        </w:tc>
      </w:tr>
      <w:tr w14:paraId="083A00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vAlign w:val="center"/>
          </w:tcPr>
          <w:p w14:paraId="723CA038">
            <w:pPr>
              <w:spacing w:line="360" w:lineRule="atLeast"/>
              <w:ind w:firstLine="431" w:firstLineChars="196"/>
              <w:jc w:val="left"/>
              <w:outlineLvl w:val="1"/>
              <w:rPr>
                <w:rFonts w:ascii="Times New Roman" w:hAnsi="Times New Roman"/>
                <w:sz w:val="22"/>
                <w:szCs w:val="21"/>
              </w:rPr>
            </w:pPr>
          </w:p>
        </w:tc>
        <w:tc>
          <w:tcPr>
            <w:tcW w:w="1440" w:type="dxa"/>
            <w:tcBorders>
              <w:bottom w:val="single" w:color="auto" w:sz="4" w:space="0"/>
            </w:tcBorders>
            <w:vAlign w:val="center"/>
          </w:tcPr>
          <w:p w14:paraId="36A64B0A">
            <w:pPr>
              <w:spacing w:line="360" w:lineRule="atLeast"/>
              <w:ind w:firstLine="431" w:firstLineChars="196"/>
              <w:jc w:val="left"/>
              <w:outlineLvl w:val="1"/>
              <w:rPr>
                <w:rFonts w:ascii="Times New Roman" w:hAnsi="Times New Roman"/>
                <w:sz w:val="22"/>
                <w:szCs w:val="21"/>
              </w:rPr>
            </w:pPr>
          </w:p>
        </w:tc>
        <w:tc>
          <w:tcPr>
            <w:tcW w:w="1320" w:type="dxa"/>
            <w:tcBorders>
              <w:bottom w:val="single" w:color="auto" w:sz="4" w:space="0"/>
            </w:tcBorders>
            <w:vAlign w:val="center"/>
          </w:tcPr>
          <w:p w14:paraId="5880F182">
            <w:pPr>
              <w:spacing w:line="360" w:lineRule="atLeast"/>
              <w:ind w:firstLine="431" w:firstLineChars="196"/>
              <w:jc w:val="left"/>
              <w:outlineLvl w:val="1"/>
              <w:rPr>
                <w:rFonts w:ascii="Times New Roman" w:hAnsi="Times New Roman"/>
                <w:sz w:val="22"/>
                <w:szCs w:val="21"/>
              </w:rPr>
            </w:pPr>
          </w:p>
        </w:tc>
        <w:tc>
          <w:tcPr>
            <w:tcW w:w="1161" w:type="dxa"/>
            <w:tcBorders>
              <w:bottom w:val="single" w:color="auto" w:sz="4" w:space="0"/>
            </w:tcBorders>
            <w:vAlign w:val="center"/>
          </w:tcPr>
          <w:p w14:paraId="27202F6B">
            <w:pPr>
              <w:spacing w:line="360" w:lineRule="atLeast"/>
              <w:ind w:firstLine="431" w:firstLineChars="196"/>
              <w:jc w:val="left"/>
              <w:outlineLvl w:val="1"/>
              <w:rPr>
                <w:rFonts w:ascii="Times New Roman" w:hAnsi="Times New Roman"/>
                <w:sz w:val="22"/>
                <w:szCs w:val="21"/>
              </w:rPr>
            </w:pPr>
          </w:p>
        </w:tc>
        <w:tc>
          <w:tcPr>
            <w:tcW w:w="1424" w:type="dxa"/>
            <w:tcBorders>
              <w:bottom w:val="single" w:color="auto" w:sz="4" w:space="0"/>
              <w:right w:val="single" w:color="auto" w:sz="4" w:space="0"/>
            </w:tcBorders>
            <w:vAlign w:val="center"/>
          </w:tcPr>
          <w:p w14:paraId="18AC1C68">
            <w:pPr>
              <w:spacing w:line="360" w:lineRule="atLeast"/>
              <w:ind w:firstLine="431" w:firstLineChars="196"/>
              <w:jc w:val="left"/>
              <w:outlineLvl w:val="1"/>
              <w:rPr>
                <w:rFonts w:ascii="Times New Roman" w:hAnsi="Times New Roman"/>
                <w:sz w:val="22"/>
                <w:szCs w:val="21"/>
              </w:rPr>
            </w:pPr>
          </w:p>
        </w:tc>
        <w:tc>
          <w:tcPr>
            <w:tcW w:w="1466" w:type="dxa"/>
            <w:tcBorders>
              <w:left w:val="single" w:color="auto" w:sz="4" w:space="0"/>
              <w:bottom w:val="single" w:color="auto" w:sz="4" w:space="0"/>
              <w:right w:val="single" w:color="auto" w:sz="4" w:space="0"/>
            </w:tcBorders>
            <w:vAlign w:val="center"/>
          </w:tcPr>
          <w:p w14:paraId="5EC46E9D">
            <w:pPr>
              <w:spacing w:line="360" w:lineRule="atLeast"/>
              <w:ind w:firstLine="431" w:firstLineChars="196"/>
              <w:jc w:val="left"/>
              <w:outlineLvl w:val="1"/>
              <w:rPr>
                <w:rFonts w:ascii="Times New Roman" w:hAnsi="Times New Roman"/>
                <w:sz w:val="22"/>
                <w:szCs w:val="21"/>
              </w:rPr>
            </w:pPr>
          </w:p>
        </w:tc>
        <w:tc>
          <w:tcPr>
            <w:tcW w:w="992" w:type="dxa"/>
            <w:tcBorders>
              <w:left w:val="single" w:color="auto" w:sz="4" w:space="0"/>
              <w:bottom w:val="single" w:color="auto" w:sz="4" w:space="0"/>
            </w:tcBorders>
            <w:vAlign w:val="center"/>
          </w:tcPr>
          <w:p w14:paraId="72098768">
            <w:pPr>
              <w:spacing w:line="360" w:lineRule="atLeast"/>
              <w:ind w:firstLine="431" w:firstLineChars="196"/>
              <w:jc w:val="left"/>
              <w:outlineLvl w:val="1"/>
              <w:rPr>
                <w:rFonts w:ascii="Times New Roman" w:hAnsi="Times New Roman"/>
                <w:sz w:val="22"/>
                <w:szCs w:val="21"/>
              </w:rPr>
            </w:pPr>
          </w:p>
        </w:tc>
      </w:tr>
      <w:tr w14:paraId="53361E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vAlign w:val="center"/>
          </w:tcPr>
          <w:p w14:paraId="2E9202D5">
            <w:pPr>
              <w:spacing w:line="360" w:lineRule="atLeast"/>
              <w:ind w:firstLine="431" w:firstLineChars="196"/>
              <w:jc w:val="left"/>
              <w:outlineLvl w:val="1"/>
              <w:rPr>
                <w:rFonts w:ascii="Times New Roman" w:hAnsi="Times New Roman"/>
                <w:sz w:val="22"/>
                <w:szCs w:val="21"/>
              </w:rPr>
            </w:pPr>
          </w:p>
        </w:tc>
        <w:tc>
          <w:tcPr>
            <w:tcW w:w="1440" w:type="dxa"/>
            <w:tcBorders>
              <w:top w:val="single" w:color="auto" w:sz="4" w:space="0"/>
              <w:bottom w:val="single" w:color="auto" w:sz="4" w:space="0"/>
            </w:tcBorders>
            <w:vAlign w:val="center"/>
          </w:tcPr>
          <w:p w14:paraId="63B9B2C7">
            <w:pPr>
              <w:spacing w:line="360" w:lineRule="atLeast"/>
              <w:ind w:firstLine="431" w:firstLineChars="196"/>
              <w:jc w:val="left"/>
              <w:outlineLvl w:val="1"/>
              <w:rPr>
                <w:rFonts w:ascii="Times New Roman" w:hAnsi="Times New Roman"/>
                <w:sz w:val="22"/>
                <w:szCs w:val="21"/>
              </w:rPr>
            </w:pPr>
          </w:p>
        </w:tc>
        <w:tc>
          <w:tcPr>
            <w:tcW w:w="1320" w:type="dxa"/>
            <w:tcBorders>
              <w:top w:val="single" w:color="auto" w:sz="4" w:space="0"/>
              <w:bottom w:val="single" w:color="auto" w:sz="4" w:space="0"/>
            </w:tcBorders>
            <w:vAlign w:val="center"/>
          </w:tcPr>
          <w:p w14:paraId="0DDB8F80">
            <w:pPr>
              <w:spacing w:line="360" w:lineRule="atLeast"/>
              <w:ind w:firstLine="431" w:firstLineChars="196"/>
              <w:jc w:val="left"/>
              <w:outlineLvl w:val="1"/>
              <w:rPr>
                <w:rFonts w:ascii="Times New Roman" w:hAnsi="Times New Roman"/>
                <w:sz w:val="22"/>
                <w:szCs w:val="21"/>
              </w:rPr>
            </w:pPr>
          </w:p>
        </w:tc>
        <w:tc>
          <w:tcPr>
            <w:tcW w:w="1161" w:type="dxa"/>
            <w:tcBorders>
              <w:top w:val="single" w:color="auto" w:sz="4" w:space="0"/>
              <w:bottom w:val="single" w:color="auto" w:sz="4" w:space="0"/>
            </w:tcBorders>
            <w:vAlign w:val="center"/>
          </w:tcPr>
          <w:p w14:paraId="3B550E1B">
            <w:pPr>
              <w:spacing w:line="360" w:lineRule="atLeast"/>
              <w:ind w:firstLine="431" w:firstLineChars="196"/>
              <w:jc w:val="left"/>
              <w:outlineLvl w:val="1"/>
              <w:rPr>
                <w:rFonts w:ascii="Times New Roman" w:hAnsi="Times New Roman"/>
                <w:sz w:val="22"/>
                <w:szCs w:val="21"/>
              </w:rPr>
            </w:pPr>
          </w:p>
        </w:tc>
        <w:tc>
          <w:tcPr>
            <w:tcW w:w="1424" w:type="dxa"/>
            <w:tcBorders>
              <w:top w:val="single" w:color="auto" w:sz="4" w:space="0"/>
              <w:bottom w:val="single" w:color="auto" w:sz="4" w:space="0"/>
              <w:right w:val="single" w:color="auto" w:sz="4" w:space="0"/>
            </w:tcBorders>
            <w:vAlign w:val="center"/>
          </w:tcPr>
          <w:p w14:paraId="20B9BCE8">
            <w:pPr>
              <w:spacing w:line="360" w:lineRule="atLeast"/>
              <w:ind w:firstLine="431" w:firstLineChars="196"/>
              <w:jc w:val="left"/>
              <w:outlineLvl w:val="1"/>
              <w:rPr>
                <w:rFonts w:ascii="Times New Roman" w:hAnsi="Times New Roman"/>
                <w:sz w:val="22"/>
                <w:szCs w:val="21"/>
              </w:rPr>
            </w:pPr>
          </w:p>
        </w:tc>
        <w:tc>
          <w:tcPr>
            <w:tcW w:w="1466" w:type="dxa"/>
            <w:tcBorders>
              <w:top w:val="single" w:color="auto" w:sz="4" w:space="0"/>
              <w:left w:val="single" w:color="auto" w:sz="4" w:space="0"/>
              <w:bottom w:val="single" w:color="auto" w:sz="4" w:space="0"/>
              <w:right w:val="single" w:color="auto" w:sz="4" w:space="0"/>
            </w:tcBorders>
            <w:vAlign w:val="center"/>
          </w:tcPr>
          <w:p w14:paraId="4228A543">
            <w:pPr>
              <w:spacing w:line="360" w:lineRule="atLeast"/>
              <w:ind w:firstLine="431" w:firstLineChars="196"/>
              <w:jc w:val="left"/>
              <w:outlineLvl w:val="1"/>
              <w:rPr>
                <w:rFonts w:ascii="Times New Roman" w:hAnsi="Times New Roman"/>
                <w:sz w:val="22"/>
                <w:szCs w:val="21"/>
              </w:rPr>
            </w:pPr>
          </w:p>
        </w:tc>
        <w:tc>
          <w:tcPr>
            <w:tcW w:w="992" w:type="dxa"/>
            <w:tcBorders>
              <w:top w:val="single" w:color="auto" w:sz="4" w:space="0"/>
              <w:left w:val="single" w:color="auto" w:sz="4" w:space="0"/>
              <w:bottom w:val="single" w:color="auto" w:sz="4" w:space="0"/>
            </w:tcBorders>
            <w:vAlign w:val="center"/>
          </w:tcPr>
          <w:p w14:paraId="6616FC85">
            <w:pPr>
              <w:spacing w:line="360" w:lineRule="atLeast"/>
              <w:ind w:firstLine="431" w:firstLineChars="196"/>
              <w:jc w:val="left"/>
              <w:outlineLvl w:val="1"/>
              <w:rPr>
                <w:rFonts w:ascii="Times New Roman" w:hAnsi="Times New Roman"/>
                <w:sz w:val="22"/>
                <w:szCs w:val="21"/>
              </w:rPr>
            </w:pPr>
          </w:p>
        </w:tc>
      </w:tr>
    </w:tbl>
    <w:p w14:paraId="79AC0A80">
      <w:pPr>
        <w:spacing w:line="360" w:lineRule="atLeast"/>
        <w:ind w:firstLine="431" w:firstLineChars="196"/>
        <w:jc w:val="left"/>
        <w:outlineLvl w:val="1"/>
        <w:rPr>
          <w:rFonts w:ascii="Times New Roman" w:hAnsi="Times New Roman"/>
          <w:sz w:val="22"/>
          <w:szCs w:val="21"/>
        </w:rPr>
      </w:pPr>
    </w:p>
    <w:p w14:paraId="299F1816">
      <w:pPr>
        <w:tabs>
          <w:tab w:val="left" w:pos="555"/>
          <w:tab w:val="left" w:pos="2214"/>
          <w:tab w:val="left" w:pos="3774"/>
          <w:tab w:val="left" w:pos="4854"/>
          <w:tab w:val="left" w:pos="5934"/>
          <w:tab w:val="left" w:pos="7014"/>
          <w:tab w:val="left" w:pos="8214"/>
          <w:tab w:val="left" w:pos="10134"/>
          <w:tab w:val="left" w:pos="11124"/>
        </w:tabs>
        <w:spacing w:line="400" w:lineRule="exact"/>
        <w:ind w:left="581" w:leftChars="171" w:firstLine="330" w:firstLineChars="150"/>
        <w:rPr>
          <w:rFonts w:ascii="Times New Roman" w:hAnsi="Times New Roman"/>
          <w:sz w:val="22"/>
          <w:szCs w:val="21"/>
        </w:rPr>
      </w:pPr>
      <w:r>
        <w:rPr>
          <w:rFonts w:hint="eastAsia" w:ascii="Times New Roman" w:hAnsi="宋体"/>
          <w:sz w:val="22"/>
          <w:szCs w:val="21"/>
        </w:rPr>
        <w:t>注：</w:t>
      </w:r>
      <w:r>
        <w:rPr>
          <w:rFonts w:ascii="Times New Roman" w:hAnsi="Times New Roman"/>
          <w:sz w:val="22"/>
          <w:szCs w:val="21"/>
        </w:rPr>
        <w:t>1.</w:t>
      </w:r>
      <w:r>
        <w:rPr>
          <w:rFonts w:hint="eastAsia" w:ascii="Times New Roman" w:hAnsi="宋体"/>
          <w:sz w:val="22"/>
          <w:szCs w:val="21"/>
        </w:rPr>
        <w:t>以上业绩须提供有关书面证明材料。</w:t>
      </w:r>
    </w:p>
    <w:p w14:paraId="1412A570">
      <w:pPr>
        <w:spacing w:line="360" w:lineRule="atLeast"/>
        <w:ind w:firstLine="431" w:firstLineChars="196"/>
        <w:jc w:val="left"/>
        <w:outlineLvl w:val="1"/>
        <w:rPr>
          <w:rFonts w:ascii="Times New Roman" w:hAnsi="Times New Roman"/>
          <w:sz w:val="22"/>
          <w:szCs w:val="21"/>
        </w:rPr>
      </w:pPr>
    </w:p>
    <w:p w14:paraId="6E815567">
      <w:pPr>
        <w:spacing w:line="360" w:lineRule="atLeast"/>
        <w:ind w:firstLine="431" w:firstLineChars="196"/>
        <w:jc w:val="left"/>
        <w:outlineLvl w:val="1"/>
        <w:rPr>
          <w:rFonts w:ascii="Times New Roman" w:hAnsi="Times New Roman"/>
          <w:sz w:val="22"/>
          <w:szCs w:val="21"/>
        </w:rPr>
      </w:pPr>
    </w:p>
    <w:p w14:paraId="34467902">
      <w:pPr>
        <w:pStyle w:val="8"/>
        <w:rPr>
          <w:rFonts w:ascii="Times New Roman" w:hAnsi="Times New Roman"/>
          <w:sz w:val="32"/>
          <w:szCs w:val="22"/>
        </w:rPr>
      </w:pPr>
    </w:p>
    <w:p w14:paraId="505591EE">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投标人名称：（盖公章）</w:t>
      </w:r>
    </w:p>
    <w:p w14:paraId="310F809F">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法定代表人或委托代理人（签字或盖章）：</w:t>
      </w:r>
    </w:p>
    <w:p w14:paraId="62F65FDF">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日期</w:t>
      </w:r>
      <w:r>
        <w:rPr>
          <w:rFonts w:ascii="Times New Roman" w:hAnsi="Times New Roman"/>
          <w:sz w:val="22"/>
          <w:szCs w:val="21"/>
        </w:rPr>
        <w:t>:</w:t>
      </w:r>
    </w:p>
    <w:p w14:paraId="79B151EA">
      <w:pPr>
        <w:spacing w:line="360" w:lineRule="atLeast"/>
        <w:jc w:val="left"/>
        <w:outlineLvl w:val="1"/>
        <w:rPr>
          <w:rFonts w:ascii="Times New Roman" w:hAnsi="Times New Roman"/>
          <w:b/>
          <w:sz w:val="22"/>
          <w:szCs w:val="21"/>
        </w:rPr>
      </w:pPr>
    </w:p>
    <w:p w14:paraId="6C8F72A0">
      <w:pPr>
        <w:spacing w:line="360" w:lineRule="auto"/>
        <w:rPr>
          <w:rFonts w:ascii="Times New Roman" w:hAnsi="Times New Roman"/>
          <w:b/>
          <w:sz w:val="28"/>
          <w:szCs w:val="28"/>
        </w:rPr>
      </w:pPr>
      <w:r>
        <w:rPr>
          <w:rFonts w:ascii="Times New Roman" w:hAnsi="Times New Roman" w:eastAsia="黑体"/>
          <w:b/>
          <w:sz w:val="28"/>
          <w:szCs w:val="28"/>
        </w:rPr>
        <w:br w:type="page"/>
      </w:r>
      <w:r>
        <w:rPr>
          <w:rFonts w:hint="eastAsia" w:ascii="Times New Roman" w:hAnsi="宋体"/>
          <w:b/>
          <w:sz w:val="28"/>
          <w:szCs w:val="28"/>
        </w:rPr>
        <w:t>格式</w:t>
      </w:r>
      <w:r>
        <w:rPr>
          <w:rFonts w:ascii="Times New Roman" w:hAnsi="Times New Roman"/>
          <w:b/>
          <w:sz w:val="28"/>
          <w:szCs w:val="28"/>
        </w:rPr>
        <w:t>2-10</w:t>
      </w:r>
    </w:p>
    <w:p w14:paraId="0DF3599E">
      <w:pPr>
        <w:spacing w:line="360" w:lineRule="atLeast"/>
        <w:jc w:val="center"/>
        <w:outlineLvl w:val="1"/>
        <w:rPr>
          <w:rFonts w:ascii="Times New Roman" w:hAnsi="Times New Roman" w:eastAsia="黑体"/>
          <w:b/>
          <w:sz w:val="28"/>
          <w:szCs w:val="28"/>
        </w:rPr>
      </w:pPr>
      <w:r>
        <w:rPr>
          <w:rFonts w:hint="eastAsia" w:ascii="Times New Roman" w:hAnsi="Times New Roman" w:eastAsia="黑体"/>
          <w:b/>
          <w:sz w:val="28"/>
          <w:szCs w:val="28"/>
        </w:rPr>
        <w:t>九、投标产品技术参数表</w:t>
      </w:r>
    </w:p>
    <w:p w14:paraId="7CE9B551">
      <w:pPr>
        <w:spacing w:line="360" w:lineRule="atLeast"/>
        <w:ind w:firstLine="433" w:firstLineChars="196"/>
        <w:jc w:val="left"/>
        <w:outlineLvl w:val="1"/>
        <w:rPr>
          <w:rFonts w:ascii="Times New Roman" w:hAnsi="Times New Roman"/>
          <w:b/>
          <w:sz w:val="22"/>
          <w:szCs w:val="21"/>
        </w:rPr>
      </w:pPr>
    </w:p>
    <w:p w14:paraId="5B2F3522">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招标编号</w:t>
      </w:r>
      <w:r>
        <w:rPr>
          <w:rFonts w:ascii="Times New Roman" w:hAnsi="Times New Roman"/>
          <w:sz w:val="22"/>
          <w:szCs w:val="21"/>
        </w:rPr>
        <w:t>/</w:t>
      </w:r>
      <w:r>
        <w:rPr>
          <w:rFonts w:hint="eastAsia" w:ascii="Times New Roman" w:hAnsi="Times New Roman"/>
          <w:sz w:val="22"/>
          <w:szCs w:val="21"/>
        </w:rPr>
        <w:t>包号：</w:t>
      </w:r>
    </w:p>
    <w:tbl>
      <w:tblPr>
        <w:tblStyle w:val="1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1522"/>
        <w:gridCol w:w="1856"/>
        <w:gridCol w:w="2294"/>
        <w:gridCol w:w="1758"/>
      </w:tblGrid>
      <w:tr w14:paraId="67478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14:paraId="67D13BAD">
            <w:pPr>
              <w:spacing w:line="360" w:lineRule="atLeast"/>
              <w:jc w:val="center"/>
              <w:outlineLvl w:val="1"/>
              <w:rPr>
                <w:rFonts w:ascii="Times New Roman" w:hAnsi="Times New Roman"/>
                <w:sz w:val="22"/>
                <w:szCs w:val="21"/>
              </w:rPr>
            </w:pPr>
            <w:r>
              <w:rPr>
                <w:rFonts w:hint="eastAsia" w:ascii="Times New Roman" w:hAnsi="Times New Roman"/>
                <w:sz w:val="22"/>
                <w:szCs w:val="21"/>
              </w:rPr>
              <w:t>序号</w:t>
            </w:r>
          </w:p>
        </w:tc>
        <w:tc>
          <w:tcPr>
            <w:tcW w:w="1522" w:type="dxa"/>
            <w:vAlign w:val="center"/>
          </w:tcPr>
          <w:p w14:paraId="0765ED2B">
            <w:pPr>
              <w:spacing w:line="360" w:lineRule="atLeast"/>
              <w:jc w:val="center"/>
              <w:outlineLvl w:val="1"/>
              <w:rPr>
                <w:rFonts w:ascii="Times New Roman" w:hAnsi="Times New Roman"/>
                <w:sz w:val="22"/>
                <w:szCs w:val="21"/>
              </w:rPr>
            </w:pPr>
            <w:r>
              <w:rPr>
                <w:rFonts w:hint="eastAsia" w:ascii="Times New Roman" w:hAnsi="Times New Roman"/>
                <w:sz w:val="22"/>
                <w:szCs w:val="21"/>
              </w:rPr>
              <w:t>货物名称</w:t>
            </w:r>
          </w:p>
        </w:tc>
        <w:tc>
          <w:tcPr>
            <w:tcW w:w="1856" w:type="dxa"/>
            <w:vAlign w:val="center"/>
          </w:tcPr>
          <w:p w14:paraId="6B111A0D">
            <w:pPr>
              <w:spacing w:line="360" w:lineRule="atLeast"/>
              <w:jc w:val="center"/>
              <w:outlineLvl w:val="1"/>
              <w:rPr>
                <w:rFonts w:ascii="Times New Roman" w:hAnsi="Times New Roman"/>
                <w:sz w:val="22"/>
                <w:szCs w:val="21"/>
              </w:rPr>
            </w:pPr>
            <w:r>
              <w:rPr>
                <w:rFonts w:hint="eastAsia" w:ascii="Times New Roman" w:hAnsi="Times New Roman"/>
                <w:sz w:val="22"/>
                <w:szCs w:val="21"/>
              </w:rPr>
              <w:t>招标文件要求</w:t>
            </w:r>
          </w:p>
        </w:tc>
        <w:tc>
          <w:tcPr>
            <w:tcW w:w="2294" w:type="dxa"/>
            <w:vAlign w:val="center"/>
          </w:tcPr>
          <w:p w14:paraId="518F7199">
            <w:pPr>
              <w:spacing w:line="360" w:lineRule="atLeast"/>
              <w:jc w:val="center"/>
              <w:outlineLvl w:val="1"/>
              <w:rPr>
                <w:rFonts w:ascii="Times New Roman" w:hAnsi="Times New Roman"/>
                <w:sz w:val="22"/>
                <w:szCs w:val="21"/>
              </w:rPr>
            </w:pPr>
            <w:r>
              <w:rPr>
                <w:rFonts w:hint="eastAsia" w:ascii="Times New Roman" w:hAnsi="Times New Roman"/>
                <w:sz w:val="22"/>
                <w:szCs w:val="21"/>
              </w:rPr>
              <w:t>投标产品技术参数</w:t>
            </w:r>
          </w:p>
        </w:tc>
        <w:tc>
          <w:tcPr>
            <w:tcW w:w="1758" w:type="dxa"/>
            <w:vAlign w:val="center"/>
          </w:tcPr>
          <w:p w14:paraId="6FF28CFA">
            <w:pPr>
              <w:spacing w:line="360" w:lineRule="atLeast"/>
              <w:jc w:val="center"/>
              <w:outlineLvl w:val="1"/>
              <w:rPr>
                <w:rFonts w:ascii="Times New Roman" w:hAnsi="Times New Roman"/>
                <w:sz w:val="22"/>
                <w:szCs w:val="21"/>
              </w:rPr>
            </w:pPr>
            <w:r>
              <w:rPr>
                <w:rFonts w:hint="eastAsia" w:ascii="Times New Roman" w:hAnsi="Times New Roman"/>
                <w:sz w:val="22"/>
                <w:szCs w:val="21"/>
              </w:rPr>
              <w:t>响应</w:t>
            </w:r>
            <w:r>
              <w:rPr>
                <w:rFonts w:ascii="Times New Roman" w:hAnsi="Times New Roman"/>
                <w:sz w:val="22"/>
                <w:szCs w:val="21"/>
              </w:rPr>
              <w:t>/</w:t>
            </w:r>
            <w:r>
              <w:rPr>
                <w:rFonts w:hint="eastAsia" w:ascii="Times New Roman" w:hAnsi="Times New Roman"/>
                <w:sz w:val="22"/>
                <w:szCs w:val="21"/>
              </w:rPr>
              <w:t>偏离</w:t>
            </w:r>
          </w:p>
        </w:tc>
      </w:tr>
      <w:tr w14:paraId="72D95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tcPr>
          <w:p w14:paraId="3BE1AED0">
            <w:pPr>
              <w:spacing w:line="360" w:lineRule="atLeast"/>
              <w:ind w:firstLine="431" w:firstLineChars="196"/>
              <w:jc w:val="left"/>
              <w:outlineLvl w:val="1"/>
              <w:rPr>
                <w:rFonts w:ascii="Times New Roman" w:hAnsi="Times New Roman"/>
                <w:sz w:val="22"/>
                <w:szCs w:val="21"/>
              </w:rPr>
            </w:pPr>
          </w:p>
        </w:tc>
        <w:tc>
          <w:tcPr>
            <w:tcW w:w="1522" w:type="dxa"/>
          </w:tcPr>
          <w:p w14:paraId="01A23E12">
            <w:pPr>
              <w:spacing w:line="360" w:lineRule="atLeast"/>
              <w:ind w:firstLine="431" w:firstLineChars="196"/>
              <w:jc w:val="left"/>
              <w:outlineLvl w:val="1"/>
              <w:rPr>
                <w:rFonts w:ascii="Times New Roman" w:hAnsi="Times New Roman"/>
                <w:sz w:val="22"/>
                <w:szCs w:val="21"/>
              </w:rPr>
            </w:pPr>
          </w:p>
        </w:tc>
        <w:tc>
          <w:tcPr>
            <w:tcW w:w="1856" w:type="dxa"/>
          </w:tcPr>
          <w:p w14:paraId="1F30EB0B">
            <w:pPr>
              <w:spacing w:line="360" w:lineRule="atLeast"/>
              <w:ind w:firstLine="431" w:firstLineChars="196"/>
              <w:jc w:val="left"/>
              <w:outlineLvl w:val="1"/>
              <w:rPr>
                <w:rFonts w:ascii="Times New Roman" w:hAnsi="Times New Roman"/>
                <w:sz w:val="22"/>
                <w:szCs w:val="21"/>
              </w:rPr>
            </w:pPr>
          </w:p>
        </w:tc>
        <w:tc>
          <w:tcPr>
            <w:tcW w:w="2294" w:type="dxa"/>
          </w:tcPr>
          <w:p w14:paraId="2C211750">
            <w:pPr>
              <w:spacing w:line="360" w:lineRule="atLeast"/>
              <w:ind w:firstLine="431" w:firstLineChars="196"/>
              <w:jc w:val="left"/>
              <w:outlineLvl w:val="1"/>
              <w:rPr>
                <w:rFonts w:ascii="Times New Roman" w:hAnsi="Times New Roman"/>
                <w:sz w:val="22"/>
                <w:szCs w:val="21"/>
              </w:rPr>
            </w:pPr>
          </w:p>
        </w:tc>
        <w:tc>
          <w:tcPr>
            <w:tcW w:w="1758" w:type="dxa"/>
          </w:tcPr>
          <w:p w14:paraId="18BC16EF">
            <w:pPr>
              <w:spacing w:line="360" w:lineRule="atLeast"/>
              <w:ind w:firstLine="431" w:firstLineChars="196"/>
              <w:jc w:val="left"/>
              <w:outlineLvl w:val="1"/>
              <w:rPr>
                <w:rFonts w:ascii="Times New Roman" w:hAnsi="Times New Roman"/>
                <w:sz w:val="22"/>
                <w:szCs w:val="21"/>
              </w:rPr>
            </w:pPr>
          </w:p>
        </w:tc>
      </w:tr>
      <w:tr w14:paraId="241B3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tcPr>
          <w:p w14:paraId="29C53BE7">
            <w:pPr>
              <w:spacing w:line="360" w:lineRule="atLeast"/>
              <w:ind w:firstLine="431" w:firstLineChars="196"/>
              <w:jc w:val="left"/>
              <w:outlineLvl w:val="1"/>
              <w:rPr>
                <w:rFonts w:ascii="Times New Roman" w:hAnsi="Times New Roman"/>
                <w:sz w:val="22"/>
                <w:szCs w:val="21"/>
              </w:rPr>
            </w:pPr>
          </w:p>
        </w:tc>
        <w:tc>
          <w:tcPr>
            <w:tcW w:w="1522" w:type="dxa"/>
          </w:tcPr>
          <w:p w14:paraId="351DBD3E">
            <w:pPr>
              <w:spacing w:line="360" w:lineRule="atLeast"/>
              <w:ind w:firstLine="431" w:firstLineChars="196"/>
              <w:jc w:val="left"/>
              <w:outlineLvl w:val="1"/>
              <w:rPr>
                <w:rFonts w:ascii="Times New Roman" w:hAnsi="Times New Roman"/>
                <w:sz w:val="22"/>
                <w:szCs w:val="21"/>
              </w:rPr>
            </w:pPr>
          </w:p>
        </w:tc>
        <w:tc>
          <w:tcPr>
            <w:tcW w:w="1856" w:type="dxa"/>
          </w:tcPr>
          <w:p w14:paraId="163339BA">
            <w:pPr>
              <w:spacing w:line="360" w:lineRule="atLeast"/>
              <w:ind w:firstLine="431" w:firstLineChars="196"/>
              <w:jc w:val="left"/>
              <w:outlineLvl w:val="1"/>
              <w:rPr>
                <w:rFonts w:ascii="Times New Roman" w:hAnsi="Times New Roman"/>
                <w:sz w:val="22"/>
                <w:szCs w:val="21"/>
              </w:rPr>
            </w:pPr>
          </w:p>
        </w:tc>
        <w:tc>
          <w:tcPr>
            <w:tcW w:w="2294" w:type="dxa"/>
          </w:tcPr>
          <w:p w14:paraId="2B52442C">
            <w:pPr>
              <w:spacing w:line="360" w:lineRule="atLeast"/>
              <w:ind w:firstLine="431" w:firstLineChars="196"/>
              <w:jc w:val="left"/>
              <w:outlineLvl w:val="1"/>
              <w:rPr>
                <w:rFonts w:ascii="Times New Roman" w:hAnsi="Times New Roman"/>
                <w:sz w:val="22"/>
                <w:szCs w:val="21"/>
              </w:rPr>
            </w:pPr>
          </w:p>
        </w:tc>
        <w:tc>
          <w:tcPr>
            <w:tcW w:w="1758" w:type="dxa"/>
          </w:tcPr>
          <w:p w14:paraId="4D16C1FF">
            <w:pPr>
              <w:spacing w:line="360" w:lineRule="atLeast"/>
              <w:ind w:firstLine="431" w:firstLineChars="196"/>
              <w:jc w:val="left"/>
              <w:outlineLvl w:val="1"/>
              <w:rPr>
                <w:rFonts w:ascii="Times New Roman" w:hAnsi="Times New Roman"/>
                <w:sz w:val="22"/>
                <w:szCs w:val="21"/>
              </w:rPr>
            </w:pPr>
          </w:p>
        </w:tc>
      </w:tr>
      <w:tr w14:paraId="2CAA7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tcPr>
          <w:p w14:paraId="69B340D0">
            <w:pPr>
              <w:spacing w:line="360" w:lineRule="atLeast"/>
              <w:ind w:firstLine="431" w:firstLineChars="196"/>
              <w:jc w:val="left"/>
              <w:outlineLvl w:val="1"/>
              <w:rPr>
                <w:rFonts w:ascii="Times New Roman" w:hAnsi="Times New Roman"/>
                <w:sz w:val="22"/>
                <w:szCs w:val="21"/>
              </w:rPr>
            </w:pPr>
          </w:p>
        </w:tc>
        <w:tc>
          <w:tcPr>
            <w:tcW w:w="1522" w:type="dxa"/>
          </w:tcPr>
          <w:p w14:paraId="4D8B6F16">
            <w:pPr>
              <w:spacing w:line="360" w:lineRule="atLeast"/>
              <w:ind w:firstLine="431" w:firstLineChars="196"/>
              <w:jc w:val="left"/>
              <w:outlineLvl w:val="1"/>
              <w:rPr>
                <w:rFonts w:ascii="Times New Roman" w:hAnsi="Times New Roman"/>
                <w:sz w:val="22"/>
                <w:szCs w:val="21"/>
              </w:rPr>
            </w:pPr>
          </w:p>
        </w:tc>
        <w:tc>
          <w:tcPr>
            <w:tcW w:w="1856" w:type="dxa"/>
          </w:tcPr>
          <w:p w14:paraId="37553E8F">
            <w:pPr>
              <w:spacing w:line="360" w:lineRule="atLeast"/>
              <w:ind w:firstLine="431" w:firstLineChars="196"/>
              <w:jc w:val="left"/>
              <w:outlineLvl w:val="1"/>
              <w:rPr>
                <w:rFonts w:ascii="Times New Roman" w:hAnsi="Times New Roman"/>
                <w:sz w:val="22"/>
                <w:szCs w:val="21"/>
              </w:rPr>
            </w:pPr>
          </w:p>
        </w:tc>
        <w:tc>
          <w:tcPr>
            <w:tcW w:w="2294" w:type="dxa"/>
          </w:tcPr>
          <w:p w14:paraId="3C805D96">
            <w:pPr>
              <w:spacing w:line="360" w:lineRule="atLeast"/>
              <w:ind w:firstLine="431" w:firstLineChars="196"/>
              <w:jc w:val="left"/>
              <w:outlineLvl w:val="1"/>
              <w:rPr>
                <w:rFonts w:ascii="Times New Roman" w:hAnsi="Times New Roman"/>
                <w:sz w:val="22"/>
                <w:szCs w:val="21"/>
              </w:rPr>
            </w:pPr>
          </w:p>
        </w:tc>
        <w:tc>
          <w:tcPr>
            <w:tcW w:w="1758" w:type="dxa"/>
          </w:tcPr>
          <w:p w14:paraId="68E0BAB9">
            <w:pPr>
              <w:spacing w:line="360" w:lineRule="atLeast"/>
              <w:ind w:firstLine="431" w:firstLineChars="196"/>
              <w:jc w:val="left"/>
              <w:outlineLvl w:val="1"/>
              <w:rPr>
                <w:rFonts w:ascii="Times New Roman" w:hAnsi="Times New Roman"/>
                <w:sz w:val="22"/>
                <w:szCs w:val="21"/>
              </w:rPr>
            </w:pPr>
          </w:p>
        </w:tc>
      </w:tr>
      <w:tr w14:paraId="65AFE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tcPr>
          <w:p w14:paraId="6F959935">
            <w:pPr>
              <w:spacing w:line="360" w:lineRule="atLeast"/>
              <w:ind w:firstLine="431" w:firstLineChars="196"/>
              <w:jc w:val="left"/>
              <w:outlineLvl w:val="1"/>
              <w:rPr>
                <w:rFonts w:ascii="Times New Roman" w:hAnsi="Times New Roman"/>
                <w:sz w:val="22"/>
                <w:szCs w:val="21"/>
              </w:rPr>
            </w:pPr>
          </w:p>
        </w:tc>
        <w:tc>
          <w:tcPr>
            <w:tcW w:w="1522" w:type="dxa"/>
          </w:tcPr>
          <w:p w14:paraId="3A1A36EC">
            <w:pPr>
              <w:spacing w:line="360" w:lineRule="atLeast"/>
              <w:ind w:firstLine="431" w:firstLineChars="196"/>
              <w:jc w:val="left"/>
              <w:outlineLvl w:val="1"/>
              <w:rPr>
                <w:rFonts w:ascii="Times New Roman" w:hAnsi="Times New Roman"/>
                <w:sz w:val="22"/>
                <w:szCs w:val="21"/>
              </w:rPr>
            </w:pPr>
          </w:p>
        </w:tc>
        <w:tc>
          <w:tcPr>
            <w:tcW w:w="1856" w:type="dxa"/>
          </w:tcPr>
          <w:p w14:paraId="6BD6B50F">
            <w:pPr>
              <w:spacing w:line="360" w:lineRule="atLeast"/>
              <w:ind w:firstLine="431" w:firstLineChars="196"/>
              <w:jc w:val="left"/>
              <w:outlineLvl w:val="1"/>
              <w:rPr>
                <w:rFonts w:ascii="Times New Roman" w:hAnsi="Times New Roman"/>
                <w:sz w:val="22"/>
                <w:szCs w:val="21"/>
              </w:rPr>
            </w:pPr>
          </w:p>
        </w:tc>
        <w:tc>
          <w:tcPr>
            <w:tcW w:w="2294" w:type="dxa"/>
          </w:tcPr>
          <w:p w14:paraId="1A61107E">
            <w:pPr>
              <w:spacing w:line="360" w:lineRule="atLeast"/>
              <w:ind w:firstLine="431" w:firstLineChars="196"/>
              <w:jc w:val="left"/>
              <w:outlineLvl w:val="1"/>
              <w:rPr>
                <w:rFonts w:ascii="Times New Roman" w:hAnsi="Times New Roman"/>
                <w:sz w:val="22"/>
                <w:szCs w:val="21"/>
              </w:rPr>
            </w:pPr>
          </w:p>
        </w:tc>
        <w:tc>
          <w:tcPr>
            <w:tcW w:w="1758" w:type="dxa"/>
          </w:tcPr>
          <w:p w14:paraId="6DA58747">
            <w:pPr>
              <w:spacing w:line="360" w:lineRule="atLeast"/>
              <w:ind w:firstLine="431" w:firstLineChars="196"/>
              <w:jc w:val="left"/>
              <w:outlineLvl w:val="1"/>
              <w:rPr>
                <w:rFonts w:ascii="Times New Roman" w:hAnsi="Times New Roman"/>
                <w:sz w:val="22"/>
                <w:szCs w:val="21"/>
              </w:rPr>
            </w:pPr>
          </w:p>
        </w:tc>
      </w:tr>
      <w:tr w14:paraId="730F9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tcPr>
          <w:p w14:paraId="03D36DB7">
            <w:pPr>
              <w:spacing w:line="360" w:lineRule="atLeast"/>
              <w:ind w:firstLine="431" w:firstLineChars="196"/>
              <w:jc w:val="left"/>
              <w:outlineLvl w:val="1"/>
              <w:rPr>
                <w:rFonts w:ascii="Times New Roman" w:hAnsi="Times New Roman"/>
                <w:sz w:val="22"/>
                <w:szCs w:val="21"/>
              </w:rPr>
            </w:pPr>
          </w:p>
        </w:tc>
        <w:tc>
          <w:tcPr>
            <w:tcW w:w="1522" w:type="dxa"/>
          </w:tcPr>
          <w:p w14:paraId="607F0112">
            <w:pPr>
              <w:spacing w:line="360" w:lineRule="atLeast"/>
              <w:ind w:firstLine="431" w:firstLineChars="196"/>
              <w:jc w:val="left"/>
              <w:outlineLvl w:val="1"/>
              <w:rPr>
                <w:rFonts w:ascii="Times New Roman" w:hAnsi="Times New Roman"/>
                <w:sz w:val="22"/>
                <w:szCs w:val="21"/>
              </w:rPr>
            </w:pPr>
          </w:p>
        </w:tc>
        <w:tc>
          <w:tcPr>
            <w:tcW w:w="1856" w:type="dxa"/>
          </w:tcPr>
          <w:p w14:paraId="6C2680B9">
            <w:pPr>
              <w:spacing w:line="360" w:lineRule="atLeast"/>
              <w:ind w:firstLine="431" w:firstLineChars="196"/>
              <w:jc w:val="left"/>
              <w:outlineLvl w:val="1"/>
              <w:rPr>
                <w:rFonts w:ascii="Times New Roman" w:hAnsi="Times New Roman"/>
                <w:sz w:val="22"/>
                <w:szCs w:val="21"/>
              </w:rPr>
            </w:pPr>
          </w:p>
        </w:tc>
        <w:tc>
          <w:tcPr>
            <w:tcW w:w="2294" w:type="dxa"/>
          </w:tcPr>
          <w:p w14:paraId="60D9BDA6">
            <w:pPr>
              <w:spacing w:line="360" w:lineRule="atLeast"/>
              <w:ind w:firstLine="431" w:firstLineChars="196"/>
              <w:jc w:val="left"/>
              <w:outlineLvl w:val="1"/>
              <w:rPr>
                <w:rFonts w:ascii="Times New Roman" w:hAnsi="Times New Roman"/>
                <w:sz w:val="22"/>
                <w:szCs w:val="21"/>
              </w:rPr>
            </w:pPr>
          </w:p>
        </w:tc>
        <w:tc>
          <w:tcPr>
            <w:tcW w:w="1758" w:type="dxa"/>
          </w:tcPr>
          <w:p w14:paraId="62AF2616">
            <w:pPr>
              <w:spacing w:line="360" w:lineRule="atLeast"/>
              <w:ind w:firstLine="431" w:firstLineChars="196"/>
              <w:jc w:val="left"/>
              <w:outlineLvl w:val="1"/>
              <w:rPr>
                <w:rFonts w:ascii="Times New Roman" w:hAnsi="Times New Roman"/>
                <w:sz w:val="22"/>
                <w:szCs w:val="21"/>
              </w:rPr>
            </w:pPr>
          </w:p>
        </w:tc>
      </w:tr>
      <w:tr w14:paraId="34385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tcPr>
          <w:p w14:paraId="76B3B4AD">
            <w:pPr>
              <w:spacing w:line="360" w:lineRule="atLeast"/>
              <w:ind w:firstLine="431" w:firstLineChars="196"/>
              <w:jc w:val="left"/>
              <w:outlineLvl w:val="1"/>
              <w:rPr>
                <w:rFonts w:ascii="Times New Roman" w:hAnsi="Times New Roman"/>
                <w:sz w:val="22"/>
                <w:szCs w:val="21"/>
              </w:rPr>
            </w:pPr>
          </w:p>
        </w:tc>
        <w:tc>
          <w:tcPr>
            <w:tcW w:w="1522" w:type="dxa"/>
          </w:tcPr>
          <w:p w14:paraId="0D02AD6E">
            <w:pPr>
              <w:spacing w:line="360" w:lineRule="atLeast"/>
              <w:ind w:firstLine="431" w:firstLineChars="196"/>
              <w:jc w:val="left"/>
              <w:outlineLvl w:val="1"/>
              <w:rPr>
                <w:rFonts w:ascii="Times New Roman" w:hAnsi="Times New Roman"/>
                <w:sz w:val="22"/>
                <w:szCs w:val="21"/>
              </w:rPr>
            </w:pPr>
          </w:p>
        </w:tc>
        <w:tc>
          <w:tcPr>
            <w:tcW w:w="1856" w:type="dxa"/>
          </w:tcPr>
          <w:p w14:paraId="0D49FC03">
            <w:pPr>
              <w:spacing w:line="360" w:lineRule="atLeast"/>
              <w:ind w:firstLine="431" w:firstLineChars="196"/>
              <w:jc w:val="left"/>
              <w:outlineLvl w:val="1"/>
              <w:rPr>
                <w:rFonts w:ascii="Times New Roman" w:hAnsi="Times New Roman"/>
                <w:sz w:val="22"/>
                <w:szCs w:val="21"/>
              </w:rPr>
            </w:pPr>
          </w:p>
        </w:tc>
        <w:tc>
          <w:tcPr>
            <w:tcW w:w="2294" w:type="dxa"/>
          </w:tcPr>
          <w:p w14:paraId="356FAE70">
            <w:pPr>
              <w:spacing w:line="360" w:lineRule="atLeast"/>
              <w:ind w:firstLine="431" w:firstLineChars="196"/>
              <w:jc w:val="left"/>
              <w:outlineLvl w:val="1"/>
              <w:rPr>
                <w:rFonts w:ascii="Times New Roman" w:hAnsi="Times New Roman"/>
                <w:sz w:val="22"/>
                <w:szCs w:val="21"/>
              </w:rPr>
            </w:pPr>
          </w:p>
        </w:tc>
        <w:tc>
          <w:tcPr>
            <w:tcW w:w="1758" w:type="dxa"/>
          </w:tcPr>
          <w:p w14:paraId="0AF845F9">
            <w:pPr>
              <w:spacing w:line="360" w:lineRule="atLeast"/>
              <w:ind w:firstLine="431" w:firstLineChars="196"/>
              <w:jc w:val="left"/>
              <w:outlineLvl w:val="1"/>
              <w:rPr>
                <w:rFonts w:ascii="Times New Roman" w:hAnsi="Times New Roman"/>
                <w:sz w:val="22"/>
                <w:szCs w:val="21"/>
              </w:rPr>
            </w:pPr>
          </w:p>
        </w:tc>
      </w:tr>
      <w:tr w14:paraId="00B16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tcPr>
          <w:p w14:paraId="2C4F7941">
            <w:pPr>
              <w:spacing w:line="360" w:lineRule="atLeast"/>
              <w:ind w:firstLine="431" w:firstLineChars="196"/>
              <w:jc w:val="left"/>
              <w:outlineLvl w:val="1"/>
              <w:rPr>
                <w:rFonts w:ascii="Times New Roman" w:hAnsi="Times New Roman"/>
                <w:sz w:val="22"/>
                <w:szCs w:val="21"/>
              </w:rPr>
            </w:pPr>
          </w:p>
        </w:tc>
        <w:tc>
          <w:tcPr>
            <w:tcW w:w="1522" w:type="dxa"/>
          </w:tcPr>
          <w:p w14:paraId="49CDBDCF">
            <w:pPr>
              <w:spacing w:line="360" w:lineRule="atLeast"/>
              <w:ind w:firstLine="431" w:firstLineChars="196"/>
              <w:jc w:val="left"/>
              <w:outlineLvl w:val="1"/>
              <w:rPr>
                <w:rFonts w:ascii="Times New Roman" w:hAnsi="Times New Roman"/>
                <w:sz w:val="22"/>
                <w:szCs w:val="21"/>
              </w:rPr>
            </w:pPr>
          </w:p>
        </w:tc>
        <w:tc>
          <w:tcPr>
            <w:tcW w:w="1856" w:type="dxa"/>
          </w:tcPr>
          <w:p w14:paraId="017F14CE">
            <w:pPr>
              <w:spacing w:line="360" w:lineRule="atLeast"/>
              <w:ind w:firstLine="431" w:firstLineChars="196"/>
              <w:jc w:val="left"/>
              <w:outlineLvl w:val="1"/>
              <w:rPr>
                <w:rFonts w:ascii="Times New Roman" w:hAnsi="Times New Roman"/>
                <w:sz w:val="22"/>
                <w:szCs w:val="21"/>
              </w:rPr>
            </w:pPr>
          </w:p>
        </w:tc>
        <w:tc>
          <w:tcPr>
            <w:tcW w:w="2294" w:type="dxa"/>
          </w:tcPr>
          <w:p w14:paraId="5879D0D1">
            <w:pPr>
              <w:spacing w:line="360" w:lineRule="atLeast"/>
              <w:ind w:firstLine="431" w:firstLineChars="196"/>
              <w:jc w:val="left"/>
              <w:outlineLvl w:val="1"/>
              <w:rPr>
                <w:rFonts w:ascii="Times New Roman" w:hAnsi="Times New Roman"/>
                <w:sz w:val="22"/>
                <w:szCs w:val="21"/>
              </w:rPr>
            </w:pPr>
          </w:p>
        </w:tc>
        <w:tc>
          <w:tcPr>
            <w:tcW w:w="1758" w:type="dxa"/>
          </w:tcPr>
          <w:p w14:paraId="7CE69FC9">
            <w:pPr>
              <w:spacing w:line="360" w:lineRule="atLeast"/>
              <w:ind w:firstLine="431" w:firstLineChars="196"/>
              <w:jc w:val="left"/>
              <w:outlineLvl w:val="1"/>
              <w:rPr>
                <w:rFonts w:ascii="Times New Roman" w:hAnsi="Times New Roman"/>
                <w:sz w:val="22"/>
                <w:szCs w:val="21"/>
              </w:rPr>
            </w:pPr>
          </w:p>
        </w:tc>
      </w:tr>
    </w:tbl>
    <w:p w14:paraId="5063F4B4">
      <w:pPr>
        <w:spacing w:line="360" w:lineRule="atLeast"/>
        <w:ind w:firstLine="431" w:firstLineChars="196"/>
        <w:jc w:val="left"/>
        <w:outlineLvl w:val="1"/>
        <w:rPr>
          <w:rFonts w:ascii="Times New Roman" w:hAnsi="Times New Roman"/>
          <w:sz w:val="22"/>
          <w:szCs w:val="21"/>
        </w:rPr>
      </w:pPr>
    </w:p>
    <w:p w14:paraId="74093D4D">
      <w:pPr>
        <w:spacing w:line="400" w:lineRule="exact"/>
        <w:ind w:firstLine="440" w:firstLineChars="200"/>
        <w:rPr>
          <w:rFonts w:ascii="Times New Roman" w:hAnsi="Times New Roman"/>
          <w:sz w:val="22"/>
          <w:szCs w:val="21"/>
        </w:rPr>
      </w:pPr>
      <w:r>
        <w:rPr>
          <w:rFonts w:hint="eastAsia" w:ascii="Times New Roman" w:hAnsi="宋体"/>
          <w:sz w:val="22"/>
          <w:szCs w:val="21"/>
        </w:rPr>
        <w:t>注</w:t>
      </w:r>
      <w:r>
        <w:rPr>
          <w:rFonts w:ascii="Times New Roman" w:hAnsi="Times New Roman"/>
          <w:sz w:val="22"/>
          <w:szCs w:val="21"/>
        </w:rPr>
        <w:t xml:space="preserve">1. </w:t>
      </w:r>
      <w:r>
        <w:rPr>
          <w:rFonts w:hint="eastAsia" w:ascii="Times New Roman" w:hAnsi="宋体"/>
          <w:sz w:val="22"/>
          <w:szCs w:val="21"/>
        </w:rPr>
        <w:t>供应商必须把招标项目的所有产品的主要技术参数列入此表。</w:t>
      </w:r>
    </w:p>
    <w:p w14:paraId="6996CD19">
      <w:pPr>
        <w:spacing w:line="400" w:lineRule="exact"/>
        <w:ind w:firstLine="660" w:firstLineChars="300"/>
        <w:rPr>
          <w:rFonts w:ascii="Times New Roman" w:hAnsi="Times New Roman"/>
          <w:sz w:val="22"/>
          <w:szCs w:val="21"/>
        </w:rPr>
      </w:pPr>
      <w:r>
        <w:rPr>
          <w:rFonts w:ascii="Times New Roman" w:hAnsi="Times New Roman"/>
          <w:sz w:val="22"/>
          <w:szCs w:val="21"/>
        </w:rPr>
        <w:t>2</w:t>
      </w:r>
      <w:r>
        <w:rPr>
          <w:rFonts w:hint="eastAsia" w:ascii="Times New Roman" w:hAnsi="宋体"/>
          <w:sz w:val="22"/>
          <w:szCs w:val="21"/>
        </w:rPr>
        <w:t>．按照招标项目技术要求的顺序对应填写。</w:t>
      </w:r>
    </w:p>
    <w:p w14:paraId="2017A7FE">
      <w:pPr>
        <w:adjustRightInd w:val="0"/>
        <w:spacing w:line="400" w:lineRule="exact"/>
        <w:ind w:firstLine="385" w:firstLineChars="175"/>
        <w:jc w:val="left"/>
        <w:rPr>
          <w:rFonts w:ascii="Times New Roman" w:hAnsi="Times New Roman"/>
          <w:sz w:val="22"/>
          <w:szCs w:val="21"/>
        </w:rPr>
      </w:pPr>
      <w:r>
        <w:rPr>
          <w:rFonts w:ascii="Times New Roman" w:hAnsi="Times New Roman"/>
          <w:sz w:val="22"/>
          <w:szCs w:val="21"/>
        </w:rPr>
        <w:t>3.</w:t>
      </w:r>
      <w:r>
        <w:rPr>
          <w:rFonts w:hint="eastAsia" w:ascii="Times New Roman" w:hAnsi="宋体"/>
          <w:sz w:val="22"/>
          <w:szCs w:val="21"/>
        </w:rPr>
        <w:t>按照响应的技术参数尽可能的提供证明材料复印件予以作证。</w:t>
      </w:r>
    </w:p>
    <w:p w14:paraId="0E2321A3">
      <w:pPr>
        <w:spacing w:line="360" w:lineRule="atLeast"/>
        <w:ind w:firstLine="431" w:firstLineChars="196"/>
        <w:jc w:val="left"/>
        <w:outlineLvl w:val="1"/>
        <w:rPr>
          <w:rFonts w:ascii="Times New Roman" w:hAnsi="Times New Roman"/>
          <w:sz w:val="22"/>
          <w:szCs w:val="21"/>
        </w:rPr>
      </w:pPr>
    </w:p>
    <w:p w14:paraId="3E306D51">
      <w:pPr>
        <w:spacing w:line="360" w:lineRule="atLeast"/>
        <w:ind w:firstLine="431" w:firstLineChars="196"/>
        <w:jc w:val="left"/>
        <w:outlineLvl w:val="1"/>
        <w:rPr>
          <w:rFonts w:ascii="Times New Roman" w:hAnsi="Times New Roman"/>
          <w:sz w:val="22"/>
          <w:szCs w:val="21"/>
        </w:rPr>
      </w:pPr>
    </w:p>
    <w:p w14:paraId="77E558E0">
      <w:pPr>
        <w:spacing w:line="360" w:lineRule="atLeast"/>
        <w:ind w:firstLine="431" w:firstLineChars="196"/>
        <w:jc w:val="left"/>
        <w:outlineLvl w:val="1"/>
        <w:rPr>
          <w:rFonts w:ascii="Times New Roman" w:hAnsi="Times New Roman"/>
          <w:sz w:val="22"/>
          <w:szCs w:val="21"/>
        </w:rPr>
      </w:pPr>
    </w:p>
    <w:p w14:paraId="637C7B4F">
      <w:pPr>
        <w:spacing w:line="360" w:lineRule="atLeast"/>
        <w:ind w:firstLine="431" w:firstLineChars="196"/>
        <w:jc w:val="left"/>
        <w:outlineLvl w:val="1"/>
        <w:rPr>
          <w:rFonts w:ascii="Times New Roman" w:hAnsi="Times New Roman"/>
          <w:sz w:val="22"/>
          <w:szCs w:val="21"/>
        </w:rPr>
      </w:pPr>
    </w:p>
    <w:p w14:paraId="6D040AF1">
      <w:pPr>
        <w:spacing w:line="360" w:lineRule="atLeast"/>
        <w:ind w:firstLine="431" w:firstLineChars="196"/>
        <w:jc w:val="left"/>
        <w:outlineLvl w:val="1"/>
        <w:rPr>
          <w:rFonts w:ascii="Times New Roman" w:hAnsi="Times New Roman"/>
          <w:sz w:val="22"/>
          <w:szCs w:val="21"/>
        </w:rPr>
      </w:pPr>
    </w:p>
    <w:p w14:paraId="0FA98F3B">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投标人名称：（盖公章）</w:t>
      </w:r>
    </w:p>
    <w:p w14:paraId="495111FF">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法定代表人或委托代理人（签字或盖章）：</w:t>
      </w:r>
    </w:p>
    <w:p w14:paraId="33DC6021">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日期</w:t>
      </w:r>
      <w:r>
        <w:rPr>
          <w:rFonts w:ascii="Times New Roman" w:hAnsi="Times New Roman"/>
          <w:sz w:val="22"/>
          <w:szCs w:val="21"/>
        </w:rPr>
        <w:t xml:space="preserve">:    </w:t>
      </w:r>
    </w:p>
    <w:p w14:paraId="536FA30C">
      <w:pPr>
        <w:spacing w:line="360" w:lineRule="atLeast"/>
        <w:ind w:firstLine="431" w:firstLineChars="196"/>
        <w:jc w:val="left"/>
        <w:outlineLvl w:val="1"/>
        <w:rPr>
          <w:rFonts w:ascii="Times New Roman" w:hAnsi="Times New Roman"/>
          <w:sz w:val="22"/>
          <w:szCs w:val="21"/>
        </w:rPr>
      </w:pPr>
    </w:p>
    <w:p w14:paraId="22985081">
      <w:pPr>
        <w:spacing w:line="360" w:lineRule="auto"/>
        <w:rPr>
          <w:rFonts w:ascii="Times New Roman" w:hAnsi="Times New Roman"/>
          <w:b/>
          <w:sz w:val="28"/>
          <w:szCs w:val="28"/>
        </w:rPr>
      </w:pPr>
      <w:r>
        <w:rPr>
          <w:rFonts w:ascii="Times New Roman" w:hAnsi="Times New Roman" w:eastAsia="黑体"/>
          <w:b/>
          <w:sz w:val="28"/>
          <w:szCs w:val="28"/>
        </w:rPr>
        <w:br w:type="page"/>
      </w:r>
      <w:r>
        <w:rPr>
          <w:rFonts w:hint="eastAsia" w:ascii="Times New Roman" w:hAnsi="宋体"/>
          <w:b/>
          <w:sz w:val="28"/>
          <w:szCs w:val="28"/>
        </w:rPr>
        <w:t>格式</w:t>
      </w:r>
      <w:r>
        <w:rPr>
          <w:rFonts w:ascii="Times New Roman" w:hAnsi="Times New Roman"/>
          <w:b/>
          <w:sz w:val="28"/>
          <w:szCs w:val="28"/>
        </w:rPr>
        <w:t>2-11</w:t>
      </w:r>
    </w:p>
    <w:p w14:paraId="692291AE">
      <w:pPr>
        <w:spacing w:line="360" w:lineRule="atLeast"/>
        <w:jc w:val="center"/>
        <w:outlineLvl w:val="1"/>
        <w:rPr>
          <w:rFonts w:ascii="Times New Roman" w:hAnsi="Times New Roman"/>
          <w:b/>
          <w:sz w:val="22"/>
          <w:szCs w:val="21"/>
        </w:rPr>
      </w:pPr>
      <w:r>
        <w:rPr>
          <w:rFonts w:hint="eastAsia" w:ascii="Times New Roman" w:hAnsi="Times New Roman" w:eastAsia="黑体"/>
          <w:b/>
          <w:sz w:val="28"/>
          <w:szCs w:val="28"/>
        </w:rPr>
        <w:t>十、投标人本项目管理、技术、服务人员情况表</w:t>
      </w:r>
    </w:p>
    <w:p w14:paraId="1A163E02">
      <w:pPr>
        <w:spacing w:line="400" w:lineRule="exact"/>
        <w:rPr>
          <w:rFonts w:ascii="Times New Roman" w:hAnsi="Times New Roman"/>
          <w:bCs/>
          <w:sz w:val="22"/>
          <w:szCs w:val="21"/>
        </w:rPr>
      </w:pPr>
      <w:r>
        <w:rPr>
          <w:rFonts w:hint="eastAsia" w:ascii="Times New Roman" w:hAnsi="宋体"/>
          <w:sz w:val="22"/>
          <w:szCs w:val="21"/>
        </w:rPr>
        <w:t>招标编号</w:t>
      </w:r>
      <w:r>
        <w:rPr>
          <w:rFonts w:hint="eastAsia" w:ascii="Times New Roman" w:hAnsi="宋体"/>
          <w:bCs/>
          <w:sz w:val="22"/>
          <w:szCs w:val="21"/>
        </w:rPr>
        <w:t>：</w:t>
      </w:r>
    </w:p>
    <w:tbl>
      <w:tblPr>
        <w:tblStyle w:val="16"/>
        <w:tblW w:w="8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821"/>
        <w:gridCol w:w="821"/>
        <w:gridCol w:w="1521"/>
        <w:gridCol w:w="1276"/>
        <w:gridCol w:w="2928"/>
      </w:tblGrid>
      <w:tr w14:paraId="6A8E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8" w:type="dxa"/>
            <w:vAlign w:val="center"/>
          </w:tcPr>
          <w:p w14:paraId="472F7D6E">
            <w:pPr>
              <w:spacing w:line="400" w:lineRule="exact"/>
              <w:rPr>
                <w:rFonts w:ascii="Times New Roman" w:hAnsi="Times New Roman"/>
                <w:sz w:val="20"/>
                <w:szCs w:val="20"/>
              </w:rPr>
            </w:pPr>
            <w:r>
              <w:rPr>
                <w:rFonts w:hint="eastAsia" w:ascii="Times New Roman" w:hAnsi="宋体"/>
                <w:sz w:val="20"/>
                <w:szCs w:val="20"/>
              </w:rPr>
              <w:t>类别</w:t>
            </w:r>
          </w:p>
        </w:tc>
        <w:tc>
          <w:tcPr>
            <w:tcW w:w="821" w:type="dxa"/>
            <w:vAlign w:val="center"/>
          </w:tcPr>
          <w:p w14:paraId="080FD7C8">
            <w:pPr>
              <w:spacing w:line="400" w:lineRule="exact"/>
              <w:rPr>
                <w:rFonts w:ascii="Times New Roman" w:hAnsi="Times New Roman"/>
                <w:sz w:val="20"/>
                <w:szCs w:val="20"/>
              </w:rPr>
            </w:pPr>
            <w:r>
              <w:rPr>
                <w:rFonts w:hint="eastAsia" w:ascii="Times New Roman" w:hAnsi="宋体"/>
                <w:sz w:val="20"/>
                <w:szCs w:val="20"/>
              </w:rPr>
              <w:t>职务</w:t>
            </w:r>
          </w:p>
        </w:tc>
        <w:tc>
          <w:tcPr>
            <w:tcW w:w="821" w:type="dxa"/>
            <w:vAlign w:val="center"/>
          </w:tcPr>
          <w:p w14:paraId="65D7C5C2">
            <w:pPr>
              <w:spacing w:line="400" w:lineRule="exact"/>
              <w:rPr>
                <w:rFonts w:ascii="Times New Roman" w:hAnsi="Times New Roman"/>
                <w:sz w:val="20"/>
                <w:szCs w:val="20"/>
              </w:rPr>
            </w:pPr>
            <w:r>
              <w:rPr>
                <w:rFonts w:hint="eastAsia" w:ascii="Times New Roman" w:hAnsi="宋体"/>
                <w:sz w:val="20"/>
                <w:szCs w:val="20"/>
              </w:rPr>
              <w:t>姓名</w:t>
            </w:r>
          </w:p>
        </w:tc>
        <w:tc>
          <w:tcPr>
            <w:tcW w:w="1521" w:type="dxa"/>
            <w:vAlign w:val="center"/>
          </w:tcPr>
          <w:p w14:paraId="55DAC408">
            <w:pPr>
              <w:spacing w:line="400" w:lineRule="exact"/>
              <w:rPr>
                <w:rFonts w:ascii="Times New Roman" w:hAnsi="Times New Roman"/>
                <w:sz w:val="20"/>
                <w:szCs w:val="20"/>
              </w:rPr>
            </w:pPr>
            <w:r>
              <w:rPr>
                <w:rFonts w:hint="eastAsia" w:ascii="Times New Roman" w:hAnsi="宋体"/>
                <w:sz w:val="20"/>
                <w:szCs w:val="20"/>
              </w:rPr>
              <w:t>身份证号码</w:t>
            </w:r>
          </w:p>
        </w:tc>
        <w:tc>
          <w:tcPr>
            <w:tcW w:w="1276" w:type="dxa"/>
            <w:vAlign w:val="center"/>
          </w:tcPr>
          <w:p w14:paraId="4D101A2C">
            <w:pPr>
              <w:spacing w:line="400" w:lineRule="exact"/>
              <w:rPr>
                <w:rFonts w:ascii="Times New Roman" w:hAnsi="Times New Roman"/>
                <w:sz w:val="20"/>
                <w:szCs w:val="20"/>
              </w:rPr>
            </w:pPr>
            <w:r>
              <w:rPr>
                <w:rFonts w:hint="eastAsia" w:ascii="Times New Roman" w:hAnsi="宋体"/>
                <w:sz w:val="20"/>
                <w:szCs w:val="20"/>
              </w:rPr>
              <w:t>联系方式</w:t>
            </w:r>
          </w:p>
        </w:tc>
        <w:tc>
          <w:tcPr>
            <w:tcW w:w="2928" w:type="dxa"/>
            <w:vAlign w:val="center"/>
          </w:tcPr>
          <w:p w14:paraId="568644FB">
            <w:pPr>
              <w:spacing w:line="400" w:lineRule="exact"/>
              <w:ind w:firstLine="700" w:firstLineChars="350"/>
              <w:rPr>
                <w:rFonts w:ascii="Times New Roman" w:hAnsi="Times New Roman"/>
                <w:sz w:val="20"/>
                <w:szCs w:val="20"/>
              </w:rPr>
            </w:pPr>
            <w:r>
              <w:rPr>
                <w:rFonts w:hint="eastAsia" w:ascii="Times New Roman" w:hAnsi="宋体"/>
                <w:sz w:val="20"/>
                <w:szCs w:val="20"/>
              </w:rPr>
              <w:t>技术职称</w:t>
            </w:r>
          </w:p>
        </w:tc>
      </w:tr>
      <w:tr w14:paraId="71A51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58" w:type="dxa"/>
            <w:vMerge w:val="restart"/>
            <w:vAlign w:val="center"/>
          </w:tcPr>
          <w:p w14:paraId="4DD1489A">
            <w:pPr>
              <w:spacing w:line="400" w:lineRule="exact"/>
              <w:jc w:val="center"/>
              <w:rPr>
                <w:rFonts w:ascii="Times New Roman" w:hAnsi="Times New Roman"/>
                <w:sz w:val="20"/>
                <w:szCs w:val="20"/>
              </w:rPr>
            </w:pPr>
            <w:r>
              <w:rPr>
                <w:rFonts w:hint="eastAsia" w:ascii="Times New Roman" w:hAnsi="宋体"/>
                <w:sz w:val="20"/>
                <w:szCs w:val="20"/>
              </w:rPr>
              <w:t>管</w:t>
            </w:r>
          </w:p>
          <w:p w14:paraId="29EEBFFD">
            <w:pPr>
              <w:spacing w:line="400" w:lineRule="exact"/>
              <w:jc w:val="center"/>
              <w:rPr>
                <w:rFonts w:ascii="Times New Roman" w:hAnsi="Times New Roman"/>
                <w:sz w:val="20"/>
                <w:szCs w:val="20"/>
              </w:rPr>
            </w:pPr>
            <w:r>
              <w:rPr>
                <w:rFonts w:hint="eastAsia" w:ascii="Times New Roman" w:hAnsi="宋体"/>
                <w:sz w:val="20"/>
                <w:szCs w:val="20"/>
              </w:rPr>
              <w:t>理</w:t>
            </w:r>
          </w:p>
          <w:p w14:paraId="21398127">
            <w:pPr>
              <w:spacing w:line="400" w:lineRule="exact"/>
              <w:jc w:val="center"/>
              <w:rPr>
                <w:rFonts w:ascii="Times New Roman" w:hAnsi="Times New Roman"/>
                <w:sz w:val="20"/>
                <w:szCs w:val="20"/>
              </w:rPr>
            </w:pPr>
            <w:r>
              <w:rPr>
                <w:rFonts w:hint="eastAsia" w:ascii="Times New Roman" w:hAnsi="宋体"/>
                <w:sz w:val="20"/>
                <w:szCs w:val="20"/>
              </w:rPr>
              <w:t>人</w:t>
            </w:r>
          </w:p>
          <w:p w14:paraId="0E422B2B">
            <w:pPr>
              <w:spacing w:line="400" w:lineRule="exact"/>
              <w:jc w:val="center"/>
              <w:rPr>
                <w:rFonts w:ascii="Times New Roman" w:hAnsi="Times New Roman"/>
                <w:sz w:val="20"/>
                <w:szCs w:val="20"/>
              </w:rPr>
            </w:pPr>
            <w:r>
              <w:rPr>
                <w:rFonts w:hint="eastAsia" w:ascii="Times New Roman" w:hAnsi="宋体"/>
                <w:sz w:val="20"/>
                <w:szCs w:val="20"/>
              </w:rPr>
              <w:t>员</w:t>
            </w:r>
          </w:p>
        </w:tc>
        <w:tc>
          <w:tcPr>
            <w:tcW w:w="821" w:type="dxa"/>
            <w:vAlign w:val="center"/>
          </w:tcPr>
          <w:p w14:paraId="3E8097DC">
            <w:pPr>
              <w:spacing w:line="400" w:lineRule="exact"/>
              <w:rPr>
                <w:rFonts w:ascii="Times New Roman" w:hAnsi="Times New Roman"/>
                <w:sz w:val="20"/>
                <w:szCs w:val="20"/>
              </w:rPr>
            </w:pPr>
            <w:r>
              <w:rPr>
                <w:rFonts w:ascii="Times New Roman" w:hAnsi="Times New Roman"/>
                <w:sz w:val="20"/>
                <w:szCs w:val="20"/>
              </w:rPr>
              <w:t>....</w:t>
            </w:r>
          </w:p>
        </w:tc>
        <w:tc>
          <w:tcPr>
            <w:tcW w:w="821" w:type="dxa"/>
            <w:vAlign w:val="center"/>
          </w:tcPr>
          <w:p w14:paraId="4AA9B428">
            <w:pPr>
              <w:spacing w:line="400" w:lineRule="exact"/>
              <w:rPr>
                <w:rFonts w:ascii="Times New Roman" w:hAnsi="Times New Roman"/>
                <w:sz w:val="20"/>
                <w:szCs w:val="20"/>
              </w:rPr>
            </w:pPr>
          </w:p>
        </w:tc>
        <w:tc>
          <w:tcPr>
            <w:tcW w:w="1521" w:type="dxa"/>
            <w:vAlign w:val="center"/>
          </w:tcPr>
          <w:p w14:paraId="1F239579">
            <w:pPr>
              <w:spacing w:line="400" w:lineRule="exact"/>
              <w:rPr>
                <w:rFonts w:ascii="Times New Roman" w:hAnsi="Times New Roman"/>
                <w:sz w:val="20"/>
                <w:szCs w:val="20"/>
              </w:rPr>
            </w:pPr>
          </w:p>
        </w:tc>
        <w:tc>
          <w:tcPr>
            <w:tcW w:w="1276" w:type="dxa"/>
            <w:vAlign w:val="center"/>
          </w:tcPr>
          <w:p w14:paraId="05EC5DD3">
            <w:pPr>
              <w:spacing w:line="400" w:lineRule="exact"/>
              <w:rPr>
                <w:rFonts w:ascii="Times New Roman" w:hAnsi="Times New Roman"/>
                <w:sz w:val="20"/>
                <w:szCs w:val="20"/>
              </w:rPr>
            </w:pPr>
          </w:p>
        </w:tc>
        <w:tc>
          <w:tcPr>
            <w:tcW w:w="2928" w:type="dxa"/>
            <w:vAlign w:val="center"/>
          </w:tcPr>
          <w:p w14:paraId="002F04D0">
            <w:pPr>
              <w:spacing w:line="400" w:lineRule="exact"/>
              <w:rPr>
                <w:rFonts w:ascii="Times New Roman" w:hAnsi="Times New Roman"/>
                <w:sz w:val="20"/>
                <w:szCs w:val="20"/>
              </w:rPr>
            </w:pPr>
          </w:p>
        </w:tc>
      </w:tr>
      <w:tr w14:paraId="0A547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jc w:val="center"/>
        </w:trPr>
        <w:tc>
          <w:tcPr>
            <w:tcW w:w="958" w:type="dxa"/>
            <w:vMerge w:val="continue"/>
            <w:vAlign w:val="center"/>
          </w:tcPr>
          <w:p w14:paraId="6BAADDD3">
            <w:pPr>
              <w:spacing w:line="400" w:lineRule="exact"/>
              <w:jc w:val="center"/>
              <w:rPr>
                <w:rFonts w:ascii="Times New Roman" w:hAnsi="Times New Roman"/>
                <w:sz w:val="20"/>
                <w:szCs w:val="20"/>
              </w:rPr>
            </w:pPr>
          </w:p>
        </w:tc>
        <w:tc>
          <w:tcPr>
            <w:tcW w:w="821" w:type="dxa"/>
            <w:vAlign w:val="center"/>
          </w:tcPr>
          <w:p w14:paraId="1BC2E16B">
            <w:pPr>
              <w:spacing w:line="400" w:lineRule="exact"/>
              <w:rPr>
                <w:rFonts w:ascii="Times New Roman" w:hAnsi="Times New Roman"/>
                <w:sz w:val="20"/>
                <w:szCs w:val="20"/>
              </w:rPr>
            </w:pPr>
          </w:p>
        </w:tc>
        <w:tc>
          <w:tcPr>
            <w:tcW w:w="821" w:type="dxa"/>
            <w:vAlign w:val="center"/>
          </w:tcPr>
          <w:p w14:paraId="313FD5BF">
            <w:pPr>
              <w:spacing w:line="400" w:lineRule="exact"/>
              <w:rPr>
                <w:rFonts w:ascii="Times New Roman" w:hAnsi="Times New Roman"/>
                <w:sz w:val="20"/>
                <w:szCs w:val="20"/>
              </w:rPr>
            </w:pPr>
          </w:p>
        </w:tc>
        <w:tc>
          <w:tcPr>
            <w:tcW w:w="1521" w:type="dxa"/>
            <w:vAlign w:val="center"/>
          </w:tcPr>
          <w:p w14:paraId="017AAD2E">
            <w:pPr>
              <w:spacing w:line="400" w:lineRule="exact"/>
              <w:rPr>
                <w:rFonts w:ascii="Times New Roman" w:hAnsi="Times New Roman"/>
                <w:sz w:val="20"/>
                <w:szCs w:val="20"/>
              </w:rPr>
            </w:pPr>
          </w:p>
        </w:tc>
        <w:tc>
          <w:tcPr>
            <w:tcW w:w="1276" w:type="dxa"/>
            <w:vAlign w:val="center"/>
          </w:tcPr>
          <w:p w14:paraId="1D84A98B">
            <w:pPr>
              <w:spacing w:line="400" w:lineRule="exact"/>
              <w:rPr>
                <w:rFonts w:ascii="Times New Roman" w:hAnsi="Times New Roman"/>
                <w:sz w:val="20"/>
                <w:szCs w:val="20"/>
              </w:rPr>
            </w:pPr>
          </w:p>
        </w:tc>
        <w:tc>
          <w:tcPr>
            <w:tcW w:w="2928" w:type="dxa"/>
            <w:vAlign w:val="center"/>
          </w:tcPr>
          <w:p w14:paraId="1897CE50">
            <w:pPr>
              <w:spacing w:line="400" w:lineRule="exact"/>
              <w:rPr>
                <w:rFonts w:ascii="Times New Roman" w:hAnsi="Times New Roman"/>
                <w:sz w:val="20"/>
                <w:szCs w:val="20"/>
              </w:rPr>
            </w:pPr>
          </w:p>
        </w:tc>
      </w:tr>
      <w:tr w14:paraId="2B093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958" w:type="dxa"/>
            <w:vMerge w:val="continue"/>
            <w:vAlign w:val="center"/>
          </w:tcPr>
          <w:p w14:paraId="2B38FFE2">
            <w:pPr>
              <w:spacing w:line="400" w:lineRule="exact"/>
              <w:jc w:val="center"/>
              <w:rPr>
                <w:rFonts w:ascii="Times New Roman" w:hAnsi="Times New Roman"/>
                <w:sz w:val="20"/>
                <w:szCs w:val="20"/>
              </w:rPr>
            </w:pPr>
          </w:p>
        </w:tc>
        <w:tc>
          <w:tcPr>
            <w:tcW w:w="821" w:type="dxa"/>
            <w:vAlign w:val="center"/>
          </w:tcPr>
          <w:p w14:paraId="11A648BD">
            <w:pPr>
              <w:spacing w:line="400" w:lineRule="exact"/>
              <w:rPr>
                <w:rFonts w:ascii="Times New Roman" w:hAnsi="Times New Roman"/>
                <w:sz w:val="20"/>
                <w:szCs w:val="20"/>
              </w:rPr>
            </w:pPr>
          </w:p>
        </w:tc>
        <w:tc>
          <w:tcPr>
            <w:tcW w:w="821" w:type="dxa"/>
            <w:vAlign w:val="center"/>
          </w:tcPr>
          <w:p w14:paraId="6E568159">
            <w:pPr>
              <w:spacing w:line="400" w:lineRule="exact"/>
              <w:rPr>
                <w:rFonts w:ascii="Times New Roman" w:hAnsi="Times New Roman"/>
                <w:sz w:val="20"/>
                <w:szCs w:val="20"/>
              </w:rPr>
            </w:pPr>
          </w:p>
        </w:tc>
        <w:tc>
          <w:tcPr>
            <w:tcW w:w="1521" w:type="dxa"/>
            <w:vAlign w:val="center"/>
          </w:tcPr>
          <w:p w14:paraId="3589392F">
            <w:pPr>
              <w:spacing w:line="400" w:lineRule="exact"/>
              <w:rPr>
                <w:rFonts w:ascii="Times New Roman" w:hAnsi="Times New Roman"/>
                <w:sz w:val="20"/>
                <w:szCs w:val="20"/>
              </w:rPr>
            </w:pPr>
          </w:p>
        </w:tc>
        <w:tc>
          <w:tcPr>
            <w:tcW w:w="1276" w:type="dxa"/>
            <w:vAlign w:val="center"/>
          </w:tcPr>
          <w:p w14:paraId="1473D567">
            <w:pPr>
              <w:spacing w:line="400" w:lineRule="exact"/>
              <w:rPr>
                <w:rFonts w:ascii="Times New Roman" w:hAnsi="Times New Roman"/>
                <w:sz w:val="20"/>
                <w:szCs w:val="20"/>
              </w:rPr>
            </w:pPr>
          </w:p>
        </w:tc>
        <w:tc>
          <w:tcPr>
            <w:tcW w:w="2928" w:type="dxa"/>
            <w:vAlign w:val="center"/>
          </w:tcPr>
          <w:p w14:paraId="19248520">
            <w:pPr>
              <w:spacing w:line="400" w:lineRule="exact"/>
              <w:rPr>
                <w:rFonts w:ascii="Times New Roman" w:hAnsi="Times New Roman"/>
                <w:sz w:val="20"/>
                <w:szCs w:val="20"/>
              </w:rPr>
            </w:pPr>
          </w:p>
        </w:tc>
      </w:tr>
      <w:tr w14:paraId="4AB6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958" w:type="dxa"/>
            <w:vMerge w:val="restart"/>
            <w:vAlign w:val="center"/>
          </w:tcPr>
          <w:p w14:paraId="37AAA1F1">
            <w:pPr>
              <w:spacing w:line="400" w:lineRule="exact"/>
              <w:jc w:val="center"/>
              <w:rPr>
                <w:rFonts w:ascii="Times New Roman" w:hAnsi="Times New Roman"/>
                <w:sz w:val="20"/>
                <w:szCs w:val="20"/>
              </w:rPr>
            </w:pPr>
            <w:r>
              <w:rPr>
                <w:rFonts w:hint="eastAsia" w:ascii="Times New Roman" w:hAnsi="宋体"/>
                <w:sz w:val="20"/>
                <w:szCs w:val="20"/>
              </w:rPr>
              <w:t>技</w:t>
            </w:r>
          </w:p>
          <w:p w14:paraId="6BA456D8">
            <w:pPr>
              <w:spacing w:line="400" w:lineRule="exact"/>
              <w:jc w:val="center"/>
              <w:rPr>
                <w:rFonts w:ascii="Times New Roman" w:hAnsi="Times New Roman"/>
                <w:sz w:val="20"/>
                <w:szCs w:val="20"/>
              </w:rPr>
            </w:pPr>
            <w:r>
              <w:rPr>
                <w:rFonts w:hint="eastAsia" w:ascii="Times New Roman" w:hAnsi="宋体"/>
                <w:sz w:val="20"/>
                <w:szCs w:val="20"/>
              </w:rPr>
              <w:t>术</w:t>
            </w:r>
          </w:p>
          <w:p w14:paraId="22D83DAF">
            <w:pPr>
              <w:spacing w:line="400" w:lineRule="exact"/>
              <w:jc w:val="center"/>
              <w:rPr>
                <w:rFonts w:ascii="Times New Roman" w:hAnsi="Times New Roman"/>
                <w:sz w:val="20"/>
                <w:szCs w:val="20"/>
              </w:rPr>
            </w:pPr>
            <w:r>
              <w:rPr>
                <w:rFonts w:hint="eastAsia" w:ascii="Times New Roman" w:hAnsi="宋体"/>
                <w:sz w:val="20"/>
                <w:szCs w:val="20"/>
              </w:rPr>
              <w:t>人</w:t>
            </w:r>
          </w:p>
          <w:p w14:paraId="2D98FFA8">
            <w:pPr>
              <w:spacing w:line="400" w:lineRule="exact"/>
              <w:jc w:val="center"/>
              <w:rPr>
                <w:rFonts w:ascii="Times New Roman" w:hAnsi="Times New Roman"/>
                <w:sz w:val="20"/>
                <w:szCs w:val="20"/>
              </w:rPr>
            </w:pPr>
            <w:r>
              <w:rPr>
                <w:rFonts w:hint="eastAsia" w:ascii="Times New Roman" w:hAnsi="宋体"/>
                <w:sz w:val="20"/>
                <w:szCs w:val="20"/>
              </w:rPr>
              <w:t>员</w:t>
            </w:r>
          </w:p>
        </w:tc>
        <w:tc>
          <w:tcPr>
            <w:tcW w:w="821" w:type="dxa"/>
            <w:vAlign w:val="center"/>
          </w:tcPr>
          <w:p w14:paraId="3A1E5F3B">
            <w:pPr>
              <w:spacing w:line="400" w:lineRule="exact"/>
              <w:rPr>
                <w:rFonts w:ascii="Times New Roman" w:hAnsi="Times New Roman"/>
                <w:sz w:val="20"/>
                <w:szCs w:val="20"/>
              </w:rPr>
            </w:pPr>
            <w:r>
              <w:rPr>
                <w:rFonts w:ascii="Times New Roman" w:hAnsi="Times New Roman"/>
                <w:sz w:val="20"/>
                <w:szCs w:val="20"/>
              </w:rPr>
              <w:t>.....</w:t>
            </w:r>
          </w:p>
        </w:tc>
        <w:tc>
          <w:tcPr>
            <w:tcW w:w="821" w:type="dxa"/>
            <w:vAlign w:val="center"/>
          </w:tcPr>
          <w:p w14:paraId="08321746">
            <w:pPr>
              <w:spacing w:line="400" w:lineRule="exact"/>
              <w:rPr>
                <w:rFonts w:ascii="Times New Roman" w:hAnsi="Times New Roman"/>
                <w:sz w:val="20"/>
                <w:szCs w:val="20"/>
              </w:rPr>
            </w:pPr>
          </w:p>
        </w:tc>
        <w:tc>
          <w:tcPr>
            <w:tcW w:w="1521" w:type="dxa"/>
            <w:vAlign w:val="center"/>
          </w:tcPr>
          <w:p w14:paraId="0CF6B078">
            <w:pPr>
              <w:spacing w:line="400" w:lineRule="exact"/>
              <w:rPr>
                <w:rFonts w:ascii="Times New Roman" w:hAnsi="Times New Roman"/>
                <w:sz w:val="20"/>
                <w:szCs w:val="20"/>
              </w:rPr>
            </w:pPr>
          </w:p>
        </w:tc>
        <w:tc>
          <w:tcPr>
            <w:tcW w:w="1276" w:type="dxa"/>
            <w:vAlign w:val="center"/>
          </w:tcPr>
          <w:p w14:paraId="6E60EE9C">
            <w:pPr>
              <w:spacing w:line="400" w:lineRule="exact"/>
              <w:rPr>
                <w:rFonts w:ascii="Times New Roman" w:hAnsi="Times New Roman"/>
                <w:sz w:val="20"/>
                <w:szCs w:val="20"/>
              </w:rPr>
            </w:pPr>
          </w:p>
        </w:tc>
        <w:tc>
          <w:tcPr>
            <w:tcW w:w="2928" w:type="dxa"/>
            <w:vAlign w:val="center"/>
          </w:tcPr>
          <w:p w14:paraId="6AB6BB09">
            <w:pPr>
              <w:spacing w:line="400" w:lineRule="exact"/>
              <w:rPr>
                <w:rFonts w:ascii="Times New Roman" w:hAnsi="Times New Roman"/>
                <w:sz w:val="20"/>
                <w:szCs w:val="20"/>
              </w:rPr>
            </w:pPr>
          </w:p>
        </w:tc>
      </w:tr>
      <w:tr w14:paraId="0DC7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958" w:type="dxa"/>
            <w:vMerge w:val="continue"/>
            <w:vAlign w:val="center"/>
          </w:tcPr>
          <w:p w14:paraId="763005B4">
            <w:pPr>
              <w:spacing w:line="400" w:lineRule="exact"/>
              <w:jc w:val="center"/>
              <w:rPr>
                <w:rFonts w:ascii="Times New Roman" w:hAnsi="Times New Roman"/>
                <w:sz w:val="20"/>
                <w:szCs w:val="20"/>
              </w:rPr>
            </w:pPr>
          </w:p>
        </w:tc>
        <w:tc>
          <w:tcPr>
            <w:tcW w:w="821" w:type="dxa"/>
            <w:vAlign w:val="center"/>
          </w:tcPr>
          <w:p w14:paraId="1F0F99A2">
            <w:pPr>
              <w:spacing w:line="400" w:lineRule="exact"/>
              <w:rPr>
                <w:rFonts w:ascii="Times New Roman" w:hAnsi="Times New Roman"/>
                <w:sz w:val="20"/>
                <w:szCs w:val="20"/>
              </w:rPr>
            </w:pPr>
          </w:p>
        </w:tc>
        <w:tc>
          <w:tcPr>
            <w:tcW w:w="821" w:type="dxa"/>
            <w:vAlign w:val="center"/>
          </w:tcPr>
          <w:p w14:paraId="3E531707">
            <w:pPr>
              <w:spacing w:line="400" w:lineRule="exact"/>
              <w:rPr>
                <w:rFonts w:ascii="Times New Roman" w:hAnsi="Times New Roman"/>
                <w:sz w:val="20"/>
                <w:szCs w:val="20"/>
              </w:rPr>
            </w:pPr>
          </w:p>
        </w:tc>
        <w:tc>
          <w:tcPr>
            <w:tcW w:w="1521" w:type="dxa"/>
            <w:vAlign w:val="center"/>
          </w:tcPr>
          <w:p w14:paraId="6C15935C">
            <w:pPr>
              <w:spacing w:line="400" w:lineRule="exact"/>
              <w:rPr>
                <w:rFonts w:ascii="Times New Roman" w:hAnsi="Times New Roman"/>
                <w:sz w:val="20"/>
                <w:szCs w:val="20"/>
              </w:rPr>
            </w:pPr>
          </w:p>
        </w:tc>
        <w:tc>
          <w:tcPr>
            <w:tcW w:w="1276" w:type="dxa"/>
            <w:vAlign w:val="center"/>
          </w:tcPr>
          <w:p w14:paraId="4FEA3A8C">
            <w:pPr>
              <w:spacing w:line="400" w:lineRule="exact"/>
              <w:rPr>
                <w:rFonts w:ascii="Times New Roman" w:hAnsi="Times New Roman"/>
                <w:sz w:val="20"/>
                <w:szCs w:val="20"/>
              </w:rPr>
            </w:pPr>
          </w:p>
        </w:tc>
        <w:tc>
          <w:tcPr>
            <w:tcW w:w="2928" w:type="dxa"/>
            <w:vAlign w:val="center"/>
          </w:tcPr>
          <w:p w14:paraId="5B732E6F">
            <w:pPr>
              <w:spacing w:line="400" w:lineRule="exact"/>
              <w:rPr>
                <w:rFonts w:ascii="Times New Roman" w:hAnsi="Times New Roman"/>
                <w:sz w:val="20"/>
                <w:szCs w:val="20"/>
              </w:rPr>
            </w:pPr>
          </w:p>
        </w:tc>
      </w:tr>
      <w:tr w14:paraId="24D1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958" w:type="dxa"/>
            <w:vMerge w:val="continue"/>
            <w:vAlign w:val="center"/>
          </w:tcPr>
          <w:p w14:paraId="139E7F25">
            <w:pPr>
              <w:spacing w:line="400" w:lineRule="exact"/>
              <w:jc w:val="center"/>
              <w:rPr>
                <w:rFonts w:ascii="Times New Roman" w:hAnsi="Times New Roman"/>
                <w:sz w:val="20"/>
                <w:szCs w:val="20"/>
              </w:rPr>
            </w:pPr>
          </w:p>
        </w:tc>
        <w:tc>
          <w:tcPr>
            <w:tcW w:w="821" w:type="dxa"/>
            <w:vAlign w:val="center"/>
          </w:tcPr>
          <w:p w14:paraId="0113AF4A">
            <w:pPr>
              <w:spacing w:line="400" w:lineRule="exact"/>
              <w:rPr>
                <w:rFonts w:ascii="Times New Roman" w:hAnsi="Times New Roman"/>
                <w:sz w:val="20"/>
                <w:szCs w:val="20"/>
              </w:rPr>
            </w:pPr>
          </w:p>
        </w:tc>
        <w:tc>
          <w:tcPr>
            <w:tcW w:w="821" w:type="dxa"/>
            <w:vAlign w:val="center"/>
          </w:tcPr>
          <w:p w14:paraId="0A920C88">
            <w:pPr>
              <w:spacing w:line="400" w:lineRule="exact"/>
              <w:rPr>
                <w:rFonts w:ascii="Times New Roman" w:hAnsi="Times New Roman"/>
                <w:sz w:val="20"/>
                <w:szCs w:val="20"/>
              </w:rPr>
            </w:pPr>
          </w:p>
        </w:tc>
        <w:tc>
          <w:tcPr>
            <w:tcW w:w="1521" w:type="dxa"/>
            <w:vAlign w:val="center"/>
          </w:tcPr>
          <w:p w14:paraId="70DBCCC4">
            <w:pPr>
              <w:spacing w:line="400" w:lineRule="exact"/>
              <w:rPr>
                <w:rFonts w:ascii="Times New Roman" w:hAnsi="Times New Roman"/>
                <w:sz w:val="20"/>
                <w:szCs w:val="20"/>
              </w:rPr>
            </w:pPr>
          </w:p>
        </w:tc>
        <w:tc>
          <w:tcPr>
            <w:tcW w:w="1276" w:type="dxa"/>
            <w:vAlign w:val="center"/>
          </w:tcPr>
          <w:p w14:paraId="6C5825B7">
            <w:pPr>
              <w:spacing w:line="400" w:lineRule="exact"/>
              <w:rPr>
                <w:rFonts w:ascii="Times New Roman" w:hAnsi="Times New Roman"/>
                <w:sz w:val="20"/>
                <w:szCs w:val="20"/>
              </w:rPr>
            </w:pPr>
          </w:p>
        </w:tc>
        <w:tc>
          <w:tcPr>
            <w:tcW w:w="2928" w:type="dxa"/>
            <w:vAlign w:val="center"/>
          </w:tcPr>
          <w:p w14:paraId="125EC0C3">
            <w:pPr>
              <w:spacing w:line="400" w:lineRule="exact"/>
              <w:rPr>
                <w:rFonts w:ascii="Times New Roman" w:hAnsi="Times New Roman"/>
                <w:sz w:val="20"/>
                <w:szCs w:val="20"/>
              </w:rPr>
            </w:pPr>
          </w:p>
        </w:tc>
      </w:tr>
      <w:tr w14:paraId="1E691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jc w:val="center"/>
        </w:trPr>
        <w:tc>
          <w:tcPr>
            <w:tcW w:w="958" w:type="dxa"/>
            <w:vMerge w:val="restart"/>
            <w:vAlign w:val="center"/>
          </w:tcPr>
          <w:p w14:paraId="2347AD80">
            <w:pPr>
              <w:spacing w:line="400" w:lineRule="exact"/>
              <w:jc w:val="center"/>
              <w:rPr>
                <w:rFonts w:ascii="Times New Roman" w:hAnsi="Times New Roman"/>
                <w:sz w:val="20"/>
                <w:szCs w:val="20"/>
              </w:rPr>
            </w:pPr>
            <w:r>
              <w:rPr>
                <w:rFonts w:hint="eastAsia" w:ascii="Times New Roman" w:hAnsi="宋体"/>
                <w:sz w:val="20"/>
                <w:szCs w:val="20"/>
              </w:rPr>
              <w:t>售后</w:t>
            </w:r>
          </w:p>
          <w:p w14:paraId="272C1020">
            <w:pPr>
              <w:spacing w:line="400" w:lineRule="exact"/>
              <w:jc w:val="center"/>
              <w:rPr>
                <w:rFonts w:ascii="Times New Roman" w:hAnsi="Times New Roman"/>
                <w:sz w:val="20"/>
                <w:szCs w:val="20"/>
              </w:rPr>
            </w:pPr>
            <w:r>
              <w:rPr>
                <w:rFonts w:hint="eastAsia" w:ascii="Times New Roman" w:hAnsi="宋体"/>
                <w:sz w:val="20"/>
                <w:szCs w:val="20"/>
              </w:rPr>
              <w:t>服务</w:t>
            </w:r>
          </w:p>
          <w:p w14:paraId="137C8CF3">
            <w:pPr>
              <w:spacing w:line="400" w:lineRule="exact"/>
              <w:jc w:val="center"/>
              <w:rPr>
                <w:rFonts w:ascii="Times New Roman" w:hAnsi="Times New Roman"/>
                <w:sz w:val="20"/>
                <w:szCs w:val="20"/>
              </w:rPr>
            </w:pPr>
            <w:r>
              <w:rPr>
                <w:rFonts w:hint="eastAsia" w:ascii="Times New Roman" w:hAnsi="宋体"/>
                <w:sz w:val="20"/>
                <w:szCs w:val="20"/>
              </w:rPr>
              <w:t>人员</w:t>
            </w:r>
          </w:p>
        </w:tc>
        <w:tc>
          <w:tcPr>
            <w:tcW w:w="821" w:type="dxa"/>
            <w:vAlign w:val="center"/>
          </w:tcPr>
          <w:p w14:paraId="7EEFF8DC">
            <w:pPr>
              <w:spacing w:line="400" w:lineRule="exact"/>
              <w:rPr>
                <w:rFonts w:ascii="Times New Roman" w:hAnsi="Times New Roman"/>
                <w:sz w:val="20"/>
                <w:szCs w:val="20"/>
              </w:rPr>
            </w:pPr>
            <w:r>
              <w:rPr>
                <w:rFonts w:ascii="Times New Roman" w:hAnsi="Times New Roman"/>
                <w:sz w:val="20"/>
                <w:szCs w:val="20"/>
              </w:rPr>
              <w:t>.....</w:t>
            </w:r>
          </w:p>
        </w:tc>
        <w:tc>
          <w:tcPr>
            <w:tcW w:w="821" w:type="dxa"/>
            <w:vAlign w:val="center"/>
          </w:tcPr>
          <w:p w14:paraId="3BFF98A5">
            <w:pPr>
              <w:spacing w:line="400" w:lineRule="exact"/>
              <w:rPr>
                <w:rFonts w:ascii="Times New Roman" w:hAnsi="Times New Roman"/>
                <w:sz w:val="20"/>
                <w:szCs w:val="20"/>
              </w:rPr>
            </w:pPr>
          </w:p>
        </w:tc>
        <w:tc>
          <w:tcPr>
            <w:tcW w:w="1521" w:type="dxa"/>
            <w:vAlign w:val="center"/>
          </w:tcPr>
          <w:p w14:paraId="2844FB09">
            <w:pPr>
              <w:spacing w:line="400" w:lineRule="exact"/>
              <w:rPr>
                <w:rFonts w:ascii="Times New Roman" w:hAnsi="Times New Roman"/>
                <w:sz w:val="20"/>
                <w:szCs w:val="20"/>
              </w:rPr>
            </w:pPr>
          </w:p>
        </w:tc>
        <w:tc>
          <w:tcPr>
            <w:tcW w:w="1276" w:type="dxa"/>
            <w:vAlign w:val="center"/>
          </w:tcPr>
          <w:p w14:paraId="302ED80D">
            <w:pPr>
              <w:spacing w:line="400" w:lineRule="exact"/>
              <w:rPr>
                <w:rFonts w:ascii="Times New Roman" w:hAnsi="Times New Roman"/>
                <w:sz w:val="20"/>
                <w:szCs w:val="20"/>
              </w:rPr>
            </w:pPr>
          </w:p>
        </w:tc>
        <w:tc>
          <w:tcPr>
            <w:tcW w:w="2928" w:type="dxa"/>
            <w:vAlign w:val="center"/>
          </w:tcPr>
          <w:p w14:paraId="7751FD21">
            <w:pPr>
              <w:spacing w:line="400" w:lineRule="exact"/>
              <w:rPr>
                <w:rFonts w:ascii="Times New Roman" w:hAnsi="Times New Roman"/>
                <w:sz w:val="20"/>
                <w:szCs w:val="20"/>
              </w:rPr>
            </w:pPr>
          </w:p>
        </w:tc>
      </w:tr>
      <w:tr w14:paraId="2D242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958" w:type="dxa"/>
            <w:vMerge w:val="continue"/>
            <w:vAlign w:val="center"/>
          </w:tcPr>
          <w:p w14:paraId="6E649968">
            <w:pPr>
              <w:spacing w:line="400" w:lineRule="exact"/>
              <w:rPr>
                <w:rFonts w:ascii="Times New Roman" w:hAnsi="Times New Roman"/>
                <w:sz w:val="20"/>
                <w:szCs w:val="20"/>
              </w:rPr>
            </w:pPr>
          </w:p>
        </w:tc>
        <w:tc>
          <w:tcPr>
            <w:tcW w:w="821" w:type="dxa"/>
            <w:vAlign w:val="center"/>
          </w:tcPr>
          <w:p w14:paraId="40413088">
            <w:pPr>
              <w:spacing w:line="400" w:lineRule="exact"/>
              <w:rPr>
                <w:rFonts w:ascii="Times New Roman" w:hAnsi="Times New Roman"/>
                <w:sz w:val="20"/>
                <w:szCs w:val="20"/>
              </w:rPr>
            </w:pPr>
          </w:p>
        </w:tc>
        <w:tc>
          <w:tcPr>
            <w:tcW w:w="821" w:type="dxa"/>
            <w:vAlign w:val="center"/>
          </w:tcPr>
          <w:p w14:paraId="546A02E8">
            <w:pPr>
              <w:spacing w:line="400" w:lineRule="exact"/>
              <w:rPr>
                <w:rFonts w:ascii="Times New Roman" w:hAnsi="Times New Roman"/>
                <w:b/>
                <w:bCs/>
                <w:sz w:val="20"/>
                <w:szCs w:val="20"/>
              </w:rPr>
            </w:pPr>
          </w:p>
        </w:tc>
        <w:tc>
          <w:tcPr>
            <w:tcW w:w="1521" w:type="dxa"/>
            <w:vAlign w:val="center"/>
          </w:tcPr>
          <w:p w14:paraId="1F6FB470">
            <w:pPr>
              <w:spacing w:line="400" w:lineRule="exact"/>
              <w:rPr>
                <w:rFonts w:ascii="Times New Roman" w:hAnsi="Times New Roman"/>
                <w:b/>
                <w:bCs/>
                <w:sz w:val="20"/>
                <w:szCs w:val="20"/>
              </w:rPr>
            </w:pPr>
          </w:p>
        </w:tc>
        <w:tc>
          <w:tcPr>
            <w:tcW w:w="1276" w:type="dxa"/>
            <w:vAlign w:val="center"/>
          </w:tcPr>
          <w:p w14:paraId="7DFFD86B">
            <w:pPr>
              <w:spacing w:line="400" w:lineRule="exact"/>
              <w:rPr>
                <w:rFonts w:ascii="Times New Roman" w:hAnsi="Times New Roman"/>
                <w:b/>
                <w:bCs/>
                <w:sz w:val="20"/>
                <w:szCs w:val="20"/>
              </w:rPr>
            </w:pPr>
          </w:p>
        </w:tc>
        <w:tc>
          <w:tcPr>
            <w:tcW w:w="2928" w:type="dxa"/>
            <w:vAlign w:val="center"/>
          </w:tcPr>
          <w:p w14:paraId="643EADDE">
            <w:pPr>
              <w:spacing w:line="400" w:lineRule="exact"/>
              <w:rPr>
                <w:rFonts w:ascii="Times New Roman" w:hAnsi="Times New Roman"/>
                <w:b/>
                <w:bCs/>
                <w:sz w:val="20"/>
                <w:szCs w:val="20"/>
              </w:rPr>
            </w:pPr>
          </w:p>
        </w:tc>
      </w:tr>
      <w:tr w14:paraId="62EA1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958" w:type="dxa"/>
            <w:vMerge w:val="continue"/>
            <w:vAlign w:val="center"/>
          </w:tcPr>
          <w:p w14:paraId="1195C495">
            <w:pPr>
              <w:spacing w:line="400" w:lineRule="exact"/>
              <w:rPr>
                <w:rFonts w:ascii="Times New Roman" w:hAnsi="Times New Roman"/>
                <w:sz w:val="20"/>
                <w:szCs w:val="20"/>
              </w:rPr>
            </w:pPr>
          </w:p>
        </w:tc>
        <w:tc>
          <w:tcPr>
            <w:tcW w:w="821" w:type="dxa"/>
            <w:vAlign w:val="center"/>
          </w:tcPr>
          <w:p w14:paraId="238FDFA5">
            <w:pPr>
              <w:spacing w:line="400" w:lineRule="exact"/>
              <w:rPr>
                <w:rFonts w:ascii="Times New Roman" w:hAnsi="Times New Roman"/>
                <w:sz w:val="20"/>
                <w:szCs w:val="20"/>
              </w:rPr>
            </w:pPr>
          </w:p>
        </w:tc>
        <w:tc>
          <w:tcPr>
            <w:tcW w:w="821" w:type="dxa"/>
            <w:vAlign w:val="center"/>
          </w:tcPr>
          <w:p w14:paraId="3DF6B243">
            <w:pPr>
              <w:spacing w:line="400" w:lineRule="exact"/>
              <w:rPr>
                <w:rFonts w:ascii="Times New Roman" w:hAnsi="Times New Roman"/>
                <w:b/>
                <w:bCs/>
                <w:sz w:val="20"/>
                <w:szCs w:val="20"/>
              </w:rPr>
            </w:pPr>
          </w:p>
        </w:tc>
        <w:tc>
          <w:tcPr>
            <w:tcW w:w="1521" w:type="dxa"/>
            <w:vAlign w:val="center"/>
          </w:tcPr>
          <w:p w14:paraId="74D81C3D">
            <w:pPr>
              <w:spacing w:line="400" w:lineRule="exact"/>
              <w:rPr>
                <w:rFonts w:ascii="Times New Roman" w:hAnsi="Times New Roman"/>
                <w:b/>
                <w:bCs/>
                <w:sz w:val="20"/>
                <w:szCs w:val="20"/>
              </w:rPr>
            </w:pPr>
          </w:p>
        </w:tc>
        <w:tc>
          <w:tcPr>
            <w:tcW w:w="1276" w:type="dxa"/>
            <w:vAlign w:val="center"/>
          </w:tcPr>
          <w:p w14:paraId="64DDE7A3">
            <w:pPr>
              <w:spacing w:line="400" w:lineRule="exact"/>
              <w:rPr>
                <w:rFonts w:ascii="Times New Roman" w:hAnsi="Times New Roman"/>
                <w:b/>
                <w:bCs/>
                <w:sz w:val="20"/>
                <w:szCs w:val="20"/>
              </w:rPr>
            </w:pPr>
          </w:p>
        </w:tc>
        <w:tc>
          <w:tcPr>
            <w:tcW w:w="2928" w:type="dxa"/>
            <w:vAlign w:val="center"/>
          </w:tcPr>
          <w:p w14:paraId="2CC99B00">
            <w:pPr>
              <w:spacing w:line="400" w:lineRule="exact"/>
              <w:rPr>
                <w:rFonts w:ascii="Times New Roman" w:hAnsi="Times New Roman"/>
                <w:b/>
                <w:bCs/>
                <w:sz w:val="20"/>
                <w:szCs w:val="20"/>
              </w:rPr>
            </w:pPr>
          </w:p>
        </w:tc>
      </w:tr>
    </w:tbl>
    <w:p w14:paraId="1320CAFF">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注：</w:t>
      </w:r>
      <w:r>
        <w:rPr>
          <w:rFonts w:ascii="Times New Roman" w:hAnsi="Times New Roman"/>
          <w:sz w:val="22"/>
          <w:szCs w:val="21"/>
        </w:rPr>
        <w:t>1.</w:t>
      </w:r>
      <w:r>
        <w:rPr>
          <w:rFonts w:hint="eastAsia" w:ascii="Times New Roman" w:hAnsi="Times New Roman"/>
          <w:sz w:val="22"/>
          <w:szCs w:val="21"/>
        </w:rPr>
        <w:t>投标人应按招标文件要求提供为本案服务及售后工作人员相关证明材料，便于评标委员会予以综合评定。</w:t>
      </w:r>
    </w:p>
    <w:p w14:paraId="6DAC351F">
      <w:pPr>
        <w:spacing w:line="360" w:lineRule="atLeast"/>
        <w:ind w:firstLine="431" w:firstLineChars="196"/>
        <w:jc w:val="left"/>
        <w:outlineLvl w:val="1"/>
        <w:rPr>
          <w:rFonts w:ascii="Times New Roman" w:hAnsi="Times New Roman"/>
          <w:sz w:val="22"/>
          <w:szCs w:val="21"/>
        </w:rPr>
      </w:pPr>
      <w:r>
        <w:rPr>
          <w:rFonts w:ascii="Times New Roman" w:hAnsi="Times New Roman"/>
          <w:sz w:val="22"/>
          <w:szCs w:val="21"/>
        </w:rPr>
        <w:t>2</w:t>
      </w:r>
      <w:r>
        <w:rPr>
          <w:rFonts w:hint="eastAsia" w:ascii="Times New Roman" w:hAnsi="Times New Roman"/>
          <w:sz w:val="22"/>
          <w:szCs w:val="21"/>
        </w:rPr>
        <w:t>．投标供应商自行承担因资料不齐而导致在评分时被扣分的风险。</w:t>
      </w:r>
    </w:p>
    <w:p w14:paraId="73B6D861">
      <w:pPr>
        <w:spacing w:line="360" w:lineRule="atLeast"/>
        <w:ind w:firstLine="431" w:firstLineChars="196"/>
        <w:jc w:val="left"/>
        <w:outlineLvl w:val="1"/>
        <w:rPr>
          <w:rFonts w:ascii="Times New Roman" w:hAnsi="Times New Roman"/>
          <w:sz w:val="22"/>
          <w:szCs w:val="21"/>
        </w:rPr>
      </w:pPr>
    </w:p>
    <w:p w14:paraId="70AD5000">
      <w:pPr>
        <w:spacing w:line="360" w:lineRule="atLeast"/>
        <w:ind w:firstLine="431" w:firstLineChars="196"/>
        <w:jc w:val="left"/>
        <w:outlineLvl w:val="1"/>
        <w:rPr>
          <w:rFonts w:ascii="Times New Roman" w:hAnsi="Times New Roman"/>
          <w:sz w:val="22"/>
          <w:szCs w:val="21"/>
        </w:rPr>
      </w:pPr>
    </w:p>
    <w:p w14:paraId="7530C028">
      <w:pPr>
        <w:spacing w:line="360" w:lineRule="atLeast"/>
        <w:ind w:firstLine="431" w:firstLineChars="196"/>
        <w:jc w:val="left"/>
        <w:outlineLvl w:val="1"/>
        <w:rPr>
          <w:rFonts w:ascii="Times New Roman" w:hAnsi="Times New Roman"/>
          <w:sz w:val="22"/>
          <w:szCs w:val="21"/>
        </w:rPr>
      </w:pPr>
    </w:p>
    <w:p w14:paraId="606A1607">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投标人名称：（盖公章）</w:t>
      </w:r>
    </w:p>
    <w:p w14:paraId="16DBA1AA">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法定代表人或委托代理人（签字或盖章）：</w:t>
      </w:r>
    </w:p>
    <w:p w14:paraId="25061B74">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日期</w:t>
      </w:r>
      <w:r>
        <w:rPr>
          <w:rFonts w:ascii="Times New Roman" w:hAnsi="Times New Roman"/>
          <w:sz w:val="22"/>
          <w:szCs w:val="21"/>
        </w:rPr>
        <w:t xml:space="preserve">:  </w:t>
      </w:r>
    </w:p>
    <w:p w14:paraId="040F3C63">
      <w:pPr>
        <w:spacing w:line="360" w:lineRule="atLeast"/>
        <w:ind w:firstLine="433" w:firstLineChars="196"/>
        <w:jc w:val="left"/>
        <w:outlineLvl w:val="1"/>
        <w:rPr>
          <w:rFonts w:ascii="Times New Roman" w:hAnsi="Times New Roman"/>
          <w:b/>
          <w:sz w:val="22"/>
          <w:szCs w:val="21"/>
        </w:rPr>
      </w:pPr>
    </w:p>
    <w:p w14:paraId="30F1075C">
      <w:pPr>
        <w:spacing w:line="360" w:lineRule="atLeast"/>
        <w:ind w:firstLine="433" w:firstLineChars="196"/>
        <w:jc w:val="left"/>
        <w:outlineLvl w:val="1"/>
        <w:rPr>
          <w:rFonts w:ascii="Times New Roman" w:hAnsi="Times New Roman"/>
          <w:b/>
          <w:sz w:val="22"/>
          <w:szCs w:val="21"/>
        </w:rPr>
      </w:pPr>
    </w:p>
    <w:p w14:paraId="08FD9766">
      <w:pPr>
        <w:spacing w:line="360" w:lineRule="auto"/>
        <w:rPr>
          <w:rFonts w:ascii="Times New Roman" w:hAnsi="Times New Roman"/>
          <w:b/>
          <w:sz w:val="28"/>
          <w:szCs w:val="28"/>
        </w:rPr>
      </w:pPr>
      <w:r>
        <w:rPr>
          <w:rFonts w:ascii="Times New Roman" w:hAnsi="Times New Roman"/>
          <w:b/>
          <w:sz w:val="22"/>
          <w:szCs w:val="21"/>
        </w:rPr>
        <w:br w:type="page"/>
      </w:r>
      <w:r>
        <w:rPr>
          <w:rFonts w:hint="eastAsia" w:ascii="Times New Roman" w:hAnsi="宋体"/>
          <w:b/>
          <w:sz w:val="28"/>
          <w:szCs w:val="28"/>
        </w:rPr>
        <w:t>格式</w:t>
      </w:r>
      <w:r>
        <w:rPr>
          <w:rFonts w:ascii="Times New Roman" w:hAnsi="Times New Roman"/>
          <w:b/>
          <w:sz w:val="28"/>
          <w:szCs w:val="28"/>
        </w:rPr>
        <w:t>2-12</w:t>
      </w:r>
    </w:p>
    <w:p w14:paraId="2D077B28">
      <w:pPr>
        <w:spacing w:line="360" w:lineRule="atLeast"/>
        <w:jc w:val="center"/>
        <w:outlineLvl w:val="1"/>
        <w:rPr>
          <w:rFonts w:ascii="仿宋" w:hAnsi="仿宋" w:eastAsia="仿宋"/>
          <w:b/>
          <w:sz w:val="32"/>
          <w:szCs w:val="32"/>
        </w:rPr>
      </w:pPr>
      <w:r>
        <w:rPr>
          <w:rFonts w:hint="eastAsia" w:hAnsi="宋体" w:cs="宋体"/>
          <w:b/>
          <w:sz w:val="32"/>
          <w:szCs w:val="32"/>
        </w:rPr>
        <w:t>十一、中小企业声明函</w:t>
      </w:r>
    </w:p>
    <w:p w14:paraId="35D1CF05">
      <w:pPr>
        <w:spacing w:line="360" w:lineRule="auto"/>
        <w:ind w:firstLine="440" w:firstLineChars="200"/>
        <w:jc w:val="left"/>
        <w:rPr>
          <w:rFonts w:hAnsi="宋体" w:cs="宋体"/>
          <w:sz w:val="22"/>
          <w:szCs w:val="21"/>
        </w:rPr>
      </w:pPr>
      <w:r>
        <w:rPr>
          <w:rFonts w:hint="eastAsia" w:hAnsi="宋体" w:cs="宋体"/>
          <w:sz w:val="22"/>
          <w:szCs w:val="21"/>
        </w:rPr>
        <w:t xml:space="preserve">本公司郑重声明，根据《政府采购促进中小企业发展管理办法》（财库〔2020〕46 号）的规定，本公司（联合体）参加 </w:t>
      </w:r>
      <w:r>
        <w:rPr>
          <w:rFonts w:hint="eastAsia" w:hAnsi="宋体" w:cs="宋体"/>
          <w:sz w:val="22"/>
          <w:szCs w:val="21"/>
          <w:u w:val="single"/>
        </w:rPr>
        <w:t xml:space="preserve">（单位名称） </w:t>
      </w:r>
      <w:r>
        <w:rPr>
          <w:rFonts w:hint="eastAsia" w:hAnsi="宋体" w:cs="宋体"/>
          <w:sz w:val="22"/>
          <w:szCs w:val="21"/>
        </w:rPr>
        <w:t xml:space="preserve">的 </w:t>
      </w:r>
      <w:r>
        <w:rPr>
          <w:rFonts w:hint="eastAsia" w:hAnsi="宋体" w:cs="宋体"/>
          <w:sz w:val="22"/>
          <w:szCs w:val="21"/>
          <w:u w:val="single"/>
        </w:rPr>
        <w:t xml:space="preserve">（项目名称） </w:t>
      </w:r>
      <w:r>
        <w:rPr>
          <w:rFonts w:hint="eastAsia" w:hAnsi="宋体" w:cs="宋体"/>
          <w:sz w:val="22"/>
          <w:szCs w:val="21"/>
        </w:rPr>
        <w:t>采购活动，提供的货物全部由符合政策要求的中小企业制造。相关企业（含联合体中的中小企业、签订分包意向协议的中小企业）的具体情况如下：</w:t>
      </w:r>
    </w:p>
    <w:p w14:paraId="39BC11BB">
      <w:pPr>
        <w:spacing w:line="360" w:lineRule="auto"/>
        <w:ind w:firstLine="440" w:firstLineChars="200"/>
        <w:jc w:val="left"/>
        <w:rPr>
          <w:rFonts w:hAnsi="宋体" w:cs="宋体"/>
          <w:sz w:val="22"/>
          <w:szCs w:val="21"/>
        </w:rPr>
      </w:pPr>
      <w:r>
        <w:rPr>
          <w:rFonts w:hint="eastAsia" w:hAnsi="宋体" w:cs="宋体"/>
          <w:sz w:val="22"/>
          <w:szCs w:val="21"/>
        </w:rPr>
        <w:t>　　</w:t>
      </w:r>
      <w:bookmarkStart w:id="192" w:name="_Toc387658050"/>
      <w:bookmarkStart w:id="193" w:name="_Toc419811733"/>
      <w:bookmarkStart w:id="194" w:name="_Toc387147344"/>
      <w:bookmarkStart w:id="195" w:name="_Toc413748654"/>
      <w:bookmarkStart w:id="196" w:name="_Toc417911732"/>
      <w:r>
        <w:rPr>
          <w:rFonts w:hint="eastAsia" w:hAnsi="宋体" w:cs="宋体"/>
          <w:sz w:val="22"/>
          <w:szCs w:val="21"/>
        </w:rPr>
        <w:t xml:space="preserve">1. </w:t>
      </w:r>
      <w:r>
        <w:rPr>
          <w:rFonts w:hint="eastAsia" w:hAnsi="宋体" w:cs="宋体"/>
          <w:sz w:val="22"/>
          <w:szCs w:val="21"/>
          <w:u w:val="single"/>
        </w:rPr>
        <w:t xml:space="preserve">（标的名称） </w:t>
      </w:r>
      <w:r>
        <w:rPr>
          <w:rFonts w:hint="eastAsia" w:hAnsi="宋体" w:cs="宋体"/>
          <w:sz w:val="22"/>
          <w:szCs w:val="21"/>
        </w:rPr>
        <w:t>，属于</w:t>
      </w:r>
      <w:r>
        <w:rPr>
          <w:rFonts w:hint="eastAsia" w:hAnsi="宋体" w:cs="宋体"/>
          <w:sz w:val="22"/>
          <w:szCs w:val="21"/>
          <w:u w:val="single"/>
        </w:rPr>
        <w:t xml:space="preserve"> （采购文件中明确的所属行业） </w:t>
      </w:r>
      <w:r>
        <w:rPr>
          <w:rFonts w:hint="eastAsia" w:hAnsi="宋体" w:cs="宋体"/>
          <w:sz w:val="22"/>
          <w:szCs w:val="21"/>
        </w:rPr>
        <w:t>；制造商为</w:t>
      </w:r>
      <w:r>
        <w:rPr>
          <w:rFonts w:hint="eastAsia" w:hAnsi="宋体" w:cs="宋体"/>
          <w:sz w:val="22"/>
          <w:szCs w:val="21"/>
          <w:u w:val="single"/>
        </w:rPr>
        <w:t xml:space="preserve"> （企业名称） </w:t>
      </w:r>
      <w:r>
        <w:rPr>
          <w:rFonts w:hint="eastAsia" w:hAnsi="宋体" w:cs="宋体"/>
          <w:sz w:val="22"/>
          <w:szCs w:val="21"/>
        </w:rPr>
        <w:t xml:space="preserve">，从业人员 </w:t>
      </w:r>
      <w:r>
        <w:rPr>
          <w:rFonts w:hint="eastAsia" w:hAnsi="宋体" w:cs="宋体"/>
          <w:sz w:val="22"/>
          <w:szCs w:val="21"/>
          <w:u w:val="single"/>
        </w:rPr>
        <w:t xml:space="preserve">    </w:t>
      </w:r>
      <w:r>
        <w:rPr>
          <w:rFonts w:hint="eastAsia" w:hAnsi="宋体" w:cs="宋体"/>
          <w:sz w:val="22"/>
          <w:szCs w:val="21"/>
        </w:rPr>
        <w:t>人，营业收入为</w:t>
      </w:r>
      <w:r>
        <w:rPr>
          <w:rFonts w:hint="eastAsia" w:hAnsi="宋体" w:cs="宋体"/>
          <w:sz w:val="22"/>
          <w:szCs w:val="21"/>
          <w:u w:val="single"/>
        </w:rPr>
        <w:t xml:space="preserve">   </w:t>
      </w:r>
      <w:r>
        <w:rPr>
          <w:rFonts w:hint="eastAsia" w:hAnsi="宋体" w:cs="宋体"/>
          <w:sz w:val="22"/>
          <w:szCs w:val="21"/>
        </w:rPr>
        <w:t>万元，资产总额为</w:t>
      </w:r>
      <w:r>
        <w:rPr>
          <w:rFonts w:hint="eastAsia" w:hAnsi="宋体" w:cs="宋体"/>
          <w:sz w:val="22"/>
          <w:szCs w:val="21"/>
          <w:u w:val="single"/>
        </w:rPr>
        <w:t xml:space="preserve">  </w:t>
      </w:r>
      <w:r>
        <w:rPr>
          <w:rFonts w:hint="eastAsia" w:hAnsi="宋体" w:cs="宋体"/>
          <w:sz w:val="22"/>
          <w:szCs w:val="21"/>
        </w:rPr>
        <w:t>万元，属于</w:t>
      </w:r>
      <w:r>
        <w:rPr>
          <w:rFonts w:hint="eastAsia" w:hAnsi="宋体" w:cs="宋体"/>
          <w:sz w:val="22"/>
          <w:szCs w:val="21"/>
          <w:u w:val="single"/>
        </w:rPr>
        <w:t xml:space="preserve"> （中型企业、小型企业、微型企业） </w:t>
      </w:r>
      <w:r>
        <w:rPr>
          <w:rFonts w:hint="eastAsia" w:hAnsi="宋体" w:cs="宋体"/>
          <w:sz w:val="22"/>
          <w:szCs w:val="21"/>
        </w:rPr>
        <w:t>；</w:t>
      </w:r>
    </w:p>
    <w:p w14:paraId="24F2E41F">
      <w:pPr>
        <w:spacing w:line="360" w:lineRule="auto"/>
        <w:ind w:firstLine="550" w:firstLineChars="250"/>
        <w:jc w:val="left"/>
        <w:rPr>
          <w:rFonts w:hAnsi="宋体" w:cs="宋体"/>
          <w:sz w:val="22"/>
          <w:szCs w:val="21"/>
        </w:rPr>
      </w:pPr>
      <w:r>
        <w:rPr>
          <w:rFonts w:hint="eastAsia" w:hAnsi="宋体" w:cs="宋体"/>
          <w:sz w:val="22"/>
          <w:szCs w:val="21"/>
        </w:rPr>
        <w:t>2.</w:t>
      </w:r>
      <w:r>
        <w:rPr>
          <w:rFonts w:hint="eastAsia" w:hAnsi="宋体" w:cs="宋体"/>
          <w:sz w:val="22"/>
          <w:szCs w:val="21"/>
          <w:u w:val="single"/>
        </w:rPr>
        <w:t xml:space="preserve"> （标的名称） </w:t>
      </w:r>
      <w:r>
        <w:rPr>
          <w:rFonts w:hint="eastAsia" w:hAnsi="宋体" w:cs="宋体"/>
          <w:sz w:val="22"/>
          <w:szCs w:val="21"/>
        </w:rPr>
        <w:t>，属于</w:t>
      </w:r>
      <w:r>
        <w:rPr>
          <w:rFonts w:hint="eastAsia" w:hAnsi="宋体" w:cs="宋体"/>
          <w:sz w:val="22"/>
          <w:szCs w:val="21"/>
          <w:u w:val="single"/>
        </w:rPr>
        <w:t xml:space="preserve"> （采购文件中明确的所属行业） </w:t>
      </w:r>
      <w:r>
        <w:rPr>
          <w:rFonts w:hint="eastAsia" w:hAnsi="宋体" w:cs="宋体"/>
          <w:sz w:val="22"/>
          <w:szCs w:val="21"/>
        </w:rPr>
        <w:t>；制造商为</w:t>
      </w:r>
      <w:r>
        <w:rPr>
          <w:rFonts w:hint="eastAsia" w:hAnsi="宋体" w:cs="宋体"/>
          <w:sz w:val="22"/>
          <w:szCs w:val="21"/>
          <w:u w:val="single"/>
        </w:rPr>
        <w:t xml:space="preserve"> （企业名称） </w:t>
      </w:r>
      <w:r>
        <w:rPr>
          <w:rFonts w:hint="eastAsia" w:hAnsi="宋体" w:cs="宋体"/>
          <w:sz w:val="22"/>
          <w:szCs w:val="21"/>
        </w:rPr>
        <w:t>，从业人员</w:t>
      </w:r>
      <w:r>
        <w:rPr>
          <w:rFonts w:hint="eastAsia" w:hAnsi="宋体" w:cs="宋体"/>
          <w:sz w:val="22"/>
          <w:szCs w:val="21"/>
          <w:u w:val="single"/>
        </w:rPr>
        <w:t xml:space="preserve">  </w:t>
      </w:r>
      <w:r>
        <w:rPr>
          <w:rFonts w:hint="eastAsia" w:hAnsi="宋体" w:cs="宋体"/>
          <w:sz w:val="22"/>
          <w:szCs w:val="21"/>
        </w:rPr>
        <w:t>人，营业收入为</w:t>
      </w:r>
      <w:r>
        <w:rPr>
          <w:rFonts w:hint="eastAsia" w:hAnsi="宋体" w:cs="宋体"/>
          <w:sz w:val="22"/>
          <w:szCs w:val="21"/>
          <w:u w:val="single"/>
        </w:rPr>
        <w:t xml:space="preserve">  </w:t>
      </w:r>
      <w:r>
        <w:rPr>
          <w:rFonts w:hint="eastAsia" w:hAnsi="宋体" w:cs="宋体"/>
          <w:sz w:val="22"/>
          <w:szCs w:val="21"/>
        </w:rPr>
        <w:t>万元，资产总额为</w:t>
      </w:r>
      <w:r>
        <w:rPr>
          <w:rFonts w:hint="eastAsia" w:hAnsi="宋体" w:cs="宋体"/>
          <w:sz w:val="22"/>
          <w:szCs w:val="21"/>
          <w:u w:val="single"/>
        </w:rPr>
        <w:t xml:space="preserve">   </w:t>
      </w:r>
      <w:r>
        <w:rPr>
          <w:rFonts w:hint="eastAsia" w:hAnsi="宋体" w:cs="宋体"/>
          <w:sz w:val="22"/>
          <w:szCs w:val="21"/>
        </w:rPr>
        <w:t>万元，属于</w:t>
      </w:r>
      <w:r>
        <w:rPr>
          <w:rFonts w:hint="eastAsia" w:hAnsi="宋体" w:cs="宋体"/>
          <w:sz w:val="22"/>
          <w:szCs w:val="21"/>
          <w:u w:val="single"/>
        </w:rPr>
        <w:t xml:space="preserve"> （中型企业、小型企业、微型企业） </w:t>
      </w:r>
      <w:r>
        <w:rPr>
          <w:rFonts w:hint="eastAsia" w:hAnsi="宋体" w:cs="宋体"/>
          <w:sz w:val="22"/>
          <w:szCs w:val="21"/>
        </w:rPr>
        <w:t>；</w:t>
      </w:r>
    </w:p>
    <w:p w14:paraId="20F5CD78">
      <w:pPr>
        <w:spacing w:line="360" w:lineRule="auto"/>
        <w:ind w:firstLine="550" w:firstLineChars="250"/>
        <w:jc w:val="left"/>
        <w:rPr>
          <w:rFonts w:hAnsi="宋体" w:cs="宋体"/>
          <w:sz w:val="22"/>
          <w:szCs w:val="21"/>
        </w:rPr>
      </w:pPr>
      <w:r>
        <w:rPr>
          <w:rFonts w:hint="eastAsia" w:hAnsi="宋体" w:cs="宋体"/>
          <w:sz w:val="22"/>
          <w:szCs w:val="21"/>
        </w:rPr>
        <w:t>……</w:t>
      </w:r>
    </w:p>
    <w:p w14:paraId="140B2002">
      <w:pPr>
        <w:spacing w:line="360" w:lineRule="auto"/>
        <w:ind w:firstLine="550" w:firstLineChars="250"/>
        <w:jc w:val="left"/>
        <w:rPr>
          <w:rFonts w:hAnsi="宋体" w:cs="宋体"/>
          <w:sz w:val="22"/>
          <w:szCs w:val="21"/>
        </w:rPr>
      </w:pPr>
      <w:r>
        <w:rPr>
          <w:rFonts w:hint="eastAsia" w:hAnsi="宋体" w:cs="宋体"/>
          <w:sz w:val="22"/>
          <w:szCs w:val="21"/>
        </w:rPr>
        <w:t>以上企业，不属于大企业的分支机构，不存在控股股东为大企业的情形，也不存在与大企业的负责人为同一人的情形。</w:t>
      </w:r>
    </w:p>
    <w:p w14:paraId="7A02C329">
      <w:pPr>
        <w:spacing w:line="360" w:lineRule="auto"/>
        <w:ind w:firstLine="550" w:firstLineChars="250"/>
        <w:jc w:val="left"/>
        <w:rPr>
          <w:rFonts w:hAnsi="宋体" w:cs="宋体"/>
          <w:sz w:val="22"/>
          <w:szCs w:val="21"/>
        </w:rPr>
      </w:pPr>
      <w:r>
        <w:rPr>
          <w:rFonts w:hint="eastAsia" w:hAnsi="宋体" w:cs="宋体"/>
          <w:sz w:val="22"/>
          <w:szCs w:val="21"/>
        </w:rPr>
        <w:t>本企业对上述声明内容的真实性负责。如有虚假，将依法承担相应责任。</w:t>
      </w:r>
    </w:p>
    <w:p w14:paraId="149C039F">
      <w:pPr>
        <w:spacing w:line="360" w:lineRule="auto"/>
        <w:jc w:val="center"/>
        <w:rPr>
          <w:rFonts w:hAnsi="宋体" w:cs="宋体"/>
          <w:sz w:val="22"/>
          <w:szCs w:val="21"/>
        </w:rPr>
      </w:pPr>
      <w:r>
        <w:rPr>
          <w:rFonts w:hint="eastAsia" w:hAnsi="宋体" w:cs="宋体"/>
          <w:sz w:val="22"/>
          <w:szCs w:val="21"/>
        </w:rPr>
        <w:t xml:space="preserve">                                 企业名称（盖章）：</w:t>
      </w:r>
    </w:p>
    <w:p w14:paraId="799347C9">
      <w:pPr>
        <w:spacing w:line="360" w:lineRule="auto"/>
        <w:jc w:val="center"/>
        <w:rPr>
          <w:rFonts w:hAnsi="宋体" w:cs="宋体"/>
          <w:sz w:val="22"/>
          <w:szCs w:val="21"/>
        </w:rPr>
      </w:pPr>
      <w:r>
        <w:rPr>
          <w:rFonts w:hint="eastAsia" w:hAnsi="宋体" w:cs="宋体"/>
          <w:sz w:val="22"/>
          <w:szCs w:val="21"/>
        </w:rPr>
        <w:t xml:space="preserve">                        日 期：</w:t>
      </w:r>
    </w:p>
    <w:p w14:paraId="44A3C055">
      <w:pPr>
        <w:spacing w:line="360" w:lineRule="auto"/>
        <w:jc w:val="left"/>
        <w:rPr>
          <w:rFonts w:hAnsi="宋体" w:cs="宋体"/>
          <w:sz w:val="22"/>
          <w:szCs w:val="21"/>
        </w:rPr>
      </w:pPr>
      <w:r>
        <w:rPr>
          <w:rFonts w:hint="eastAsia" w:hAnsi="宋体" w:cs="宋体"/>
          <w:sz w:val="22"/>
          <w:szCs w:val="21"/>
        </w:rPr>
        <w:t>注：</w:t>
      </w:r>
    </w:p>
    <w:p w14:paraId="0CB9C689">
      <w:pPr>
        <w:spacing w:line="360" w:lineRule="auto"/>
        <w:rPr>
          <w:rFonts w:hAnsi="宋体" w:cs="宋体"/>
          <w:sz w:val="22"/>
          <w:szCs w:val="21"/>
        </w:rPr>
      </w:pPr>
      <w:r>
        <w:rPr>
          <w:rFonts w:hint="eastAsia" w:hAnsi="宋体" w:cs="宋体"/>
          <w:sz w:val="22"/>
          <w:szCs w:val="21"/>
        </w:rPr>
        <w:t>1、</w:t>
      </w:r>
      <w:bookmarkEnd w:id="192"/>
      <w:bookmarkEnd w:id="193"/>
      <w:bookmarkEnd w:id="194"/>
      <w:bookmarkEnd w:id="195"/>
      <w:bookmarkEnd w:id="196"/>
      <w:r>
        <w:rPr>
          <w:rFonts w:hint="eastAsia" w:hAnsi="宋体" w:cs="宋体"/>
          <w:sz w:val="22"/>
          <w:szCs w:val="21"/>
        </w:rPr>
        <w:t>从业人员、营业收入、资产总额填报上一年度数据，无上一年度数据的新成立企业可不填报。</w:t>
      </w:r>
    </w:p>
    <w:p w14:paraId="51CE2482">
      <w:pPr>
        <w:spacing w:line="360" w:lineRule="auto"/>
        <w:rPr>
          <w:rFonts w:ascii="仿宋" w:hAnsi="仿宋" w:eastAsia="仿宋" w:cs="宋体"/>
          <w:sz w:val="24"/>
        </w:rPr>
      </w:pPr>
      <w:r>
        <w:rPr>
          <w:rFonts w:hint="eastAsia" w:ascii="仿宋" w:hAnsi="仿宋" w:eastAsia="仿宋" w:cs="宋体"/>
          <w:sz w:val="24"/>
        </w:rPr>
        <w:br w:type="page"/>
      </w:r>
    </w:p>
    <w:p w14:paraId="7C5CBF05">
      <w:pPr>
        <w:rPr>
          <w:rFonts w:ascii="Times New Roman" w:hAnsi="Times New Roman"/>
          <w:b/>
          <w:sz w:val="28"/>
          <w:szCs w:val="28"/>
        </w:rPr>
      </w:pPr>
      <w:r>
        <w:rPr>
          <w:rFonts w:hint="eastAsia" w:ascii="Times New Roman" w:hAnsi="宋体"/>
          <w:b/>
          <w:sz w:val="28"/>
          <w:szCs w:val="28"/>
        </w:rPr>
        <w:t>格式</w:t>
      </w:r>
      <w:r>
        <w:rPr>
          <w:rFonts w:ascii="Times New Roman" w:hAnsi="Times New Roman"/>
          <w:b/>
          <w:sz w:val="28"/>
          <w:szCs w:val="28"/>
        </w:rPr>
        <w:t>2-1</w:t>
      </w:r>
      <w:r>
        <w:rPr>
          <w:rFonts w:hint="eastAsia" w:ascii="Times New Roman" w:hAnsi="Times New Roman"/>
          <w:b/>
          <w:sz w:val="28"/>
          <w:szCs w:val="28"/>
        </w:rPr>
        <w:t>3</w:t>
      </w:r>
    </w:p>
    <w:p w14:paraId="123F5BE3">
      <w:pPr>
        <w:jc w:val="center"/>
        <w:rPr>
          <w:rFonts w:hAnsi="宋体" w:cs="宋体"/>
          <w:b/>
          <w:sz w:val="32"/>
          <w:szCs w:val="32"/>
        </w:rPr>
      </w:pPr>
      <w:r>
        <w:rPr>
          <w:rFonts w:hint="eastAsia" w:hAnsi="宋体" w:cs="宋体"/>
          <w:b/>
          <w:sz w:val="32"/>
          <w:szCs w:val="32"/>
        </w:rPr>
        <w:t>十二、 残疾人福利性单位声明函</w:t>
      </w:r>
    </w:p>
    <w:p w14:paraId="4A5ACEF1">
      <w:pPr>
        <w:spacing w:line="588" w:lineRule="exact"/>
        <w:rPr>
          <w:rFonts w:ascii="仿宋" w:hAnsi="仿宋" w:eastAsia="仿宋" w:cs="宋体"/>
          <w:b/>
          <w:spacing w:val="6"/>
          <w:sz w:val="24"/>
        </w:rPr>
      </w:pPr>
    </w:p>
    <w:p w14:paraId="2A912657">
      <w:pPr>
        <w:spacing w:line="588" w:lineRule="exact"/>
        <w:ind w:firstLine="464" w:firstLineChars="200"/>
        <w:rPr>
          <w:rFonts w:hAnsi="宋体" w:cs="宋体"/>
          <w:spacing w:val="6"/>
          <w:sz w:val="22"/>
          <w:szCs w:val="21"/>
        </w:rPr>
      </w:pPr>
      <w:r>
        <w:rPr>
          <w:rFonts w:hint="eastAsia" w:hAnsi="宋体" w:cs="宋体"/>
          <w:spacing w:val="6"/>
          <w:sz w:val="22"/>
          <w:szCs w:val="21"/>
        </w:rPr>
        <w:t>本单位郑重声明，根据《财政部 民政部 中国残疾人联合会关于促进残疾人就业政府采购政策的通知》（财库</w:t>
      </w:r>
      <w:r>
        <w:rPr>
          <w:rFonts w:hint="eastAsia" w:hAnsi="宋体" w:cs="宋体"/>
          <w:sz w:val="22"/>
          <w:szCs w:val="21"/>
        </w:rPr>
        <w:t>〔2017〕 141</w:t>
      </w:r>
      <w:r>
        <w:rPr>
          <w:rFonts w:hint="eastAsia" w:hAnsi="宋体" w:cs="宋体"/>
          <w:spacing w:val="6"/>
          <w:sz w:val="22"/>
          <w:szCs w:val="21"/>
        </w:rPr>
        <w:t>号）的规定，本单位为符合条件的残疾人福利性单位，且本单位参加</w:t>
      </w:r>
      <w:r>
        <w:rPr>
          <w:rFonts w:hint="eastAsia" w:hAnsi="宋体" w:cs="宋体"/>
          <w:sz w:val="22"/>
          <w:szCs w:val="21"/>
          <w:u w:val="single"/>
        </w:rPr>
        <w:t>XXXX</w:t>
      </w:r>
      <w:r>
        <w:rPr>
          <w:rFonts w:hint="eastAsia" w:hAnsi="宋体" w:cs="宋体"/>
          <w:spacing w:val="6"/>
          <w:sz w:val="22"/>
          <w:szCs w:val="21"/>
        </w:rPr>
        <w:t>单位的</w:t>
      </w:r>
      <w:r>
        <w:rPr>
          <w:rFonts w:hint="eastAsia" w:hAnsi="宋体" w:cs="宋体"/>
          <w:sz w:val="22"/>
          <w:szCs w:val="21"/>
          <w:u w:val="single"/>
        </w:rPr>
        <w:t>XXXX</w:t>
      </w:r>
      <w:r>
        <w:rPr>
          <w:rFonts w:hint="eastAsia" w:hAnsi="宋体" w:cs="宋体"/>
          <w:spacing w:val="6"/>
          <w:sz w:val="22"/>
          <w:szCs w:val="21"/>
        </w:rPr>
        <w:t>项目采购活动提供本单位制造的货物（由本单位承担工程/提供服务），或者提供其他残疾人福利性单位制造的货物（不包括使用非残疾人福利性单位注册商标的货物）。</w:t>
      </w:r>
    </w:p>
    <w:p w14:paraId="07EC405B">
      <w:pPr>
        <w:spacing w:line="588" w:lineRule="exact"/>
        <w:ind w:firstLine="464" w:firstLineChars="200"/>
        <w:rPr>
          <w:rFonts w:hAnsi="宋体" w:cs="宋体"/>
          <w:spacing w:val="6"/>
          <w:sz w:val="22"/>
          <w:szCs w:val="21"/>
        </w:rPr>
      </w:pPr>
      <w:r>
        <w:rPr>
          <w:rFonts w:hint="eastAsia" w:hAnsi="宋体" w:cs="宋体"/>
          <w:spacing w:val="6"/>
          <w:sz w:val="22"/>
          <w:szCs w:val="21"/>
        </w:rPr>
        <w:t>本单位对上述声明的真实性负责。如有虚假，将依法承担相应责任。</w:t>
      </w:r>
    </w:p>
    <w:p w14:paraId="6CD97E68">
      <w:pPr>
        <w:spacing w:line="588" w:lineRule="exact"/>
        <w:rPr>
          <w:rFonts w:hAnsi="宋体" w:cs="宋体"/>
          <w:spacing w:val="6"/>
          <w:sz w:val="22"/>
          <w:szCs w:val="21"/>
        </w:rPr>
      </w:pPr>
    </w:p>
    <w:p w14:paraId="65C05AC5">
      <w:pPr>
        <w:tabs>
          <w:tab w:val="left" w:pos="4860"/>
        </w:tabs>
        <w:spacing w:line="588" w:lineRule="exact"/>
        <w:ind w:right="1560"/>
        <w:rPr>
          <w:rFonts w:hAnsi="宋体" w:cs="宋体"/>
          <w:spacing w:val="6"/>
          <w:sz w:val="22"/>
          <w:szCs w:val="21"/>
        </w:rPr>
      </w:pPr>
      <w:r>
        <w:rPr>
          <w:rFonts w:hint="eastAsia" w:hAnsi="宋体" w:cs="宋体"/>
          <w:spacing w:val="6"/>
          <w:sz w:val="22"/>
          <w:szCs w:val="21"/>
        </w:rPr>
        <w:t>单位名称（盖章）：</w:t>
      </w:r>
    </w:p>
    <w:p w14:paraId="3E81CCA6">
      <w:pPr>
        <w:rPr>
          <w:rFonts w:hAnsi="宋体" w:cs="宋体"/>
          <w:spacing w:val="6"/>
          <w:sz w:val="22"/>
          <w:szCs w:val="21"/>
        </w:rPr>
      </w:pPr>
      <w:r>
        <w:rPr>
          <w:rFonts w:hint="eastAsia" w:hAnsi="宋体" w:cs="宋体"/>
          <w:spacing w:val="6"/>
          <w:sz w:val="22"/>
          <w:szCs w:val="21"/>
        </w:rPr>
        <w:t>日  期：</w:t>
      </w:r>
    </w:p>
    <w:p w14:paraId="1269D59C">
      <w:pPr>
        <w:spacing w:line="360" w:lineRule="auto"/>
        <w:rPr>
          <w:rFonts w:hAnsi="宋体" w:cs="宋体"/>
          <w:sz w:val="22"/>
          <w:szCs w:val="21"/>
        </w:rPr>
      </w:pPr>
    </w:p>
    <w:p w14:paraId="5EC3711D">
      <w:pPr>
        <w:spacing w:line="360" w:lineRule="auto"/>
        <w:rPr>
          <w:rFonts w:hAnsi="宋体" w:cs="宋体"/>
          <w:sz w:val="22"/>
          <w:szCs w:val="21"/>
        </w:rPr>
      </w:pPr>
      <w:r>
        <w:rPr>
          <w:rFonts w:hint="eastAsia" w:hAnsi="宋体" w:cs="宋体"/>
          <w:sz w:val="22"/>
          <w:szCs w:val="21"/>
        </w:rPr>
        <w:t>注：</w:t>
      </w:r>
    </w:p>
    <w:p w14:paraId="0749A87C">
      <w:pPr>
        <w:numPr>
          <w:ilvl w:val="0"/>
          <w:numId w:val="3"/>
        </w:numPr>
        <w:spacing w:line="360" w:lineRule="auto"/>
        <w:rPr>
          <w:rFonts w:hAnsi="宋体" w:cs="宋体"/>
          <w:sz w:val="22"/>
          <w:szCs w:val="21"/>
        </w:rPr>
      </w:pPr>
      <w:r>
        <w:rPr>
          <w:rFonts w:hint="eastAsia" w:hAnsi="宋体" w:cs="宋体"/>
          <w:sz w:val="22"/>
          <w:szCs w:val="21"/>
        </w:rPr>
        <w:t>残疾人福利性单位视同小型、微型企业，享受预留份额、评审中价格扣除等促进中小企业发展的政府采购政策。残疾人福利性单位属于小型、微型企业的，不重复享受政策。</w:t>
      </w:r>
    </w:p>
    <w:p w14:paraId="2B45F1A9">
      <w:pPr>
        <w:numPr>
          <w:ilvl w:val="0"/>
          <w:numId w:val="3"/>
        </w:numPr>
        <w:spacing w:line="360" w:lineRule="auto"/>
        <w:rPr>
          <w:rFonts w:hAnsi="宋体" w:cs="宋体"/>
          <w:sz w:val="24"/>
        </w:rPr>
      </w:pPr>
      <w:r>
        <w:rPr>
          <w:rFonts w:hint="eastAsia" w:hAnsi="宋体" w:cs="宋体"/>
          <w:sz w:val="22"/>
          <w:szCs w:val="21"/>
        </w:rPr>
        <w:t>投标人为非残疾人福利性单位的，可不提供此声明。</w:t>
      </w:r>
    </w:p>
    <w:p w14:paraId="7F97C8AB">
      <w:pPr>
        <w:jc w:val="left"/>
        <w:rPr>
          <w:rFonts w:ascii="仿宋" w:hAnsi="仿宋" w:eastAsia="仿宋" w:cs="宋体"/>
          <w:sz w:val="24"/>
        </w:rPr>
      </w:pPr>
      <w:r>
        <w:rPr>
          <w:rFonts w:ascii="仿宋" w:hAnsi="仿宋" w:eastAsia="仿宋" w:cs="宋体"/>
          <w:sz w:val="24"/>
        </w:rPr>
        <w:br w:type="page"/>
      </w:r>
    </w:p>
    <w:p w14:paraId="3E6493AA">
      <w:pPr>
        <w:rPr>
          <w:rFonts w:ascii="Times New Roman" w:hAnsi="Times New Roman"/>
          <w:b/>
          <w:sz w:val="28"/>
          <w:szCs w:val="28"/>
        </w:rPr>
      </w:pPr>
      <w:r>
        <w:rPr>
          <w:rFonts w:hint="eastAsia" w:ascii="Times New Roman" w:hAnsi="宋体"/>
          <w:b/>
          <w:sz w:val="28"/>
          <w:szCs w:val="28"/>
        </w:rPr>
        <w:t>格式</w:t>
      </w:r>
      <w:r>
        <w:rPr>
          <w:rFonts w:ascii="Times New Roman" w:hAnsi="Times New Roman"/>
          <w:b/>
          <w:sz w:val="28"/>
          <w:szCs w:val="28"/>
        </w:rPr>
        <w:t>2-1</w:t>
      </w:r>
      <w:r>
        <w:rPr>
          <w:rFonts w:hint="eastAsia" w:ascii="Times New Roman" w:hAnsi="Times New Roman"/>
          <w:b/>
          <w:sz w:val="28"/>
          <w:szCs w:val="28"/>
        </w:rPr>
        <w:t>4</w:t>
      </w:r>
    </w:p>
    <w:p w14:paraId="54A1BA77">
      <w:pPr>
        <w:jc w:val="center"/>
        <w:rPr>
          <w:rFonts w:hAnsi="宋体" w:cs="宋体"/>
          <w:b/>
          <w:sz w:val="32"/>
          <w:szCs w:val="32"/>
        </w:rPr>
      </w:pPr>
      <w:r>
        <w:rPr>
          <w:rFonts w:hint="eastAsia" w:hAnsi="宋体" w:cs="宋体"/>
          <w:b/>
          <w:sz w:val="32"/>
          <w:szCs w:val="32"/>
        </w:rPr>
        <w:t>十三、监狱企业</w:t>
      </w:r>
    </w:p>
    <w:p w14:paraId="0A5357F0">
      <w:pPr>
        <w:spacing w:line="588" w:lineRule="exact"/>
        <w:rPr>
          <w:rFonts w:ascii="仿宋" w:hAnsi="仿宋" w:eastAsia="仿宋" w:cs="宋体"/>
          <w:b/>
          <w:spacing w:val="6"/>
          <w:sz w:val="24"/>
        </w:rPr>
      </w:pPr>
    </w:p>
    <w:p w14:paraId="1F93F16B">
      <w:pPr>
        <w:spacing w:line="360" w:lineRule="auto"/>
        <w:ind w:firstLine="440" w:firstLineChars="200"/>
        <w:jc w:val="left"/>
        <w:rPr>
          <w:rFonts w:hAnsi="宋体" w:cs="宋体"/>
          <w:sz w:val="22"/>
          <w:szCs w:val="21"/>
        </w:rPr>
      </w:pPr>
      <w:r>
        <w:rPr>
          <w:rFonts w:hint="eastAsia" w:hAnsi="宋体" w:cs="宋体"/>
          <w:sz w:val="22"/>
          <w:szCs w:val="21"/>
        </w:rPr>
        <w:t>根据《政府采购支持监狱企业发展有关问题的通知》（财库〔2014〕68号）的规定监狱企业参加采购活动的，应提供由省级以上监狱管理局、戒毒管理局(含新疆生产建设兵团)出具的属于监狱企业的证明文件。</w:t>
      </w:r>
    </w:p>
    <w:p w14:paraId="73FD16CB">
      <w:pPr>
        <w:spacing w:line="360" w:lineRule="auto"/>
        <w:jc w:val="left"/>
        <w:rPr>
          <w:rFonts w:hAnsi="宋体" w:cs="宋体"/>
          <w:sz w:val="22"/>
          <w:szCs w:val="21"/>
        </w:rPr>
      </w:pPr>
      <w:r>
        <w:rPr>
          <w:rFonts w:hint="eastAsia" w:hAnsi="宋体" w:cs="宋体"/>
          <w:sz w:val="22"/>
          <w:szCs w:val="21"/>
        </w:rPr>
        <w:t>注：</w:t>
      </w:r>
    </w:p>
    <w:p w14:paraId="06936B68">
      <w:pPr>
        <w:spacing w:line="360" w:lineRule="auto"/>
        <w:rPr>
          <w:rFonts w:hAnsi="宋体" w:cs="宋体"/>
          <w:sz w:val="22"/>
          <w:szCs w:val="21"/>
        </w:rPr>
      </w:pPr>
      <w:r>
        <w:rPr>
          <w:rFonts w:hint="eastAsia" w:hAnsi="宋体" w:cs="宋体"/>
          <w:sz w:val="22"/>
          <w:szCs w:val="21"/>
        </w:rPr>
        <w:t>1、投标人符合《政府采购支持监狱企业发展有关问题的通知》（财库〔2014〕68号）规定的划分标准为监狱企业适用。</w:t>
      </w:r>
    </w:p>
    <w:p w14:paraId="17545DB4">
      <w:pPr>
        <w:spacing w:line="360" w:lineRule="auto"/>
        <w:rPr>
          <w:rFonts w:hAnsi="宋体" w:cs="宋体"/>
          <w:sz w:val="22"/>
          <w:szCs w:val="21"/>
        </w:rPr>
      </w:pPr>
      <w:r>
        <w:rPr>
          <w:rFonts w:hint="eastAsia" w:hAnsi="宋体" w:cs="宋体"/>
          <w:sz w:val="22"/>
          <w:szCs w:val="21"/>
        </w:rPr>
        <w:t>2、在政府采购活动中，监狱企业视同小型、微型企业，享受预留份额、评审中价格扣除等政府采购促进中小企业发展的政府采购政策。</w:t>
      </w:r>
    </w:p>
    <w:p w14:paraId="55CB92CE">
      <w:pPr>
        <w:spacing w:line="360" w:lineRule="auto"/>
        <w:rPr>
          <w:rFonts w:hAnsi="宋体" w:cs="宋体"/>
          <w:sz w:val="22"/>
          <w:szCs w:val="21"/>
        </w:rPr>
      </w:pPr>
    </w:p>
    <w:p w14:paraId="3708AC1A">
      <w:pPr>
        <w:spacing w:line="360" w:lineRule="auto"/>
        <w:rPr>
          <w:rFonts w:hAnsi="宋体" w:cs="宋体"/>
          <w:sz w:val="22"/>
          <w:szCs w:val="21"/>
        </w:rPr>
      </w:pPr>
    </w:p>
    <w:p w14:paraId="18DCF581">
      <w:pPr>
        <w:rPr>
          <w:rFonts w:ascii="Times New Roman" w:hAnsi="宋体"/>
          <w:b/>
          <w:sz w:val="28"/>
          <w:szCs w:val="28"/>
        </w:rPr>
      </w:pPr>
      <w:r>
        <w:rPr>
          <w:rFonts w:hint="eastAsia" w:ascii="Times New Roman" w:hAnsi="宋体"/>
          <w:b/>
          <w:sz w:val="28"/>
          <w:szCs w:val="28"/>
        </w:rPr>
        <w:br w:type="page"/>
      </w:r>
    </w:p>
    <w:p w14:paraId="2ECA2FBF">
      <w:pPr>
        <w:rPr>
          <w:rFonts w:ascii="Times New Roman" w:hAnsi="Times New Roman"/>
          <w:b/>
          <w:sz w:val="28"/>
          <w:szCs w:val="28"/>
        </w:rPr>
      </w:pPr>
      <w:r>
        <w:rPr>
          <w:rFonts w:hint="eastAsia" w:ascii="Times New Roman" w:hAnsi="宋体"/>
          <w:b/>
          <w:sz w:val="28"/>
          <w:szCs w:val="28"/>
        </w:rPr>
        <w:t>格式</w:t>
      </w:r>
      <w:r>
        <w:rPr>
          <w:rFonts w:ascii="Times New Roman" w:hAnsi="Times New Roman"/>
          <w:b/>
          <w:sz w:val="28"/>
          <w:szCs w:val="28"/>
        </w:rPr>
        <w:t>2-1</w:t>
      </w:r>
      <w:r>
        <w:rPr>
          <w:rFonts w:hint="eastAsia" w:ascii="Times New Roman" w:hAnsi="Times New Roman"/>
          <w:b/>
          <w:sz w:val="28"/>
          <w:szCs w:val="28"/>
        </w:rPr>
        <w:t>5</w:t>
      </w:r>
    </w:p>
    <w:p w14:paraId="016CA220">
      <w:pPr>
        <w:jc w:val="center"/>
        <w:rPr>
          <w:rFonts w:ascii="Times New Roman" w:hAnsi="Times New Roman"/>
          <w:b/>
          <w:sz w:val="28"/>
          <w:szCs w:val="28"/>
        </w:rPr>
      </w:pPr>
      <w:r>
        <w:rPr>
          <w:rFonts w:hint="eastAsia" w:ascii="Times New Roman" w:hAnsi="Times New Roman"/>
          <w:b/>
          <w:sz w:val="28"/>
          <w:szCs w:val="28"/>
        </w:rPr>
        <w:t>项目实施方案（自拟）</w:t>
      </w:r>
    </w:p>
    <w:p w14:paraId="006E9A19">
      <w:pPr>
        <w:rPr>
          <w:rFonts w:hAnsi="宋体" w:cs="宋体"/>
          <w:sz w:val="22"/>
          <w:szCs w:val="21"/>
        </w:rPr>
      </w:pPr>
      <w:r>
        <w:rPr>
          <w:rFonts w:hint="eastAsia" w:hAnsi="宋体" w:cs="宋体"/>
          <w:sz w:val="22"/>
          <w:szCs w:val="21"/>
        </w:rPr>
        <w:br w:type="page"/>
      </w:r>
    </w:p>
    <w:p w14:paraId="1392343C">
      <w:pPr>
        <w:rPr>
          <w:rFonts w:ascii="Times New Roman" w:hAnsi="Times New Roman"/>
          <w:b/>
          <w:sz w:val="28"/>
          <w:szCs w:val="28"/>
        </w:rPr>
      </w:pPr>
      <w:r>
        <w:rPr>
          <w:rFonts w:hint="eastAsia" w:ascii="Times New Roman" w:hAnsi="宋体"/>
          <w:b/>
          <w:sz w:val="28"/>
          <w:szCs w:val="28"/>
        </w:rPr>
        <w:t>格式</w:t>
      </w:r>
      <w:r>
        <w:rPr>
          <w:rFonts w:ascii="Times New Roman" w:hAnsi="Times New Roman"/>
          <w:b/>
          <w:sz w:val="28"/>
          <w:szCs w:val="28"/>
        </w:rPr>
        <w:t>2-1</w:t>
      </w:r>
      <w:r>
        <w:rPr>
          <w:rFonts w:hint="eastAsia" w:ascii="Times New Roman" w:hAnsi="Times New Roman"/>
          <w:b/>
          <w:sz w:val="28"/>
          <w:szCs w:val="28"/>
        </w:rPr>
        <w:t>6</w:t>
      </w:r>
    </w:p>
    <w:p w14:paraId="182092F0">
      <w:pPr>
        <w:jc w:val="center"/>
        <w:rPr>
          <w:rFonts w:ascii="Times New Roman" w:hAnsi="Times New Roman"/>
          <w:b/>
          <w:sz w:val="28"/>
          <w:szCs w:val="28"/>
        </w:rPr>
      </w:pPr>
      <w:r>
        <w:rPr>
          <w:rFonts w:hint="eastAsia" w:ascii="Times New Roman" w:hAnsi="Times New Roman"/>
          <w:b/>
          <w:sz w:val="28"/>
          <w:szCs w:val="28"/>
        </w:rPr>
        <w:t>培训方案（自拟）</w:t>
      </w:r>
    </w:p>
    <w:p w14:paraId="2A9E6978">
      <w:pPr>
        <w:jc w:val="left"/>
        <w:rPr>
          <w:rFonts w:ascii="Times New Roman" w:hAnsi="Times New Roman"/>
          <w:b/>
          <w:sz w:val="28"/>
          <w:szCs w:val="28"/>
        </w:rPr>
      </w:pPr>
      <w:r>
        <w:rPr>
          <w:rFonts w:hint="eastAsia" w:ascii="Times New Roman" w:hAnsi="Times New Roman"/>
          <w:b/>
          <w:sz w:val="28"/>
          <w:szCs w:val="28"/>
        </w:rPr>
        <w:br w:type="page"/>
      </w:r>
    </w:p>
    <w:p w14:paraId="3EE6559E">
      <w:pPr>
        <w:rPr>
          <w:rFonts w:ascii="Times New Roman" w:hAnsi="Times New Roman"/>
          <w:b/>
          <w:sz w:val="28"/>
          <w:szCs w:val="28"/>
        </w:rPr>
      </w:pPr>
      <w:r>
        <w:rPr>
          <w:rFonts w:hint="eastAsia" w:ascii="Times New Roman" w:hAnsi="宋体"/>
          <w:b/>
          <w:sz w:val="28"/>
          <w:szCs w:val="28"/>
        </w:rPr>
        <w:t>格式</w:t>
      </w:r>
      <w:r>
        <w:rPr>
          <w:rFonts w:ascii="Times New Roman" w:hAnsi="Times New Roman"/>
          <w:b/>
          <w:sz w:val="28"/>
          <w:szCs w:val="28"/>
        </w:rPr>
        <w:t>2-1</w:t>
      </w:r>
      <w:r>
        <w:rPr>
          <w:rFonts w:hint="eastAsia" w:ascii="Times New Roman" w:hAnsi="Times New Roman"/>
          <w:b/>
          <w:sz w:val="28"/>
          <w:szCs w:val="28"/>
        </w:rPr>
        <w:t>7</w:t>
      </w:r>
    </w:p>
    <w:p w14:paraId="6A2CD0D0">
      <w:pPr>
        <w:jc w:val="center"/>
        <w:rPr>
          <w:rFonts w:ascii="Times New Roman" w:hAnsi="Times New Roman"/>
          <w:b/>
          <w:sz w:val="28"/>
          <w:szCs w:val="28"/>
        </w:rPr>
      </w:pPr>
      <w:r>
        <w:rPr>
          <w:rFonts w:hint="eastAsia" w:ascii="Times New Roman" w:hAnsi="Times New Roman"/>
          <w:b/>
          <w:sz w:val="28"/>
          <w:szCs w:val="28"/>
        </w:rPr>
        <w:t>售后方案（自拟）</w:t>
      </w:r>
    </w:p>
    <w:p w14:paraId="7EFEE11A">
      <w:pPr>
        <w:jc w:val="left"/>
        <w:rPr>
          <w:rFonts w:ascii="Times New Roman" w:hAnsi="Times New Roman"/>
          <w:b/>
          <w:sz w:val="28"/>
          <w:szCs w:val="28"/>
        </w:rPr>
      </w:pPr>
      <w:r>
        <w:rPr>
          <w:rFonts w:hint="eastAsia" w:ascii="Times New Roman" w:hAnsi="Times New Roman"/>
          <w:b/>
          <w:sz w:val="28"/>
          <w:szCs w:val="28"/>
        </w:rPr>
        <w:br w:type="page"/>
      </w:r>
    </w:p>
    <w:p w14:paraId="4116E8A9">
      <w:pPr>
        <w:rPr>
          <w:rFonts w:ascii="Times New Roman" w:hAnsi="Times New Roman"/>
          <w:b/>
          <w:sz w:val="28"/>
          <w:szCs w:val="28"/>
        </w:rPr>
      </w:pPr>
      <w:r>
        <w:rPr>
          <w:rFonts w:hint="eastAsia" w:ascii="Times New Roman" w:hAnsi="宋体"/>
          <w:b/>
          <w:sz w:val="28"/>
          <w:szCs w:val="28"/>
        </w:rPr>
        <w:t>格式</w:t>
      </w:r>
      <w:r>
        <w:rPr>
          <w:rFonts w:ascii="Times New Roman" w:hAnsi="Times New Roman"/>
          <w:b/>
          <w:sz w:val="28"/>
          <w:szCs w:val="28"/>
        </w:rPr>
        <w:t>2-1</w:t>
      </w:r>
      <w:r>
        <w:rPr>
          <w:rFonts w:hint="eastAsia" w:ascii="Times New Roman" w:hAnsi="Times New Roman"/>
          <w:b/>
          <w:sz w:val="28"/>
          <w:szCs w:val="28"/>
        </w:rPr>
        <w:t>8</w:t>
      </w:r>
    </w:p>
    <w:p w14:paraId="50402106">
      <w:pPr>
        <w:jc w:val="center"/>
        <w:rPr>
          <w:rFonts w:hAnsi="宋体" w:cs="宋体"/>
          <w:sz w:val="22"/>
          <w:szCs w:val="21"/>
        </w:rPr>
        <w:sectPr>
          <w:footerReference r:id="rId6" w:type="default"/>
          <w:pgSz w:w="11906" w:h="16838"/>
          <w:pgMar w:top="1440" w:right="1800" w:bottom="1440" w:left="1800" w:header="851" w:footer="992" w:gutter="0"/>
          <w:cols w:space="720" w:num="1"/>
          <w:docGrid w:type="lines" w:linePitch="312" w:charSpace="0"/>
        </w:sectPr>
      </w:pPr>
      <w:r>
        <w:rPr>
          <w:rFonts w:hint="eastAsia" w:ascii="Times New Roman" w:hAnsi="Times New Roman"/>
          <w:b/>
          <w:sz w:val="28"/>
          <w:szCs w:val="28"/>
        </w:rPr>
        <w:t>其他材料</w:t>
      </w:r>
    </w:p>
    <w:bookmarkEnd w:id="191"/>
    <w:p w14:paraId="3838723E">
      <w:pPr>
        <w:numPr>
          <w:ilvl w:val="0"/>
          <w:numId w:val="4"/>
        </w:numPr>
        <w:jc w:val="center"/>
        <w:outlineLvl w:val="0"/>
        <w:rPr>
          <w:rFonts w:ascii="Times New Roman" w:hAnsi="Times New Roman"/>
          <w:b/>
          <w:sz w:val="32"/>
          <w:szCs w:val="18"/>
        </w:rPr>
      </w:pPr>
      <w:bookmarkStart w:id="197" w:name="_Toc11569"/>
      <w:bookmarkStart w:id="198" w:name="_Toc119482812"/>
      <w:bookmarkStart w:id="199" w:name="_Toc12708"/>
      <w:r>
        <w:rPr>
          <w:rFonts w:hint="eastAsia" w:ascii="Times New Roman" w:hAnsi="Times New Roman"/>
          <w:b/>
          <w:sz w:val="32"/>
          <w:szCs w:val="18"/>
        </w:rPr>
        <w:t>投标人的资格、资</w:t>
      </w:r>
      <w:bookmarkEnd w:id="187"/>
      <w:bookmarkStart w:id="200" w:name="_Toc20574"/>
      <w:r>
        <w:rPr>
          <w:rFonts w:hint="eastAsia" w:ascii="Times New Roman" w:hAnsi="Times New Roman"/>
          <w:b/>
          <w:sz w:val="32"/>
          <w:szCs w:val="18"/>
        </w:rPr>
        <w:t>质性及其他类似效力要求</w:t>
      </w:r>
      <w:bookmarkEnd w:id="188"/>
      <w:bookmarkEnd w:id="197"/>
      <w:bookmarkEnd w:id="198"/>
      <w:bookmarkEnd w:id="199"/>
      <w:bookmarkEnd w:id="200"/>
      <w:bookmarkStart w:id="201" w:name="_Toc28648"/>
      <w:bookmarkStart w:id="202" w:name="_Toc18837"/>
    </w:p>
    <w:p w14:paraId="428637AD">
      <w:pPr>
        <w:pStyle w:val="10"/>
        <w:ind w:left="680"/>
        <w:rPr>
          <w:sz w:val="24"/>
          <w:szCs w:val="18"/>
        </w:rPr>
      </w:pPr>
      <w:r>
        <w:rPr>
          <w:rFonts w:hint="eastAsia"/>
          <w:sz w:val="28"/>
          <w:szCs w:val="20"/>
        </w:rPr>
        <w:t>资格要求：</w:t>
      </w:r>
      <w:bookmarkEnd w:id="201"/>
      <w:bookmarkEnd w:id="202"/>
    </w:p>
    <w:tbl>
      <w:tblPr>
        <w:tblStyle w:val="16"/>
        <w:tblpPr w:leftFromText="180" w:rightFromText="180" w:vertAnchor="text" w:horzAnchor="page" w:tblpX="1581" w:tblpY="636"/>
        <w:tblOverlap w:val="never"/>
        <w:tblW w:w="8973" w:type="dxa"/>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872"/>
        <w:gridCol w:w="4113"/>
        <w:gridCol w:w="3988"/>
      </w:tblGrid>
      <w:tr w14:paraId="040C866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72" w:type="dxa"/>
            <w:tcBorders>
              <w:top w:val="single" w:color="auto" w:sz="18" w:space="0"/>
            </w:tcBorders>
            <w:vAlign w:val="center"/>
          </w:tcPr>
          <w:p w14:paraId="090E307E">
            <w:pPr>
              <w:snapToGrid w:val="0"/>
              <w:spacing w:line="260" w:lineRule="atLeast"/>
              <w:jc w:val="center"/>
              <w:rPr>
                <w:rFonts w:ascii="Times New Roman" w:hAnsi="Times New Roman"/>
                <w:b/>
                <w:sz w:val="22"/>
              </w:rPr>
            </w:pPr>
            <w:r>
              <w:rPr>
                <w:rFonts w:hint="eastAsia" w:ascii="Times New Roman" w:hAnsi="Times New Roman"/>
                <w:b/>
                <w:sz w:val="22"/>
              </w:rPr>
              <w:t>序号</w:t>
            </w:r>
          </w:p>
        </w:tc>
        <w:tc>
          <w:tcPr>
            <w:tcW w:w="4113" w:type="dxa"/>
            <w:tcBorders>
              <w:top w:val="single" w:color="auto" w:sz="18" w:space="0"/>
            </w:tcBorders>
            <w:vAlign w:val="center"/>
          </w:tcPr>
          <w:p w14:paraId="74295BDA">
            <w:pPr>
              <w:snapToGrid w:val="0"/>
              <w:spacing w:line="260" w:lineRule="atLeast"/>
              <w:jc w:val="center"/>
              <w:rPr>
                <w:rFonts w:ascii="Times New Roman" w:hAnsi="Times New Roman"/>
                <w:b/>
                <w:sz w:val="22"/>
              </w:rPr>
            </w:pPr>
            <w:r>
              <w:rPr>
                <w:rFonts w:hint="eastAsia" w:ascii="Times New Roman" w:hAnsi="Times New Roman"/>
                <w:b/>
                <w:sz w:val="22"/>
              </w:rPr>
              <w:t>项目</w:t>
            </w:r>
          </w:p>
        </w:tc>
        <w:tc>
          <w:tcPr>
            <w:tcW w:w="3988" w:type="dxa"/>
            <w:tcBorders>
              <w:top w:val="single" w:color="auto" w:sz="18" w:space="0"/>
            </w:tcBorders>
            <w:vAlign w:val="center"/>
          </w:tcPr>
          <w:p w14:paraId="7C081374">
            <w:pPr>
              <w:snapToGrid w:val="0"/>
              <w:spacing w:line="260" w:lineRule="atLeast"/>
              <w:jc w:val="center"/>
              <w:rPr>
                <w:rFonts w:ascii="Times New Roman" w:hAnsi="Times New Roman"/>
                <w:b/>
                <w:sz w:val="22"/>
              </w:rPr>
            </w:pPr>
            <w:r>
              <w:rPr>
                <w:rFonts w:hint="eastAsia" w:ascii="Times New Roman" w:hAnsi="Times New Roman"/>
                <w:b/>
                <w:sz w:val="22"/>
              </w:rPr>
              <w:t>合格条件</w:t>
            </w:r>
          </w:p>
        </w:tc>
      </w:tr>
      <w:tr w14:paraId="3937758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872" w:type="dxa"/>
            <w:vAlign w:val="center"/>
          </w:tcPr>
          <w:p w14:paraId="5855ED4E">
            <w:pPr>
              <w:snapToGrid w:val="0"/>
              <w:spacing w:line="276" w:lineRule="auto"/>
              <w:jc w:val="center"/>
              <w:rPr>
                <w:rFonts w:ascii="Times New Roman" w:hAnsi="Times New Roman"/>
                <w:sz w:val="22"/>
              </w:rPr>
            </w:pPr>
            <w:r>
              <w:rPr>
                <w:rFonts w:ascii="Times New Roman" w:hAnsi="Times New Roman"/>
                <w:sz w:val="22"/>
              </w:rPr>
              <w:t>1</w:t>
            </w:r>
          </w:p>
        </w:tc>
        <w:tc>
          <w:tcPr>
            <w:tcW w:w="4113" w:type="dxa"/>
            <w:vAlign w:val="center"/>
          </w:tcPr>
          <w:p w14:paraId="03364895">
            <w:pPr>
              <w:rPr>
                <w:rFonts w:ascii="Times New Roman" w:hAnsi="Times New Roman"/>
                <w:sz w:val="22"/>
              </w:rPr>
            </w:pPr>
            <w:r>
              <w:rPr>
                <w:rFonts w:hint="eastAsia" w:ascii="Times New Roman" w:hAnsi="宋体"/>
                <w:sz w:val="22"/>
                <w:szCs w:val="21"/>
              </w:rPr>
              <w:t>具备《中华人民共和国政府采购法》第二十二条规定的条件</w:t>
            </w:r>
            <w:r>
              <w:rPr>
                <w:rFonts w:hint="eastAsia" w:ascii="Times New Roman" w:hAnsi="宋体"/>
                <w:sz w:val="22"/>
              </w:rPr>
              <w:t>。</w:t>
            </w:r>
          </w:p>
          <w:p w14:paraId="27E9A26F">
            <w:pPr>
              <w:ind w:firstLine="480"/>
              <w:rPr>
                <w:rFonts w:ascii="Times New Roman" w:hAnsi="Times New Roman"/>
                <w:sz w:val="22"/>
              </w:rPr>
            </w:pPr>
          </w:p>
        </w:tc>
        <w:tc>
          <w:tcPr>
            <w:tcW w:w="3988" w:type="dxa"/>
            <w:vAlign w:val="center"/>
          </w:tcPr>
          <w:p w14:paraId="1DF4E0D2">
            <w:pPr>
              <w:snapToGrid w:val="0"/>
              <w:spacing w:line="360" w:lineRule="auto"/>
              <w:rPr>
                <w:rFonts w:ascii="Times New Roman" w:hAnsi="宋体"/>
                <w:sz w:val="22"/>
              </w:rPr>
            </w:pPr>
            <w:r>
              <w:rPr>
                <w:rFonts w:hint="eastAsia" w:ascii="Times New Roman" w:hAnsi="宋体"/>
                <w:sz w:val="22"/>
              </w:rPr>
              <w:t>1.具有独立承担民事责任的能力。（注：①投标人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2D9E02C3">
            <w:pPr>
              <w:snapToGrid w:val="0"/>
              <w:spacing w:line="360" w:lineRule="auto"/>
              <w:rPr>
                <w:rFonts w:ascii="Times New Roman" w:hAnsi="宋体"/>
                <w:sz w:val="22"/>
              </w:rPr>
            </w:pPr>
            <w:r>
              <w:rPr>
                <w:rFonts w:hint="eastAsia" w:ascii="Times New Roman" w:hAnsi="宋体"/>
                <w:sz w:val="22"/>
              </w:rPr>
              <w:t>2.具备良好商业信誉的证明材料（按照招标文件格式</w:t>
            </w:r>
            <w:r>
              <w:rPr>
                <w:rFonts w:ascii="Times New Roman" w:hAnsi="宋体"/>
                <w:sz w:val="22"/>
              </w:rPr>
              <w:t>1-3</w:t>
            </w:r>
            <w:r>
              <w:rPr>
                <w:rFonts w:hint="eastAsia" w:ascii="Times New Roman" w:hAnsi="宋体"/>
                <w:sz w:val="22"/>
              </w:rPr>
              <w:t>提供承诺函）；</w:t>
            </w:r>
          </w:p>
          <w:p w14:paraId="4D4EC7B0">
            <w:pPr>
              <w:snapToGrid w:val="0"/>
              <w:spacing w:line="360" w:lineRule="auto"/>
              <w:rPr>
                <w:rFonts w:ascii="Times New Roman" w:hAnsi="宋体"/>
                <w:sz w:val="22"/>
              </w:rPr>
            </w:pPr>
            <w:r>
              <w:rPr>
                <w:rFonts w:hint="eastAsia" w:ascii="Times New Roman" w:hAnsi="宋体"/>
                <w:sz w:val="22"/>
              </w:rPr>
              <w:t>3.具备健全的财务会计制度的证明材料。｛注：①可提供2024年度经审计的财务报告复印件（包含审计报告和审计报告中所涉及的财务报表和报表附注），②也可提供投标人内部的2024年度财务报表复印件（至少包含资产负债表），③也可提供截至响应文件递交截止日一年内银行出具的资信证明（复印件），④投标人注册时间截至响应文件递交截止日不足一年的，也可提供加盖工商备案主管部门印章的公司章程复印件，⑤也可提供政府采购信用担保机构出具的《政府采购投标担保函》｝</w:t>
            </w:r>
          </w:p>
          <w:p w14:paraId="2AA26928">
            <w:pPr>
              <w:snapToGrid w:val="0"/>
              <w:spacing w:line="360" w:lineRule="auto"/>
              <w:rPr>
                <w:rFonts w:ascii="Times New Roman" w:hAnsi="宋体"/>
                <w:sz w:val="22"/>
              </w:rPr>
            </w:pPr>
            <w:r>
              <w:rPr>
                <w:rFonts w:hint="eastAsia" w:ascii="Times New Roman" w:hAnsi="宋体"/>
                <w:sz w:val="22"/>
              </w:rPr>
              <w:t>4.具有依法缴纳税收和社会保障资金的良好记录（（①社会保障资金缴纳证明：提供2024年</w:t>
            </w:r>
            <w:r>
              <w:rPr>
                <w:rFonts w:hint="eastAsia" w:ascii="Times New Roman" w:hAnsi="宋体"/>
                <w:sz w:val="22"/>
                <w:lang w:val="en-US" w:eastAsia="zh-CN"/>
              </w:rPr>
              <w:t>6</w:t>
            </w:r>
            <w:r>
              <w:rPr>
                <w:rFonts w:hint="eastAsia" w:ascii="Times New Roman" w:hAnsi="宋体"/>
                <w:sz w:val="22"/>
              </w:rPr>
              <w:t>月1日至今已缴存的任一月份的社会保障资金缴存单据或社保机构开具的社会保险参保缴费情况证明，依法不需要缴纳社会保障资金的投标人应提供相关文件证明；</w:t>
            </w:r>
          </w:p>
          <w:p w14:paraId="37A9E29B">
            <w:pPr>
              <w:snapToGrid w:val="0"/>
              <w:spacing w:line="360" w:lineRule="auto"/>
              <w:rPr>
                <w:rFonts w:ascii="Times New Roman" w:hAnsi="宋体"/>
                <w:sz w:val="22"/>
              </w:rPr>
            </w:pPr>
            <w:r>
              <w:rPr>
                <w:rFonts w:hint="eastAsia" w:ascii="Times New Roman" w:hAnsi="宋体"/>
                <w:sz w:val="22"/>
              </w:rPr>
              <w:t>）；②提供2024年</w:t>
            </w:r>
            <w:r>
              <w:rPr>
                <w:rFonts w:hint="eastAsia" w:ascii="Times New Roman" w:hAnsi="宋体"/>
                <w:sz w:val="22"/>
                <w:lang w:val="en-US" w:eastAsia="zh-CN"/>
              </w:rPr>
              <w:t>6</w:t>
            </w:r>
            <w:r>
              <w:rPr>
                <w:rFonts w:hint="eastAsia" w:ascii="Times New Roman" w:hAnsi="宋体"/>
                <w:sz w:val="22"/>
              </w:rPr>
              <w:t>月1日至今已缴纳的至少一个月的纳税证明或完税证明，依法免税的单位应提供相关证明材料；）；</w:t>
            </w:r>
          </w:p>
          <w:p w14:paraId="5BA1BA71">
            <w:pPr>
              <w:snapToGrid w:val="0"/>
              <w:spacing w:line="360" w:lineRule="auto"/>
              <w:rPr>
                <w:rFonts w:ascii="Times New Roman" w:hAnsi="宋体"/>
                <w:sz w:val="22"/>
              </w:rPr>
            </w:pPr>
            <w:r>
              <w:rPr>
                <w:rFonts w:hint="eastAsia" w:ascii="Times New Roman" w:hAnsi="宋体"/>
                <w:sz w:val="22"/>
              </w:rPr>
              <w:t>5.具备履行合同所必需的设备和专业技术能力的证明材料（按照招标文件格式1-3提供承诺函）；</w:t>
            </w:r>
          </w:p>
          <w:p w14:paraId="21C94542">
            <w:pPr>
              <w:snapToGrid w:val="0"/>
              <w:spacing w:line="360" w:lineRule="auto"/>
              <w:rPr>
                <w:rFonts w:ascii="Times New Roman" w:hAnsi="宋体"/>
                <w:sz w:val="22"/>
              </w:rPr>
            </w:pPr>
            <w:r>
              <w:rPr>
                <w:rFonts w:hint="eastAsia" w:ascii="Times New Roman" w:hAnsi="宋体"/>
                <w:sz w:val="22"/>
              </w:rPr>
              <w:t>6.参加政府采购活动前3年内在经营活动中没有重大违法记录的承诺函（按照招标文件格式1-3提供承诺函）；</w:t>
            </w:r>
          </w:p>
          <w:p w14:paraId="7FAC98FD">
            <w:pPr>
              <w:pStyle w:val="8"/>
            </w:pPr>
            <w:r>
              <w:rPr>
                <w:rFonts w:hint="eastAsia" w:ascii="Times New Roman" w:hAnsi="宋体"/>
                <w:sz w:val="22"/>
                <w:szCs w:val="22"/>
              </w:rPr>
              <w:t>7.具备法律、行政法规规定的其他条件的证明材料（按照招标文件格式1-3提供承诺函）；</w:t>
            </w:r>
          </w:p>
        </w:tc>
      </w:tr>
      <w:tr w14:paraId="7625A9B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42" w:hRule="atLeast"/>
        </w:trPr>
        <w:tc>
          <w:tcPr>
            <w:tcW w:w="872" w:type="dxa"/>
            <w:vAlign w:val="center"/>
          </w:tcPr>
          <w:p w14:paraId="4A85377B">
            <w:pPr>
              <w:snapToGrid w:val="0"/>
              <w:spacing w:line="276" w:lineRule="auto"/>
              <w:jc w:val="center"/>
              <w:rPr>
                <w:rFonts w:ascii="Times New Roman" w:hAnsi="Times New Roman"/>
                <w:sz w:val="22"/>
              </w:rPr>
            </w:pPr>
            <w:r>
              <w:rPr>
                <w:rFonts w:hint="eastAsia" w:ascii="Times New Roman" w:hAnsi="Times New Roman"/>
                <w:sz w:val="22"/>
              </w:rPr>
              <w:t>2</w:t>
            </w:r>
          </w:p>
        </w:tc>
        <w:tc>
          <w:tcPr>
            <w:tcW w:w="4113" w:type="dxa"/>
            <w:vAlign w:val="center"/>
          </w:tcPr>
          <w:p w14:paraId="3D7853F5">
            <w:pPr>
              <w:snapToGrid w:val="0"/>
              <w:spacing w:line="276" w:lineRule="auto"/>
              <w:jc w:val="left"/>
              <w:rPr>
                <w:rFonts w:hAnsi="宋体"/>
                <w:sz w:val="22"/>
              </w:rPr>
            </w:pPr>
            <w:r>
              <w:rPr>
                <w:rFonts w:hint="eastAsia" w:hAnsi="宋体"/>
                <w:sz w:val="22"/>
              </w:rPr>
              <w:t>投标人不得为“信用中国”网站列入“失信被执行人、重大税收违法失信主体、政府采购严重违法失信行为记录名单”的投标人；不得为</w:t>
            </w:r>
            <w:r>
              <w:rPr>
                <w:rFonts w:hint="eastAsia" w:hAnsi="宋体"/>
                <w:sz w:val="22"/>
                <w:lang w:val="en-US" w:eastAsia="zh-CN"/>
              </w:rPr>
              <w:t>中国</w:t>
            </w:r>
            <w:r>
              <w:rPr>
                <w:rFonts w:hint="eastAsia" w:hAnsi="宋体"/>
                <w:sz w:val="22"/>
                <w:lang w:eastAsia="zh-CN"/>
              </w:rPr>
              <w:t>政府采购网</w:t>
            </w:r>
            <w:r>
              <w:rPr>
                <w:rFonts w:hint="eastAsia" w:hAnsi="宋体"/>
                <w:sz w:val="22"/>
              </w:rPr>
              <w:t>“政府采购严重违法失信行为记录名单”中的投标人。</w:t>
            </w:r>
          </w:p>
          <w:p w14:paraId="70C1AC4A">
            <w:pPr>
              <w:snapToGrid w:val="0"/>
              <w:spacing w:line="276" w:lineRule="auto"/>
              <w:jc w:val="left"/>
              <w:rPr>
                <w:rFonts w:ascii="Times New Roman" w:hAnsi="Times New Roman"/>
                <w:bCs/>
                <w:sz w:val="22"/>
              </w:rPr>
            </w:pPr>
          </w:p>
        </w:tc>
        <w:tc>
          <w:tcPr>
            <w:tcW w:w="3988" w:type="dxa"/>
            <w:vAlign w:val="center"/>
          </w:tcPr>
          <w:p w14:paraId="54424D31">
            <w:pPr>
              <w:snapToGrid w:val="0"/>
              <w:spacing w:line="276" w:lineRule="auto"/>
              <w:jc w:val="left"/>
              <w:rPr>
                <w:rFonts w:ascii="Times New Roman" w:hAnsi="Times New Roman"/>
                <w:sz w:val="22"/>
              </w:rPr>
            </w:pPr>
            <w:r>
              <w:rPr>
                <w:rFonts w:hint="eastAsia" w:hAnsi="宋体"/>
                <w:sz w:val="22"/>
              </w:rPr>
              <w:t>采购人或采购代理机构将于本项目投标截止日在‘信用中国’网站、‘</w:t>
            </w:r>
            <w:r>
              <w:rPr>
                <w:rFonts w:hint="eastAsia" w:hAnsi="宋体"/>
                <w:sz w:val="22"/>
                <w:lang w:val="en-US" w:eastAsia="zh-CN"/>
              </w:rPr>
              <w:t>中国</w:t>
            </w:r>
            <w:r>
              <w:rPr>
                <w:rFonts w:hint="eastAsia" w:hAnsi="宋体"/>
                <w:sz w:val="22"/>
                <w:lang w:eastAsia="zh-CN"/>
              </w:rPr>
              <w:t>政府采购网</w:t>
            </w:r>
            <w:r>
              <w:rPr>
                <w:rFonts w:hint="eastAsia" w:hAnsi="宋体"/>
                <w:sz w:val="22"/>
              </w:rPr>
              <w:t>’网站等渠道对供应商进行信用记录查询，凡被列入失信被执行人、重大税收违法案件当事人名单、政府采购严重违法失信行为记录名单的，视为存在不良信用记录，参与本项目的将被拒绝。</w:t>
            </w:r>
          </w:p>
        </w:tc>
      </w:tr>
      <w:tr w14:paraId="3B5CA16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872" w:type="dxa"/>
            <w:vAlign w:val="center"/>
          </w:tcPr>
          <w:p w14:paraId="7802A559">
            <w:pPr>
              <w:tabs>
                <w:tab w:val="left" w:pos="394"/>
                <w:tab w:val="left" w:pos="846"/>
              </w:tabs>
              <w:snapToGrid w:val="0"/>
              <w:spacing w:line="276" w:lineRule="auto"/>
              <w:ind w:left="110" w:firstLine="110" w:firstLineChars="50"/>
              <w:rPr>
                <w:rFonts w:hint="eastAsia" w:ascii="Times New Roman" w:hAnsi="Times New Roman" w:eastAsia="宋体"/>
                <w:sz w:val="22"/>
                <w:lang w:eastAsia="zh-CN"/>
              </w:rPr>
            </w:pPr>
            <w:r>
              <w:rPr>
                <w:rFonts w:hint="eastAsia" w:ascii="Times New Roman" w:hAnsi="Times New Roman"/>
                <w:sz w:val="22"/>
                <w:lang w:val="en-US" w:eastAsia="zh-CN"/>
              </w:rPr>
              <w:t>3</w:t>
            </w:r>
          </w:p>
        </w:tc>
        <w:tc>
          <w:tcPr>
            <w:tcW w:w="4113" w:type="dxa"/>
            <w:vAlign w:val="center"/>
          </w:tcPr>
          <w:p w14:paraId="6C800D57">
            <w:pPr>
              <w:snapToGrid w:val="0"/>
              <w:spacing w:line="276" w:lineRule="auto"/>
              <w:rPr>
                <w:rFonts w:ascii="Times New Roman" w:hAnsi="Times New Roman"/>
                <w:sz w:val="22"/>
              </w:rPr>
            </w:pPr>
            <w:r>
              <w:rPr>
                <w:rFonts w:hint="eastAsia" w:ascii="Times New Roman" w:hAnsi="宋体"/>
                <w:sz w:val="22"/>
              </w:rPr>
              <w:t>法定代表人授权书</w:t>
            </w:r>
          </w:p>
        </w:tc>
        <w:tc>
          <w:tcPr>
            <w:tcW w:w="3988" w:type="dxa"/>
            <w:vAlign w:val="center"/>
          </w:tcPr>
          <w:p w14:paraId="009B1FE8">
            <w:pPr>
              <w:snapToGrid w:val="0"/>
              <w:spacing w:line="276" w:lineRule="auto"/>
              <w:jc w:val="left"/>
              <w:rPr>
                <w:rFonts w:ascii="Times New Roman" w:hAnsi="Times New Roman"/>
                <w:sz w:val="22"/>
              </w:rPr>
            </w:pPr>
            <w:r>
              <w:rPr>
                <w:rFonts w:hint="eastAsia" w:ascii="Times New Roman" w:hAnsi="宋体"/>
                <w:sz w:val="22"/>
              </w:rPr>
              <w:t>供应商须根据资格性文件规定的格式（</w:t>
            </w:r>
            <w:r>
              <w:rPr>
                <w:rFonts w:ascii="Times New Roman" w:hAnsi="Times New Roman"/>
                <w:sz w:val="22"/>
              </w:rPr>
              <w:t>1-2</w:t>
            </w:r>
            <w:r>
              <w:rPr>
                <w:rFonts w:hint="eastAsia" w:ascii="Times New Roman" w:hAnsi="宋体"/>
                <w:sz w:val="22"/>
              </w:rPr>
              <w:t>）提供原件并放入资格投标文件正本中，法定代表人直接参加的只须提供身份证复印件加盖公章</w:t>
            </w:r>
          </w:p>
        </w:tc>
      </w:tr>
      <w:tr w14:paraId="529B961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72" w:type="dxa"/>
            <w:vAlign w:val="center"/>
          </w:tcPr>
          <w:p w14:paraId="6FD53633">
            <w:pPr>
              <w:tabs>
                <w:tab w:val="left" w:pos="394"/>
                <w:tab w:val="left" w:pos="846"/>
              </w:tabs>
              <w:snapToGrid w:val="0"/>
              <w:spacing w:line="276" w:lineRule="auto"/>
              <w:ind w:left="110" w:firstLine="110" w:firstLineChars="50"/>
              <w:rPr>
                <w:rFonts w:hint="eastAsia" w:ascii="Times New Roman" w:hAnsi="Times New Roman" w:eastAsia="宋体"/>
                <w:sz w:val="22"/>
                <w:lang w:eastAsia="zh-CN"/>
              </w:rPr>
            </w:pPr>
            <w:r>
              <w:rPr>
                <w:rFonts w:hint="eastAsia" w:ascii="Times New Roman" w:hAnsi="Times New Roman"/>
                <w:sz w:val="22"/>
                <w:lang w:val="en-US" w:eastAsia="zh-CN"/>
              </w:rPr>
              <w:t>4</w:t>
            </w:r>
          </w:p>
        </w:tc>
        <w:tc>
          <w:tcPr>
            <w:tcW w:w="4113" w:type="dxa"/>
            <w:vAlign w:val="center"/>
          </w:tcPr>
          <w:p w14:paraId="758A8FB2">
            <w:pPr>
              <w:snapToGrid w:val="0"/>
              <w:spacing w:line="276" w:lineRule="auto"/>
              <w:rPr>
                <w:rFonts w:ascii="Times New Roman" w:hAnsi="Times New Roman"/>
                <w:sz w:val="22"/>
              </w:rPr>
            </w:pPr>
            <w:r>
              <w:rPr>
                <w:rFonts w:hint="eastAsia" w:ascii="Times New Roman" w:hAnsi="宋体"/>
                <w:sz w:val="22"/>
              </w:rPr>
              <w:t>法定代表人和被授权人身份证件</w:t>
            </w:r>
          </w:p>
        </w:tc>
        <w:tc>
          <w:tcPr>
            <w:tcW w:w="3988" w:type="dxa"/>
            <w:vAlign w:val="center"/>
          </w:tcPr>
          <w:p w14:paraId="0B38D92F">
            <w:pPr>
              <w:snapToGrid w:val="0"/>
              <w:spacing w:line="276" w:lineRule="auto"/>
              <w:jc w:val="left"/>
              <w:rPr>
                <w:rFonts w:ascii="Times New Roman" w:hAnsi="Times New Roman"/>
                <w:sz w:val="22"/>
              </w:rPr>
            </w:pPr>
            <w:r>
              <w:rPr>
                <w:rFonts w:hint="eastAsia" w:ascii="Times New Roman" w:hAnsi="宋体"/>
                <w:sz w:val="22"/>
              </w:rPr>
              <w:t>复印件加盖公章（放入资格投标文件正本中）</w:t>
            </w:r>
          </w:p>
        </w:tc>
      </w:tr>
      <w:tr w14:paraId="104900F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3428" w:hRule="atLeast"/>
        </w:trPr>
        <w:tc>
          <w:tcPr>
            <w:tcW w:w="8973" w:type="dxa"/>
            <w:gridSpan w:val="3"/>
            <w:tcBorders>
              <w:bottom w:val="single" w:color="auto" w:sz="18" w:space="0"/>
            </w:tcBorders>
            <w:vAlign w:val="center"/>
          </w:tcPr>
          <w:p w14:paraId="13266F43">
            <w:pPr>
              <w:spacing w:line="276" w:lineRule="auto"/>
              <w:rPr>
                <w:rFonts w:ascii="Times New Roman" w:hAnsi="Times New Roman"/>
                <w:b/>
                <w:sz w:val="21"/>
                <w:szCs w:val="21"/>
              </w:rPr>
            </w:pPr>
            <w:r>
              <w:rPr>
                <w:rFonts w:hint="eastAsia" w:ascii="Times New Roman" w:hAnsi="Times New Roman"/>
                <w:b/>
                <w:sz w:val="21"/>
                <w:szCs w:val="21"/>
              </w:rPr>
              <w:t>注：</w:t>
            </w:r>
          </w:p>
          <w:p w14:paraId="16EF70A0">
            <w:pPr>
              <w:spacing w:line="276" w:lineRule="auto"/>
              <w:rPr>
                <w:rFonts w:ascii="Times New Roman" w:hAnsi="Times New Roman"/>
                <w:b/>
                <w:sz w:val="21"/>
                <w:szCs w:val="21"/>
              </w:rPr>
            </w:pPr>
            <w:r>
              <w:rPr>
                <w:rFonts w:hint="eastAsia" w:ascii="Times New Roman" w:hAnsi="Times New Roman"/>
                <w:b/>
                <w:sz w:val="21"/>
                <w:szCs w:val="21"/>
              </w:rPr>
              <w:t>1.本项目不接受联合体。</w:t>
            </w:r>
          </w:p>
          <w:p w14:paraId="7DF2D28D">
            <w:pPr>
              <w:spacing w:line="276" w:lineRule="auto"/>
              <w:rPr>
                <w:rFonts w:ascii="Times New Roman" w:hAnsi="Times New Roman"/>
                <w:b/>
                <w:sz w:val="21"/>
                <w:szCs w:val="21"/>
              </w:rPr>
            </w:pPr>
            <w:r>
              <w:rPr>
                <w:rFonts w:hint="eastAsia" w:ascii="Times New Roman" w:hAnsi="Times New Roman"/>
                <w:b/>
                <w:sz w:val="21"/>
                <w:szCs w:val="21"/>
              </w:rPr>
              <w:t>2.请投标人认真核对投标文件中是否按上述要求提供资格证明材料，未按上述要求提供的，自行承担无法通过资格审核的风险。</w:t>
            </w:r>
          </w:p>
          <w:p w14:paraId="083454C8">
            <w:pPr>
              <w:spacing w:line="276" w:lineRule="auto"/>
              <w:rPr>
                <w:rFonts w:ascii="Times New Roman" w:hAnsi="Times New Roman"/>
                <w:b/>
                <w:sz w:val="21"/>
                <w:szCs w:val="21"/>
              </w:rPr>
            </w:pPr>
            <w:r>
              <w:rPr>
                <w:rFonts w:hint="eastAsia" w:ascii="Times New Roman" w:hAnsi="Times New Roman"/>
                <w:b/>
                <w:sz w:val="21"/>
                <w:szCs w:val="21"/>
              </w:rPr>
              <w:t>3.本项目所称“参加本次政府采购活动前三年内，在经营活动中没有重大违法记录”中的重大违法记录，即因违法经营受到刑事处罚或者责令停产停业、吊销许可证或者执照、较大数额罚款等行政处罚。根据《财政部关于〈中华人民共和国政府采购法实施条例〉第十九条第一款 “较大数额罚款”具体适用问题的意见》有关规定，《中华人民共和国政府采购法实施条例》第十九条第一款规定的“较大数额罚款”认定为200万元以上的罚款，法律、行政法规以及国务院有关部门明确规定相关领域“较大数额罚款”标准高于200万元的，从其规定。</w:t>
            </w:r>
          </w:p>
          <w:p w14:paraId="7FD10782">
            <w:pPr>
              <w:snapToGrid w:val="0"/>
              <w:spacing w:line="276" w:lineRule="auto"/>
              <w:ind w:firstLine="422" w:firstLineChars="200"/>
              <w:rPr>
                <w:rFonts w:ascii="Times New Roman" w:hAnsi="Times New Roman"/>
                <w:b/>
                <w:sz w:val="22"/>
              </w:rPr>
            </w:pPr>
            <w:r>
              <w:rPr>
                <w:rFonts w:hint="eastAsia" w:ascii="Times New Roman" w:hAnsi="Times New Roman"/>
                <w:b/>
                <w:sz w:val="21"/>
                <w:szCs w:val="21"/>
              </w:rPr>
              <w:t>4. 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tc>
      </w:tr>
    </w:tbl>
    <w:p w14:paraId="234592AF">
      <w:pPr>
        <w:rPr>
          <w:rFonts w:ascii="Times New Roman" w:hAnsi="Times New Roman"/>
          <w:sz w:val="40"/>
          <w:szCs w:val="21"/>
        </w:rPr>
      </w:pPr>
      <w:bookmarkStart w:id="203" w:name="_Toc32593"/>
      <w:bookmarkStart w:id="204" w:name="_Toc22296"/>
      <w:bookmarkStart w:id="205" w:name="_Toc119482813"/>
      <w:bookmarkStart w:id="206" w:name="_Toc536"/>
      <w:r>
        <w:rPr>
          <w:rFonts w:hint="eastAsia" w:ascii="Times New Roman" w:hAnsi="Times New Roman"/>
          <w:sz w:val="40"/>
          <w:szCs w:val="21"/>
        </w:rPr>
        <w:br w:type="page"/>
      </w:r>
    </w:p>
    <w:p w14:paraId="08CBD813">
      <w:pPr>
        <w:pStyle w:val="2"/>
        <w:jc w:val="center"/>
        <w:rPr>
          <w:rFonts w:ascii="Times New Roman" w:hAnsi="Times New Roman"/>
          <w:sz w:val="40"/>
          <w:szCs w:val="21"/>
        </w:rPr>
      </w:pPr>
      <w:bookmarkStart w:id="207" w:name="_Toc20929"/>
      <w:bookmarkStart w:id="208" w:name="_Toc8742"/>
      <w:r>
        <w:rPr>
          <w:rFonts w:hint="eastAsia" w:ascii="Times New Roman" w:hAnsi="Times New Roman"/>
          <w:sz w:val="40"/>
          <w:szCs w:val="21"/>
        </w:rPr>
        <w:t>第五章</w:t>
      </w:r>
      <w:bookmarkStart w:id="209" w:name="_Toc217446093"/>
      <w:r>
        <w:rPr>
          <w:rFonts w:hint="eastAsia" w:ascii="Times New Roman" w:hAnsi="Times New Roman"/>
          <w:sz w:val="40"/>
          <w:szCs w:val="21"/>
          <w:lang w:val="en-US" w:eastAsia="zh-CN"/>
        </w:rPr>
        <w:t xml:space="preserve">  </w:t>
      </w:r>
      <w:r>
        <w:rPr>
          <w:rFonts w:hint="eastAsia" w:ascii="Times New Roman" w:hAnsi="Times New Roman"/>
          <w:sz w:val="40"/>
          <w:szCs w:val="21"/>
        </w:rPr>
        <w:t>招标项目要求</w:t>
      </w:r>
      <w:bookmarkEnd w:id="203"/>
      <w:bookmarkEnd w:id="204"/>
      <w:bookmarkEnd w:id="205"/>
      <w:bookmarkEnd w:id="206"/>
      <w:bookmarkEnd w:id="207"/>
      <w:bookmarkEnd w:id="208"/>
      <w:bookmarkEnd w:id="209"/>
      <w:bookmarkStart w:id="210" w:name="_Toc217446094"/>
    </w:p>
    <w:p w14:paraId="006D4352">
      <w:pPr>
        <w:pStyle w:val="8"/>
        <w:numPr>
          <w:ilvl w:val="0"/>
          <w:numId w:val="5"/>
        </w:numPr>
        <w:spacing w:line="440" w:lineRule="exact"/>
        <w:rPr>
          <w:rFonts w:ascii="Times New Roman" w:hAnsi="Times New Roman"/>
          <w:b/>
          <w:sz w:val="22"/>
          <w:szCs w:val="22"/>
        </w:rPr>
      </w:pPr>
      <w:r>
        <w:rPr>
          <w:rFonts w:hint="eastAsia" w:ascii="Times New Roman" w:hAnsi="宋体"/>
          <w:b/>
          <w:sz w:val="22"/>
          <w:szCs w:val="22"/>
        </w:rPr>
        <w:t>项目概述：</w:t>
      </w:r>
      <w:bookmarkEnd w:id="210"/>
    </w:p>
    <w:p w14:paraId="1E91CF4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lang w:eastAsia="zh-CN"/>
        </w:rPr>
      </w:pPr>
      <w:bookmarkStart w:id="211" w:name="_Toc6605"/>
      <w:bookmarkStart w:id="212" w:name="_Toc16231"/>
      <w:bookmarkStart w:id="213" w:name="_Toc24140"/>
      <w:bookmarkStart w:id="214" w:name="_Toc4916"/>
      <w:bookmarkStart w:id="215" w:name="OLE_LINK15"/>
      <w:r>
        <w:rPr>
          <w:rFonts w:hint="eastAsia" w:ascii="宋体" w:hAnsi="宋体" w:eastAsia="宋体" w:cs="Times New Roman"/>
          <w:sz w:val="24"/>
          <w:lang w:eastAsia="zh-CN"/>
        </w:rPr>
        <w:t>本项目共</w:t>
      </w:r>
      <w:r>
        <w:rPr>
          <w:rFonts w:hint="eastAsia" w:hAnsi="宋体" w:cs="Times New Roman"/>
          <w:sz w:val="24"/>
          <w:highlight w:val="none"/>
          <w:lang w:val="en-US" w:eastAsia="zh-CN"/>
        </w:rPr>
        <w:t>2</w:t>
      </w:r>
      <w:r>
        <w:rPr>
          <w:rFonts w:hint="eastAsia" w:ascii="宋体" w:hAnsi="宋体" w:eastAsia="宋体" w:cs="Times New Roman"/>
          <w:sz w:val="24"/>
          <w:lang w:eastAsia="zh-CN"/>
        </w:rPr>
        <w:t>个包 ，拟</w:t>
      </w:r>
      <w:r>
        <w:rPr>
          <w:rFonts w:hint="eastAsia" w:ascii="宋体" w:hAnsi="宋体" w:eastAsia="宋体" w:cs="Times New Roman"/>
          <w:sz w:val="24"/>
          <w:lang w:val="en-US" w:eastAsia="zh-CN"/>
        </w:rPr>
        <w:t>采购</w:t>
      </w:r>
      <w:r>
        <w:rPr>
          <w:rFonts w:hint="eastAsia" w:ascii="宋体" w:hAnsi="宋体" w:eastAsia="宋体" w:cs="Times New Roman"/>
          <w:sz w:val="24"/>
          <w:lang w:eastAsia="zh-CN"/>
        </w:rPr>
        <w:t>教学设备</w:t>
      </w:r>
      <w:r>
        <w:rPr>
          <w:rFonts w:hint="eastAsia" w:ascii="宋体" w:hAnsi="宋体" w:eastAsia="宋体" w:cs="Times New Roman"/>
          <w:sz w:val="24"/>
          <w:lang w:val="en-US" w:eastAsia="zh-CN"/>
        </w:rPr>
        <w:t>一批</w:t>
      </w:r>
      <w:r>
        <w:rPr>
          <w:rFonts w:hint="eastAsia" w:ascii="宋体" w:hAnsi="宋体" w:eastAsia="宋体" w:cs="Times New Roman"/>
          <w:sz w:val="24"/>
          <w:lang w:eastAsia="zh-CN"/>
        </w:rPr>
        <w:t>（具体详见</w:t>
      </w:r>
      <w:r>
        <w:rPr>
          <w:rFonts w:hint="eastAsia" w:ascii="宋体" w:hAnsi="宋体" w:eastAsia="宋体" w:cs="Times New Roman"/>
          <w:sz w:val="24"/>
          <w:lang w:val="en-US" w:eastAsia="zh-CN"/>
        </w:rPr>
        <w:t>招标</w:t>
      </w:r>
      <w:r>
        <w:rPr>
          <w:rFonts w:hint="eastAsia" w:ascii="宋体" w:hAnsi="宋体" w:eastAsia="宋体" w:cs="Times New Roman"/>
          <w:sz w:val="24"/>
          <w:lang w:eastAsia="zh-CN"/>
        </w:rPr>
        <w:t>文件）；</w:t>
      </w:r>
    </w:p>
    <w:p w14:paraId="0E23810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lang w:eastAsia="zh-CN"/>
        </w:rPr>
      </w:pPr>
      <w:r>
        <w:rPr>
          <w:rFonts w:hint="eastAsia" w:ascii="宋体" w:hAnsi="宋体" w:eastAsia="宋体" w:cs="Times New Roman"/>
          <w:sz w:val="24"/>
          <w:lang w:eastAsia="zh-CN"/>
        </w:rPr>
        <w:t>项目用途：自用；</w:t>
      </w:r>
    </w:p>
    <w:p w14:paraId="3402D0C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sz w:val="24"/>
          <w:lang w:val="en-US" w:eastAsia="zh-CN"/>
        </w:rPr>
      </w:pPr>
      <w:r>
        <w:rPr>
          <w:rFonts w:hint="eastAsia" w:ascii="宋体" w:hAnsi="宋体" w:eastAsia="宋体" w:cs="Times New Roman"/>
          <w:sz w:val="24"/>
          <w:lang w:val="en-US" w:eastAsia="zh-CN"/>
        </w:rPr>
        <w:t>资金性质：财政资金</w:t>
      </w:r>
      <w:r>
        <w:rPr>
          <w:rFonts w:hint="eastAsia" w:hAnsi="宋体" w:cs="Times New Roman"/>
          <w:sz w:val="24"/>
          <w:lang w:val="en-US" w:eastAsia="zh-CN"/>
        </w:rPr>
        <w:t>；</w:t>
      </w:r>
    </w:p>
    <w:p w14:paraId="6D59BA7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2"/>
          <w:szCs w:val="22"/>
        </w:rPr>
      </w:pPr>
      <w:r>
        <w:rPr>
          <w:rFonts w:hint="eastAsia" w:ascii="宋体" w:hAnsi="宋体" w:eastAsia="宋体" w:cs="Times New Roman"/>
          <w:sz w:val="24"/>
          <w:lang w:eastAsia="zh-CN"/>
        </w:rPr>
        <w:t>采购预算：</w:t>
      </w:r>
      <w:r>
        <w:rPr>
          <w:rFonts w:hint="eastAsia" w:ascii="宋体" w:hAnsi="宋体" w:eastAsia="宋体" w:cs="Times New Roman"/>
          <w:sz w:val="24"/>
          <w:lang w:val="en-US" w:eastAsia="zh-CN"/>
        </w:rPr>
        <w:t>1344334元，其中01包814382元，02包529952元</w:t>
      </w:r>
      <w:r>
        <w:rPr>
          <w:rFonts w:hint="eastAsia" w:hAnsi="宋体" w:cs="Times New Roman"/>
          <w:sz w:val="24"/>
          <w:lang w:eastAsia="zh-CN"/>
        </w:rPr>
        <w:t>。</w:t>
      </w:r>
    </w:p>
    <w:p w14:paraId="591C8D75">
      <w:pPr>
        <w:pStyle w:val="8"/>
        <w:spacing w:line="440" w:lineRule="exact"/>
        <w:rPr>
          <w:rFonts w:hint="eastAsia" w:ascii="Times New Roman" w:hAnsi="宋体"/>
          <w:b/>
          <w:sz w:val="22"/>
          <w:szCs w:val="22"/>
          <w:lang w:val="en-US" w:eastAsia="zh-CN"/>
        </w:rPr>
      </w:pPr>
      <w:r>
        <w:rPr>
          <w:rFonts w:hint="eastAsia" w:ascii="Times New Roman" w:hAnsi="宋体"/>
          <w:b/>
          <w:sz w:val="22"/>
          <w:szCs w:val="22"/>
          <w:lang w:val="en-US" w:eastAsia="zh-CN"/>
        </w:rPr>
        <w:t>标的所属行业：</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7"/>
        <w:gridCol w:w="2742"/>
        <w:gridCol w:w="2139"/>
        <w:gridCol w:w="1121"/>
      </w:tblGrid>
      <w:tr w14:paraId="09D4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477" w:type="pct"/>
            <w:vAlign w:val="center"/>
          </w:tcPr>
          <w:p w14:paraId="74C2FA86">
            <w:pPr>
              <w:spacing w:line="360" w:lineRule="auto"/>
              <w:jc w:val="center"/>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包号/品目号</w:t>
            </w:r>
          </w:p>
        </w:tc>
        <w:tc>
          <w:tcPr>
            <w:tcW w:w="1609" w:type="pct"/>
            <w:vAlign w:val="center"/>
          </w:tcPr>
          <w:p w14:paraId="326BA7EB">
            <w:pPr>
              <w:spacing w:line="360" w:lineRule="auto"/>
              <w:jc w:val="center"/>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标的名称</w:t>
            </w:r>
          </w:p>
        </w:tc>
        <w:tc>
          <w:tcPr>
            <w:tcW w:w="1255" w:type="pct"/>
            <w:vAlign w:val="center"/>
          </w:tcPr>
          <w:p w14:paraId="5109C642">
            <w:pPr>
              <w:spacing w:line="360" w:lineRule="auto"/>
              <w:jc w:val="center"/>
              <w:rPr>
                <w:rFonts w:hint="default" w:asciiTheme="minorEastAsia" w:hAnsiTheme="minorEastAsia" w:eastAsiaTheme="minorEastAsia" w:cstheme="minorEastAsia"/>
                <w:sz w:val="22"/>
                <w:lang w:val="en-US" w:eastAsia="zh-CN"/>
              </w:rPr>
            </w:pPr>
            <w:r>
              <w:rPr>
                <w:rFonts w:hint="eastAsia" w:asciiTheme="minorEastAsia" w:hAnsiTheme="minorEastAsia" w:eastAsiaTheme="minorEastAsia" w:cstheme="minorEastAsia"/>
                <w:sz w:val="22"/>
                <w:lang w:val="en-US" w:eastAsia="zh-CN"/>
              </w:rPr>
              <w:t xml:space="preserve"> 标的所属行业</w:t>
            </w:r>
          </w:p>
        </w:tc>
        <w:tc>
          <w:tcPr>
            <w:tcW w:w="657" w:type="pct"/>
            <w:vAlign w:val="center"/>
          </w:tcPr>
          <w:p w14:paraId="25E59C53">
            <w:pPr>
              <w:spacing w:line="360" w:lineRule="auto"/>
              <w:jc w:val="center"/>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备注</w:t>
            </w:r>
          </w:p>
        </w:tc>
      </w:tr>
      <w:tr w14:paraId="07940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477" w:type="pct"/>
            <w:vAlign w:val="center"/>
          </w:tcPr>
          <w:p w14:paraId="575D9E75">
            <w:pPr>
              <w:widowControl/>
              <w:spacing w:line="240" w:lineRule="auto"/>
              <w:jc w:val="center"/>
              <w:textAlignment w:val="center"/>
              <w:rPr>
                <w:rFonts w:hint="default" w:asciiTheme="minorEastAsia" w:hAnsiTheme="minorEastAsia" w:eastAsiaTheme="minorEastAsia" w:cstheme="minorEastAsia"/>
                <w:sz w:val="22"/>
                <w:lang w:val="en-US" w:eastAsia="zh-CN"/>
              </w:rPr>
            </w:pPr>
            <w:r>
              <w:rPr>
                <w:rFonts w:hint="eastAsia" w:ascii="仿宋" w:hAnsi="仿宋" w:eastAsia="仿宋" w:cs="仿宋"/>
                <w:b w:val="0"/>
                <w:bCs/>
                <w:color w:val="auto"/>
                <w:sz w:val="24"/>
                <w:szCs w:val="24"/>
                <w:lang w:val="en-US" w:eastAsia="zh-CN"/>
              </w:rPr>
              <w:t>01-1</w:t>
            </w:r>
          </w:p>
        </w:tc>
        <w:tc>
          <w:tcPr>
            <w:tcW w:w="1609" w:type="pct"/>
            <w:vAlign w:val="center"/>
          </w:tcPr>
          <w:p w14:paraId="752485E5">
            <w:pPr>
              <w:widowControl/>
              <w:spacing w:line="240" w:lineRule="auto"/>
              <w:jc w:val="center"/>
              <w:textAlignment w:val="center"/>
              <w:rPr>
                <w:rFonts w:hint="eastAsia" w:asciiTheme="minorEastAsia" w:hAnsiTheme="minorEastAsia" w:eastAsiaTheme="minorEastAsia" w:cstheme="minorEastAsia"/>
                <w:sz w:val="22"/>
                <w:lang w:val="en-US" w:eastAsia="zh-CN" w:bidi="ar"/>
              </w:rPr>
            </w:pPr>
            <w:r>
              <w:rPr>
                <w:rFonts w:hint="eastAsia" w:ascii="仿宋" w:hAnsi="仿宋" w:eastAsia="仿宋" w:cs="仿宋"/>
                <w:b w:val="0"/>
                <w:bCs/>
                <w:color w:val="auto"/>
                <w:sz w:val="24"/>
                <w:szCs w:val="24"/>
                <w:lang w:val="en-US" w:eastAsia="zh-CN"/>
              </w:rPr>
              <w:t>综合手术床</w:t>
            </w:r>
          </w:p>
        </w:tc>
        <w:tc>
          <w:tcPr>
            <w:tcW w:w="1255" w:type="pct"/>
            <w:vAlign w:val="center"/>
          </w:tcPr>
          <w:p w14:paraId="254B6E3B">
            <w:pPr>
              <w:keepNext w:val="0"/>
              <w:keepLines w:val="0"/>
              <w:pageBreakBefore w:val="0"/>
              <w:widowControl/>
              <w:kinsoku/>
              <w:overflowPunct/>
              <w:topLinePunct w:val="0"/>
              <w:bidi w:val="0"/>
              <w:adjustRightInd/>
              <w:snapToGrid/>
              <w:spacing w:line="360" w:lineRule="auto"/>
              <w:jc w:val="center"/>
              <w:textAlignment w:val="center"/>
              <w:rPr>
                <w:rFonts w:asciiTheme="minorEastAsia" w:hAnsiTheme="minorEastAsia" w:eastAsiaTheme="minorEastAsia" w:cstheme="minorEastAsia"/>
                <w:sz w:val="22"/>
              </w:rPr>
            </w:pPr>
            <w:r>
              <w:rPr>
                <w:rFonts w:hint="eastAsia" w:ascii="宋体" w:hAnsi="宋体" w:eastAsia="宋体" w:cs="宋体"/>
                <w:bCs/>
                <w:sz w:val="24"/>
                <w:szCs w:val="24"/>
                <w:lang w:val="en-US" w:eastAsia="zh-CN"/>
              </w:rPr>
              <w:t>工业（制造业）</w:t>
            </w:r>
          </w:p>
        </w:tc>
        <w:tc>
          <w:tcPr>
            <w:tcW w:w="657" w:type="pct"/>
            <w:vAlign w:val="center"/>
          </w:tcPr>
          <w:p w14:paraId="692CB682">
            <w:pPr>
              <w:spacing w:line="360" w:lineRule="auto"/>
              <w:jc w:val="center"/>
              <w:rPr>
                <w:rFonts w:hint="eastAsia" w:asciiTheme="minorEastAsia" w:hAnsiTheme="minorEastAsia" w:eastAsiaTheme="minorEastAsia" w:cstheme="minorEastAsia"/>
                <w:sz w:val="22"/>
                <w:lang w:val="en-US" w:eastAsia="zh-CN"/>
              </w:rPr>
            </w:pPr>
          </w:p>
        </w:tc>
      </w:tr>
      <w:tr w14:paraId="209F2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06196DD8">
            <w:pPr>
              <w:widowControl/>
              <w:spacing w:line="240" w:lineRule="auto"/>
              <w:jc w:val="center"/>
              <w:textAlignment w:val="center"/>
              <w:rPr>
                <w:rFonts w:hint="default" w:asciiTheme="minorEastAsia" w:hAnsiTheme="minorEastAsia" w:eastAsiaTheme="minorEastAsia" w:cstheme="minorEastAsia"/>
                <w:sz w:val="22"/>
                <w:lang w:val="en-US" w:eastAsia="zh-CN"/>
              </w:rPr>
            </w:pPr>
            <w:r>
              <w:rPr>
                <w:rFonts w:hint="eastAsia" w:ascii="仿宋" w:hAnsi="仿宋" w:eastAsia="仿宋" w:cs="仿宋"/>
                <w:b w:val="0"/>
                <w:bCs/>
                <w:color w:val="auto"/>
                <w:sz w:val="24"/>
                <w:szCs w:val="24"/>
                <w:lang w:val="en-US" w:eastAsia="zh-CN"/>
              </w:rPr>
              <w:t>01-2</w:t>
            </w:r>
          </w:p>
        </w:tc>
        <w:tc>
          <w:tcPr>
            <w:tcW w:w="1609" w:type="pct"/>
            <w:vAlign w:val="center"/>
          </w:tcPr>
          <w:p w14:paraId="2A6ECA7E">
            <w:pPr>
              <w:widowControl/>
              <w:spacing w:line="240" w:lineRule="auto"/>
              <w:ind w:left="0" w:leftChars="0"/>
              <w:jc w:val="center"/>
              <w:textAlignment w:val="center"/>
              <w:rPr>
                <w:rFonts w:hint="eastAsia" w:asciiTheme="minorEastAsia" w:hAnsiTheme="minorEastAsia" w:eastAsiaTheme="minorEastAsia" w:cstheme="minorEastAsia"/>
                <w:sz w:val="22"/>
                <w:lang w:val="en-US" w:eastAsia="zh-CN" w:bidi="ar"/>
              </w:rPr>
            </w:pPr>
            <w:r>
              <w:rPr>
                <w:rFonts w:hint="eastAsia" w:ascii="仿宋" w:hAnsi="仿宋" w:eastAsia="仿宋" w:cs="仿宋"/>
                <w:b w:val="0"/>
                <w:bCs/>
                <w:color w:val="auto"/>
                <w:sz w:val="24"/>
                <w:szCs w:val="24"/>
                <w:lang w:val="en-US" w:eastAsia="zh-CN"/>
              </w:rPr>
              <w:t>手术标准化病人</w:t>
            </w:r>
          </w:p>
        </w:tc>
        <w:tc>
          <w:tcPr>
            <w:tcW w:w="1255" w:type="pct"/>
            <w:vAlign w:val="center"/>
          </w:tcPr>
          <w:p w14:paraId="7C857B89">
            <w:pPr>
              <w:keepNext w:val="0"/>
              <w:keepLines w:val="0"/>
              <w:pageBreakBefore w:val="0"/>
              <w:widowControl/>
              <w:kinsoku/>
              <w:overflowPunct/>
              <w:topLinePunct w:val="0"/>
              <w:bidi w:val="0"/>
              <w:adjustRightInd/>
              <w:snapToGrid/>
              <w:spacing w:line="360" w:lineRule="auto"/>
              <w:jc w:val="center"/>
              <w:textAlignment w:val="center"/>
              <w:rPr>
                <w:rFonts w:hint="default" w:asciiTheme="minorEastAsia" w:hAnsiTheme="minorEastAsia" w:eastAsiaTheme="minorEastAsia" w:cstheme="minorEastAsia"/>
                <w:sz w:val="22"/>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0F619BD9">
            <w:pPr>
              <w:spacing w:line="360" w:lineRule="auto"/>
              <w:jc w:val="center"/>
              <w:rPr>
                <w:rFonts w:asciiTheme="minorEastAsia" w:hAnsiTheme="minorEastAsia" w:eastAsiaTheme="minorEastAsia" w:cstheme="minorEastAsia"/>
                <w:sz w:val="22"/>
              </w:rPr>
            </w:pPr>
          </w:p>
        </w:tc>
      </w:tr>
      <w:tr w14:paraId="36D39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27D64EAD">
            <w:pPr>
              <w:widowControl/>
              <w:spacing w:line="240" w:lineRule="auto"/>
              <w:jc w:val="center"/>
              <w:textAlignment w:val="center"/>
              <w:rPr>
                <w:rFonts w:hint="eastAsia" w:asciiTheme="minorEastAsia" w:hAnsiTheme="minorEastAsia" w:eastAsiaTheme="minorEastAsia" w:cstheme="minorEastAsia"/>
                <w:sz w:val="22"/>
                <w:lang w:val="en-US" w:eastAsia="zh-CN"/>
              </w:rPr>
            </w:pPr>
            <w:r>
              <w:rPr>
                <w:rFonts w:hint="eastAsia" w:ascii="仿宋" w:hAnsi="仿宋" w:eastAsia="仿宋" w:cs="仿宋"/>
                <w:b w:val="0"/>
                <w:bCs/>
                <w:color w:val="auto"/>
                <w:sz w:val="24"/>
                <w:szCs w:val="24"/>
                <w:lang w:val="en-US" w:eastAsia="zh-CN"/>
              </w:rPr>
              <w:t>01-3</w:t>
            </w:r>
          </w:p>
        </w:tc>
        <w:tc>
          <w:tcPr>
            <w:tcW w:w="1609" w:type="pct"/>
            <w:vAlign w:val="center"/>
          </w:tcPr>
          <w:p w14:paraId="3B9E7876">
            <w:pPr>
              <w:widowControl/>
              <w:spacing w:line="240" w:lineRule="auto"/>
              <w:jc w:val="center"/>
              <w:textAlignment w:val="center"/>
              <w:rPr>
                <w:rFonts w:hint="eastAsia" w:hAnsi="宋体" w:cs="宋体"/>
                <w:bCs/>
                <w:sz w:val="24"/>
                <w:lang w:eastAsia="zh-CN"/>
              </w:rPr>
            </w:pPr>
            <w:r>
              <w:rPr>
                <w:rFonts w:hint="eastAsia" w:ascii="仿宋" w:hAnsi="仿宋" w:eastAsia="仿宋" w:cs="仿宋"/>
                <w:b w:val="0"/>
                <w:bCs/>
                <w:color w:val="auto"/>
                <w:sz w:val="24"/>
                <w:szCs w:val="24"/>
                <w:lang w:val="en-US" w:eastAsia="zh-CN"/>
              </w:rPr>
              <w:t>整体反射子母无影灯</w:t>
            </w:r>
          </w:p>
        </w:tc>
        <w:tc>
          <w:tcPr>
            <w:tcW w:w="1255" w:type="pct"/>
            <w:vAlign w:val="center"/>
          </w:tcPr>
          <w:p w14:paraId="4B3CCF72">
            <w:pPr>
              <w:keepNext w:val="0"/>
              <w:keepLines w:val="0"/>
              <w:pageBreakBefore w:val="0"/>
              <w:widowControl/>
              <w:kinsoku/>
              <w:overflowPunct/>
              <w:topLinePunct w:val="0"/>
              <w:bidi w:val="0"/>
              <w:adjustRightInd/>
              <w:snapToGrid/>
              <w:spacing w:line="360" w:lineRule="auto"/>
              <w:jc w:val="center"/>
              <w:textAlignment w:val="center"/>
              <w:rPr>
                <w:rFonts w:hint="eastAsia" w:hAnsi="宋体" w:cs="宋体"/>
                <w:bCs/>
                <w:sz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510939A0">
            <w:pPr>
              <w:spacing w:line="360" w:lineRule="auto"/>
              <w:jc w:val="center"/>
              <w:rPr>
                <w:rFonts w:asciiTheme="minorEastAsia" w:hAnsiTheme="minorEastAsia" w:eastAsiaTheme="minorEastAsia" w:cstheme="minorEastAsia"/>
                <w:sz w:val="22"/>
              </w:rPr>
            </w:pPr>
          </w:p>
        </w:tc>
      </w:tr>
      <w:tr w14:paraId="23987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0BF6C7A3">
            <w:pPr>
              <w:widowControl/>
              <w:spacing w:line="240" w:lineRule="auto"/>
              <w:jc w:val="center"/>
              <w:textAlignment w:val="center"/>
              <w:rPr>
                <w:rFonts w:hint="eastAsia" w:asciiTheme="minorEastAsia" w:hAnsiTheme="minorEastAsia" w:eastAsiaTheme="minorEastAsia" w:cstheme="minorEastAsia"/>
                <w:sz w:val="22"/>
                <w:lang w:val="en-US" w:eastAsia="zh-CN"/>
              </w:rPr>
            </w:pPr>
            <w:r>
              <w:rPr>
                <w:rFonts w:hint="eastAsia" w:ascii="仿宋" w:hAnsi="仿宋" w:eastAsia="仿宋" w:cs="仿宋"/>
                <w:b w:val="0"/>
                <w:bCs/>
                <w:color w:val="auto"/>
                <w:sz w:val="24"/>
                <w:szCs w:val="24"/>
                <w:lang w:val="en-US" w:eastAsia="zh-CN"/>
              </w:rPr>
              <w:t>01-4</w:t>
            </w:r>
          </w:p>
        </w:tc>
        <w:tc>
          <w:tcPr>
            <w:tcW w:w="1609" w:type="pct"/>
            <w:vAlign w:val="center"/>
          </w:tcPr>
          <w:p w14:paraId="2C5CBEE3">
            <w:pPr>
              <w:widowControl/>
              <w:spacing w:line="240" w:lineRule="auto"/>
              <w:jc w:val="center"/>
              <w:textAlignment w:val="center"/>
              <w:rPr>
                <w:rFonts w:hint="eastAsia" w:hAnsi="宋体" w:cs="宋体"/>
                <w:bCs/>
                <w:sz w:val="24"/>
                <w:lang w:eastAsia="zh-CN"/>
              </w:rPr>
            </w:pPr>
            <w:r>
              <w:rPr>
                <w:rFonts w:hint="eastAsia" w:ascii="仿宋" w:hAnsi="仿宋" w:eastAsia="仿宋" w:cs="仿宋"/>
                <w:color w:val="auto"/>
                <w:sz w:val="24"/>
                <w:szCs w:val="24"/>
                <w:lang w:val="en-US" w:eastAsia="zh-CN"/>
              </w:rPr>
              <w:t>模拟多参数监护仪</w:t>
            </w:r>
          </w:p>
        </w:tc>
        <w:tc>
          <w:tcPr>
            <w:tcW w:w="1255" w:type="pct"/>
            <w:vAlign w:val="center"/>
          </w:tcPr>
          <w:p w14:paraId="193B6F57">
            <w:pPr>
              <w:keepNext w:val="0"/>
              <w:keepLines w:val="0"/>
              <w:pageBreakBefore w:val="0"/>
              <w:widowControl/>
              <w:kinsoku/>
              <w:overflowPunct/>
              <w:topLinePunct w:val="0"/>
              <w:bidi w:val="0"/>
              <w:adjustRightInd/>
              <w:snapToGrid/>
              <w:spacing w:line="360" w:lineRule="auto"/>
              <w:jc w:val="center"/>
              <w:textAlignment w:val="center"/>
              <w:rPr>
                <w:rFonts w:hint="eastAsia" w:hAnsi="宋体" w:cs="宋体"/>
                <w:bCs/>
                <w:sz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640B3DAD">
            <w:pPr>
              <w:spacing w:line="360" w:lineRule="auto"/>
              <w:jc w:val="center"/>
              <w:rPr>
                <w:rFonts w:asciiTheme="minorEastAsia" w:hAnsiTheme="minorEastAsia" w:eastAsiaTheme="minorEastAsia" w:cstheme="minorEastAsia"/>
                <w:sz w:val="22"/>
              </w:rPr>
            </w:pPr>
          </w:p>
        </w:tc>
      </w:tr>
      <w:tr w14:paraId="3532B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6EE49DDB">
            <w:pPr>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sz w:val="22"/>
                <w:lang w:val="en-US" w:eastAsia="zh-CN"/>
              </w:rPr>
            </w:pPr>
            <w:r>
              <w:rPr>
                <w:rFonts w:hint="eastAsia" w:ascii="仿宋" w:hAnsi="仿宋" w:eastAsia="仿宋" w:cs="仿宋"/>
                <w:b w:val="0"/>
                <w:bCs/>
                <w:color w:val="auto"/>
                <w:sz w:val="24"/>
                <w:szCs w:val="24"/>
                <w:lang w:val="en-US" w:eastAsia="zh-CN"/>
              </w:rPr>
              <w:t>01-</w:t>
            </w:r>
            <w:r>
              <w:rPr>
                <w:rFonts w:hint="eastAsia" w:ascii="仿宋" w:hAnsi="仿宋" w:eastAsia="仿宋" w:cs="仿宋"/>
                <w:b w:val="0"/>
                <w:bCs w:val="0"/>
                <w:color w:val="auto"/>
                <w:sz w:val="24"/>
                <w:szCs w:val="24"/>
              </w:rPr>
              <w:t>5</w:t>
            </w:r>
          </w:p>
        </w:tc>
        <w:tc>
          <w:tcPr>
            <w:tcW w:w="1609" w:type="pct"/>
            <w:vAlign w:val="center"/>
          </w:tcPr>
          <w:p w14:paraId="049E15F9">
            <w:pPr>
              <w:pageBreakBefore w:val="0"/>
              <w:kinsoku/>
              <w:wordWrap/>
              <w:overflowPunct/>
              <w:topLinePunct w:val="0"/>
              <w:autoSpaceDE/>
              <w:autoSpaceDN/>
              <w:bidi w:val="0"/>
              <w:adjustRightInd/>
              <w:snapToGrid w:val="0"/>
              <w:spacing w:line="240" w:lineRule="auto"/>
              <w:jc w:val="center"/>
              <w:textAlignment w:val="auto"/>
              <w:rPr>
                <w:rFonts w:hint="eastAsia" w:hAnsi="宋体" w:cs="宋体"/>
                <w:bCs/>
                <w:sz w:val="24"/>
                <w:lang w:eastAsia="zh-CN"/>
              </w:rPr>
            </w:pPr>
            <w:r>
              <w:rPr>
                <w:rFonts w:hint="eastAsia" w:ascii="仿宋" w:hAnsi="仿宋" w:eastAsia="仿宋" w:cs="仿宋"/>
                <w:b w:val="0"/>
                <w:bCs w:val="0"/>
                <w:color w:val="auto"/>
                <w:sz w:val="24"/>
                <w:szCs w:val="24"/>
                <w:lang w:val="en-US" w:eastAsia="zh-CN"/>
              </w:rPr>
              <w:t>不锈钢器械柜</w:t>
            </w:r>
          </w:p>
        </w:tc>
        <w:tc>
          <w:tcPr>
            <w:tcW w:w="2139" w:type="dxa"/>
            <w:vAlign w:val="center"/>
          </w:tcPr>
          <w:p w14:paraId="458D7663">
            <w:pPr>
              <w:keepNext w:val="0"/>
              <w:keepLines w:val="0"/>
              <w:pageBreakBefore w:val="0"/>
              <w:widowControl/>
              <w:kinsoku/>
              <w:overflowPunct/>
              <w:topLinePunct w:val="0"/>
              <w:bidi w:val="0"/>
              <w:adjustRightInd/>
              <w:snapToGrid/>
              <w:spacing w:line="360" w:lineRule="auto"/>
              <w:jc w:val="center"/>
              <w:textAlignment w:val="center"/>
              <w:rPr>
                <w:rFonts w:hint="eastAsia" w:hAnsi="宋体" w:cs="宋体"/>
                <w:bCs/>
                <w:sz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169DF355">
            <w:pPr>
              <w:spacing w:line="360" w:lineRule="auto"/>
              <w:jc w:val="center"/>
              <w:rPr>
                <w:rFonts w:asciiTheme="minorEastAsia" w:hAnsiTheme="minorEastAsia" w:eastAsiaTheme="minorEastAsia" w:cstheme="minorEastAsia"/>
                <w:sz w:val="22"/>
              </w:rPr>
            </w:pPr>
          </w:p>
        </w:tc>
      </w:tr>
      <w:tr w14:paraId="413C9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5FDA5E16">
            <w:pPr>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sz w:val="22"/>
                <w:lang w:val="en-US" w:eastAsia="zh-CN"/>
              </w:rPr>
            </w:pPr>
            <w:r>
              <w:rPr>
                <w:rFonts w:hint="eastAsia" w:ascii="仿宋" w:hAnsi="仿宋" w:eastAsia="仿宋" w:cs="仿宋"/>
                <w:b w:val="0"/>
                <w:bCs/>
                <w:color w:val="auto"/>
                <w:sz w:val="24"/>
                <w:szCs w:val="24"/>
                <w:lang w:val="en-US" w:eastAsia="zh-CN"/>
              </w:rPr>
              <w:t>01-</w:t>
            </w:r>
            <w:r>
              <w:rPr>
                <w:rFonts w:hint="eastAsia" w:ascii="仿宋" w:hAnsi="仿宋" w:eastAsia="仿宋" w:cs="仿宋"/>
                <w:b w:val="0"/>
                <w:bCs w:val="0"/>
                <w:color w:val="auto"/>
                <w:sz w:val="24"/>
                <w:szCs w:val="24"/>
              </w:rPr>
              <w:t>6</w:t>
            </w:r>
          </w:p>
        </w:tc>
        <w:tc>
          <w:tcPr>
            <w:tcW w:w="1609" w:type="pct"/>
            <w:vAlign w:val="center"/>
          </w:tcPr>
          <w:p w14:paraId="210C53FE">
            <w:pPr>
              <w:pageBreakBefore w:val="0"/>
              <w:kinsoku/>
              <w:wordWrap/>
              <w:overflowPunct/>
              <w:topLinePunct w:val="0"/>
              <w:autoSpaceDE/>
              <w:autoSpaceDN/>
              <w:bidi w:val="0"/>
              <w:adjustRightInd/>
              <w:snapToGrid w:val="0"/>
              <w:spacing w:line="240" w:lineRule="auto"/>
              <w:jc w:val="center"/>
              <w:textAlignment w:val="auto"/>
              <w:rPr>
                <w:rFonts w:hint="eastAsia" w:hAnsi="宋体" w:cs="宋体"/>
                <w:bCs/>
                <w:sz w:val="24"/>
                <w:lang w:eastAsia="zh-CN"/>
              </w:rPr>
            </w:pPr>
            <w:r>
              <w:rPr>
                <w:rFonts w:hint="eastAsia" w:ascii="仿宋" w:hAnsi="仿宋" w:eastAsia="仿宋" w:cs="仿宋"/>
                <w:b w:val="0"/>
                <w:bCs w:val="0"/>
                <w:color w:val="auto"/>
                <w:sz w:val="24"/>
                <w:szCs w:val="24"/>
                <w:lang w:val="en-US" w:eastAsia="zh-CN"/>
              </w:rPr>
              <w:t>不锈钢扇形手术器械车</w:t>
            </w:r>
          </w:p>
        </w:tc>
        <w:tc>
          <w:tcPr>
            <w:tcW w:w="2139" w:type="dxa"/>
            <w:vAlign w:val="center"/>
          </w:tcPr>
          <w:p w14:paraId="6388EEDC">
            <w:pPr>
              <w:keepNext w:val="0"/>
              <w:keepLines w:val="0"/>
              <w:pageBreakBefore w:val="0"/>
              <w:widowControl/>
              <w:kinsoku/>
              <w:overflowPunct/>
              <w:topLinePunct w:val="0"/>
              <w:bidi w:val="0"/>
              <w:adjustRightInd/>
              <w:snapToGrid/>
              <w:spacing w:line="360" w:lineRule="auto"/>
              <w:jc w:val="center"/>
              <w:textAlignment w:val="center"/>
              <w:rPr>
                <w:rFonts w:hint="eastAsia" w:hAnsi="宋体" w:cs="宋体"/>
                <w:bCs/>
                <w:sz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3D5964A4">
            <w:pPr>
              <w:spacing w:line="360" w:lineRule="auto"/>
              <w:jc w:val="center"/>
              <w:rPr>
                <w:rFonts w:asciiTheme="minorEastAsia" w:hAnsiTheme="minorEastAsia" w:eastAsiaTheme="minorEastAsia" w:cstheme="minorEastAsia"/>
                <w:sz w:val="22"/>
              </w:rPr>
            </w:pPr>
          </w:p>
        </w:tc>
      </w:tr>
      <w:tr w14:paraId="21C24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0B1A797B">
            <w:pPr>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sz w:val="22"/>
                <w:lang w:val="en-US" w:eastAsia="zh-CN"/>
              </w:rPr>
            </w:pPr>
            <w:r>
              <w:rPr>
                <w:rFonts w:hint="eastAsia" w:ascii="仿宋" w:hAnsi="仿宋" w:eastAsia="仿宋" w:cs="仿宋"/>
                <w:b w:val="0"/>
                <w:bCs/>
                <w:color w:val="auto"/>
                <w:sz w:val="24"/>
                <w:szCs w:val="24"/>
                <w:lang w:val="en-US" w:eastAsia="zh-CN"/>
              </w:rPr>
              <w:t>01-</w:t>
            </w:r>
            <w:r>
              <w:rPr>
                <w:rFonts w:hint="eastAsia" w:ascii="仿宋" w:hAnsi="仿宋" w:eastAsia="仿宋" w:cs="仿宋"/>
                <w:b w:val="0"/>
                <w:bCs w:val="0"/>
                <w:color w:val="auto"/>
                <w:sz w:val="24"/>
                <w:szCs w:val="24"/>
              </w:rPr>
              <w:t>7</w:t>
            </w:r>
          </w:p>
        </w:tc>
        <w:tc>
          <w:tcPr>
            <w:tcW w:w="1609" w:type="pct"/>
            <w:vAlign w:val="center"/>
          </w:tcPr>
          <w:p w14:paraId="2E2E31D0">
            <w:pPr>
              <w:pageBreakBefore w:val="0"/>
              <w:kinsoku/>
              <w:wordWrap/>
              <w:overflowPunct/>
              <w:topLinePunct w:val="0"/>
              <w:autoSpaceDE/>
              <w:autoSpaceDN/>
              <w:bidi w:val="0"/>
              <w:adjustRightInd/>
              <w:snapToGrid w:val="0"/>
              <w:spacing w:line="240" w:lineRule="auto"/>
              <w:jc w:val="center"/>
              <w:textAlignment w:val="auto"/>
              <w:rPr>
                <w:rFonts w:hint="eastAsia" w:hAnsi="宋体" w:cs="宋体"/>
                <w:bCs/>
                <w:sz w:val="24"/>
                <w:lang w:eastAsia="zh-CN"/>
              </w:rPr>
            </w:pPr>
            <w:r>
              <w:rPr>
                <w:rFonts w:hint="eastAsia" w:ascii="仿宋" w:hAnsi="仿宋" w:eastAsia="仿宋" w:cs="仿宋"/>
                <w:b w:val="0"/>
                <w:bCs w:val="0"/>
                <w:color w:val="auto"/>
                <w:sz w:val="24"/>
                <w:szCs w:val="24"/>
                <w:lang w:val="en-US" w:eastAsia="zh-CN"/>
              </w:rPr>
              <w:t>紫外线消毒车</w:t>
            </w:r>
          </w:p>
        </w:tc>
        <w:tc>
          <w:tcPr>
            <w:tcW w:w="2139" w:type="dxa"/>
            <w:vAlign w:val="center"/>
          </w:tcPr>
          <w:p w14:paraId="2D7DEFE0">
            <w:pPr>
              <w:keepNext w:val="0"/>
              <w:keepLines w:val="0"/>
              <w:pageBreakBefore w:val="0"/>
              <w:widowControl/>
              <w:kinsoku/>
              <w:overflowPunct/>
              <w:topLinePunct w:val="0"/>
              <w:bidi w:val="0"/>
              <w:adjustRightInd/>
              <w:snapToGrid/>
              <w:spacing w:line="360" w:lineRule="auto"/>
              <w:jc w:val="center"/>
              <w:textAlignment w:val="center"/>
              <w:rPr>
                <w:rFonts w:hint="eastAsia" w:hAnsi="宋体" w:cs="宋体"/>
                <w:bCs/>
                <w:sz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1F4F0622">
            <w:pPr>
              <w:spacing w:line="360" w:lineRule="auto"/>
              <w:jc w:val="center"/>
              <w:rPr>
                <w:rFonts w:asciiTheme="minorEastAsia" w:hAnsiTheme="minorEastAsia" w:eastAsiaTheme="minorEastAsia" w:cstheme="minorEastAsia"/>
                <w:sz w:val="22"/>
              </w:rPr>
            </w:pPr>
          </w:p>
        </w:tc>
      </w:tr>
      <w:tr w14:paraId="084B3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18726BA1">
            <w:pPr>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sz w:val="22"/>
                <w:lang w:val="en-US" w:eastAsia="zh-CN"/>
              </w:rPr>
            </w:pPr>
            <w:r>
              <w:rPr>
                <w:rFonts w:hint="eastAsia" w:ascii="仿宋" w:hAnsi="仿宋" w:eastAsia="仿宋" w:cs="仿宋"/>
                <w:b w:val="0"/>
                <w:bCs/>
                <w:color w:val="auto"/>
                <w:sz w:val="24"/>
                <w:szCs w:val="24"/>
                <w:lang w:val="en-US" w:eastAsia="zh-CN"/>
              </w:rPr>
              <w:t>01-</w:t>
            </w:r>
            <w:r>
              <w:rPr>
                <w:rFonts w:hint="eastAsia" w:ascii="仿宋" w:hAnsi="仿宋" w:eastAsia="仿宋" w:cs="仿宋"/>
                <w:b w:val="0"/>
                <w:bCs w:val="0"/>
                <w:color w:val="auto"/>
                <w:sz w:val="24"/>
                <w:szCs w:val="24"/>
              </w:rPr>
              <w:t>8</w:t>
            </w:r>
          </w:p>
        </w:tc>
        <w:tc>
          <w:tcPr>
            <w:tcW w:w="1609" w:type="pct"/>
            <w:vAlign w:val="center"/>
          </w:tcPr>
          <w:p w14:paraId="4760DB09">
            <w:pPr>
              <w:pageBreakBefore w:val="0"/>
              <w:kinsoku/>
              <w:wordWrap/>
              <w:overflowPunct/>
              <w:topLinePunct w:val="0"/>
              <w:autoSpaceDE/>
              <w:autoSpaceDN/>
              <w:bidi w:val="0"/>
              <w:adjustRightInd/>
              <w:snapToGrid w:val="0"/>
              <w:spacing w:line="240" w:lineRule="auto"/>
              <w:jc w:val="center"/>
              <w:textAlignment w:val="auto"/>
              <w:rPr>
                <w:rFonts w:hint="eastAsia" w:hAnsi="宋体" w:cs="宋体"/>
                <w:bCs/>
                <w:sz w:val="24"/>
                <w:lang w:eastAsia="zh-CN"/>
              </w:rPr>
            </w:pPr>
            <w:r>
              <w:rPr>
                <w:rFonts w:hint="eastAsia" w:ascii="仿宋" w:hAnsi="仿宋" w:eastAsia="仿宋" w:cs="仿宋"/>
                <w:b w:val="0"/>
                <w:bCs w:val="0"/>
                <w:color w:val="auto"/>
                <w:sz w:val="24"/>
                <w:szCs w:val="24"/>
                <w:lang w:val="en-US" w:eastAsia="zh-CN"/>
              </w:rPr>
              <w:t>手术室观片灯</w:t>
            </w:r>
          </w:p>
        </w:tc>
        <w:tc>
          <w:tcPr>
            <w:tcW w:w="2139" w:type="dxa"/>
            <w:vAlign w:val="center"/>
          </w:tcPr>
          <w:p w14:paraId="772C9AE5">
            <w:pPr>
              <w:keepNext w:val="0"/>
              <w:keepLines w:val="0"/>
              <w:pageBreakBefore w:val="0"/>
              <w:widowControl/>
              <w:kinsoku/>
              <w:overflowPunct/>
              <w:topLinePunct w:val="0"/>
              <w:bidi w:val="0"/>
              <w:adjustRightInd/>
              <w:snapToGrid/>
              <w:spacing w:line="360" w:lineRule="auto"/>
              <w:jc w:val="center"/>
              <w:textAlignment w:val="center"/>
              <w:rPr>
                <w:rFonts w:hint="eastAsia" w:hAnsi="宋体" w:cs="宋体"/>
                <w:bCs/>
                <w:sz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4B925C35">
            <w:pPr>
              <w:spacing w:line="360" w:lineRule="auto"/>
              <w:jc w:val="center"/>
              <w:rPr>
                <w:rFonts w:asciiTheme="minorEastAsia" w:hAnsiTheme="minorEastAsia" w:eastAsiaTheme="minorEastAsia" w:cstheme="minorEastAsia"/>
                <w:sz w:val="22"/>
              </w:rPr>
            </w:pPr>
          </w:p>
        </w:tc>
      </w:tr>
      <w:tr w14:paraId="74FC8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51433E43">
            <w:pPr>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sz w:val="22"/>
                <w:lang w:val="en-US" w:eastAsia="zh-CN"/>
              </w:rPr>
            </w:pPr>
            <w:r>
              <w:rPr>
                <w:rFonts w:hint="eastAsia" w:ascii="仿宋" w:hAnsi="仿宋" w:eastAsia="仿宋" w:cs="仿宋"/>
                <w:b w:val="0"/>
                <w:bCs/>
                <w:color w:val="auto"/>
                <w:sz w:val="24"/>
                <w:szCs w:val="24"/>
                <w:lang w:val="en-US" w:eastAsia="zh-CN"/>
              </w:rPr>
              <w:t>01-</w:t>
            </w:r>
            <w:r>
              <w:rPr>
                <w:rFonts w:hint="eastAsia" w:ascii="仿宋" w:hAnsi="仿宋" w:eastAsia="仿宋" w:cs="仿宋"/>
                <w:color w:val="auto"/>
                <w:sz w:val="24"/>
                <w:szCs w:val="24"/>
              </w:rPr>
              <w:t>9</w:t>
            </w:r>
          </w:p>
        </w:tc>
        <w:tc>
          <w:tcPr>
            <w:tcW w:w="1609" w:type="pct"/>
            <w:vAlign w:val="center"/>
          </w:tcPr>
          <w:p w14:paraId="5DA0FDAF">
            <w:pPr>
              <w:widowControl/>
              <w:spacing w:line="240" w:lineRule="auto"/>
              <w:ind w:left="0" w:leftChars="0"/>
              <w:jc w:val="center"/>
              <w:textAlignment w:val="center"/>
              <w:rPr>
                <w:rFonts w:hint="eastAsia" w:hAnsi="宋体" w:cs="宋体"/>
                <w:bCs/>
                <w:sz w:val="24"/>
                <w:lang w:eastAsia="zh-CN"/>
              </w:rPr>
            </w:pPr>
            <w:r>
              <w:rPr>
                <w:rFonts w:hint="eastAsia" w:ascii="仿宋" w:hAnsi="仿宋" w:eastAsia="仿宋" w:cs="仿宋"/>
                <w:color w:val="000000"/>
                <w:sz w:val="24"/>
                <w:szCs w:val="24"/>
                <w:lang w:val="en-US" w:eastAsia="zh-CN"/>
              </w:rPr>
              <w:t>智能交互式触控一体机</w:t>
            </w:r>
          </w:p>
        </w:tc>
        <w:tc>
          <w:tcPr>
            <w:tcW w:w="2139" w:type="dxa"/>
            <w:vAlign w:val="center"/>
          </w:tcPr>
          <w:p w14:paraId="387980A3">
            <w:pPr>
              <w:keepNext w:val="0"/>
              <w:keepLines w:val="0"/>
              <w:pageBreakBefore w:val="0"/>
              <w:widowControl/>
              <w:kinsoku/>
              <w:overflowPunct/>
              <w:topLinePunct w:val="0"/>
              <w:bidi w:val="0"/>
              <w:adjustRightInd/>
              <w:snapToGrid/>
              <w:spacing w:line="360" w:lineRule="auto"/>
              <w:jc w:val="center"/>
              <w:textAlignment w:val="center"/>
              <w:rPr>
                <w:rFonts w:hint="eastAsia" w:hAnsi="宋体" w:cs="宋体"/>
                <w:bCs/>
                <w:sz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4A07F340">
            <w:pPr>
              <w:spacing w:line="360" w:lineRule="auto"/>
              <w:jc w:val="center"/>
              <w:rPr>
                <w:rFonts w:asciiTheme="minorEastAsia" w:hAnsiTheme="minorEastAsia" w:eastAsiaTheme="minorEastAsia" w:cstheme="minorEastAsia"/>
                <w:sz w:val="22"/>
              </w:rPr>
            </w:pPr>
          </w:p>
        </w:tc>
      </w:tr>
      <w:tr w14:paraId="18BAE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24511B23">
            <w:pPr>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sz w:val="22"/>
                <w:lang w:val="en-US" w:eastAsia="zh-CN"/>
              </w:rPr>
            </w:pPr>
            <w:r>
              <w:rPr>
                <w:rFonts w:hint="eastAsia" w:ascii="仿宋" w:hAnsi="仿宋" w:eastAsia="仿宋" w:cs="仿宋"/>
                <w:b w:val="0"/>
                <w:bCs/>
                <w:color w:val="auto"/>
                <w:sz w:val="24"/>
                <w:szCs w:val="24"/>
                <w:lang w:val="en-US" w:eastAsia="zh-CN"/>
              </w:rPr>
              <w:t>01-</w:t>
            </w:r>
            <w:r>
              <w:rPr>
                <w:rFonts w:hint="eastAsia" w:ascii="仿宋" w:hAnsi="仿宋" w:eastAsia="仿宋" w:cs="仿宋"/>
                <w:b w:val="0"/>
                <w:bCs w:val="0"/>
                <w:color w:val="auto"/>
                <w:sz w:val="24"/>
                <w:szCs w:val="24"/>
                <w:lang w:val="en-US" w:eastAsia="zh-CN"/>
              </w:rPr>
              <w:t>10</w:t>
            </w:r>
          </w:p>
        </w:tc>
        <w:tc>
          <w:tcPr>
            <w:tcW w:w="1609" w:type="pct"/>
            <w:vAlign w:val="center"/>
          </w:tcPr>
          <w:p w14:paraId="2229B659">
            <w:pPr>
              <w:pageBreakBefore w:val="0"/>
              <w:kinsoku/>
              <w:wordWrap/>
              <w:overflowPunct/>
              <w:topLinePunct w:val="0"/>
              <w:autoSpaceDE/>
              <w:autoSpaceDN/>
              <w:bidi w:val="0"/>
              <w:adjustRightInd/>
              <w:snapToGrid w:val="0"/>
              <w:spacing w:line="240" w:lineRule="auto"/>
              <w:jc w:val="center"/>
              <w:textAlignment w:val="auto"/>
              <w:rPr>
                <w:rFonts w:hint="eastAsia" w:hAnsi="宋体" w:cs="宋体"/>
                <w:bCs/>
                <w:sz w:val="24"/>
                <w:lang w:eastAsia="zh-CN"/>
              </w:rPr>
            </w:pPr>
            <w:r>
              <w:rPr>
                <w:rFonts w:hint="eastAsia" w:ascii="仿宋" w:hAnsi="仿宋" w:eastAsia="仿宋" w:cs="仿宋"/>
                <w:b w:val="0"/>
                <w:bCs w:val="0"/>
                <w:color w:val="auto"/>
                <w:sz w:val="24"/>
                <w:szCs w:val="24"/>
                <w:lang w:val="en-US" w:eastAsia="zh-CN"/>
              </w:rPr>
              <w:t>ABS抢救车</w:t>
            </w:r>
          </w:p>
        </w:tc>
        <w:tc>
          <w:tcPr>
            <w:tcW w:w="2139" w:type="dxa"/>
            <w:vAlign w:val="center"/>
          </w:tcPr>
          <w:p w14:paraId="5A60716E">
            <w:pPr>
              <w:keepNext w:val="0"/>
              <w:keepLines w:val="0"/>
              <w:pageBreakBefore w:val="0"/>
              <w:widowControl/>
              <w:kinsoku/>
              <w:overflowPunct/>
              <w:topLinePunct w:val="0"/>
              <w:bidi w:val="0"/>
              <w:adjustRightInd/>
              <w:snapToGrid/>
              <w:spacing w:line="360" w:lineRule="auto"/>
              <w:jc w:val="center"/>
              <w:textAlignment w:val="center"/>
              <w:rPr>
                <w:rFonts w:hint="eastAsia" w:hAnsi="宋体" w:cs="宋体"/>
                <w:bCs/>
                <w:sz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31B57073">
            <w:pPr>
              <w:spacing w:line="360" w:lineRule="auto"/>
              <w:jc w:val="center"/>
              <w:rPr>
                <w:rFonts w:asciiTheme="minorEastAsia" w:hAnsiTheme="minorEastAsia" w:eastAsiaTheme="minorEastAsia" w:cstheme="minorEastAsia"/>
                <w:sz w:val="22"/>
              </w:rPr>
            </w:pPr>
          </w:p>
        </w:tc>
      </w:tr>
      <w:tr w14:paraId="04033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29167F9B">
            <w:pPr>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sz w:val="22"/>
                <w:lang w:val="en-US" w:eastAsia="zh-CN"/>
              </w:rPr>
            </w:pPr>
            <w:r>
              <w:rPr>
                <w:rFonts w:hint="eastAsia" w:ascii="仿宋" w:hAnsi="仿宋" w:eastAsia="仿宋" w:cs="仿宋"/>
                <w:b w:val="0"/>
                <w:bCs/>
                <w:color w:val="auto"/>
                <w:sz w:val="24"/>
                <w:szCs w:val="24"/>
                <w:lang w:val="en-US" w:eastAsia="zh-CN"/>
              </w:rPr>
              <w:t>01-</w:t>
            </w:r>
            <w:r>
              <w:rPr>
                <w:rFonts w:hint="eastAsia" w:ascii="仿宋" w:hAnsi="仿宋" w:eastAsia="仿宋" w:cs="仿宋"/>
                <w:b w:val="0"/>
                <w:bCs w:val="0"/>
                <w:color w:val="auto"/>
                <w:sz w:val="24"/>
                <w:szCs w:val="24"/>
                <w:lang w:val="en-US" w:eastAsia="zh-CN"/>
              </w:rPr>
              <w:t>11</w:t>
            </w:r>
          </w:p>
        </w:tc>
        <w:tc>
          <w:tcPr>
            <w:tcW w:w="1609" w:type="pct"/>
            <w:vAlign w:val="center"/>
          </w:tcPr>
          <w:p w14:paraId="66D9201E">
            <w:pPr>
              <w:pageBreakBefore w:val="0"/>
              <w:kinsoku/>
              <w:wordWrap/>
              <w:overflowPunct/>
              <w:topLinePunct w:val="0"/>
              <w:autoSpaceDE/>
              <w:autoSpaceDN/>
              <w:bidi w:val="0"/>
              <w:adjustRightInd/>
              <w:snapToGrid w:val="0"/>
              <w:spacing w:line="240" w:lineRule="auto"/>
              <w:jc w:val="center"/>
              <w:textAlignment w:val="auto"/>
              <w:rPr>
                <w:rFonts w:hint="eastAsia" w:hAnsi="宋体" w:cs="宋体"/>
                <w:bCs/>
                <w:sz w:val="24"/>
                <w:lang w:eastAsia="zh-CN"/>
              </w:rPr>
            </w:pPr>
            <w:r>
              <w:rPr>
                <w:rFonts w:hint="eastAsia" w:ascii="仿宋" w:hAnsi="仿宋" w:eastAsia="仿宋" w:cs="仿宋"/>
                <w:b w:val="0"/>
                <w:bCs w:val="0"/>
                <w:color w:val="auto"/>
                <w:sz w:val="24"/>
                <w:szCs w:val="24"/>
                <w:lang w:val="en-US" w:eastAsia="zh-CN"/>
              </w:rPr>
              <w:t>三人位感应洗手池</w:t>
            </w:r>
          </w:p>
        </w:tc>
        <w:tc>
          <w:tcPr>
            <w:tcW w:w="2139" w:type="dxa"/>
            <w:vAlign w:val="center"/>
          </w:tcPr>
          <w:p w14:paraId="780EC42A">
            <w:pPr>
              <w:keepNext w:val="0"/>
              <w:keepLines w:val="0"/>
              <w:pageBreakBefore w:val="0"/>
              <w:widowControl/>
              <w:kinsoku/>
              <w:overflowPunct/>
              <w:topLinePunct w:val="0"/>
              <w:bidi w:val="0"/>
              <w:adjustRightInd/>
              <w:snapToGrid/>
              <w:spacing w:line="360" w:lineRule="auto"/>
              <w:jc w:val="center"/>
              <w:textAlignment w:val="center"/>
              <w:rPr>
                <w:rFonts w:hint="eastAsia" w:hAnsi="宋体" w:cs="宋体"/>
                <w:bCs/>
                <w:sz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4C74E180">
            <w:pPr>
              <w:spacing w:line="360" w:lineRule="auto"/>
              <w:jc w:val="center"/>
              <w:rPr>
                <w:rFonts w:asciiTheme="minorEastAsia" w:hAnsiTheme="minorEastAsia" w:eastAsiaTheme="minorEastAsia" w:cstheme="minorEastAsia"/>
                <w:sz w:val="22"/>
              </w:rPr>
            </w:pPr>
          </w:p>
        </w:tc>
      </w:tr>
      <w:tr w14:paraId="331C3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71016DD0">
            <w:pPr>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sz w:val="22"/>
                <w:lang w:val="en-US" w:eastAsia="zh-CN"/>
              </w:rPr>
            </w:pPr>
            <w:r>
              <w:rPr>
                <w:rFonts w:hint="eastAsia" w:ascii="仿宋" w:hAnsi="仿宋" w:eastAsia="仿宋" w:cs="仿宋"/>
                <w:b w:val="0"/>
                <w:bCs/>
                <w:color w:val="auto"/>
                <w:sz w:val="24"/>
                <w:szCs w:val="24"/>
                <w:lang w:val="en-US" w:eastAsia="zh-CN"/>
              </w:rPr>
              <w:t>01-</w:t>
            </w:r>
            <w:r>
              <w:rPr>
                <w:rFonts w:hint="eastAsia" w:ascii="仿宋" w:hAnsi="仿宋" w:eastAsia="仿宋" w:cs="仿宋"/>
                <w:b w:val="0"/>
                <w:bCs w:val="0"/>
                <w:color w:val="auto"/>
                <w:sz w:val="24"/>
                <w:szCs w:val="24"/>
                <w:lang w:val="en-US" w:eastAsia="zh-CN"/>
              </w:rPr>
              <w:t>12</w:t>
            </w:r>
          </w:p>
        </w:tc>
        <w:tc>
          <w:tcPr>
            <w:tcW w:w="1609" w:type="pct"/>
            <w:vAlign w:val="center"/>
          </w:tcPr>
          <w:p w14:paraId="6806B097">
            <w:pPr>
              <w:pageBreakBefore w:val="0"/>
              <w:kinsoku/>
              <w:wordWrap/>
              <w:overflowPunct/>
              <w:topLinePunct w:val="0"/>
              <w:autoSpaceDE/>
              <w:autoSpaceDN/>
              <w:bidi w:val="0"/>
              <w:adjustRightInd/>
              <w:snapToGrid w:val="0"/>
              <w:spacing w:line="240" w:lineRule="auto"/>
              <w:jc w:val="center"/>
              <w:textAlignment w:val="auto"/>
              <w:rPr>
                <w:rFonts w:hint="eastAsia" w:hAnsi="宋体" w:cs="宋体"/>
                <w:bCs/>
                <w:sz w:val="24"/>
                <w:lang w:eastAsia="zh-CN"/>
              </w:rPr>
            </w:pPr>
            <w:r>
              <w:rPr>
                <w:rFonts w:hint="eastAsia" w:ascii="仿宋" w:hAnsi="仿宋" w:eastAsia="仿宋" w:cs="仿宋"/>
                <w:b w:val="0"/>
                <w:bCs w:val="0"/>
                <w:color w:val="auto"/>
                <w:sz w:val="24"/>
                <w:szCs w:val="24"/>
                <w:lang w:val="en-US" w:eastAsia="zh-CN"/>
              </w:rPr>
              <w:t>麻醉吊塔</w:t>
            </w:r>
          </w:p>
        </w:tc>
        <w:tc>
          <w:tcPr>
            <w:tcW w:w="2139" w:type="dxa"/>
            <w:vAlign w:val="center"/>
          </w:tcPr>
          <w:p w14:paraId="1A23A7A0">
            <w:pPr>
              <w:keepNext w:val="0"/>
              <w:keepLines w:val="0"/>
              <w:pageBreakBefore w:val="0"/>
              <w:widowControl/>
              <w:kinsoku/>
              <w:overflowPunct/>
              <w:topLinePunct w:val="0"/>
              <w:bidi w:val="0"/>
              <w:adjustRightInd/>
              <w:snapToGrid/>
              <w:spacing w:line="360" w:lineRule="auto"/>
              <w:jc w:val="center"/>
              <w:textAlignment w:val="center"/>
              <w:rPr>
                <w:rFonts w:hint="eastAsia" w:hAnsi="宋体" w:cs="宋体"/>
                <w:bCs/>
                <w:sz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5B929C51">
            <w:pPr>
              <w:spacing w:line="360" w:lineRule="auto"/>
              <w:jc w:val="center"/>
              <w:rPr>
                <w:rFonts w:asciiTheme="minorEastAsia" w:hAnsiTheme="minorEastAsia" w:eastAsiaTheme="minorEastAsia" w:cstheme="minorEastAsia"/>
                <w:sz w:val="22"/>
              </w:rPr>
            </w:pPr>
          </w:p>
        </w:tc>
      </w:tr>
      <w:tr w14:paraId="1E289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5B63F361">
            <w:pPr>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sz w:val="22"/>
                <w:lang w:val="en-US" w:eastAsia="zh-CN"/>
              </w:rPr>
            </w:pPr>
            <w:r>
              <w:rPr>
                <w:rFonts w:hint="eastAsia" w:ascii="仿宋" w:hAnsi="仿宋" w:eastAsia="仿宋" w:cs="仿宋"/>
                <w:b w:val="0"/>
                <w:bCs/>
                <w:color w:val="auto"/>
                <w:sz w:val="24"/>
                <w:szCs w:val="24"/>
                <w:lang w:val="en-US" w:eastAsia="zh-CN"/>
              </w:rPr>
              <w:t>01-</w:t>
            </w:r>
            <w:r>
              <w:rPr>
                <w:rFonts w:hint="eastAsia" w:ascii="仿宋" w:hAnsi="仿宋" w:eastAsia="仿宋" w:cs="仿宋"/>
                <w:b w:val="0"/>
                <w:bCs w:val="0"/>
                <w:color w:val="auto"/>
                <w:sz w:val="24"/>
                <w:szCs w:val="24"/>
                <w:lang w:val="en-US" w:eastAsia="zh-CN"/>
              </w:rPr>
              <w:t>13</w:t>
            </w:r>
          </w:p>
        </w:tc>
        <w:tc>
          <w:tcPr>
            <w:tcW w:w="1609" w:type="pct"/>
            <w:vAlign w:val="center"/>
          </w:tcPr>
          <w:p w14:paraId="2D4EBD8F">
            <w:pPr>
              <w:pageBreakBefore w:val="0"/>
              <w:kinsoku/>
              <w:wordWrap/>
              <w:overflowPunct/>
              <w:topLinePunct w:val="0"/>
              <w:autoSpaceDE/>
              <w:autoSpaceDN/>
              <w:bidi w:val="0"/>
              <w:adjustRightInd/>
              <w:snapToGrid w:val="0"/>
              <w:spacing w:line="240" w:lineRule="auto"/>
              <w:jc w:val="center"/>
              <w:textAlignment w:val="auto"/>
              <w:rPr>
                <w:rFonts w:hint="eastAsia" w:hAnsi="宋体" w:cs="宋体"/>
                <w:bCs/>
                <w:sz w:val="24"/>
                <w:lang w:eastAsia="zh-CN"/>
              </w:rPr>
            </w:pPr>
            <w:r>
              <w:rPr>
                <w:rFonts w:hint="eastAsia" w:ascii="仿宋" w:hAnsi="仿宋" w:eastAsia="仿宋" w:cs="仿宋"/>
                <w:b w:val="0"/>
                <w:bCs w:val="0"/>
                <w:color w:val="auto"/>
                <w:sz w:val="24"/>
                <w:szCs w:val="24"/>
                <w:lang w:val="en-US" w:eastAsia="zh-CN"/>
              </w:rPr>
              <w:t>手术室专用更衣柜</w:t>
            </w:r>
          </w:p>
        </w:tc>
        <w:tc>
          <w:tcPr>
            <w:tcW w:w="2139" w:type="dxa"/>
            <w:vAlign w:val="center"/>
          </w:tcPr>
          <w:p w14:paraId="1F920DB1">
            <w:pPr>
              <w:keepNext w:val="0"/>
              <w:keepLines w:val="0"/>
              <w:pageBreakBefore w:val="0"/>
              <w:widowControl/>
              <w:kinsoku/>
              <w:overflowPunct/>
              <w:topLinePunct w:val="0"/>
              <w:bidi w:val="0"/>
              <w:adjustRightInd/>
              <w:snapToGrid/>
              <w:spacing w:line="360" w:lineRule="auto"/>
              <w:jc w:val="center"/>
              <w:textAlignment w:val="center"/>
              <w:rPr>
                <w:rFonts w:hint="eastAsia" w:hAnsi="宋体" w:cs="宋体"/>
                <w:bCs/>
                <w:sz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4114BF6A">
            <w:pPr>
              <w:spacing w:line="360" w:lineRule="auto"/>
              <w:jc w:val="center"/>
              <w:rPr>
                <w:rFonts w:asciiTheme="minorEastAsia" w:hAnsiTheme="minorEastAsia" w:eastAsiaTheme="minorEastAsia" w:cstheme="minorEastAsia"/>
                <w:sz w:val="22"/>
              </w:rPr>
            </w:pPr>
          </w:p>
        </w:tc>
      </w:tr>
      <w:tr w14:paraId="66E82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68FF58E4">
            <w:pPr>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sz w:val="22"/>
                <w:lang w:val="en-US" w:eastAsia="zh-CN"/>
              </w:rPr>
            </w:pPr>
            <w:r>
              <w:rPr>
                <w:rFonts w:hint="eastAsia" w:ascii="仿宋" w:hAnsi="仿宋" w:eastAsia="仿宋" w:cs="仿宋"/>
                <w:b w:val="0"/>
                <w:bCs/>
                <w:color w:val="auto"/>
                <w:sz w:val="24"/>
                <w:szCs w:val="24"/>
                <w:lang w:val="en-US" w:eastAsia="zh-CN"/>
              </w:rPr>
              <w:t>01-</w:t>
            </w:r>
            <w:r>
              <w:rPr>
                <w:rFonts w:hint="eastAsia" w:ascii="仿宋" w:hAnsi="仿宋" w:eastAsia="仿宋" w:cs="仿宋"/>
                <w:b w:val="0"/>
                <w:bCs w:val="0"/>
                <w:color w:val="auto"/>
                <w:sz w:val="24"/>
                <w:szCs w:val="24"/>
                <w:lang w:val="en-US" w:eastAsia="zh-CN"/>
              </w:rPr>
              <w:t>14</w:t>
            </w:r>
          </w:p>
        </w:tc>
        <w:tc>
          <w:tcPr>
            <w:tcW w:w="1609" w:type="pct"/>
            <w:vAlign w:val="center"/>
          </w:tcPr>
          <w:p w14:paraId="78E5A1C3">
            <w:pPr>
              <w:pageBreakBefore w:val="0"/>
              <w:kinsoku/>
              <w:wordWrap/>
              <w:overflowPunct/>
              <w:topLinePunct w:val="0"/>
              <w:autoSpaceDE/>
              <w:autoSpaceDN/>
              <w:bidi w:val="0"/>
              <w:adjustRightInd/>
              <w:snapToGrid w:val="0"/>
              <w:spacing w:line="240" w:lineRule="auto"/>
              <w:jc w:val="center"/>
              <w:textAlignment w:val="auto"/>
              <w:rPr>
                <w:rFonts w:hint="eastAsia" w:hAnsi="宋体" w:cs="宋体"/>
                <w:bCs/>
                <w:sz w:val="24"/>
                <w:lang w:eastAsia="zh-CN"/>
              </w:rPr>
            </w:pPr>
            <w:r>
              <w:rPr>
                <w:rFonts w:hint="eastAsia" w:ascii="仿宋" w:hAnsi="仿宋" w:eastAsia="仿宋" w:cs="仿宋"/>
                <w:b w:val="0"/>
                <w:bCs w:val="0"/>
                <w:color w:val="auto"/>
                <w:sz w:val="24"/>
                <w:szCs w:val="24"/>
                <w:lang w:val="en-US" w:eastAsia="zh-CN"/>
              </w:rPr>
              <w:t>手术室专用鞋柜</w:t>
            </w:r>
          </w:p>
        </w:tc>
        <w:tc>
          <w:tcPr>
            <w:tcW w:w="2139" w:type="dxa"/>
            <w:vAlign w:val="center"/>
          </w:tcPr>
          <w:p w14:paraId="60641380">
            <w:pPr>
              <w:keepNext w:val="0"/>
              <w:keepLines w:val="0"/>
              <w:pageBreakBefore w:val="0"/>
              <w:widowControl/>
              <w:kinsoku/>
              <w:overflowPunct/>
              <w:topLinePunct w:val="0"/>
              <w:bidi w:val="0"/>
              <w:adjustRightInd/>
              <w:snapToGrid/>
              <w:spacing w:line="360" w:lineRule="auto"/>
              <w:jc w:val="center"/>
              <w:textAlignment w:val="center"/>
              <w:rPr>
                <w:rFonts w:hint="eastAsia" w:hAnsi="宋体" w:cs="宋体"/>
                <w:bCs/>
                <w:sz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41F4B847">
            <w:pPr>
              <w:spacing w:line="360" w:lineRule="auto"/>
              <w:jc w:val="center"/>
              <w:rPr>
                <w:rFonts w:asciiTheme="minorEastAsia" w:hAnsiTheme="minorEastAsia" w:eastAsiaTheme="minorEastAsia" w:cstheme="minorEastAsia"/>
                <w:sz w:val="22"/>
              </w:rPr>
            </w:pPr>
          </w:p>
        </w:tc>
      </w:tr>
      <w:tr w14:paraId="6A658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7B9A3AEB">
            <w:pPr>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sz w:val="22"/>
                <w:lang w:val="en-US" w:eastAsia="zh-CN"/>
              </w:rPr>
            </w:pPr>
            <w:r>
              <w:rPr>
                <w:rFonts w:hint="eastAsia" w:ascii="仿宋" w:hAnsi="仿宋" w:eastAsia="仿宋" w:cs="仿宋"/>
                <w:b w:val="0"/>
                <w:bCs/>
                <w:color w:val="auto"/>
                <w:sz w:val="24"/>
                <w:szCs w:val="24"/>
                <w:lang w:val="en-US" w:eastAsia="zh-CN"/>
              </w:rPr>
              <w:t>01-</w:t>
            </w:r>
            <w:r>
              <w:rPr>
                <w:rFonts w:hint="eastAsia" w:ascii="仿宋" w:hAnsi="仿宋" w:eastAsia="仿宋" w:cs="仿宋"/>
                <w:b w:val="0"/>
                <w:bCs w:val="0"/>
                <w:color w:val="auto"/>
                <w:sz w:val="24"/>
                <w:szCs w:val="24"/>
                <w:lang w:val="en-US" w:eastAsia="zh-CN"/>
              </w:rPr>
              <w:t>1</w:t>
            </w:r>
            <w:r>
              <w:rPr>
                <w:rFonts w:hint="eastAsia" w:cs="仿宋"/>
                <w:b w:val="0"/>
                <w:bCs w:val="0"/>
                <w:color w:val="auto"/>
                <w:sz w:val="24"/>
                <w:szCs w:val="24"/>
                <w:lang w:val="en-US" w:eastAsia="zh-CN"/>
              </w:rPr>
              <w:t>5</w:t>
            </w:r>
          </w:p>
        </w:tc>
        <w:tc>
          <w:tcPr>
            <w:tcW w:w="1609" w:type="pct"/>
            <w:vAlign w:val="center"/>
          </w:tcPr>
          <w:p w14:paraId="5F7788BA">
            <w:pPr>
              <w:pageBreakBefore w:val="0"/>
              <w:kinsoku/>
              <w:wordWrap/>
              <w:overflowPunct/>
              <w:topLinePunct w:val="0"/>
              <w:autoSpaceDE/>
              <w:autoSpaceDN/>
              <w:bidi w:val="0"/>
              <w:adjustRightInd/>
              <w:snapToGrid w:val="0"/>
              <w:spacing w:line="240" w:lineRule="auto"/>
              <w:jc w:val="center"/>
              <w:textAlignment w:val="auto"/>
              <w:rPr>
                <w:rFonts w:hint="eastAsia" w:hAnsi="宋体" w:cs="宋体"/>
                <w:bCs/>
                <w:sz w:val="24"/>
                <w:lang w:eastAsia="zh-CN"/>
              </w:rPr>
            </w:pPr>
            <w:r>
              <w:rPr>
                <w:rFonts w:hint="eastAsia" w:ascii="仿宋" w:hAnsi="仿宋" w:eastAsia="仿宋" w:cs="仿宋"/>
                <w:color w:val="auto"/>
                <w:sz w:val="24"/>
                <w:szCs w:val="24"/>
              </w:rPr>
              <w:t>5G</w:t>
            </w:r>
            <w:r>
              <w:rPr>
                <w:rFonts w:hint="eastAsia" w:ascii="仿宋" w:hAnsi="仿宋" w:eastAsia="仿宋" w:cs="仿宋"/>
                <w:color w:val="auto"/>
                <w:sz w:val="24"/>
                <w:szCs w:val="24"/>
                <w:lang w:val="en-US" w:eastAsia="zh-CN"/>
              </w:rPr>
              <w:t>+健康医疗数字远程外科手术实训平台（5G+健康医疗手术互动教学设备）</w:t>
            </w:r>
          </w:p>
        </w:tc>
        <w:tc>
          <w:tcPr>
            <w:tcW w:w="2139" w:type="dxa"/>
            <w:vAlign w:val="center"/>
          </w:tcPr>
          <w:p w14:paraId="7C8EB133">
            <w:pPr>
              <w:keepNext w:val="0"/>
              <w:keepLines w:val="0"/>
              <w:pageBreakBefore w:val="0"/>
              <w:widowControl/>
              <w:kinsoku/>
              <w:overflowPunct/>
              <w:topLinePunct w:val="0"/>
              <w:bidi w:val="0"/>
              <w:adjustRightInd/>
              <w:snapToGrid/>
              <w:spacing w:line="360" w:lineRule="auto"/>
              <w:jc w:val="center"/>
              <w:textAlignment w:val="center"/>
              <w:rPr>
                <w:rFonts w:hint="eastAsia" w:hAnsi="宋体" w:cs="宋体"/>
                <w:bCs/>
                <w:sz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1CB4EA5C">
            <w:pPr>
              <w:spacing w:line="360" w:lineRule="auto"/>
              <w:jc w:val="center"/>
              <w:rPr>
                <w:rFonts w:hint="eastAsia" w:asciiTheme="minorEastAsia" w:hAnsiTheme="minorEastAsia" w:eastAsiaTheme="minorEastAsia" w:cstheme="minorEastAsia"/>
                <w:sz w:val="22"/>
                <w:lang w:val="en-US" w:eastAsia="zh-CN"/>
              </w:rPr>
            </w:pPr>
            <w:r>
              <w:rPr>
                <w:rFonts w:hint="eastAsia" w:asciiTheme="minorEastAsia" w:hAnsiTheme="minorEastAsia" w:eastAsiaTheme="minorEastAsia" w:cstheme="minorEastAsia"/>
                <w:sz w:val="22"/>
                <w:lang w:val="en-US" w:eastAsia="zh-CN"/>
              </w:rPr>
              <w:t>核心产品</w:t>
            </w:r>
          </w:p>
        </w:tc>
      </w:tr>
      <w:tr w14:paraId="5DF1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11DC93FE">
            <w:pPr>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sz w:val="22"/>
                <w:lang w:val="en-US" w:eastAsia="zh-CN"/>
              </w:rPr>
            </w:pPr>
            <w:r>
              <w:rPr>
                <w:rFonts w:hint="eastAsia" w:ascii="仿宋" w:hAnsi="仿宋" w:eastAsia="仿宋" w:cs="仿宋"/>
                <w:b w:val="0"/>
                <w:bCs/>
                <w:color w:val="auto"/>
                <w:sz w:val="24"/>
                <w:szCs w:val="24"/>
                <w:lang w:val="en-US" w:eastAsia="zh-CN"/>
              </w:rPr>
              <w:t>01-</w:t>
            </w:r>
            <w:r>
              <w:rPr>
                <w:rFonts w:hint="eastAsia" w:ascii="仿宋" w:hAnsi="仿宋" w:eastAsia="仿宋" w:cs="仿宋"/>
                <w:b w:val="0"/>
                <w:bCs w:val="0"/>
                <w:color w:val="auto"/>
                <w:sz w:val="24"/>
                <w:szCs w:val="24"/>
                <w:lang w:val="en-US" w:eastAsia="zh-CN"/>
              </w:rPr>
              <w:t>1</w:t>
            </w:r>
            <w:r>
              <w:rPr>
                <w:rFonts w:hint="eastAsia" w:cs="仿宋"/>
                <w:b w:val="0"/>
                <w:bCs w:val="0"/>
                <w:color w:val="auto"/>
                <w:sz w:val="24"/>
                <w:szCs w:val="24"/>
                <w:lang w:val="en-US" w:eastAsia="zh-CN"/>
              </w:rPr>
              <w:t>6</w:t>
            </w:r>
          </w:p>
        </w:tc>
        <w:tc>
          <w:tcPr>
            <w:tcW w:w="1609" w:type="pct"/>
            <w:vAlign w:val="center"/>
          </w:tcPr>
          <w:p w14:paraId="3A89132D">
            <w:pPr>
              <w:pageBreakBefore w:val="0"/>
              <w:kinsoku/>
              <w:wordWrap/>
              <w:overflowPunct/>
              <w:topLinePunct w:val="0"/>
              <w:autoSpaceDE/>
              <w:autoSpaceDN/>
              <w:bidi w:val="0"/>
              <w:adjustRightInd/>
              <w:snapToGrid w:val="0"/>
              <w:spacing w:line="240" w:lineRule="auto"/>
              <w:jc w:val="center"/>
              <w:textAlignment w:val="auto"/>
              <w:rPr>
                <w:rFonts w:hint="eastAsia" w:hAnsi="宋体" w:cs="宋体"/>
                <w:bCs/>
                <w:sz w:val="24"/>
                <w:lang w:eastAsia="zh-CN"/>
              </w:rPr>
            </w:pPr>
            <w:r>
              <w:rPr>
                <w:rFonts w:hint="eastAsia" w:ascii="仿宋" w:hAnsi="仿宋" w:eastAsia="仿宋" w:cs="仿宋"/>
                <w:b w:val="0"/>
                <w:bCs w:val="0"/>
                <w:color w:val="auto"/>
                <w:sz w:val="24"/>
                <w:szCs w:val="24"/>
                <w:lang w:val="en-US" w:eastAsia="zh-CN"/>
              </w:rPr>
              <w:t>护理床</w:t>
            </w:r>
          </w:p>
        </w:tc>
        <w:tc>
          <w:tcPr>
            <w:tcW w:w="2139" w:type="dxa"/>
            <w:vAlign w:val="center"/>
          </w:tcPr>
          <w:p w14:paraId="06428FD2">
            <w:pPr>
              <w:keepNext w:val="0"/>
              <w:keepLines w:val="0"/>
              <w:pageBreakBefore w:val="0"/>
              <w:widowControl/>
              <w:kinsoku/>
              <w:overflowPunct/>
              <w:topLinePunct w:val="0"/>
              <w:bidi w:val="0"/>
              <w:adjustRightInd/>
              <w:snapToGrid/>
              <w:spacing w:line="360" w:lineRule="auto"/>
              <w:jc w:val="center"/>
              <w:textAlignment w:val="center"/>
              <w:rPr>
                <w:rFonts w:hint="eastAsia" w:hAnsi="宋体" w:cs="宋体"/>
                <w:bCs/>
                <w:sz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66410812">
            <w:pPr>
              <w:spacing w:line="360" w:lineRule="auto"/>
              <w:jc w:val="center"/>
              <w:rPr>
                <w:rFonts w:asciiTheme="minorEastAsia" w:hAnsiTheme="minorEastAsia" w:eastAsiaTheme="minorEastAsia" w:cstheme="minorEastAsia"/>
                <w:sz w:val="22"/>
              </w:rPr>
            </w:pPr>
          </w:p>
        </w:tc>
      </w:tr>
      <w:tr w14:paraId="6910C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6DE64818">
            <w:pPr>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sz w:val="22"/>
                <w:lang w:val="en-US" w:eastAsia="zh-CN"/>
              </w:rPr>
            </w:pPr>
            <w:r>
              <w:rPr>
                <w:rFonts w:hint="eastAsia" w:ascii="仿宋" w:hAnsi="仿宋" w:eastAsia="仿宋" w:cs="仿宋"/>
                <w:b w:val="0"/>
                <w:bCs/>
                <w:color w:val="auto"/>
                <w:sz w:val="24"/>
                <w:szCs w:val="24"/>
                <w:lang w:val="en-US" w:eastAsia="zh-CN"/>
              </w:rPr>
              <w:t>01-</w:t>
            </w:r>
            <w:r>
              <w:rPr>
                <w:rFonts w:hint="eastAsia" w:ascii="仿宋" w:hAnsi="仿宋" w:eastAsia="仿宋" w:cs="仿宋"/>
                <w:b w:val="0"/>
                <w:bCs w:val="0"/>
                <w:color w:val="auto"/>
                <w:sz w:val="24"/>
                <w:szCs w:val="24"/>
                <w:lang w:val="en-US" w:eastAsia="zh-CN"/>
              </w:rPr>
              <w:t>1</w:t>
            </w:r>
            <w:r>
              <w:rPr>
                <w:rFonts w:hint="eastAsia" w:cs="仿宋"/>
                <w:b w:val="0"/>
                <w:bCs w:val="0"/>
                <w:color w:val="auto"/>
                <w:sz w:val="24"/>
                <w:szCs w:val="24"/>
                <w:lang w:val="en-US" w:eastAsia="zh-CN"/>
              </w:rPr>
              <w:t>7</w:t>
            </w:r>
          </w:p>
        </w:tc>
        <w:tc>
          <w:tcPr>
            <w:tcW w:w="1609" w:type="pct"/>
            <w:vAlign w:val="center"/>
          </w:tcPr>
          <w:p w14:paraId="09AE87B7">
            <w:pPr>
              <w:pageBreakBefore w:val="0"/>
              <w:kinsoku/>
              <w:wordWrap/>
              <w:overflowPunct/>
              <w:topLinePunct w:val="0"/>
              <w:autoSpaceDE/>
              <w:autoSpaceDN/>
              <w:bidi w:val="0"/>
              <w:adjustRightInd/>
              <w:snapToGrid w:val="0"/>
              <w:spacing w:line="240" w:lineRule="auto"/>
              <w:jc w:val="center"/>
              <w:textAlignment w:val="auto"/>
              <w:rPr>
                <w:rFonts w:hint="eastAsia" w:hAnsi="宋体" w:cs="宋体"/>
                <w:bCs/>
                <w:sz w:val="24"/>
                <w:lang w:eastAsia="zh-CN"/>
              </w:rPr>
            </w:pPr>
            <w:r>
              <w:rPr>
                <w:rFonts w:hint="eastAsia" w:ascii="仿宋" w:hAnsi="仿宋" w:eastAsia="仿宋" w:cs="仿宋"/>
                <w:b w:val="0"/>
                <w:bCs w:val="0"/>
                <w:color w:val="auto"/>
                <w:sz w:val="24"/>
                <w:szCs w:val="24"/>
                <w:lang w:val="en-US" w:eastAsia="zh-CN"/>
              </w:rPr>
              <w:t>手术室空气净化设备</w:t>
            </w:r>
          </w:p>
        </w:tc>
        <w:tc>
          <w:tcPr>
            <w:tcW w:w="2139" w:type="dxa"/>
            <w:vAlign w:val="center"/>
          </w:tcPr>
          <w:p w14:paraId="262B8EA9">
            <w:pPr>
              <w:keepNext w:val="0"/>
              <w:keepLines w:val="0"/>
              <w:pageBreakBefore w:val="0"/>
              <w:widowControl/>
              <w:kinsoku/>
              <w:overflowPunct/>
              <w:topLinePunct w:val="0"/>
              <w:bidi w:val="0"/>
              <w:adjustRightInd/>
              <w:snapToGrid/>
              <w:spacing w:line="360" w:lineRule="auto"/>
              <w:jc w:val="center"/>
              <w:textAlignment w:val="center"/>
              <w:rPr>
                <w:rFonts w:hint="eastAsia" w:hAnsi="宋体" w:cs="宋体"/>
                <w:bCs/>
                <w:sz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3F6EEAA6">
            <w:pPr>
              <w:spacing w:line="360" w:lineRule="auto"/>
              <w:jc w:val="center"/>
              <w:rPr>
                <w:rFonts w:asciiTheme="minorEastAsia" w:hAnsiTheme="minorEastAsia" w:eastAsiaTheme="minorEastAsia" w:cstheme="minorEastAsia"/>
                <w:sz w:val="22"/>
              </w:rPr>
            </w:pPr>
          </w:p>
        </w:tc>
      </w:tr>
      <w:tr w14:paraId="24F5F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71A2EB11">
            <w:pPr>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sz w:val="22"/>
                <w:lang w:val="en-US" w:eastAsia="zh-CN"/>
              </w:rPr>
            </w:pPr>
            <w:r>
              <w:rPr>
                <w:rFonts w:hint="eastAsia" w:ascii="仿宋" w:hAnsi="仿宋" w:eastAsia="仿宋" w:cs="仿宋"/>
                <w:b w:val="0"/>
                <w:bCs/>
                <w:color w:val="auto"/>
                <w:sz w:val="24"/>
                <w:szCs w:val="24"/>
                <w:lang w:val="en-US" w:eastAsia="zh-CN"/>
              </w:rPr>
              <w:t>01-</w:t>
            </w:r>
            <w:r>
              <w:rPr>
                <w:rFonts w:hint="eastAsia" w:ascii="仿宋" w:hAnsi="仿宋" w:eastAsia="仿宋" w:cs="仿宋"/>
                <w:b w:val="0"/>
                <w:bCs w:val="0"/>
                <w:color w:val="auto"/>
                <w:sz w:val="24"/>
                <w:szCs w:val="24"/>
                <w:lang w:val="en-US" w:eastAsia="zh-CN"/>
              </w:rPr>
              <w:t>1</w:t>
            </w:r>
            <w:r>
              <w:rPr>
                <w:rFonts w:hint="eastAsia" w:cs="仿宋"/>
                <w:b w:val="0"/>
                <w:bCs w:val="0"/>
                <w:color w:val="auto"/>
                <w:sz w:val="24"/>
                <w:szCs w:val="24"/>
                <w:lang w:val="en-US" w:eastAsia="zh-CN"/>
              </w:rPr>
              <w:t>8</w:t>
            </w:r>
          </w:p>
        </w:tc>
        <w:tc>
          <w:tcPr>
            <w:tcW w:w="1609" w:type="pct"/>
            <w:vAlign w:val="center"/>
          </w:tcPr>
          <w:p w14:paraId="5F333019">
            <w:pPr>
              <w:pageBreakBefore w:val="0"/>
              <w:kinsoku/>
              <w:wordWrap/>
              <w:overflowPunct/>
              <w:topLinePunct w:val="0"/>
              <w:autoSpaceDE/>
              <w:autoSpaceDN/>
              <w:bidi w:val="0"/>
              <w:adjustRightInd/>
              <w:snapToGrid w:val="0"/>
              <w:spacing w:line="240" w:lineRule="auto"/>
              <w:jc w:val="center"/>
              <w:textAlignment w:val="auto"/>
              <w:rPr>
                <w:rFonts w:hint="eastAsia" w:hAnsi="宋体" w:cs="宋体"/>
                <w:bCs/>
                <w:sz w:val="24"/>
                <w:lang w:eastAsia="zh-CN"/>
              </w:rPr>
            </w:pPr>
            <w:r>
              <w:rPr>
                <w:rFonts w:hint="eastAsia" w:ascii="仿宋" w:hAnsi="仿宋" w:eastAsia="仿宋" w:cs="仿宋"/>
                <w:b w:val="0"/>
                <w:bCs w:val="0"/>
                <w:color w:val="auto"/>
                <w:sz w:val="24"/>
                <w:szCs w:val="24"/>
                <w:lang w:val="en-US" w:eastAsia="zh-CN"/>
              </w:rPr>
              <w:t>模拟麻醉机呼吸机</w:t>
            </w:r>
          </w:p>
        </w:tc>
        <w:tc>
          <w:tcPr>
            <w:tcW w:w="2139" w:type="dxa"/>
            <w:vAlign w:val="center"/>
          </w:tcPr>
          <w:p w14:paraId="5D58BE04">
            <w:pPr>
              <w:keepNext w:val="0"/>
              <w:keepLines w:val="0"/>
              <w:pageBreakBefore w:val="0"/>
              <w:widowControl/>
              <w:kinsoku/>
              <w:overflowPunct/>
              <w:topLinePunct w:val="0"/>
              <w:bidi w:val="0"/>
              <w:adjustRightInd/>
              <w:snapToGrid/>
              <w:spacing w:line="360" w:lineRule="auto"/>
              <w:jc w:val="center"/>
              <w:textAlignment w:val="center"/>
              <w:rPr>
                <w:rFonts w:hint="eastAsia" w:hAnsi="宋体" w:cs="宋体"/>
                <w:bCs/>
                <w:sz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5EB4C942">
            <w:pPr>
              <w:spacing w:line="360" w:lineRule="auto"/>
              <w:jc w:val="center"/>
              <w:rPr>
                <w:rFonts w:asciiTheme="minorEastAsia" w:hAnsiTheme="minorEastAsia" w:eastAsiaTheme="minorEastAsia" w:cstheme="minorEastAsia"/>
                <w:sz w:val="22"/>
              </w:rPr>
            </w:pPr>
          </w:p>
        </w:tc>
      </w:tr>
      <w:tr w14:paraId="0622A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44A6C4AA">
            <w:pPr>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sz w:val="22"/>
                <w:lang w:val="en-US" w:eastAsia="zh-CN"/>
              </w:rPr>
            </w:pPr>
            <w:r>
              <w:rPr>
                <w:rFonts w:hint="eastAsia" w:ascii="仿宋" w:hAnsi="仿宋" w:eastAsia="仿宋" w:cs="仿宋"/>
                <w:b w:val="0"/>
                <w:bCs/>
                <w:color w:val="auto"/>
                <w:sz w:val="24"/>
                <w:szCs w:val="24"/>
                <w:lang w:val="en-US" w:eastAsia="zh-CN"/>
              </w:rPr>
              <w:t>01-</w:t>
            </w:r>
            <w:r>
              <w:rPr>
                <w:rFonts w:hint="eastAsia" w:ascii="仿宋" w:hAnsi="仿宋" w:eastAsia="仿宋" w:cs="仿宋"/>
                <w:b w:val="0"/>
                <w:bCs w:val="0"/>
                <w:color w:val="auto"/>
                <w:sz w:val="24"/>
                <w:szCs w:val="24"/>
                <w:lang w:val="en-US" w:eastAsia="zh-CN"/>
              </w:rPr>
              <w:t>1</w:t>
            </w:r>
            <w:r>
              <w:rPr>
                <w:rFonts w:hint="eastAsia" w:cs="仿宋"/>
                <w:b w:val="0"/>
                <w:bCs w:val="0"/>
                <w:color w:val="auto"/>
                <w:sz w:val="24"/>
                <w:szCs w:val="24"/>
                <w:lang w:val="en-US" w:eastAsia="zh-CN"/>
              </w:rPr>
              <w:t>9</w:t>
            </w:r>
          </w:p>
        </w:tc>
        <w:tc>
          <w:tcPr>
            <w:tcW w:w="1609" w:type="pct"/>
            <w:vAlign w:val="center"/>
          </w:tcPr>
          <w:p w14:paraId="4E16706D">
            <w:pPr>
              <w:pageBreakBefore w:val="0"/>
              <w:kinsoku/>
              <w:wordWrap/>
              <w:overflowPunct/>
              <w:topLinePunct w:val="0"/>
              <w:autoSpaceDE/>
              <w:autoSpaceDN/>
              <w:bidi w:val="0"/>
              <w:adjustRightInd/>
              <w:snapToGrid w:val="0"/>
              <w:spacing w:line="240" w:lineRule="auto"/>
              <w:jc w:val="center"/>
              <w:textAlignment w:val="auto"/>
              <w:rPr>
                <w:rFonts w:hint="eastAsia" w:hAnsi="宋体" w:cs="宋体"/>
                <w:bCs/>
                <w:sz w:val="24"/>
                <w:lang w:eastAsia="zh-CN"/>
              </w:rPr>
            </w:pPr>
            <w:r>
              <w:rPr>
                <w:rFonts w:hint="eastAsia" w:ascii="仿宋" w:hAnsi="仿宋" w:eastAsia="仿宋" w:cs="仿宋"/>
                <w:b w:val="0"/>
                <w:bCs w:val="0"/>
                <w:color w:val="auto"/>
                <w:sz w:val="24"/>
                <w:szCs w:val="24"/>
                <w:lang w:val="en-US" w:eastAsia="zh-CN"/>
              </w:rPr>
              <w:t>吸引器</w:t>
            </w:r>
          </w:p>
        </w:tc>
        <w:tc>
          <w:tcPr>
            <w:tcW w:w="2139" w:type="dxa"/>
            <w:vAlign w:val="center"/>
          </w:tcPr>
          <w:p w14:paraId="156BAA84">
            <w:pPr>
              <w:keepNext w:val="0"/>
              <w:keepLines w:val="0"/>
              <w:pageBreakBefore w:val="0"/>
              <w:widowControl/>
              <w:kinsoku/>
              <w:overflowPunct/>
              <w:topLinePunct w:val="0"/>
              <w:bidi w:val="0"/>
              <w:adjustRightInd/>
              <w:snapToGrid/>
              <w:spacing w:line="360" w:lineRule="auto"/>
              <w:jc w:val="center"/>
              <w:textAlignment w:val="center"/>
              <w:rPr>
                <w:rFonts w:hint="eastAsia" w:hAnsi="宋体" w:cs="宋体"/>
                <w:bCs/>
                <w:sz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3FFF0161">
            <w:pPr>
              <w:spacing w:line="360" w:lineRule="auto"/>
              <w:jc w:val="center"/>
              <w:rPr>
                <w:rFonts w:asciiTheme="minorEastAsia" w:hAnsiTheme="minorEastAsia" w:eastAsiaTheme="minorEastAsia" w:cstheme="minorEastAsia"/>
                <w:sz w:val="22"/>
              </w:rPr>
            </w:pPr>
          </w:p>
        </w:tc>
      </w:tr>
      <w:tr w14:paraId="7813E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7FF3D10E">
            <w:pPr>
              <w:pageBreakBefore w:val="0"/>
              <w:kinsoku/>
              <w:wordWrap/>
              <w:overflowPunct/>
              <w:topLinePunct w:val="0"/>
              <w:autoSpaceDE/>
              <w:autoSpaceDN/>
              <w:bidi w:val="0"/>
              <w:adjustRightInd/>
              <w:snapToGrid w:val="0"/>
              <w:spacing w:line="240" w:lineRule="auto"/>
              <w:jc w:val="center"/>
              <w:textAlignment w:val="auto"/>
              <w:rPr>
                <w:rFonts w:hint="default" w:asciiTheme="minorEastAsia" w:hAnsiTheme="minorEastAsia" w:eastAsiaTheme="minorEastAsia" w:cstheme="minorEastAsia"/>
                <w:sz w:val="22"/>
                <w:lang w:val="en-US" w:eastAsia="zh-CN"/>
              </w:rPr>
            </w:pPr>
            <w:r>
              <w:rPr>
                <w:rFonts w:hint="eastAsia" w:ascii="仿宋" w:hAnsi="仿宋" w:eastAsia="仿宋" w:cs="仿宋"/>
                <w:b w:val="0"/>
                <w:bCs/>
                <w:color w:val="auto"/>
                <w:sz w:val="24"/>
                <w:szCs w:val="24"/>
                <w:lang w:val="en-US" w:eastAsia="zh-CN"/>
              </w:rPr>
              <w:t>01-</w:t>
            </w:r>
            <w:r>
              <w:rPr>
                <w:rFonts w:hint="eastAsia" w:ascii="仿宋" w:hAnsi="仿宋" w:eastAsia="仿宋" w:cs="仿宋"/>
                <w:b w:val="0"/>
                <w:bCs w:val="0"/>
                <w:color w:val="auto"/>
                <w:sz w:val="24"/>
                <w:szCs w:val="24"/>
                <w:lang w:val="en-US" w:eastAsia="zh-CN"/>
              </w:rPr>
              <w:t>20</w:t>
            </w:r>
          </w:p>
        </w:tc>
        <w:tc>
          <w:tcPr>
            <w:tcW w:w="1609" w:type="pct"/>
            <w:vAlign w:val="center"/>
          </w:tcPr>
          <w:p w14:paraId="6D6B2838">
            <w:pPr>
              <w:pageBreakBefore w:val="0"/>
              <w:kinsoku/>
              <w:wordWrap/>
              <w:overflowPunct/>
              <w:topLinePunct w:val="0"/>
              <w:autoSpaceDE/>
              <w:autoSpaceDN/>
              <w:bidi w:val="0"/>
              <w:adjustRightInd/>
              <w:snapToGrid w:val="0"/>
              <w:spacing w:line="240" w:lineRule="auto"/>
              <w:jc w:val="center"/>
              <w:textAlignment w:val="auto"/>
              <w:rPr>
                <w:rFonts w:hint="eastAsia" w:hAnsi="宋体" w:cs="宋体"/>
                <w:bCs/>
                <w:sz w:val="24"/>
                <w:lang w:eastAsia="zh-CN"/>
              </w:rPr>
            </w:pPr>
            <w:r>
              <w:rPr>
                <w:rFonts w:hint="eastAsia" w:ascii="仿宋" w:hAnsi="仿宋" w:eastAsia="仿宋" w:cs="仿宋"/>
                <w:b w:val="0"/>
                <w:bCs w:val="0"/>
                <w:color w:val="auto"/>
                <w:kern w:val="2"/>
                <w:sz w:val="24"/>
                <w:szCs w:val="24"/>
                <w:lang w:val="en-US" w:eastAsia="zh-CN" w:bidi="ar-SA"/>
              </w:rPr>
              <w:t>手术室观摩用座椅</w:t>
            </w:r>
          </w:p>
        </w:tc>
        <w:tc>
          <w:tcPr>
            <w:tcW w:w="2139" w:type="dxa"/>
            <w:vAlign w:val="center"/>
          </w:tcPr>
          <w:p w14:paraId="748B42DE">
            <w:pPr>
              <w:keepNext w:val="0"/>
              <w:keepLines w:val="0"/>
              <w:pageBreakBefore w:val="0"/>
              <w:widowControl/>
              <w:kinsoku/>
              <w:overflowPunct/>
              <w:topLinePunct w:val="0"/>
              <w:bidi w:val="0"/>
              <w:adjustRightInd/>
              <w:snapToGrid/>
              <w:spacing w:line="360" w:lineRule="auto"/>
              <w:jc w:val="center"/>
              <w:textAlignment w:val="center"/>
              <w:rPr>
                <w:rFonts w:hint="eastAsia" w:hAnsi="宋体" w:cs="宋体"/>
                <w:bCs/>
                <w:sz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51FD136B">
            <w:pPr>
              <w:spacing w:line="360" w:lineRule="auto"/>
              <w:jc w:val="center"/>
              <w:rPr>
                <w:rFonts w:asciiTheme="minorEastAsia" w:hAnsiTheme="minorEastAsia" w:eastAsiaTheme="minorEastAsia" w:cstheme="minorEastAsia"/>
                <w:sz w:val="22"/>
              </w:rPr>
            </w:pPr>
          </w:p>
        </w:tc>
      </w:tr>
      <w:tr w14:paraId="13308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303CAEB8">
            <w:pPr>
              <w:bidi w:val="0"/>
              <w:ind w:left="0" w:leftChars="0"/>
              <w:jc w:val="center"/>
              <w:rPr>
                <w:rFonts w:hint="default" w:asciiTheme="minorEastAsia" w:hAnsiTheme="minorEastAsia" w:eastAsiaTheme="minorEastAsia" w:cstheme="minorEastAsia"/>
                <w:sz w:val="22"/>
                <w:lang w:val="en-US" w:eastAsia="zh-CN"/>
              </w:rPr>
            </w:pPr>
            <w:r>
              <w:rPr>
                <w:rFonts w:hint="eastAsia" w:ascii="仿宋" w:hAnsi="仿宋" w:eastAsia="仿宋" w:cs="仿宋"/>
                <w:b w:val="0"/>
                <w:bCs/>
                <w:color w:val="auto"/>
                <w:sz w:val="24"/>
                <w:szCs w:val="24"/>
                <w:lang w:val="en-US" w:eastAsia="zh-CN"/>
              </w:rPr>
              <w:t>01-</w:t>
            </w:r>
            <w:r>
              <w:rPr>
                <w:rFonts w:hint="eastAsia" w:ascii="仿宋" w:hAnsi="仿宋" w:eastAsia="仿宋" w:cs="仿宋"/>
                <w:b w:val="0"/>
                <w:bCs w:val="0"/>
                <w:color w:val="auto"/>
                <w:sz w:val="24"/>
                <w:szCs w:val="24"/>
                <w:lang w:val="en-US" w:eastAsia="zh-CN"/>
              </w:rPr>
              <w:t>21</w:t>
            </w:r>
          </w:p>
        </w:tc>
        <w:tc>
          <w:tcPr>
            <w:tcW w:w="1609" w:type="pct"/>
            <w:vAlign w:val="center"/>
          </w:tcPr>
          <w:p w14:paraId="72EBC155">
            <w:pPr>
              <w:bidi w:val="0"/>
              <w:ind w:left="0" w:leftChars="0"/>
              <w:jc w:val="center"/>
              <w:rPr>
                <w:rFonts w:hint="eastAsia" w:hAnsi="宋体" w:cs="宋体"/>
                <w:bCs/>
                <w:sz w:val="24"/>
                <w:lang w:eastAsia="zh-CN"/>
              </w:rPr>
            </w:pPr>
            <w:r>
              <w:rPr>
                <w:rFonts w:hint="eastAsia" w:ascii="仿宋" w:hAnsi="仿宋" w:eastAsia="仿宋" w:cs="仿宋"/>
                <w:b w:val="0"/>
                <w:bCs/>
                <w:color w:val="auto"/>
                <w:sz w:val="24"/>
                <w:szCs w:val="24"/>
              </w:rPr>
              <w:t>无线智能综合模拟人</w:t>
            </w:r>
          </w:p>
        </w:tc>
        <w:tc>
          <w:tcPr>
            <w:tcW w:w="2139" w:type="dxa"/>
            <w:vAlign w:val="center"/>
          </w:tcPr>
          <w:p w14:paraId="4B255A3A">
            <w:pPr>
              <w:keepNext w:val="0"/>
              <w:keepLines w:val="0"/>
              <w:pageBreakBefore w:val="0"/>
              <w:widowControl/>
              <w:kinsoku/>
              <w:overflowPunct/>
              <w:topLinePunct w:val="0"/>
              <w:bidi w:val="0"/>
              <w:adjustRightInd/>
              <w:snapToGrid/>
              <w:spacing w:line="360" w:lineRule="auto"/>
              <w:jc w:val="center"/>
              <w:textAlignment w:val="center"/>
              <w:rPr>
                <w:rFonts w:hint="eastAsia" w:hAnsi="宋体" w:cs="宋体"/>
                <w:bCs/>
                <w:sz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741B8B64">
            <w:pPr>
              <w:spacing w:line="360" w:lineRule="auto"/>
              <w:jc w:val="center"/>
              <w:rPr>
                <w:rFonts w:asciiTheme="minorEastAsia" w:hAnsiTheme="minorEastAsia" w:eastAsiaTheme="minorEastAsia" w:cstheme="minorEastAsia"/>
                <w:sz w:val="22"/>
              </w:rPr>
            </w:pPr>
          </w:p>
        </w:tc>
      </w:tr>
      <w:tr w14:paraId="71DC8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0AB99678">
            <w:pPr>
              <w:pageBreakBefore w:val="0"/>
              <w:kinsoku/>
              <w:wordWrap/>
              <w:overflowPunct/>
              <w:topLinePunct w:val="0"/>
              <w:autoSpaceDE/>
              <w:autoSpaceDN/>
              <w:bidi w:val="0"/>
              <w:adjustRightInd/>
              <w:snapToGrid w:val="0"/>
              <w:spacing w:line="240" w:lineRule="auto"/>
              <w:jc w:val="center"/>
              <w:textAlignment w:val="auto"/>
              <w:rPr>
                <w:rFonts w:hint="default" w:asciiTheme="minorEastAsia" w:hAnsiTheme="minorEastAsia" w:eastAsiaTheme="minorEastAsia" w:cstheme="minorEastAsia"/>
                <w:sz w:val="22"/>
                <w:lang w:val="en-US" w:eastAsia="zh-CN"/>
              </w:rPr>
            </w:pPr>
            <w:r>
              <w:rPr>
                <w:rFonts w:hint="eastAsia" w:ascii="仿宋" w:hAnsi="仿宋" w:eastAsia="仿宋" w:cs="仿宋"/>
                <w:b w:val="0"/>
                <w:bCs/>
                <w:color w:val="auto"/>
                <w:sz w:val="24"/>
                <w:szCs w:val="24"/>
                <w:lang w:val="en-US" w:eastAsia="zh-CN"/>
              </w:rPr>
              <w:t>01-</w:t>
            </w:r>
            <w:r>
              <w:rPr>
                <w:rFonts w:hint="eastAsia" w:ascii="仿宋" w:hAnsi="仿宋" w:eastAsia="仿宋" w:cs="仿宋"/>
                <w:b w:val="0"/>
                <w:bCs w:val="0"/>
                <w:color w:val="auto"/>
                <w:sz w:val="24"/>
                <w:szCs w:val="24"/>
                <w:lang w:val="en-US" w:eastAsia="zh-CN"/>
              </w:rPr>
              <w:t>22</w:t>
            </w:r>
          </w:p>
        </w:tc>
        <w:tc>
          <w:tcPr>
            <w:tcW w:w="1609" w:type="pct"/>
            <w:vAlign w:val="center"/>
          </w:tcPr>
          <w:p w14:paraId="4080B67A">
            <w:pPr>
              <w:pageBreakBefore w:val="0"/>
              <w:kinsoku/>
              <w:wordWrap/>
              <w:overflowPunct/>
              <w:topLinePunct w:val="0"/>
              <w:autoSpaceDE/>
              <w:autoSpaceDN/>
              <w:bidi w:val="0"/>
              <w:adjustRightInd/>
              <w:snapToGrid w:val="0"/>
              <w:spacing w:line="240" w:lineRule="auto"/>
              <w:jc w:val="center"/>
              <w:textAlignment w:val="auto"/>
              <w:rPr>
                <w:rFonts w:hint="eastAsia" w:hAnsi="宋体" w:cs="宋体"/>
                <w:bCs/>
                <w:sz w:val="24"/>
                <w:lang w:eastAsia="zh-CN"/>
              </w:rPr>
            </w:pPr>
            <w:r>
              <w:rPr>
                <w:rFonts w:hint="eastAsia" w:ascii="仿宋" w:hAnsi="仿宋" w:eastAsia="仿宋" w:cs="仿宋"/>
                <w:b w:val="0"/>
                <w:bCs w:val="0"/>
                <w:color w:val="auto"/>
                <w:sz w:val="24"/>
                <w:szCs w:val="24"/>
                <w:lang w:val="en-US" w:eastAsia="zh-CN"/>
              </w:rPr>
              <w:t>医用</w:t>
            </w:r>
            <w:r>
              <w:rPr>
                <w:rFonts w:hint="eastAsia" w:ascii="仿宋" w:hAnsi="仿宋" w:eastAsia="仿宋" w:cs="仿宋"/>
                <w:b w:val="0"/>
                <w:bCs w:val="0"/>
                <w:color w:val="auto"/>
                <w:sz w:val="24"/>
                <w:szCs w:val="24"/>
              </w:rPr>
              <w:t>床头柜</w:t>
            </w:r>
          </w:p>
        </w:tc>
        <w:tc>
          <w:tcPr>
            <w:tcW w:w="2139" w:type="dxa"/>
            <w:vAlign w:val="center"/>
          </w:tcPr>
          <w:p w14:paraId="6719570D">
            <w:pPr>
              <w:keepNext w:val="0"/>
              <w:keepLines w:val="0"/>
              <w:pageBreakBefore w:val="0"/>
              <w:widowControl/>
              <w:kinsoku/>
              <w:overflowPunct/>
              <w:topLinePunct w:val="0"/>
              <w:bidi w:val="0"/>
              <w:adjustRightInd/>
              <w:snapToGrid/>
              <w:spacing w:line="360" w:lineRule="auto"/>
              <w:jc w:val="center"/>
              <w:textAlignment w:val="center"/>
              <w:rPr>
                <w:rFonts w:hint="eastAsia" w:hAnsi="宋体" w:cs="宋体"/>
                <w:bCs/>
                <w:sz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3346504E">
            <w:pPr>
              <w:spacing w:line="360" w:lineRule="auto"/>
              <w:jc w:val="center"/>
              <w:rPr>
                <w:rFonts w:asciiTheme="minorEastAsia" w:hAnsiTheme="minorEastAsia" w:eastAsiaTheme="minorEastAsia" w:cstheme="minorEastAsia"/>
                <w:sz w:val="22"/>
              </w:rPr>
            </w:pPr>
          </w:p>
        </w:tc>
      </w:tr>
      <w:tr w14:paraId="6EFAF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79C6A883">
            <w:pPr>
              <w:pageBreakBefore w:val="0"/>
              <w:kinsoku/>
              <w:wordWrap/>
              <w:overflowPunct/>
              <w:topLinePunct w:val="0"/>
              <w:autoSpaceDE/>
              <w:autoSpaceDN/>
              <w:bidi w:val="0"/>
              <w:adjustRightInd/>
              <w:snapToGrid w:val="0"/>
              <w:spacing w:line="240" w:lineRule="auto"/>
              <w:jc w:val="center"/>
              <w:textAlignment w:val="auto"/>
              <w:rPr>
                <w:rFonts w:hint="default" w:asciiTheme="minorEastAsia" w:hAnsiTheme="minorEastAsia" w:eastAsiaTheme="minorEastAsia" w:cstheme="minorEastAsia"/>
                <w:sz w:val="22"/>
                <w:lang w:val="en-US" w:eastAsia="zh-CN"/>
              </w:rPr>
            </w:pPr>
            <w:r>
              <w:rPr>
                <w:rFonts w:hint="eastAsia" w:ascii="仿宋" w:hAnsi="仿宋" w:eastAsia="仿宋" w:cs="仿宋"/>
                <w:b w:val="0"/>
                <w:bCs/>
                <w:color w:val="auto"/>
                <w:sz w:val="24"/>
                <w:szCs w:val="24"/>
                <w:lang w:val="en-US" w:eastAsia="zh-CN"/>
              </w:rPr>
              <w:t>01-</w:t>
            </w:r>
            <w:r>
              <w:rPr>
                <w:rFonts w:hint="eastAsia" w:ascii="仿宋" w:hAnsi="仿宋" w:eastAsia="仿宋" w:cs="仿宋"/>
                <w:b w:val="0"/>
                <w:bCs w:val="0"/>
                <w:color w:val="auto"/>
                <w:sz w:val="24"/>
                <w:szCs w:val="24"/>
                <w:lang w:val="en-US" w:eastAsia="zh-CN"/>
              </w:rPr>
              <w:t>23</w:t>
            </w:r>
          </w:p>
        </w:tc>
        <w:tc>
          <w:tcPr>
            <w:tcW w:w="1609" w:type="pct"/>
            <w:vAlign w:val="center"/>
          </w:tcPr>
          <w:p w14:paraId="7A7E6FE1">
            <w:pPr>
              <w:pageBreakBefore w:val="0"/>
              <w:kinsoku/>
              <w:wordWrap/>
              <w:overflowPunct/>
              <w:topLinePunct w:val="0"/>
              <w:autoSpaceDE/>
              <w:autoSpaceDN/>
              <w:bidi w:val="0"/>
              <w:adjustRightInd/>
              <w:snapToGrid w:val="0"/>
              <w:spacing w:line="240" w:lineRule="auto"/>
              <w:jc w:val="center"/>
              <w:textAlignment w:val="auto"/>
              <w:rPr>
                <w:rFonts w:hint="eastAsia" w:hAnsi="宋体" w:cs="宋体"/>
                <w:bCs/>
                <w:sz w:val="24"/>
                <w:lang w:eastAsia="zh-CN"/>
              </w:rPr>
            </w:pPr>
            <w:r>
              <w:rPr>
                <w:rFonts w:hint="eastAsia" w:ascii="仿宋" w:hAnsi="仿宋" w:eastAsia="仿宋" w:cs="仿宋"/>
                <w:b w:val="0"/>
                <w:bCs w:val="0"/>
                <w:color w:val="auto"/>
                <w:sz w:val="24"/>
                <w:szCs w:val="24"/>
                <w:lang w:val="en-US" w:eastAsia="zh-CN"/>
              </w:rPr>
              <w:t>移动推车，担架车</w:t>
            </w:r>
          </w:p>
        </w:tc>
        <w:tc>
          <w:tcPr>
            <w:tcW w:w="2139" w:type="dxa"/>
            <w:vAlign w:val="center"/>
          </w:tcPr>
          <w:p w14:paraId="20299EF9">
            <w:pPr>
              <w:keepNext w:val="0"/>
              <w:keepLines w:val="0"/>
              <w:pageBreakBefore w:val="0"/>
              <w:widowControl/>
              <w:kinsoku/>
              <w:overflowPunct/>
              <w:topLinePunct w:val="0"/>
              <w:bidi w:val="0"/>
              <w:adjustRightInd/>
              <w:snapToGrid/>
              <w:spacing w:line="360" w:lineRule="auto"/>
              <w:jc w:val="center"/>
              <w:textAlignment w:val="center"/>
              <w:rPr>
                <w:rFonts w:hint="eastAsia" w:hAnsi="宋体" w:cs="宋体"/>
                <w:bCs/>
                <w:sz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500EA831">
            <w:pPr>
              <w:spacing w:line="360" w:lineRule="auto"/>
              <w:jc w:val="center"/>
              <w:rPr>
                <w:rFonts w:asciiTheme="minorEastAsia" w:hAnsiTheme="minorEastAsia" w:eastAsiaTheme="minorEastAsia" w:cstheme="minorEastAsia"/>
                <w:sz w:val="22"/>
              </w:rPr>
            </w:pPr>
          </w:p>
        </w:tc>
      </w:tr>
      <w:tr w14:paraId="5C6D4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4C1B8EEF">
            <w:pPr>
              <w:pageBreakBefore w:val="0"/>
              <w:kinsoku/>
              <w:wordWrap/>
              <w:overflowPunct/>
              <w:topLinePunct w:val="0"/>
              <w:autoSpaceDE/>
              <w:autoSpaceDN/>
              <w:bidi w:val="0"/>
              <w:adjustRightInd/>
              <w:snapToGrid w:val="0"/>
              <w:spacing w:line="240" w:lineRule="auto"/>
              <w:jc w:val="center"/>
              <w:textAlignment w:val="auto"/>
              <w:rPr>
                <w:rFonts w:hint="default" w:asciiTheme="minorEastAsia" w:hAnsiTheme="minorEastAsia" w:eastAsiaTheme="minorEastAsia" w:cstheme="minorEastAsia"/>
                <w:sz w:val="22"/>
                <w:lang w:val="en-US" w:eastAsia="zh-CN"/>
              </w:rPr>
            </w:pPr>
            <w:r>
              <w:rPr>
                <w:rFonts w:hint="eastAsia" w:ascii="仿宋" w:hAnsi="仿宋" w:eastAsia="仿宋" w:cs="仿宋"/>
                <w:b w:val="0"/>
                <w:bCs/>
                <w:color w:val="auto"/>
                <w:sz w:val="24"/>
                <w:szCs w:val="24"/>
                <w:lang w:val="en-US" w:eastAsia="zh-CN"/>
              </w:rPr>
              <w:t>01-</w:t>
            </w:r>
            <w:r>
              <w:rPr>
                <w:rFonts w:hint="eastAsia" w:ascii="仿宋" w:hAnsi="仿宋" w:eastAsia="仿宋" w:cs="仿宋"/>
                <w:b w:val="0"/>
                <w:bCs w:val="0"/>
                <w:color w:val="auto"/>
                <w:sz w:val="24"/>
                <w:szCs w:val="24"/>
                <w:lang w:val="en-US" w:eastAsia="zh-CN"/>
              </w:rPr>
              <w:t>24</w:t>
            </w:r>
          </w:p>
        </w:tc>
        <w:tc>
          <w:tcPr>
            <w:tcW w:w="1609" w:type="pct"/>
            <w:vAlign w:val="center"/>
          </w:tcPr>
          <w:p w14:paraId="1A737733">
            <w:pPr>
              <w:bidi w:val="0"/>
              <w:spacing w:line="240" w:lineRule="auto"/>
              <w:ind w:left="0" w:leftChars="0"/>
              <w:jc w:val="center"/>
              <w:rPr>
                <w:rFonts w:hint="eastAsia" w:hAnsi="宋体" w:cs="宋体"/>
                <w:bCs/>
                <w:sz w:val="24"/>
                <w:lang w:eastAsia="zh-CN"/>
              </w:rPr>
            </w:pPr>
            <w:r>
              <w:rPr>
                <w:rFonts w:hint="eastAsia" w:ascii="仿宋" w:hAnsi="仿宋" w:eastAsia="仿宋" w:cs="仿宋"/>
                <w:b w:val="0"/>
                <w:bCs w:val="0"/>
                <w:color w:val="auto"/>
                <w:sz w:val="24"/>
                <w:szCs w:val="24"/>
                <w:lang w:val="en-US" w:eastAsia="zh-CN"/>
              </w:rPr>
              <w:t>空调</w:t>
            </w:r>
          </w:p>
        </w:tc>
        <w:tc>
          <w:tcPr>
            <w:tcW w:w="2139" w:type="dxa"/>
            <w:vAlign w:val="center"/>
          </w:tcPr>
          <w:p w14:paraId="018020A2">
            <w:pPr>
              <w:keepNext w:val="0"/>
              <w:keepLines w:val="0"/>
              <w:pageBreakBefore w:val="0"/>
              <w:widowControl/>
              <w:kinsoku/>
              <w:overflowPunct/>
              <w:topLinePunct w:val="0"/>
              <w:bidi w:val="0"/>
              <w:adjustRightInd/>
              <w:snapToGrid/>
              <w:spacing w:line="360" w:lineRule="auto"/>
              <w:jc w:val="center"/>
              <w:textAlignment w:val="center"/>
              <w:rPr>
                <w:rFonts w:hint="eastAsia" w:hAnsi="宋体" w:cs="宋体"/>
                <w:bCs/>
                <w:sz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073B7461">
            <w:pPr>
              <w:spacing w:line="360" w:lineRule="auto"/>
              <w:jc w:val="center"/>
              <w:rPr>
                <w:rFonts w:asciiTheme="minorEastAsia" w:hAnsiTheme="minorEastAsia" w:eastAsiaTheme="minorEastAsia" w:cstheme="minorEastAsia"/>
                <w:sz w:val="22"/>
              </w:rPr>
            </w:pPr>
          </w:p>
        </w:tc>
      </w:tr>
      <w:tr w14:paraId="321D2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2517" w:type="dxa"/>
            <w:vAlign w:val="center"/>
          </w:tcPr>
          <w:p w14:paraId="6F7DE16E">
            <w:pPr>
              <w:spacing w:line="240" w:lineRule="auto"/>
              <w:ind w:left="0" w:leftChars="0"/>
              <w:jc w:val="center"/>
              <w:rPr>
                <w:rFonts w:hint="eastAsia" w:ascii="仿宋" w:hAnsi="仿宋" w:eastAsia="仿宋" w:cs="仿宋"/>
                <w:b w:val="0"/>
                <w:bCs/>
                <w:color w:val="auto"/>
                <w:sz w:val="24"/>
                <w:szCs w:val="24"/>
                <w:lang w:val="en-US" w:eastAsia="zh-CN"/>
              </w:rPr>
            </w:pPr>
            <w:r>
              <w:rPr>
                <w:rFonts w:hint="eastAsia" w:ascii="仿宋" w:hAnsi="仿宋" w:eastAsia="仿宋" w:cs="仿宋"/>
                <w:color w:val="auto"/>
                <w:sz w:val="24"/>
                <w:szCs w:val="24"/>
                <w:highlight w:val="none"/>
                <w:lang w:val="en-US" w:eastAsia="zh-CN"/>
              </w:rPr>
              <w:t>02-</w:t>
            </w:r>
            <w:r>
              <w:rPr>
                <w:rFonts w:hint="eastAsia" w:ascii="仿宋" w:hAnsi="仿宋" w:eastAsia="仿宋" w:cs="仿宋"/>
                <w:color w:val="auto"/>
                <w:sz w:val="24"/>
                <w:szCs w:val="24"/>
                <w:highlight w:val="none"/>
              </w:rPr>
              <w:t>1</w:t>
            </w:r>
          </w:p>
        </w:tc>
        <w:tc>
          <w:tcPr>
            <w:tcW w:w="2742" w:type="dxa"/>
            <w:vAlign w:val="center"/>
          </w:tcPr>
          <w:p w14:paraId="0193EAAF">
            <w:pPr>
              <w:bidi w:val="0"/>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color w:val="auto"/>
                <w:sz w:val="24"/>
                <w:szCs w:val="24"/>
                <w:highlight w:val="none"/>
                <w:lang w:val="en-US" w:eastAsia="zh-CN"/>
              </w:rPr>
              <w:t>外科手臂缝合训练模型</w:t>
            </w:r>
          </w:p>
        </w:tc>
        <w:tc>
          <w:tcPr>
            <w:tcW w:w="2139" w:type="dxa"/>
            <w:vAlign w:val="center"/>
          </w:tcPr>
          <w:p w14:paraId="39FCA35C">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6B7FF309">
            <w:pPr>
              <w:spacing w:line="360" w:lineRule="auto"/>
              <w:jc w:val="center"/>
              <w:rPr>
                <w:rFonts w:asciiTheme="minorEastAsia" w:hAnsiTheme="minorEastAsia" w:eastAsiaTheme="minorEastAsia" w:cstheme="minorEastAsia"/>
                <w:sz w:val="22"/>
              </w:rPr>
            </w:pPr>
          </w:p>
        </w:tc>
      </w:tr>
      <w:tr w14:paraId="33318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2517" w:type="dxa"/>
            <w:vAlign w:val="center"/>
          </w:tcPr>
          <w:p w14:paraId="46020E67">
            <w:pPr>
              <w:spacing w:line="240" w:lineRule="auto"/>
              <w:ind w:left="0" w:leftChars="0"/>
              <w:jc w:val="center"/>
              <w:rPr>
                <w:rFonts w:hint="eastAsia" w:ascii="仿宋" w:hAnsi="仿宋" w:eastAsia="仿宋" w:cs="仿宋"/>
                <w:b w:val="0"/>
                <w:bCs/>
                <w:color w:val="auto"/>
                <w:sz w:val="24"/>
                <w:szCs w:val="24"/>
                <w:lang w:val="en-US" w:eastAsia="zh-CN"/>
              </w:rPr>
            </w:pPr>
            <w:r>
              <w:rPr>
                <w:rFonts w:hint="eastAsia" w:ascii="仿宋" w:hAnsi="仿宋" w:eastAsia="仿宋" w:cs="仿宋"/>
                <w:color w:val="auto"/>
                <w:sz w:val="24"/>
                <w:szCs w:val="24"/>
                <w:highlight w:val="none"/>
                <w:lang w:val="en-US" w:eastAsia="zh-CN"/>
              </w:rPr>
              <w:t>02-</w:t>
            </w:r>
            <w:r>
              <w:rPr>
                <w:rFonts w:hint="eastAsia" w:ascii="仿宋" w:hAnsi="仿宋" w:eastAsia="仿宋" w:cs="仿宋"/>
                <w:color w:val="auto"/>
                <w:sz w:val="24"/>
                <w:szCs w:val="24"/>
                <w:highlight w:val="none"/>
              </w:rPr>
              <w:t>2</w:t>
            </w:r>
          </w:p>
        </w:tc>
        <w:tc>
          <w:tcPr>
            <w:tcW w:w="2742" w:type="dxa"/>
            <w:vAlign w:val="center"/>
          </w:tcPr>
          <w:p w14:paraId="395B7468">
            <w:pPr>
              <w:bidi w:val="0"/>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color w:val="auto"/>
                <w:sz w:val="24"/>
                <w:szCs w:val="24"/>
                <w:highlight w:val="none"/>
                <w:lang w:val="en-US" w:eastAsia="zh-CN"/>
              </w:rPr>
              <w:t>外科腿部缝合训练模型</w:t>
            </w:r>
          </w:p>
        </w:tc>
        <w:tc>
          <w:tcPr>
            <w:tcW w:w="2139" w:type="dxa"/>
            <w:vAlign w:val="center"/>
          </w:tcPr>
          <w:p w14:paraId="451D04B3">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26F0E6E4">
            <w:pPr>
              <w:spacing w:line="360" w:lineRule="auto"/>
              <w:jc w:val="center"/>
              <w:rPr>
                <w:rFonts w:asciiTheme="minorEastAsia" w:hAnsiTheme="minorEastAsia" w:eastAsiaTheme="minorEastAsia" w:cstheme="minorEastAsia"/>
                <w:sz w:val="22"/>
              </w:rPr>
            </w:pPr>
          </w:p>
        </w:tc>
      </w:tr>
      <w:tr w14:paraId="4EF12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2517" w:type="dxa"/>
            <w:vAlign w:val="center"/>
          </w:tcPr>
          <w:p w14:paraId="5CCE08CC">
            <w:pPr>
              <w:spacing w:line="240" w:lineRule="auto"/>
              <w:ind w:left="0" w:leftChars="0"/>
              <w:jc w:val="center"/>
              <w:rPr>
                <w:rFonts w:hint="eastAsia" w:ascii="仿宋" w:hAnsi="仿宋" w:eastAsia="仿宋" w:cs="仿宋"/>
                <w:b w:val="0"/>
                <w:bCs/>
                <w:color w:val="auto"/>
                <w:sz w:val="24"/>
                <w:szCs w:val="24"/>
                <w:lang w:val="en-US" w:eastAsia="zh-CN"/>
              </w:rPr>
            </w:pPr>
            <w:r>
              <w:rPr>
                <w:rFonts w:hint="eastAsia" w:ascii="仿宋" w:hAnsi="仿宋" w:eastAsia="仿宋" w:cs="仿宋"/>
                <w:color w:val="auto"/>
                <w:sz w:val="24"/>
                <w:szCs w:val="24"/>
                <w:highlight w:val="none"/>
                <w:lang w:val="en-US" w:eastAsia="zh-CN"/>
              </w:rPr>
              <w:t>02-</w:t>
            </w:r>
            <w:r>
              <w:rPr>
                <w:rFonts w:hint="eastAsia" w:ascii="仿宋" w:hAnsi="仿宋" w:eastAsia="仿宋" w:cs="仿宋"/>
                <w:color w:val="auto"/>
                <w:sz w:val="24"/>
                <w:szCs w:val="24"/>
                <w:highlight w:val="none"/>
              </w:rPr>
              <w:t>3</w:t>
            </w:r>
          </w:p>
        </w:tc>
        <w:tc>
          <w:tcPr>
            <w:tcW w:w="2742" w:type="dxa"/>
            <w:vAlign w:val="center"/>
          </w:tcPr>
          <w:p w14:paraId="34E27399">
            <w:pPr>
              <w:bidi w:val="0"/>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color w:val="auto"/>
                <w:sz w:val="24"/>
                <w:szCs w:val="24"/>
                <w:highlight w:val="none"/>
                <w:lang w:val="en-US" w:eastAsia="zh-CN"/>
              </w:rPr>
              <w:t>创伤模拟模型</w:t>
            </w:r>
          </w:p>
        </w:tc>
        <w:tc>
          <w:tcPr>
            <w:tcW w:w="2139" w:type="dxa"/>
            <w:vAlign w:val="center"/>
          </w:tcPr>
          <w:p w14:paraId="37FD297B">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79CC2B82">
            <w:pPr>
              <w:spacing w:line="360" w:lineRule="auto"/>
              <w:jc w:val="center"/>
              <w:rPr>
                <w:rFonts w:asciiTheme="minorEastAsia" w:hAnsiTheme="minorEastAsia" w:eastAsiaTheme="minorEastAsia" w:cstheme="minorEastAsia"/>
                <w:sz w:val="22"/>
              </w:rPr>
            </w:pPr>
          </w:p>
        </w:tc>
      </w:tr>
      <w:tr w14:paraId="31A8B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2517" w:type="dxa"/>
            <w:vAlign w:val="center"/>
          </w:tcPr>
          <w:p w14:paraId="0B432028">
            <w:pPr>
              <w:spacing w:line="240" w:lineRule="auto"/>
              <w:ind w:left="0" w:leftChars="0"/>
              <w:jc w:val="center"/>
              <w:rPr>
                <w:rFonts w:hint="eastAsia" w:ascii="仿宋" w:hAnsi="仿宋" w:eastAsia="仿宋" w:cs="仿宋"/>
                <w:b w:val="0"/>
                <w:bCs/>
                <w:color w:val="auto"/>
                <w:sz w:val="24"/>
                <w:szCs w:val="24"/>
                <w:lang w:val="en-US" w:eastAsia="zh-CN"/>
              </w:rPr>
            </w:pPr>
            <w:r>
              <w:rPr>
                <w:rFonts w:hint="eastAsia" w:ascii="仿宋" w:hAnsi="仿宋" w:eastAsia="仿宋" w:cs="仿宋"/>
                <w:color w:val="auto"/>
                <w:sz w:val="24"/>
                <w:szCs w:val="24"/>
                <w:highlight w:val="none"/>
                <w:lang w:val="en-US" w:eastAsia="zh-CN"/>
              </w:rPr>
              <w:t>02-</w:t>
            </w:r>
            <w:r>
              <w:rPr>
                <w:rFonts w:hint="eastAsia" w:ascii="仿宋" w:hAnsi="仿宋" w:eastAsia="仿宋" w:cs="仿宋"/>
                <w:color w:val="auto"/>
                <w:sz w:val="24"/>
                <w:szCs w:val="24"/>
                <w:highlight w:val="none"/>
              </w:rPr>
              <w:t>4</w:t>
            </w:r>
          </w:p>
        </w:tc>
        <w:tc>
          <w:tcPr>
            <w:tcW w:w="2742" w:type="dxa"/>
            <w:vAlign w:val="center"/>
          </w:tcPr>
          <w:p w14:paraId="69DDAAA1">
            <w:pPr>
              <w:bidi w:val="0"/>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color w:val="auto"/>
                <w:sz w:val="24"/>
                <w:szCs w:val="24"/>
                <w:highlight w:val="none"/>
                <w:lang w:val="en-US" w:eastAsia="zh-CN"/>
              </w:rPr>
              <w:t>外科缝合包扎展示模型</w:t>
            </w:r>
          </w:p>
        </w:tc>
        <w:tc>
          <w:tcPr>
            <w:tcW w:w="2139" w:type="dxa"/>
            <w:vAlign w:val="center"/>
          </w:tcPr>
          <w:p w14:paraId="7FAD3FA6">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14CA07D0">
            <w:pPr>
              <w:spacing w:line="360" w:lineRule="auto"/>
              <w:jc w:val="center"/>
              <w:rPr>
                <w:rFonts w:asciiTheme="minorEastAsia" w:hAnsiTheme="minorEastAsia" w:eastAsiaTheme="minorEastAsia" w:cstheme="minorEastAsia"/>
                <w:sz w:val="22"/>
              </w:rPr>
            </w:pPr>
          </w:p>
        </w:tc>
      </w:tr>
      <w:tr w14:paraId="4DB1C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2517" w:type="dxa"/>
            <w:vAlign w:val="center"/>
          </w:tcPr>
          <w:p w14:paraId="35EB64FA">
            <w:pPr>
              <w:spacing w:line="240" w:lineRule="auto"/>
              <w:ind w:left="0" w:leftChars="0"/>
              <w:jc w:val="center"/>
              <w:rPr>
                <w:rFonts w:hint="eastAsia" w:ascii="仿宋" w:hAnsi="仿宋" w:eastAsia="仿宋" w:cs="仿宋"/>
                <w:b w:val="0"/>
                <w:bCs/>
                <w:color w:val="auto"/>
                <w:sz w:val="24"/>
                <w:szCs w:val="24"/>
                <w:lang w:val="en-US" w:eastAsia="zh-CN"/>
              </w:rPr>
            </w:pPr>
            <w:r>
              <w:rPr>
                <w:rFonts w:hint="eastAsia" w:ascii="仿宋" w:hAnsi="仿宋" w:eastAsia="仿宋" w:cs="仿宋"/>
                <w:color w:val="auto"/>
                <w:sz w:val="24"/>
                <w:szCs w:val="24"/>
                <w:highlight w:val="none"/>
                <w:lang w:val="en-US" w:eastAsia="zh-CN"/>
              </w:rPr>
              <w:t>02-</w:t>
            </w:r>
            <w:r>
              <w:rPr>
                <w:rFonts w:hint="eastAsia" w:ascii="仿宋" w:hAnsi="仿宋" w:eastAsia="仿宋" w:cs="仿宋"/>
                <w:color w:val="auto"/>
                <w:sz w:val="24"/>
                <w:szCs w:val="24"/>
                <w:highlight w:val="none"/>
              </w:rPr>
              <w:t>5</w:t>
            </w:r>
          </w:p>
        </w:tc>
        <w:tc>
          <w:tcPr>
            <w:tcW w:w="2742" w:type="dxa"/>
            <w:vAlign w:val="center"/>
          </w:tcPr>
          <w:p w14:paraId="524DEEE8">
            <w:pPr>
              <w:bidi w:val="0"/>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color w:val="auto"/>
                <w:sz w:val="24"/>
                <w:szCs w:val="24"/>
                <w:highlight w:val="none"/>
                <w:lang w:val="en-US" w:eastAsia="zh-CN"/>
              </w:rPr>
              <w:t>瘘管造口术模型</w:t>
            </w:r>
          </w:p>
        </w:tc>
        <w:tc>
          <w:tcPr>
            <w:tcW w:w="2139" w:type="dxa"/>
            <w:vAlign w:val="center"/>
          </w:tcPr>
          <w:p w14:paraId="1A4699A0">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09B4B68E">
            <w:pPr>
              <w:spacing w:line="360" w:lineRule="auto"/>
              <w:jc w:val="center"/>
              <w:rPr>
                <w:rFonts w:asciiTheme="minorEastAsia" w:hAnsiTheme="minorEastAsia" w:eastAsiaTheme="minorEastAsia" w:cstheme="minorEastAsia"/>
                <w:sz w:val="22"/>
              </w:rPr>
            </w:pPr>
          </w:p>
        </w:tc>
      </w:tr>
      <w:tr w14:paraId="1D3BB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2517" w:type="dxa"/>
            <w:vAlign w:val="center"/>
          </w:tcPr>
          <w:p w14:paraId="50682EA3">
            <w:pPr>
              <w:spacing w:line="240" w:lineRule="auto"/>
              <w:ind w:left="0" w:leftChars="0"/>
              <w:jc w:val="center"/>
              <w:rPr>
                <w:rFonts w:hint="eastAsia" w:ascii="仿宋" w:hAnsi="仿宋" w:eastAsia="仿宋" w:cs="仿宋"/>
                <w:b w:val="0"/>
                <w:bCs/>
                <w:color w:val="auto"/>
                <w:sz w:val="24"/>
                <w:szCs w:val="24"/>
                <w:lang w:val="en-US" w:eastAsia="zh-CN"/>
              </w:rPr>
            </w:pPr>
            <w:r>
              <w:rPr>
                <w:rFonts w:hint="eastAsia" w:ascii="仿宋" w:hAnsi="仿宋" w:eastAsia="仿宋" w:cs="仿宋"/>
                <w:color w:val="auto"/>
                <w:sz w:val="24"/>
                <w:szCs w:val="24"/>
                <w:highlight w:val="none"/>
                <w:lang w:val="en-US" w:eastAsia="zh-CN"/>
              </w:rPr>
              <w:t>02-</w:t>
            </w:r>
            <w:r>
              <w:rPr>
                <w:rFonts w:hint="eastAsia" w:ascii="仿宋" w:hAnsi="仿宋" w:eastAsia="仿宋" w:cs="仿宋"/>
                <w:color w:val="auto"/>
                <w:sz w:val="24"/>
                <w:szCs w:val="24"/>
                <w:highlight w:val="none"/>
              </w:rPr>
              <w:t>6</w:t>
            </w:r>
          </w:p>
        </w:tc>
        <w:tc>
          <w:tcPr>
            <w:tcW w:w="2742" w:type="dxa"/>
            <w:vAlign w:val="center"/>
          </w:tcPr>
          <w:p w14:paraId="6D5F7348">
            <w:pPr>
              <w:bidi w:val="0"/>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color w:val="auto"/>
                <w:sz w:val="24"/>
                <w:szCs w:val="24"/>
                <w:highlight w:val="none"/>
                <w:lang w:val="en-US" w:eastAsia="zh-CN"/>
              </w:rPr>
              <w:t>局麻训练工具箱</w:t>
            </w:r>
          </w:p>
        </w:tc>
        <w:tc>
          <w:tcPr>
            <w:tcW w:w="2139" w:type="dxa"/>
            <w:vAlign w:val="center"/>
          </w:tcPr>
          <w:p w14:paraId="7238BC8C">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28C44368">
            <w:pPr>
              <w:spacing w:line="360" w:lineRule="auto"/>
              <w:jc w:val="center"/>
              <w:rPr>
                <w:rFonts w:asciiTheme="minorEastAsia" w:hAnsiTheme="minorEastAsia" w:eastAsiaTheme="minorEastAsia" w:cstheme="minorEastAsia"/>
                <w:sz w:val="22"/>
              </w:rPr>
            </w:pPr>
          </w:p>
        </w:tc>
      </w:tr>
      <w:tr w14:paraId="2DF59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2517" w:type="dxa"/>
            <w:vAlign w:val="center"/>
          </w:tcPr>
          <w:p w14:paraId="0BF83C24">
            <w:pPr>
              <w:spacing w:line="240" w:lineRule="auto"/>
              <w:ind w:left="0" w:leftChars="0"/>
              <w:jc w:val="center"/>
              <w:rPr>
                <w:rFonts w:hint="eastAsia" w:ascii="仿宋" w:hAnsi="仿宋" w:eastAsia="仿宋" w:cs="仿宋"/>
                <w:b w:val="0"/>
                <w:bCs/>
                <w:color w:val="auto"/>
                <w:sz w:val="24"/>
                <w:szCs w:val="24"/>
                <w:lang w:val="en-US" w:eastAsia="zh-CN"/>
              </w:rPr>
            </w:pPr>
            <w:r>
              <w:rPr>
                <w:rFonts w:hint="eastAsia" w:ascii="仿宋" w:hAnsi="仿宋" w:eastAsia="仿宋" w:cs="仿宋"/>
                <w:color w:val="auto"/>
                <w:sz w:val="24"/>
                <w:szCs w:val="24"/>
                <w:highlight w:val="none"/>
                <w:lang w:val="en-US" w:eastAsia="zh-CN"/>
              </w:rPr>
              <w:t>02-</w:t>
            </w:r>
            <w:r>
              <w:rPr>
                <w:rFonts w:hint="eastAsia" w:ascii="仿宋" w:hAnsi="仿宋" w:eastAsia="仿宋" w:cs="仿宋"/>
                <w:color w:val="auto"/>
                <w:sz w:val="24"/>
                <w:szCs w:val="24"/>
                <w:highlight w:val="none"/>
              </w:rPr>
              <w:t>7</w:t>
            </w:r>
          </w:p>
        </w:tc>
        <w:tc>
          <w:tcPr>
            <w:tcW w:w="2742" w:type="dxa"/>
            <w:vAlign w:val="center"/>
          </w:tcPr>
          <w:p w14:paraId="37FF09D9">
            <w:pPr>
              <w:bidi w:val="0"/>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color w:val="auto"/>
                <w:sz w:val="24"/>
                <w:szCs w:val="24"/>
                <w:highlight w:val="none"/>
                <w:lang w:val="en-US" w:eastAsia="zh-CN"/>
              </w:rPr>
              <w:t>多功能小手术训练工具箱</w:t>
            </w:r>
          </w:p>
        </w:tc>
        <w:tc>
          <w:tcPr>
            <w:tcW w:w="2139" w:type="dxa"/>
            <w:vAlign w:val="center"/>
          </w:tcPr>
          <w:p w14:paraId="150D32FD">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635242B8">
            <w:pPr>
              <w:spacing w:line="360" w:lineRule="auto"/>
              <w:jc w:val="center"/>
              <w:rPr>
                <w:rFonts w:asciiTheme="minorEastAsia" w:hAnsiTheme="minorEastAsia" w:eastAsiaTheme="minorEastAsia" w:cstheme="minorEastAsia"/>
                <w:sz w:val="22"/>
              </w:rPr>
            </w:pPr>
          </w:p>
        </w:tc>
      </w:tr>
      <w:tr w14:paraId="0010A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2517" w:type="dxa"/>
            <w:vAlign w:val="center"/>
          </w:tcPr>
          <w:p w14:paraId="1FA8BC6F">
            <w:pPr>
              <w:spacing w:line="240" w:lineRule="auto"/>
              <w:ind w:left="0" w:leftChars="0"/>
              <w:jc w:val="center"/>
              <w:rPr>
                <w:rFonts w:hint="eastAsia" w:ascii="仿宋" w:hAnsi="仿宋" w:eastAsia="仿宋" w:cs="仿宋"/>
                <w:b w:val="0"/>
                <w:bCs/>
                <w:color w:val="auto"/>
                <w:sz w:val="24"/>
                <w:szCs w:val="24"/>
                <w:lang w:val="en-US" w:eastAsia="zh-CN"/>
              </w:rPr>
            </w:pPr>
            <w:r>
              <w:rPr>
                <w:rFonts w:hint="eastAsia" w:ascii="仿宋" w:hAnsi="仿宋" w:eastAsia="仿宋" w:cs="仿宋"/>
                <w:color w:val="auto"/>
                <w:sz w:val="24"/>
                <w:szCs w:val="24"/>
                <w:highlight w:val="none"/>
                <w:lang w:val="en-US" w:eastAsia="zh-CN"/>
              </w:rPr>
              <w:t>02-8</w:t>
            </w:r>
          </w:p>
        </w:tc>
        <w:tc>
          <w:tcPr>
            <w:tcW w:w="2742" w:type="dxa"/>
            <w:vAlign w:val="center"/>
          </w:tcPr>
          <w:p w14:paraId="5E7862FF">
            <w:pPr>
              <w:bidi w:val="0"/>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color w:val="auto"/>
                <w:sz w:val="24"/>
                <w:szCs w:val="24"/>
                <w:highlight w:val="none"/>
                <w:lang w:val="en-US" w:eastAsia="zh-CN"/>
              </w:rPr>
              <w:t>术前无菌操作消毒模型</w:t>
            </w:r>
          </w:p>
        </w:tc>
        <w:tc>
          <w:tcPr>
            <w:tcW w:w="2139" w:type="dxa"/>
            <w:vAlign w:val="center"/>
          </w:tcPr>
          <w:p w14:paraId="03EFAEE3">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3FA3F33C">
            <w:pPr>
              <w:spacing w:line="360" w:lineRule="auto"/>
              <w:jc w:val="center"/>
              <w:rPr>
                <w:rFonts w:asciiTheme="minorEastAsia" w:hAnsiTheme="minorEastAsia" w:eastAsiaTheme="minorEastAsia" w:cstheme="minorEastAsia"/>
                <w:sz w:val="22"/>
              </w:rPr>
            </w:pPr>
          </w:p>
        </w:tc>
      </w:tr>
      <w:tr w14:paraId="75F4C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2517" w:type="dxa"/>
            <w:vAlign w:val="center"/>
          </w:tcPr>
          <w:p w14:paraId="2BDA46D9">
            <w:pPr>
              <w:spacing w:line="240" w:lineRule="auto"/>
              <w:ind w:left="0" w:leftChars="0"/>
              <w:jc w:val="center"/>
              <w:rPr>
                <w:rFonts w:hint="eastAsia" w:ascii="仿宋" w:hAnsi="仿宋" w:eastAsia="仿宋" w:cs="仿宋"/>
                <w:b w:val="0"/>
                <w:bCs/>
                <w:color w:val="auto"/>
                <w:sz w:val="24"/>
                <w:szCs w:val="24"/>
                <w:lang w:val="en-US" w:eastAsia="zh-CN"/>
              </w:rPr>
            </w:pPr>
            <w:r>
              <w:rPr>
                <w:rFonts w:hint="eastAsia" w:ascii="仿宋" w:hAnsi="仿宋" w:eastAsia="仿宋" w:cs="仿宋"/>
                <w:color w:val="auto"/>
                <w:sz w:val="24"/>
                <w:szCs w:val="24"/>
                <w:highlight w:val="none"/>
                <w:lang w:val="en-US" w:eastAsia="zh-CN"/>
              </w:rPr>
              <w:t>02-9</w:t>
            </w:r>
          </w:p>
        </w:tc>
        <w:tc>
          <w:tcPr>
            <w:tcW w:w="2742" w:type="dxa"/>
            <w:vAlign w:val="center"/>
          </w:tcPr>
          <w:p w14:paraId="678E9D31">
            <w:pPr>
              <w:bidi w:val="0"/>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color w:val="auto"/>
                <w:sz w:val="24"/>
                <w:szCs w:val="24"/>
                <w:highlight w:val="none"/>
                <w:lang w:val="en-US" w:eastAsia="zh-CN"/>
              </w:rPr>
              <w:t>高级低位包扎模型</w:t>
            </w:r>
          </w:p>
        </w:tc>
        <w:tc>
          <w:tcPr>
            <w:tcW w:w="2139" w:type="dxa"/>
            <w:vAlign w:val="center"/>
          </w:tcPr>
          <w:p w14:paraId="4CD197D5">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401586C2">
            <w:pPr>
              <w:spacing w:line="360" w:lineRule="auto"/>
              <w:jc w:val="center"/>
              <w:rPr>
                <w:rFonts w:asciiTheme="minorEastAsia" w:hAnsiTheme="minorEastAsia" w:eastAsiaTheme="minorEastAsia" w:cstheme="minorEastAsia"/>
                <w:sz w:val="22"/>
              </w:rPr>
            </w:pPr>
          </w:p>
        </w:tc>
      </w:tr>
      <w:tr w14:paraId="3BD97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2517" w:type="dxa"/>
            <w:vAlign w:val="center"/>
          </w:tcPr>
          <w:p w14:paraId="30F128C9">
            <w:pPr>
              <w:spacing w:line="240" w:lineRule="auto"/>
              <w:ind w:left="0" w:leftChars="0"/>
              <w:jc w:val="center"/>
              <w:rPr>
                <w:rFonts w:hint="eastAsia" w:ascii="仿宋" w:hAnsi="仿宋" w:eastAsia="仿宋" w:cs="仿宋"/>
                <w:b w:val="0"/>
                <w:bCs/>
                <w:color w:val="auto"/>
                <w:sz w:val="24"/>
                <w:szCs w:val="24"/>
                <w:lang w:val="en-US" w:eastAsia="zh-CN"/>
              </w:rPr>
            </w:pPr>
            <w:r>
              <w:rPr>
                <w:rFonts w:hint="eastAsia" w:ascii="仿宋" w:hAnsi="仿宋" w:eastAsia="仿宋" w:cs="仿宋"/>
                <w:color w:val="auto"/>
                <w:sz w:val="24"/>
                <w:szCs w:val="24"/>
                <w:highlight w:val="none"/>
                <w:lang w:val="en-US" w:eastAsia="zh-CN"/>
              </w:rPr>
              <w:t>02-</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0</w:t>
            </w:r>
          </w:p>
        </w:tc>
        <w:tc>
          <w:tcPr>
            <w:tcW w:w="2742" w:type="dxa"/>
            <w:vAlign w:val="center"/>
          </w:tcPr>
          <w:p w14:paraId="21D5636C">
            <w:pPr>
              <w:bidi w:val="0"/>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color w:val="auto"/>
                <w:sz w:val="24"/>
                <w:szCs w:val="24"/>
                <w:highlight w:val="none"/>
                <w:lang w:val="en-US" w:eastAsia="zh-CN"/>
              </w:rPr>
              <w:t>高位包扎模型</w:t>
            </w:r>
          </w:p>
        </w:tc>
        <w:tc>
          <w:tcPr>
            <w:tcW w:w="2139" w:type="dxa"/>
            <w:vAlign w:val="center"/>
          </w:tcPr>
          <w:p w14:paraId="0AA916D5">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334665A0">
            <w:pPr>
              <w:spacing w:line="360" w:lineRule="auto"/>
              <w:jc w:val="center"/>
              <w:rPr>
                <w:rFonts w:asciiTheme="minorEastAsia" w:hAnsiTheme="minorEastAsia" w:eastAsiaTheme="minorEastAsia" w:cstheme="minorEastAsia"/>
                <w:sz w:val="22"/>
              </w:rPr>
            </w:pPr>
          </w:p>
        </w:tc>
      </w:tr>
      <w:tr w14:paraId="7A2ED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2517" w:type="dxa"/>
            <w:vAlign w:val="center"/>
          </w:tcPr>
          <w:p w14:paraId="55EBD60B">
            <w:pPr>
              <w:spacing w:line="240" w:lineRule="auto"/>
              <w:ind w:left="0" w:leftChars="0"/>
              <w:jc w:val="center"/>
              <w:rPr>
                <w:rFonts w:hint="eastAsia" w:ascii="仿宋" w:hAnsi="仿宋" w:eastAsia="仿宋" w:cs="仿宋"/>
                <w:b w:val="0"/>
                <w:bCs/>
                <w:color w:val="auto"/>
                <w:sz w:val="24"/>
                <w:szCs w:val="24"/>
                <w:lang w:val="en-US" w:eastAsia="zh-CN"/>
              </w:rPr>
            </w:pPr>
            <w:r>
              <w:rPr>
                <w:rFonts w:hint="eastAsia" w:ascii="仿宋" w:hAnsi="仿宋" w:eastAsia="仿宋" w:cs="仿宋"/>
                <w:color w:val="auto"/>
                <w:sz w:val="24"/>
                <w:szCs w:val="24"/>
                <w:highlight w:val="none"/>
                <w:lang w:val="en-US" w:eastAsia="zh-CN"/>
              </w:rPr>
              <w:t>02-</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1</w:t>
            </w:r>
          </w:p>
        </w:tc>
        <w:tc>
          <w:tcPr>
            <w:tcW w:w="2742" w:type="dxa"/>
            <w:vAlign w:val="center"/>
          </w:tcPr>
          <w:p w14:paraId="33CA5849">
            <w:pPr>
              <w:widowControl/>
              <w:spacing w:line="240" w:lineRule="auto"/>
              <w:ind w:left="0" w:left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sz w:val="24"/>
                <w:szCs w:val="24"/>
                <w:lang w:val="en-US" w:eastAsia="zh-CN"/>
              </w:rPr>
              <w:t>智能交互式触控一体机</w:t>
            </w:r>
          </w:p>
        </w:tc>
        <w:tc>
          <w:tcPr>
            <w:tcW w:w="2139" w:type="dxa"/>
            <w:vAlign w:val="center"/>
          </w:tcPr>
          <w:p w14:paraId="098C595A">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51915AA2">
            <w:pPr>
              <w:spacing w:line="360" w:lineRule="auto"/>
              <w:jc w:val="center"/>
              <w:rPr>
                <w:rFonts w:asciiTheme="minorEastAsia" w:hAnsiTheme="minorEastAsia" w:eastAsiaTheme="minorEastAsia" w:cstheme="minorEastAsia"/>
                <w:sz w:val="22"/>
              </w:rPr>
            </w:pPr>
          </w:p>
        </w:tc>
      </w:tr>
      <w:tr w14:paraId="68E51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2517" w:type="dxa"/>
            <w:vAlign w:val="center"/>
          </w:tcPr>
          <w:p w14:paraId="6897ABD5">
            <w:pPr>
              <w:spacing w:line="240" w:lineRule="auto"/>
              <w:ind w:left="0" w:leftChars="0"/>
              <w:jc w:val="center"/>
              <w:rPr>
                <w:rFonts w:hint="eastAsia" w:ascii="仿宋" w:hAnsi="仿宋" w:eastAsia="仿宋" w:cs="仿宋"/>
                <w:b w:val="0"/>
                <w:bCs/>
                <w:color w:val="auto"/>
                <w:sz w:val="24"/>
                <w:szCs w:val="24"/>
                <w:lang w:val="en-US" w:eastAsia="zh-CN"/>
              </w:rPr>
            </w:pPr>
            <w:r>
              <w:rPr>
                <w:rFonts w:hint="eastAsia" w:ascii="仿宋" w:hAnsi="仿宋" w:eastAsia="仿宋" w:cs="仿宋"/>
                <w:color w:val="auto"/>
                <w:sz w:val="24"/>
                <w:szCs w:val="24"/>
                <w:highlight w:val="none"/>
                <w:lang w:val="en-US" w:eastAsia="zh-CN"/>
              </w:rPr>
              <w:t>02-</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p>
        </w:tc>
        <w:tc>
          <w:tcPr>
            <w:tcW w:w="2742" w:type="dxa"/>
            <w:vAlign w:val="center"/>
          </w:tcPr>
          <w:p w14:paraId="4A3C1C2C">
            <w:pPr>
              <w:bidi w:val="0"/>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color w:val="auto"/>
                <w:sz w:val="24"/>
                <w:szCs w:val="24"/>
                <w:highlight w:val="none"/>
                <w:lang w:val="en-US" w:eastAsia="zh-CN"/>
              </w:rPr>
              <w:t>医用操作台</w:t>
            </w:r>
          </w:p>
        </w:tc>
        <w:tc>
          <w:tcPr>
            <w:tcW w:w="2139" w:type="dxa"/>
            <w:vAlign w:val="center"/>
          </w:tcPr>
          <w:p w14:paraId="7F254BF0">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4E7C4773">
            <w:pPr>
              <w:spacing w:line="360" w:lineRule="auto"/>
              <w:jc w:val="center"/>
              <w:rPr>
                <w:rFonts w:asciiTheme="minorEastAsia" w:hAnsiTheme="minorEastAsia" w:eastAsiaTheme="minorEastAsia" w:cstheme="minorEastAsia"/>
                <w:sz w:val="22"/>
              </w:rPr>
            </w:pPr>
          </w:p>
        </w:tc>
      </w:tr>
      <w:tr w14:paraId="1C33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2517" w:type="dxa"/>
            <w:vAlign w:val="center"/>
          </w:tcPr>
          <w:p w14:paraId="67F3957C">
            <w:pPr>
              <w:spacing w:line="240" w:lineRule="auto"/>
              <w:ind w:left="0" w:leftChars="0"/>
              <w:jc w:val="center"/>
              <w:rPr>
                <w:rFonts w:hint="eastAsia" w:ascii="仿宋" w:hAnsi="仿宋" w:eastAsia="仿宋" w:cs="仿宋"/>
                <w:b w:val="0"/>
                <w:bCs/>
                <w:color w:val="auto"/>
                <w:sz w:val="24"/>
                <w:szCs w:val="24"/>
                <w:lang w:val="en-US" w:eastAsia="zh-CN"/>
              </w:rPr>
            </w:pPr>
            <w:r>
              <w:rPr>
                <w:rFonts w:hint="eastAsia" w:ascii="仿宋" w:hAnsi="仿宋" w:eastAsia="仿宋" w:cs="仿宋"/>
                <w:color w:val="auto"/>
                <w:sz w:val="24"/>
                <w:szCs w:val="24"/>
                <w:highlight w:val="none"/>
                <w:lang w:val="en-US" w:eastAsia="zh-CN"/>
              </w:rPr>
              <w:t>02-</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3</w:t>
            </w:r>
          </w:p>
        </w:tc>
        <w:tc>
          <w:tcPr>
            <w:tcW w:w="2742" w:type="dxa"/>
            <w:vAlign w:val="center"/>
          </w:tcPr>
          <w:p w14:paraId="07B7B2DF">
            <w:pPr>
              <w:bidi w:val="0"/>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color w:val="auto"/>
                <w:sz w:val="24"/>
                <w:szCs w:val="24"/>
                <w:highlight w:val="none"/>
                <w:lang w:val="en-US" w:eastAsia="zh-CN"/>
              </w:rPr>
              <w:t>医用器械柜</w:t>
            </w:r>
          </w:p>
        </w:tc>
        <w:tc>
          <w:tcPr>
            <w:tcW w:w="2139" w:type="dxa"/>
            <w:vAlign w:val="center"/>
          </w:tcPr>
          <w:p w14:paraId="0A49A1A4">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215D5019">
            <w:pPr>
              <w:spacing w:line="360" w:lineRule="auto"/>
              <w:jc w:val="center"/>
              <w:rPr>
                <w:rFonts w:asciiTheme="minorEastAsia" w:hAnsiTheme="minorEastAsia" w:eastAsiaTheme="minorEastAsia" w:cstheme="minorEastAsia"/>
                <w:sz w:val="22"/>
              </w:rPr>
            </w:pPr>
          </w:p>
        </w:tc>
      </w:tr>
      <w:tr w14:paraId="466FD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2517" w:type="dxa"/>
            <w:vAlign w:val="center"/>
          </w:tcPr>
          <w:p w14:paraId="654B3E75">
            <w:pPr>
              <w:spacing w:line="240" w:lineRule="auto"/>
              <w:ind w:left="0" w:leftChars="0"/>
              <w:jc w:val="center"/>
              <w:rPr>
                <w:rFonts w:hint="eastAsia" w:ascii="仿宋" w:hAnsi="仿宋" w:eastAsia="仿宋" w:cs="仿宋"/>
                <w:b w:val="0"/>
                <w:bCs/>
                <w:color w:val="auto"/>
                <w:sz w:val="24"/>
                <w:szCs w:val="24"/>
                <w:lang w:val="en-US" w:eastAsia="zh-CN"/>
              </w:rPr>
            </w:pPr>
            <w:r>
              <w:rPr>
                <w:rFonts w:hint="eastAsia" w:ascii="仿宋" w:hAnsi="仿宋" w:eastAsia="仿宋" w:cs="仿宋"/>
                <w:color w:val="auto"/>
                <w:sz w:val="24"/>
                <w:szCs w:val="24"/>
                <w:highlight w:val="none"/>
                <w:lang w:val="en-US" w:eastAsia="zh-CN"/>
              </w:rPr>
              <w:t>02-14</w:t>
            </w:r>
          </w:p>
        </w:tc>
        <w:tc>
          <w:tcPr>
            <w:tcW w:w="2742" w:type="dxa"/>
            <w:vAlign w:val="center"/>
          </w:tcPr>
          <w:p w14:paraId="3A197350">
            <w:pPr>
              <w:bidi w:val="0"/>
              <w:spacing w:line="240" w:lineRule="auto"/>
              <w:ind w:left="0" w:leftChars="0"/>
              <w:jc w:val="center"/>
              <w:rPr>
                <w:rFonts w:hint="eastAsia" w:ascii="仿宋" w:hAnsi="仿宋" w:eastAsia="仿宋" w:cs="仿宋"/>
                <w:b w:val="0"/>
                <w:bCs w:val="0"/>
                <w:color w:val="auto"/>
                <w:sz w:val="24"/>
                <w:szCs w:val="24"/>
                <w:lang w:val="en-US" w:eastAsia="zh-CN"/>
              </w:rPr>
            </w:pPr>
            <w:r>
              <w:rPr>
                <w:rFonts w:hint="eastAsia" w:ascii="仿宋" w:hAnsi="仿宋" w:eastAsia="仿宋" w:cs="仿宋"/>
                <w:color w:val="auto"/>
                <w:sz w:val="24"/>
                <w:szCs w:val="24"/>
                <w:highlight w:val="none"/>
                <w:lang w:val="en-US" w:eastAsia="zh-CN"/>
              </w:rPr>
              <w:t>外科护理技能虚拟仿真训练系统</w:t>
            </w:r>
          </w:p>
        </w:tc>
        <w:tc>
          <w:tcPr>
            <w:tcW w:w="2139" w:type="dxa"/>
            <w:vAlign w:val="center"/>
          </w:tcPr>
          <w:p w14:paraId="2C91ECB5">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sz w:val="24"/>
                <w:szCs w:val="24"/>
                <w:lang w:eastAsia="zh-CN"/>
              </w:rPr>
              <w:t>软件和信息技术服务业</w:t>
            </w:r>
          </w:p>
        </w:tc>
        <w:tc>
          <w:tcPr>
            <w:tcW w:w="657" w:type="pct"/>
            <w:vAlign w:val="center"/>
          </w:tcPr>
          <w:p w14:paraId="29C7692F">
            <w:pPr>
              <w:spacing w:line="360" w:lineRule="auto"/>
              <w:jc w:val="center"/>
              <w:rPr>
                <w:rFonts w:hint="eastAsia" w:asciiTheme="minorEastAsia" w:hAnsiTheme="minorEastAsia" w:eastAsiaTheme="minorEastAsia" w:cstheme="minorEastAsia"/>
                <w:sz w:val="22"/>
                <w:lang w:val="en-US" w:eastAsia="zh-CN"/>
              </w:rPr>
            </w:pPr>
            <w:r>
              <w:rPr>
                <w:rFonts w:hint="eastAsia" w:asciiTheme="minorEastAsia" w:hAnsiTheme="minorEastAsia" w:eastAsiaTheme="minorEastAsia" w:cstheme="minorEastAsia"/>
                <w:sz w:val="22"/>
                <w:lang w:val="en-US" w:eastAsia="zh-CN"/>
              </w:rPr>
              <w:t>核心产品</w:t>
            </w:r>
          </w:p>
        </w:tc>
      </w:tr>
      <w:tr w14:paraId="6FA38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2517" w:type="dxa"/>
            <w:vAlign w:val="center"/>
          </w:tcPr>
          <w:p w14:paraId="6AFE243B">
            <w:pPr>
              <w:spacing w:line="240" w:lineRule="auto"/>
              <w:ind w:left="0" w:leftChars="0"/>
              <w:jc w:val="center"/>
              <w:rPr>
                <w:rFonts w:hint="eastAsia" w:ascii="仿宋" w:hAnsi="仿宋" w:eastAsia="仿宋" w:cs="仿宋"/>
                <w:b w:val="0"/>
                <w:bCs/>
                <w:color w:val="auto"/>
                <w:sz w:val="24"/>
                <w:szCs w:val="24"/>
                <w:lang w:val="en-US" w:eastAsia="zh-CN"/>
              </w:rPr>
            </w:pPr>
            <w:r>
              <w:rPr>
                <w:rFonts w:hint="eastAsia" w:ascii="仿宋" w:hAnsi="仿宋" w:eastAsia="仿宋" w:cs="仿宋"/>
                <w:color w:val="auto"/>
                <w:sz w:val="24"/>
                <w:szCs w:val="24"/>
                <w:highlight w:val="none"/>
                <w:lang w:val="en-US" w:eastAsia="zh-CN"/>
              </w:rPr>
              <w:t>02-</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5</w:t>
            </w:r>
          </w:p>
        </w:tc>
        <w:tc>
          <w:tcPr>
            <w:tcW w:w="2742" w:type="dxa"/>
            <w:vAlign w:val="center"/>
          </w:tcPr>
          <w:p w14:paraId="5BD7BFB4">
            <w:pPr>
              <w:bidi w:val="0"/>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color w:val="auto"/>
                <w:sz w:val="24"/>
                <w:szCs w:val="24"/>
                <w:highlight w:val="none"/>
                <w:lang w:val="en-US" w:eastAsia="zh-CN"/>
              </w:rPr>
              <w:t>治疗车</w:t>
            </w:r>
          </w:p>
        </w:tc>
        <w:tc>
          <w:tcPr>
            <w:tcW w:w="2139" w:type="dxa"/>
            <w:vAlign w:val="center"/>
          </w:tcPr>
          <w:p w14:paraId="4639F93D">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52B8406A">
            <w:pPr>
              <w:spacing w:line="360" w:lineRule="auto"/>
              <w:jc w:val="center"/>
              <w:rPr>
                <w:rFonts w:asciiTheme="minorEastAsia" w:hAnsiTheme="minorEastAsia" w:eastAsiaTheme="minorEastAsia" w:cstheme="minorEastAsia"/>
                <w:sz w:val="22"/>
              </w:rPr>
            </w:pPr>
          </w:p>
        </w:tc>
      </w:tr>
      <w:tr w14:paraId="6ADA6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2517" w:type="dxa"/>
            <w:vAlign w:val="center"/>
          </w:tcPr>
          <w:p w14:paraId="3227AE97">
            <w:pPr>
              <w:spacing w:line="240" w:lineRule="auto"/>
              <w:ind w:left="0" w:leftChars="0"/>
              <w:jc w:val="center"/>
              <w:rPr>
                <w:rFonts w:hint="eastAsia" w:ascii="仿宋" w:hAnsi="仿宋" w:eastAsia="仿宋" w:cs="仿宋"/>
                <w:b w:val="0"/>
                <w:bCs/>
                <w:color w:val="auto"/>
                <w:sz w:val="24"/>
                <w:szCs w:val="24"/>
                <w:lang w:val="en-US" w:eastAsia="zh-CN"/>
              </w:rPr>
            </w:pPr>
            <w:r>
              <w:rPr>
                <w:rFonts w:hint="eastAsia" w:ascii="仿宋" w:hAnsi="仿宋" w:eastAsia="仿宋" w:cs="仿宋"/>
                <w:color w:val="auto"/>
                <w:sz w:val="24"/>
                <w:szCs w:val="24"/>
                <w:highlight w:val="none"/>
                <w:lang w:val="en-US" w:eastAsia="zh-CN"/>
              </w:rPr>
              <w:t>02-</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p>
        </w:tc>
        <w:tc>
          <w:tcPr>
            <w:tcW w:w="2742" w:type="dxa"/>
            <w:vAlign w:val="center"/>
          </w:tcPr>
          <w:p w14:paraId="33844316">
            <w:pPr>
              <w:spacing w:line="240" w:lineRule="auto"/>
              <w:ind w:left="0" w:leftChars="0"/>
              <w:jc w:val="center"/>
              <w:rPr>
                <w:rFonts w:hint="eastAsia" w:ascii="仿宋" w:hAnsi="仿宋" w:eastAsia="仿宋" w:cs="仿宋"/>
                <w:b w:val="0"/>
                <w:bCs w:val="0"/>
                <w:color w:val="auto"/>
                <w:sz w:val="24"/>
                <w:szCs w:val="24"/>
                <w:lang w:val="en-US" w:eastAsia="zh-CN"/>
              </w:rPr>
            </w:pPr>
            <w:r>
              <w:rPr>
                <w:rFonts w:hint="eastAsia" w:ascii="仿宋" w:hAnsi="仿宋" w:eastAsia="仿宋" w:cs="仿宋"/>
                <w:color w:val="auto"/>
                <w:sz w:val="24"/>
                <w:szCs w:val="24"/>
                <w:highlight w:val="none"/>
                <w:lang w:val="en-US" w:eastAsia="zh-CN"/>
              </w:rPr>
              <w:t>带写字板椅子</w:t>
            </w:r>
          </w:p>
        </w:tc>
        <w:tc>
          <w:tcPr>
            <w:tcW w:w="2139" w:type="dxa"/>
            <w:vAlign w:val="center"/>
          </w:tcPr>
          <w:p w14:paraId="226668BB">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143D8B36">
            <w:pPr>
              <w:spacing w:line="360" w:lineRule="auto"/>
              <w:jc w:val="center"/>
              <w:rPr>
                <w:rFonts w:asciiTheme="minorEastAsia" w:hAnsiTheme="minorEastAsia" w:eastAsiaTheme="minorEastAsia" w:cstheme="minorEastAsia"/>
                <w:sz w:val="22"/>
              </w:rPr>
            </w:pPr>
          </w:p>
        </w:tc>
      </w:tr>
      <w:tr w14:paraId="0E807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2517" w:type="dxa"/>
            <w:vAlign w:val="center"/>
          </w:tcPr>
          <w:p w14:paraId="472A420A">
            <w:pPr>
              <w:spacing w:line="240" w:lineRule="auto"/>
              <w:ind w:left="0" w:leftChars="0"/>
              <w:jc w:val="center"/>
              <w:rPr>
                <w:rFonts w:hint="eastAsia" w:ascii="仿宋" w:hAnsi="仿宋" w:eastAsia="仿宋" w:cs="仿宋"/>
                <w:b w:val="0"/>
                <w:bCs/>
                <w:color w:val="auto"/>
                <w:sz w:val="24"/>
                <w:szCs w:val="24"/>
                <w:lang w:val="en-US" w:eastAsia="zh-CN"/>
              </w:rPr>
            </w:pPr>
            <w:r>
              <w:rPr>
                <w:rFonts w:hint="eastAsia" w:ascii="仿宋" w:hAnsi="仿宋" w:eastAsia="仿宋" w:cs="仿宋"/>
                <w:color w:val="auto"/>
                <w:sz w:val="24"/>
                <w:szCs w:val="24"/>
                <w:highlight w:val="none"/>
                <w:lang w:val="en-US" w:eastAsia="zh-CN"/>
              </w:rPr>
              <w:t>02-</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p>
        </w:tc>
        <w:tc>
          <w:tcPr>
            <w:tcW w:w="2742" w:type="dxa"/>
            <w:vAlign w:val="center"/>
          </w:tcPr>
          <w:p w14:paraId="006AC0DE">
            <w:pPr>
              <w:spacing w:line="240" w:lineRule="auto"/>
              <w:ind w:left="0" w:leftChars="0"/>
              <w:jc w:val="center"/>
              <w:rPr>
                <w:rFonts w:hint="eastAsia" w:ascii="仿宋" w:hAnsi="仿宋" w:eastAsia="仿宋" w:cs="仿宋"/>
                <w:b w:val="0"/>
                <w:bCs w:val="0"/>
                <w:color w:val="auto"/>
                <w:sz w:val="24"/>
                <w:szCs w:val="24"/>
                <w:lang w:val="en-US" w:eastAsia="zh-CN"/>
              </w:rPr>
            </w:pPr>
            <w:r>
              <w:rPr>
                <w:rFonts w:hint="eastAsia" w:ascii="仿宋" w:hAnsi="仿宋" w:eastAsia="仿宋" w:cs="仿宋"/>
                <w:color w:val="auto"/>
                <w:sz w:val="24"/>
                <w:szCs w:val="24"/>
                <w:highlight w:val="none"/>
                <w:lang w:val="en-US" w:eastAsia="zh-CN"/>
              </w:rPr>
              <w:t>模型柜定制柜</w:t>
            </w:r>
          </w:p>
        </w:tc>
        <w:tc>
          <w:tcPr>
            <w:tcW w:w="2139" w:type="dxa"/>
            <w:vAlign w:val="center"/>
          </w:tcPr>
          <w:p w14:paraId="412547A2">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1C834144">
            <w:pPr>
              <w:spacing w:line="360" w:lineRule="auto"/>
              <w:jc w:val="center"/>
              <w:rPr>
                <w:rFonts w:asciiTheme="minorEastAsia" w:hAnsiTheme="minorEastAsia" w:eastAsiaTheme="minorEastAsia" w:cstheme="minorEastAsia"/>
                <w:sz w:val="22"/>
              </w:rPr>
            </w:pPr>
          </w:p>
        </w:tc>
      </w:tr>
      <w:tr w14:paraId="0668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2517" w:type="dxa"/>
            <w:vAlign w:val="center"/>
          </w:tcPr>
          <w:p w14:paraId="4A3BD576">
            <w:pPr>
              <w:spacing w:line="240" w:lineRule="auto"/>
              <w:ind w:left="0" w:leftChars="0"/>
              <w:jc w:val="center"/>
              <w:rPr>
                <w:rFonts w:hint="eastAsia" w:ascii="仿宋" w:hAnsi="仿宋" w:eastAsia="仿宋" w:cs="仿宋"/>
                <w:b w:val="0"/>
                <w:bCs/>
                <w:color w:val="auto"/>
                <w:sz w:val="24"/>
                <w:szCs w:val="24"/>
                <w:lang w:val="en-US" w:eastAsia="zh-CN"/>
              </w:rPr>
            </w:pPr>
            <w:r>
              <w:rPr>
                <w:rFonts w:hint="eastAsia" w:ascii="仿宋" w:hAnsi="仿宋" w:eastAsia="仿宋" w:cs="仿宋"/>
                <w:color w:val="auto"/>
                <w:sz w:val="24"/>
                <w:szCs w:val="24"/>
                <w:highlight w:val="none"/>
                <w:lang w:val="en-US" w:eastAsia="zh-CN"/>
              </w:rPr>
              <w:t>02-18</w:t>
            </w:r>
          </w:p>
        </w:tc>
        <w:tc>
          <w:tcPr>
            <w:tcW w:w="2742" w:type="dxa"/>
            <w:vAlign w:val="center"/>
          </w:tcPr>
          <w:p w14:paraId="6B148D48">
            <w:pPr>
              <w:bidi w:val="0"/>
              <w:spacing w:line="240" w:lineRule="auto"/>
              <w:ind w:left="0" w:leftChars="0"/>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highlight w:val="none"/>
                <w:lang w:val="en-US" w:eastAsia="zh-CN"/>
              </w:rPr>
              <w:t>空调</w:t>
            </w:r>
          </w:p>
        </w:tc>
        <w:tc>
          <w:tcPr>
            <w:tcW w:w="2139" w:type="dxa"/>
            <w:vAlign w:val="center"/>
          </w:tcPr>
          <w:p w14:paraId="2D942276">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5F9D04EC">
            <w:pPr>
              <w:spacing w:line="360" w:lineRule="auto"/>
              <w:jc w:val="center"/>
              <w:rPr>
                <w:rFonts w:asciiTheme="minorEastAsia" w:hAnsiTheme="minorEastAsia" w:eastAsiaTheme="minorEastAsia" w:cstheme="minorEastAsia"/>
                <w:sz w:val="22"/>
              </w:rPr>
            </w:pPr>
          </w:p>
        </w:tc>
      </w:tr>
    </w:tbl>
    <w:p w14:paraId="2004D0CA">
      <w:pPr>
        <w:pStyle w:val="8"/>
        <w:spacing w:line="440" w:lineRule="exact"/>
        <w:rPr>
          <w:rFonts w:hint="eastAsia" w:ascii="Times New Roman" w:hAnsi="宋体"/>
          <w:b/>
          <w:sz w:val="22"/>
          <w:szCs w:val="22"/>
        </w:rPr>
      </w:pPr>
    </w:p>
    <w:p w14:paraId="6FACC4C6">
      <w:pPr>
        <w:pStyle w:val="8"/>
        <w:spacing w:line="440" w:lineRule="exact"/>
        <w:rPr>
          <w:rFonts w:hint="eastAsia" w:ascii="Times New Roman" w:hAnsi="宋体"/>
          <w:b/>
          <w:sz w:val="22"/>
          <w:szCs w:val="22"/>
        </w:rPr>
      </w:pPr>
    </w:p>
    <w:p w14:paraId="3E5326B6">
      <w:pPr>
        <w:pStyle w:val="8"/>
        <w:spacing w:line="440" w:lineRule="exact"/>
        <w:rPr>
          <w:rFonts w:hint="eastAsia" w:ascii="Times New Roman" w:hAnsi="宋体"/>
          <w:b/>
          <w:sz w:val="22"/>
          <w:szCs w:val="22"/>
        </w:rPr>
      </w:pPr>
    </w:p>
    <w:p w14:paraId="08E9A283">
      <w:pPr>
        <w:pStyle w:val="8"/>
        <w:spacing w:line="440" w:lineRule="exact"/>
        <w:rPr>
          <w:rFonts w:hint="eastAsia" w:ascii="Times New Roman" w:hAnsi="宋体"/>
          <w:b/>
          <w:sz w:val="22"/>
          <w:szCs w:val="22"/>
        </w:rPr>
      </w:pPr>
    </w:p>
    <w:p w14:paraId="75575DFB">
      <w:pPr>
        <w:pStyle w:val="8"/>
        <w:spacing w:line="440" w:lineRule="exact"/>
        <w:rPr>
          <w:rFonts w:hint="eastAsia" w:ascii="Times New Roman" w:hAnsi="宋体"/>
          <w:b/>
          <w:sz w:val="22"/>
          <w:szCs w:val="22"/>
        </w:rPr>
      </w:pPr>
    </w:p>
    <w:p w14:paraId="41606CA1">
      <w:pPr>
        <w:pStyle w:val="8"/>
        <w:spacing w:line="440" w:lineRule="exact"/>
        <w:rPr>
          <w:rFonts w:hint="eastAsia" w:ascii="Times New Roman" w:hAnsi="Times New Roman" w:eastAsia="宋体"/>
          <w:b/>
          <w:sz w:val="22"/>
          <w:szCs w:val="22"/>
          <w:lang w:eastAsia="zh-CN"/>
        </w:rPr>
      </w:pPr>
      <w:r>
        <w:rPr>
          <w:rFonts w:hint="eastAsia" w:ascii="Times New Roman" w:hAnsi="宋体"/>
          <w:b/>
          <w:sz w:val="22"/>
          <w:szCs w:val="22"/>
        </w:rPr>
        <w:t>（二）商务要求</w:t>
      </w:r>
      <w:r>
        <w:rPr>
          <w:rFonts w:hint="eastAsia" w:ascii="Times New Roman" w:hAnsi="宋体"/>
          <w:b/>
          <w:sz w:val="22"/>
          <w:szCs w:val="22"/>
          <w:lang w:eastAsia="zh-CN"/>
        </w:rPr>
        <w:t>（</w:t>
      </w:r>
      <w:r>
        <w:rPr>
          <w:rFonts w:hint="eastAsia" w:ascii="Times New Roman" w:hAnsi="宋体"/>
          <w:b/>
          <w:sz w:val="22"/>
          <w:szCs w:val="22"/>
          <w:lang w:val="en-US" w:eastAsia="zh-CN"/>
        </w:rPr>
        <w:t>01-02包</w:t>
      </w:r>
      <w:r>
        <w:rPr>
          <w:rFonts w:hint="eastAsia" w:ascii="Times New Roman" w:hAnsi="宋体"/>
          <w:b/>
          <w:sz w:val="22"/>
          <w:szCs w:val="22"/>
          <w:lang w:eastAsia="zh-CN"/>
        </w:rPr>
        <w:t>）</w:t>
      </w:r>
    </w:p>
    <w:p w14:paraId="43ADE3D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1.</w:t>
      </w:r>
      <w:r>
        <w:rPr>
          <w:rFonts w:hint="eastAsia" w:hAnsi="宋体" w:cs="宋体"/>
          <w:kern w:val="2"/>
          <w:sz w:val="24"/>
          <w:szCs w:val="24"/>
          <w:highlight w:val="none"/>
          <w:u w:val="none"/>
          <w:lang w:val="en-US" w:eastAsia="zh-CN" w:bidi="ar-SA"/>
        </w:rPr>
        <w:t>交货</w:t>
      </w:r>
      <w:r>
        <w:rPr>
          <w:rFonts w:hint="eastAsia" w:ascii="宋体" w:hAnsi="宋体" w:eastAsia="宋体" w:cs="宋体"/>
          <w:kern w:val="2"/>
          <w:sz w:val="24"/>
          <w:szCs w:val="24"/>
          <w:highlight w:val="none"/>
          <w:u w:val="none"/>
          <w:lang w:val="en-US" w:eastAsia="zh-CN" w:bidi="ar-SA"/>
        </w:rPr>
        <w:t>时间：合同签订生效后90个日历日内完成全部设备的供货、安装、调试，并达到验收标准</w:t>
      </w:r>
      <w:r>
        <w:rPr>
          <w:rFonts w:hint="eastAsia" w:hAnsi="宋体" w:cs="宋体"/>
          <w:kern w:val="2"/>
          <w:sz w:val="24"/>
          <w:szCs w:val="24"/>
          <w:highlight w:val="none"/>
          <w:u w:val="none"/>
          <w:lang w:val="en-US" w:eastAsia="zh-CN" w:bidi="ar-SA"/>
        </w:rPr>
        <w:t>。</w:t>
      </w:r>
    </w:p>
    <w:p w14:paraId="7E45C00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2.</w:t>
      </w:r>
      <w:r>
        <w:rPr>
          <w:rFonts w:hint="eastAsia" w:hAnsi="宋体" w:cs="宋体"/>
          <w:kern w:val="2"/>
          <w:sz w:val="24"/>
          <w:szCs w:val="24"/>
          <w:highlight w:val="none"/>
          <w:u w:val="none"/>
          <w:lang w:val="en-US" w:eastAsia="zh-CN" w:bidi="ar-SA"/>
        </w:rPr>
        <w:t>交货</w:t>
      </w:r>
      <w:r>
        <w:rPr>
          <w:rFonts w:hint="eastAsia" w:ascii="宋体" w:hAnsi="宋体" w:eastAsia="宋体" w:cs="宋体"/>
          <w:kern w:val="2"/>
          <w:sz w:val="24"/>
          <w:szCs w:val="24"/>
          <w:highlight w:val="none"/>
          <w:u w:val="none"/>
          <w:lang w:val="en-US" w:eastAsia="zh-CN" w:bidi="ar-SA"/>
        </w:rPr>
        <w:t>地点： 咸阳职业技术学院</w:t>
      </w:r>
      <w:r>
        <w:rPr>
          <w:rFonts w:hint="eastAsia" w:hAnsi="宋体" w:cs="宋体"/>
          <w:kern w:val="2"/>
          <w:sz w:val="24"/>
          <w:szCs w:val="24"/>
          <w:highlight w:val="none"/>
          <w:u w:val="none"/>
          <w:lang w:val="en-US" w:eastAsia="zh-CN" w:bidi="ar-SA"/>
        </w:rPr>
        <w:t>指定地点。</w:t>
      </w:r>
    </w:p>
    <w:p w14:paraId="2DF0A86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3.付款条件（进度和方式）</w:t>
      </w:r>
    </w:p>
    <w:p w14:paraId="43DCCC5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（1）验收合格后，供应商于10个工作日内提供全额发票。采购方收到后全额发票10个工作日内予以结算付款；</w:t>
      </w:r>
    </w:p>
    <w:p w14:paraId="0942D41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（2）经验收合格后，无质量问题，全额支付；</w:t>
      </w:r>
    </w:p>
    <w:p w14:paraId="720F4FF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（3）付款方式为银行转账。</w:t>
      </w:r>
    </w:p>
    <w:p w14:paraId="27C11EA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auto"/>
          <w:sz w:val="24"/>
          <w:szCs w:val="24"/>
          <w:shd w:val="clear" w:color="auto" w:fill="auto"/>
        </w:rPr>
      </w:pPr>
      <w:r>
        <w:rPr>
          <w:color w:val="auto"/>
          <w:sz w:val="24"/>
          <w:szCs w:val="24"/>
          <w:shd w:val="clear" w:color="auto" w:fill="auto"/>
        </w:rPr>
        <w:t>4.售后服务要求</w:t>
      </w:r>
    </w:p>
    <w:p w14:paraId="0712C062">
      <w:pPr>
        <w:pStyle w:val="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none"/>
          <w:lang w:val="en-US" w:eastAsia="zh-CN"/>
        </w:rPr>
      </w:pPr>
      <w:r>
        <w:rPr>
          <w:rFonts w:hint="eastAsia" w:hAnsi="宋体" w:cs="宋体"/>
          <w:sz w:val="24"/>
          <w:szCs w:val="24"/>
          <w:u w:val="none"/>
          <w:lang w:val="en-US" w:eastAsia="zh-CN"/>
        </w:rPr>
        <w:t xml:space="preserve">4.1 </w:t>
      </w:r>
      <w:r>
        <w:rPr>
          <w:rFonts w:hint="eastAsia" w:ascii="宋体" w:hAnsi="宋体" w:eastAsia="宋体" w:cs="宋体"/>
          <w:sz w:val="24"/>
          <w:szCs w:val="24"/>
          <w:u w:val="none"/>
          <w:lang w:val="en-US" w:eastAsia="zh-CN"/>
        </w:rPr>
        <w:t>自项目最终验收合格之日起算，质保3年。质保范围为全保（含设备本身、所有零部件及软件，并承担维修的人工、材料、差旅等一切费用）， 出现问题6小时内电话响应，24小时内提出解决方案，5个工作日内上门</w:t>
      </w:r>
      <w:r>
        <w:rPr>
          <w:rFonts w:hint="eastAsia" w:hAnsi="宋体" w:cs="宋体"/>
          <w:sz w:val="24"/>
          <w:szCs w:val="24"/>
          <w:u w:val="none"/>
          <w:lang w:val="en-US" w:eastAsia="zh-CN"/>
        </w:rPr>
        <w:t>；</w:t>
      </w:r>
      <w:r>
        <w:rPr>
          <w:rFonts w:hint="eastAsia" w:ascii="宋体" w:hAnsi="宋体" w:eastAsia="宋体" w:cs="宋体"/>
          <w:sz w:val="24"/>
          <w:szCs w:val="24"/>
          <w:u w:val="none"/>
          <w:lang w:val="en-US" w:eastAsia="zh-CN"/>
        </w:rPr>
        <w:t xml:space="preserve"> </w:t>
      </w:r>
    </w:p>
    <w:p w14:paraId="671FAA8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u w:val="none"/>
          <w:lang w:val="en-US" w:eastAsia="zh-CN" w:bidi="ar-SA"/>
        </w:rPr>
      </w:pPr>
      <w:r>
        <w:rPr>
          <w:rFonts w:hint="eastAsia" w:hAnsi="宋体" w:cs="宋体"/>
          <w:sz w:val="24"/>
          <w:szCs w:val="24"/>
          <w:u w:val="none"/>
          <w:lang w:val="en-US" w:eastAsia="zh-CN"/>
        </w:rPr>
        <w:t>4.2</w:t>
      </w:r>
      <w:r>
        <w:rPr>
          <w:rFonts w:hint="eastAsia" w:ascii="宋体" w:hAnsi="宋体"/>
          <w:sz w:val="24"/>
          <w:szCs w:val="24"/>
          <w:highlight w:val="none"/>
          <w:u w:val="none"/>
          <w:lang w:val="en-US" w:eastAsia="zh-CN"/>
        </w:rPr>
        <w:t xml:space="preserve"> 提供培训及售后服务，同时须提供针对所有设备的现场培训与后续技术支持，确保教师能独立操作、维护</w:t>
      </w:r>
      <w:r>
        <w:rPr>
          <w:rFonts w:hint="eastAsia" w:ascii="宋体" w:hAnsi="宋体" w:eastAsia="宋体" w:cs="宋体"/>
          <w:kern w:val="2"/>
          <w:sz w:val="24"/>
          <w:szCs w:val="24"/>
          <w:highlight w:val="none"/>
          <w:u w:val="none"/>
          <w:lang w:val="en-US" w:eastAsia="zh-CN" w:bidi="ar-SA"/>
        </w:rPr>
        <w:t>。</w:t>
      </w:r>
    </w:p>
    <w:p w14:paraId="4C51EC0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hAnsi="宋体" w:cs="宋体"/>
          <w:kern w:val="2"/>
          <w:sz w:val="24"/>
          <w:szCs w:val="24"/>
          <w:highlight w:val="none"/>
          <w:u w:val="none"/>
          <w:lang w:val="en-US" w:eastAsia="zh-CN" w:bidi="ar-SA"/>
        </w:rPr>
      </w:pPr>
      <w:r>
        <w:rPr>
          <w:rFonts w:hint="eastAsia" w:hAnsi="宋体" w:cs="宋体"/>
          <w:kern w:val="2"/>
          <w:sz w:val="24"/>
          <w:szCs w:val="24"/>
          <w:highlight w:val="none"/>
          <w:u w:val="none"/>
          <w:lang w:val="en-US" w:eastAsia="zh-CN" w:bidi="ar-SA"/>
        </w:rPr>
        <w:t>5.验收标准</w:t>
      </w:r>
    </w:p>
    <w:p w14:paraId="526BD03F">
      <w:pPr>
        <w:pStyle w:val="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u w:val="none"/>
          <w:lang w:val="en-US" w:eastAsia="zh-CN"/>
        </w:rPr>
      </w:pPr>
      <w:r>
        <w:rPr>
          <w:rFonts w:hint="eastAsia" w:hAnsi="宋体" w:cs="宋体"/>
          <w:kern w:val="2"/>
          <w:sz w:val="24"/>
          <w:szCs w:val="24"/>
          <w:highlight w:val="none"/>
          <w:u w:val="none"/>
          <w:lang w:val="en-US" w:eastAsia="zh-CN" w:bidi="ar-SA"/>
        </w:rPr>
        <w:t>5.1验收工作由采购方验收小组进行验收；时间为设备交付后15个工作日内；验收方式包括现场测试、文件审核和抽样检查；程序涵盖验收申请、初步核查、性能测试及报告出具；内容涉及设备数量、规格、功能性能、安全标准及配套文档；验收标准需依据合同约定、技术参数和行业规范</w:t>
      </w:r>
      <w:r>
        <w:rPr>
          <w:rFonts w:hint="eastAsia" w:ascii="宋体" w:hAnsi="宋体"/>
          <w:sz w:val="24"/>
          <w:szCs w:val="24"/>
          <w:highlight w:val="none"/>
          <w:u w:val="none"/>
          <w:lang w:val="en-US" w:eastAsia="zh-CN"/>
        </w:rPr>
        <w:t xml:space="preserve">。  </w:t>
      </w:r>
    </w:p>
    <w:p w14:paraId="1A9A68DE">
      <w:pPr>
        <w:snapToGrid w:val="0"/>
        <w:spacing w:line="360" w:lineRule="auto"/>
        <w:jc w:val="left"/>
        <w:rPr>
          <w:rFonts w:ascii="Times New Roman" w:hAnsi="宋体"/>
          <w:bCs/>
          <w:sz w:val="22"/>
          <w:szCs w:val="21"/>
        </w:rPr>
      </w:pPr>
    </w:p>
    <w:p w14:paraId="5FC0F22E">
      <w:pPr>
        <w:pStyle w:val="6"/>
        <w:ind w:firstLine="442"/>
        <w:rPr>
          <w:sz w:val="22"/>
        </w:rPr>
      </w:pPr>
      <w:r>
        <w:rPr>
          <w:rFonts w:hint="eastAsia" w:ascii="Times New Roman" w:hAnsi="宋体"/>
          <w:b/>
          <w:sz w:val="22"/>
          <w:szCs w:val="21"/>
        </w:rPr>
        <w:t>注：商务要求不允许负偏离。</w:t>
      </w:r>
    </w:p>
    <w:p w14:paraId="5D0DBD17">
      <w:pPr>
        <w:pStyle w:val="8"/>
        <w:spacing w:line="360" w:lineRule="auto"/>
        <w:rPr>
          <w:rFonts w:hint="eastAsia" w:ascii="Times New Roman" w:hAnsi="宋体"/>
          <w:b/>
          <w:sz w:val="22"/>
          <w:szCs w:val="21"/>
        </w:rPr>
      </w:pPr>
    </w:p>
    <w:p w14:paraId="70614DEC">
      <w:pPr>
        <w:pStyle w:val="8"/>
        <w:spacing w:line="360" w:lineRule="auto"/>
        <w:rPr>
          <w:rFonts w:hint="eastAsia" w:ascii="Times New Roman" w:hAnsi="宋体"/>
          <w:b/>
          <w:sz w:val="22"/>
          <w:szCs w:val="21"/>
        </w:rPr>
      </w:pPr>
    </w:p>
    <w:p w14:paraId="79FA965A">
      <w:pPr>
        <w:rPr>
          <w:rFonts w:hint="eastAsia" w:ascii="Times New Roman" w:hAnsi="宋体"/>
          <w:b/>
          <w:sz w:val="22"/>
          <w:szCs w:val="21"/>
        </w:rPr>
      </w:pPr>
      <w:r>
        <w:rPr>
          <w:rFonts w:hint="eastAsia" w:ascii="Times New Roman" w:hAnsi="宋体"/>
          <w:b/>
          <w:sz w:val="22"/>
          <w:szCs w:val="21"/>
        </w:rPr>
        <w:br w:type="page"/>
      </w:r>
    </w:p>
    <w:p w14:paraId="0E085746">
      <w:pPr>
        <w:pStyle w:val="8"/>
        <w:spacing w:line="360" w:lineRule="auto"/>
        <w:rPr>
          <w:sz w:val="24"/>
          <w:szCs w:val="18"/>
        </w:rPr>
      </w:pPr>
      <w:r>
        <w:rPr>
          <w:rFonts w:hint="eastAsia" w:ascii="Times New Roman" w:hAnsi="宋体"/>
          <w:b/>
          <w:sz w:val="22"/>
          <w:szCs w:val="21"/>
        </w:rPr>
        <w:t>（三）技术</w:t>
      </w:r>
      <w:r>
        <w:rPr>
          <w:rFonts w:hint="eastAsia" w:ascii="Times New Roman" w:hAnsi="宋体"/>
          <w:b/>
          <w:sz w:val="22"/>
          <w:szCs w:val="21"/>
          <w:lang w:val="en-US" w:eastAsia="zh-CN"/>
        </w:rPr>
        <w:t>参数</w:t>
      </w:r>
      <w:r>
        <w:rPr>
          <w:rFonts w:hint="eastAsia" w:ascii="Times New Roman" w:hAnsi="宋体"/>
          <w:b/>
          <w:sz w:val="22"/>
          <w:szCs w:val="21"/>
        </w:rPr>
        <w:t>要求</w:t>
      </w:r>
      <w:bookmarkStart w:id="216" w:name="_Toc24257"/>
      <w:bookmarkStart w:id="217" w:name="_Toc30645"/>
    </w:p>
    <w:p w14:paraId="0B9932FA">
      <w:pPr>
        <w:rPr>
          <w:rFonts w:hint="eastAsia"/>
          <w:b/>
          <w:bCs/>
          <w:sz w:val="22"/>
          <w:szCs w:val="28"/>
          <w:lang w:val="en-US" w:eastAsia="zh-CN"/>
        </w:rPr>
      </w:pPr>
      <w:bookmarkStart w:id="218" w:name="_Toc119482814"/>
      <w:r>
        <w:rPr>
          <w:rFonts w:hint="eastAsia"/>
          <w:b/>
          <w:bCs/>
          <w:sz w:val="22"/>
          <w:szCs w:val="28"/>
          <w:lang w:val="en-US" w:eastAsia="zh-CN"/>
        </w:rPr>
        <w:t>01包</w:t>
      </w:r>
    </w:p>
    <w:tbl>
      <w:tblPr>
        <w:tblStyle w:val="16"/>
        <w:tblW w:w="7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
      <w:tblGrid>
        <w:gridCol w:w="629"/>
        <w:gridCol w:w="998"/>
        <w:gridCol w:w="4808"/>
        <w:gridCol w:w="723"/>
        <w:gridCol w:w="759"/>
      </w:tblGrid>
      <w:tr w14:paraId="524F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0" w:hRule="atLeast"/>
          <w:jc w:val="center"/>
        </w:trPr>
        <w:tc>
          <w:tcPr>
            <w:tcW w:w="629" w:type="dxa"/>
            <w:noWrap/>
            <w:vAlign w:val="center"/>
          </w:tcPr>
          <w:p w14:paraId="6AE9AC37">
            <w:pPr>
              <w:widowControl/>
              <w:spacing w:line="240" w:lineRule="auto"/>
              <w:jc w:val="center"/>
              <w:textAlignment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998" w:type="dxa"/>
            <w:noWrap/>
            <w:vAlign w:val="center"/>
          </w:tcPr>
          <w:p w14:paraId="63F7B810">
            <w:pPr>
              <w:widowControl/>
              <w:spacing w:line="240" w:lineRule="auto"/>
              <w:jc w:val="center"/>
              <w:textAlignment w:val="center"/>
              <w:rPr>
                <w:rFonts w:hint="eastAsia" w:ascii="宋体" w:hAnsi="宋体" w:eastAsia="宋体" w:cs="宋体"/>
                <w:b/>
                <w:color w:val="auto"/>
                <w:sz w:val="24"/>
                <w:szCs w:val="24"/>
              </w:rPr>
            </w:pPr>
            <w:r>
              <w:rPr>
                <w:rFonts w:hint="eastAsia" w:ascii="宋体" w:hAnsi="宋体" w:eastAsia="宋体" w:cs="宋体"/>
                <w:b/>
                <w:color w:val="auto"/>
                <w:sz w:val="24"/>
                <w:szCs w:val="24"/>
              </w:rPr>
              <w:t>产品名称</w:t>
            </w:r>
          </w:p>
        </w:tc>
        <w:tc>
          <w:tcPr>
            <w:tcW w:w="4808" w:type="dxa"/>
            <w:noWrap/>
            <w:vAlign w:val="center"/>
          </w:tcPr>
          <w:p w14:paraId="3343A493">
            <w:pPr>
              <w:widowControl/>
              <w:spacing w:line="240" w:lineRule="auto"/>
              <w:jc w:val="center"/>
              <w:textAlignment w:val="center"/>
              <w:rPr>
                <w:rFonts w:hint="eastAsia" w:ascii="宋体" w:hAnsi="宋体" w:eastAsia="宋体" w:cs="宋体"/>
                <w:b/>
                <w:color w:val="auto"/>
                <w:sz w:val="24"/>
                <w:szCs w:val="24"/>
              </w:rPr>
            </w:pPr>
            <w:r>
              <w:rPr>
                <w:rFonts w:hint="eastAsia" w:ascii="宋体" w:hAnsi="宋体" w:eastAsia="宋体" w:cs="宋体"/>
                <w:b/>
                <w:color w:val="auto"/>
                <w:sz w:val="24"/>
                <w:szCs w:val="24"/>
              </w:rPr>
              <w:t>主要功能与技术要求</w:t>
            </w:r>
          </w:p>
        </w:tc>
        <w:tc>
          <w:tcPr>
            <w:tcW w:w="723" w:type="dxa"/>
            <w:noWrap w:val="0"/>
            <w:vAlign w:val="center"/>
          </w:tcPr>
          <w:p w14:paraId="40A29B5C">
            <w:pPr>
              <w:keepNext w:val="0"/>
              <w:keepLines w:val="0"/>
              <w:widowControl/>
              <w:suppressLineNumbers w:val="0"/>
              <w:ind w:left="0" w:leftChars="0"/>
              <w:jc w:val="center"/>
              <w:textAlignment w:val="center"/>
              <w:rPr>
                <w:rFonts w:hint="eastAsia" w:ascii="宋体" w:hAnsi="宋体" w:eastAsia="宋体" w:cs="宋体"/>
                <w:b/>
                <w:color w:val="auto"/>
                <w:sz w:val="24"/>
                <w:szCs w:val="24"/>
              </w:rPr>
            </w:pPr>
            <w:r>
              <w:rPr>
                <w:rFonts w:hint="eastAsia" w:ascii="宋体" w:hAnsi="宋体" w:eastAsia="宋体" w:cs="宋体"/>
                <w:b/>
                <w:bCs/>
                <w:i w:val="0"/>
                <w:iCs w:val="0"/>
                <w:color w:val="000000"/>
                <w:kern w:val="0"/>
                <w:sz w:val="24"/>
                <w:szCs w:val="24"/>
                <w:u w:val="none"/>
                <w:lang w:val="en-US" w:eastAsia="zh-CN"/>
              </w:rPr>
              <w:t>数量（实质性要求）</w:t>
            </w:r>
          </w:p>
        </w:tc>
        <w:tc>
          <w:tcPr>
            <w:tcW w:w="759" w:type="dxa"/>
            <w:noWrap w:val="0"/>
            <w:vAlign w:val="center"/>
          </w:tcPr>
          <w:p w14:paraId="42C0A69B">
            <w:pPr>
              <w:keepNext w:val="0"/>
              <w:keepLines w:val="0"/>
              <w:widowControl/>
              <w:suppressLineNumbers w:val="0"/>
              <w:ind w:left="0" w:leftChars="0"/>
              <w:jc w:val="center"/>
              <w:textAlignment w:val="center"/>
              <w:rPr>
                <w:rFonts w:hint="eastAsia" w:ascii="宋体" w:hAnsi="宋体" w:eastAsia="宋体" w:cs="宋体"/>
                <w:b/>
                <w:color w:val="auto"/>
                <w:sz w:val="24"/>
                <w:szCs w:val="24"/>
              </w:rPr>
            </w:pPr>
            <w:r>
              <w:rPr>
                <w:rFonts w:hint="eastAsia" w:ascii="宋体" w:hAnsi="宋体" w:eastAsia="宋体" w:cs="宋体"/>
                <w:b/>
                <w:bCs/>
                <w:i w:val="0"/>
                <w:iCs w:val="0"/>
                <w:color w:val="000000"/>
                <w:kern w:val="0"/>
                <w:sz w:val="24"/>
                <w:szCs w:val="24"/>
                <w:u w:val="none"/>
                <w:lang w:val="en-US" w:eastAsia="zh-CN"/>
              </w:rPr>
              <w:t>单位（实质性要求）</w:t>
            </w:r>
          </w:p>
        </w:tc>
      </w:tr>
      <w:tr w14:paraId="7C951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0" w:hRule="atLeast"/>
          <w:jc w:val="center"/>
        </w:trPr>
        <w:tc>
          <w:tcPr>
            <w:tcW w:w="629" w:type="dxa"/>
            <w:noWrap/>
            <w:vAlign w:val="center"/>
          </w:tcPr>
          <w:p w14:paraId="79CCE5FA">
            <w:pPr>
              <w:widowControl/>
              <w:spacing w:line="240" w:lineRule="auto"/>
              <w:jc w:val="center"/>
              <w:textAlignment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p>
        </w:tc>
        <w:tc>
          <w:tcPr>
            <w:tcW w:w="998" w:type="dxa"/>
            <w:noWrap/>
            <w:vAlign w:val="center"/>
          </w:tcPr>
          <w:p w14:paraId="20CBEF8E">
            <w:pPr>
              <w:widowControl/>
              <w:spacing w:line="240" w:lineRule="auto"/>
              <w:jc w:val="center"/>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综合手术床</w:t>
            </w:r>
          </w:p>
        </w:tc>
        <w:tc>
          <w:tcPr>
            <w:tcW w:w="4808" w:type="dxa"/>
            <w:noWrap/>
            <w:vAlign w:val="center"/>
          </w:tcPr>
          <w:p w14:paraId="6343AC24">
            <w:pPr>
              <w:widowControl/>
              <w:spacing w:line="240" w:lineRule="auto"/>
              <w:jc w:val="left"/>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rPr>
              <w:t>整台设备必须遵循人体工程学原理，全部采用低压直流电机驱动，电动电机驱动系统。</w:t>
            </w:r>
          </w:p>
          <w:p w14:paraId="64E3BF0B">
            <w:pPr>
              <w:widowControl/>
              <w:spacing w:line="240" w:lineRule="auto"/>
              <w:jc w:val="left"/>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多功能综合手术床，≥四组电机工作，满足台面电动上下升降，电动前后倾斜，电动左右倾斜，电动背板上下折。</w:t>
            </w:r>
          </w:p>
          <w:p w14:paraId="311FA931">
            <w:pPr>
              <w:widowControl/>
              <w:spacing w:line="240" w:lineRule="auto"/>
              <w:jc w:val="left"/>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床身采用钢制喷塑，外罩采用优质304不锈钢，表面进行抛光处理。</w:t>
            </w:r>
          </w:p>
          <w:p w14:paraId="023174F4">
            <w:pPr>
              <w:widowControl/>
              <w:spacing w:line="240" w:lineRule="auto"/>
              <w:jc w:val="left"/>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4.</w:t>
            </w:r>
            <w:r>
              <w:rPr>
                <w:rFonts w:hint="eastAsia" w:ascii="宋体" w:hAnsi="宋体" w:eastAsia="宋体" w:cs="宋体"/>
                <w:b w:val="0"/>
                <w:bCs/>
                <w:color w:val="auto"/>
                <w:sz w:val="24"/>
                <w:szCs w:val="24"/>
              </w:rPr>
              <w:t>不锈钢分体式底座装置</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具有</w:t>
            </w:r>
            <w:r>
              <w:rPr>
                <w:rFonts w:hint="eastAsia" w:ascii="宋体" w:hAnsi="宋体" w:eastAsia="宋体" w:cs="宋体"/>
                <w:b w:val="0"/>
                <w:bCs/>
                <w:color w:val="auto"/>
                <w:sz w:val="24"/>
                <w:szCs w:val="24"/>
              </w:rPr>
              <w:t>耐冲击性及稳固性，易于清洁与消毒。</w:t>
            </w:r>
          </w:p>
          <w:p w14:paraId="3077EF66">
            <w:pPr>
              <w:widowControl/>
              <w:spacing w:line="240" w:lineRule="auto"/>
              <w:jc w:val="left"/>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5</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五段床身设计，分为头部段、背部段、腰桥、臀部段、腿部段。</w:t>
            </w:r>
          </w:p>
          <w:p w14:paraId="67FB83E9">
            <w:pPr>
              <w:widowControl/>
              <w:spacing w:line="240" w:lineRule="auto"/>
              <w:jc w:val="left"/>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6</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关键升降立柱部分：手术床升降立柱≥3节</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八只固定紧锁件，双方框架式活动关节，保证立柱承载稳定。</w:t>
            </w:r>
          </w:p>
          <w:p w14:paraId="7F6C2DD1">
            <w:pPr>
              <w:widowControl/>
              <w:spacing w:line="240" w:lineRule="auto"/>
              <w:jc w:val="left"/>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7</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具有遥控刹车功能，</w:t>
            </w:r>
            <w:r>
              <w:rPr>
                <w:rFonts w:hint="eastAsia" w:ascii="宋体" w:hAnsi="宋体" w:eastAsia="宋体" w:cs="宋体"/>
                <w:b w:val="0"/>
                <w:bCs/>
                <w:color w:val="auto"/>
                <w:sz w:val="24"/>
                <w:szCs w:val="24"/>
              </w:rPr>
              <w:t>一旦锁定，床台不会出现位置的改变，四点式落地模式。</w:t>
            </w:r>
          </w:p>
          <w:p w14:paraId="2ED91E24">
            <w:pPr>
              <w:widowControl/>
              <w:spacing w:line="240" w:lineRule="auto"/>
              <w:jc w:val="left"/>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8</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腿托材质为全聚氨酯模具一次成型。</w:t>
            </w:r>
          </w:p>
          <w:p w14:paraId="48D24E88">
            <w:pPr>
              <w:widowControl/>
              <w:spacing w:line="240" w:lineRule="auto"/>
              <w:jc w:val="left"/>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9</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床垫：采用记忆海绵床垫，床垫材质符合安全标准。</w:t>
            </w:r>
          </w:p>
          <w:p w14:paraId="4955B024">
            <w:pPr>
              <w:widowControl/>
              <w:spacing w:line="240" w:lineRule="auto"/>
              <w:jc w:val="left"/>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1</w:t>
            </w:r>
            <w:r>
              <w:rPr>
                <w:rFonts w:hint="eastAsia" w:ascii="宋体" w:hAnsi="宋体" w:eastAsia="宋体" w:cs="宋体"/>
                <w:b w:val="0"/>
                <w:bCs/>
                <w:color w:val="auto"/>
                <w:sz w:val="24"/>
                <w:szCs w:val="24"/>
                <w:lang w:val="en-US" w:eastAsia="zh-CN"/>
              </w:rPr>
              <w:t>0</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通过电磁兼容检测（提供电磁兼容省级检测报告），采用抑制电磁波干扰设计，避免与手术室内</w:t>
            </w:r>
            <w:r>
              <w:rPr>
                <w:rFonts w:hint="eastAsia" w:ascii="宋体" w:hAnsi="宋体" w:eastAsia="宋体" w:cs="宋体"/>
                <w:b w:val="0"/>
                <w:bCs/>
                <w:color w:val="auto"/>
                <w:sz w:val="24"/>
                <w:szCs w:val="24"/>
                <w:lang w:eastAsia="zh-CN"/>
              </w:rPr>
              <w:t>其他设备</w:t>
            </w:r>
            <w:r>
              <w:rPr>
                <w:rFonts w:hint="eastAsia" w:ascii="宋体" w:hAnsi="宋体" w:eastAsia="宋体" w:cs="宋体"/>
                <w:b w:val="0"/>
                <w:bCs/>
                <w:color w:val="auto"/>
                <w:sz w:val="24"/>
                <w:szCs w:val="24"/>
              </w:rPr>
              <w:t>产生</w:t>
            </w:r>
            <w:r>
              <w:rPr>
                <w:rFonts w:hint="eastAsia" w:ascii="宋体" w:hAnsi="宋体" w:eastAsia="宋体" w:cs="宋体"/>
                <w:b w:val="0"/>
                <w:bCs/>
                <w:color w:val="auto"/>
                <w:sz w:val="24"/>
                <w:szCs w:val="24"/>
                <w:lang w:eastAsia="zh-CN"/>
              </w:rPr>
              <w:t>相互</w:t>
            </w:r>
            <w:r>
              <w:rPr>
                <w:rFonts w:hint="eastAsia" w:ascii="宋体" w:hAnsi="宋体" w:eastAsia="宋体" w:cs="宋体"/>
                <w:b w:val="0"/>
                <w:bCs/>
                <w:color w:val="auto"/>
                <w:sz w:val="24"/>
                <w:szCs w:val="24"/>
              </w:rPr>
              <w:t>干扰。</w:t>
            </w:r>
          </w:p>
          <w:p w14:paraId="61B20EF0">
            <w:pPr>
              <w:widowControl/>
              <w:spacing w:line="240" w:lineRule="auto"/>
              <w:jc w:val="left"/>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技术指标：</w:t>
            </w:r>
          </w:p>
          <w:p w14:paraId="4EFFD019">
            <w:pPr>
              <w:widowControl/>
              <w:spacing w:line="240" w:lineRule="auto"/>
              <w:jc w:val="left"/>
              <w:textAlignment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1）</w:t>
            </w:r>
            <w:r>
              <w:rPr>
                <w:rFonts w:hint="eastAsia" w:ascii="宋体" w:hAnsi="宋体" w:eastAsia="宋体" w:cs="宋体"/>
                <w:b w:val="0"/>
                <w:bCs/>
                <w:color w:val="auto"/>
                <w:sz w:val="24"/>
                <w:szCs w:val="24"/>
              </w:rPr>
              <w:t>手术台长度</w:t>
            </w:r>
            <w:r>
              <w:rPr>
                <w:rFonts w:hint="eastAsia" w:ascii="宋体" w:hAnsi="宋体" w:eastAsia="宋体" w:cs="宋体"/>
                <w:b w:val="0"/>
                <w:bCs/>
                <w:color w:val="auto"/>
                <w:sz w:val="24"/>
                <w:szCs w:val="24"/>
                <w:lang w:eastAsia="zh-CN"/>
              </w:rPr>
              <w:t>：1950±50mm</w:t>
            </w:r>
          </w:p>
          <w:p w14:paraId="6C66EB65">
            <w:pPr>
              <w:widowControl/>
              <w:spacing w:line="240" w:lineRule="auto"/>
              <w:jc w:val="left"/>
              <w:textAlignment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2）手术台台面宽度：500mm</w:t>
            </w:r>
          </w:p>
          <w:p w14:paraId="4B9CD69B">
            <w:pPr>
              <w:widowControl/>
              <w:spacing w:line="240" w:lineRule="auto"/>
              <w:jc w:val="left"/>
              <w:textAlignment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lang w:eastAsia="zh-CN"/>
              </w:rPr>
              <w:t>）手术台固定方式：机械定位</w:t>
            </w:r>
          </w:p>
          <w:p w14:paraId="2B3575A6">
            <w:pPr>
              <w:widowControl/>
              <w:spacing w:line="240" w:lineRule="auto"/>
              <w:jc w:val="left"/>
              <w:textAlignment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4</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手术台功能调节范围：</w:t>
            </w:r>
          </w:p>
          <w:p w14:paraId="2F68241C">
            <w:pPr>
              <w:widowControl/>
              <w:spacing w:line="240" w:lineRule="auto"/>
              <w:jc w:val="left"/>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a）</w:t>
            </w:r>
            <w:r>
              <w:rPr>
                <w:rFonts w:hint="eastAsia" w:ascii="宋体" w:hAnsi="宋体" w:eastAsia="宋体" w:cs="宋体"/>
                <w:b w:val="0"/>
                <w:bCs/>
                <w:color w:val="auto"/>
                <w:sz w:val="24"/>
                <w:szCs w:val="24"/>
              </w:rPr>
              <w:t>前后倾≥20°（电动）</w:t>
            </w:r>
          </w:p>
          <w:p w14:paraId="5FC9D25F">
            <w:pPr>
              <w:widowControl/>
              <w:spacing w:line="240" w:lineRule="auto"/>
              <w:jc w:val="left"/>
              <w:textAlignment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b）</w:t>
            </w:r>
            <w:r>
              <w:rPr>
                <w:rFonts w:hint="eastAsia" w:ascii="宋体" w:hAnsi="宋体" w:eastAsia="宋体" w:cs="宋体"/>
                <w:b w:val="0"/>
                <w:bCs/>
                <w:color w:val="auto"/>
                <w:sz w:val="24"/>
                <w:szCs w:val="24"/>
              </w:rPr>
              <w:t>左右倾≥16°（电动）</w:t>
            </w:r>
          </w:p>
          <w:p w14:paraId="2E4A4A36">
            <w:pPr>
              <w:widowControl/>
              <w:spacing w:line="240" w:lineRule="auto"/>
              <w:jc w:val="left"/>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c）</w:t>
            </w:r>
            <w:r>
              <w:rPr>
                <w:rFonts w:hint="eastAsia" w:ascii="宋体" w:hAnsi="宋体" w:eastAsia="宋体" w:cs="宋体"/>
                <w:b w:val="0"/>
                <w:bCs/>
                <w:color w:val="auto"/>
                <w:sz w:val="24"/>
                <w:szCs w:val="24"/>
              </w:rPr>
              <w:t>头板上折≥90°，下折≥90°（手动）</w:t>
            </w:r>
          </w:p>
          <w:p w14:paraId="110AC225">
            <w:pPr>
              <w:widowControl/>
              <w:spacing w:line="240" w:lineRule="auto"/>
              <w:jc w:val="left"/>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d）</w:t>
            </w:r>
            <w:r>
              <w:rPr>
                <w:rFonts w:hint="eastAsia" w:ascii="宋体" w:hAnsi="宋体" w:eastAsia="宋体" w:cs="宋体"/>
                <w:b w:val="0"/>
                <w:bCs/>
                <w:color w:val="auto"/>
                <w:sz w:val="24"/>
                <w:szCs w:val="24"/>
              </w:rPr>
              <w:t>背板上折≥80°（电动）背板下折≥40°（电动）</w:t>
            </w:r>
          </w:p>
          <w:p w14:paraId="6C0D4101">
            <w:pPr>
              <w:widowControl/>
              <w:spacing w:line="240" w:lineRule="auto"/>
              <w:jc w:val="left"/>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e）</w:t>
            </w:r>
            <w:r>
              <w:rPr>
                <w:rFonts w:hint="eastAsia" w:ascii="宋体" w:hAnsi="宋体" w:eastAsia="宋体" w:cs="宋体"/>
                <w:b w:val="0"/>
                <w:bCs/>
                <w:color w:val="auto"/>
                <w:sz w:val="24"/>
                <w:szCs w:val="24"/>
              </w:rPr>
              <w:t>腿板下折≥90°，水平外展≥90°（手动）</w:t>
            </w:r>
          </w:p>
        </w:tc>
        <w:tc>
          <w:tcPr>
            <w:tcW w:w="723" w:type="dxa"/>
            <w:noWrap w:val="0"/>
            <w:vAlign w:val="center"/>
          </w:tcPr>
          <w:p w14:paraId="07C50A7D">
            <w:pPr>
              <w:keepNext w:val="0"/>
              <w:keepLines w:val="0"/>
              <w:widowControl/>
              <w:suppressLineNumbers w:val="0"/>
              <w:ind w:left="0" w:leftChars="0"/>
              <w:jc w:val="center"/>
              <w:textAlignment w:val="center"/>
              <w:rPr>
                <w:rFonts w:hint="eastAsia" w:ascii="宋体" w:hAnsi="宋体" w:eastAsia="宋体" w:cs="宋体"/>
                <w:b w:val="0"/>
                <w:bCs/>
                <w:color w:val="auto"/>
                <w:sz w:val="24"/>
                <w:szCs w:val="24"/>
                <w:lang w:val="en-US" w:eastAsia="zh-CN"/>
              </w:rPr>
            </w:pPr>
            <w:r>
              <w:rPr>
                <w:rFonts w:hint="eastAsia" w:ascii="宋体" w:hAnsi="宋体" w:eastAsia="宋体" w:cs="宋体"/>
                <w:i w:val="0"/>
                <w:iCs w:val="0"/>
                <w:color w:val="000000"/>
                <w:kern w:val="0"/>
                <w:sz w:val="24"/>
                <w:szCs w:val="24"/>
                <w:u w:val="none"/>
                <w:lang w:val="en-US" w:eastAsia="zh-CN"/>
              </w:rPr>
              <w:t>3</w:t>
            </w:r>
          </w:p>
        </w:tc>
        <w:tc>
          <w:tcPr>
            <w:tcW w:w="759" w:type="dxa"/>
            <w:noWrap w:val="0"/>
            <w:vAlign w:val="center"/>
          </w:tcPr>
          <w:p w14:paraId="7EFCF913">
            <w:pPr>
              <w:keepNext w:val="0"/>
              <w:keepLines w:val="0"/>
              <w:widowControl/>
              <w:suppressLineNumbers w:val="0"/>
              <w:ind w:left="0" w:leftChars="0"/>
              <w:jc w:val="center"/>
              <w:textAlignment w:val="center"/>
              <w:rPr>
                <w:rFonts w:hint="eastAsia" w:ascii="宋体" w:hAnsi="宋体" w:eastAsia="宋体" w:cs="宋体"/>
                <w:b w:val="0"/>
                <w:bCs/>
                <w:color w:val="auto"/>
                <w:sz w:val="24"/>
                <w:szCs w:val="24"/>
                <w:lang w:val="en-US" w:eastAsia="zh-CN"/>
              </w:rPr>
            </w:pPr>
            <w:r>
              <w:rPr>
                <w:rFonts w:hint="eastAsia" w:ascii="宋体" w:hAnsi="宋体" w:eastAsia="宋体" w:cs="宋体"/>
                <w:i w:val="0"/>
                <w:iCs w:val="0"/>
                <w:color w:val="000000"/>
                <w:kern w:val="0"/>
                <w:sz w:val="24"/>
                <w:szCs w:val="24"/>
                <w:u w:val="none"/>
                <w:lang w:val="en-US" w:eastAsia="zh-CN"/>
              </w:rPr>
              <w:t>张</w:t>
            </w:r>
          </w:p>
        </w:tc>
      </w:tr>
      <w:tr w14:paraId="60162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0" w:hRule="atLeast"/>
          <w:jc w:val="center"/>
        </w:trPr>
        <w:tc>
          <w:tcPr>
            <w:tcW w:w="629" w:type="dxa"/>
            <w:noWrap/>
            <w:vAlign w:val="center"/>
          </w:tcPr>
          <w:p w14:paraId="43E2F431">
            <w:pPr>
              <w:widowControl/>
              <w:spacing w:line="240" w:lineRule="auto"/>
              <w:jc w:val="center"/>
              <w:textAlignment w:val="center"/>
              <w:rPr>
                <w:rFonts w:hint="eastAsia" w:ascii="宋体" w:hAnsi="宋体" w:eastAsia="宋体" w:cs="宋体"/>
                <w:b w:val="0"/>
                <w:bCs/>
                <w:color w:val="auto"/>
                <w:sz w:val="24"/>
                <w:szCs w:val="24"/>
                <w:lang w:val="en-US" w:eastAsia="zh-CN"/>
              </w:rPr>
            </w:pPr>
          </w:p>
          <w:p w14:paraId="03CF6C61">
            <w:pPr>
              <w:widowControl/>
              <w:spacing w:line="240" w:lineRule="auto"/>
              <w:jc w:val="center"/>
              <w:textAlignment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w:t>
            </w:r>
          </w:p>
        </w:tc>
        <w:tc>
          <w:tcPr>
            <w:tcW w:w="998" w:type="dxa"/>
            <w:noWrap/>
            <w:vAlign w:val="center"/>
          </w:tcPr>
          <w:p w14:paraId="0876FF00">
            <w:pPr>
              <w:widowControl/>
              <w:spacing w:line="240" w:lineRule="auto"/>
              <w:ind w:left="0" w:leftChars="0"/>
              <w:jc w:val="center"/>
              <w:textAlignment w:val="center"/>
              <w:rPr>
                <w:rFonts w:hint="eastAsia" w:ascii="宋体" w:hAnsi="宋体" w:eastAsia="宋体" w:cs="宋体"/>
                <w:b w:val="0"/>
                <w:bCs/>
                <w:color w:val="auto"/>
                <w:sz w:val="24"/>
                <w:szCs w:val="24"/>
                <w:lang w:val="en-US" w:eastAsia="zh-CN"/>
              </w:rPr>
            </w:pPr>
          </w:p>
          <w:p w14:paraId="444F0BB3">
            <w:pPr>
              <w:widowControl/>
              <w:spacing w:line="240" w:lineRule="auto"/>
              <w:ind w:left="0" w:leftChars="0"/>
              <w:jc w:val="center"/>
              <w:textAlignment w:val="center"/>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sz w:val="24"/>
                <w:szCs w:val="24"/>
                <w:lang w:val="en-US" w:eastAsia="zh-CN"/>
              </w:rPr>
              <w:t>手术标准化病人</w:t>
            </w:r>
          </w:p>
        </w:tc>
        <w:tc>
          <w:tcPr>
            <w:tcW w:w="4808" w:type="dxa"/>
            <w:noWrap/>
            <w:vAlign w:val="center"/>
          </w:tcPr>
          <w:p w14:paraId="2A18F3B9">
            <w:pPr>
              <w:widowControl/>
              <w:spacing w:line="240" w:lineRule="auto"/>
              <w:ind w:left="0" w:leftChars="0"/>
              <w:jc w:val="left"/>
              <w:textAlignment w:val="center"/>
              <w:rPr>
                <w:rFonts w:hint="eastAsia" w:ascii="宋体" w:hAnsi="宋体" w:eastAsia="宋体" w:cs="宋体"/>
                <w:b w:val="0"/>
                <w:bCs/>
                <w:color w:val="auto"/>
                <w:sz w:val="24"/>
                <w:szCs w:val="24"/>
                <w:lang w:val="en-US" w:eastAsia="zh-CN"/>
              </w:rPr>
            </w:pPr>
            <w:r>
              <w:rPr>
                <w:rFonts w:hint="eastAsia" w:hAnsi="宋体" w:cs="宋体"/>
                <w:b w:val="0"/>
                <w:bCs/>
                <w:color w:val="auto"/>
                <w:sz w:val="24"/>
                <w:szCs w:val="24"/>
                <w:lang w:val="en-US" w:eastAsia="zh-CN"/>
              </w:rPr>
              <w:t>一、</w:t>
            </w:r>
            <w:r>
              <w:rPr>
                <w:rFonts w:hint="eastAsia" w:ascii="宋体" w:hAnsi="宋体" w:eastAsia="宋体" w:cs="宋体"/>
                <w:b w:val="0"/>
                <w:bCs/>
                <w:color w:val="auto"/>
                <w:sz w:val="24"/>
                <w:szCs w:val="24"/>
                <w:lang w:val="en-US" w:eastAsia="zh-CN"/>
              </w:rPr>
              <w:t>采用高分子材料制作，能模拟人体肌肤和皮下肌肉组织的质感。具备完整全身骨骼结构和清晰骨性标志，搭配全身仿生关节，可任意摆放手术所需体位，贴合临床实际场景。</w:t>
            </w:r>
          </w:p>
          <w:p w14:paraId="6B147C8C">
            <w:pPr>
              <w:widowControl/>
              <w:spacing w:line="240" w:lineRule="auto"/>
              <w:ind w:left="0" w:leftChars="0"/>
              <w:jc w:val="left"/>
              <w:textAlignment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二、解剖位置准确，腹腔内肝脏、胆囊三角等关键部位结构清晰，为手术操作提供精准参照。</w:t>
            </w:r>
          </w:p>
          <w:p w14:paraId="3DDFF5EA">
            <w:pPr>
              <w:widowControl/>
              <w:spacing w:line="240" w:lineRule="auto"/>
              <w:ind w:left="0" w:leftChars="0"/>
              <w:jc w:val="left"/>
              <w:textAlignment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预设4个标准化腹腔镜操作孔（脐部观察孔、剑突下主操作孔等），切口位置和规格完全匹配临床胆囊切除术要求。</w:t>
            </w:r>
          </w:p>
          <w:p w14:paraId="3FFC6FE0">
            <w:pPr>
              <w:widowControl/>
              <w:numPr>
                <w:ilvl w:val="0"/>
                <w:numId w:val="0"/>
              </w:numPr>
              <w:spacing w:line="240" w:lineRule="auto"/>
              <w:ind w:left="0" w:leftChars="0"/>
              <w:jc w:val="left"/>
              <w:textAlignment w:val="center"/>
              <w:rPr>
                <w:rFonts w:hint="eastAsia" w:ascii="宋体" w:hAnsi="宋体" w:eastAsia="宋体" w:cs="宋体"/>
                <w:b w:val="0"/>
                <w:bCs/>
                <w:color w:val="auto"/>
                <w:sz w:val="24"/>
                <w:szCs w:val="24"/>
                <w:lang w:val="en-US" w:eastAsia="zh-CN"/>
              </w:rPr>
            </w:pPr>
            <w:r>
              <w:rPr>
                <w:rFonts w:hint="eastAsia"/>
                <w:sz w:val="24"/>
                <w:szCs w:val="24"/>
                <w:lang w:val="en-US" w:eastAsia="zh-CN"/>
              </w:rPr>
              <w:t>三、</w:t>
            </w:r>
            <w:r>
              <w:rPr>
                <w:rFonts w:hint="eastAsia" w:ascii="宋体" w:hAnsi="宋体" w:eastAsia="宋体" w:cs="宋体"/>
                <w:b w:val="0"/>
                <w:bCs/>
                <w:color w:val="auto"/>
                <w:sz w:val="24"/>
                <w:szCs w:val="24"/>
                <w:lang w:val="en-US" w:eastAsia="zh-CN"/>
              </w:rPr>
              <w:t>多功能模拟与实用训练价值</w:t>
            </w:r>
          </w:p>
          <w:p w14:paraId="7A55DB74">
            <w:pPr>
              <w:widowControl/>
              <w:spacing w:line="240" w:lineRule="auto"/>
              <w:ind w:left="0" w:leftChars="0"/>
              <w:jc w:val="left"/>
              <w:textAlignment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1.可高度还原胆囊切除术关键流程，包括分离血管出血、剥离胆囊流胆汁等真实手术反应。</w:t>
            </w:r>
          </w:p>
          <w:p w14:paraId="7225FE4D">
            <w:pPr>
              <w:widowControl/>
              <w:spacing w:line="240" w:lineRule="auto"/>
              <w:ind w:left="0" w:leftChars="0"/>
              <w:jc w:val="left"/>
              <w:textAlignment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支持术前无菌训练，能同时培养使用者的无菌观念、缝合精度和手术操作能力。170cm（±5%）成年男性整体模型</w:t>
            </w:r>
            <w:r>
              <w:rPr>
                <w:rFonts w:hint="eastAsia" w:hAnsi="宋体" w:cs="宋体"/>
                <w:b w:val="0"/>
                <w:bCs/>
                <w:color w:val="auto"/>
                <w:sz w:val="24"/>
                <w:szCs w:val="24"/>
                <w:lang w:val="en-US" w:eastAsia="zh-CN"/>
              </w:rPr>
              <w:t>。</w:t>
            </w:r>
          </w:p>
          <w:p w14:paraId="51FEA9F5">
            <w:pPr>
              <w:widowControl/>
              <w:spacing w:line="240" w:lineRule="auto"/>
              <w:ind w:left="0" w:leftChars="0"/>
              <w:jc w:val="left"/>
              <w:textAlignment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2.通过皮肤可建立操作孔，模拟腹腔镜下胆囊切除术，操作孔的位置：</w:t>
            </w:r>
          </w:p>
          <w:p w14:paraId="0F5B6042">
            <w:pPr>
              <w:pStyle w:val="7"/>
              <w:rPr>
                <w:rFonts w:hint="eastAsia" w:ascii="宋体" w:hAnsi="宋体" w:eastAsia="宋体" w:cs="宋体"/>
                <w:b w:val="0"/>
                <w:bCs/>
                <w:color w:val="auto"/>
                <w:sz w:val="24"/>
                <w:szCs w:val="24"/>
                <w:lang w:val="en-US" w:eastAsia="zh-CN"/>
              </w:rPr>
            </w:pPr>
            <w:r>
              <w:rPr>
                <w:rFonts w:hint="eastAsia" w:hAnsi="宋体" w:cs="宋体"/>
                <w:b w:val="0"/>
                <w:bCs/>
                <w:color w:val="auto"/>
                <w:sz w:val="24"/>
                <w:szCs w:val="24"/>
                <w:lang w:val="en-US" w:eastAsia="zh-CN"/>
              </w:rPr>
              <w:t>3</w:t>
            </w:r>
            <w:r>
              <w:rPr>
                <w:rFonts w:hint="eastAsia" w:ascii="宋体" w:hAnsi="宋体" w:eastAsia="宋体" w:cs="宋体"/>
                <w:b w:val="0"/>
                <w:bCs/>
                <w:color w:val="auto"/>
                <w:sz w:val="24"/>
                <w:szCs w:val="24"/>
                <w:lang w:val="en-US" w:eastAsia="zh-CN"/>
              </w:rPr>
              <w:t>.观察孔：脐部，脐窝下缘弧形切口，</w:t>
            </w:r>
            <w:r>
              <w:rPr>
                <w:rFonts w:hint="eastAsia"/>
                <w:lang w:val="en-US" w:eastAsia="zh-CN"/>
              </w:rPr>
              <w:t>≥</w:t>
            </w:r>
            <w:r>
              <w:rPr>
                <w:rFonts w:hint="eastAsia" w:hAnsi="宋体" w:cs="宋体"/>
                <w:b w:val="0"/>
                <w:bCs/>
                <w:color w:val="auto"/>
                <w:sz w:val="24"/>
                <w:szCs w:val="24"/>
                <w:lang w:val="en-US" w:eastAsia="zh-CN"/>
              </w:rPr>
              <w:t>直径</w:t>
            </w:r>
            <w:r>
              <w:rPr>
                <w:rFonts w:hint="eastAsia" w:ascii="宋体" w:hAnsi="宋体" w:eastAsia="宋体" w:cs="宋体"/>
                <w:b w:val="0"/>
                <w:bCs/>
                <w:color w:val="auto"/>
                <w:sz w:val="24"/>
                <w:szCs w:val="24"/>
                <w:lang w:val="en-US" w:eastAsia="zh-CN"/>
              </w:rPr>
              <w:t>10mm，用于制造气腹。</w:t>
            </w:r>
          </w:p>
          <w:p w14:paraId="0615F92A">
            <w:pPr>
              <w:widowControl/>
              <w:spacing w:line="240" w:lineRule="auto"/>
              <w:ind w:left="0" w:leftChars="0"/>
              <w:jc w:val="left"/>
              <w:textAlignment w:val="center"/>
              <w:rPr>
                <w:rFonts w:hint="eastAsia" w:ascii="宋体" w:hAnsi="宋体" w:eastAsia="宋体" w:cs="宋体"/>
                <w:b w:val="0"/>
                <w:bCs/>
                <w:color w:val="auto"/>
                <w:sz w:val="24"/>
                <w:szCs w:val="24"/>
                <w:lang w:val="en-US" w:eastAsia="zh-CN"/>
              </w:rPr>
            </w:pPr>
            <w:r>
              <w:rPr>
                <w:rFonts w:hint="eastAsia" w:hAnsi="宋体" w:cs="宋体"/>
                <w:b w:val="0"/>
                <w:bCs/>
                <w:color w:val="auto"/>
                <w:sz w:val="24"/>
                <w:szCs w:val="24"/>
                <w:lang w:val="en-US" w:eastAsia="zh-CN"/>
              </w:rPr>
              <w:t>4</w:t>
            </w:r>
            <w:r>
              <w:rPr>
                <w:rFonts w:hint="eastAsia" w:ascii="宋体" w:hAnsi="宋体" w:eastAsia="宋体" w:cs="宋体"/>
                <w:b w:val="0"/>
                <w:bCs/>
                <w:color w:val="auto"/>
                <w:sz w:val="24"/>
                <w:szCs w:val="24"/>
                <w:lang w:val="en-US" w:eastAsia="zh-CN"/>
              </w:rPr>
              <w:t>.可模拟手术过程中胆囊的剥离，手感真实，伤及胆囊有胆汁流出。</w:t>
            </w:r>
          </w:p>
          <w:p w14:paraId="496074CB">
            <w:pPr>
              <w:jc w:val="left"/>
              <w:textAlignment w:val="center"/>
              <w:rPr>
                <w:rFonts w:hint="eastAsia" w:ascii="宋体" w:hAnsi="宋体" w:eastAsia="宋体" w:cs="宋体"/>
                <w:sz w:val="24"/>
                <w:szCs w:val="24"/>
                <w:lang w:val="en-US" w:eastAsia="zh-CN"/>
              </w:rPr>
            </w:pPr>
            <w:r>
              <w:rPr>
                <w:rFonts w:hint="eastAsia" w:hAnsi="宋体" w:cs="宋体"/>
                <w:b w:val="0"/>
                <w:bCs/>
                <w:color w:val="auto"/>
                <w:sz w:val="24"/>
                <w:szCs w:val="24"/>
                <w:lang w:val="en-US" w:eastAsia="zh-CN"/>
              </w:rPr>
              <w:t>5</w:t>
            </w:r>
            <w:r>
              <w:rPr>
                <w:rFonts w:hint="eastAsia" w:ascii="宋体" w:hAnsi="宋体" w:eastAsia="宋体" w:cs="宋体"/>
                <w:b w:val="0"/>
                <w:bCs/>
                <w:color w:val="auto"/>
                <w:sz w:val="24"/>
                <w:szCs w:val="24"/>
                <w:lang w:val="en-US" w:eastAsia="zh-CN"/>
              </w:rPr>
              <w:t>.可进行术前无菌训练</w:t>
            </w:r>
          </w:p>
        </w:tc>
        <w:tc>
          <w:tcPr>
            <w:tcW w:w="723" w:type="dxa"/>
            <w:noWrap w:val="0"/>
            <w:vAlign w:val="center"/>
          </w:tcPr>
          <w:p w14:paraId="60C9883A">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6406C5B4">
            <w:pPr>
              <w:keepNext w:val="0"/>
              <w:keepLines w:val="0"/>
              <w:widowControl/>
              <w:suppressLineNumbers w:val="0"/>
              <w:ind w:left="0" w:leftChars="0"/>
              <w:jc w:val="center"/>
              <w:textAlignment w:val="center"/>
              <w:rPr>
                <w:rFonts w:hint="eastAsia" w:ascii="宋体" w:hAnsi="宋体" w:eastAsia="宋体" w:cs="宋体"/>
                <w:b w:val="0"/>
                <w:bCs/>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rPr>
              <w:t>1</w:t>
            </w:r>
          </w:p>
        </w:tc>
        <w:tc>
          <w:tcPr>
            <w:tcW w:w="759" w:type="dxa"/>
            <w:noWrap w:val="0"/>
            <w:vAlign w:val="center"/>
          </w:tcPr>
          <w:p w14:paraId="6B7371A8">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5E4C3F01">
            <w:pPr>
              <w:keepNext w:val="0"/>
              <w:keepLines w:val="0"/>
              <w:widowControl/>
              <w:suppressLineNumbers w:val="0"/>
              <w:ind w:left="0" w:leftChars="0"/>
              <w:jc w:val="center"/>
              <w:textAlignment w:val="center"/>
              <w:rPr>
                <w:rFonts w:hint="eastAsia" w:ascii="宋体" w:hAnsi="宋体" w:eastAsia="宋体" w:cs="宋体"/>
                <w:b w:val="0"/>
                <w:bCs/>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rPr>
              <w:t>套</w:t>
            </w:r>
          </w:p>
        </w:tc>
      </w:tr>
      <w:tr w14:paraId="3BB3A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0" w:hRule="atLeast"/>
          <w:jc w:val="center"/>
        </w:trPr>
        <w:tc>
          <w:tcPr>
            <w:tcW w:w="629" w:type="dxa"/>
            <w:noWrap/>
            <w:vAlign w:val="center"/>
          </w:tcPr>
          <w:p w14:paraId="4D9C6CE2">
            <w:pPr>
              <w:widowControl/>
              <w:spacing w:line="240" w:lineRule="auto"/>
              <w:jc w:val="center"/>
              <w:textAlignment w:val="center"/>
              <w:rPr>
                <w:rFonts w:hint="eastAsia" w:ascii="宋体" w:hAnsi="宋体" w:eastAsia="宋体" w:cs="宋体"/>
                <w:b w:val="0"/>
                <w:bCs/>
                <w:color w:val="auto"/>
                <w:sz w:val="24"/>
                <w:szCs w:val="24"/>
                <w:lang w:val="en-US" w:eastAsia="zh-CN"/>
              </w:rPr>
            </w:pPr>
          </w:p>
          <w:p w14:paraId="4BA28F2E">
            <w:pPr>
              <w:widowControl/>
              <w:spacing w:line="240" w:lineRule="auto"/>
              <w:jc w:val="center"/>
              <w:textAlignment w:val="center"/>
              <w:rPr>
                <w:rFonts w:hint="eastAsia" w:ascii="宋体" w:hAnsi="宋体" w:eastAsia="宋体" w:cs="宋体"/>
                <w:b w:val="0"/>
                <w:bCs/>
                <w:color w:val="auto"/>
                <w:sz w:val="24"/>
                <w:szCs w:val="24"/>
                <w:lang w:val="en-US" w:eastAsia="zh-CN"/>
              </w:rPr>
            </w:pPr>
          </w:p>
          <w:p w14:paraId="2D2241DC">
            <w:pPr>
              <w:widowControl/>
              <w:spacing w:line="240" w:lineRule="auto"/>
              <w:jc w:val="center"/>
              <w:textAlignment w:val="center"/>
              <w:rPr>
                <w:rFonts w:hint="eastAsia" w:ascii="宋体" w:hAnsi="宋体" w:eastAsia="宋体" w:cs="宋体"/>
                <w:b w:val="0"/>
                <w:bCs/>
                <w:color w:val="auto"/>
                <w:sz w:val="24"/>
                <w:szCs w:val="24"/>
                <w:lang w:val="en-US" w:eastAsia="zh-CN"/>
              </w:rPr>
            </w:pPr>
          </w:p>
          <w:p w14:paraId="3F5E1C2B">
            <w:pPr>
              <w:widowControl/>
              <w:spacing w:line="240" w:lineRule="auto"/>
              <w:jc w:val="center"/>
              <w:textAlignment w:val="center"/>
              <w:rPr>
                <w:rFonts w:hint="eastAsia" w:ascii="宋体" w:hAnsi="宋体" w:eastAsia="宋体" w:cs="宋体"/>
                <w:b w:val="0"/>
                <w:bCs/>
                <w:color w:val="auto"/>
                <w:sz w:val="24"/>
                <w:szCs w:val="24"/>
                <w:lang w:val="en-US" w:eastAsia="zh-CN"/>
              </w:rPr>
            </w:pPr>
          </w:p>
          <w:p w14:paraId="52E1B3C8">
            <w:pPr>
              <w:widowControl/>
              <w:spacing w:line="240" w:lineRule="auto"/>
              <w:jc w:val="center"/>
              <w:textAlignment w:val="center"/>
              <w:rPr>
                <w:rFonts w:hint="eastAsia" w:ascii="宋体" w:hAnsi="宋体" w:eastAsia="宋体" w:cs="宋体"/>
                <w:b w:val="0"/>
                <w:bCs/>
                <w:color w:val="auto"/>
                <w:sz w:val="24"/>
                <w:szCs w:val="24"/>
                <w:lang w:val="en-US" w:eastAsia="zh-CN"/>
              </w:rPr>
            </w:pPr>
          </w:p>
          <w:p w14:paraId="55C9F2AD">
            <w:pPr>
              <w:widowControl/>
              <w:spacing w:line="240" w:lineRule="auto"/>
              <w:jc w:val="center"/>
              <w:textAlignment w:val="center"/>
              <w:rPr>
                <w:rFonts w:hint="eastAsia" w:ascii="宋体" w:hAnsi="宋体" w:eastAsia="宋体" w:cs="宋体"/>
                <w:b w:val="0"/>
                <w:bCs/>
                <w:color w:val="auto"/>
                <w:sz w:val="24"/>
                <w:szCs w:val="24"/>
                <w:lang w:val="en-US" w:eastAsia="zh-CN"/>
              </w:rPr>
            </w:pPr>
          </w:p>
          <w:p w14:paraId="27A7428E">
            <w:pPr>
              <w:widowControl/>
              <w:spacing w:line="240" w:lineRule="auto"/>
              <w:jc w:val="center"/>
              <w:textAlignment w:val="center"/>
              <w:rPr>
                <w:rFonts w:hint="eastAsia" w:ascii="宋体" w:hAnsi="宋体" w:eastAsia="宋体" w:cs="宋体"/>
                <w:b w:val="0"/>
                <w:bCs/>
                <w:color w:val="auto"/>
                <w:sz w:val="24"/>
                <w:szCs w:val="24"/>
                <w:lang w:val="en-US" w:eastAsia="zh-CN"/>
              </w:rPr>
            </w:pPr>
          </w:p>
          <w:p w14:paraId="4B018CBF">
            <w:pPr>
              <w:widowControl/>
              <w:spacing w:line="240" w:lineRule="auto"/>
              <w:jc w:val="center"/>
              <w:textAlignment w:val="center"/>
              <w:rPr>
                <w:rFonts w:hint="eastAsia" w:ascii="宋体" w:hAnsi="宋体" w:eastAsia="宋体" w:cs="宋体"/>
                <w:b w:val="0"/>
                <w:bCs/>
                <w:color w:val="auto"/>
                <w:sz w:val="24"/>
                <w:szCs w:val="24"/>
                <w:lang w:val="en-US" w:eastAsia="zh-CN"/>
              </w:rPr>
            </w:pPr>
          </w:p>
          <w:p w14:paraId="4719F1D5">
            <w:pPr>
              <w:widowControl/>
              <w:spacing w:line="240" w:lineRule="auto"/>
              <w:jc w:val="center"/>
              <w:textAlignment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w:t>
            </w:r>
          </w:p>
        </w:tc>
        <w:tc>
          <w:tcPr>
            <w:tcW w:w="998" w:type="dxa"/>
            <w:noWrap/>
            <w:vAlign w:val="center"/>
          </w:tcPr>
          <w:p w14:paraId="53497D92">
            <w:pPr>
              <w:widowControl/>
              <w:spacing w:line="240" w:lineRule="auto"/>
              <w:jc w:val="center"/>
              <w:textAlignment w:val="center"/>
              <w:rPr>
                <w:rFonts w:hint="eastAsia" w:ascii="宋体" w:hAnsi="宋体" w:eastAsia="宋体" w:cs="宋体"/>
                <w:b w:val="0"/>
                <w:bCs/>
                <w:color w:val="auto"/>
                <w:sz w:val="24"/>
                <w:szCs w:val="24"/>
                <w:lang w:val="en-US" w:eastAsia="zh-CN"/>
              </w:rPr>
            </w:pPr>
          </w:p>
          <w:p w14:paraId="11DDD460">
            <w:pPr>
              <w:widowControl/>
              <w:spacing w:line="240" w:lineRule="auto"/>
              <w:jc w:val="center"/>
              <w:textAlignment w:val="center"/>
              <w:rPr>
                <w:rFonts w:hint="eastAsia" w:ascii="宋体" w:hAnsi="宋体" w:eastAsia="宋体" w:cs="宋体"/>
                <w:b w:val="0"/>
                <w:bCs/>
                <w:color w:val="auto"/>
                <w:sz w:val="24"/>
                <w:szCs w:val="24"/>
                <w:lang w:val="en-US" w:eastAsia="zh-CN"/>
              </w:rPr>
            </w:pPr>
          </w:p>
          <w:p w14:paraId="2FC35132">
            <w:pPr>
              <w:widowControl/>
              <w:spacing w:line="240" w:lineRule="auto"/>
              <w:jc w:val="center"/>
              <w:textAlignment w:val="center"/>
              <w:rPr>
                <w:rFonts w:hint="eastAsia" w:ascii="宋体" w:hAnsi="宋体" w:eastAsia="宋体" w:cs="宋体"/>
                <w:b w:val="0"/>
                <w:bCs/>
                <w:color w:val="auto"/>
                <w:sz w:val="24"/>
                <w:szCs w:val="24"/>
                <w:lang w:val="en-US" w:eastAsia="zh-CN"/>
              </w:rPr>
            </w:pPr>
          </w:p>
          <w:p w14:paraId="33E57AF7">
            <w:pPr>
              <w:widowControl/>
              <w:spacing w:line="240" w:lineRule="auto"/>
              <w:jc w:val="center"/>
              <w:textAlignment w:val="center"/>
              <w:rPr>
                <w:rFonts w:hint="eastAsia" w:ascii="宋体" w:hAnsi="宋体" w:eastAsia="宋体" w:cs="宋体"/>
                <w:b w:val="0"/>
                <w:bCs/>
                <w:color w:val="auto"/>
                <w:sz w:val="24"/>
                <w:szCs w:val="24"/>
                <w:lang w:val="en-US" w:eastAsia="zh-CN"/>
              </w:rPr>
            </w:pPr>
          </w:p>
          <w:p w14:paraId="4856CC2E">
            <w:pPr>
              <w:widowControl/>
              <w:spacing w:line="240" w:lineRule="auto"/>
              <w:jc w:val="center"/>
              <w:textAlignment w:val="center"/>
              <w:rPr>
                <w:rFonts w:hint="eastAsia" w:ascii="宋体" w:hAnsi="宋体" w:eastAsia="宋体" w:cs="宋体"/>
                <w:b w:val="0"/>
                <w:bCs/>
                <w:color w:val="auto"/>
                <w:sz w:val="24"/>
                <w:szCs w:val="24"/>
                <w:lang w:val="en-US" w:eastAsia="zh-CN"/>
              </w:rPr>
            </w:pPr>
          </w:p>
          <w:p w14:paraId="185C2BF5">
            <w:pPr>
              <w:widowControl/>
              <w:spacing w:line="240" w:lineRule="auto"/>
              <w:jc w:val="center"/>
              <w:textAlignment w:val="center"/>
              <w:rPr>
                <w:rFonts w:hint="eastAsia" w:ascii="宋体" w:hAnsi="宋体" w:eastAsia="宋体" w:cs="宋体"/>
                <w:b w:val="0"/>
                <w:bCs/>
                <w:color w:val="auto"/>
                <w:sz w:val="24"/>
                <w:szCs w:val="24"/>
                <w:lang w:val="en-US" w:eastAsia="zh-CN"/>
              </w:rPr>
            </w:pPr>
          </w:p>
          <w:p w14:paraId="269804A1">
            <w:pPr>
              <w:widowControl/>
              <w:spacing w:line="240" w:lineRule="auto"/>
              <w:jc w:val="center"/>
              <w:textAlignment w:val="center"/>
              <w:rPr>
                <w:rFonts w:hint="eastAsia" w:ascii="宋体" w:hAnsi="宋体" w:eastAsia="宋体" w:cs="宋体"/>
                <w:b w:val="0"/>
                <w:bCs/>
                <w:color w:val="auto"/>
                <w:sz w:val="24"/>
                <w:szCs w:val="24"/>
                <w:lang w:val="en-US" w:eastAsia="zh-CN"/>
              </w:rPr>
            </w:pPr>
          </w:p>
          <w:p w14:paraId="3A11E07D">
            <w:pPr>
              <w:widowControl/>
              <w:spacing w:line="240" w:lineRule="auto"/>
              <w:jc w:val="center"/>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整体反射子母无影灯</w:t>
            </w:r>
          </w:p>
        </w:tc>
        <w:tc>
          <w:tcPr>
            <w:tcW w:w="4808" w:type="dxa"/>
            <w:noWrap/>
            <w:vAlign w:val="center"/>
          </w:tcPr>
          <w:p w14:paraId="56840980">
            <w:pPr>
              <w:widowControl/>
              <w:spacing w:line="240" w:lineRule="auto"/>
              <w:jc w:val="left"/>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照度（可调）40000-180000Lux</w:t>
            </w:r>
          </w:p>
          <w:p w14:paraId="576D19D1">
            <w:pPr>
              <w:widowControl/>
              <w:spacing w:line="240" w:lineRule="auto"/>
              <w:jc w:val="left"/>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色温（可调）4500K±250K</w:t>
            </w:r>
          </w:p>
          <w:p w14:paraId="2181EE24">
            <w:pPr>
              <w:widowControl/>
              <w:spacing w:line="240" w:lineRule="auto"/>
              <w:jc w:val="left"/>
              <w:textAlignment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显色指数≥9</w:t>
            </w:r>
            <w:r>
              <w:rPr>
                <w:rFonts w:hint="eastAsia" w:ascii="宋体" w:hAnsi="宋体" w:eastAsia="宋体" w:cs="宋体"/>
                <w:b w:val="0"/>
                <w:bCs/>
                <w:color w:val="auto"/>
                <w:sz w:val="24"/>
                <w:szCs w:val="24"/>
                <w:lang w:val="en-US" w:eastAsia="zh-CN"/>
              </w:rPr>
              <w:t>0</w:t>
            </w:r>
          </w:p>
          <w:p w14:paraId="5302401C">
            <w:pPr>
              <w:widowControl/>
              <w:spacing w:line="240" w:lineRule="auto"/>
              <w:jc w:val="left"/>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4</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光柱深度≥1200mm</w:t>
            </w:r>
          </w:p>
          <w:p w14:paraId="63C1E6E2">
            <w:pPr>
              <w:widowControl/>
              <w:spacing w:line="240" w:lineRule="auto"/>
              <w:jc w:val="left"/>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5</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光斑直径</w:t>
            </w:r>
            <w:r>
              <w:rPr>
                <w:rFonts w:hint="eastAsia" w:ascii="宋体" w:hAnsi="宋体" w:eastAsia="宋体" w:cs="宋体"/>
                <w:b w:val="0"/>
                <w:bCs/>
                <w:color w:val="auto"/>
                <w:sz w:val="24"/>
                <w:szCs w:val="24"/>
                <w:lang w:val="en-US" w:eastAsia="zh-CN"/>
              </w:rPr>
              <w:t xml:space="preserve"> </w:t>
            </w:r>
            <w:r>
              <w:rPr>
                <w:rFonts w:hint="eastAsia" w:ascii="宋体" w:hAnsi="宋体" w:eastAsia="宋体" w:cs="宋体"/>
                <w:b w:val="0"/>
                <w:bCs/>
                <w:color w:val="auto"/>
                <w:sz w:val="24"/>
                <w:szCs w:val="24"/>
              </w:rPr>
              <w:t>160-280mm</w:t>
            </w:r>
          </w:p>
          <w:p w14:paraId="10E888A3">
            <w:pPr>
              <w:widowControl/>
              <w:spacing w:line="240" w:lineRule="auto"/>
              <w:jc w:val="left"/>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6</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照度调节</w:t>
            </w:r>
            <w:r>
              <w:rPr>
                <w:rFonts w:hint="eastAsia" w:ascii="宋体" w:hAnsi="宋体" w:eastAsia="宋体" w:cs="宋体"/>
                <w:b w:val="0"/>
                <w:bCs/>
                <w:color w:val="auto"/>
                <w:sz w:val="24"/>
                <w:szCs w:val="24"/>
                <w:lang w:val="en-US" w:eastAsia="zh-CN"/>
              </w:rPr>
              <w:t xml:space="preserve">  </w:t>
            </w:r>
            <w:r>
              <w:rPr>
                <w:rFonts w:hint="eastAsia" w:ascii="宋体" w:hAnsi="宋体" w:eastAsia="宋体" w:cs="宋体"/>
                <w:b w:val="0"/>
                <w:bCs/>
                <w:color w:val="auto"/>
                <w:sz w:val="24"/>
                <w:szCs w:val="24"/>
              </w:rPr>
              <w:t>十档连续调光</w:t>
            </w:r>
          </w:p>
          <w:p w14:paraId="2C2C2B43">
            <w:pPr>
              <w:widowControl/>
              <w:spacing w:line="240" w:lineRule="auto"/>
              <w:jc w:val="left"/>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7</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灯泡功率150W</w:t>
            </w:r>
          </w:p>
          <w:p w14:paraId="16C08D70">
            <w:pPr>
              <w:widowControl/>
              <w:spacing w:line="240" w:lineRule="auto"/>
              <w:jc w:val="left"/>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8.</w:t>
            </w:r>
            <w:r>
              <w:rPr>
                <w:rFonts w:hint="eastAsia" w:ascii="宋体" w:hAnsi="宋体" w:eastAsia="宋体" w:cs="宋体"/>
                <w:b w:val="0"/>
                <w:bCs/>
                <w:color w:val="auto"/>
                <w:sz w:val="24"/>
                <w:szCs w:val="24"/>
              </w:rPr>
              <w:t>灯泡平均寿命≥1500h</w:t>
            </w:r>
          </w:p>
          <w:p w14:paraId="41748BDF">
            <w:pPr>
              <w:widowControl/>
              <w:spacing w:line="240" w:lineRule="auto"/>
              <w:jc w:val="left"/>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9</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主副灯自动切换﹤0.2秒</w:t>
            </w:r>
          </w:p>
          <w:p w14:paraId="0ADDABF5">
            <w:pPr>
              <w:widowControl/>
              <w:spacing w:line="240" w:lineRule="auto"/>
              <w:jc w:val="left"/>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w:t>
            </w:r>
            <w:r>
              <w:rPr>
                <w:rFonts w:hint="eastAsia" w:ascii="宋体" w:hAnsi="宋体" w:eastAsia="宋体" w:cs="宋体"/>
                <w:b w:val="0"/>
                <w:bCs/>
                <w:color w:val="auto"/>
                <w:sz w:val="24"/>
                <w:szCs w:val="24"/>
                <w:lang w:val="en-US" w:eastAsia="zh-CN"/>
              </w:rPr>
              <w:t>0</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电源电压</w:t>
            </w:r>
            <w:r>
              <w:rPr>
                <w:rFonts w:hint="eastAsia" w:ascii="宋体" w:hAnsi="宋体" w:eastAsia="宋体" w:cs="宋体"/>
                <w:b w:val="0"/>
                <w:bCs/>
                <w:color w:val="auto"/>
                <w:sz w:val="24"/>
                <w:szCs w:val="24"/>
                <w:lang w:val="en-US" w:eastAsia="zh-CN"/>
              </w:rPr>
              <w:t xml:space="preserve"> </w:t>
            </w:r>
            <w:r>
              <w:rPr>
                <w:rFonts w:hint="eastAsia" w:ascii="宋体" w:hAnsi="宋体" w:eastAsia="宋体" w:cs="宋体"/>
                <w:b w:val="0"/>
                <w:bCs/>
                <w:color w:val="auto"/>
                <w:sz w:val="24"/>
                <w:szCs w:val="24"/>
              </w:rPr>
              <w:t>AC100-240V50/60HZ</w:t>
            </w:r>
          </w:p>
          <w:p w14:paraId="6DAD1DF5">
            <w:pPr>
              <w:widowControl/>
              <w:spacing w:line="240" w:lineRule="auto"/>
              <w:jc w:val="left"/>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功能特点</w:t>
            </w:r>
          </w:p>
          <w:p w14:paraId="633B8B2D">
            <w:pPr>
              <w:widowControl/>
              <w:spacing w:line="240" w:lineRule="auto"/>
              <w:jc w:val="left"/>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数字集成电路控制系统</w:t>
            </w:r>
          </w:p>
          <w:p w14:paraId="0D3ADE71">
            <w:pPr>
              <w:widowControl/>
              <w:spacing w:line="240" w:lineRule="auto"/>
              <w:jc w:val="left"/>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电源开关、亮度调节、主副灯切换及检测，操作实用一体化，</w:t>
            </w:r>
            <w:r>
              <w:rPr>
                <w:rFonts w:hint="eastAsia" w:hAnsi="宋体" w:cs="宋体"/>
                <w:b w:val="0"/>
                <w:bCs/>
                <w:color w:val="auto"/>
                <w:sz w:val="24"/>
                <w:szCs w:val="24"/>
                <w:lang w:val="en-US" w:eastAsia="zh-CN"/>
              </w:rPr>
              <w:t>至少</w:t>
            </w:r>
            <w:r>
              <w:rPr>
                <w:rFonts w:hint="eastAsia" w:ascii="宋体" w:hAnsi="宋体" w:eastAsia="宋体" w:cs="宋体"/>
                <w:b w:val="0"/>
                <w:bCs/>
                <w:color w:val="auto"/>
                <w:sz w:val="24"/>
                <w:szCs w:val="24"/>
              </w:rPr>
              <w:t>十档亮度选择及亮度记忆功能，自行指示发光二极管亮度。面板有主灯故障指示灯，提醒手术后及时更换灯泡。具备宽电压工作特性，</w:t>
            </w:r>
          </w:p>
          <w:p w14:paraId="5D875D10">
            <w:pPr>
              <w:widowControl/>
              <w:spacing w:line="240" w:lineRule="auto"/>
              <w:jc w:val="left"/>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反光镜：镜面应用特殊工艺+氧化+电解新技术，不褪色，不掉氧化膜。</w:t>
            </w:r>
          </w:p>
          <w:p w14:paraId="2F59DCD2">
            <w:pPr>
              <w:widowControl/>
              <w:spacing w:line="240" w:lineRule="auto"/>
              <w:jc w:val="left"/>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多面镜反射系统：镜片达到5280片以上。</w:t>
            </w:r>
          </w:p>
          <w:p w14:paraId="6FFCE769">
            <w:pPr>
              <w:widowControl/>
              <w:spacing w:line="240" w:lineRule="auto"/>
              <w:jc w:val="left"/>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信号指示系统</w:t>
            </w:r>
          </w:p>
          <w:p w14:paraId="43DF71D5">
            <w:pPr>
              <w:widowControl/>
              <w:spacing w:line="240" w:lineRule="auto"/>
              <w:jc w:val="left"/>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手术过程中主灯出现光源故障</w:t>
            </w:r>
            <w:r>
              <w:rPr>
                <w:rFonts w:hint="eastAsia" w:ascii="宋体" w:hAnsi="宋体" w:eastAsia="宋体" w:cs="宋体"/>
                <w:b w:val="0"/>
                <w:bCs/>
                <w:color w:val="auto"/>
                <w:sz w:val="24"/>
                <w:szCs w:val="24"/>
                <w:lang w:val="en-US" w:eastAsia="zh-CN"/>
              </w:rPr>
              <w:t>时</w:t>
            </w:r>
            <w:r>
              <w:rPr>
                <w:rFonts w:hint="eastAsia" w:ascii="宋体" w:hAnsi="宋体" w:eastAsia="宋体" w:cs="宋体"/>
                <w:b w:val="0"/>
                <w:bCs/>
                <w:color w:val="auto"/>
                <w:sz w:val="24"/>
                <w:szCs w:val="24"/>
              </w:rPr>
              <w:t>，系统自动切换备用灯泡模式，光照强度和手术区域不会受到影响，保障手术正常进行。</w:t>
            </w:r>
          </w:p>
          <w:p w14:paraId="3E7866F1">
            <w:pPr>
              <w:widowControl/>
              <w:spacing w:line="240" w:lineRule="auto"/>
              <w:jc w:val="left"/>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4</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万向关节系统</w:t>
            </w:r>
          </w:p>
          <w:p w14:paraId="49A4584D">
            <w:pPr>
              <w:widowControl/>
              <w:spacing w:line="240" w:lineRule="auto"/>
              <w:jc w:val="left"/>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弹簧臂悬挂系统六组万向，关节联动360º的全方位设计。</w:t>
            </w:r>
          </w:p>
          <w:p w14:paraId="5B3E4ECC">
            <w:pPr>
              <w:widowControl/>
              <w:spacing w:line="240" w:lineRule="auto"/>
              <w:jc w:val="left"/>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5.</w:t>
            </w:r>
            <w:r>
              <w:rPr>
                <w:rFonts w:hint="eastAsia" w:ascii="宋体" w:hAnsi="宋体" w:eastAsia="宋体" w:cs="宋体"/>
                <w:b w:val="0"/>
                <w:bCs/>
                <w:color w:val="auto"/>
                <w:sz w:val="24"/>
                <w:szCs w:val="24"/>
              </w:rPr>
              <w:t>色温校正系统提供接近自然</w:t>
            </w:r>
            <w:r>
              <w:rPr>
                <w:rFonts w:hint="eastAsia" w:ascii="宋体" w:hAnsi="宋体" w:eastAsia="宋体" w:cs="宋体"/>
                <w:b w:val="0"/>
                <w:bCs/>
                <w:color w:val="auto"/>
                <w:sz w:val="24"/>
                <w:szCs w:val="24"/>
                <w:lang w:val="en-US" w:eastAsia="zh-CN"/>
              </w:rPr>
              <w:t>日光</w:t>
            </w:r>
            <w:r>
              <w:rPr>
                <w:rFonts w:hint="eastAsia" w:ascii="宋体" w:hAnsi="宋体" w:eastAsia="宋体" w:cs="宋体"/>
                <w:b w:val="0"/>
                <w:bCs/>
                <w:color w:val="auto"/>
                <w:sz w:val="24"/>
                <w:szCs w:val="24"/>
              </w:rPr>
              <w:t>。</w:t>
            </w:r>
          </w:p>
        </w:tc>
        <w:tc>
          <w:tcPr>
            <w:tcW w:w="723" w:type="dxa"/>
            <w:noWrap w:val="0"/>
            <w:vAlign w:val="center"/>
          </w:tcPr>
          <w:p w14:paraId="0FB0AA85">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67D4A5F7">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7FE69CDF">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0CA986A5">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2BCECAED">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34505B8E">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545A2F6C">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0445DD6F">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12FFB2F1">
            <w:pPr>
              <w:keepNext w:val="0"/>
              <w:keepLines w:val="0"/>
              <w:widowControl/>
              <w:suppressLineNumbers w:val="0"/>
              <w:ind w:left="0" w:leftChars="0"/>
              <w:jc w:val="center"/>
              <w:textAlignment w:val="center"/>
              <w:rPr>
                <w:rFonts w:hint="eastAsia" w:ascii="宋体" w:hAnsi="宋体" w:eastAsia="宋体" w:cs="宋体"/>
                <w:b w:val="0"/>
                <w:bCs/>
                <w:color w:val="auto"/>
                <w:sz w:val="24"/>
                <w:szCs w:val="24"/>
                <w:lang w:val="en-US" w:eastAsia="zh-CN"/>
              </w:rPr>
            </w:pPr>
            <w:r>
              <w:rPr>
                <w:rFonts w:hint="eastAsia" w:ascii="宋体" w:hAnsi="宋体" w:eastAsia="宋体" w:cs="宋体"/>
                <w:i w:val="0"/>
                <w:iCs w:val="0"/>
                <w:color w:val="000000"/>
                <w:kern w:val="0"/>
                <w:sz w:val="24"/>
                <w:szCs w:val="24"/>
                <w:u w:val="none"/>
                <w:lang w:val="en-US" w:eastAsia="zh-CN"/>
              </w:rPr>
              <w:t>1</w:t>
            </w:r>
          </w:p>
        </w:tc>
        <w:tc>
          <w:tcPr>
            <w:tcW w:w="759" w:type="dxa"/>
            <w:noWrap w:val="0"/>
            <w:vAlign w:val="center"/>
          </w:tcPr>
          <w:p w14:paraId="2E260071">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359F3F3F">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502C8A09">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3C74F6DB">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2C5EF208">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1E233F47">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528BC5E7">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41B6711B">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6E06FCAE">
            <w:pPr>
              <w:keepNext w:val="0"/>
              <w:keepLines w:val="0"/>
              <w:widowControl/>
              <w:suppressLineNumbers w:val="0"/>
              <w:ind w:left="0" w:leftChars="0"/>
              <w:jc w:val="center"/>
              <w:textAlignment w:val="center"/>
              <w:rPr>
                <w:rFonts w:hint="eastAsia" w:ascii="宋体" w:hAnsi="宋体" w:eastAsia="宋体" w:cs="宋体"/>
                <w:b w:val="0"/>
                <w:bCs/>
                <w:color w:val="auto"/>
                <w:sz w:val="24"/>
                <w:szCs w:val="24"/>
                <w:lang w:val="en-US" w:eastAsia="zh-CN"/>
              </w:rPr>
            </w:pPr>
            <w:r>
              <w:rPr>
                <w:rFonts w:hint="eastAsia" w:ascii="宋体" w:hAnsi="宋体" w:eastAsia="宋体" w:cs="宋体"/>
                <w:i w:val="0"/>
                <w:iCs w:val="0"/>
                <w:color w:val="000000"/>
                <w:kern w:val="0"/>
                <w:sz w:val="24"/>
                <w:szCs w:val="24"/>
                <w:u w:val="none"/>
                <w:lang w:val="en-US" w:eastAsia="zh-CN"/>
              </w:rPr>
              <w:t>台</w:t>
            </w:r>
          </w:p>
        </w:tc>
      </w:tr>
      <w:tr w14:paraId="35373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0" w:hRule="atLeast"/>
          <w:jc w:val="center"/>
        </w:trPr>
        <w:tc>
          <w:tcPr>
            <w:tcW w:w="629" w:type="dxa"/>
            <w:noWrap/>
            <w:vAlign w:val="center"/>
          </w:tcPr>
          <w:p w14:paraId="3BC05C87">
            <w:pPr>
              <w:widowControl/>
              <w:spacing w:line="240" w:lineRule="auto"/>
              <w:jc w:val="center"/>
              <w:textAlignment w:val="center"/>
              <w:rPr>
                <w:rFonts w:hint="eastAsia" w:ascii="宋体" w:hAnsi="宋体" w:eastAsia="宋体" w:cs="宋体"/>
                <w:b/>
                <w:color w:val="auto"/>
                <w:sz w:val="24"/>
                <w:szCs w:val="24"/>
                <w:lang w:val="en-US" w:eastAsia="zh-CN"/>
              </w:rPr>
            </w:pPr>
            <w:r>
              <w:rPr>
                <w:rFonts w:hint="eastAsia" w:ascii="宋体" w:hAnsi="宋体" w:eastAsia="宋体" w:cs="宋体"/>
                <w:b w:val="0"/>
                <w:bCs/>
                <w:color w:val="auto"/>
                <w:sz w:val="24"/>
                <w:szCs w:val="24"/>
                <w:lang w:val="en-US" w:eastAsia="zh-CN"/>
              </w:rPr>
              <w:t>4</w:t>
            </w:r>
          </w:p>
        </w:tc>
        <w:tc>
          <w:tcPr>
            <w:tcW w:w="998" w:type="dxa"/>
            <w:noWrap/>
            <w:vAlign w:val="center"/>
          </w:tcPr>
          <w:p w14:paraId="2BF96C0C">
            <w:pPr>
              <w:widowControl/>
              <w:spacing w:line="240" w:lineRule="auto"/>
              <w:jc w:val="center"/>
              <w:textAlignment w:val="center"/>
              <w:rPr>
                <w:rFonts w:hint="eastAsia" w:ascii="宋体" w:hAnsi="宋体" w:eastAsia="宋体" w:cs="宋体"/>
                <w:b/>
                <w:color w:val="auto"/>
                <w:sz w:val="24"/>
                <w:szCs w:val="24"/>
              </w:rPr>
            </w:pPr>
            <w:r>
              <w:rPr>
                <w:rFonts w:hint="eastAsia" w:ascii="宋体" w:hAnsi="宋体" w:eastAsia="宋体" w:cs="宋体"/>
                <w:color w:val="auto"/>
                <w:sz w:val="24"/>
                <w:szCs w:val="24"/>
                <w:lang w:val="en-US" w:eastAsia="zh-CN"/>
              </w:rPr>
              <w:t>模拟多参数监护仪</w:t>
            </w:r>
          </w:p>
        </w:tc>
        <w:tc>
          <w:tcPr>
            <w:tcW w:w="4808" w:type="dxa"/>
            <w:noWrap/>
            <w:vAlign w:val="center"/>
          </w:tcPr>
          <w:p w14:paraId="480934A6">
            <w:pPr>
              <w:widowControl/>
              <w:spacing w:line="240" w:lineRule="auto"/>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1.与临床医用监护仪外观、界面一致</w:t>
            </w:r>
          </w:p>
          <w:p w14:paraId="4509ADCA">
            <w:pPr>
              <w:widowControl/>
              <w:spacing w:line="240" w:lineRule="auto"/>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2.支持无创血压袖带等插件，物理按键含开关机、静音等功能；</w:t>
            </w:r>
          </w:p>
          <w:p w14:paraId="05A62DE0">
            <w:pPr>
              <w:widowControl/>
              <w:spacing w:line="240" w:lineRule="auto"/>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3.可自动给袖带充放气测无创血压</w:t>
            </w:r>
          </w:p>
          <w:p w14:paraId="07E4273D">
            <w:pPr>
              <w:widowControl/>
              <w:spacing w:line="240" w:lineRule="auto"/>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4.能侦测心电导联位置、血氧饱和度</w:t>
            </w:r>
          </w:p>
          <w:p w14:paraId="31308E29">
            <w:pPr>
              <w:widowControl/>
              <w:spacing w:line="240" w:lineRule="auto"/>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5.显示CT等辅助检查结果</w:t>
            </w:r>
          </w:p>
          <w:p w14:paraId="228BBB98">
            <w:pPr>
              <w:widowControl/>
              <w:spacing w:line="240" w:lineRule="auto"/>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6.可调节心率、血压等报警上下限，切换多心电导联</w:t>
            </w:r>
          </w:p>
          <w:p w14:paraId="3816B72F">
            <w:pPr>
              <w:widowControl/>
              <w:spacing w:line="240" w:lineRule="auto"/>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7.能与模拟除颤仪配合，CPR按压时实时显示被动心率波形</w:t>
            </w:r>
          </w:p>
          <w:p w14:paraId="53E236B8">
            <w:pPr>
              <w:widowControl/>
              <w:spacing w:line="240" w:lineRule="auto"/>
              <w:jc w:val="left"/>
              <w:textAlignment w:val="center"/>
              <w:rPr>
                <w:rFonts w:hint="eastAsia" w:ascii="宋体" w:hAnsi="宋体" w:eastAsia="宋体" w:cs="宋体"/>
                <w:b/>
                <w:color w:val="auto"/>
                <w:sz w:val="24"/>
                <w:szCs w:val="24"/>
              </w:rPr>
            </w:pPr>
            <w:r>
              <w:rPr>
                <w:rFonts w:hint="eastAsia" w:ascii="宋体" w:hAnsi="宋体" w:eastAsia="宋体" w:cs="宋体"/>
                <w:color w:val="auto"/>
                <w:sz w:val="24"/>
                <w:szCs w:val="24"/>
                <w:lang w:val="en-US" w:eastAsia="zh-CN"/>
              </w:rPr>
              <w:t>8.可显示多生理参数及波形。</w:t>
            </w:r>
          </w:p>
        </w:tc>
        <w:tc>
          <w:tcPr>
            <w:tcW w:w="723" w:type="dxa"/>
            <w:noWrap w:val="0"/>
            <w:vAlign w:val="center"/>
          </w:tcPr>
          <w:p w14:paraId="73FBC2E5">
            <w:pPr>
              <w:keepNext w:val="0"/>
              <w:keepLines w:val="0"/>
              <w:widowControl/>
              <w:suppressLineNumbers w:val="0"/>
              <w:ind w:left="0" w:lef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rPr>
              <w:t>1</w:t>
            </w:r>
          </w:p>
        </w:tc>
        <w:tc>
          <w:tcPr>
            <w:tcW w:w="759" w:type="dxa"/>
            <w:noWrap w:val="0"/>
            <w:vAlign w:val="center"/>
          </w:tcPr>
          <w:p w14:paraId="6466F15B">
            <w:pPr>
              <w:keepNext w:val="0"/>
              <w:keepLines w:val="0"/>
              <w:widowControl/>
              <w:suppressLineNumbers w:val="0"/>
              <w:ind w:left="0" w:lef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rPr>
              <w:t>台</w:t>
            </w:r>
          </w:p>
        </w:tc>
      </w:tr>
      <w:tr w14:paraId="5D305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0" w:hRule="atLeast"/>
          <w:jc w:val="center"/>
        </w:trPr>
        <w:tc>
          <w:tcPr>
            <w:tcW w:w="629" w:type="dxa"/>
            <w:noWrap/>
            <w:vAlign w:val="center"/>
          </w:tcPr>
          <w:p w14:paraId="42447BAF">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5</w:t>
            </w:r>
          </w:p>
        </w:tc>
        <w:tc>
          <w:tcPr>
            <w:tcW w:w="998" w:type="dxa"/>
            <w:noWrap/>
            <w:vAlign w:val="center"/>
          </w:tcPr>
          <w:p w14:paraId="0E4B3363">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不锈钢器械柜</w:t>
            </w:r>
          </w:p>
        </w:tc>
        <w:tc>
          <w:tcPr>
            <w:tcW w:w="4808" w:type="dxa"/>
            <w:noWrap/>
            <w:vAlign w:val="center"/>
          </w:tcPr>
          <w:p w14:paraId="22CDE32E">
            <w:pPr>
              <w:pStyle w:val="7"/>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1.规格：</w:t>
            </w:r>
            <w:r>
              <w:rPr>
                <w:rFonts w:hint="eastAsia"/>
                <w:lang w:val="en-US" w:eastAsia="zh-CN"/>
              </w:rPr>
              <w:t>≥</w:t>
            </w:r>
            <w:r>
              <w:rPr>
                <w:rFonts w:hint="eastAsia" w:ascii="宋体" w:hAnsi="宋体" w:eastAsia="宋体" w:cs="宋体"/>
                <w:b w:val="0"/>
                <w:bCs w:val="0"/>
                <w:color w:val="auto"/>
                <w:sz w:val="24"/>
                <w:szCs w:val="24"/>
              </w:rPr>
              <w:t>950*400*1800mm。</w:t>
            </w:r>
          </w:p>
          <w:p w14:paraId="6FD7D5B3">
            <w:pPr>
              <w:widowControl/>
              <w:spacing w:line="240" w:lineRule="auto"/>
              <w:jc w:val="left"/>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2.材质：采用不锈钢板材，厚度≥1.2MM。</w:t>
            </w:r>
          </w:p>
          <w:p w14:paraId="3CB8075B">
            <w:pPr>
              <w:widowControl/>
              <w:spacing w:line="240" w:lineRule="auto"/>
              <w:jc w:val="left"/>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3.隔板承重</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30KG，3个隔板可以放置器械包，隔板下面均有加强筋。</w:t>
            </w:r>
          </w:p>
          <w:p w14:paraId="502E6662">
            <w:pPr>
              <w:widowControl/>
              <w:spacing w:line="240" w:lineRule="auto"/>
              <w:jc w:val="left"/>
              <w:textAlignment w:val="center"/>
              <w:rPr>
                <w:rFonts w:hint="eastAsia" w:ascii="宋体" w:hAnsi="宋体" w:eastAsia="宋体" w:cs="宋体"/>
                <w:b w:val="0"/>
                <w:bCs w:val="0"/>
                <w:color w:val="auto"/>
                <w:sz w:val="24"/>
                <w:szCs w:val="24"/>
              </w:rPr>
            </w:pPr>
            <w:r>
              <w:rPr>
                <w:rFonts w:hint="eastAsia" w:hAnsi="宋体" w:cs="宋体"/>
                <w:b w:val="0"/>
                <w:bCs w:val="0"/>
                <w:color w:val="auto"/>
                <w:sz w:val="24"/>
                <w:szCs w:val="24"/>
                <w:lang w:val="en-US" w:eastAsia="zh-CN"/>
              </w:rPr>
              <w:t>4</w:t>
            </w:r>
            <w:r>
              <w:rPr>
                <w:rFonts w:hint="eastAsia" w:ascii="宋体" w:hAnsi="宋体" w:eastAsia="宋体" w:cs="宋体"/>
                <w:b w:val="0"/>
                <w:bCs w:val="0"/>
                <w:color w:val="auto"/>
                <w:sz w:val="24"/>
                <w:szCs w:val="24"/>
              </w:rPr>
              <w:t>.上柜门配有透明</w:t>
            </w:r>
            <w:r>
              <w:rPr>
                <w:rFonts w:hint="eastAsia" w:ascii="宋体" w:hAnsi="宋体" w:eastAsia="宋体" w:cs="宋体"/>
                <w:b w:val="0"/>
                <w:bCs w:val="0"/>
                <w:color w:val="auto"/>
                <w:sz w:val="24"/>
                <w:szCs w:val="24"/>
                <w:lang w:val="en-US" w:eastAsia="zh-CN"/>
              </w:rPr>
              <w:t>防爆</w:t>
            </w:r>
            <w:r>
              <w:rPr>
                <w:rFonts w:hint="eastAsia" w:ascii="宋体" w:hAnsi="宋体" w:eastAsia="宋体" w:cs="宋体"/>
                <w:b w:val="0"/>
                <w:bCs w:val="0"/>
                <w:color w:val="auto"/>
                <w:sz w:val="24"/>
                <w:szCs w:val="24"/>
              </w:rPr>
              <w:t>玻璃，玻璃厚达≥5mm</w:t>
            </w:r>
            <w:r>
              <w:rPr>
                <w:rFonts w:hint="eastAsia" w:ascii="宋体" w:hAnsi="宋体" w:eastAsia="宋体" w:cs="宋体"/>
                <w:b w:val="0"/>
                <w:bCs w:val="0"/>
                <w:color w:val="auto"/>
                <w:sz w:val="24"/>
                <w:szCs w:val="24"/>
                <w:lang w:eastAsia="zh-CN"/>
              </w:rPr>
              <w:t>。</w:t>
            </w:r>
          </w:p>
        </w:tc>
        <w:tc>
          <w:tcPr>
            <w:tcW w:w="723" w:type="dxa"/>
            <w:noWrap w:val="0"/>
            <w:vAlign w:val="center"/>
          </w:tcPr>
          <w:p w14:paraId="717FE59C">
            <w:pPr>
              <w:keepNext w:val="0"/>
              <w:keepLines w:val="0"/>
              <w:widowControl/>
              <w:suppressLineNumbers w:val="0"/>
              <w:ind w:left="0" w:leftChars="0"/>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rPr>
              <w:t>2</w:t>
            </w:r>
          </w:p>
        </w:tc>
        <w:tc>
          <w:tcPr>
            <w:tcW w:w="759" w:type="dxa"/>
            <w:noWrap w:val="0"/>
            <w:vAlign w:val="center"/>
          </w:tcPr>
          <w:p w14:paraId="2C60B6D3">
            <w:pPr>
              <w:keepNext w:val="0"/>
              <w:keepLines w:val="0"/>
              <w:widowControl/>
              <w:suppressLineNumbers w:val="0"/>
              <w:ind w:left="0" w:leftChars="0"/>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rPr>
              <w:t>组</w:t>
            </w:r>
          </w:p>
        </w:tc>
      </w:tr>
      <w:tr w14:paraId="7E154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0" w:hRule="atLeast"/>
          <w:jc w:val="center"/>
        </w:trPr>
        <w:tc>
          <w:tcPr>
            <w:tcW w:w="629" w:type="dxa"/>
            <w:noWrap/>
            <w:vAlign w:val="center"/>
          </w:tcPr>
          <w:p w14:paraId="71B4E7FD">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6</w:t>
            </w:r>
          </w:p>
        </w:tc>
        <w:tc>
          <w:tcPr>
            <w:tcW w:w="998" w:type="dxa"/>
            <w:noWrap/>
            <w:vAlign w:val="center"/>
          </w:tcPr>
          <w:p w14:paraId="5041F8D2">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不锈钢扇形手术器械车</w:t>
            </w:r>
          </w:p>
        </w:tc>
        <w:tc>
          <w:tcPr>
            <w:tcW w:w="4808" w:type="dxa"/>
            <w:noWrap/>
            <w:vAlign w:val="center"/>
          </w:tcPr>
          <w:p w14:paraId="1A310D3B">
            <w:pPr>
              <w:pStyle w:val="7"/>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1.规格：</w:t>
            </w:r>
            <w:r>
              <w:rPr>
                <w:rFonts w:hint="eastAsia"/>
                <w:lang w:val="en-US" w:eastAsia="zh-CN"/>
              </w:rPr>
              <w:t>≥</w:t>
            </w:r>
            <w:r>
              <w:rPr>
                <w:rFonts w:hint="eastAsia" w:ascii="宋体" w:hAnsi="宋体" w:eastAsia="宋体" w:cs="宋体"/>
                <w:b w:val="0"/>
                <w:bCs w:val="0"/>
                <w:color w:val="auto"/>
                <w:sz w:val="24"/>
                <w:szCs w:val="24"/>
              </w:rPr>
              <w:t>1400*575*840mm。</w:t>
            </w:r>
          </w:p>
          <w:p w14:paraId="1C6C9438">
            <w:pPr>
              <w:widowControl/>
              <w:spacing w:line="240" w:lineRule="auto"/>
              <w:jc w:val="left"/>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2.材质及工艺：选不锈钢加厚管材，管壁厚度≥1.2MM。</w:t>
            </w:r>
          </w:p>
          <w:p w14:paraId="3C52687B">
            <w:pPr>
              <w:widowControl/>
              <w:spacing w:line="240" w:lineRule="auto"/>
              <w:jc w:val="left"/>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3.板材厚度≥1.2MM，台面承重≥40KG，双层设计，每层下面均焊有支撑管，三面护栏。</w:t>
            </w:r>
          </w:p>
          <w:p w14:paraId="64D8309E">
            <w:pPr>
              <w:widowControl/>
              <w:spacing w:line="240" w:lineRule="auto"/>
              <w:jc w:val="left"/>
              <w:textAlignment w:val="center"/>
              <w:rPr>
                <w:rFonts w:hint="eastAsia" w:ascii="宋体" w:hAnsi="宋体" w:eastAsia="宋体" w:cs="宋体"/>
                <w:b w:val="0"/>
                <w:bCs w:val="0"/>
                <w:color w:val="auto"/>
                <w:sz w:val="24"/>
                <w:szCs w:val="24"/>
              </w:rPr>
            </w:pPr>
            <w:r>
              <w:rPr>
                <w:rFonts w:hint="eastAsia" w:hAnsi="宋体" w:cs="宋体"/>
                <w:b w:val="0"/>
                <w:bCs w:val="0"/>
                <w:color w:val="auto"/>
                <w:sz w:val="24"/>
                <w:szCs w:val="24"/>
                <w:lang w:val="en-US" w:eastAsia="zh-CN"/>
              </w:rPr>
              <w:t>4</w:t>
            </w:r>
            <w:r>
              <w:rPr>
                <w:rFonts w:hint="eastAsia" w:ascii="宋体" w:hAnsi="宋体" w:eastAsia="宋体" w:cs="宋体"/>
                <w:b w:val="0"/>
                <w:bCs w:val="0"/>
                <w:color w:val="auto"/>
                <w:sz w:val="24"/>
                <w:szCs w:val="24"/>
              </w:rPr>
              <w:t>.采用静音医用</w:t>
            </w:r>
            <w:r>
              <w:rPr>
                <w:rFonts w:hint="eastAsia" w:ascii="宋体" w:hAnsi="宋体" w:eastAsia="宋体" w:cs="宋体"/>
                <w:b w:val="0"/>
                <w:bCs w:val="0"/>
                <w:color w:val="auto"/>
                <w:sz w:val="24"/>
                <w:szCs w:val="24"/>
                <w:lang w:val="en-US" w:eastAsia="zh-CN"/>
              </w:rPr>
              <w:t>万向</w:t>
            </w:r>
            <w:r>
              <w:rPr>
                <w:rFonts w:hint="eastAsia" w:ascii="宋体" w:hAnsi="宋体" w:eastAsia="宋体" w:cs="宋体"/>
                <w:b w:val="0"/>
                <w:bCs w:val="0"/>
                <w:color w:val="auto"/>
                <w:sz w:val="24"/>
                <w:szCs w:val="24"/>
              </w:rPr>
              <w:t>脚轮</w:t>
            </w:r>
            <w:r>
              <w:rPr>
                <w:rFonts w:hint="eastAsia" w:hAnsi="宋体" w:cs="宋体"/>
                <w:b w:val="0"/>
                <w:bCs w:val="0"/>
                <w:color w:val="auto"/>
                <w:sz w:val="24"/>
                <w:szCs w:val="24"/>
                <w:lang w:val="en-US" w:eastAsia="zh-CN"/>
              </w:rPr>
              <w:t>.</w:t>
            </w:r>
          </w:p>
        </w:tc>
        <w:tc>
          <w:tcPr>
            <w:tcW w:w="723" w:type="dxa"/>
            <w:noWrap w:val="0"/>
            <w:vAlign w:val="center"/>
          </w:tcPr>
          <w:p w14:paraId="6DB8CCF3">
            <w:pPr>
              <w:keepNext w:val="0"/>
              <w:keepLines w:val="0"/>
              <w:widowControl/>
              <w:suppressLineNumbers w:val="0"/>
              <w:ind w:left="0" w:leftChars="0"/>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rPr>
              <w:t>2</w:t>
            </w:r>
          </w:p>
        </w:tc>
        <w:tc>
          <w:tcPr>
            <w:tcW w:w="759" w:type="dxa"/>
            <w:noWrap w:val="0"/>
            <w:vAlign w:val="center"/>
          </w:tcPr>
          <w:p w14:paraId="521798BE">
            <w:pPr>
              <w:keepNext w:val="0"/>
              <w:keepLines w:val="0"/>
              <w:widowControl/>
              <w:suppressLineNumbers w:val="0"/>
              <w:ind w:left="0" w:leftChars="0"/>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rPr>
              <w:t>台</w:t>
            </w:r>
          </w:p>
        </w:tc>
      </w:tr>
      <w:tr w14:paraId="739EA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0" w:hRule="atLeast"/>
          <w:jc w:val="center"/>
        </w:trPr>
        <w:tc>
          <w:tcPr>
            <w:tcW w:w="629" w:type="dxa"/>
            <w:noWrap/>
            <w:vAlign w:val="center"/>
          </w:tcPr>
          <w:p w14:paraId="459AB419">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7</w:t>
            </w:r>
          </w:p>
        </w:tc>
        <w:tc>
          <w:tcPr>
            <w:tcW w:w="998" w:type="dxa"/>
            <w:noWrap/>
            <w:vAlign w:val="center"/>
          </w:tcPr>
          <w:p w14:paraId="3872227E">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紫外线消毒车</w:t>
            </w:r>
          </w:p>
        </w:tc>
        <w:tc>
          <w:tcPr>
            <w:tcW w:w="4808" w:type="dxa"/>
            <w:noWrap/>
            <w:vAlign w:val="center"/>
          </w:tcPr>
          <w:p w14:paraId="7E2C7463">
            <w:pPr>
              <w:widowControl/>
              <w:spacing w:line="240" w:lineRule="auto"/>
              <w:jc w:val="left"/>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.紫外线消毒车为手推移动式消毒车，其灯臂为可折式双灯管结构，灯臂角度可以调节。</w:t>
            </w:r>
          </w:p>
          <w:p w14:paraId="179137FA">
            <w:pPr>
              <w:widowControl/>
              <w:spacing w:line="240" w:lineRule="auto"/>
              <w:jc w:val="left"/>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.该消毒车采用双≥30W直管型紫外线杀菌灯进行</w:t>
            </w:r>
            <w:r>
              <w:rPr>
                <w:rFonts w:hint="eastAsia" w:ascii="宋体" w:hAnsi="宋体" w:eastAsia="宋体" w:cs="宋体"/>
                <w:b w:val="0"/>
                <w:bCs w:val="0"/>
                <w:color w:val="auto"/>
                <w:sz w:val="24"/>
                <w:szCs w:val="24"/>
                <w:lang w:eastAsia="zh-CN"/>
              </w:rPr>
              <w:t>消毒</w:t>
            </w:r>
            <w:r>
              <w:rPr>
                <w:rFonts w:hint="eastAsia" w:ascii="宋体" w:hAnsi="宋体" w:eastAsia="宋体" w:cs="宋体"/>
                <w:b w:val="0"/>
                <w:bCs w:val="0"/>
                <w:color w:val="auto"/>
                <w:sz w:val="24"/>
                <w:szCs w:val="24"/>
              </w:rPr>
              <w:t>，灯臂可折叠收回，并在0°</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180°任意摆动定位，底座带四轮。</w:t>
            </w:r>
          </w:p>
          <w:p w14:paraId="2845504F">
            <w:pPr>
              <w:widowControl/>
              <w:spacing w:line="240" w:lineRule="auto"/>
              <w:jc w:val="left"/>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.0~120分钟内任意调节消毒时间。</w:t>
            </w:r>
          </w:p>
        </w:tc>
        <w:tc>
          <w:tcPr>
            <w:tcW w:w="723" w:type="dxa"/>
            <w:noWrap w:val="0"/>
            <w:vAlign w:val="center"/>
          </w:tcPr>
          <w:p w14:paraId="263ADB1D">
            <w:pPr>
              <w:keepNext w:val="0"/>
              <w:keepLines w:val="0"/>
              <w:widowControl/>
              <w:suppressLineNumbers w:val="0"/>
              <w:ind w:left="0" w:leftChars="0"/>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rPr>
              <w:t>1</w:t>
            </w:r>
          </w:p>
        </w:tc>
        <w:tc>
          <w:tcPr>
            <w:tcW w:w="759" w:type="dxa"/>
            <w:noWrap w:val="0"/>
            <w:vAlign w:val="center"/>
          </w:tcPr>
          <w:p w14:paraId="0540883F">
            <w:pPr>
              <w:keepNext w:val="0"/>
              <w:keepLines w:val="0"/>
              <w:widowControl/>
              <w:suppressLineNumbers w:val="0"/>
              <w:ind w:left="0" w:leftChars="0"/>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rPr>
              <w:t>台</w:t>
            </w:r>
          </w:p>
        </w:tc>
      </w:tr>
      <w:tr w14:paraId="0C2DB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0" w:hRule="atLeast"/>
          <w:jc w:val="center"/>
        </w:trPr>
        <w:tc>
          <w:tcPr>
            <w:tcW w:w="629" w:type="dxa"/>
            <w:noWrap/>
            <w:vAlign w:val="center"/>
          </w:tcPr>
          <w:p w14:paraId="05BCD505">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8</w:t>
            </w:r>
          </w:p>
        </w:tc>
        <w:tc>
          <w:tcPr>
            <w:tcW w:w="998" w:type="dxa"/>
            <w:noWrap/>
            <w:vAlign w:val="center"/>
          </w:tcPr>
          <w:p w14:paraId="1674058C">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手术室观片灯</w:t>
            </w:r>
          </w:p>
        </w:tc>
        <w:tc>
          <w:tcPr>
            <w:tcW w:w="4808" w:type="dxa"/>
            <w:noWrap/>
            <w:vAlign w:val="center"/>
          </w:tcPr>
          <w:p w14:paraId="009C49F9">
            <w:pPr>
              <w:widowControl/>
              <w:spacing w:line="240" w:lineRule="auto"/>
              <w:jc w:val="left"/>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1.</w:t>
            </w:r>
            <w:r>
              <w:rPr>
                <w:rFonts w:hint="eastAsia" w:ascii="宋体" w:hAnsi="宋体" w:eastAsia="宋体" w:cs="宋体"/>
                <w:b w:val="0"/>
                <w:bCs w:val="0"/>
                <w:color w:val="auto"/>
                <w:sz w:val="24"/>
                <w:szCs w:val="24"/>
              </w:rPr>
              <w:t>规格尺寸：长750mm</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高500mm</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铝合金外框</w:t>
            </w:r>
          </w:p>
          <w:p w14:paraId="2D07BA63">
            <w:pPr>
              <w:widowControl/>
              <w:spacing w:line="240" w:lineRule="auto"/>
              <w:jc w:val="left"/>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2.</w:t>
            </w:r>
            <w:r>
              <w:rPr>
                <w:rFonts w:hint="eastAsia" w:ascii="宋体" w:hAnsi="宋体" w:eastAsia="宋体" w:cs="宋体"/>
                <w:b w:val="0"/>
                <w:bCs w:val="0"/>
                <w:color w:val="auto"/>
                <w:sz w:val="24"/>
                <w:szCs w:val="24"/>
              </w:rPr>
              <w:t>LED双联观片灯，触摸调光</w:t>
            </w:r>
          </w:p>
          <w:p w14:paraId="5CF687BE">
            <w:pPr>
              <w:widowControl/>
              <w:spacing w:line="240" w:lineRule="auto"/>
              <w:jc w:val="left"/>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3.</w:t>
            </w:r>
            <w:r>
              <w:rPr>
                <w:rFonts w:hint="eastAsia" w:hAnsi="宋体" w:cs="宋体"/>
                <w:b w:val="0"/>
                <w:bCs w:val="0"/>
                <w:color w:val="auto"/>
                <w:sz w:val="24"/>
                <w:szCs w:val="24"/>
                <w:lang w:val="en-US" w:eastAsia="zh-CN"/>
              </w:rPr>
              <w:t>配备</w:t>
            </w:r>
            <w:r>
              <w:rPr>
                <w:rFonts w:hint="eastAsia" w:ascii="宋体" w:hAnsi="宋体" w:eastAsia="宋体" w:cs="宋体"/>
                <w:b w:val="0"/>
                <w:bCs w:val="0"/>
                <w:color w:val="auto"/>
                <w:sz w:val="24"/>
                <w:szCs w:val="24"/>
              </w:rPr>
              <w:t>支架</w:t>
            </w:r>
          </w:p>
        </w:tc>
        <w:tc>
          <w:tcPr>
            <w:tcW w:w="723" w:type="dxa"/>
            <w:noWrap w:val="0"/>
            <w:vAlign w:val="center"/>
          </w:tcPr>
          <w:p w14:paraId="0F909122">
            <w:pPr>
              <w:keepNext w:val="0"/>
              <w:keepLines w:val="0"/>
              <w:widowControl/>
              <w:suppressLineNumbers w:val="0"/>
              <w:ind w:left="0" w:leftChars="0"/>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rPr>
              <w:t>1</w:t>
            </w:r>
          </w:p>
        </w:tc>
        <w:tc>
          <w:tcPr>
            <w:tcW w:w="759" w:type="dxa"/>
            <w:noWrap w:val="0"/>
            <w:vAlign w:val="center"/>
          </w:tcPr>
          <w:p w14:paraId="3C8638EE">
            <w:pPr>
              <w:keepNext w:val="0"/>
              <w:keepLines w:val="0"/>
              <w:widowControl/>
              <w:suppressLineNumbers w:val="0"/>
              <w:ind w:left="0" w:leftChars="0"/>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rPr>
              <w:t>台</w:t>
            </w:r>
          </w:p>
        </w:tc>
      </w:tr>
      <w:tr w14:paraId="03A3A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0" w:hRule="atLeast"/>
          <w:jc w:val="center"/>
        </w:trPr>
        <w:tc>
          <w:tcPr>
            <w:tcW w:w="629" w:type="dxa"/>
            <w:noWrap/>
            <w:vAlign w:val="center"/>
          </w:tcPr>
          <w:p w14:paraId="2A842CD7">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rPr>
            </w:pPr>
          </w:p>
          <w:p w14:paraId="0A7F0978">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rPr>
            </w:pPr>
          </w:p>
          <w:p w14:paraId="57C7777C">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rPr>
            </w:pPr>
          </w:p>
          <w:p w14:paraId="7283CC2D">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rPr>
            </w:pPr>
          </w:p>
          <w:p w14:paraId="341F3DA9">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rPr>
            </w:pPr>
          </w:p>
          <w:p w14:paraId="493C3EF0">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rPr>
            </w:pPr>
          </w:p>
          <w:p w14:paraId="2DEBD17B">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rPr>
            </w:pPr>
          </w:p>
          <w:p w14:paraId="257F1D78">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rPr>
            </w:pPr>
          </w:p>
          <w:p w14:paraId="33A0D2E5">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rPr>
            </w:pPr>
          </w:p>
          <w:p w14:paraId="19CC9926">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rPr>
            </w:pPr>
          </w:p>
          <w:p w14:paraId="41074661">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rPr>
            </w:pPr>
          </w:p>
          <w:p w14:paraId="447DBB56">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rPr>
            </w:pPr>
          </w:p>
          <w:p w14:paraId="2EBA62AD">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rPr>
            </w:pPr>
          </w:p>
          <w:p w14:paraId="6B9944B4">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rPr>
            </w:pPr>
          </w:p>
          <w:p w14:paraId="2529B187">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rPr>
            </w:pPr>
          </w:p>
          <w:p w14:paraId="4ECECF90">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rPr>
            </w:pPr>
          </w:p>
          <w:p w14:paraId="448104AB">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rPr>
            </w:pPr>
          </w:p>
          <w:p w14:paraId="59EBC493">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rPr>
            </w:pPr>
          </w:p>
          <w:p w14:paraId="4F234315">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rPr>
            </w:pPr>
          </w:p>
          <w:p w14:paraId="53990CC9">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rPr>
            </w:pPr>
          </w:p>
          <w:p w14:paraId="1F37B5D6">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rPr>
            </w:pPr>
          </w:p>
          <w:p w14:paraId="0BBEDE0F">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rPr>
            </w:pPr>
          </w:p>
          <w:p w14:paraId="1E7946BB">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rPr>
            </w:pPr>
          </w:p>
          <w:p w14:paraId="63FFE166">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rPr>
            </w:pPr>
          </w:p>
          <w:p w14:paraId="4F6E9879">
            <w:pPr>
              <w:pageBreakBefore w:val="0"/>
              <w:kinsoku/>
              <w:wordWrap/>
              <w:overflowPunct/>
              <w:topLinePunct w:val="0"/>
              <w:autoSpaceDE/>
              <w:autoSpaceDN/>
              <w:bidi w:val="0"/>
              <w:adjustRightInd/>
              <w:snapToGrid w:val="0"/>
              <w:spacing w:line="240" w:lineRule="auto"/>
              <w:ind w:firstLine="240" w:firstLineChars="1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9</w:t>
            </w:r>
          </w:p>
        </w:tc>
        <w:tc>
          <w:tcPr>
            <w:tcW w:w="998" w:type="dxa"/>
            <w:noWrap/>
            <w:vAlign w:val="center"/>
          </w:tcPr>
          <w:p w14:paraId="3E71D0D6">
            <w:pPr>
              <w:widowControl/>
              <w:spacing w:line="240" w:lineRule="auto"/>
              <w:ind w:left="0" w:leftChars="0"/>
              <w:jc w:val="left"/>
              <w:textAlignment w:val="center"/>
              <w:rPr>
                <w:rFonts w:hint="eastAsia" w:ascii="宋体" w:hAnsi="宋体" w:eastAsia="宋体" w:cs="宋体"/>
                <w:sz w:val="24"/>
                <w:szCs w:val="24"/>
                <w:lang w:val="en-US" w:eastAsia="zh-CN"/>
              </w:rPr>
            </w:pPr>
          </w:p>
          <w:p w14:paraId="74B8C72D">
            <w:pPr>
              <w:widowControl/>
              <w:spacing w:line="240" w:lineRule="auto"/>
              <w:ind w:left="0" w:leftChars="0"/>
              <w:jc w:val="left"/>
              <w:textAlignment w:val="center"/>
              <w:rPr>
                <w:rFonts w:hint="eastAsia" w:ascii="宋体" w:hAnsi="宋体" w:eastAsia="宋体" w:cs="宋体"/>
                <w:sz w:val="24"/>
                <w:szCs w:val="24"/>
                <w:lang w:val="en-US" w:eastAsia="zh-CN"/>
              </w:rPr>
            </w:pPr>
          </w:p>
          <w:p w14:paraId="7C5E52FF">
            <w:pPr>
              <w:widowControl/>
              <w:spacing w:line="240" w:lineRule="auto"/>
              <w:ind w:left="0" w:leftChars="0"/>
              <w:jc w:val="left"/>
              <w:textAlignment w:val="center"/>
              <w:rPr>
                <w:rFonts w:hint="eastAsia" w:ascii="宋体" w:hAnsi="宋体" w:eastAsia="宋体" w:cs="宋体"/>
                <w:color w:val="000000"/>
                <w:sz w:val="24"/>
                <w:szCs w:val="24"/>
                <w:lang w:val="en-US" w:eastAsia="zh-CN"/>
              </w:rPr>
            </w:pPr>
          </w:p>
          <w:p w14:paraId="374959BD">
            <w:pPr>
              <w:widowControl/>
              <w:spacing w:line="240" w:lineRule="auto"/>
              <w:ind w:left="0" w:leftChars="0"/>
              <w:jc w:val="left"/>
              <w:textAlignment w:val="center"/>
              <w:rPr>
                <w:rFonts w:hint="eastAsia" w:ascii="宋体" w:hAnsi="宋体" w:eastAsia="宋体" w:cs="宋体"/>
                <w:color w:val="000000"/>
                <w:sz w:val="24"/>
                <w:szCs w:val="24"/>
                <w:lang w:val="en-US" w:eastAsia="zh-CN"/>
              </w:rPr>
            </w:pPr>
          </w:p>
          <w:p w14:paraId="7249A3C3">
            <w:pPr>
              <w:widowControl/>
              <w:spacing w:line="240" w:lineRule="auto"/>
              <w:ind w:left="0" w:leftChars="0"/>
              <w:jc w:val="left"/>
              <w:textAlignment w:val="center"/>
              <w:rPr>
                <w:rFonts w:hint="eastAsia" w:ascii="宋体" w:hAnsi="宋体" w:eastAsia="宋体" w:cs="宋体"/>
                <w:color w:val="000000"/>
                <w:sz w:val="24"/>
                <w:szCs w:val="24"/>
                <w:lang w:val="en-US" w:eastAsia="zh-CN"/>
              </w:rPr>
            </w:pPr>
          </w:p>
          <w:p w14:paraId="21266617">
            <w:pPr>
              <w:widowControl/>
              <w:spacing w:line="240" w:lineRule="auto"/>
              <w:ind w:left="0" w:leftChars="0"/>
              <w:jc w:val="left"/>
              <w:textAlignment w:val="center"/>
              <w:rPr>
                <w:rFonts w:hint="eastAsia" w:ascii="宋体" w:hAnsi="宋体" w:eastAsia="宋体" w:cs="宋体"/>
                <w:color w:val="000000"/>
                <w:sz w:val="24"/>
                <w:szCs w:val="24"/>
                <w:lang w:val="en-US" w:eastAsia="zh-CN"/>
              </w:rPr>
            </w:pPr>
          </w:p>
          <w:p w14:paraId="3F65BBEC">
            <w:pPr>
              <w:widowControl/>
              <w:spacing w:line="240" w:lineRule="auto"/>
              <w:ind w:left="0" w:leftChars="0"/>
              <w:jc w:val="left"/>
              <w:textAlignment w:val="center"/>
              <w:rPr>
                <w:rFonts w:hint="eastAsia" w:ascii="宋体" w:hAnsi="宋体" w:eastAsia="宋体" w:cs="宋体"/>
                <w:color w:val="000000"/>
                <w:sz w:val="24"/>
                <w:szCs w:val="24"/>
                <w:lang w:val="en-US" w:eastAsia="zh-CN"/>
              </w:rPr>
            </w:pPr>
          </w:p>
          <w:p w14:paraId="4FC87975">
            <w:pPr>
              <w:widowControl/>
              <w:spacing w:line="240" w:lineRule="auto"/>
              <w:ind w:left="0" w:leftChars="0"/>
              <w:jc w:val="left"/>
              <w:textAlignment w:val="center"/>
              <w:rPr>
                <w:rFonts w:hint="eastAsia" w:ascii="宋体" w:hAnsi="宋体" w:eastAsia="宋体" w:cs="宋体"/>
                <w:color w:val="000000"/>
                <w:sz w:val="24"/>
                <w:szCs w:val="24"/>
                <w:lang w:val="en-US" w:eastAsia="zh-CN"/>
              </w:rPr>
            </w:pPr>
          </w:p>
          <w:p w14:paraId="416DB645">
            <w:pPr>
              <w:widowControl/>
              <w:spacing w:line="240" w:lineRule="auto"/>
              <w:ind w:left="0" w:leftChars="0"/>
              <w:jc w:val="left"/>
              <w:textAlignment w:val="center"/>
              <w:rPr>
                <w:rFonts w:hint="eastAsia" w:ascii="宋体" w:hAnsi="宋体" w:eastAsia="宋体" w:cs="宋体"/>
                <w:color w:val="000000"/>
                <w:sz w:val="24"/>
                <w:szCs w:val="24"/>
                <w:lang w:val="en-US" w:eastAsia="zh-CN"/>
              </w:rPr>
            </w:pPr>
          </w:p>
          <w:p w14:paraId="0B6DFFE5">
            <w:pPr>
              <w:widowControl/>
              <w:spacing w:line="240" w:lineRule="auto"/>
              <w:ind w:left="0" w:leftChars="0"/>
              <w:jc w:val="left"/>
              <w:textAlignment w:val="center"/>
              <w:rPr>
                <w:rFonts w:hint="eastAsia" w:ascii="宋体" w:hAnsi="宋体" w:eastAsia="宋体" w:cs="宋体"/>
                <w:color w:val="000000"/>
                <w:sz w:val="24"/>
                <w:szCs w:val="24"/>
                <w:lang w:val="en-US" w:eastAsia="zh-CN"/>
              </w:rPr>
            </w:pPr>
          </w:p>
          <w:p w14:paraId="767D48FE">
            <w:pPr>
              <w:widowControl/>
              <w:spacing w:line="240" w:lineRule="auto"/>
              <w:ind w:left="0" w:leftChars="0"/>
              <w:jc w:val="left"/>
              <w:textAlignment w:val="center"/>
              <w:rPr>
                <w:rFonts w:hint="eastAsia" w:ascii="宋体" w:hAnsi="宋体" w:eastAsia="宋体" w:cs="宋体"/>
                <w:color w:val="000000"/>
                <w:sz w:val="24"/>
                <w:szCs w:val="24"/>
                <w:lang w:val="en-US" w:eastAsia="zh-CN"/>
              </w:rPr>
            </w:pPr>
          </w:p>
          <w:p w14:paraId="5BD87EAC">
            <w:pPr>
              <w:widowControl/>
              <w:spacing w:line="240" w:lineRule="auto"/>
              <w:ind w:left="0" w:leftChars="0"/>
              <w:jc w:val="left"/>
              <w:textAlignment w:val="center"/>
              <w:rPr>
                <w:rFonts w:hint="eastAsia" w:ascii="宋体" w:hAnsi="宋体" w:eastAsia="宋体" w:cs="宋体"/>
                <w:color w:val="000000"/>
                <w:sz w:val="24"/>
                <w:szCs w:val="24"/>
                <w:lang w:val="en-US" w:eastAsia="zh-CN"/>
              </w:rPr>
            </w:pPr>
          </w:p>
          <w:p w14:paraId="5F1E1EA7">
            <w:pPr>
              <w:widowControl/>
              <w:spacing w:line="240" w:lineRule="auto"/>
              <w:ind w:left="0" w:leftChars="0"/>
              <w:jc w:val="left"/>
              <w:textAlignment w:val="center"/>
              <w:rPr>
                <w:rFonts w:hint="eastAsia" w:ascii="宋体" w:hAnsi="宋体" w:eastAsia="宋体" w:cs="宋体"/>
                <w:color w:val="000000"/>
                <w:sz w:val="24"/>
                <w:szCs w:val="24"/>
                <w:lang w:val="en-US" w:eastAsia="zh-CN"/>
              </w:rPr>
            </w:pPr>
          </w:p>
          <w:p w14:paraId="3F8E7D14">
            <w:pPr>
              <w:widowControl/>
              <w:spacing w:line="240" w:lineRule="auto"/>
              <w:ind w:left="0" w:leftChars="0"/>
              <w:jc w:val="left"/>
              <w:textAlignment w:val="center"/>
              <w:rPr>
                <w:rFonts w:hint="eastAsia" w:ascii="宋体" w:hAnsi="宋体" w:eastAsia="宋体" w:cs="宋体"/>
                <w:color w:val="000000"/>
                <w:sz w:val="24"/>
                <w:szCs w:val="24"/>
                <w:lang w:val="en-US" w:eastAsia="zh-CN"/>
              </w:rPr>
            </w:pPr>
          </w:p>
          <w:p w14:paraId="5ED2439C">
            <w:pPr>
              <w:widowControl/>
              <w:spacing w:line="240" w:lineRule="auto"/>
              <w:ind w:left="0" w:leftChars="0"/>
              <w:jc w:val="left"/>
              <w:textAlignment w:val="center"/>
              <w:rPr>
                <w:rFonts w:hint="eastAsia" w:ascii="宋体" w:hAnsi="宋体" w:eastAsia="宋体" w:cs="宋体"/>
                <w:color w:val="000000"/>
                <w:sz w:val="24"/>
                <w:szCs w:val="24"/>
                <w:lang w:val="en-US" w:eastAsia="zh-CN"/>
              </w:rPr>
            </w:pPr>
          </w:p>
          <w:p w14:paraId="098CCD01">
            <w:pPr>
              <w:widowControl/>
              <w:spacing w:line="240" w:lineRule="auto"/>
              <w:ind w:left="0" w:leftChars="0"/>
              <w:jc w:val="left"/>
              <w:textAlignment w:val="center"/>
              <w:rPr>
                <w:rFonts w:hint="eastAsia" w:ascii="宋体" w:hAnsi="宋体" w:eastAsia="宋体" w:cs="宋体"/>
                <w:color w:val="000000"/>
                <w:sz w:val="24"/>
                <w:szCs w:val="24"/>
                <w:lang w:val="en-US" w:eastAsia="zh-CN"/>
              </w:rPr>
            </w:pPr>
          </w:p>
          <w:p w14:paraId="12F5C0C6">
            <w:pPr>
              <w:widowControl/>
              <w:spacing w:line="240" w:lineRule="auto"/>
              <w:ind w:left="0" w:leftChars="0"/>
              <w:jc w:val="left"/>
              <w:textAlignment w:val="center"/>
              <w:rPr>
                <w:rFonts w:hint="eastAsia" w:ascii="宋体" w:hAnsi="宋体" w:eastAsia="宋体" w:cs="宋体"/>
                <w:color w:val="000000"/>
                <w:sz w:val="24"/>
                <w:szCs w:val="24"/>
                <w:lang w:val="en-US" w:eastAsia="zh-CN"/>
              </w:rPr>
            </w:pPr>
          </w:p>
          <w:p w14:paraId="119E72F2">
            <w:pPr>
              <w:widowControl/>
              <w:spacing w:line="240" w:lineRule="auto"/>
              <w:ind w:left="0" w:leftChars="0"/>
              <w:jc w:val="left"/>
              <w:textAlignment w:val="center"/>
              <w:rPr>
                <w:rFonts w:hint="eastAsia" w:ascii="宋体" w:hAnsi="宋体" w:eastAsia="宋体" w:cs="宋体"/>
                <w:color w:val="000000"/>
                <w:sz w:val="24"/>
                <w:szCs w:val="24"/>
                <w:lang w:val="en-US" w:eastAsia="zh-CN"/>
              </w:rPr>
            </w:pPr>
          </w:p>
          <w:p w14:paraId="7EECF841">
            <w:pPr>
              <w:widowControl/>
              <w:spacing w:line="240" w:lineRule="auto"/>
              <w:ind w:left="0" w:leftChars="0"/>
              <w:jc w:val="left"/>
              <w:textAlignment w:val="center"/>
              <w:rPr>
                <w:rFonts w:hint="eastAsia" w:ascii="宋体" w:hAnsi="宋体" w:eastAsia="宋体" w:cs="宋体"/>
                <w:color w:val="000000"/>
                <w:sz w:val="24"/>
                <w:szCs w:val="24"/>
                <w:lang w:val="en-US" w:eastAsia="zh-CN"/>
              </w:rPr>
            </w:pPr>
          </w:p>
          <w:p w14:paraId="5433B677">
            <w:pPr>
              <w:widowControl/>
              <w:spacing w:line="240" w:lineRule="auto"/>
              <w:ind w:left="0" w:leftChars="0"/>
              <w:jc w:val="left"/>
              <w:textAlignment w:val="center"/>
              <w:rPr>
                <w:rFonts w:hint="eastAsia" w:ascii="宋体" w:hAnsi="宋体" w:eastAsia="宋体" w:cs="宋体"/>
                <w:color w:val="000000"/>
                <w:sz w:val="24"/>
                <w:szCs w:val="24"/>
                <w:lang w:val="en-US" w:eastAsia="zh-CN"/>
              </w:rPr>
            </w:pPr>
          </w:p>
          <w:p w14:paraId="7F31C5EF">
            <w:pPr>
              <w:widowControl/>
              <w:spacing w:line="240" w:lineRule="auto"/>
              <w:ind w:left="0" w:leftChars="0"/>
              <w:jc w:val="left"/>
              <w:textAlignment w:val="center"/>
              <w:rPr>
                <w:rFonts w:hint="eastAsia" w:ascii="宋体" w:hAnsi="宋体" w:eastAsia="宋体" w:cs="宋体"/>
                <w:color w:val="000000"/>
                <w:sz w:val="24"/>
                <w:szCs w:val="24"/>
                <w:lang w:val="en-US" w:eastAsia="zh-CN"/>
              </w:rPr>
            </w:pPr>
          </w:p>
          <w:p w14:paraId="2329A1A7">
            <w:pPr>
              <w:widowControl/>
              <w:spacing w:line="240" w:lineRule="auto"/>
              <w:ind w:left="0" w:leftChars="0"/>
              <w:jc w:val="left"/>
              <w:textAlignment w:val="center"/>
              <w:rPr>
                <w:rFonts w:hint="eastAsia" w:ascii="宋体" w:hAnsi="宋体" w:eastAsia="宋体" w:cs="宋体"/>
                <w:color w:val="000000"/>
                <w:sz w:val="24"/>
                <w:szCs w:val="24"/>
                <w:lang w:val="en-US" w:eastAsia="zh-CN"/>
              </w:rPr>
            </w:pPr>
          </w:p>
          <w:p w14:paraId="358C854B">
            <w:pPr>
              <w:widowControl/>
              <w:spacing w:line="240" w:lineRule="auto"/>
              <w:ind w:left="0" w:leftChars="0"/>
              <w:jc w:val="left"/>
              <w:textAlignment w:val="center"/>
              <w:rPr>
                <w:rFonts w:hint="eastAsia" w:ascii="宋体" w:hAnsi="宋体" w:eastAsia="宋体" w:cs="宋体"/>
                <w:color w:val="000000"/>
                <w:sz w:val="24"/>
                <w:szCs w:val="24"/>
                <w:lang w:val="en-US" w:eastAsia="zh-CN"/>
              </w:rPr>
            </w:pPr>
          </w:p>
          <w:p w14:paraId="346160DB">
            <w:pPr>
              <w:widowControl/>
              <w:spacing w:line="240" w:lineRule="auto"/>
              <w:ind w:left="0" w:leftChars="0"/>
              <w:jc w:val="left"/>
              <w:textAlignment w:val="center"/>
              <w:rPr>
                <w:rFonts w:hint="eastAsia" w:ascii="宋体" w:hAnsi="宋体" w:eastAsia="宋体" w:cs="宋体"/>
                <w:b w:val="0"/>
                <w:bCs/>
                <w:color w:val="auto"/>
                <w:kern w:val="2"/>
                <w:sz w:val="24"/>
                <w:szCs w:val="24"/>
                <w:lang w:val="en-US" w:eastAsia="zh-CN" w:bidi="ar-SA"/>
              </w:rPr>
            </w:pPr>
            <w:r>
              <w:rPr>
                <w:rFonts w:hint="eastAsia" w:ascii="宋体" w:hAnsi="宋体" w:eastAsia="宋体" w:cs="宋体"/>
                <w:color w:val="000000"/>
                <w:sz w:val="24"/>
                <w:szCs w:val="24"/>
                <w:lang w:val="en-US" w:eastAsia="zh-CN"/>
              </w:rPr>
              <w:t>智能交互式触控一体机</w:t>
            </w:r>
          </w:p>
        </w:tc>
        <w:tc>
          <w:tcPr>
            <w:tcW w:w="4808" w:type="dxa"/>
            <w:noWrap/>
            <w:vAlign w:val="center"/>
          </w:tcPr>
          <w:p w14:paraId="5CF3ECF6">
            <w:pPr>
              <w:widowControl/>
              <w:numPr>
                <w:ilvl w:val="0"/>
                <w:numId w:val="0"/>
              </w:numPr>
              <w:spacing w:line="240" w:lineRule="auto"/>
              <w:ind w:left="0" w:leftChars="0" w:firstLine="0" w:firstLineChars="0"/>
              <w:textAlignment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一、整机设计：</w:t>
            </w:r>
          </w:p>
          <w:p w14:paraId="55A51894">
            <w:pPr>
              <w:widowControl/>
              <w:numPr>
                <w:ilvl w:val="0"/>
                <w:numId w:val="0"/>
              </w:numPr>
              <w:spacing w:line="240" w:lineRule="auto"/>
              <w:ind w:left="0" w:leftChars="0" w:firstLine="0" w:firstLineChars="0"/>
              <w:textAlignment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1.整机尺寸不低于86英寸，屏幕采用超高清LED液晶显示屏，显示比例16:9，分辨率≥3840×2160；</w:t>
            </w:r>
          </w:p>
          <w:p w14:paraId="011DAC3D">
            <w:pPr>
              <w:widowControl/>
              <w:numPr>
                <w:ilvl w:val="0"/>
                <w:numId w:val="0"/>
              </w:numPr>
              <w:spacing w:line="240" w:lineRule="auto"/>
              <w:ind w:left="0" w:leftChars="0" w:firstLine="0" w:firstLineChars="0"/>
              <w:textAlignment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2.屏幕采⽤≤3mm钢化玻璃保护，表⾯硬度≥石墨硬度9H或莫氏硬度7级，透光率不低于91%，雾度≤8%，支持防眩光功能。</w:t>
            </w:r>
          </w:p>
          <w:p w14:paraId="09F945F2">
            <w:pPr>
              <w:widowControl/>
              <w:numPr>
                <w:ilvl w:val="0"/>
                <w:numId w:val="0"/>
              </w:numPr>
              <w:spacing w:line="240" w:lineRule="auto"/>
              <w:ind w:left="0" w:leftChars="0" w:firstLine="0" w:firstLineChars="0"/>
              <w:textAlignment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3.整机采用≥12核国产化嵌入式芯片，CPU≥8核，整机嵌入式系统版本≥Android 1</w:t>
            </w:r>
            <w:r>
              <w:rPr>
                <w:rFonts w:hint="eastAsia" w:hAnsi="宋体" w:cs="宋体"/>
                <w:sz w:val="24"/>
                <w:szCs w:val="24"/>
                <w:vertAlign w:val="baseline"/>
                <w:lang w:val="en-US" w:eastAsia="zh-CN"/>
              </w:rPr>
              <w:t>4</w:t>
            </w:r>
            <w:r>
              <w:rPr>
                <w:rFonts w:hint="eastAsia" w:ascii="宋体" w:hAnsi="宋体" w:eastAsia="宋体" w:cs="宋体"/>
                <w:sz w:val="24"/>
                <w:szCs w:val="24"/>
                <w:vertAlign w:val="baseline"/>
                <w:lang w:val="en-US" w:eastAsia="zh-CN"/>
              </w:rPr>
              <w:t>，主频≥1.6GHz，内存≥2GB，DDR最大速率≥2666MT/S，存储空间≥32GB。</w:t>
            </w:r>
          </w:p>
          <w:p w14:paraId="6E6FC232">
            <w:pPr>
              <w:widowControl/>
              <w:numPr>
                <w:ilvl w:val="0"/>
                <w:numId w:val="0"/>
              </w:numPr>
              <w:spacing w:line="240" w:lineRule="auto"/>
              <w:ind w:left="0" w:leftChars="0" w:firstLine="0" w:firstLineChars="0"/>
              <w:textAlignment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4.整机采用红外触控技术，Windows系统和Android系统均支持≥50点触控及书写划线。</w:t>
            </w:r>
          </w:p>
          <w:p w14:paraId="17147A2C">
            <w:pPr>
              <w:widowControl/>
              <w:numPr>
                <w:ilvl w:val="0"/>
                <w:numId w:val="0"/>
              </w:numPr>
              <w:spacing w:line="240" w:lineRule="auto"/>
              <w:ind w:left="0" w:leftChars="0" w:firstLine="0" w:firstLineChars="0"/>
              <w:textAlignment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5.整机触摸支持动态压力感应，支持无任何电子功能的普通书写笔在整机上书写或点压时，整机能感应压力变化，书写或点压过程笔迹呈现不同粗细。</w:t>
            </w:r>
          </w:p>
          <w:p w14:paraId="186ECF66">
            <w:pPr>
              <w:widowControl/>
              <w:numPr>
                <w:ilvl w:val="0"/>
                <w:numId w:val="0"/>
              </w:numPr>
              <w:spacing w:line="240" w:lineRule="auto"/>
              <w:ind w:left="0" w:leftChars="0" w:firstLine="0" w:firstLineChars="0"/>
              <w:textAlignment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6..整机PC通道及安卓通道各具备一颗WiFi6无线芯片，PC和安卓通道均可通过大屏发送WiFi6热点以及连接WiFi6的路由器。</w:t>
            </w:r>
          </w:p>
          <w:p w14:paraId="6A516891">
            <w:pPr>
              <w:widowControl/>
              <w:numPr>
                <w:ilvl w:val="0"/>
                <w:numId w:val="0"/>
              </w:numPr>
              <w:spacing w:line="240" w:lineRule="auto"/>
              <w:ind w:left="0" w:leftChars="0" w:firstLine="0" w:firstLineChars="0"/>
              <w:textAlignment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7.整机设备内置2.2声道扬声器，前朝向发声，10W高音扬声器2个，上朝向30W中低音扬声器2个，最大功率≥80W，单个扬声器容积≥0.62L，最低谐振频率≤85Hz。</w:t>
            </w:r>
          </w:p>
          <w:p w14:paraId="30ECD84D">
            <w:pPr>
              <w:widowControl/>
              <w:numPr>
                <w:ilvl w:val="0"/>
                <w:numId w:val="0"/>
              </w:numPr>
              <w:spacing w:line="240" w:lineRule="auto"/>
              <w:ind w:left="0" w:leftChars="0" w:firstLine="0" w:firstLineChars="0"/>
              <w:textAlignment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8.整机内置非独立外扩展的4阵列麦克风，拾音角度≥180°，可用于对教室环境音频进行采集，拾音距离≥12m；支持标准、听力、观影和AI空间感知音效模式。</w:t>
            </w:r>
          </w:p>
          <w:p w14:paraId="2BBEB739">
            <w:pPr>
              <w:widowControl/>
              <w:numPr>
                <w:ilvl w:val="0"/>
                <w:numId w:val="0"/>
              </w:numPr>
              <w:spacing w:line="240" w:lineRule="auto"/>
              <w:ind w:left="0" w:leftChars="0" w:firstLine="0" w:firstLineChars="0"/>
              <w:textAlignment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9.整机上边框内置非独立式摄像头。摄像头对角线视场角≥120度，可拍摄≥1600万像素的照片，支持画面畸变矫正功能。</w:t>
            </w:r>
          </w:p>
          <w:p w14:paraId="3125519D">
            <w:pPr>
              <w:widowControl/>
              <w:numPr>
                <w:ilvl w:val="0"/>
                <w:numId w:val="0"/>
              </w:numPr>
              <w:spacing w:line="240" w:lineRule="auto"/>
              <w:ind w:left="0" w:leftChars="0" w:firstLine="0" w:firstLineChars="0"/>
              <w:textAlignment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10.整机摄像头支持人脸识别、清点人数、随机抽人；识别所有学生，显示标记，随机抽选，同时显示标记不少于60人，支持距离摄像头位置≥10米距离的AI识别人脸。</w:t>
            </w:r>
          </w:p>
          <w:p w14:paraId="655CDA79">
            <w:pPr>
              <w:widowControl/>
              <w:numPr>
                <w:ilvl w:val="0"/>
                <w:numId w:val="0"/>
              </w:numPr>
              <w:spacing w:line="240" w:lineRule="auto"/>
              <w:ind w:left="0" w:leftChars="0" w:firstLine="0" w:firstLineChars="0"/>
              <w:textAlignment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11.整机支持蓝牙Bluetooth 5.4或以上标准。</w:t>
            </w:r>
          </w:p>
          <w:p w14:paraId="2637507C">
            <w:pPr>
              <w:widowControl/>
              <w:numPr>
                <w:ilvl w:val="0"/>
                <w:numId w:val="0"/>
              </w:numPr>
              <w:spacing w:line="240" w:lineRule="auto"/>
              <w:ind w:left="0" w:leftChars="0" w:firstLine="0" w:firstLineChars="0"/>
              <w:textAlignment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12.整机Windows通道支持文件传输应用，支持通过扫码、超声、wifi直连三种方式与手机进行握手连接，实现文件传输功能。</w:t>
            </w:r>
          </w:p>
          <w:p w14:paraId="30A11275">
            <w:pPr>
              <w:widowControl/>
              <w:numPr>
                <w:ilvl w:val="0"/>
                <w:numId w:val="0"/>
              </w:numPr>
              <w:spacing w:line="240" w:lineRule="auto"/>
              <w:ind w:left="0" w:leftChars="0" w:firstLine="0" w:firstLineChars="0"/>
              <w:textAlignment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13.整机设备教学桌面的教师登录账号后，可自动获取并在桌面显示最近使用的教学课件，点击课件可直接进入授课模式；并支持查看所有个人教学课件资源。</w:t>
            </w:r>
          </w:p>
          <w:p w14:paraId="3E58E5AE">
            <w:pPr>
              <w:widowControl/>
              <w:numPr>
                <w:ilvl w:val="0"/>
                <w:numId w:val="0"/>
              </w:numPr>
              <w:spacing w:line="240" w:lineRule="auto"/>
              <w:ind w:left="0" w:leftChars="0" w:firstLine="0" w:firstLineChars="0"/>
              <w:textAlignment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14.整机设备支持多种身份识别方式，支持通过账号登录、手机扫码登录、人脸识别登录、声纹识别登录、近场发现登录，并支持账号安全登录检测。</w:t>
            </w:r>
          </w:p>
          <w:p w14:paraId="43DB001E">
            <w:pPr>
              <w:widowControl/>
              <w:numPr>
                <w:ilvl w:val="0"/>
                <w:numId w:val="0"/>
              </w:numPr>
              <w:spacing w:line="240" w:lineRule="auto"/>
              <w:ind w:left="0" w:leftChars="0" w:firstLine="0" w:firstLineChars="0"/>
              <w:textAlignment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二、插拔式电脑模块：</w:t>
            </w:r>
          </w:p>
          <w:p w14:paraId="5A65333E">
            <w:pPr>
              <w:widowControl/>
              <w:numPr>
                <w:ilvl w:val="0"/>
                <w:numId w:val="0"/>
              </w:numPr>
              <w:spacing w:line="240" w:lineRule="auto"/>
              <w:ind w:left="0" w:leftChars="0" w:firstLine="0" w:firstLineChars="0"/>
              <w:textAlignment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1.电脑模块CPU要求：主频≥2.</w:t>
            </w:r>
            <w:r>
              <w:rPr>
                <w:rFonts w:hint="eastAsia" w:hAnsi="宋体" w:cs="宋体"/>
                <w:sz w:val="24"/>
                <w:szCs w:val="24"/>
                <w:vertAlign w:val="baseline"/>
                <w:lang w:val="en-US" w:eastAsia="zh-CN"/>
              </w:rPr>
              <w:t>0</w:t>
            </w:r>
            <w:r>
              <w:rPr>
                <w:rFonts w:hint="eastAsia" w:ascii="宋体" w:hAnsi="宋体" w:eastAsia="宋体" w:cs="宋体"/>
                <w:sz w:val="24"/>
                <w:szCs w:val="24"/>
                <w:vertAlign w:val="baseline"/>
                <w:lang w:val="en-US" w:eastAsia="zh-CN"/>
              </w:rPr>
              <w:t>GHz.核数≥</w:t>
            </w:r>
            <w:r>
              <w:rPr>
                <w:rFonts w:hint="eastAsia" w:hAnsi="宋体" w:cs="宋体"/>
                <w:sz w:val="24"/>
                <w:szCs w:val="24"/>
                <w:vertAlign w:val="baseline"/>
                <w:lang w:val="en-US" w:eastAsia="zh-CN"/>
              </w:rPr>
              <w:t>8</w:t>
            </w:r>
            <w:r>
              <w:rPr>
                <w:rFonts w:hint="eastAsia" w:ascii="宋体" w:hAnsi="宋体" w:eastAsia="宋体" w:cs="宋体"/>
                <w:sz w:val="24"/>
                <w:szCs w:val="24"/>
                <w:vertAlign w:val="baseline"/>
                <w:lang w:val="en-US" w:eastAsia="zh-CN"/>
              </w:rPr>
              <w:t>；配置要求：不低于DDR4 8GB内存，256GB SSD固态硬盘配置；接口要求：≥1路HDMI，≥3路USB。</w:t>
            </w:r>
          </w:p>
          <w:p w14:paraId="11C91D86">
            <w:pPr>
              <w:widowControl/>
              <w:numPr>
                <w:ilvl w:val="0"/>
                <w:numId w:val="0"/>
              </w:numPr>
              <w:spacing w:line="240" w:lineRule="auto"/>
              <w:ind w:left="0" w:leftChars="0" w:firstLine="0" w:firstLineChars="0"/>
              <w:textAlignment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2.PC模块可抽拉式插入整机，可实现无单独接线的插拔，采用按压式卡扣，无需工具就可快速拆卸电脑模块。</w:t>
            </w:r>
          </w:p>
          <w:p w14:paraId="3E266C53">
            <w:pPr>
              <w:widowControl/>
              <w:numPr>
                <w:ilvl w:val="0"/>
                <w:numId w:val="0"/>
              </w:numPr>
              <w:spacing w:line="240" w:lineRule="auto"/>
              <w:ind w:left="0" w:leftChars="0" w:firstLine="0" w:firstLineChars="0"/>
              <w:textAlignment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3.PC模块和整机的连接采用万兆级接口，传输速率≥10Gbps。</w:t>
            </w:r>
          </w:p>
          <w:p w14:paraId="3E83F7D8">
            <w:pPr>
              <w:widowControl/>
              <w:numPr>
                <w:ilvl w:val="0"/>
                <w:numId w:val="0"/>
              </w:numPr>
              <w:spacing w:line="240" w:lineRule="auto"/>
              <w:ind w:left="0" w:leftChars="0" w:firstLine="0" w:firstLineChars="0"/>
              <w:textAlignment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三、内置教学软件</w:t>
            </w:r>
          </w:p>
          <w:p w14:paraId="12A88489">
            <w:pPr>
              <w:widowControl/>
              <w:numPr>
                <w:ilvl w:val="0"/>
                <w:numId w:val="0"/>
              </w:numPr>
              <w:spacing w:line="240" w:lineRule="auto"/>
              <w:ind w:left="0" w:leftChars="0" w:firstLine="0" w:firstLineChars="0"/>
              <w:textAlignment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1.软件互动教学：通过软件端可实现学生手机、平板等与教师端授课工具进行连接，实现线上、线下混合互动教学。</w:t>
            </w:r>
          </w:p>
          <w:p w14:paraId="4F7560C5">
            <w:pPr>
              <w:widowControl/>
              <w:numPr>
                <w:ilvl w:val="0"/>
                <w:numId w:val="0"/>
              </w:numPr>
              <w:spacing w:line="240" w:lineRule="auto"/>
              <w:ind w:left="0" w:leftChars="0" w:firstLine="0" w:firstLineChars="0"/>
              <w:textAlignment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2.直播授课：老师可利用教学软件一键开启直播，声音、影像实时同步；学生可通过网页端或者移动端APP实时加入课堂，课后支持学生在课堂报告查看直播回放。</w:t>
            </w:r>
          </w:p>
          <w:p w14:paraId="1E36B513">
            <w:pPr>
              <w:widowControl/>
              <w:numPr>
                <w:ilvl w:val="0"/>
                <w:numId w:val="0"/>
              </w:numPr>
              <w:spacing w:line="240" w:lineRule="auto"/>
              <w:ind w:left="0" w:leftChars="0" w:firstLine="0" w:firstLineChars="0"/>
              <w:textAlignment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3.云盘存储：为每位教师可提供≥4GB的个人云空间，可上传图片、视频、音频、文档等类型文件，并且可以创建文件夹，实现资料个性化分类整理。</w:t>
            </w:r>
          </w:p>
          <w:p w14:paraId="6D42C095">
            <w:pPr>
              <w:widowControl/>
              <w:numPr>
                <w:ilvl w:val="0"/>
                <w:numId w:val="0"/>
              </w:numPr>
              <w:spacing w:line="240" w:lineRule="auto"/>
              <w:ind w:left="0" w:leftChars="0" w:firstLine="0" w:firstLineChars="0"/>
              <w:textAlignment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互动反馈系统：具备公网互动反馈功能，可将所有学生端和教师端连接在一起构建成为一套互动反馈系统，方便老师在授课过程中发布问题让所有同学实时参与互动并形成数据沉淀统计，在系统中可以设置：主观观点收集互动，单选/多选/判断等可观答题互动，同时支持文件下发、批注下发功能。（需提供功能证明材料，包括但不限于测试报告、官网和功能截图等）</w:t>
            </w:r>
          </w:p>
          <w:p w14:paraId="16175359">
            <w:pPr>
              <w:widowControl/>
              <w:numPr>
                <w:ilvl w:val="0"/>
                <w:numId w:val="0"/>
              </w:numPr>
              <w:spacing w:line="240" w:lineRule="auto"/>
              <w:ind w:left="0" w:leftChars="0" w:firstLine="0" w:firstLineChars="0"/>
              <w:textAlignment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5.无线传屏：教师端工具栏支持无线传屏，点击开启无线传屏则打开传屏码，老师自带笔记本在互动教学软件输入传屏码即可进行无线传屏。</w:t>
            </w:r>
          </w:p>
          <w:p w14:paraId="01D1F6B4">
            <w:pPr>
              <w:widowControl/>
              <w:numPr>
                <w:ilvl w:val="0"/>
                <w:numId w:val="0"/>
              </w:numPr>
              <w:spacing w:line="240" w:lineRule="auto"/>
              <w:ind w:left="0" w:leftChars="0" w:firstLine="0" w:firstLineChars="0"/>
              <w:textAlignment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6.随堂测验：支持老师在课堂中通过教师端一键调取预先准备的测验题目，并分发给学生进行作答，支持设置答题时长以及自动统计答题结果；答题过程中，支持老师提前结束答题。</w:t>
            </w:r>
          </w:p>
          <w:p w14:paraId="54E65E72">
            <w:pPr>
              <w:widowControl/>
              <w:numPr>
                <w:ilvl w:val="0"/>
                <w:numId w:val="0"/>
              </w:numPr>
              <w:spacing w:line="240" w:lineRule="auto"/>
              <w:ind w:left="0" w:leftChars="0" w:firstLine="0" w:firstLineChars="0"/>
              <w:textAlignment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四、设备管控软件  </w:t>
            </w:r>
          </w:p>
          <w:p w14:paraId="3D40A2AD">
            <w:pPr>
              <w:widowControl/>
              <w:numPr>
                <w:ilvl w:val="0"/>
                <w:numId w:val="0"/>
              </w:numPr>
              <w:spacing w:line="240" w:lineRule="auto"/>
              <w:ind w:left="0" w:leftChars="0" w:firstLine="0" w:firstLineChars="0"/>
              <w:textAlignment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1.支持一键下课锁屏、开机自动锁屏、无网络时验证身份解锁。支持无网络情况下，通过手机微信扫一扫验证身份后进行解锁使用。</w:t>
            </w:r>
          </w:p>
          <w:p w14:paraId="667BE5F3">
            <w:pPr>
              <w:widowControl/>
              <w:numPr>
                <w:ilvl w:val="0"/>
                <w:numId w:val="0"/>
              </w:numPr>
              <w:spacing w:line="240" w:lineRule="auto"/>
              <w:ind w:left="0" w:leftChars="0" w:firstLine="0" w:firstLineChars="0"/>
              <w:textAlignment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2.支持同时查看9间教室的实时摄像头画面、设备屏幕画面；并支持在一个显示界面同时查看单个教室内屏幕、摄像头的实时画面，以及麦克风的声音。可远程发消息、发语音干预，也可记录备注；支持记录管理员的巡视记录，方便回溯。  </w:t>
            </w:r>
          </w:p>
          <w:p w14:paraId="14F13AEE">
            <w:pPr>
              <w:widowControl/>
              <w:numPr>
                <w:ilvl w:val="0"/>
                <w:numId w:val="0"/>
              </w:numPr>
              <w:spacing w:line="240" w:lineRule="auto"/>
              <w:ind w:left="0" w:leftChars="0" w:firstLine="0" w:firstLineChars="0"/>
              <w:textAlignment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3.支持管理员上传正版软件，经过封装软件后，批量将软件发送至大屏设备安装，安装过程不影响正常教学。 </w:t>
            </w:r>
          </w:p>
          <w:p w14:paraId="07BAE4D8">
            <w:pPr>
              <w:widowControl/>
              <w:numPr>
                <w:ilvl w:val="0"/>
                <w:numId w:val="0"/>
              </w:numPr>
              <w:spacing w:line="240" w:lineRule="auto"/>
              <w:ind w:left="0" w:leftChars="0" w:firstLine="0" w:firstLineChars="0"/>
              <w:textAlignment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4.支持一键开启设备的不良弹窗AI拦截过滤能力，当有不良弹窗时，自动拦截，以保证课堂教学稳定进行。（需提供功能证明材料，包括但不限于测试报告、官网和功能截图等）  </w:t>
            </w:r>
          </w:p>
          <w:p w14:paraId="3A8E7CEE">
            <w:pPr>
              <w:widowControl/>
              <w:numPr>
                <w:ilvl w:val="0"/>
                <w:numId w:val="0"/>
              </w:numPr>
              <w:spacing w:line="240" w:lineRule="auto"/>
              <w:ind w:left="0" w:leftChars="0" w:firstLine="0" w:firstLineChars="0"/>
              <w:textAlignment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5.支持批量设置大屏设备的冰冻状态；支持实时监测设备冰点存在的风险。</w:t>
            </w:r>
          </w:p>
          <w:p w14:paraId="08EFACE3">
            <w:pPr>
              <w:widowControl/>
              <w:numPr>
                <w:ilvl w:val="0"/>
                <w:numId w:val="0"/>
              </w:numPr>
              <w:spacing w:line="240" w:lineRule="auto"/>
              <w:ind w:left="0" w:leftChars="0" w:firstLine="0" w:firstLineChars="0"/>
              <w:textAlignment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6.大屏设备的整体使用数据可实时查看和导出，并且支持精确查看具体设备的数据。</w:t>
            </w:r>
          </w:p>
          <w:p w14:paraId="051F5E9A">
            <w:pPr>
              <w:widowControl/>
              <w:numPr>
                <w:ilvl w:val="0"/>
                <w:numId w:val="0"/>
              </w:numPr>
              <w:spacing w:line="240" w:lineRule="auto"/>
              <w:ind w:left="0" w:leftChars="0" w:firstLine="0" w:firstLineChars="0"/>
              <w:textAlignment w:val="center"/>
              <w:rPr>
                <w:rFonts w:hint="eastAsia" w:ascii="宋体" w:hAnsi="宋体" w:eastAsia="宋体" w:cs="宋体"/>
                <w:b w:val="0"/>
                <w:bCs/>
                <w:color w:val="auto"/>
                <w:kern w:val="2"/>
                <w:sz w:val="24"/>
                <w:szCs w:val="24"/>
                <w:lang w:val="en-US" w:eastAsia="zh-CN" w:bidi="ar-SA"/>
              </w:rPr>
            </w:pPr>
            <w:r>
              <w:rPr>
                <w:rFonts w:hint="eastAsia" w:hAnsi="宋体" w:cs="宋体"/>
                <w:sz w:val="24"/>
                <w:szCs w:val="24"/>
                <w:vertAlign w:val="baseline"/>
                <w:lang w:val="en-US" w:eastAsia="zh-CN"/>
              </w:rPr>
              <w:t>7</w:t>
            </w:r>
            <w:r>
              <w:rPr>
                <w:rFonts w:hint="eastAsia" w:ascii="宋体" w:hAnsi="宋体" w:eastAsia="宋体" w:cs="宋体"/>
                <w:sz w:val="24"/>
                <w:szCs w:val="24"/>
                <w:vertAlign w:val="baseline"/>
                <w:lang w:val="en-US" w:eastAsia="zh-CN"/>
              </w:rPr>
              <w:t>.配备可移动支架。</w:t>
            </w:r>
          </w:p>
        </w:tc>
        <w:tc>
          <w:tcPr>
            <w:tcW w:w="723" w:type="dxa"/>
            <w:noWrap w:val="0"/>
            <w:vAlign w:val="center"/>
          </w:tcPr>
          <w:p w14:paraId="62AA42D4">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5CF14ECD">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62509E90">
            <w:pPr>
              <w:pStyle w:val="25"/>
              <w:jc w:val="center"/>
              <w:rPr>
                <w:rFonts w:hint="eastAsia" w:ascii="宋体" w:hAnsi="宋体" w:eastAsia="宋体" w:cs="宋体"/>
                <w:sz w:val="24"/>
                <w:szCs w:val="24"/>
                <w:lang w:val="en-US" w:eastAsia="zh-CN"/>
              </w:rPr>
            </w:pPr>
          </w:p>
          <w:p w14:paraId="2EB3552D">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1083D3A5">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7A328D26">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43C0DB17">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500B9EEE">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275D7EDA">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726076F2">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11F93077">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790A4665">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4C59FD11">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71530B10">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6B0D5C3F">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2F9B26B4">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377DAEDE">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6FB5E653">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336B50E3">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705D2451">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04FC6C2E">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3676C2E0">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61F6983A">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0B79812A">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37706E5F">
            <w:pPr>
              <w:keepNext w:val="0"/>
              <w:keepLines w:val="0"/>
              <w:widowControl/>
              <w:suppressLineNumbers w:val="0"/>
              <w:ind w:left="0" w:leftChars="0" w:firstLine="240" w:firstLineChars="100"/>
              <w:jc w:val="both"/>
              <w:textAlignment w:val="center"/>
              <w:rPr>
                <w:rFonts w:hint="eastAsia" w:ascii="宋体" w:hAnsi="宋体" w:eastAsia="宋体" w:cs="宋体"/>
                <w:b w:val="0"/>
                <w:bCs/>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rPr>
              <w:t>2</w:t>
            </w:r>
          </w:p>
        </w:tc>
        <w:tc>
          <w:tcPr>
            <w:tcW w:w="759" w:type="dxa"/>
            <w:noWrap w:val="0"/>
            <w:vAlign w:val="center"/>
          </w:tcPr>
          <w:p w14:paraId="02A756F1">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16C57430">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605A3549">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53E35ED4">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157F2FD6">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531491EB">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1B4E4CFF">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0BA7C2EF">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5BDC28AC">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627C8712">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78AA3EA8">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28A4D931">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1A4C930D">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77EC1CBA">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2BB89EF2">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1A8B5439">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240C7E28">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659BA9FD">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762ED924">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221BA8BE">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4CA0EA5A">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3759276D">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5B03A256">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3FC0C132">
            <w:pPr>
              <w:keepNext w:val="0"/>
              <w:keepLines w:val="0"/>
              <w:widowControl/>
              <w:suppressLineNumbers w:val="0"/>
              <w:ind w:left="0" w:leftChars="0"/>
              <w:jc w:val="both"/>
              <w:textAlignment w:val="center"/>
              <w:rPr>
                <w:rFonts w:hint="eastAsia" w:ascii="宋体" w:hAnsi="宋体" w:eastAsia="宋体" w:cs="宋体"/>
                <w:i w:val="0"/>
                <w:iCs w:val="0"/>
                <w:color w:val="000000"/>
                <w:kern w:val="0"/>
                <w:sz w:val="24"/>
                <w:szCs w:val="24"/>
                <w:u w:val="none"/>
                <w:lang w:val="en-US" w:eastAsia="zh-CN"/>
              </w:rPr>
            </w:pPr>
          </w:p>
          <w:p w14:paraId="1C93D67C">
            <w:pPr>
              <w:keepNext w:val="0"/>
              <w:keepLines w:val="0"/>
              <w:widowControl/>
              <w:suppressLineNumbers w:val="0"/>
              <w:ind w:left="0" w:leftChars="0" w:firstLine="240" w:firstLineChars="100"/>
              <w:jc w:val="both"/>
              <w:textAlignment w:val="center"/>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rPr>
              <w:t>台</w:t>
            </w:r>
          </w:p>
        </w:tc>
      </w:tr>
      <w:tr w14:paraId="66E7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0" w:hRule="atLeast"/>
          <w:jc w:val="center"/>
        </w:trPr>
        <w:tc>
          <w:tcPr>
            <w:tcW w:w="629" w:type="dxa"/>
            <w:noWrap/>
            <w:vAlign w:val="center"/>
          </w:tcPr>
          <w:p w14:paraId="460202F3">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389DFAB3">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10</w:t>
            </w:r>
          </w:p>
        </w:tc>
        <w:tc>
          <w:tcPr>
            <w:tcW w:w="998" w:type="dxa"/>
            <w:noWrap/>
            <w:vAlign w:val="center"/>
          </w:tcPr>
          <w:p w14:paraId="31FC958A">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67E45C61">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6FF51347">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ABS抢救车</w:t>
            </w:r>
          </w:p>
        </w:tc>
        <w:tc>
          <w:tcPr>
            <w:tcW w:w="4808" w:type="dxa"/>
            <w:noWrap/>
            <w:vAlign w:val="center"/>
          </w:tcPr>
          <w:p w14:paraId="0533A4B3">
            <w:pPr>
              <w:widowControl/>
              <w:spacing w:line="240" w:lineRule="auto"/>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1.规格：（760*475*930mm）±10mm</w:t>
            </w:r>
          </w:p>
          <w:p w14:paraId="4261DC7C">
            <w:pPr>
              <w:widowControl/>
              <w:spacing w:line="240" w:lineRule="auto"/>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2.主要由铝·钢·ABS工程塑料结构组成；铝合金四柱承重。</w:t>
            </w:r>
          </w:p>
          <w:p w14:paraId="2C9AC06A">
            <w:pPr>
              <w:widowControl/>
              <w:spacing w:line="240" w:lineRule="auto"/>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3.上部：ABS注塑模具一次性成型一体化加厚台面两侧带双层扶手；ABS护栏三面无空隙，小的物品不会滑落，护栏高度≥70mm，台面上配透明软玻璃。</w:t>
            </w:r>
          </w:p>
          <w:p w14:paraId="6014AC4C">
            <w:pPr>
              <w:widowControl/>
              <w:spacing w:line="240" w:lineRule="auto"/>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4.正面：中控锁可折叠，配置有五层抽屉。</w:t>
            </w:r>
          </w:p>
          <w:p w14:paraId="6107DCE4">
            <w:pPr>
              <w:widowControl/>
              <w:spacing w:line="240" w:lineRule="auto"/>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5.一侧：除颤器平台、伸缩副工作台、洗手液支架、小号网篮、可取式档案盒。</w:t>
            </w:r>
          </w:p>
          <w:p w14:paraId="2FA91C08">
            <w:pPr>
              <w:widowControl/>
              <w:spacing w:line="240" w:lineRule="auto"/>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6.另一侧：隐藏式伸缩输液架、网篮内置两个2L锐器盒、双污物桶用于垃圾分类。</w:t>
            </w:r>
          </w:p>
          <w:p w14:paraId="5C1C7ABD">
            <w:pPr>
              <w:widowControl/>
              <w:spacing w:line="240" w:lineRule="auto"/>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7.背部：除颤板，隐藏式伸缩氧气瓶支架，活动电源线。</w:t>
            </w:r>
          </w:p>
          <w:p w14:paraId="182D5E12">
            <w:pPr>
              <w:widowControl/>
              <w:spacing w:line="240" w:lineRule="auto"/>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8.底部：万向插入式双面静音轮，其中两只带刹车功能。</w:t>
            </w:r>
          </w:p>
        </w:tc>
        <w:tc>
          <w:tcPr>
            <w:tcW w:w="723" w:type="dxa"/>
            <w:noWrap w:val="0"/>
            <w:vAlign w:val="center"/>
          </w:tcPr>
          <w:p w14:paraId="356BBC9B">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298A918E">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7FBFF097">
            <w:pPr>
              <w:keepNext w:val="0"/>
              <w:keepLines w:val="0"/>
              <w:widowControl/>
              <w:suppressLineNumbers w:val="0"/>
              <w:ind w:left="0" w:leftChars="0"/>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rPr>
              <w:t>1</w:t>
            </w:r>
          </w:p>
        </w:tc>
        <w:tc>
          <w:tcPr>
            <w:tcW w:w="759" w:type="dxa"/>
            <w:noWrap w:val="0"/>
            <w:vAlign w:val="center"/>
          </w:tcPr>
          <w:p w14:paraId="62DA8ADF">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2EEA2104">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5C623A9B">
            <w:pPr>
              <w:keepNext w:val="0"/>
              <w:keepLines w:val="0"/>
              <w:widowControl/>
              <w:suppressLineNumbers w:val="0"/>
              <w:ind w:left="0" w:leftChars="0"/>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rPr>
              <w:t>台</w:t>
            </w:r>
          </w:p>
        </w:tc>
      </w:tr>
      <w:tr w14:paraId="6D12C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0" w:hRule="atLeast"/>
          <w:jc w:val="center"/>
        </w:trPr>
        <w:tc>
          <w:tcPr>
            <w:tcW w:w="629" w:type="dxa"/>
            <w:noWrap/>
            <w:vAlign w:val="center"/>
          </w:tcPr>
          <w:p w14:paraId="794D5AC3">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11</w:t>
            </w:r>
          </w:p>
        </w:tc>
        <w:tc>
          <w:tcPr>
            <w:tcW w:w="998" w:type="dxa"/>
            <w:noWrap/>
            <w:vAlign w:val="center"/>
          </w:tcPr>
          <w:p w14:paraId="2A41084B">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三人位感应洗手池</w:t>
            </w:r>
          </w:p>
        </w:tc>
        <w:tc>
          <w:tcPr>
            <w:tcW w:w="4808" w:type="dxa"/>
            <w:noWrap/>
            <w:vAlign w:val="center"/>
          </w:tcPr>
          <w:p w14:paraId="35CB2671">
            <w:pPr>
              <w:pStyle w:val="7"/>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1.规格：</w:t>
            </w:r>
            <w:r>
              <w:rPr>
                <w:rFonts w:hint="eastAsia" w:ascii="宋体" w:hAnsi="宋体" w:eastAsia="宋体" w:cs="宋体"/>
                <w:b w:val="0"/>
                <w:bCs w:val="0"/>
                <w:color w:val="auto"/>
                <w:sz w:val="24"/>
                <w:szCs w:val="24"/>
              </w:rPr>
              <w:t>≥</w:t>
            </w:r>
            <w:r>
              <w:rPr>
                <w:rFonts w:hint="eastAsia" w:ascii="宋体" w:hAnsi="宋体" w:eastAsia="宋体" w:cs="宋体"/>
                <w:b w:val="0"/>
                <w:bCs w:val="0"/>
                <w:sz w:val="24"/>
                <w:szCs w:val="24"/>
                <w:lang w:val="en-US" w:eastAsia="zh-CN"/>
              </w:rPr>
              <w:t>1800*650*1800mm。</w:t>
            </w:r>
          </w:p>
          <w:p w14:paraId="4D3D6B74">
            <w:pPr>
              <w:widowControl/>
              <w:spacing w:line="240" w:lineRule="auto"/>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2.材质：选不锈钢304板材，板材厚度≥1.2MM。</w:t>
            </w:r>
          </w:p>
          <w:p w14:paraId="74CF53EA">
            <w:pPr>
              <w:widowControl/>
              <w:spacing w:line="240" w:lineRule="auto"/>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3.全自动感应给水方式。</w:t>
            </w:r>
          </w:p>
          <w:p w14:paraId="212B4EF4">
            <w:pPr>
              <w:widowControl/>
              <w:spacing w:line="240" w:lineRule="auto"/>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4.配备感应水龙头</w:t>
            </w:r>
            <w:r>
              <w:rPr>
                <w:rFonts w:hint="eastAsia" w:ascii="宋体" w:hAnsi="宋体" w:cs="宋体"/>
                <w:b/>
                <w:bCs/>
                <w:sz w:val="24"/>
                <w:szCs w:val="24"/>
                <w:lang w:eastAsia="zh-CN"/>
              </w:rPr>
              <w:t>（</w:t>
            </w:r>
            <w:r>
              <w:rPr>
                <w:rFonts w:hint="eastAsia" w:ascii="宋体" w:hAnsi="宋体" w:cs="宋体"/>
                <w:b/>
                <w:bCs/>
                <w:sz w:val="24"/>
                <w:szCs w:val="24"/>
                <w:lang w:val="en-US" w:eastAsia="zh-CN"/>
              </w:rPr>
              <w:t>提供强制节能认证证书，实质性要求</w:t>
            </w:r>
            <w:r>
              <w:rPr>
                <w:rFonts w:hint="eastAsia" w:ascii="宋体" w:hAnsi="宋体" w:cs="宋体"/>
                <w:b/>
                <w:bCs/>
                <w:sz w:val="24"/>
                <w:szCs w:val="24"/>
                <w:lang w:eastAsia="zh-CN"/>
              </w:rPr>
              <w:t>）</w:t>
            </w:r>
          </w:p>
          <w:p w14:paraId="2AA0E991">
            <w:pPr>
              <w:widowControl/>
              <w:spacing w:line="240" w:lineRule="auto"/>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5.配备40L电热水器，水温25°-48°自由设定，自带漏保插座。</w:t>
            </w:r>
          </w:p>
        </w:tc>
        <w:tc>
          <w:tcPr>
            <w:tcW w:w="723" w:type="dxa"/>
            <w:noWrap w:val="0"/>
            <w:vAlign w:val="center"/>
          </w:tcPr>
          <w:p w14:paraId="4A306963">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7E41C2E4">
            <w:pPr>
              <w:keepNext w:val="0"/>
              <w:keepLines w:val="0"/>
              <w:widowControl/>
              <w:suppressLineNumbers w:val="0"/>
              <w:ind w:left="0" w:leftChars="0"/>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rPr>
              <w:t>8</w:t>
            </w:r>
          </w:p>
        </w:tc>
        <w:tc>
          <w:tcPr>
            <w:tcW w:w="759" w:type="dxa"/>
            <w:noWrap w:val="0"/>
            <w:vAlign w:val="center"/>
          </w:tcPr>
          <w:p w14:paraId="23E803A6">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3D4DBCC1">
            <w:pPr>
              <w:keepNext w:val="0"/>
              <w:keepLines w:val="0"/>
              <w:widowControl/>
              <w:suppressLineNumbers w:val="0"/>
              <w:ind w:left="0" w:leftChars="0"/>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rPr>
              <w:t>组</w:t>
            </w:r>
          </w:p>
        </w:tc>
      </w:tr>
      <w:tr w14:paraId="44B8F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0" w:hRule="atLeast"/>
          <w:jc w:val="center"/>
        </w:trPr>
        <w:tc>
          <w:tcPr>
            <w:tcW w:w="629" w:type="dxa"/>
            <w:noWrap/>
            <w:vAlign w:val="center"/>
          </w:tcPr>
          <w:p w14:paraId="4FE58468">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498709E0">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315BDCBA">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0097BD7B">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1B7FBC15">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51DB8E83">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75E163B2">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17C305DD">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7C360905">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3E767735">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4067EA90">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12</w:t>
            </w:r>
          </w:p>
        </w:tc>
        <w:tc>
          <w:tcPr>
            <w:tcW w:w="998" w:type="dxa"/>
            <w:noWrap/>
            <w:vAlign w:val="center"/>
          </w:tcPr>
          <w:p w14:paraId="1043E7AA">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512A40C6">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7B423B9F">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3F82F261">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2C4DAB09">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0E73FA5D">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67E733BC">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1BBEF8CE">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6F9EAA79">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3B4505EA">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2AC1A2AE">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麻醉吊塔</w:t>
            </w:r>
          </w:p>
        </w:tc>
        <w:tc>
          <w:tcPr>
            <w:tcW w:w="4808" w:type="dxa"/>
            <w:noWrap/>
            <w:vAlign w:val="center"/>
          </w:tcPr>
          <w:p w14:paraId="5EEB99B6">
            <w:pPr>
              <w:widowControl/>
              <w:spacing w:line="240" w:lineRule="auto"/>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1.水平旋转角度0-340°</w:t>
            </w:r>
          </w:p>
          <w:p w14:paraId="506FBC0B">
            <w:pPr>
              <w:widowControl/>
              <w:spacing w:line="240" w:lineRule="auto"/>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2.标准供电3孔多功能电源插座10个</w:t>
            </w:r>
          </w:p>
          <w:p w14:paraId="577F5F29">
            <w:pPr>
              <w:widowControl/>
              <w:spacing w:line="240" w:lineRule="auto"/>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配置清单</w:t>
            </w:r>
          </w:p>
          <w:p w14:paraId="0260CF94">
            <w:pPr>
              <w:widowControl/>
              <w:spacing w:line="240" w:lineRule="auto"/>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1.横梁1套</w:t>
            </w:r>
          </w:p>
          <w:p w14:paraId="369749EE">
            <w:pPr>
              <w:widowControl/>
              <w:spacing w:line="240" w:lineRule="auto"/>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2.上装饰盖1个</w:t>
            </w:r>
          </w:p>
          <w:p w14:paraId="1F3B0630">
            <w:pPr>
              <w:widowControl/>
              <w:spacing w:line="240" w:lineRule="auto"/>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3.上立柱1支</w:t>
            </w:r>
          </w:p>
          <w:p w14:paraId="00F4EDB9">
            <w:pPr>
              <w:widowControl/>
              <w:spacing w:line="240" w:lineRule="auto"/>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4.输液架1个</w:t>
            </w:r>
          </w:p>
          <w:p w14:paraId="6E9CA0C8">
            <w:pPr>
              <w:widowControl/>
              <w:spacing w:line="240" w:lineRule="auto"/>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5.外科塔箱体1套</w:t>
            </w:r>
          </w:p>
          <w:p w14:paraId="395564B5">
            <w:pPr>
              <w:widowControl/>
              <w:spacing w:line="240" w:lineRule="auto"/>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6.平台1个</w:t>
            </w:r>
          </w:p>
          <w:p w14:paraId="3C506CB3">
            <w:pPr>
              <w:widowControl/>
              <w:spacing w:line="240" w:lineRule="auto"/>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7.平台+抽屉1套</w:t>
            </w:r>
          </w:p>
          <w:p w14:paraId="14D130AE">
            <w:pPr>
              <w:widowControl/>
              <w:spacing w:line="240" w:lineRule="auto"/>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8.箱体下盖1个</w:t>
            </w:r>
          </w:p>
          <w:p w14:paraId="24D8E83B">
            <w:pPr>
              <w:widowControl/>
              <w:spacing w:line="240" w:lineRule="auto"/>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9.气体终端插头3个</w:t>
            </w:r>
          </w:p>
          <w:p w14:paraId="0EB7717B">
            <w:pPr>
              <w:widowControl/>
              <w:spacing w:line="240" w:lineRule="auto"/>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10.气体终端堵头6个</w:t>
            </w:r>
          </w:p>
          <w:p w14:paraId="01985E1E">
            <w:pPr>
              <w:widowControl/>
              <w:spacing w:line="240" w:lineRule="auto"/>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11.固定盘1个</w:t>
            </w:r>
          </w:p>
          <w:p w14:paraId="19EB25D7">
            <w:pPr>
              <w:widowControl/>
              <w:spacing w:line="240" w:lineRule="auto"/>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12.说明书1份</w:t>
            </w:r>
          </w:p>
          <w:p w14:paraId="45D96588">
            <w:pPr>
              <w:widowControl/>
              <w:spacing w:line="240" w:lineRule="auto"/>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13.安装用固定螺栓1套</w:t>
            </w:r>
          </w:p>
        </w:tc>
        <w:tc>
          <w:tcPr>
            <w:tcW w:w="723" w:type="dxa"/>
            <w:noWrap w:val="0"/>
            <w:vAlign w:val="center"/>
          </w:tcPr>
          <w:p w14:paraId="43357E39">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6AD53DF4">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1D60A9C0">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58676AA8">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45221134">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03F4CBCD">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3431D288">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317FCF55">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4CC475A0">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2D59E533">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0EBF3946">
            <w:pPr>
              <w:keepNext w:val="0"/>
              <w:keepLines w:val="0"/>
              <w:widowControl/>
              <w:suppressLineNumbers w:val="0"/>
              <w:ind w:left="0" w:leftChars="0"/>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rPr>
              <w:t>1</w:t>
            </w:r>
          </w:p>
        </w:tc>
        <w:tc>
          <w:tcPr>
            <w:tcW w:w="759" w:type="dxa"/>
            <w:noWrap w:val="0"/>
            <w:vAlign w:val="center"/>
          </w:tcPr>
          <w:p w14:paraId="4B40F87F">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45265F27">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6EC67E3B">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1224CDB5">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7EF9D41B">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4B595A52">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16322E2F">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2CD2F25E">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6310A32C">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6BA5452A">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72A05BC3">
            <w:pPr>
              <w:keepNext w:val="0"/>
              <w:keepLines w:val="0"/>
              <w:widowControl/>
              <w:suppressLineNumbers w:val="0"/>
              <w:ind w:left="0" w:leftChars="0"/>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rPr>
              <w:t>台</w:t>
            </w:r>
          </w:p>
        </w:tc>
      </w:tr>
      <w:tr w14:paraId="7B436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0" w:hRule="atLeast"/>
          <w:jc w:val="center"/>
        </w:trPr>
        <w:tc>
          <w:tcPr>
            <w:tcW w:w="629" w:type="dxa"/>
            <w:noWrap/>
            <w:vAlign w:val="center"/>
          </w:tcPr>
          <w:p w14:paraId="43A571AF">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1</w:t>
            </w:r>
            <w:r>
              <w:rPr>
                <w:rFonts w:hint="eastAsia" w:hAnsi="宋体" w:cs="宋体"/>
                <w:b w:val="0"/>
                <w:bCs w:val="0"/>
                <w:color w:val="auto"/>
                <w:sz w:val="24"/>
                <w:szCs w:val="24"/>
                <w:lang w:val="en-US" w:eastAsia="zh-CN"/>
              </w:rPr>
              <w:t>3</w:t>
            </w:r>
          </w:p>
        </w:tc>
        <w:tc>
          <w:tcPr>
            <w:tcW w:w="998" w:type="dxa"/>
            <w:noWrap/>
            <w:vAlign w:val="center"/>
          </w:tcPr>
          <w:p w14:paraId="5245C961">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手术室专用更衣柜</w:t>
            </w:r>
          </w:p>
        </w:tc>
        <w:tc>
          <w:tcPr>
            <w:tcW w:w="4808" w:type="dxa"/>
            <w:noWrap/>
            <w:vAlign w:val="center"/>
          </w:tcPr>
          <w:p w14:paraId="5984D30F">
            <w:pPr>
              <w:pStyle w:val="7"/>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1.规格：≥900*400*1850mm。</w:t>
            </w:r>
          </w:p>
          <w:p w14:paraId="4E528EA9">
            <w:pPr>
              <w:widowControl/>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2.整体采用裸板≥0.8mm冷轧钢板，表面经酸洗磷化，13工位恒温静电喷塑处理。</w:t>
            </w:r>
          </w:p>
          <w:p w14:paraId="753E5AD0">
            <w:pPr>
              <w:widowControl/>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.扣手全部采用金属扣手。</w:t>
            </w:r>
          </w:p>
          <w:p w14:paraId="5441296D">
            <w:pPr>
              <w:widowControl/>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.承重：每层</w:t>
            </w:r>
            <w:r>
              <w:rPr>
                <w:rFonts w:hint="eastAsia" w:ascii="宋体" w:hAnsi="宋体" w:eastAsia="宋体" w:cs="宋体"/>
                <w:b w:val="0"/>
                <w:bCs w:val="0"/>
                <w:color w:val="auto"/>
                <w:sz w:val="24"/>
                <w:szCs w:val="24"/>
                <w:lang w:eastAsia="zh-CN"/>
              </w:rPr>
              <w:t>承重</w:t>
            </w:r>
            <w:r>
              <w:rPr>
                <w:rFonts w:hint="eastAsia" w:ascii="宋体" w:hAnsi="宋体" w:eastAsia="宋体" w:cs="宋体"/>
                <w:b w:val="0"/>
                <w:bCs w:val="0"/>
                <w:color w:val="auto"/>
                <w:sz w:val="24"/>
                <w:szCs w:val="24"/>
              </w:rPr>
              <w:t>不低于50KG，层板扣采用冷轧钢板冲压设计，厚度</w:t>
            </w:r>
            <w:r>
              <w:rPr>
                <w:rFonts w:hint="eastAsia" w:hAnsi="宋体" w:cs="宋体"/>
                <w:b w:val="0"/>
                <w:bCs w:val="0"/>
                <w:color w:val="auto"/>
                <w:sz w:val="24"/>
                <w:szCs w:val="24"/>
                <w:lang w:val="en-US" w:eastAsia="zh-CN"/>
              </w:rPr>
              <w:t>≥</w:t>
            </w:r>
            <w:r>
              <w:rPr>
                <w:rFonts w:hint="eastAsia" w:ascii="宋体" w:hAnsi="宋体" w:eastAsia="宋体" w:cs="宋体"/>
                <w:b w:val="0"/>
                <w:bCs w:val="0"/>
                <w:color w:val="auto"/>
                <w:sz w:val="24"/>
                <w:szCs w:val="24"/>
              </w:rPr>
              <w:t>0.8mm冷轧钢板。</w:t>
            </w:r>
          </w:p>
          <w:p w14:paraId="13DCCED0">
            <w:pPr>
              <w:widowControl/>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.柜子的每个面所用钢板不得采用拼接板。</w:t>
            </w:r>
          </w:p>
          <w:p w14:paraId="0E8F9FAB">
            <w:pPr>
              <w:widowControl/>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rPr>
              <w:t>.使用配套锁具，为防止钥匙丢失，要求采用万能管理钥匙可以达到抽出锁芯并更换新锁芯的功能。此采用文件柜专用锁具，锁具内芯和钥匙采用全金属制作，互开率低于2%。</w:t>
            </w:r>
          </w:p>
          <w:p w14:paraId="7E73823B">
            <w:pPr>
              <w:widowControl/>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.六门内各配有挂衣杆一个。</w:t>
            </w:r>
          </w:p>
        </w:tc>
        <w:tc>
          <w:tcPr>
            <w:tcW w:w="723" w:type="dxa"/>
            <w:noWrap w:val="0"/>
            <w:vAlign w:val="center"/>
          </w:tcPr>
          <w:p w14:paraId="78E732A7">
            <w:pPr>
              <w:keepNext w:val="0"/>
              <w:keepLines w:val="0"/>
              <w:widowControl/>
              <w:suppressLineNumbers w:val="0"/>
              <w:ind w:left="0" w:leftChars="0"/>
              <w:jc w:val="center"/>
              <w:textAlignment w:val="top"/>
              <w:rPr>
                <w:rFonts w:hint="eastAsia" w:ascii="宋体" w:hAnsi="宋体" w:eastAsia="宋体" w:cs="宋体"/>
                <w:i w:val="0"/>
                <w:iCs w:val="0"/>
                <w:color w:val="000000"/>
                <w:kern w:val="0"/>
                <w:sz w:val="24"/>
                <w:szCs w:val="24"/>
                <w:u w:val="none"/>
                <w:lang w:val="en-US" w:eastAsia="zh-CN"/>
              </w:rPr>
            </w:pPr>
          </w:p>
          <w:p w14:paraId="7BA0524B">
            <w:pPr>
              <w:keepNext w:val="0"/>
              <w:keepLines w:val="0"/>
              <w:widowControl/>
              <w:suppressLineNumbers w:val="0"/>
              <w:ind w:left="0" w:leftChars="0"/>
              <w:jc w:val="center"/>
              <w:textAlignment w:val="top"/>
              <w:rPr>
                <w:rFonts w:hint="eastAsia" w:ascii="宋体" w:hAnsi="宋体" w:eastAsia="宋体" w:cs="宋体"/>
                <w:i w:val="0"/>
                <w:iCs w:val="0"/>
                <w:color w:val="000000"/>
                <w:kern w:val="0"/>
                <w:sz w:val="24"/>
                <w:szCs w:val="24"/>
                <w:u w:val="none"/>
                <w:lang w:val="en-US" w:eastAsia="zh-CN"/>
              </w:rPr>
            </w:pPr>
          </w:p>
          <w:p w14:paraId="7BDBC0F5">
            <w:pPr>
              <w:keepNext w:val="0"/>
              <w:keepLines w:val="0"/>
              <w:widowControl/>
              <w:suppressLineNumbers w:val="0"/>
              <w:ind w:left="0" w:leftChars="0"/>
              <w:jc w:val="center"/>
              <w:textAlignment w:val="top"/>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rPr>
              <w:t>2</w:t>
            </w:r>
          </w:p>
        </w:tc>
        <w:tc>
          <w:tcPr>
            <w:tcW w:w="759" w:type="dxa"/>
            <w:noWrap w:val="0"/>
            <w:vAlign w:val="center"/>
          </w:tcPr>
          <w:p w14:paraId="79D1D05A">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5D030E49">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18EFD322">
            <w:pPr>
              <w:keepNext w:val="0"/>
              <w:keepLines w:val="0"/>
              <w:widowControl/>
              <w:suppressLineNumbers w:val="0"/>
              <w:ind w:left="0" w:leftChars="0"/>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rPr>
              <w:t>组</w:t>
            </w:r>
          </w:p>
        </w:tc>
      </w:tr>
      <w:tr w14:paraId="5B819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0" w:hRule="atLeast"/>
          <w:jc w:val="center"/>
        </w:trPr>
        <w:tc>
          <w:tcPr>
            <w:tcW w:w="629" w:type="dxa"/>
            <w:noWrap/>
            <w:vAlign w:val="center"/>
          </w:tcPr>
          <w:p w14:paraId="44F812F1">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1</w:t>
            </w:r>
            <w:r>
              <w:rPr>
                <w:rFonts w:hint="eastAsia" w:hAnsi="宋体" w:cs="宋体"/>
                <w:b w:val="0"/>
                <w:bCs w:val="0"/>
                <w:color w:val="auto"/>
                <w:sz w:val="24"/>
                <w:szCs w:val="24"/>
                <w:lang w:val="en-US" w:eastAsia="zh-CN"/>
              </w:rPr>
              <w:t>4</w:t>
            </w:r>
          </w:p>
        </w:tc>
        <w:tc>
          <w:tcPr>
            <w:tcW w:w="998" w:type="dxa"/>
            <w:noWrap/>
            <w:vAlign w:val="center"/>
          </w:tcPr>
          <w:p w14:paraId="41E9E13F">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手术室专用鞋柜</w:t>
            </w:r>
          </w:p>
        </w:tc>
        <w:tc>
          <w:tcPr>
            <w:tcW w:w="4808" w:type="dxa"/>
            <w:noWrap/>
            <w:vAlign w:val="center"/>
          </w:tcPr>
          <w:p w14:paraId="559A687D">
            <w:pPr>
              <w:pStyle w:val="7"/>
              <w:rPr>
                <w:rFonts w:hint="eastAsia" w:ascii="宋体" w:hAnsi="宋体" w:eastAsia="宋体" w:cs="宋体"/>
                <w:b w:val="0"/>
                <w:bCs w:val="0"/>
                <w:color w:val="auto"/>
                <w:sz w:val="24"/>
                <w:szCs w:val="24"/>
              </w:rPr>
            </w:pPr>
            <w:r>
              <w:rPr>
                <w:rFonts w:hint="eastAsia" w:hAnsi="宋体" w:cs="宋体"/>
                <w:b w:val="0"/>
                <w:bCs w:val="0"/>
                <w:color w:val="auto"/>
                <w:sz w:val="24"/>
                <w:szCs w:val="24"/>
                <w:lang w:val="en-US" w:eastAsia="zh-CN"/>
              </w:rPr>
              <w:t>1.</w:t>
            </w:r>
            <w:r>
              <w:rPr>
                <w:rFonts w:hint="eastAsia" w:ascii="宋体" w:hAnsi="宋体" w:eastAsia="宋体" w:cs="宋体"/>
                <w:b w:val="0"/>
                <w:bCs w:val="0"/>
                <w:color w:val="auto"/>
                <w:sz w:val="24"/>
                <w:szCs w:val="24"/>
              </w:rPr>
              <w:t>外观尺寸</w:t>
            </w:r>
            <w:r>
              <w:rPr>
                <w:rFonts w:hint="eastAsia" w:hAnsi="宋体" w:cs="宋体"/>
                <w:b w:val="0"/>
                <w:bCs w:val="0"/>
                <w:color w:val="auto"/>
                <w:sz w:val="24"/>
                <w:szCs w:val="24"/>
                <w:lang w:eastAsia="zh-CN"/>
              </w:rPr>
              <w:t>：</w:t>
            </w:r>
            <w:r>
              <w:rPr>
                <w:rFonts w:hint="eastAsia"/>
                <w:lang w:val="en-US" w:eastAsia="zh-CN"/>
              </w:rPr>
              <w:t>≥</w:t>
            </w:r>
            <w:r>
              <w:rPr>
                <w:rFonts w:hint="eastAsia" w:ascii="宋体" w:hAnsi="宋体" w:eastAsia="宋体" w:cs="宋体"/>
                <w:b w:val="0"/>
                <w:bCs w:val="0"/>
                <w:color w:val="auto"/>
                <w:sz w:val="24"/>
                <w:szCs w:val="24"/>
              </w:rPr>
              <w:t>900*350*1850mmmm</w:t>
            </w:r>
          </w:p>
          <w:p w14:paraId="4E3D2E04">
            <w:pPr>
              <w:pStyle w:val="7"/>
              <w:rPr>
                <w:rFonts w:hint="eastAsia" w:ascii="宋体" w:hAnsi="宋体" w:eastAsia="宋体" w:cs="宋体"/>
                <w:b w:val="0"/>
                <w:bCs w:val="0"/>
                <w:color w:val="auto"/>
                <w:sz w:val="24"/>
                <w:szCs w:val="24"/>
              </w:rPr>
            </w:pPr>
            <w:r>
              <w:rPr>
                <w:rFonts w:hint="eastAsia" w:hAnsi="宋体" w:cs="宋体"/>
                <w:b w:val="0"/>
                <w:bCs w:val="0"/>
                <w:color w:val="auto"/>
                <w:sz w:val="24"/>
                <w:szCs w:val="24"/>
                <w:lang w:val="en-US" w:eastAsia="zh-CN"/>
              </w:rPr>
              <w:t>2</w:t>
            </w:r>
            <w:r>
              <w:rPr>
                <w:rFonts w:hint="eastAsia" w:ascii="宋体" w:hAnsi="宋体" w:eastAsia="宋体" w:cs="宋体"/>
                <w:b w:val="0"/>
                <w:bCs w:val="0"/>
                <w:color w:val="auto"/>
                <w:sz w:val="24"/>
                <w:szCs w:val="24"/>
              </w:rPr>
              <w:t>.整体采用裸板≥0.8mm</w:t>
            </w:r>
            <w:r>
              <w:rPr>
                <w:rFonts w:hint="eastAsia" w:ascii="宋体" w:hAnsi="宋体" w:eastAsia="宋体" w:cs="宋体"/>
                <w:b w:val="0"/>
                <w:bCs w:val="0"/>
                <w:color w:val="auto"/>
                <w:sz w:val="24"/>
                <w:szCs w:val="24"/>
                <w:lang w:val="en-US" w:eastAsia="zh-CN"/>
              </w:rPr>
              <w:t>冷轧钢板</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表面经酸洗磷化</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13工位恒温静电喷塑处理</w:t>
            </w:r>
          </w:p>
          <w:p w14:paraId="68A40426">
            <w:pPr>
              <w:widowControl/>
              <w:spacing w:line="240" w:lineRule="auto"/>
              <w:jc w:val="both"/>
              <w:textAlignment w:val="center"/>
              <w:rPr>
                <w:rFonts w:hint="eastAsia" w:ascii="宋体" w:hAnsi="宋体" w:eastAsia="宋体" w:cs="宋体"/>
                <w:b w:val="0"/>
                <w:bCs w:val="0"/>
                <w:color w:val="auto"/>
                <w:sz w:val="24"/>
                <w:szCs w:val="24"/>
              </w:rPr>
            </w:pPr>
            <w:r>
              <w:rPr>
                <w:rFonts w:hint="eastAsia" w:hAnsi="宋体" w:cs="宋体"/>
                <w:b w:val="0"/>
                <w:bCs w:val="0"/>
                <w:color w:val="auto"/>
                <w:sz w:val="24"/>
                <w:szCs w:val="24"/>
                <w:lang w:val="en-US" w:eastAsia="zh-CN"/>
              </w:rPr>
              <w:t>3</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锁具内芯和钥匙采用全金属制作</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互开率低于2%;</w:t>
            </w:r>
          </w:p>
        </w:tc>
        <w:tc>
          <w:tcPr>
            <w:tcW w:w="723" w:type="dxa"/>
            <w:noWrap w:val="0"/>
            <w:vAlign w:val="center"/>
          </w:tcPr>
          <w:p w14:paraId="55EA039B">
            <w:pPr>
              <w:keepNext w:val="0"/>
              <w:keepLines w:val="0"/>
              <w:widowControl/>
              <w:suppressLineNumbers w:val="0"/>
              <w:ind w:left="0" w:leftChars="0"/>
              <w:jc w:val="center"/>
              <w:textAlignment w:val="top"/>
              <w:rPr>
                <w:rFonts w:hint="eastAsia" w:ascii="宋体" w:hAnsi="宋体" w:eastAsia="宋体" w:cs="宋体"/>
                <w:i w:val="0"/>
                <w:iCs w:val="0"/>
                <w:color w:val="000000"/>
                <w:kern w:val="0"/>
                <w:sz w:val="24"/>
                <w:szCs w:val="24"/>
                <w:u w:val="none"/>
                <w:lang w:val="en-US" w:eastAsia="zh-CN"/>
              </w:rPr>
            </w:pPr>
          </w:p>
          <w:p w14:paraId="27A0C795">
            <w:pPr>
              <w:keepNext w:val="0"/>
              <w:keepLines w:val="0"/>
              <w:widowControl/>
              <w:suppressLineNumbers w:val="0"/>
              <w:ind w:left="0" w:leftChars="0"/>
              <w:jc w:val="center"/>
              <w:textAlignment w:val="top"/>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rPr>
              <w:t>2</w:t>
            </w:r>
          </w:p>
        </w:tc>
        <w:tc>
          <w:tcPr>
            <w:tcW w:w="759" w:type="dxa"/>
            <w:noWrap w:val="0"/>
            <w:vAlign w:val="center"/>
          </w:tcPr>
          <w:p w14:paraId="64C73E7D">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52B97CBE">
            <w:pPr>
              <w:keepNext w:val="0"/>
              <w:keepLines w:val="0"/>
              <w:widowControl/>
              <w:suppressLineNumbers w:val="0"/>
              <w:ind w:left="0" w:leftChars="0"/>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rPr>
              <w:t>组</w:t>
            </w:r>
          </w:p>
        </w:tc>
      </w:tr>
      <w:tr w14:paraId="03107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0" w:hRule="atLeast"/>
          <w:jc w:val="center"/>
        </w:trPr>
        <w:tc>
          <w:tcPr>
            <w:tcW w:w="629" w:type="dxa"/>
            <w:noWrap/>
            <w:vAlign w:val="center"/>
          </w:tcPr>
          <w:p w14:paraId="239828E5">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7C98EDF1">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49AD2FAF">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6C3E4148">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1E1484F1">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010133BA">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7BA8552C">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6F1D42E2">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5A7843C5">
            <w:pPr>
              <w:pStyle w:val="15"/>
              <w:rPr>
                <w:rFonts w:hint="eastAsia" w:ascii="宋体" w:hAnsi="宋体" w:eastAsia="宋体" w:cs="宋体"/>
                <w:sz w:val="24"/>
                <w:szCs w:val="24"/>
                <w:lang w:val="en-US" w:eastAsia="zh-CN"/>
              </w:rPr>
            </w:pPr>
          </w:p>
          <w:p w14:paraId="41005194">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0767A701">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2B10955E">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r>
              <w:rPr>
                <w:rFonts w:hint="eastAsia" w:hAnsi="宋体" w:cs="宋体"/>
                <w:b w:val="0"/>
                <w:bCs w:val="0"/>
                <w:color w:val="auto"/>
                <w:sz w:val="24"/>
                <w:szCs w:val="24"/>
                <w:lang w:val="en-US" w:eastAsia="zh-CN"/>
              </w:rPr>
              <w:t>5</w:t>
            </w:r>
          </w:p>
        </w:tc>
        <w:tc>
          <w:tcPr>
            <w:tcW w:w="998" w:type="dxa"/>
            <w:noWrap/>
            <w:vAlign w:val="center"/>
          </w:tcPr>
          <w:p w14:paraId="4C14FC74">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rPr>
            </w:pPr>
          </w:p>
          <w:p w14:paraId="0C663E89">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rPr>
            </w:pPr>
          </w:p>
          <w:p w14:paraId="2A0C00D5">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rPr>
            </w:pPr>
          </w:p>
          <w:p w14:paraId="30682D97">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rPr>
            </w:pPr>
          </w:p>
          <w:p w14:paraId="422B477D">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rPr>
            </w:pPr>
          </w:p>
          <w:p w14:paraId="233B1870">
            <w:pPr>
              <w:pStyle w:val="15"/>
              <w:rPr>
                <w:rFonts w:hint="eastAsia" w:ascii="宋体" w:hAnsi="宋体" w:eastAsia="宋体" w:cs="宋体"/>
                <w:color w:val="auto"/>
                <w:sz w:val="24"/>
                <w:szCs w:val="24"/>
              </w:rPr>
            </w:pPr>
          </w:p>
          <w:p w14:paraId="6C3F9BD5">
            <w:pPr>
              <w:pStyle w:val="15"/>
              <w:rPr>
                <w:rFonts w:hint="eastAsia" w:ascii="宋体" w:hAnsi="宋体" w:eastAsia="宋体" w:cs="宋体"/>
                <w:color w:val="auto"/>
                <w:sz w:val="24"/>
                <w:szCs w:val="24"/>
              </w:rPr>
            </w:pPr>
          </w:p>
          <w:p w14:paraId="2E35AB1F">
            <w:pPr>
              <w:pStyle w:val="15"/>
              <w:rPr>
                <w:rFonts w:hint="eastAsia" w:ascii="宋体" w:hAnsi="宋体" w:eastAsia="宋体" w:cs="宋体"/>
                <w:color w:val="auto"/>
                <w:sz w:val="24"/>
                <w:szCs w:val="24"/>
              </w:rPr>
            </w:pPr>
          </w:p>
          <w:p w14:paraId="19A8DC70">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rPr>
            </w:pPr>
          </w:p>
          <w:p w14:paraId="3A500D63">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rPr>
            </w:pPr>
          </w:p>
          <w:p w14:paraId="3B3DD375">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rPr>
              <w:t>5G</w:t>
            </w:r>
            <w:r>
              <w:rPr>
                <w:rFonts w:hint="eastAsia" w:ascii="宋体" w:hAnsi="宋体" w:eastAsia="宋体" w:cs="宋体"/>
                <w:color w:val="auto"/>
                <w:sz w:val="24"/>
                <w:szCs w:val="24"/>
                <w:lang w:val="en-US" w:eastAsia="zh-CN"/>
              </w:rPr>
              <w:t>+健康医疗数字远程外科手术实训平台（5G+健康医疗手术互动教学设备）</w:t>
            </w:r>
          </w:p>
        </w:tc>
        <w:tc>
          <w:tcPr>
            <w:tcW w:w="4808" w:type="dxa"/>
            <w:noWrap/>
            <w:vAlign w:val="top"/>
          </w:tcPr>
          <w:p w14:paraId="117553EC">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1.系统符合标准IP协议，采用通用以太网网络传输音视频信号，采用C/S架构，图形化软件界面设计；</w:t>
            </w:r>
          </w:p>
          <w:p w14:paraId="30964184">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2.系统具备防止误删通道功能按键，可实时监控实训主机CPU、内存使用情况，以及视频文件录制大小；</w:t>
            </w:r>
          </w:p>
          <w:p w14:paraId="0AD20972">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3.一键录制示教画面。支持≥20路通道视频信号源同时录制，形成标准MP4格式文件，以通道信号源名称命名单独保存，方便教师视频回看；</w:t>
            </w:r>
          </w:p>
          <w:p w14:paraId="61185198">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4.接收端收看实训实操画面不需要打开浏览器或登录，也不需要借助第三方的软件或硬件投屏或图传设备。只需点击开始投屏或直播，每个大屏就能被动收看实时画面；</w:t>
            </w:r>
          </w:p>
          <w:p w14:paraId="67146AC7">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5.视频同步画面分辨率可调；</w:t>
            </w:r>
          </w:p>
          <w:p w14:paraId="78AC069F">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6.须提供多通道信号源和资源展示，包含采集卡、媒体文件、网络串流、网络摄像机、远程桌面、本地桌面、手机投屏等展示；</w:t>
            </w:r>
          </w:p>
          <w:p w14:paraId="72D82C54">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7.系统支持辅助教学功能，如：视频批注、倒计时、聚光灯；可实时对示教画面进行批注，并可将批注的书写过程及视频画面同步展示到所有接收端屏幕上；</w:t>
            </w:r>
          </w:p>
          <w:p w14:paraId="4E06B501">
            <w:pPr>
              <w:pStyle w:val="7"/>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8.支持推送</w:t>
            </w:r>
            <w:r>
              <w:rPr>
                <w:rFonts w:hint="eastAsia"/>
                <w:lang w:val="en-US" w:eastAsia="zh-CN"/>
              </w:rPr>
              <w:t>≥</w:t>
            </w:r>
            <w:r>
              <w:rPr>
                <w:rFonts w:hint="eastAsia" w:ascii="宋体" w:hAnsi="宋体" w:eastAsia="宋体" w:cs="宋体"/>
                <w:color w:val="auto"/>
                <w:kern w:val="2"/>
                <w:sz w:val="24"/>
                <w:szCs w:val="24"/>
                <w:lang w:val="en-US" w:eastAsia="zh-CN" w:bidi="ar-SA"/>
              </w:rPr>
              <w:t>4路RTMP或者RTSP流，支持向FMS等服务器推送直播流；</w:t>
            </w:r>
          </w:p>
          <w:p w14:paraId="0AC51FEA">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9.实训示教推车可实现对客户端电脑远程开机、关机及重启；</w:t>
            </w:r>
          </w:p>
          <w:p w14:paraId="1173B37D">
            <w:pPr>
              <w:pStyle w:val="7"/>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10.示教端完成录制视频后，软件支持通过二维码分享录媒体文件功能，小组或学生即可扫描二维码进行扫码带走，可把实训视频、图片、PPT等通过二维码分享给学生，以便于课前学习和课后复盘；</w:t>
            </w:r>
          </w:p>
          <w:p w14:paraId="769CA126">
            <w:pPr>
              <w:pStyle w:val="7"/>
              <w:rPr>
                <w:rFonts w:hint="eastAsia" w:eastAsia="宋体"/>
                <w:lang w:val="en-US" w:eastAsia="zh-CN"/>
              </w:rPr>
            </w:pPr>
            <w:r>
              <w:rPr>
                <w:rFonts w:hint="eastAsia" w:ascii="宋体" w:hAnsi="宋体" w:cs="宋体"/>
                <w:color w:val="auto"/>
                <w:kern w:val="2"/>
                <w:sz w:val="24"/>
                <w:szCs w:val="24"/>
                <w:lang w:val="en-US" w:eastAsia="zh-CN" w:bidi="ar-SA"/>
              </w:rPr>
              <w:t>12.</w:t>
            </w:r>
            <w:r>
              <w:rPr>
                <w:rFonts w:hint="eastAsia" w:ascii="宋体" w:hAnsi="宋体" w:eastAsia="宋体" w:cs="宋体"/>
                <w:color w:val="auto"/>
                <w:kern w:val="2"/>
                <w:sz w:val="24"/>
                <w:szCs w:val="24"/>
                <w:lang w:val="en-US" w:eastAsia="zh-CN" w:bidi="ar-SA"/>
              </w:rPr>
              <w:t>选定的多台终端通过以太网（包含有线网络、无线网络）一键画面强制投屏，且支持</w:t>
            </w:r>
            <w:r>
              <w:rPr>
                <w:rFonts w:hint="eastAsia"/>
                <w:lang w:val="en-US" w:eastAsia="zh-CN"/>
              </w:rPr>
              <w:t>≥</w:t>
            </w:r>
          </w:p>
          <w:p w14:paraId="224120A8">
            <w:pPr>
              <w:numPr>
                <w:ilvl w:val="0"/>
                <w:numId w:val="0"/>
              </w:numPr>
              <w:spacing w:line="24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8路终端直播；</w:t>
            </w:r>
          </w:p>
          <w:p w14:paraId="44594D77">
            <w:pPr>
              <w:numPr>
                <w:ilvl w:val="0"/>
                <w:numId w:val="0"/>
              </w:num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一、移动推车</w:t>
            </w:r>
          </w:p>
          <w:p w14:paraId="1BDFDCC0">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1.一体化移动教学推车集拍摄万向臂、实训主机支架、相机托架、扶手、托板、机柜箱体、移动底座及万向轮于一体；</w:t>
            </w:r>
          </w:p>
          <w:p w14:paraId="3B49C6BD">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2.专业多功能万向臂，转臂可折叠收缩，可自行穿线，方便简洁，连接线缆隐藏在转臂内部，外观干净，整洁；</w:t>
            </w:r>
          </w:p>
          <w:p w14:paraId="034CF959">
            <w:pPr>
              <w:pStyle w:val="7"/>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3.可水平360度旋转，二节转臂垂直45度调节，可多方位旋转调节，实现高清摄像机细节的移动拍摄。万向臂水平展开尺寸1</w:t>
            </w:r>
            <w:r>
              <w:rPr>
                <w:rFonts w:hint="eastAsia"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1.1米，可自行调节承重，承重范围：</w:t>
            </w:r>
            <w:r>
              <w:rPr>
                <w:rFonts w:hint="eastAsia"/>
                <w:lang w:val="en-US" w:eastAsia="zh-CN"/>
              </w:rPr>
              <w:t>≥</w:t>
            </w:r>
            <w:r>
              <w:rPr>
                <w:rFonts w:hint="eastAsia" w:ascii="宋体" w:hAnsi="宋体" w:eastAsia="宋体" w:cs="宋体"/>
                <w:color w:val="auto"/>
                <w:kern w:val="2"/>
                <w:sz w:val="24"/>
                <w:szCs w:val="24"/>
                <w:lang w:val="en-US" w:eastAsia="zh-CN" w:bidi="ar-SA"/>
              </w:rPr>
              <w:t>2KG；</w:t>
            </w:r>
          </w:p>
          <w:p w14:paraId="10F611B0">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4.万向臂支持多种高清摄像机的安装，相机托架适用于多种场景的相机变换与安装；</w:t>
            </w:r>
          </w:p>
          <w:p w14:paraId="63915440">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5.实训主机固定架Vesa可以承受≥10kg，可进行俯仰30度、左右90度的摆动，可满足不同视角角度需要；</w:t>
            </w:r>
          </w:p>
          <w:p w14:paraId="4F347BC5">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6.台面把手一体化，台面及把手为铝合金材质无缝一体成型；</w:t>
            </w:r>
          </w:p>
          <w:p w14:paraId="606ED444">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7.立柱使用高强度的铝合金，内部中空设计，可隐藏走线，做到线材不外露，整车身高度不低于1.8米；</w:t>
            </w:r>
          </w:p>
          <w:p w14:paraId="29E97E60">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8.车体底座采用防缠绕静音万向医疗轮4组，带刹车功能；</w:t>
            </w:r>
          </w:p>
          <w:p w14:paraId="601D7019">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9.配备电源控制开关，无需打开机柜，外部可一键控制设备电源开关。配备电量显示模块，可实时查看车载UPS电量情况，方便及时充电。须配置标准充电底座，整车12V、19V设计，；</w:t>
            </w:r>
          </w:p>
          <w:p w14:paraId="2B3BBF15">
            <w:pPr>
              <w:pStyle w:val="7"/>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10.标配箱体</w:t>
            </w:r>
            <w:r>
              <w:rPr>
                <w:rFonts w:hint="eastAsia"/>
                <w:lang w:val="en-US" w:eastAsia="zh-CN"/>
              </w:rPr>
              <w:t>≥</w:t>
            </w:r>
            <w:r>
              <w:rPr>
                <w:rFonts w:hint="eastAsia" w:ascii="宋体" w:hAnsi="宋体" w:eastAsia="宋体" w:cs="宋体"/>
                <w:color w:val="auto"/>
                <w:kern w:val="2"/>
                <w:sz w:val="24"/>
                <w:szCs w:val="24"/>
                <w:lang w:val="en-US" w:eastAsia="zh-CN" w:bidi="ar-SA"/>
              </w:rPr>
              <w:t>500mm*宽350mm*深450mm；侧面检修门设计，背部多点散热孔设计；</w:t>
            </w:r>
          </w:p>
          <w:p w14:paraId="1302AE74">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11.底盘：内部高强度金属结构底座框架支撑，增加底部配重，使重心平衡，避免倾翻</w:t>
            </w:r>
            <w:r>
              <w:rPr>
                <w:rFonts w:hint="eastAsia" w:hAnsi="宋体" w:cs="宋体"/>
                <w:color w:val="auto"/>
                <w:kern w:val="2"/>
                <w:sz w:val="24"/>
                <w:szCs w:val="24"/>
                <w:lang w:val="en-US" w:eastAsia="zh-CN" w:bidi="ar-SA"/>
              </w:rPr>
              <w:t>。</w:t>
            </w:r>
          </w:p>
          <w:p w14:paraId="28F512C9">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二、全向麦克风</w:t>
            </w:r>
          </w:p>
          <w:p w14:paraId="28925410">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1.360°全指向性数字麦克风阵列。</w:t>
            </w:r>
          </w:p>
          <w:p w14:paraId="5CE41218">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2.内置≥7颗高保真麦克风组成环形阵列，360度全向拾音；同时具备AI智能降噪、混响抑制、自动增益控制、回声消除、支持本地扩声等功能。</w:t>
            </w:r>
          </w:p>
          <w:p w14:paraId="384433F4">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3.信噪比：＞68dB(A)</w:t>
            </w:r>
          </w:p>
          <w:p w14:paraId="7C64BE42">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4.灵敏度：-35dB</w:t>
            </w:r>
          </w:p>
          <w:p w14:paraId="3F7CC150">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5.频率响应：20Hz-20KHz</w:t>
            </w:r>
          </w:p>
          <w:p w14:paraId="498F865A">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6.拾音距离：≥8米</w:t>
            </w:r>
          </w:p>
          <w:p w14:paraId="4421CA42">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7.支持AFC反馈抑制：8段根据声场调音的固定频率滤波器，8段自适应频率滤波器，抑制频率可手动调整，传声增益提升幅度：≥15dB，带反馈抑制效果器控制开关。</w:t>
            </w:r>
          </w:p>
          <w:p w14:paraId="3E2EF50F">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8.支持回声消除</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带AEC能量值更新开关，AEC有≥16等级可调。</w:t>
            </w:r>
          </w:p>
          <w:p w14:paraId="6F37138F">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9.支持AI智能降噪：可有效抑制或滤除房间内稳态噪声和瞬态噪声，有效降噪幅度≥36dB.</w:t>
            </w:r>
          </w:p>
          <w:p w14:paraId="2717C153">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10.支持自动增益控制：增益控制幅度-24dB~24dB。</w:t>
            </w:r>
          </w:p>
          <w:p w14:paraId="7EABBFAA">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11.支持USB串口调试。</w:t>
            </w:r>
          </w:p>
          <w:p w14:paraId="3103B403">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12.环境参数：环境噪声、信噪比、混响时间量化数值显示，并可实时获取。</w:t>
            </w:r>
          </w:p>
          <w:p w14:paraId="2AB7336E">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13.一键自适应声场调音功能：通过一键调音选项播放指定测试声并采集，设备智能算法计算教室环境声场参数，配置适合当前教室的系统参数并弥补教室内的声场缺陷，并显示麦克风数量、调音成功/失败等状态。</w:t>
            </w:r>
          </w:p>
          <w:p w14:paraId="2802A644">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14.音频矩阵调试功能：可控制每一路通道的开关及音量，并根据不同应用场景，配合不同矩阵功能，可定义模式化自适应调节。</w:t>
            </w:r>
          </w:p>
          <w:p w14:paraId="5D8DE1F7">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15.麦克风扩展级联：支持3个从麦级联。</w:t>
            </w:r>
          </w:p>
          <w:p w14:paraId="75217909">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16.扩展麦克风增益单独控制：支持</w:t>
            </w:r>
          </w:p>
          <w:p w14:paraId="281E43D8">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17.具备≥2路USB接口，可传输AEC-REF、AEC-OUT数据。</w:t>
            </w:r>
          </w:p>
          <w:p w14:paraId="06E33C83">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18.具备≥1路音频输出接口。</w:t>
            </w:r>
          </w:p>
          <w:p w14:paraId="7B0BBF8E">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三、实训示教主机</w:t>
            </w:r>
          </w:p>
          <w:p w14:paraId="33259F29">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1.≥23.6寸电容触摸屏；</w:t>
            </w:r>
          </w:p>
          <w:p w14:paraId="3430C2FA">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2.CPU:</w:t>
            </w:r>
            <w:r>
              <w:rPr>
                <w:rFonts w:hint="eastAsia" w:ascii="宋体" w:hAnsi="宋体" w:eastAsia="宋体" w:cs="宋体"/>
                <w:sz w:val="24"/>
                <w:szCs w:val="24"/>
                <w:vertAlign w:val="baseline"/>
                <w:lang w:val="en-US" w:eastAsia="zh-CN"/>
              </w:rPr>
              <w:t>主频≥2.</w:t>
            </w:r>
            <w:r>
              <w:rPr>
                <w:rFonts w:hint="eastAsia" w:hAnsi="宋体" w:cs="宋体"/>
                <w:sz w:val="24"/>
                <w:szCs w:val="24"/>
                <w:vertAlign w:val="baseline"/>
                <w:lang w:val="en-US" w:eastAsia="zh-CN"/>
              </w:rPr>
              <w:t>0</w:t>
            </w:r>
            <w:r>
              <w:rPr>
                <w:rFonts w:hint="eastAsia" w:ascii="宋体" w:hAnsi="宋体" w:eastAsia="宋体" w:cs="宋体"/>
                <w:sz w:val="24"/>
                <w:szCs w:val="24"/>
                <w:vertAlign w:val="baseline"/>
                <w:lang w:val="en-US" w:eastAsia="zh-CN"/>
              </w:rPr>
              <w:t>GHz.核数≥</w:t>
            </w:r>
            <w:r>
              <w:rPr>
                <w:rFonts w:hint="eastAsia" w:hAnsi="宋体" w:cs="宋体"/>
                <w:sz w:val="24"/>
                <w:szCs w:val="24"/>
                <w:vertAlign w:val="baseline"/>
                <w:lang w:val="en-US" w:eastAsia="zh-CN"/>
              </w:rPr>
              <w:t>8</w:t>
            </w:r>
            <w:r>
              <w:rPr>
                <w:rFonts w:hint="eastAsia" w:ascii="宋体" w:hAnsi="宋体" w:eastAsia="宋体" w:cs="宋体"/>
                <w:color w:val="auto"/>
                <w:kern w:val="2"/>
                <w:sz w:val="24"/>
                <w:szCs w:val="24"/>
                <w:lang w:val="en-US" w:eastAsia="zh-CN" w:bidi="ar-SA"/>
              </w:rPr>
              <w:t>；</w:t>
            </w:r>
          </w:p>
          <w:p w14:paraId="7E7BCD3A">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3.内存：8G*2；</w:t>
            </w:r>
          </w:p>
          <w:p w14:paraId="106C7D2C">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4.硬盘：512G固态；</w:t>
            </w:r>
          </w:p>
          <w:p w14:paraId="3FC03FCB">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5.千兆网卡；</w:t>
            </w:r>
          </w:p>
          <w:p w14:paraId="331F162C">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6.集成显卡；</w:t>
            </w:r>
          </w:p>
          <w:p w14:paraId="151787C0">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7.支持WIFI6；</w:t>
            </w:r>
          </w:p>
          <w:p w14:paraId="4E57105B">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四、触摸扩展屏</w:t>
            </w:r>
          </w:p>
          <w:p w14:paraId="6CEB1286">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1.≥23.6</w:t>
            </w:r>
            <w:r>
              <w:rPr>
                <w:rFonts w:hint="eastAsia" w:hAnsi="宋体" w:cs="宋体"/>
                <w:color w:val="auto"/>
                <w:kern w:val="2"/>
                <w:sz w:val="24"/>
                <w:szCs w:val="24"/>
                <w:lang w:val="en-US" w:eastAsia="zh-CN" w:bidi="ar-SA"/>
              </w:rPr>
              <w:t>英</w:t>
            </w:r>
            <w:r>
              <w:rPr>
                <w:rFonts w:hint="eastAsia" w:ascii="宋体" w:hAnsi="宋体" w:eastAsia="宋体" w:cs="宋体"/>
                <w:color w:val="auto"/>
                <w:kern w:val="2"/>
                <w:sz w:val="24"/>
                <w:szCs w:val="24"/>
                <w:lang w:val="en-US" w:eastAsia="zh-CN" w:bidi="ar-SA"/>
              </w:rPr>
              <w:t>寸电容触摸屏；</w:t>
            </w:r>
          </w:p>
          <w:p w14:paraId="26B0DEEC">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2.支持HDMI高清输入。</w:t>
            </w:r>
          </w:p>
          <w:p w14:paraId="0392C589">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五、电池</w:t>
            </w:r>
          </w:p>
          <w:p w14:paraId="109C32D8">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1.标称容量：≥84AH；</w:t>
            </w:r>
          </w:p>
          <w:p w14:paraId="585ACDE5">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2.外壳材质：不锈钢外壳，防锈防腐蚀；</w:t>
            </w:r>
          </w:p>
          <w:p w14:paraId="1ECF3DC5">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3.电池电芯：A级磷酸铁锂电池组；</w:t>
            </w:r>
          </w:p>
          <w:p w14:paraId="3B4C1752">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4.具有实时电流、电压、电池温度、剩余电量百分比显示；要求实际所显示电量百分比准确，不接受根据电压测算方案的电量表；</w:t>
            </w:r>
          </w:p>
          <w:p w14:paraId="53B1C320">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5.具有管理功能，支持对电量、电压、电流、温度的常规查看，支持对电池工作做保护设置，需要有对电流、电压、电池组均衡的保护功能，且需要看到电池充电循环的次数。</w:t>
            </w:r>
          </w:p>
          <w:p w14:paraId="3E0FE4F6">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六、无线路由器</w:t>
            </w:r>
          </w:p>
          <w:p w14:paraId="50049395">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1.千兆电WAN≥1，千兆电WAN/LAN≥3；</w:t>
            </w:r>
          </w:p>
          <w:p w14:paraId="681EA6C6">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2.一键复位开关，Wi-Fi6天线；</w:t>
            </w:r>
          </w:p>
          <w:p w14:paraId="0DBFC4B3">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3.支持双频WIFI，2.4G,5.8G。</w:t>
            </w:r>
          </w:p>
          <w:p w14:paraId="780F17F2">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七、音箱</w:t>
            </w:r>
          </w:p>
          <w:p w14:paraId="48D40E2C">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1.内置在示教推车厢体内，不占用示教推车额外空间；</w:t>
            </w:r>
          </w:p>
          <w:p w14:paraId="1B5DA0A6">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2.音箱最大功率：50W；喇叭：5.5寸低音，3寸高音，采用高低音扬声器、音质通透亮丽，穿透力强；</w:t>
            </w:r>
          </w:p>
          <w:p w14:paraId="4BDA366F">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3.音箱内置无线咪接收器：音频传输采用UHF抗干扰射频技术，不受Wi-Fi、蓝牙、手机等辐射信号干扰，无断音、接收稳定、有效降低杂讯、提高信噪比和减少失真；对频方式采用2.4G自动对频方式；</w:t>
            </w:r>
          </w:p>
          <w:p w14:paraId="003DB09F">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4.无线麦克风接收器传输范围：视环境变化约15米到30米；音频传输：UHF600-750MHz；对频频率：2400-2483.5MHz。</w:t>
            </w:r>
          </w:p>
          <w:p w14:paraId="45C55088">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八、特写摄像机</w:t>
            </w:r>
          </w:p>
          <w:p w14:paraId="6280C5DA">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1.信号系统：HDMI：4KP60,4KP50,4KP30,4KP25,4KP59.94，4KP29.97,1080P60等3G-SDI：1080P60,1080P50,1080P30,1080P25,720P60等；</w:t>
            </w:r>
          </w:p>
          <w:p w14:paraId="2116381B">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2.传感器：1/2.8英寸，CMOS，有效像素：840万；</w:t>
            </w:r>
          </w:p>
          <w:p w14:paraId="2DCA0CD7">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3.对焦方式：自动，手动，一键式；</w:t>
            </w:r>
          </w:p>
          <w:p w14:paraId="6939CE38">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4.最低照度：0.5Lux；</w:t>
            </w:r>
          </w:p>
          <w:p w14:paraId="2A097C95">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5.快门：1/30s~1/10000s；</w:t>
            </w:r>
          </w:p>
          <w:p w14:paraId="66CC305D">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6.水平、垂直翻转：支持；</w:t>
            </w:r>
          </w:p>
          <w:p w14:paraId="7C7D91F1">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7.图像冻结：支持；</w:t>
            </w:r>
          </w:p>
          <w:p w14:paraId="2DD43B79">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8.PoE供电：支持；</w:t>
            </w:r>
          </w:p>
          <w:p w14:paraId="17B0A3F2">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9.机身按键、按键类型：轻触按键；数量：8；</w:t>
            </w:r>
          </w:p>
          <w:p w14:paraId="2F68D83A">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10.功能：ZOOM操作，聚焦操作，亮度调整，菜单控制，图像冻结和模式切换；</w:t>
            </w:r>
          </w:p>
          <w:p w14:paraId="3BA21D0D">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11.支持2.4G或5G无线接入。</w:t>
            </w:r>
          </w:p>
          <w:p w14:paraId="70FB9920">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九、全景摄像机</w:t>
            </w:r>
          </w:p>
          <w:p w14:paraId="77038FCC">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1.1/2.8英寸500万像素CMOS传感器；输出207万有效像素（1920X1080）；</w:t>
            </w:r>
          </w:p>
          <w:p w14:paraId="7AC61020">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2.视频格式：1080P60/50/30/25，1080I60/50、720P60/50/30；清晰度≥1000TVL电视线；</w:t>
            </w:r>
          </w:p>
          <w:p w14:paraId="79FBFBA2">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3.镜头：12倍光学变焦，f=5.5～110mm，10倍数字变倍；总共120X缩放比例或以上；</w:t>
            </w:r>
          </w:p>
          <w:p w14:paraId="5B2A301A">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4.视角：3.3°（窄角）-54.7°（广角），光圈F1.6–F3.5或以上；</w:t>
            </w:r>
          </w:p>
          <w:p w14:paraId="1D229F01">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5.支持SM-2D和SM-3D数字降噪，信噪比&gt;55dB，低照度0.5Lux(F1.8,AGCON)；</w:t>
            </w:r>
          </w:p>
          <w:p w14:paraId="732007DF">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6.视频调节支持：亮度、色度、饱和度、对比度、锐度、黑白模式、伽马曲线等功能；</w:t>
            </w:r>
          </w:p>
          <w:p w14:paraId="49BF133D">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7.视频输出接口：HDMI、USB2.0、LAN（POE）网口视频输出或以上；</w:t>
            </w:r>
          </w:p>
          <w:p w14:paraId="0BF0661E">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8.支持1路A-IN音频输入口，1路RS232控制口（环通），1路485控制口；IP网络支持POE供电、显示、音频、控制多线合一，只连接一根网线实现供电、图像显示、摄像机控制；</w:t>
            </w:r>
          </w:p>
          <w:p w14:paraId="0F16794D">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9.支持AAC、MP3、G.711A音频压缩，音频输入口为双声道3.5mm线性输入；</w:t>
            </w:r>
          </w:p>
          <w:p w14:paraId="40F051A1">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10.网络口支持Onvif，GB/T28181，RTSP，RTMP协议，同时支持RTMP推送模式；</w:t>
            </w:r>
          </w:p>
          <w:p w14:paraId="781206BF">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11.支持H.265/H.264视频压缩；支持VISCA、PELCO-P/D协议，支持自动识别协议；</w:t>
            </w:r>
          </w:p>
          <w:p w14:paraId="1328BAFB">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12.云台支持255个预置位，水平速度：60°/秒，俯仰速度：30°/秒；</w:t>
            </w:r>
          </w:p>
          <w:p w14:paraId="3AC82BE0">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13.转动速度：水平0.1～60°/秒，垂直0.1～30°/秒；水平转动角度±170度，垂直-30度～+90度；</w:t>
            </w:r>
          </w:p>
          <w:p w14:paraId="7DFE8D47">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14.支持RTP组播模式，支持网络全命令VISCA控制协议；</w:t>
            </w:r>
          </w:p>
          <w:p w14:paraId="731ECCA2">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15.支持登录浏览器IP网页本地存储；网络口支持远程升级，远程重启，远程复位；</w:t>
            </w:r>
          </w:p>
          <w:p w14:paraId="0AA105AC">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16.支持调用预置位过程图像实现视频冻结功能；支持低功耗休眠/唤醒休眠功耗低于400mW。</w:t>
            </w:r>
          </w:p>
          <w:p w14:paraId="3BC30625">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17.视频录制时，支持本地桌面、远程桌面、小组摄像机和本地摄像机在同一个布局中呈现；</w:t>
            </w:r>
          </w:p>
          <w:p w14:paraId="3A74A941">
            <w:pPr>
              <w:numPr>
                <w:ilvl w:val="0"/>
                <w:numId w:val="6"/>
              </w:num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支持自动搜索在线的网络教学摄像机设备，且支持在设备列表里更改设备的配置参数。学生的无线设备自动连接教学软件，教师可以在软件系统里随时调用网络内任意一个网络摄像机展示操作画面；支持有线摄像机断线重连；</w:t>
            </w:r>
          </w:p>
          <w:p w14:paraId="1A15EC7D">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19.支持智能识别网络摄像机采集教学视频，实现师生教学互动；</w:t>
            </w:r>
          </w:p>
          <w:p w14:paraId="35634618">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20.系统支持获取运动相机实时视频流，可以在复杂运动场景中进行操作示范教学；</w:t>
            </w:r>
          </w:p>
          <w:p w14:paraId="5D40B6F5">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21.软件具有录制屏幕功能，在导播界面时录制图像，在电脑桌面时录制桌面操作的全屏图像，无需两段视频再次剪辑拼接；</w:t>
            </w:r>
          </w:p>
          <w:p w14:paraId="6B97BEE9">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22.软件具有录制摄像机通道功能，可把每路摄像机通道单独录制，打包为一个独立的视频文件</w:t>
            </w:r>
          </w:p>
          <w:p w14:paraId="376E7B24">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23.为方便录制视频的管理，示教导播录制的视频文件与通道录制的多个独立文件进行了分别管理，显示在不同的文件夹或查看窗口；</w:t>
            </w:r>
          </w:p>
          <w:p w14:paraId="63D4E92A">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24.系统具有对视频的打点功能，支持示教过程中对重难点知识点打点记录，只需要点击打点按钮即可成功打点并弹出提示信息，标记点同步保存在视频中；点击标记点，视频可快速跳转至标记点位置，展开重点讲解；</w:t>
            </w:r>
          </w:p>
          <w:p w14:paraId="6F589F84">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25.支持2个或以上教学画面分别投屏到2个或以上不同的接收端，即老师端软件可以控制不同的接收端大屏收看不同的教学图像。</w:t>
            </w:r>
          </w:p>
          <w:p w14:paraId="080F7A62">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26.实训示教时多地互动和实训示教软件为一体化软件，深度融合，避免多个软件之间隔离；多地互动操作方式同本地示教一致，不增加学习成本；远端推车画面独立在视频源分组，发起端自由灵活调度显示；</w:t>
            </w:r>
          </w:p>
          <w:p w14:paraId="4F8B912F">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27.支持互动视频录制，互动视频录制和本地示教录制操作一致；</w:t>
            </w:r>
          </w:p>
          <w:p w14:paraId="21107005">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28.支持视频互动模式和屏幕共享互动模式，支持一键切换视频互动和屏幕共享互动模式；</w:t>
            </w:r>
          </w:p>
          <w:p w14:paraId="62300EA5">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29.屏幕共享互动模式支持发起远程控制，实现对远端的屏幕操控；</w:t>
            </w:r>
          </w:p>
          <w:p w14:paraId="2609D951">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局域网互动软件：</w:t>
            </w:r>
          </w:p>
          <w:p w14:paraId="2A512BE9">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1.支持Windows/MAC操作系统；</w:t>
            </w:r>
          </w:p>
          <w:p w14:paraId="372ECD42">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2.支持H.323/SIP双协议，支持H.239/BFCP（SIP）双流协议；</w:t>
            </w:r>
          </w:p>
          <w:p w14:paraId="567FF011">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3.支持1080P，720P(1280x720),W448P(768x448),4CIF(704x576),CIF（352x288）等多种视频分辨率。支持720P人像视频+1080P共享内容；</w:t>
            </w:r>
          </w:p>
          <w:p w14:paraId="202E7C1D">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4.支持H.264HighProfile,H.264,H.263等多种视频编解码；</w:t>
            </w:r>
          </w:p>
          <w:p w14:paraId="29061824">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5.支持G.722.1C,G.722.1,G.722,G.711u/a等多种音频编解码；</w:t>
            </w:r>
          </w:p>
          <w:p w14:paraId="1906201B">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6.支持自动回音消除（AEC），AGC，VAD，CNG，PLC，AJB等多种音频处理技术；</w:t>
            </w:r>
          </w:p>
          <w:p w14:paraId="6FB7DD0A">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7.支持网守（GK）账号及SIP账号，支持IP直拨；</w:t>
            </w:r>
          </w:p>
          <w:p w14:paraId="138D3C9B">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8.支持动态带宽自适应调整，前向纠错算法（FEC），呼叫宽带自适应、协议自适应、音视频自适应；</w:t>
            </w:r>
          </w:p>
          <w:p w14:paraId="0E80A1A7">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9.支持通话统计功能，自动应答，静音，视频私密保护（关闭本地视频），智能拨号匹配等呼叫功能；</w:t>
            </w:r>
          </w:p>
          <w:p w14:paraId="6D38A6F2">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10.本地地址簿支持至少500条，呼叫历史支持至少100条；</w:t>
            </w:r>
          </w:p>
          <w:p w14:paraId="6ECA4842">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11.网络支持DHCP/静态IP；</w:t>
            </w:r>
          </w:p>
          <w:p w14:paraId="6CED577C">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12.支持SRTP/TLS,AES加密；</w:t>
            </w:r>
          </w:p>
          <w:p w14:paraId="4807B80F">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13.网络环境支持LAN，Wi-Fi，3G/4G移动网络；</w:t>
            </w:r>
          </w:p>
          <w:p w14:paraId="3704C804">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14.支持NAT内网穿透（手动/自动模式）；</w:t>
            </w:r>
          </w:p>
          <w:p w14:paraId="52E5357D">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15.支持智能防火墙穿越；</w:t>
            </w:r>
          </w:p>
          <w:p w14:paraId="4345C53D">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16.支持H.460协议；支持STUN,TURN,ICE；</w:t>
            </w:r>
          </w:p>
          <w:p w14:paraId="42D328C6">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17.支持自动更新；</w:t>
            </w:r>
          </w:p>
          <w:p w14:paraId="73A6E2F0">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18.支持主流云桌面部署软件客户端。</w:t>
            </w:r>
          </w:p>
          <w:p w14:paraId="7AFCBDAD">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公网互动软件：</w:t>
            </w:r>
          </w:p>
          <w:p w14:paraId="39A45825">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1.软件客户端支持Windows、MacOS、iOS、Android主流操作系统的终端接入；</w:t>
            </w:r>
          </w:p>
          <w:p w14:paraId="728F4C1A">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2.支持H.265、H.264SVC、H.264HighProfile、H.264BP、H.264、H.263、H.263+、VP8视频编解码技术</w:t>
            </w:r>
          </w:p>
          <w:p w14:paraId="5E84BA1E">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3.支持1080p30fps、720p30fps、360p30fps等多种视频格式的编解码；</w:t>
            </w:r>
          </w:p>
          <w:p w14:paraId="184A4D89">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4.支持同时传输主路会场动态视频画面和辅路PC画面双路1080p30fps同步传输，即在传输主流1080p30fps视频图像时，可同时支持第二路电脑数据流1080p30fps传输；</w:t>
            </w:r>
          </w:p>
          <w:p w14:paraId="1BEFADFF">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5.支持OPUS、G.722.1C、G.722.1、G.722、G.711等国际通用音频编解码协议；</w:t>
            </w:r>
          </w:p>
          <w:p w14:paraId="32F7A296">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6.支持音频编解码自适应，各终端以不同的音视频格式加入会议并正常收发音频支持H.323、SIP协议，支持H.323、SIP终端入会；</w:t>
            </w:r>
          </w:p>
          <w:p w14:paraId="1424E79C">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7.提供512Kbps～4Mbps的带宽适应速率范围；</w:t>
            </w:r>
          </w:p>
          <w:p w14:paraId="3D3A6CE8">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支持全编全解，每路终端都可显示独立画面；具有对每一路接入终端的媒体全适配处理能力，确保每个接入的终端均可以任意不同的协议、带宽、分辨率、帧率参加同一场会议，每个终端均可有独立不同的多画面，会议中任何一个参会终端出现丢包、抖动时仅影响该会场，不会影响整个会议；</w:t>
            </w:r>
          </w:p>
          <w:p w14:paraId="244A3E54">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9.支持会场实时状态显示，能显示出会议中各个会场的状态，如：入会状态、会场名称、麦克风/视频的开启状态等；</w:t>
            </w:r>
          </w:p>
          <w:p w14:paraId="0A544676">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10.具备良好的网络适应能力，可根据参会者的网络质量自动调节视频分辨率和帧率；</w:t>
            </w:r>
          </w:p>
          <w:p w14:paraId="19676804">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11.支持自定义会议默认设置，包括：入会自动静音、入会提示音、提前入会时间等；</w:t>
            </w:r>
          </w:p>
          <w:p w14:paraId="6C7BDDBE">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12.支持通过网页端、PC客户端、移动客户端预约会议；</w:t>
            </w:r>
          </w:p>
          <w:p w14:paraId="36F5F73F">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13.支持将视频会议的视频、辅流和音频文件存储到服务器；</w:t>
            </w:r>
          </w:p>
          <w:p w14:paraId="647E6298">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14.支持召开网络直播会议，支持把平台上召开的会议的音视频流推送到互联网上的云直播平台，实现会议的互联网直播功能。用户只需用手机微信扫描直播二维码或打开直播链接便可观看直播，实现不少于10,000用户的在线观看；</w:t>
            </w:r>
          </w:p>
          <w:p w14:paraId="695ABC55">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15.云视频会议Web平台及软件客户端可定制Logo及名称；</w:t>
            </w:r>
          </w:p>
          <w:p w14:paraId="509E8849">
            <w:pPr>
              <w:spacing w:line="240" w:lineRule="auto"/>
              <w:ind w:left="0" w:lef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16.支持SIP（TLS、SRTP）信令、流媒体加密，支持SRTP音视频数据加密，支持HTTPS网页加密访问；</w:t>
            </w:r>
          </w:p>
          <w:p w14:paraId="55772450">
            <w:pPr>
              <w:widowControl/>
              <w:spacing w:line="240" w:lineRule="auto"/>
              <w:ind w:left="0" w:leftChars="0"/>
              <w:jc w:val="both"/>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17.支持Polycom/思科/华为/中兴/lifesize的SIP/H.323终端注册亿联云视讯账号</w:t>
            </w:r>
          </w:p>
          <w:p w14:paraId="742DDDD9">
            <w:pPr>
              <w:widowControl/>
              <w:spacing w:line="240" w:lineRule="auto"/>
              <w:ind w:left="0" w:leftChars="0"/>
              <w:jc w:val="both"/>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18.支持30%视频抗丢包，丢包情况下不影响视频基本体验</w:t>
            </w:r>
          </w:p>
          <w:p w14:paraId="0FC39918">
            <w:pPr>
              <w:widowControl/>
              <w:spacing w:line="240" w:lineRule="auto"/>
              <w:ind w:left="0" w:leftChars="0"/>
              <w:jc w:val="both"/>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19.自定义布局支持画廊模式，支持2*2、3*3、4*4、5*5、6*6的分屏模式；</w:t>
            </w:r>
          </w:p>
          <w:p w14:paraId="26705915">
            <w:pPr>
              <w:widowControl/>
              <w:bidi w:val="0"/>
              <w:spacing w:line="240" w:lineRule="auto"/>
              <w:jc w:val="both"/>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扩声系统：</w:t>
            </w:r>
          </w:p>
          <w:p w14:paraId="6042FC39">
            <w:pPr>
              <w:widowControl/>
              <w:bidi w:val="0"/>
              <w:spacing w:line="240" w:lineRule="auto"/>
              <w:jc w:val="both"/>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一、音响（四台）</w:t>
            </w:r>
          </w:p>
          <w:p w14:paraId="22F558C9">
            <w:pPr>
              <w:widowControl/>
              <w:bidi w:val="0"/>
              <w:spacing w:line="240" w:lineRule="auto"/>
              <w:jc w:val="both"/>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highlight w:val="none"/>
                <w:lang w:val="en-US" w:eastAsia="zh-CN"/>
              </w:rPr>
              <w:t>.频</w:t>
            </w:r>
            <w:r>
              <w:rPr>
                <w:rFonts w:hint="eastAsia" w:ascii="宋体" w:hAnsi="宋体" w:eastAsia="宋体" w:cs="宋体"/>
                <w:color w:val="auto"/>
                <w:sz w:val="24"/>
                <w:szCs w:val="24"/>
                <w:lang w:val="en-US" w:eastAsia="zh-CN"/>
              </w:rPr>
              <w:t>率稳定度：±10ppm。</w:t>
            </w:r>
          </w:p>
          <w:p w14:paraId="659384D4">
            <w:pPr>
              <w:widowControl/>
              <w:bidi w:val="0"/>
              <w:spacing w:line="240" w:lineRule="auto"/>
              <w:jc w:val="both"/>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2.动态范围≥100dB（A）。</w:t>
            </w:r>
          </w:p>
          <w:p w14:paraId="4BE70147">
            <w:pPr>
              <w:widowControl/>
              <w:bidi w:val="0"/>
              <w:spacing w:line="240" w:lineRule="auto"/>
              <w:jc w:val="both"/>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3.综合信噪比≥103dB。</w:t>
            </w:r>
          </w:p>
          <w:p w14:paraId="2C0968F6">
            <w:pPr>
              <w:widowControl/>
              <w:bidi w:val="0"/>
              <w:spacing w:line="240" w:lineRule="auto"/>
              <w:jc w:val="both"/>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4.综合频率响应范围：40Hz-18KHZ（3dB）。</w:t>
            </w:r>
          </w:p>
          <w:p w14:paraId="07CD4FD9">
            <w:pPr>
              <w:widowControl/>
              <w:bidi w:val="0"/>
              <w:spacing w:line="240" w:lineRule="auto"/>
              <w:jc w:val="both"/>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5.综合失真度：≤0.3%。</w:t>
            </w:r>
          </w:p>
          <w:p w14:paraId="7D587EE7">
            <w:pPr>
              <w:widowControl/>
              <w:bidi w:val="0"/>
              <w:spacing w:line="240" w:lineRule="auto"/>
              <w:jc w:val="both"/>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6.信道数目≥2*100。</w:t>
            </w:r>
          </w:p>
          <w:p w14:paraId="22F966BC">
            <w:pPr>
              <w:widowControl/>
              <w:bidi w:val="0"/>
              <w:spacing w:line="240" w:lineRule="auto"/>
              <w:jc w:val="both"/>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7.信道间距≥250KHZ。</w:t>
            </w:r>
          </w:p>
          <w:p w14:paraId="397E282F">
            <w:pPr>
              <w:widowControl/>
              <w:bidi w:val="0"/>
              <w:spacing w:line="240" w:lineRule="auto"/>
              <w:jc w:val="both"/>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8.发射调制模式：FM调制（最大±75KHZ）。</w:t>
            </w:r>
          </w:p>
          <w:p w14:paraId="6A73C98F">
            <w:pPr>
              <w:widowControl/>
              <w:bidi w:val="0"/>
              <w:spacing w:line="240" w:lineRule="auto"/>
              <w:jc w:val="both"/>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9.发射功率：≤20mW。</w:t>
            </w:r>
          </w:p>
          <w:p w14:paraId="22B5CBB3">
            <w:pPr>
              <w:widowControl/>
              <w:bidi w:val="0"/>
              <w:spacing w:line="240" w:lineRule="auto"/>
              <w:jc w:val="both"/>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二、功放（1套）</w:t>
            </w:r>
          </w:p>
          <w:p w14:paraId="025F96BF">
            <w:pPr>
              <w:widowControl/>
              <w:bidi w:val="0"/>
              <w:spacing w:line="240" w:lineRule="auto"/>
              <w:jc w:val="both"/>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1.功率≥200W*2。</w:t>
            </w:r>
          </w:p>
          <w:p w14:paraId="7CA9A2DF">
            <w:pPr>
              <w:widowControl/>
              <w:bidi w:val="0"/>
              <w:spacing w:line="240" w:lineRule="auto"/>
              <w:jc w:val="both"/>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2.信噪比≥90dB。</w:t>
            </w:r>
          </w:p>
          <w:p w14:paraId="06C762F9">
            <w:pPr>
              <w:widowControl/>
              <w:bidi w:val="0"/>
              <w:spacing w:line="240" w:lineRule="auto"/>
              <w:jc w:val="both"/>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3.频率响应：20Hz-20kHz（±1dB）。</w:t>
            </w:r>
          </w:p>
          <w:p w14:paraId="42296155">
            <w:pPr>
              <w:widowControl/>
              <w:bidi w:val="0"/>
              <w:spacing w:line="240" w:lineRule="auto"/>
              <w:jc w:val="both"/>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4.失真度≤0.2%。</w:t>
            </w:r>
          </w:p>
          <w:p w14:paraId="7A6D806C">
            <w:pPr>
              <w:widowControl/>
              <w:bidi w:val="0"/>
              <w:spacing w:line="240" w:lineRule="auto"/>
              <w:jc w:val="both"/>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三、无线话筒（1套）</w:t>
            </w:r>
          </w:p>
          <w:p w14:paraId="16C2BFAC">
            <w:pPr>
              <w:widowControl/>
              <w:bidi w:val="0"/>
              <w:spacing w:line="240" w:lineRule="auto"/>
              <w:jc w:val="both"/>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1.频率范围：740-790MHz。</w:t>
            </w:r>
          </w:p>
          <w:p w14:paraId="5DD23FE9">
            <w:pPr>
              <w:widowControl/>
              <w:bidi w:val="0"/>
              <w:spacing w:line="240" w:lineRule="auto"/>
              <w:jc w:val="both"/>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2.可调信道数≥100×2。</w:t>
            </w:r>
          </w:p>
          <w:p w14:paraId="323A26D3">
            <w:pPr>
              <w:widowControl/>
              <w:bidi w:val="0"/>
              <w:spacing w:line="240" w:lineRule="auto"/>
              <w:jc w:val="both"/>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3.频率稳定度：±10ppm。</w:t>
            </w:r>
          </w:p>
          <w:p w14:paraId="51C5B9B7">
            <w:pPr>
              <w:widowControl/>
              <w:bidi w:val="0"/>
              <w:spacing w:line="240" w:lineRule="auto"/>
              <w:jc w:val="both"/>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4.接收灵敏度：-95~-67dBm。</w:t>
            </w:r>
          </w:p>
          <w:p w14:paraId="13E3A333">
            <w:pPr>
              <w:widowControl/>
              <w:bidi w:val="0"/>
              <w:spacing w:line="240" w:lineRule="auto"/>
              <w:jc w:val="both"/>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5.音频频响：40～18000Hz。</w:t>
            </w:r>
          </w:p>
          <w:p w14:paraId="25B05BF3">
            <w:pPr>
              <w:widowControl/>
              <w:bidi w:val="0"/>
              <w:spacing w:line="240" w:lineRule="auto"/>
              <w:jc w:val="both"/>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6.谐波失真：≤0.5%。</w:t>
            </w:r>
          </w:p>
          <w:p w14:paraId="20379788">
            <w:pPr>
              <w:widowControl/>
              <w:bidi w:val="0"/>
              <w:spacing w:line="240" w:lineRule="auto"/>
              <w:jc w:val="both"/>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7.信噪比：≥110dB。</w:t>
            </w:r>
          </w:p>
          <w:p w14:paraId="1CAD1B94">
            <w:pPr>
              <w:widowControl/>
              <w:bidi w:val="0"/>
              <w:spacing w:line="240" w:lineRule="auto"/>
              <w:jc w:val="both"/>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8.发射功率：3-30mW 。</w:t>
            </w:r>
          </w:p>
          <w:p w14:paraId="54D4344E">
            <w:pPr>
              <w:widowControl/>
              <w:spacing w:line="240" w:lineRule="auto"/>
              <w:ind w:left="0" w:leftChars="0"/>
              <w:jc w:val="both"/>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9.电源消耗：≤10W。</w:t>
            </w:r>
          </w:p>
        </w:tc>
        <w:tc>
          <w:tcPr>
            <w:tcW w:w="723" w:type="dxa"/>
            <w:noWrap w:val="0"/>
            <w:vAlign w:val="center"/>
          </w:tcPr>
          <w:p w14:paraId="0A7A2AE7">
            <w:pPr>
              <w:keepNext w:val="0"/>
              <w:keepLines w:val="0"/>
              <w:widowControl/>
              <w:suppressLineNumbers w:val="0"/>
              <w:ind w:left="0" w:leftChars="0"/>
              <w:jc w:val="center"/>
              <w:textAlignment w:val="top"/>
              <w:rPr>
                <w:rFonts w:hint="eastAsia" w:ascii="宋体" w:hAnsi="宋体" w:eastAsia="宋体" w:cs="宋体"/>
                <w:i w:val="0"/>
                <w:iCs w:val="0"/>
                <w:color w:val="000000"/>
                <w:kern w:val="0"/>
                <w:sz w:val="24"/>
                <w:szCs w:val="24"/>
                <w:u w:val="none"/>
                <w:lang w:val="en-US" w:eastAsia="zh-CN"/>
              </w:rPr>
            </w:pPr>
          </w:p>
          <w:p w14:paraId="1E5963A3">
            <w:pPr>
              <w:keepNext w:val="0"/>
              <w:keepLines w:val="0"/>
              <w:widowControl/>
              <w:suppressLineNumbers w:val="0"/>
              <w:ind w:left="0" w:leftChars="0"/>
              <w:jc w:val="center"/>
              <w:textAlignment w:val="top"/>
              <w:rPr>
                <w:rFonts w:hint="eastAsia" w:ascii="宋体" w:hAnsi="宋体" w:eastAsia="宋体" w:cs="宋体"/>
                <w:i w:val="0"/>
                <w:iCs w:val="0"/>
                <w:color w:val="000000"/>
                <w:kern w:val="0"/>
                <w:sz w:val="24"/>
                <w:szCs w:val="24"/>
                <w:u w:val="none"/>
                <w:lang w:val="en-US" w:eastAsia="zh-CN"/>
              </w:rPr>
            </w:pPr>
          </w:p>
          <w:p w14:paraId="65685333">
            <w:pPr>
              <w:keepNext w:val="0"/>
              <w:keepLines w:val="0"/>
              <w:widowControl/>
              <w:suppressLineNumbers w:val="0"/>
              <w:ind w:left="0" w:leftChars="0"/>
              <w:jc w:val="center"/>
              <w:textAlignment w:val="top"/>
              <w:rPr>
                <w:rFonts w:hint="eastAsia" w:ascii="宋体" w:hAnsi="宋体" w:eastAsia="宋体" w:cs="宋体"/>
                <w:i w:val="0"/>
                <w:iCs w:val="0"/>
                <w:color w:val="000000"/>
                <w:kern w:val="0"/>
                <w:sz w:val="24"/>
                <w:szCs w:val="24"/>
                <w:u w:val="none"/>
                <w:lang w:val="en-US" w:eastAsia="zh-CN"/>
              </w:rPr>
            </w:pPr>
          </w:p>
          <w:p w14:paraId="663A5AE2">
            <w:pPr>
              <w:keepNext w:val="0"/>
              <w:keepLines w:val="0"/>
              <w:widowControl/>
              <w:suppressLineNumbers w:val="0"/>
              <w:ind w:left="0" w:leftChars="0"/>
              <w:jc w:val="center"/>
              <w:textAlignment w:val="top"/>
              <w:rPr>
                <w:rFonts w:hint="eastAsia" w:ascii="宋体" w:hAnsi="宋体" w:eastAsia="宋体" w:cs="宋体"/>
                <w:i w:val="0"/>
                <w:iCs w:val="0"/>
                <w:color w:val="000000"/>
                <w:kern w:val="0"/>
                <w:sz w:val="24"/>
                <w:szCs w:val="24"/>
                <w:u w:val="none"/>
                <w:lang w:val="en-US" w:eastAsia="zh-CN"/>
              </w:rPr>
            </w:pPr>
          </w:p>
          <w:p w14:paraId="4C2540D7">
            <w:pPr>
              <w:pStyle w:val="25"/>
              <w:jc w:val="center"/>
              <w:rPr>
                <w:rFonts w:hint="eastAsia" w:ascii="宋体" w:hAnsi="宋体" w:eastAsia="宋体" w:cs="宋体"/>
                <w:i w:val="0"/>
                <w:iCs w:val="0"/>
                <w:color w:val="000000"/>
                <w:kern w:val="0"/>
                <w:sz w:val="24"/>
                <w:szCs w:val="24"/>
                <w:u w:val="none"/>
                <w:lang w:val="en-US" w:eastAsia="zh-CN"/>
              </w:rPr>
            </w:pPr>
          </w:p>
          <w:p w14:paraId="72F99D05">
            <w:pPr>
              <w:pStyle w:val="25"/>
              <w:jc w:val="center"/>
              <w:rPr>
                <w:rFonts w:hint="eastAsia" w:ascii="宋体" w:hAnsi="宋体" w:eastAsia="宋体" w:cs="宋体"/>
                <w:i w:val="0"/>
                <w:iCs w:val="0"/>
                <w:color w:val="000000"/>
                <w:kern w:val="0"/>
                <w:sz w:val="24"/>
                <w:szCs w:val="24"/>
                <w:u w:val="none"/>
                <w:lang w:val="en-US" w:eastAsia="zh-CN"/>
              </w:rPr>
            </w:pPr>
          </w:p>
          <w:p w14:paraId="4E13F5B5">
            <w:pPr>
              <w:pStyle w:val="25"/>
              <w:jc w:val="center"/>
              <w:rPr>
                <w:rFonts w:hint="eastAsia" w:ascii="宋体" w:hAnsi="宋体" w:eastAsia="宋体" w:cs="宋体"/>
                <w:i w:val="0"/>
                <w:iCs w:val="0"/>
                <w:color w:val="000000"/>
                <w:kern w:val="0"/>
                <w:sz w:val="24"/>
                <w:szCs w:val="24"/>
                <w:u w:val="none"/>
                <w:lang w:val="en-US" w:eastAsia="zh-CN"/>
              </w:rPr>
            </w:pPr>
          </w:p>
          <w:p w14:paraId="1B8A41AD">
            <w:pPr>
              <w:pStyle w:val="25"/>
              <w:jc w:val="center"/>
              <w:rPr>
                <w:rFonts w:hint="eastAsia" w:ascii="宋体" w:hAnsi="宋体" w:eastAsia="宋体" w:cs="宋体"/>
                <w:i w:val="0"/>
                <w:iCs w:val="0"/>
                <w:color w:val="000000"/>
                <w:kern w:val="0"/>
                <w:sz w:val="24"/>
                <w:szCs w:val="24"/>
                <w:u w:val="none"/>
                <w:lang w:val="en-US" w:eastAsia="zh-CN"/>
              </w:rPr>
            </w:pPr>
          </w:p>
          <w:p w14:paraId="0E997454">
            <w:pPr>
              <w:pStyle w:val="25"/>
              <w:jc w:val="center"/>
              <w:rPr>
                <w:rFonts w:hint="eastAsia" w:ascii="宋体" w:hAnsi="宋体" w:eastAsia="宋体" w:cs="宋体"/>
                <w:i w:val="0"/>
                <w:iCs w:val="0"/>
                <w:color w:val="000000"/>
                <w:kern w:val="0"/>
                <w:sz w:val="24"/>
                <w:szCs w:val="24"/>
                <w:u w:val="none"/>
                <w:lang w:val="en-US" w:eastAsia="zh-CN"/>
              </w:rPr>
            </w:pPr>
          </w:p>
          <w:p w14:paraId="094255B6">
            <w:pPr>
              <w:keepNext w:val="0"/>
              <w:keepLines w:val="0"/>
              <w:widowControl/>
              <w:suppressLineNumbers w:val="0"/>
              <w:ind w:left="0" w:leftChars="0"/>
              <w:jc w:val="center"/>
              <w:textAlignment w:val="top"/>
              <w:rPr>
                <w:rFonts w:hint="eastAsia" w:ascii="宋体" w:hAnsi="宋体" w:eastAsia="宋体" w:cs="宋体"/>
                <w:i w:val="0"/>
                <w:iCs w:val="0"/>
                <w:color w:val="000000"/>
                <w:kern w:val="0"/>
                <w:sz w:val="24"/>
                <w:szCs w:val="24"/>
                <w:u w:val="none"/>
                <w:lang w:val="en-US" w:eastAsia="zh-CN"/>
              </w:rPr>
            </w:pPr>
          </w:p>
          <w:p w14:paraId="16007DD5">
            <w:pPr>
              <w:keepNext w:val="0"/>
              <w:keepLines w:val="0"/>
              <w:widowControl/>
              <w:suppressLineNumbers w:val="0"/>
              <w:ind w:left="0" w:leftChars="0"/>
              <w:jc w:val="center"/>
              <w:textAlignment w:val="top"/>
              <w:rPr>
                <w:rFonts w:hint="eastAsia" w:ascii="宋体" w:hAnsi="宋体" w:eastAsia="宋体" w:cs="宋体"/>
                <w:i w:val="0"/>
                <w:iCs w:val="0"/>
                <w:color w:val="000000"/>
                <w:kern w:val="0"/>
                <w:sz w:val="24"/>
                <w:szCs w:val="24"/>
                <w:u w:val="none"/>
                <w:lang w:val="en-US" w:eastAsia="zh-CN"/>
              </w:rPr>
            </w:pPr>
          </w:p>
          <w:p w14:paraId="6C31CE1C">
            <w:pPr>
              <w:keepNext w:val="0"/>
              <w:keepLines w:val="0"/>
              <w:widowControl/>
              <w:suppressLineNumbers w:val="0"/>
              <w:ind w:left="0" w:leftChars="0"/>
              <w:jc w:val="center"/>
              <w:textAlignment w:val="top"/>
              <w:rPr>
                <w:rFonts w:hint="eastAsia" w:ascii="宋体" w:hAnsi="宋体" w:eastAsia="宋体" w:cs="宋体"/>
                <w:i w:val="0"/>
                <w:iCs w:val="0"/>
                <w:color w:val="000000"/>
                <w:kern w:val="0"/>
                <w:sz w:val="24"/>
                <w:szCs w:val="24"/>
                <w:u w:val="none"/>
                <w:lang w:val="en-US" w:eastAsia="zh-CN"/>
              </w:rPr>
            </w:pPr>
          </w:p>
          <w:p w14:paraId="1A4B9B2C">
            <w:pPr>
              <w:keepNext w:val="0"/>
              <w:keepLines w:val="0"/>
              <w:widowControl/>
              <w:suppressLineNumbers w:val="0"/>
              <w:ind w:left="0" w:leftChars="0"/>
              <w:jc w:val="center"/>
              <w:textAlignment w:val="top"/>
              <w:rPr>
                <w:rFonts w:hint="eastAsia" w:ascii="宋体" w:hAnsi="宋体" w:eastAsia="宋体" w:cs="宋体"/>
                <w:b w:val="0"/>
                <w:bCs w:val="0"/>
                <w:color w:val="auto"/>
                <w:sz w:val="24"/>
                <w:szCs w:val="24"/>
                <w:lang w:val="en-US" w:eastAsia="zh-CN"/>
              </w:rPr>
            </w:pPr>
            <w:r>
              <w:rPr>
                <w:rFonts w:hint="eastAsia" w:ascii="宋体" w:hAnsi="宋体" w:eastAsia="宋体" w:cs="宋体"/>
                <w:i w:val="0"/>
                <w:iCs w:val="0"/>
                <w:color w:val="000000"/>
                <w:kern w:val="0"/>
                <w:sz w:val="24"/>
                <w:szCs w:val="24"/>
                <w:u w:val="none"/>
                <w:lang w:val="en-US" w:eastAsia="zh-CN"/>
              </w:rPr>
              <w:t>1</w:t>
            </w:r>
          </w:p>
        </w:tc>
        <w:tc>
          <w:tcPr>
            <w:tcW w:w="759" w:type="dxa"/>
            <w:noWrap w:val="0"/>
            <w:vAlign w:val="center"/>
          </w:tcPr>
          <w:p w14:paraId="4F69A0FF">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7C01F1A0">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3A2FA9CE">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7E6C521A">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1157A5AA">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2FF50DD3">
            <w:pPr>
              <w:pStyle w:val="25"/>
              <w:jc w:val="center"/>
              <w:rPr>
                <w:rFonts w:hint="eastAsia" w:ascii="宋体" w:hAnsi="宋体" w:eastAsia="宋体" w:cs="宋体"/>
                <w:i w:val="0"/>
                <w:iCs w:val="0"/>
                <w:color w:val="000000"/>
                <w:kern w:val="0"/>
                <w:sz w:val="24"/>
                <w:szCs w:val="24"/>
                <w:u w:val="none"/>
                <w:lang w:val="en-US" w:eastAsia="zh-CN"/>
              </w:rPr>
            </w:pPr>
          </w:p>
          <w:p w14:paraId="30F78D89">
            <w:pPr>
              <w:pStyle w:val="25"/>
              <w:jc w:val="center"/>
              <w:rPr>
                <w:rFonts w:hint="eastAsia" w:ascii="宋体" w:hAnsi="宋体" w:eastAsia="宋体" w:cs="宋体"/>
                <w:i w:val="0"/>
                <w:iCs w:val="0"/>
                <w:color w:val="000000"/>
                <w:kern w:val="0"/>
                <w:sz w:val="24"/>
                <w:szCs w:val="24"/>
                <w:u w:val="none"/>
                <w:lang w:val="en-US" w:eastAsia="zh-CN"/>
              </w:rPr>
            </w:pPr>
          </w:p>
          <w:p w14:paraId="081BD21B">
            <w:pPr>
              <w:pStyle w:val="25"/>
              <w:jc w:val="center"/>
              <w:rPr>
                <w:rFonts w:hint="eastAsia" w:ascii="宋体" w:hAnsi="宋体" w:eastAsia="宋体" w:cs="宋体"/>
                <w:i w:val="0"/>
                <w:iCs w:val="0"/>
                <w:color w:val="000000"/>
                <w:kern w:val="0"/>
                <w:sz w:val="24"/>
                <w:szCs w:val="24"/>
                <w:u w:val="none"/>
                <w:lang w:val="en-US" w:eastAsia="zh-CN"/>
              </w:rPr>
            </w:pPr>
          </w:p>
          <w:p w14:paraId="0CD547EB">
            <w:pPr>
              <w:pStyle w:val="25"/>
              <w:jc w:val="center"/>
              <w:rPr>
                <w:rFonts w:hint="eastAsia" w:ascii="宋体" w:hAnsi="宋体" w:eastAsia="宋体" w:cs="宋体"/>
                <w:i w:val="0"/>
                <w:iCs w:val="0"/>
                <w:color w:val="000000"/>
                <w:kern w:val="0"/>
                <w:sz w:val="24"/>
                <w:szCs w:val="24"/>
                <w:u w:val="none"/>
                <w:lang w:val="en-US" w:eastAsia="zh-CN"/>
              </w:rPr>
            </w:pPr>
          </w:p>
          <w:p w14:paraId="1CCC6786">
            <w:pPr>
              <w:pStyle w:val="25"/>
              <w:jc w:val="center"/>
              <w:rPr>
                <w:rFonts w:hint="eastAsia" w:ascii="宋体" w:hAnsi="宋体" w:eastAsia="宋体" w:cs="宋体"/>
                <w:i w:val="0"/>
                <w:iCs w:val="0"/>
                <w:color w:val="000000"/>
                <w:kern w:val="0"/>
                <w:sz w:val="24"/>
                <w:szCs w:val="24"/>
                <w:u w:val="none"/>
                <w:lang w:val="en-US" w:eastAsia="zh-CN"/>
              </w:rPr>
            </w:pPr>
          </w:p>
          <w:p w14:paraId="79756E54">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291A8BD9">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6AE71E6B">
            <w:pPr>
              <w:keepNext w:val="0"/>
              <w:keepLines w:val="0"/>
              <w:widowControl/>
              <w:suppressLineNumbers w:val="0"/>
              <w:ind w:left="0" w:leftChars="0"/>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rPr>
              <w:t>台</w:t>
            </w:r>
          </w:p>
        </w:tc>
      </w:tr>
      <w:tr w14:paraId="5E072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0" w:hRule="atLeast"/>
          <w:jc w:val="center"/>
        </w:trPr>
        <w:tc>
          <w:tcPr>
            <w:tcW w:w="629" w:type="dxa"/>
            <w:noWrap/>
            <w:vAlign w:val="center"/>
          </w:tcPr>
          <w:p w14:paraId="2B079E73">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1</w:t>
            </w:r>
            <w:r>
              <w:rPr>
                <w:rFonts w:hint="eastAsia" w:hAnsi="宋体" w:cs="宋体"/>
                <w:b w:val="0"/>
                <w:bCs w:val="0"/>
                <w:color w:val="auto"/>
                <w:sz w:val="24"/>
                <w:szCs w:val="24"/>
                <w:lang w:val="en-US" w:eastAsia="zh-CN"/>
              </w:rPr>
              <w:t>6</w:t>
            </w:r>
          </w:p>
        </w:tc>
        <w:tc>
          <w:tcPr>
            <w:tcW w:w="998" w:type="dxa"/>
            <w:noWrap/>
            <w:vAlign w:val="center"/>
          </w:tcPr>
          <w:p w14:paraId="4F4B3AE6">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护理床</w:t>
            </w:r>
          </w:p>
        </w:tc>
        <w:tc>
          <w:tcPr>
            <w:tcW w:w="4808" w:type="dxa"/>
            <w:noWrap/>
            <w:vAlign w:val="center"/>
          </w:tcPr>
          <w:p w14:paraId="4B870E84">
            <w:pPr>
              <w:pStyle w:val="7"/>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1.规格：</w:t>
            </w:r>
            <w:r>
              <w:rPr>
                <w:rFonts w:hint="eastAsia"/>
                <w:lang w:val="en-US" w:eastAsia="zh-CN"/>
              </w:rPr>
              <w:t>≥</w:t>
            </w:r>
            <w:r>
              <w:rPr>
                <w:rFonts w:hint="eastAsia" w:ascii="宋体" w:hAnsi="宋体" w:eastAsia="宋体" w:cs="宋体"/>
                <w:b w:val="0"/>
                <w:bCs w:val="0"/>
                <w:color w:val="auto"/>
                <w:sz w:val="24"/>
                <w:szCs w:val="24"/>
              </w:rPr>
              <w:t>2050mm*900mm*500mm</w:t>
            </w:r>
          </w:p>
          <w:p w14:paraId="0D30BAFF">
            <w:pPr>
              <w:widowControl/>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2.床体最大载重量≥240kg。</w:t>
            </w:r>
          </w:p>
          <w:p w14:paraId="453EA59D">
            <w:pPr>
              <w:widowControl/>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3.以腿板为基准折起角度，背板0～75°（±5°），腿板0～45°（±5°）。</w:t>
            </w:r>
          </w:p>
          <w:p w14:paraId="01ADF00C">
            <w:pPr>
              <w:widowControl/>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4.床面离地高度</w:t>
            </w:r>
            <w:r>
              <w:rPr>
                <w:rFonts w:hint="eastAsia" w:ascii="宋体" w:hAnsi="宋体" w:eastAsia="宋体" w:cs="宋体"/>
                <w:b w:val="0"/>
                <w:bCs w:val="0"/>
                <w:color w:val="auto"/>
                <w:sz w:val="24"/>
                <w:szCs w:val="24"/>
                <w:lang w:val="en-US" w:eastAsia="zh-CN"/>
              </w:rPr>
              <w:t>约</w:t>
            </w:r>
            <w:r>
              <w:rPr>
                <w:rFonts w:hint="eastAsia" w:ascii="宋体" w:hAnsi="宋体" w:eastAsia="宋体" w:cs="宋体"/>
                <w:b w:val="0"/>
                <w:bCs w:val="0"/>
                <w:color w:val="auto"/>
                <w:sz w:val="24"/>
                <w:szCs w:val="24"/>
              </w:rPr>
              <w:t>500mm。</w:t>
            </w:r>
          </w:p>
          <w:p w14:paraId="2A33A07E">
            <w:pPr>
              <w:widowControl/>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5.床头及床尾架：ABS材料，整体</w:t>
            </w:r>
            <w:r>
              <w:rPr>
                <w:rFonts w:hint="eastAsia" w:ascii="宋体" w:hAnsi="宋体" w:eastAsia="宋体" w:cs="宋体"/>
                <w:b w:val="0"/>
                <w:bCs w:val="0"/>
                <w:color w:val="auto"/>
                <w:sz w:val="24"/>
                <w:szCs w:val="24"/>
                <w:lang w:eastAsia="zh-CN"/>
              </w:rPr>
              <w:t>吹塑成型</w:t>
            </w:r>
            <w:r>
              <w:rPr>
                <w:rFonts w:hint="eastAsia" w:ascii="宋体" w:hAnsi="宋体" w:eastAsia="宋体" w:cs="宋体"/>
                <w:b w:val="0"/>
                <w:bCs w:val="0"/>
                <w:color w:val="auto"/>
                <w:sz w:val="24"/>
                <w:szCs w:val="24"/>
              </w:rPr>
              <w:t>。</w:t>
            </w:r>
          </w:p>
          <w:p w14:paraId="269B6C14">
            <w:pPr>
              <w:widowControl/>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6.床框采用碳钢矩管，材料厚度≥1.2mm。</w:t>
            </w:r>
          </w:p>
          <w:p w14:paraId="14024576">
            <w:pPr>
              <w:widowControl/>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7.床脚采用碳钢方管，脚轮采用直径Φ125带刹医用脚轮，静音，耐磨，防缠绕。</w:t>
            </w:r>
          </w:p>
          <w:p w14:paraId="026A6001">
            <w:pPr>
              <w:widowControl/>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8.摇手为不锈钢材质，伸缩杆外套管材料为铝合金型材，内置钢芯，可推拉折叠</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牢固耐用。</w:t>
            </w:r>
          </w:p>
          <w:p w14:paraId="7FA82DCA">
            <w:pPr>
              <w:widowControl/>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9.五档折叠式优质铝合金护栏，上横管采用D型专用铝合金型材料，厚达≥1.5mm，下座横管30*30*1.2mm方管，带有锁件，能立卧自如。</w:t>
            </w:r>
          </w:p>
          <w:p w14:paraId="7F7CCF7F">
            <w:pPr>
              <w:pStyle w:val="7"/>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10.床垫与病床配套，外层采用草绿色双面防水牛津布，防水易干，便于临床护理及卫生清洁，带有拉链可灵活拆卸，方便清洗，床垫厚度</w:t>
            </w:r>
            <w:r>
              <w:rPr>
                <w:rFonts w:hint="eastAsia"/>
                <w:lang w:val="en-US" w:eastAsia="zh-CN"/>
              </w:rPr>
              <w:t>≥</w:t>
            </w:r>
            <w:r>
              <w:rPr>
                <w:rFonts w:hint="eastAsia" w:ascii="宋体" w:hAnsi="宋体" w:eastAsia="宋体" w:cs="宋体"/>
                <w:b w:val="0"/>
                <w:bCs w:val="0"/>
                <w:color w:val="auto"/>
                <w:sz w:val="24"/>
                <w:szCs w:val="24"/>
              </w:rPr>
              <w:t>8cm。</w:t>
            </w:r>
          </w:p>
        </w:tc>
        <w:tc>
          <w:tcPr>
            <w:tcW w:w="723" w:type="dxa"/>
            <w:noWrap w:val="0"/>
            <w:vAlign w:val="center"/>
          </w:tcPr>
          <w:p w14:paraId="6E7B5A28">
            <w:pPr>
              <w:keepNext w:val="0"/>
              <w:keepLines w:val="0"/>
              <w:widowControl/>
              <w:suppressLineNumbers w:val="0"/>
              <w:ind w:left="0" w:leftChars="0"/>
              <w:jc w:val="center"/>
              <w:textAlignment w:val="top"/>
              <w:rPr>
                <w:rFonts w:hint="eastAsia" w:ascii="宋体" w:hAnsi="宋体" w:eastAsia="宋体" w:cs="宋体"/>
                <w:i w:val="0"/>
                <w:iCs w:val="0"/>
                <w:color w:val="000000"/>
                <w:kern w:val="0"/>
                <w:sz w:val="24"/>
                <w:szCs w:val="24"/>
                <w:u w:val="none"/>
                <w:lang w:val="en-US" w:eastAsia="zh-CN"/>
              </w:rPr>
            </w:pPr>
          </w:p>
          <w:p w14:paraId="4F8FE2A7">
            <w:pPr>
              <w:keepNext w:val="0"/>
              <w:keepLines w:val="0"/>
              <w:widowControl/>
              <w:suppressLineNumbers w:val="0"/>
              <w:ind w:left="0" w:leftChars="0"/>
              <w:jc w:val="center"/>
              <w:textAlignment w:val="top"/>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rPr>
              <w:t>1</w:t>
            </w:r>
          </w:p>
        </w:tc>
        <w:tc>
          <w:tcPr>
            <w:tcW w:w="759" w:type="dxa"/>
            <w:noWrap w:val="0"/>
            <w:vAlign w:val="center"/>
          </w:tcPr>
          <w:p w14:paraId="12DDA7A2">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771C569E">
            <w:pPr>
              <w:keepNext w:val="0"/>
              <w:keepLines w:val="0"/>
              <w:widowControl/>
              <w:suppressLineNumbers w:val="0"/>
              <w:ind w:left="0" w:leftChars="0"/>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rPr>
              <w:t>张</w:t>
            </w:r>
          </w:p>
        </w:tc>
      </w:tr>
      <w:tr w14:paraId="6BC8F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0" w:hRule="atLeast"/>
          <w:jc w:val="center"/>
        </w:trPr>
        <w:tc>
          <w:tcPr>
            <w:tcW w:w="629" w:type="dxa"/>
            <w:noWrap/>
            <w:vAlign w:val="center"/>
          </w:tcPr>
          <w:p w14:paraId="16811F73">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3EAD8642">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2B5CFAD5">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40ED4FC3">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738DC2BA">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636BA22C">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49F99FCF">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23D1AFC0">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31C69A1C">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1A7D3CC7">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08812AA7">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4F8955D4">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74D48EF0">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4F203219">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72FDD07D">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73637555">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3812B3A6">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31ABA65D">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2D3A1DE7">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417E1839">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745DD906">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740B2596">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1B177A32">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12A0CBD7">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63D1731A">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1</w:t>
            </w:r>
            <w:r>
              <w:rPr>
                <w:rFonts w:hint="eastAsia" w:hAnsi="宋体" w:cs="宋体"/>
                <w:b w:val="0"/>
                <w:bCs w:val="0"/>
                <w:color w:val="auto"/>
                <w:sz w:val="24"/>
                <w:szCs w:val="24"/>
                <w:lang w:val="en-US" w:eastAsia="zh-CN"/>
              </w:rPr>
              <w:t>7</w:t>
            </w:r>
          </w:p>
        </w:tc>
        <w:tc>
          <w:tcPr>
            <w:tcW w:w="998" w:type="dxa"/>
            <w:noWrap/>
            <w:vAlign w:val="center"/>
          </w:tcPr>
          <w:p w14:paraId="2331A065">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34651B84">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45BC198D">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25EA90CF">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069056A3">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09FD2CFF">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08DFB6AB">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5268D01C">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0D24D5A9">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68233371">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03D17007">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0D7A3FC3">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3A4544D4">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3235E43C">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232C8DC4">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6CB5112F">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5C138918">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0A2F38CC">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42011E3A">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4C723858">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28543B08">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手术室空气净化设备</w:t>
            </w:r>
          </w:p>
        </w:tc>
        <w:tc>
          <w:tcPr>
            <w:tcW w:w="4808" w:type="dxa"/>
            <w:noWrap/>
            <w:vAlign w:val="center"/>
          </w:tcPr>
          <w:p w14:paraId="50EC0085">
            <w:pPr>
              <w:widowControl/>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1.</w:t>
            </w:r>
            <w:r>
              <w:rPr>
                <w:rFonts w:hint="eastAsia" w:ascii="宋体" w:hAnsi="宋体" w:eastAsia="宋体" w:cs="宋体"/>
                <w:b w:val="0"/>
                <w:bCs w:val="0"/>
                <w:color w:val="auto"/>
                <w:sz w:val="24"/>
                <w:szCs w:val="24"/>
              </w:rPr>
              <w:t>消毒方式：紫外线循环风消毒，可在有人状态下进行连续动态消毒，也可在无人条件下使用；对人及物品没有任何伤害。内含活性炭分子过滤器、高效过滤器，可有效除去空气中的挥发性气体、各种异味以及过滤毛发、粉尘等大尘埃颗粒。</w:t>
            </w:r>
          </w:p>
          <w:p w14:paraId="5B3739BB">
            <w:pPr>
              <w:widowControl/>
              <w:spacing w:line="240" w:lineRule="auto"/>
              <w:jc w:val="both"/>
              <w:textAlignment w:val="center"/>
              <w:rPr>
                <w:rFonts w:hint="eastAsia" w:ascii="宋体" w:hAnsi="宋体" w:eastAsia="宋体" w:cs="宋体"/>
                <w:b w:val="0"/>
                <w:bCs w:val="0"/>
                <w:color w:val="auto"/>
                <w:sz w:val="24"/>
                <w:szCs w:val="24"/>
              </w:rPr>
            </w:pPr>
            <w:r>
              <w:rPr>
                <w:rFonts w:hint="eastAsia" w:hAnsi="宋体" w:cs="宋体"/>
                <w:b w:val="0"/>
                <w:bCs w:val="0"/>
                <w:color w:val="auto"/>
                <w:sz w:val="24"/>
                <w:szCs w:val="24"/>
                <w:lang w:val="en-US" w:eastAsia="zh-CN"/>
              </w:rPr>
              <w:t>2.</w:t>
            </w:r>
            <w:r>
              <w:rPr>
                <w:rFonts w:hint="eastAsia" w:ascii="宋体" w:hAnsi="宋体" w:eastAsia="宋体" w:cs="宋体"/>
                <w:b w:val="0"/>
                <w:bCs w:val="0"/>
                <w:color w:val="auto"/>
                <w:sz w:val="24"/>
                <w:szCs w:val="24"/>
              </w:rPr>
              <w:t>机壳采用阻燃抗紫外复合材料ABS工程塑料。</w:t>
            </w:r>
          </w:p>
          <w:p w14:paraId="772542AC">
            <w:pPr>
              <w:widowControl/>
              <w:spacing w:line="240" w:lineRule="auto"/>
              <w:jc w:val="both"/>
              <w:textAlignment w:val="center"/>
              <w:rPr>
                <w:rFonts w:hint="eastAsia" w:ascii="宋体" w:hAnsi="宋体" w:eastAsia="宋体" w:cs="宋体"/>
                <w:b w:val="0"/>
                <w:bCs w:val="0"/>
                <w:color w:val="auto"/>
                <w:sz w:val="24"/>
                <w:szCs w:val="24"/>
              </w:rPr>
            </w:pPr>
            <w:r>
              <w:rPr>
                <w:rFonts w:hint="eastAsia" w:hAnsi="宋体" w:cs="宋体"/>
                <w:b w:val="0"/>
                <w:bCs w:val="0"/>
                <w:color w:val="auto"/>
                <w:sz w:val="24"/>
                <w:szCs w:val="24"/>
                <w:lang w:val="en-US" w:eastAsia="zh-CN"/>
              </w:rPr>
              <w:t>3</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采用移动式安装方式，配备医用静音脚轮</w:t>
            </w:r>
            <w:ins w:id="0" w:author="熊雪晨" w:date="2025-12-23T10:31:59Z">
              <w:r>
                <w:rPr>
                  <w:rFonts w:hint="eastAsia" w:hAnsi="宋体" w:cs="宋体"/>
                  <w:b w:val="0"/>
                  <w:bCs w:val="0"/>
                  <w:color w:val="auto"/>
                  <w:sz w:val="24"/>
                  <w:szCs w:val="24"/>
                  <w:lang w:val="en-US" w:eastAsia="zh-CN"/>
                </w:rPr>
                <w:t>.</w:t>
              </w:r>
            </w:ins>
          </w:p>
          <w:p w14:paraId="4C54378B">
            <w:pPr>
              <w:widowControl/>
              <w:spacing w:line="240" w:lineRule="auto"/>
              <w:jc w:val="both"/>
              <w:textAlignment w:val="center"/>
              <w:rPr>
                <w:rFonts w:hint="eastAsia" w:ascii="宋体" w:hAnsi="宋体" w:eastAsia="宋体" w:cs="宋体"/>
                <w:b w:val="0"/>
                <w:bCs w:val="0"/>
                <w:color w:val="auto"/>
                <w:sz w:val="24"/>
                <w:szCs w:val="24"/>
              </w:rPr>
            </w:pPr>
            <w:r>
              <w:rPr>
                <w:rFonts w:hint="eastAsia" w:hAnsi="宋体" w:cs="宋体"/>
                <w:b w:val="0"/>
                <w:bCs w:val="0"/>
                <w:color w:val="auto"/>
                <w:sz w:val="24"/>
                <w:szCs w:val="24"/>
                <w:lang w:val="en-US" w:eastAsia="zh-CN"/>
              </w:rPr>
              <w:t>4</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电源电压</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220V±22V50Hz±1Hz，额定功率：≤130VA</w:t>
            </w:r>
          </w:p>
          <w:p w14:paraId="5F4716BD">
            <w:pPr>
              <w:widowControl/>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6.</w:t>
            </w:r>
            <w:r>
              <w:rPr>
                <w:rFonts w:hint="eastAsia" w:ascii="宋体" w:hAnsi="宋体" w:eastAsia="宋体" w:cs="宋体"/>
                <w:b w:val="0"/>
                <w:bCs w:val="0"/>
                <w:color w:val="auto"/>
                <w:sz w:val="24"/>
                <w:szCs w:val="24"/>
              </w:rPr>
              <w:t>循环风量：≥8</w:t>
            </w:r>
            <w:r>
              <w:rPr>
                <w:rFonts w:hint="eastAsia" w:ascii="宋体" w:hAnsi="宋体" w:eastAsia="宋体" w:cs="宋体"/>
                <w:b w:val="0"/>
                <w:bCs w:val="0"/>
                <w:color w:val="auto"/>
                <w:sz w:val="24"/>
                <w:szCs w:val="24"/>
                <w:lang w:val="en-US" w:eastAsia="zh-CN"/>
              </w:rPr>
              <w:t>00</w:t>
            </w:r>
            <w:r>
              <w:rPr>
                <w:rFonts w:hint="eastAsia" w:ascii="宋体" w:hAnsi="宋体" w:eastAsia="宋体" w:cs="宋体"/>
                <w:b w:val="0"/>
                <w:bCs w:val="0"/>
                <w:color w:val="auto"/>
                <w:sz w:val="24"/>
                <w:szCs w:val="24"/>
              </w:rPr>
              <w:t>m</w:t>
            </w:r>
            <w:r>
              <w:rPr>
                <w:rFonts w:hint="eastAsia" w:ascii="宋体" w:hAnsi="宋体" w:eastAsia="宋体" w:cs="宋体"/>
                <w:b w:val="0"/>
                <w:bCs w:val="0"/>
                <w:color w:val="auto"/>
                <w:sz w:val="24"/>
                <w:szCs w:val="24"/>
                <w:vertAlign w:val="superscript"/>
              </w:rPr>
              <w:t>3</w:t>
            </w:r>
            <w:r>
              <w:rPr>
                <w:rFonts w:hint="eastAsia" w:ascii="宋体" w:hAnsi="宋体" w:eastAsia="宋体" w:cs="宋体"/>
                <w:b w:val="0"/>
                <w:bCs w:val="0"/>
                <w:color w:val="auto"/>
                <w:sz w:val="24"/>
                <w:szCs w:val="24"/>
              </w:rPr>
              <w:t>/h</w:t>
            </w:r>
          </w:p>
          <w:p w14:paraId="586508D8">
            <w:pPr>
              <w:pStyle w:val="7"/>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安装尺寸：</w:t>
            </w:r>
            <w:r>
              <w:rPr>
                <w:rFonts w:hint="eastAsia"/>
                <w:lang w:val="en-US" w:eastAsia="zh-CN"/>
              </w:rPr>
              <w:t>≥</w:t>
            </w:r>
            <w:r>
              <w:rPr>
                <w:rFonts w:hint="eastAsia" w:ascii="宋体" w:hAnsi="宋体" w:eastAsia="宋体" w:cs="宋体"/>
                <w:b w:val="0"/>
                <w:bCs w:val="0"/>
                <w:color w:val="auto"/>
                <w:sz w:val="24"/>
                <w:szCs w:val="24"/>
              </w:rPr>
              <w:t>37*37*90cm，可适用100m³体积及以下的场所。</w:t>
            </w:r>
          </w:p>
          <w:p w14:paraId="3A03AC0B">
            <w:pPr>
              <w:widowControl/>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8.</w:t>
            </w:r>
            <w:r>
              <w:rPr>
                <w:rFonts w:hint="eastAsia" w:ascii="宋体" w:hAnsi="宋体" w:eastAsia="宋体" w:cs="宋体"/>
                <w:b w:val="0"/>
                <w:bCs w:val="0"/>
                <w:color w:val="auto"/>
                <w:sz w:val="24"/>
                <w:szCs w:val="24"/>
              </w:rPr>
              <w:t>采用低噪音、低能耗直流无刷蜗壳风机与合理的风道设计相结合，整机噪声≤55dB</w:t>
            </w:r>
          </w:p>
          <w:p w14:paraId="17386822">
            <w:pPr>
              <w:widowControl/>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9.</w:t>
            </w:r>
            <w:r>
              <w:rPr>
                <w:rFonts w:hint="eastAsia" w:ascii="宋体" w:hAnsi="宋体" w:eastAsia="宋体" w:cs="宋体"/>
                <w:b w:val="0"/>
                <w:bCs w:val="0"/>
                <w:color w:val="auto"/>
                <w:sz w:val="24"/>
                <w:szCs w:val="24"/>
              </w:rPr>
              <w:t>消毒效果：</w:t>
            </w:r>
          </w:p>
          <w:p w14:paraId="697C004D">
            <w:pPr>
              <w:widowControl/>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9.</w:t>
            </w:r>
            <w:r>
              <w:rPr>
                <w:rFonts w:hint="eastAsia" w:ascii="宋体" w:hAnsi="宋体" w:eastAsia="宋体" w:cs="宋体"/>
                <w:b w:val="0"/>
                <w:bCs w:val="0"/>
                <w:color w:val="auto"/>
                <w:sz w:val="24"/>
                <w:szCs w:val="24"/>
                <w:lang w:eastAsia="zh-CN"/>
              </w:rPr>
              <w:t>1.</w:t>
            </w:r>
            <w:r>
              <w:rPr>
                <w:rFonts w:hint="eastAsia" w:ascii="宋体" w:hAnsi="宋体" w:eastAsia="宋体" w:cs="宋体"/>
                <w:b w:val="0"/>
                <w:bCs w:val="0"/>
                <w:color w:val="auto"/>
                <w:sz w:val="24"/>
                <w:szCs w:val="24"/>
              </w:rPr>
              <w:t>对白色葡萄球菌（8032）的杀灭率≥99.92%</w:t>
            </w:r>
          </w:p>
          <w:p w14:paraId="1A0F914F">
            <w:pPr>
              <w:widowControl/>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对空气中自然菌的消亡率≥92.55%</w:t>
            </w:r>
          </w:p>
          <w:p w14:paraId="2B6B2299">
            <w:pPr>
              <w:widowControl/>
              <w:spacing w:line="240" w:lineRule="auto"/>
              <w:jc w:val="both"/>
              <w:textAlignment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空气中的臭氧量≤0.021mg/m</w:t>
            </w:r>
            <w:r>
              <w:rPr>
                <w:rFonts w:hint="eastAsia" w:hAnsi="宋体" w:cs="宋体"/>
                <w:b w:val="0"/>
                <w:bCs w:val="0"/>
                <w:color w:val="auto"/>
                <w:sz w:val="24"/>
                <w:szCs w:val="24"/>
                <w:lang w:val="en-US" w:eastAsia="zh-CN"/>
              </w:rPr>
              <w:t>³</w:t>
            </w:r>
          </w:p>
          <w:p w14:paraId="3BEF5698">
            <w:pPr>
              <w:widowControl/>
              <w:spacing w:line="240" w:lineRule="auto"/>
              <w:jc w:val="both"/>
              <w:textAlignment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紫外线泄漏量≤0.003uw/cm</w:t>
            </w:r>
            <w:r>
              <w:rPr>
                <w:rFonts w:hint="eastAsia" w:hAnsi="宋体" w:cs="宋体"/>
                <w:b w:val="0"/>
                <w:bCs w:val="0"/>
                <w:color w:val="auto"/>
                <w:sz w:val="24"/>
                <w:szCs w:val="24"/>
                <w:lang w:val="en-US" w:eastAsia="zh-CN"/>
              </w:rPr>
              <w:t>²</w:t>
            </w:r>
          </w:p>
          <w:p w14:paraId="002F7110">
            <w:pPr>
              <w:widowControl/>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9.2</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对冠状病毒229E平均的杀灭率＞99.99%</w:t>
            </w:r>
          </w:p>
          <w:p w14:paraId="1AA03067">
            <w:pPr>
              <w:widowControl/>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9.3</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消毒30分钟对枯草杆菌黑色变种芽孢的杀灭率≥99.99%</w:t>
            </w:r>
          </w:p>
          <w:p w14:paraId="66B424E8">
            <w:pPr>
              <w:widowControl/>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消毒30分钟对肺炎克雷伯氏菌的杀灭率≥99.99%</w:t>
            </w:r>
          </w:p>
          <w:p w14:paraId="05DBABD3">
            <w:pPr>
              <w:widowControl/>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消毒30分钟对黑曲霉菌的杀灭率≥99.99%</w:t>
            </w:r>
          </w:p>
          <w:p w14:paraId="0AEBA1E0">
            <w:pPr>
              <w:widowControl/>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消毒30分钟对龟分枝杆菌脓肿亚种的杀灭率≥99.99%</w:t>
            </w:r>
          </w:p>
          <w:p w14:paraId="68F405EB">
            <w:pPr>
              <w:widowControl/>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9.4</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采用微生物气溶胶方法，对大肠杆菌的杀灭率≥99.98%</w:t>
            </w:r>
          </w:p>
          <w:p w14:paraId="687CE7C3">
            <w:pPr>
              <w:widowControl/>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采用微生物气溶胶方法，对</w:t>
            </w:r>
            <w:r>
              <w:rPr>
                <w:rFonts w:hint="eastAsia" w:ascii="宋体" w:hAnsi="宋体" w:eastAsia="宋体" w:cs="宋体"/>
                <w:b w:val="0"/>
                <w:bCs w:val="0"/>
                <w:color w:val="auto"/>
                <w:sz w:val="24"/>
                <w:szCs w:val="24"/>
                <w:lang w:eastAsia="zh-CN"/>
              </w:rPr>
              <w:t>白念珠菌</w:t>
            </w:r>
            <w:r>
              <w:rPr>
                <w:rFonts w:hint="eastAsia" w:ascii="宋体" w:hAnsi="宋体" w:eastAsia="宋体" w:cs="宋体"/>
                <w:b w:val="0"/>
                <w:bCs w:val="0"/>
                <w:color w:val="auto"/>
                <w:sz w:val="24"/>
                <w:szCs w:val="24"/>
              </w:rPr>
              <w:t>的杀灭率≥99.92%</w:t>
            </w:r>
          </w:p>
          <w:p w14:paraId="15884C44">
            <w:pPr>
              <w:widowControl/>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采用微生物气溶胶方法，对铜绿假单胞菌的杀灭率≥99.95%</w:t>
            </w:r>
          </w:p>
          <w:p w14:paraId="69B0EF61">
            <w:pPr>
              <w:widowControl/>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采用微生物气溶胶方法，对金黄色葡萄球菌的杀灭率≥99.95%</w:t>
            </w:r>
          </w:p>
          <w:p w14:paraId="50B14709">
            <w:pPr>
              <w:widowControl/>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10.</w:t>
            </w:r>
            <w:r>
              <w:rPr>
                <w:rFonts w:hint="eastAsia" w:ascii="宋体" w:hAnsi="宋体" w:eastAsia="宋体" w:cs="宋体"/>
                <w:b w:val="0"/>
                <w:bCs w:val="0"/>
                <w:color w:val="auto"/>
                <w:sz w:val="24"/>
                <w:szCs w:val="24"/>
              </w:rPr>
              <w:t>灯管寿命≥5000（h），距离灯管正下方垂直中心1M处，紫外线辐照强度在73.0-73.5uw/cm</w:t>
            </w:r>
            <w:r>
              <w:rPr>
                <w:rFonts w:hint="eastAsia" w:ascii="宋体" w:hAnsi="宋体" w:eastAsia="宋体" w:cs="宋体"/>
                <w:b w:val="0"/>
                <w:bCs w:val="0"/>
                <w:color w:val="auto"/>
                <w:sz w:val="24"/>
                <w:szCs w:val="24"/>
                <w:vertAlign w:val="superscript"/>
              </w:rPr>
              <w:t>2</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提供灯管寿命检测报告和紫外线辐照强度检测报告</w:t>
            </w:r>
            <w:r>
              <w:rPr>
                <w:rFonts w:hint="eastAsia" w:ascii="宋体" w:hAnsi="宋体" w:eastAsia="宋体" w:cs="宋体"/>
                <w:b w:val="0"/>
                <w:bCs w:val="0"/>
                <w:color w:val="auto"/>
                <w:sz w:val="24"/>
                <w:szCs w:val="24"/>
                <w:lang w:eastAsia="zh-CN"/>
              </w:rPr>
              <w:t>）</w:t>
            </w:r>
          </w:p>
          <w:p w14:paraId="3DEB511D">
            <w:pPr>
              <w:widowControl/>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11.</w:t>
            </w:r>
            <w:r>
              <w:rPr>
                <w:rFonts w:hint="eastAsia" w:ascii="宋体" w:hAnsi="宋体" w:eastAsia="宋体" w:cs="宋体"/>
                <w:b w:val="0"/>
                <w:bCs w:val="0"/>
                <w:color w:val="auto"/>
                <w:sz w:val="24"/>
                <w:szCs w:val="24"/>
              </w:rPr>
              <w:t>机内紫外线强度＞30000uw/cm</w:t>
            </w:r>
            <w:r>
              <w:rPr>
                <w:rFonts w:hint="eastAsia" w:ascii="宋体" w:hAnsi="宋体" w:eastAsia="宋体" w:cs="宋体"/>
                <w:b w:val="0"/>
                <w:bCs w:val="0"/>
                <w:color w:val="auto"/>
                <w:sz w:val="24"/>
                <w:szCs w:val="24"/>
                <w:vertAlign w:val="superscript"/>
              </w:rPr>
              <w:t>2</w:t>
            </w:r>
          </w:p>
          <w:p w14:paraId="383BE629">
            <w:pPr>
              <w:widowControl/>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12.</w:t>
            </w:r>
            <w:r>
              <w:rPr>
                <w:rFonts w:hint="eastAsia" w:ascii="宋体" w:hAnsi="宋体" w:eastAsia="宋体" w:cs="宋体"/>
                <w:b w:val="0"/>
                <w:bCs w:val="0"/>
                <w:color w:val="auto"/>
                <w:sz w:val="24"/>
                <w:szCs w:val="24"/>
              </w:rPr>
              <w:t>风速</w:t>
            </w:r>
            <w:r>
              <w:rPr>
                <w:rFonts w:hint="eastAsia" w:ascii="宋体" w:hAnsi="宋体" w:eastAsia="宋体" w:cs="宋体"/>
                <w:b w:val="0"/>
                <w:bCs w:val="0"/>
                <w:color w:val="auto"/>
                <w:sz w:val="24"/>
                <w:szCs w:val="24"/>
                <w:lang w:val="en-US" w:eastAsia="zh-CN"/>
              </w:rPr>
              <w:t>至少</w:t>
            </w:r>
            <w:r>
              <w:rPr>
                <w:rFonts w:hint="eastAsia" w:ascii="宋体" w:hAnsi="宋体" w:eastAsia="宋体" w:cs="宋体"/>
                <w:b w:val="0"/>
                <w:bCs w:val="0"/>
                <w:color w:val="auto"/>
                <w:sz w:val="24"/>
                <w:szCs w:val="24"/>
              </w:rPr>
              <w:t>五档可调，四面上出风，角度为45度，满足临床需求。</w:t>
            </w:r>
          </w:p>
          <w:p w14:paraId="10705475">
            <w:pPr>
              <w:widowControl/>
              <w:spacing w:line="240" w:lineRule="auto"/>
              <w:jc w:val="both"/>
              <w:textAlignment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13.</w:t>
            </w:r>
            <w:r>
              <w:rPr>
                <w:rFonts w:hint="eastAsia" w:ascii="宋体" w:hAnsi="宋体" w:eastAsia="宋体" w:cs="宋体"/>
                <w:b w:val="0"/>
                <w:bCs w:val="0"/>
                <w:color w:val="auto"/>
                <w:sz w:val="24"/>
                <w:szCs w:val="24"/>
              </w:rPr>
              <w:t>负氧离子释放量≥6*106个/cm</w:t>
            </w:r>
            <w:r>
              <w:rPr>
                <w:rFonts w:hint="eastAsia" w:hAnsi="宋体" w:cs="宋体"/>
                <w:b w:val="0"/>
                <w:bCs w:val="0"/>
                <w:color w:val="auto"/>
                <w:sz w:val="24"/>
                <w:szCs w:val="24"/>
                <w:lang w:val="en-US" w:eastAsia="zh-CN"/>
              </w:rPr>
              <w:t>³</w:t>
            </w:r>
          </w:p>
          <w:p w14:paraId="3E5146CF">
            <w:pPr>
              <w:widowControl/>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14.</w:t>
            </w:r>
            <w:r>
              <w:rPr>
                <w:rFonts w:hint="eastAsia" w:ascii="宋体" w:hAnsi="宋体" w:eastAsia="宋体" w:cs="宋体"/>
                <w:b w:val="0"/>
                <w:bCs w:val="0"/>
                <w:color w:val="auto"/>
                <w:sz w:val="24"/>
                <w:szCs w:val="24"/>
              </w:rPr>
              <w:t>机器自带紫外线故障检测功能和紫外线强度查看和寿命显示功能，灯管损坏时自动提醒。</w:t>
            </w:r>
          </w:p>
          <w:p w14:paraId="1692E1E6">
            <w:pPr>
              <w:widowControl/>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15.</w:t>
            </w:r>
            <w:r>
              <w:rPr>
                <w:rFonts w:hint="eastAsia" w:ascii="宋体" w:hAnsi="宋体" w:eastAsia="宋体" w:cs="宋体"/>
                <w:b w:val="0"/>
                <w:bCs w:val="0"/>
                <w:color w:val="auto"/>
                <w:sz w:val="24"/>
                <w:szCs w:val="24"/>
              </w:rPr>
              <w:t>净化指标：机器工作90分钟房间内净化度可达十万级；颗粒物洁净空气量</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CADR颗粒物</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&gt;500m</w:t>
            </w:r>
            <w:r>
              <w:rPr>
                <w:rFonts w:hint="eastAsia" w:ascii="宋体" w:hAnsi="宋体" w:eastAsia="宋体" w:cs="宋体"/>
                <w:b w:val="0"/>
                <w:bCs w:val="0"/>
                <w:color w:val="auto"/>
                <w:sz w:val="24"/>
                <w:szCs w:val="24"/>
                <w:vertAlign w:val="superscript"/>
              </w:rPr>
              <w:t>3</w:t>
            </w:r>
            <w:r>
              <w:rPr>
                <w:rFonts w:hint="eastAsia" w:ascii="宋体" w:hAnsi="宋体" w:eastAsia="宋体" w:cs="宋体"/>
                <w:b w:val="0"/>
                <w:bCs w:val="0"/>
                <w:color w:val="auto"/>
                <w:sz w:val="24"/>
                <w:szCs w:val="24"/>
              </w:rPr>
              <w:t>/h；颗粒物累计净化量</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CCM颗粒物</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P4级；甲醛洁净空气量</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CADR用醛</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&gt;80m</w:t>
            </w:r>
            <w:r>
              <w:rPr>
                <w:rFonts w:hint="eastAsia" w:ascii="宋体" w:hAnsi="宋体" w:eastAsia="宋体" w:cs="宋体"/>
                <w:b w:val="0"/>
                <w:bCs w:val="0"/>
                <w:color w:val="auto"/>
                <w:sz w:val="24"/>
                <w:szCs w:val="24"/>
                <w:vertAlign w:val="superscript"/>
              </w:rPr>
              <w:t>3</w:t>
            </w:r>
            <w:r>
              <w:rPr>
                <w:rFonts w:hint="eastAsia" w:ascii="宋体" w:hAnsi="宋体" w:eastAsia="宋体" w:cs="宋体"/>
                <w:b w:val="0"/>
                <w:bCs w:val="0"/>
                <w:color w:val="auto"/>
                <w:sz w:val="24"/>
                <w:szCs w:val="24"/>
              </w:rPr>
              <w:t>/h。</w:t>
            </w:r>
          </w:p>
          <w:p w14:paraId="4D757A57">
            <w:pPr>
              <w:widowControl/>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16.</w:t>
            </w:r>
            <w:r>
              <w:rPr>
                <w:rFonts w:hint="eastAsia" w:ascii="宋体" w:hAnsi="宋体" w:eastAsia="宋体" w:cs="宋体"/>
                <w:b w:val="0"/>
                <w:bCs w:val="0"/>
                <w:color w:val="auto"/>
                <w:sz w:val="24"/>
                <w:szCs w:val="24"/>
              </w:rPr>
              <w:t>机器微电脑程控自动运行，有三种消毒模式可供选择；一、手动常开消毒模式；二、手动定时消毒模式；三、程控定时自动消毒模式</w:t>
            </w:r>
          </w:p>
          <w:p w14:paraId="677DC6AF">
            <w:pPr>
              <w:widowControl/>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1</w:t>
            </w: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采用液晶显示屏，远程红外遥控，可实时显示北京时间，定时时间、定时时间段、室内温湿度、故障报警；可分别查看整机累计工作时间和滤网累计时间等。</w:t>
            </w:r>
          </w:p>
          <w:p w14:paraId="50D6F620">
            <w:pPr>
              <w:widowControl/>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1</w:t>
            </w: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产品具有报警功能：紫外线灯管故障报警、过滤网维护清洗报警、风机故障报警。</w:t>
            </w:r>
          </w:p>
        </w:tc>
        <w:tc>
          <w:tcPr>
            <w:tcW w:w="723" w:type="dxa"/>
            <w:noWrap w:val="0"/>
            <w:vAlign w:val="center"/>
          </w:tcPr>
          <w:p w14:paraId="24C32A9A">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78EE4071">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0F783E6F">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55FCFA6C">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7024B0F7">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4C596A7B">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6BF4FA03">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34E90651">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5C149C1E">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3BD52752">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2EC6FBAD">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4120C8C9">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465E4C12">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68297781">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3371161F">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0C8C4F41">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3F1B0A9C">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6560D770">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399C81DD">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79B24375">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0027F3D4">
            <w:pPr>
              <w:keepNext w:val="0"/>
              <w:keepLines w:val="0"/>
              <w:widowControl/>
              <w:suppressLineNumbers w:val="0"/>
              <w:ind w:left="0" w:leftChars="0"/>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rPr>
              <w:t>1</w:t>
            </w:r>
          </w:p>
        </w:tc>
        <w:tc>
          <w:tcPr>
            <w:tcW w:w="759" w:type="dxa"/>
            <w:noWrap w:val="0"/>
            <w:vAlign w:val="center"/>
          </w:tcPr>
          <w:p w14:paraId="4988ADDE">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11016F86">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5BB7BBF5">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3A10CBBC">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7EA869CC">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4EF9640A">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3B06E7DD">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3FF4F172">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051FC60C">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0C76CE6C">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62CA3E03">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771E2160">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2A138DA4">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3A27A15E">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6DA71FCA">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0D35AEB7">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5388C57C">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31CE08CA">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1EF2C737">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1939D119">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6C9B584B">
            <w:pPr>
              <w:keepNext w:val="0"/>
              <w:keepLines w:val="0"/>
              <w:widowControl/>
              <w:suppressLineNumbers w:val="0"/>
              <w:ind w:left="0" w:leftChars="0"/>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rPr>
              <w:t>台</w:t>
            </w:r>
          </w:p>
        </w:tc>
      </w:tr>
      <w:tr w14:paraId="635A7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0" w:hRule="atLeast"/>
          <w:jc w:val="center"/>
        </w:trPr>
        <w:tc>
          <w:tcPr>
            <w:tcW w:w="629" w:type="dxa"/>
            <w:noWrap/>
            <w:vAlign w:val="center"/>
          </w:tcPr>
          <w:p w14:paraId="00A5DF45">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1</w:t>
            </w:r>
            <w:r>
              <w:rPr>
                <w:rFonts w:hint="eastAsia" w:hAnsi="宋体" w:cs="宋体"/>
                <w:b w:val="0"/>
                <w:bCs w:val="0"/>
                <w:color w:val="auto"/>
                <w:sz w:val="24"/>
                <w:szCs w:val="24"/>
                <w:lang w:val="en-US" w:eastAsia="zh-CN"/>
              </w:rPr>
              <w:t>8</w:t>
            </w:r>
          </w:p>
        </w:tc>
        <w:tc>
          <w:tcPr>
            <w:tcW w:w="998" w:type="dxa"/>
            <w:noWrap/>
            <w:vAlign w:val="center"/>
          </w:tcPr>
          <w:p w14:paraId="30E59D93">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模拟麻醉机呼吸机</w:t>
            </w:r>
          </w:p>
        </w:tc>
        <w:tc>
          <w:tcPr>
            <w:tcW w:w="4808" w:type="dxa"/>
            <w:noWrap/>
            <w:vAlign w:val="center"/>
          </w:tcPr>
          <w:p w14:paraId="02E1344D">
            <w:pPr>
              <w:widowControl/>
              <w:numPr>
                <w:ilvl w:val="0"/>
                <w:numId w:val="0"/>
              </w:numPr>
              <w:spacing w:line="240" w:lineRule="auto"/>
              <w:jc w:val="both"/>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1.模拟真实麻醉呼吸机适用于全麻手术，气动电控（循环紧闭/半紧闭/半开放模式）；</w:t>
            </w:r>
          </w:p>
          <w:p w14:paraId="6434687F">
            <w:pPr>
              <w:widowControl/>
              <w:numPr>
                <w:ilvl w:val="0"/>
                <w:numId w:val="0"/>
              </w:numPr>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2.内置LED数码管显数据，金属模块化呼吸回路可消毒，停电自动切备用电（≥60分钟）；3.呼吸机含辅助/控制等模式，潮气量50～1500mL，监测潮气量、气道压等，具多参数声光报警。</w:t>
            </w:r>
            <w:r>
              <w:rPr>
                <w:rFonts w:hint="eastAsia" w:ascii="宋体" w:hAnsi="宋体" w:eastAsia="宋体" w:cs="宋体"/>
                <w:b w:val="0"/>
                <w:bCs w:val="0"/>
                <w:color w:val="auto"/>
                <w:sz w:val="24"/>
                <w:szCs w:val="24"/>
                <w:lang w:val="en-US" w:eastAsia="zh-CN"/>
              </w:rPr>
              <w:br w:type="textWrapping"/>
            </w:r>
            <w:r>
              <w:rPr>
                <w:rFonts w:hint="eastAsia" w:ascii="宋体" w:hAnsi="宋体" w:eastAsia="宋体" w:cs="宋体"/>
                <w:b w:val="0"/>
                <w:bCs w:val="0"/>
                <w:color w:val="auto"/>
                <w:sz w:val="24"/>
                <w:szCs w:val="24"/>
                <w:lang w:val="en-US" w:eastAsia="zh-CN"/>
              </w:rPr>
              <w:t>4.模拟临床全麻场景，助力训练麻醉参数调节、呼吸回路管理与应急报警处理，培养规范操作与风险预判能力，契合外科手术麻醉安全管控要求。</w:t>
            </w:r>
          </w:p>
        </w:tc>
        <w:tc>
          <w:tcPr>
            <w:tcW w:w="723" w:type="dxa"/>
            <w:noWrap w:val="0"/>
            <w:vAlign w:val="center"/>
          </w:tcPr>
          <w:p w14:paraId="3D7D697C">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4C894F66">
            <w:pPr>
              <w:keepNext w:val="0"/>
              <w:keepLines w:val="0"/>
              <w:widowControl/>
              <w:suppressLineNumbers w:val="0"/>
              <w:ind w:left="0" w:leftChars="0"/>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rPr>
              <w:t>1</w:t>
            </w:r>
          </w:p>
        </w:tc>
        <w:tc>
          <w:tcPr>
            <w:tcW w:w="759" w:type="dxa"/>
            <w:noWrap w:val="0"/>
            <w:vAlign w:val="center"/>
          </w:tcPr>
          <w:p w14:paraId="1A1B9762">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2329A12E">
            <w:pPr>
              <w:keepNext w:val="0"/>
              <w:keepLines w:val="0"/>
              <w:widowControl/>
              <w:suppressLineNumbers w:val="0"/>
              <w:ind w:left="0" w:leftChars="0"/>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rPr>
              <w:t>台</w:t>
            </w:r>
          </w:p>
        </w:tc>
      </w:tr>
      <w:tr w14:paraId="7F1C9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0" w:hRule="atLeast"/>
          <w:jc w:val="center"/>
        </w:trPr>
        <w:tc>
          <w:tcPr>
            <w:tcW w:w="629" w:type="dxa"/>
            <w:noWrap/>
            <w:vAlign w:val="center"/>
          </w:tcPr>
          <w:p w14:paraId="4554CDB0">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367CB2B6">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209791C6">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7DB7E4A8">
            <w:pPr>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hAnsi="宋体" w:cs="宋体"/>
                <w:b w:val="0"/>
                <w:bCs w:val="0"/>
                <w:color w:val="auto"/>
                <w:sz w:val="24"/>
                <w:szCs w:val="24"/>
                <w:lang w:val="en-US" w:eastAsia="zh-CN"/>
              </w:rPr>
              <w:t>19</w:t>
            </w:r>
          </w:p>
        </w:tc>
        <w:tc>
          <w:tcPr>
            <w:tcW w:w="998" w:type="dxa"/>
            <w:noWrap/>
            <w:vAlign w:val="center"/>
          </w:tcPr>
          <w:p w14:paraId="45CE66E1">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20635D94">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5F63FE26">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6F596F59">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吸引器</w:t>
            </w:r>
          </w:p>
        </w:tc>
        <w:tc>
          <w:tcPr>
            <w:tcW w:w="4808" w:type="dxa"/>
            <w:noWrap/>
            <w:vAlign w:val="center"/>
          </w:tcPr>
          <w:p w14:paraId="28D6A219">
            <w:pPr>
              <w:snapToGrid w:val="0"/>
              <w:spacing w:line="240" w:lineRule="auto"/>
              <w:jc w:val="both"/>
              <w:rPr>
                <w:rFonts w:hint="eastAsia" w:ascii="宋体" w:hAnsi="宋体" w:eastAsia="宋体" w:cs="宋体"/>
                <w:sz w:val="24"/>
                <w:szCs w:val="24"/>
                <w:lang w:val="en-US" w:eastAsia="zh-CN"/>
              </w:rPr>
            </w:pPr>
            <w:r>
              <w:rPr>
                <w:rFonts w:hint="eastAsia" w:ascii="宋体" w:hAnsi="宋体" w:eastAsia="宋体" w:cs="宋体"/>
                <w:b w:val="0"/>
                <w:bCs w:val="0"/>
                <w:color w:val="auto"/>
                <w:kern w:val="2"/>
                <w:sz w:val="24"/>
                <w:szCs w:val="24"/>
                <w:lang w:val="en-US" w:eastAsia="zh-CN" w:bidi="ar-SA"/>
              </w:rPr>
              <w:t>1.泵结构：膜式泵</w:t>
            </w:r>
          </w:p>
          <w:p w14:paraId="5DC857A8">
            <w:pPr>
              <w:pageBreakBefore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2.抽气速率：≥25L/min</w:t>
            </w:r>
          </w:p>
          <w:p w14:paraId="42E06CFD">
            <w:pPr>
              <w:pageBreakBefore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3.负压调节范围：0.013～0.090MPa</w:t>
            </w:r>
          </w:p>
          <w:p w14:paraId="7BE10055">
            <w:pPr>
              <w:pageBreakBefore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4.吸液瓶：2500ml×2</w:t>
            </w:r>
          </w:p>
          <w:p w14:paraId="648EA9D2">
            <w:pPr>
              <w:pageBreakBefore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5.输入功率：400VA</w:t>
            </w:r>
          </w:p>
          <w:p w14:paraId="5A32C83B">
            <w:pPr>
              <w:pageBreakBefore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6.噪声：≤55dB</w:t>
            </w:r>
          </w:p>
          <w:p w14:paraId="71B5B2E1">
            <w:pPr>
              <w:pageBreakBefore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7.工作制：间隙加载连续运行</w:t>
            </w:r>
          </w:p>
          <w:p w14:paraId="63D44E83">
            <w:pPr>
              <w:pageBreakBefore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8.产品的材质、结构要求：ABS一次成型全塑外壳；免维护；溢流保护装置，防止液体进入泵内；手推式，备有手动开关和脚踏开关。</w:t>
            </w:r>
          </w:p>
          <w:p w14:paraId="30698998">
            <w:pPr>
              <w:pageBreakBefore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9.产品性能：可移动式医用吸引装置。</w:t>
            </w:r>
          </w:p>
          <w:p w14:paraId="563B7EF9">
            <w:pPr>
              <w:pageBreakBefore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10.基本配置：脚踏开关1个，熔丝管2个，吸引管1支，透明硅胶管1根</w:t>
            </w:r>
          </w:p>
        </w:tc>
        <w:tc>
          <w:tcPr>
            <w:tcW w:w="723" w:type="dxa"/>
            <w:noWrap w:val="0"/>
            <w:vAlign w:val="center"/>
          </w:tcPr>
          <w:p w14:paraId="4208E796">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5E0FAA88">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1ABC1FB5">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3C5A0CAC">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4B58AEDA">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39358E68">
            <w:pPr>
              <w:keepNext w:val="0"/>
              <w:keepLines w:val="0"/>
              <w:widowControl/>
              <w:suppressLineNumbers w:val="0"/>
              <w:ind w:left="0" w:leftChars="0"/>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rPr>
              <w:t>1</w:t>
            </w:r>
          </w:p>
        </w:tc>
        <w:tc>
          <w:tcPr>
            <w:tcW w:w="759" w:type="dxa"/>
            <w:noWrap w:val="0"/>
            <w:vAlign w:val="center"/>
          </w:tcPr>
          <w:p w14:paraId="73EFBA68">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4EAAEFFC">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51F81167">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63BA8A10">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5BCF9BB5">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p>
          <w:p w14:paraId="78AB7909">
            <w:pPr>
              <w:keepNext w:val="0"/>
              <w:keepLines w:val="0"/>
              <w:widowControl/>
              <w:suppressLineNumbers w:val="0"/>
              <w:ind w:left="0" w:leftChars="0"/>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rPr>
              <w:t>台</w:t>
            </w:r>
          </w:p>
        </w:tc>
      </w:tr>
      <w:tr w14:paraId="5E073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0" w:hRule="atLeast"/>
          <w:jc w:val="center"/>
        </w:trPr>
        <w:tc>
          <w:tcPr>
            <w:tcW w:w="629" w:type="dxa"/>
            <w:noWrap/>
            <w:vAlign w:val="center"/>
          </w:tcPr>
          <w:p w14:paraId="41B013D6">
            <w:pPr>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hAnsi="宋体" w:cs="宋体"/>
                <w:b w:val="0"/>
                <w:bCs w:val="0"/>
                <w:color w:val="auto"/>
                <w:sz w:val="24"/>
                <w:szCs w:val="24"/>
                <w:lang w:val="en-US" w:eastAsia="zh-CN"/>
              </w:rPr>
              <w:t>20</w:t>
            </w:r>
          </w:p>
        </w:tc>
        <w:tc>
          <w:tcPr>
            <w:tcW w:w="998" w:type="dxa"/>
            <w:noWrap/>
            <w:vAlign w:val="center"/>
          </w:tcPr>
          <w:p w14:paraId="3C0A37D2">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手术室观摩用座椅</w:t>
            </w:r>
          </w:p>
        </w:tc>
        <w:tc>
          <w:tcPr>
            <w:tcW w:w="4808" w:type="dxa"/>
            <w:noWrap/>
            <w:vAlign w:val="center"/>
          </w:tcPr>
          <w:p w14:paraId="20BECD8C">
            <w:pPr>
              <w:widowControl/>
              <w:spacing w:line="240" w:lineRule="auto"/>
              <w:jc w:val="both"/>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1.材质：不锈钢</w:t>
            </w:r>
          </w:p>
          <w:p w14:paraId="28DD22B2">
            <w:pPr>
              <w:widowControl/>
              <w:spacing w:line="240" w:lineRule="auto"/>
              <w:jc w:val="both"/>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2.结构：不锈钢＋法兰绒</w:t>
            </w:r>
          </w:p>
          <w:p w14:paraId="24824F29">
            <w:pPr>
              <w:widowControl/>
              <w:spacing w:line="240" w:lineRule="auto"/>
              <w:jc w:val="both"/>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柔软舒适法兰绒－商务黑</w:t>
            </w:r>
          </w:p>
          <w:p w14:paraId="4ECAA1D2">
            <w:pPr>
              <w:pStyle w:val="7"/>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3.规格：</w:t>
            </w:r>
            <w:r>
              <w:rPr>
                <w:rFonts w:hint="eastAsia"/>
                <w:lang w:val="en-US" w:eastAsia="zh-CN"/>
              </w:rPr>
              <w:t>≥</w:t>
            </w:r>
            <w:r>
              <w:rPr>
                <w:rFonts w:hint="eastAsia" w:ascii="宋体" w:hAnsi="宋体" w:eastAsia="宋体" w:cs="宋体"/>
                <w:color w:val="auto"/>
                <w:sz w:val="24"/>
                <w:szCs w:val="24"/>
                <w:lang w:val="en-US" w:eastAsia="zh-CN"/>
              </w:rPr>
              <w:t>30cm×48cm</w:t>
            </w:r>
          </w:p>
        </w:tc>
        <w:tc>
          <w:tcPr>
            <w:tcW w:w="723" w:type="dxa"/>
            <w:noWrap w:val="0"/>
            <w:vAlign w:val="center"/>
          </w:tcPr>
          <w:p w14:paraId="45A13929">
            <w:pPr>
              <w:keepNext w:val="0"/>
              <w:keepLines w:val="0"/>
              <w:widowControl/>
              <w:suppressLineNumbers w:val="0"/>
              <w:ind w:left="0" w:leftChars="0"/>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rPr>
              <w:t>50</w:t>
            </w:r>
          </w:p>
        </w:tc>
        <w:tc>
          <w:tcPr>
            <w:tcW w:w="759" w:type="dxa"/>
            <w:noWrap w:val="0"/>
            <w:vAlign w:val="center"/>
          </w:tcPr>
          <w:p w14:paraId="16EB11EF">
            <w:pPr>
              <w:keepNext w:val="0"/>
              <w:keepLines w:val="0"/>
              <w:widowControl/>
              <w:suppressLineNumbers w:val="0"/>
              <w:ind w:left="0" w:leftChars="0"/>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rPr>
              <w:t>张</w:t>
            </w:r>
          </w:p>
        </w:tc>
      </w:tr>
      <w:tr w14:paraId="10B6B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0" w:hRule="atLeast"/>
          <w:jc w:val="center"/>
        </w:trPr>
        <w:tc>
          <w:tcPr>
            <w:tcW w:w="629" w:type="dxa"/>
            <w:noWrap/>
            <w:vAlign w:val="center"/>
          </w:tcPr>
          <w:p w14:paraId="7DAB5F33">
            <w:pPr>
              <w:bidi w:val="0"/>
              <w:ind w:left="0" w:leftChars="0"/>
              <w:jc w:val="center"/>
              <w:rPr>
                <w:rFonts w:hint="eastAsia" w:ascii="宋体" w:hAnsi="宋体" w:eastAsia="宋体" w:cs="宋体"/>
                <w:b w:val="0"/>
                <w:bCs/>
                <w:color w:val="auto"/>
                <w:kern w:val="2"/>
                <w:sz w:val="24"/>
                <w:szCs w:val="24"/>
                <w:lang w:val="en-US" w:eastAsia="zh-CN" w:bidi="ar-SA"/>
              </w:rPr>
            </w:pPr>
          </w:p>
          <w:p w14:paraId="261854C8">
            <w:pPr>
              <w:bidi w:val="0"/>
              <w:ind w:left="0" w:leftChars="0"/>
              <w:jc w:val="center"/>
              <w:rPr>
                <w:rFonts w:hint="eastAsia" w:ascii="宋体" w:hAnsi="宋体" w:eastAsia="宋体" w:cs="宋体"/>
                <w:b w:val="0"/>
                <w:bCs/>
                <w:color w:val="auto"/>
                <w:kern w:val="2"/>
                <w:sz w:val="24"/>
                <w:szCs w:val="24"/>
                <w:lang w:val="en-US" w:eastAsia="zh-CN" w:bidi="ar-SA"/>
              </w:rPr>
            </w:pPr>
          </w:p>
          <w:p w14:paraId="42D16360">
            <w:pPr>
              <w:bidi w:val="0"/>
              <w:ind w:left="0" w:leftChars="0"/>
              <w:jc w:val="center"/>
              <w:rPr>
                <w:rFonts w:hint="eastAsia" w:ascii="宋体" w:hAnsi="宋体" w:eastAsia="宋体" w:cs="宋体"/>
                <w:b w:val="0"/>
                <w:bCs/>
                <w:color w:val="auto"/>
                <w:kern w:val="2"/>
                <w:sz w:val="24"/>
                <w:szCs w:val="24"/>
                <w:lang w:val="en-US" w:eastAsia="zh-CN" w:bidi="ar-SA"/>
              </w:rPr>
            </w:pPr>
          </w:p>
          <w:p w14:paraId="56E471A9">
            <w:pPr>
              <w:bidi w:val="0"/>
              <w:ind w:left="0" w:leftChars="0"/>
              <w:jc w:val="center"/>
              <w:rPr>
                <w:rFonts w:hint="eastAsia" w:ascii="宋体" w:hAnsi="宋体" w:eastAsia="宋体" w:cs="宋体"/>
                <w:b w:val="0"/>
                <w:bCs/>
                <w:color w:val="auto"/>
                <w:kern w:val="2"/>
                <w:sz w:val="24"/>
                <w:szCs w:val="24"/>
                <w:lang w:val="en-US" w:eastAsia="zh-CN" w:bidi="ar-SA"/>
              </w:rPr>
            </w:pPr>
          </w:p>
          <w:p w14:paraId="132C2217">
            <w:pPr>
              <w:bidi w:val="0"/>
              <w:ind w:left="0" w:leftChars="0"/>
              <w:jc w:val="center"/>
              <w:rPr>
                <w:rFonts w:hint="eastAsia" w:ascii="宋体" w:hAnsi="宋体" w:eastAsia="宋体" w:cs="宋体"/>
                <w:b w:val="0"/>
                <w:bCs/>
                <w:color w:val="auto"/>
                <w:kern w:val="2"/>
                <w:sz w:val="24"/>
                <w:szCs w:val="24"/>
                <w:lang w:val="en-US" w:eastAsia="zh-CN" w:bidi="ar-SA"/>
              </w:rPr>
            </w:pPr>
          </w:p>
          <w:p w14:paraId="6BA1112D">
            <w:pPr>
              <w:bidi w:val="0"/>
              <w:ind w:left="0" w:leftChars="0"/>
              <w:jc w:val="center"/>
              <w:rPr>
                <w:rFonts w:hint="eastAsia" w:ascii="宋体" w:hAnsi="宋体" w:eastAsia="宋体" w:cs="宋体"/>
                <w:b w:val="0"/>
                <w:bCs/>
                <w:color w:val="auto"/>
                <w:kern w:val="2"/>
                <w:sz w:val="24"/>
                <w:szCs w:val="24"/>
                <w:lang w:val="en-US" w:eastAsia="zh-CN" w:bidi="ar-SA"/>
              </w:rPr>
            </w:pPr>
          </w:p>
          <w:p w14:paraId="1A9B1750">
            <w:pPr>
              <w:bidi w:val="0"/>
              <w:ind w:left="0" w:leftChars="0"/>
              <w:jc w:val="center"/>
              <w:rPr>
                <w:rFonts w:hint="eastAsia" w:ascii="宋体" w:hAnsi="宋体" w:eastAsia="宋体" w:cs="宋体"/>
                <w:b w:val="0"/>
                <w:bCs/>
                <w:color w:val="auto"/>
                <w:kern w:val="2"/>
                <w:sz w:val="24"/>
                <w:szCs w:val="24"/>
                <w:lang w:val="en-US" w:eastAsia="zh-CN" w:bidi="ar-SA"/>
              </w:rPr>
            </w:pPr>
          </w:p>
          <w:p w14:paraId="0C037E7B">
            <w:pPr>
              <w:bidi w:val="0"/>
              <w:ind w:left="0" w:leftChars="0"/>
              <w:jc w:val="center"/>
              <w:rPr>
                <w:rFonts w:hint="eastAsia" w:ascii="宋体" w:hAnsi="宋体" w:eastAsia="宋体" w:cs="宋体"/>
                <w:b w:val="0"/>
                <w:bCs/>
                <w:color w:val="auto"/>
                <w:kern w:val="2"/>
                <w:sz w:val="24"/>
                <w:szCs w:val="24"/>
                <w:lang w:val="en-US" w:eastAsia="zh-CN" w:bidi="ar-SA"/>
              </w:rPr>
            </w:pPr>
          </w:p>
          <w:p w14:paraId="733360AD">
            <w:pPr>
              <w:bidi w:val="0"/>
              <w:ind w:left="0" w:leftChars="0"/>
              <w:jc w:val="center"/>
              <w:rPr>
                <w:rFonts w:hint="eastAsia" w:ascii="宋体" w:hAnsi="宋体" w:eastAsia="宋体" w:cs="宋体"/>
                <w:b w:val="0"/>
                <w:bCs/>
                <w:color w:val="auto"/>
                <w:kern w:val="2"/>
                <w:sz w:val="24"/>
                <w:szCs w:val="24"/>
                <w:lang w:val="en-US" w:eastAsia="zh-CN" w:bidi="ar-SA"/>
              </w:rPr>
            </w:pPr>
          </w:p>
          <w:p w14:paraId="5E0594B5">
            <w:pPr>
              <w:bidi w:val="0"/>
              <w:ind w:left="0" w:leftChars="0"/>
              <w:jc w:val="center"/>
              <w:rPr>
                <w:rFonts w:hint="eastAsia" w:ascii="宋体" w:hAnsi="宋体" w:eastAsia="宋体" w:cs="宋体"/>
                <w:b w:val="0"/>
                <w:bCs/>
                <w:color w:val="auto"/>
                <w:kern w:val="2"/>
                <w:sz w:val="24"/>
                <w:szCs w:val="24"/>
                <w:lang w:val="en-US" w:eastAsia="zh-CN" w:bidi="ar-SA"/>
              </w:rPr>
            </w:pPr>
          </w:p>
          <w:p w14:paraId="559FFB47">
            <w:pPr>
              <w:bidi w:val="0"/>
              <w:ind w:left="0" w:leftChars="0"/>
              <w:jc w:val="center"/>
              <w:rPr>
                <w:rFonts w:hint="eastAsia" w:ascii="宋体" w:hAnsi="宋体" w:eastAsia="宋体" w:cs="宋体"/>
                <w:b w:val="0"/>
                <w:bCs/>
                <w:color w:val="auto"/>
                <w:kern w:val="2"/>
                <w:sz w:val="24"/>
                <w:szCs w:val="24"/>
                <w:lang w:val="en-US" w:eastAsia="zh-CN" w:bidi="ar-SA"/>
              </w:rPr>
            </w:pPr>
          </w:p>
          <w:p w14:paraId="566A2074">
            <w:pPr>
              <w:bidi w:val="0"/>
              <w:ind w:left="0" w:leftChars="0"/>
              <w:jc w:val="center"/>
              <w:rPr>
                <w:rFonts w:hint="eastAsia" w:ascii="宋体" w:hAnsi="宋体" w:eastAsia="宋体" w:cs="宋体"/>
                <w:b w:val="0"/>
                <w:bCs/>
                <w:color w:val="auto"/>
                <w:kern w:val="2"/>
                <w:sz w:val="24"/>
                <w:szCs w:val="24"/>
                <w:lang w:val="en-US" w:eastAsia="zh-CN" w:bidi="ar-SA"/>
              </w:rPr>
            </w:pPr>
          </w:p>
          <w:p w14:paraId="203C7FEF">
            <w:pPr>
              <w:bidi w:val="0"/>
              <w:ind w:left="0" w:leftChars="0"/>
              <w:jc w:val="center"/>
              <w:rPr>
                <w:rFonts w:hint="eastAsia" w:ascii="宋体" w:hAnsi="宋体" w:eastAsia="宋体" w:cs="宋体"/>
                <w:b w:val="0"/>
                <w:bCs/>
                <w:color w:val="auto"/>
                <w:kern w:val="2"/>
                <w:sz w:val="24"/>
                <w:szCs w:val="24"/>
                <w:lang w:val="en-US" w:eastAsia="zh-CN" w:bidi="ar-SA"/>
              </w:rPr>
            </w:pPr>
          </w:p>
          <w:p w14:paraId="0A638BC5">
            <w:pPr>
              <w:bidi w:val="0"/>
              <w:ind w:left="0" w:leftChars="0"/>
              <w:jc w:val="center"/>
              <w:rPr>
                <w:rFonts w:hint="eastAsia" w:ascii="宋体" w:hAnsi="宋体" w:eastAsia="宋体" w:cs="宋体"/>
                <w:b w:val="0"/>
                <w:bCs/>
                <w:color w:val="auto"/>
                <w:kern w:val="2"/>
                <w:sz w:val="24"/>
                <w:szCs w:val="24"/>
                <w:lang w:val="en-US" w:eastAsia="zh-CN" w:bidi="ar-SA"/>
              </w:rPr>
            </w:pPr>
          </w:p>
          <w:p w14:paraId="29F73515">
            <w:pPr>
              <w:bidi w:val="0"/>
              <w:ind w:left="0" w:leftChars="0"/>
              <w:jc w:val="center"/>
              <w:rPr>
                <w:rFonts w:hint="eastAsia" w:ascii="宋体" w:hAnsi="宋体" w:eastAsia="宋体" w:cs="宋体"/>
                <w:b w:val="0"/>
                <w:bCs/>
                <w:color w:val="auto"/>
                <w:kern w:val="2"/>
                <w:sz w:val="24"/>
                <w:szCs w:val="24"/>
                <w:lang w:val="en-US" w:eastAsia="zh-CN" w:bidi="ar-SA"/>
              </w:rPr>
            </w:pPr>
          </w:p>
          <w:p w14:paraId="285F5DB8">
            <w:pPr>
              <w:bidi w:val="0"/>
              <w:ind w:left="0" w:leftChars="0"/>
              <w:jc w:val="center"/>
              <w:rPr>
                <w:rFonts w:hint="eastAsia" w:ascii="宋体" w:hAnsi="宋体" w:eastAsia="宋体" w:cs="宋体"/>
                <w:b w:val="0"/>
                <w:bCs/>
                <w:color w:val="auto"/>
                <w:kern w:val="2"/>
                <w:sz w:val="24"/>
                <w:szCs w:val="24"/>
                <w:lang w:val="en-US" w:eastAsia="zh-CN" w:bidi="ar-SA"/>
              </w:rPr>
            </w:pPr>
          </w:p>
          <w:p w14:paraId="181A4A68">
            <w:pPr>
              <w:bidi w:val="0"/>
              <w:ind w:left="0" w:leftChars="0"/>
              <w:jc w:val="center"/>
              <w:rPr>
                <w:rFonts w:hint="eastAsia" w:ascii="宋体" w:hAnsi="宋体" w:eastAsia="宋体" w:cs="宋体"/>
                <w:b w:val="0"/>
                <w:bCs/>
                <w:color w:val="auto"/>
                <w:kern w:val="2"/>
                <w:sz w:val="24"/>
                <w:szCs w:val="24"/>
                <w:lang w:val="en-US" w:eastAsia="zh-CN" w:bidi="ar-SA"/>
              </w:rPr>
            </w:pPr>
          </w:p>
          <w:p w14:paraId="413DA9B4">
            <w:pPr>
              <w:bidi w:val="0"/>
              <w:ind w:left="0" w:leftChars="0"/>
              <w:jc w:val="center"/>
              <w:rPr>
                <w:rFonts w:hint="default" w:ascii="宋体" w:hAnsi="宋体" w:eastAsia="宋体" w:cs="宋体"/>
                <w:b w:val="0"/>
                <w:bCs/>
                <w:color w:val="auto"/>
                <w:kern w:val="2"/>
                <w:sz w:val="24"/>
                <w:szCs w:val="24"/>
                <w:lang w:val="en-US" w:eastAsia="zh-CN" w:bidi="ar-SA"/>
              </w:rPr>
            </w:pPr>
            <w:r>
              <w:rPr>
                <w:rFonts w:hint="eastAsia" w:hAnsi="宋体" w:cs="宋体"/>
                <w:b w:val="0"/>
                <w:bCs/>
                <w:color w:val="auto"/>
                <w:kern w:val="2"/>
                <w:sz w:val="24"/>
                <w:szCs w:val="24"/>
                <w:lang w:val="en-US" w:eastAsia="zh-CN" w:bidi="ar-SA"/>
              </w:rPr>
              <w:t>21</w:t>
            </w:r>
          </w:p>
        </w:tc>
        <w:tc>
          <w:tcPr>
            <w:tcW w:w="998" w:type="dxa"/>
            <w:noWrap/>
            <w:vAlign w:val="center"/>
          </w:tcPr>
          <w:p w14:paraId="687B2E4C">
            <w:pPr>
              <w:bidi w:val="0"/>
              <w:ind w:left="0" w:leftChars="0"/>
              <w:jc w:val="center"/>
              <w:rPr>
                <w:rFonts w:hint="eastAsia" w:ascii="宋体" w:hAnsi="宋体" w:eastAsia="宋体" w:cs="宋体"/>
                <w:b w:val="0"/>
                <w:bCs/>
                <w:color w:val="auto"/>
                <w:sz w:val="24"/>
                <w:szCs w:val="24"/>
              </w:rPr>
            </w:pPr>
          </w:p>
          <w:p w14:paraId="05FB4F25">
            <w:pPr>
              <w:bidi w:val="0"/>
              <w:ind w:left="0" w:leftChars="0"/>
              <w:jc w:val="center"/>
              <w:rPr>
                <w:rFonts w:hint="eastAsia" w:ascii="宋体" w:hAnsi="宋体" w:eastAsia="宋体" w:cs="宋体"/>
                <w:b w:val="0"/>
                <w:bCs/>
                <w:color w:val="auto"/>
                <w:sz w:val="24"/>
                <w:szCs w:val="24"/>
              </w:rPr>
            </w:pPr>
          </w:p>
          <w:p w14:paraId="746C3053">
            <w:pPr>
              <w:bidi w:val="0"/>
              <w:ind w:left="0" w:leftChars="0"/>
              <w:jc w:val="center"/>
              <w:rPr>
                <w:rFonts w:hint="eastAsia" w:ascii="宋体" w:hAnsi="宋体" w:eastAsia="宋体" w:cs="宋体"/>
                <w:b w:val="0"/>
                <w:bCs/>
                <w:color w:val="auto"/>
                <w:sz w:val="24"/>
                <w:szCs w:val="24"/>
              </w:rPr>
            </w:pPr>
          </w:p>
          <w:p w14:paraId="406E0082">
            <w:pPr>
              <w:bidi w:val="0"/>
              <w:ind w:left="0" w:leftChars="0"/>
              <w:jc w:val="center"/>
              <w:rPr>
                <w:rFonts w:hint="eastAsia" w:ascii="宋体" w:hAnsi="宋体" w:eastAsia="宋体" w:cs="宋体"/>
                <w:b w:val="0"/>
                <w:bCs/>
                <w:color w:val="auto"/>
                <w:sz w:val="24"/>
                <w:szCs w:val="24"/>
              </w:rPr>
            </w:pPr>
          </w:p>
          <w:p w14:paraId="46612436">
            <w:pPr>
              <w:bidi w:val="0"/>
              <w:ind w:left="0" w:leftChars="0"/>
              <w:jc w:val="center"/>
              <w:rPr>
                <w:rFonts w:hint="eastAsia" w:ascii="宋体" w:hAnsi="宋体" w:eastAsia="宋体" w:cs="宋体"/>
                <w:b w:val="0"/>
                <w:bCs/>
                <w:color w:val="auto"/>
                <w:sz w:val="24"/>
                <w:szCs w:val="24"/>
              </w:rPr>
            </w:pPr>
          </w:p>
          <w:p w14:paraId="1AA26FE5">
            <w:pPr>
              <w:bidi w:val="0"/>
              <w:ind w:left="0" w:leftChars="0"/>
              <w:jc w:val="center"/>
              <w:rPr>
                <w:rFonts w:hint="eastAsia" w:ascii="宋体" w:hAnsi="宋体" w:eastAsia="宋体" w:cs="宋体"/>
                <w:b w:val="0"/>
                <w:bCs/>
                <w:color w:val="auto"/>
                <w:sz w:val="24"/>
                <w:szCs w:val="24"/>
              </w:rPr>
            </w:pPr>
          </w:p>
          <w:p w14:paraId="6C0C2793">
            <w:pPr>
              <w:bidi w:val="0"/>
              <w:ind w:left="0" w:leftChars="0"/>
              <w:jc w:val="center"/>
              <w:rPr>
                <w:rFonts w:hint="eastAsia" w:ascii="宋体" w:hAnsi="宋体" w:eastAsia="宋体" w:cs="宋体"/>
                <w:b w:val="0"/>
                <w:bCs/>
                <w:color w:val="auto"/>
                <w:sz w:val="24"/>
                <w:szCs w:val="24"/>
              </w:rPr>
            </w:pPr>
          </w:p>
          <w:p w14:paraId="4B4CA2D0">
            <w:pPr>
              <w:bidi w:val="0"/>
              <w:ind w:left="0" w:leftChars="0"/>
              <w:jc w:val="center"/>
              <w:rPr>
                <w:rFonts w:hint="eastAsia" w:ascii="宋体" w:hAnsi="宋体" w:eastAsia="宋体" w:cs="宋体"/>
                <w:b w:val="0"/>
                <w:bCs/>
                <w:color w:val="auto"/>
                <w:sz w:val="24"/>
                <w:szCs w:val="24"/>
              </w:rPr>
            </w:pPr>
          </w:p>
          <w:p w14:paraId="27918CB9">
            <w:pPr>
              <w:bidi w:val="0"/>
              <w:ind w:left="0" w:leftChars="0"/>
              <w:jc w:val="center"/>
              <w:rPr>
                <w:rFonts w:hint="eastAsia" w:ascii="宋体" w:hAnsi="宋体" w:eastAsia="宋体" w:cs="宋体"/>
                <w:b w:val="0"/>
                <w:bCs/>
                <w:color w:val="auto"/>
                <w:sz w:val="24"/>
                <w:szCs w:val="24"/>
              </w:rPr>
            </w:pPr>
          </w:p>
          <w:p w14:paraId="31DBAF5C">
            <w:pPr>
              <w:bidi w:val="0"/>
              <w:ind w:left="0" w:leftChars="0"/>
              <w:jc w:val="center"/>
              <w:rPr>
                <w:rFonts w:hint="eastAsia" w:ascii="宋体" w:hAnsi="宋体" w:eastAsia="宋体" w:cs="宋体"/>
                <w:b w:val="0"/>
                <w:bCs/>
                <w:color w:val="auto"/>
                <w:sz w:val="24"/>
                <w:szCs w:val="24"/>
              </w:rPr>
            </w:pPr>
          </w:p>
          <w:p w14:paraId="63EEB869">
            <w:pPr>
              <w:bidi w:val="0"/>
              <w:ind w:left="0" w:leftChars="0"/>
              <w:jc w:val="center"/>
              <w:rPr>
                <w:rFonts w:hint="eastAsia" w:ascii="宋体" w:hAnsi="宋体" w:eastAsia="宋体" w:cs="宋体"/>
                <w:b w:val="0"/>
                <w:bCs/>
                <w:color w:val="auto"/>
                <w:sz w:val="24"/>
                <w:szCs w:val="24"/>
              </w:rPr>
            </w:pPr>
          </w:p>
          <w:p w14:paraId="26304E15">
            <w:pPr>
              <w:bidi w:val="0"/>
              <w:ind w:left="0" w:leftChars="0"/>
              <w:jc w:val="center"/>
              <w:rPr>
                <w:rFonts w:hint="eastAsia" w:ascii="宋体" w:hAnsi="宋体" w:eastAsia="宋体" w:cs="宋体"/>
                <w:b w:val="0"/>
                <w:bCs/>
                <w:color w:val="auto"/>
                <w:sz w:val="24"/>
                <w:szCs w:val="24"/>
              </w:rPr>
            </w:pPr>
          </w:p>
          <w:p w14:paraId="0804F21D">
            <w:pPr>
              <w:bidi w:val="0"/>
              <w:ind w:left="0" w:leftChars="0"/>
              <w:jc w:val="center"/>
              <w:rPr>
                <w:rFonts w:hint="eastAsia" w:ascii="宋体" w:hAnsi="宋体" w:eastAsia="宋体" w:cs="宋体"/>
                <w:b w:val="0"/>
                <w:bCs/>
                <w:color w:val="auto"/>
                <w:sz w:val="24"/>
                <w:szCs w:val="24"/>
              </w:rPr>
            </w:pPr>
          </w:p>
          <w:p w14:paraId="3DAB81A4">
            <w:pPr>
              <w:bidi w:val="0"/>
              <w:ind w:left="0" w:leftChars="0"/>
              <w:jc w:val="center"/>
              <w:rPr>
                <w:rFonts w:hint="eastAsia" w:ascii="宋体" w:hAnsi="宋体" w:eastAsia="宋体" w:cs="宋体"/>
                <w:b w:val="0"/>
                <w:bCs/>
                <w:color w:val="auto"/>
                <w:sz w:val="24"/>
                <w:szCs w:val="24"/>
              </w:rPr>
            </w:pPr>
          </w:p>
          <w:p w14:paraId="5B5E17EA">
            <w:pPr>
              <w:bidi w:val="0"/>
              <w:ind w:left="0" w:leftChars="0"/>
              <w:jc w:val="center"/>
              <w:rPr>
                <w:rFonts w:hint="eastAsia" w:ascii="宋体" w:hAnsi="宋体" w:eastAsia="宋体" w:cs="宋体"/>
                <w:b w:val="0"/>
                <w:bCs/>
                <w:color w:val="auto"/>
                <w:sz w:val="24"/>
                <w:szCs w:val="24"/>
              </w:rPr>
            </w:pPr>
          </w:p>
          <w:p w14:paraId="0C3A2126">
            <w:pPr>
              <w:bidi w:val="0"/>
              <w:ind w:left="0" w:leftChars="0"/>
              <w:jc w:val="center"/>
              <w:rPr>
                <w:rFonts w:hint="eastAsia" w:ascii="宋体" w:hAnsi="宋体" w:eastAsia="宋体" w:cs="宋体"/>
                <w:b w:val="0"/>
                <w:bCs/>
                <w:color w:val="auto"/>
                <w:sz w:val="24"/>
                <w:szCs w:val="24"/>
              </w:rPr>
            </w:pPr>
          </w:p>
          <w:p w14:paraId="2A842DF8">
            <w:pPr>
              <w:bidi w:val="0"/>
              <w:ind w:left="0" w:leftChars="0"/>
              <w:jc w:val="center"/>
              <w:rPr>
                <w:rFonts w:hint="eastAsia" w:ascii="宋体" w:hAnsi="宋体" w:eastAsia="宋体" w:cs="宋体"/>
                <w:b w:val="0"/>
                <w:bCs/>
                <w:color w:val="auto"/>
                <w:sz w:val="24"/>
                <w:szCs w:val="24"/>
              </w:rPr>
            </w:pPr>
          </w:p>
          <w:p w14:paraId="4B514BAD">
            <w:pPr>
              <w:bidi w:val="0"/>
              <w:ind w:left="0" w:leftChars="0"/>
              <w:jc w:val="center"/>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sz w:val="24"/>
                <w:szCs w:val="24"/>
              </w:rPr>
              <w:t>无线智能综合模拟人</w:t>
            </w:r>
          </w:p>
        </w:tc>
        <w:tc>
          <w:tcPr>
            <w:tcW w:w="4808" w:type="dxa"/>
            <w:noWrap/>
            <w:vAlign w:val="center"/>
          </w:tcPr>
          <w:p w14:paraId="3293A506">
            <w:pPr>
              <w:widowControl/>
              <w:bidi w:val="0"/>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一、172cm成年男性整体模型，还原多项生理功能，包括胸廓起伏、自主呼吸、动脉搏动，支持瞳孔对光反射、血压测量等临床检查，触感和反应贴近真实人体。</w:t>
            </w:r>
          </w:p>
          <w:p w14:paraId="1EA77F74">
            <w:pPr>
              <w:widowControl/>
              <w:bidi w:val="0"/>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二、全维度急救训练覆盖，满足多元教学需求</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可进行</w:t>
            </w:r>
            <w:r>
              <w:rPr>
                <w:rFonts w:hint="eastAsia" w:ascii="宋体" w:hAnsi="宋体" w:eastAsia="宋体" w:cs="宋体"/>
                <w:b w:val="0"/>
                <w:bCs w:val="0"/>
                <w:color w:val="auto"/>
                <w:sz w:val="24"/>
                <w:szCs w:val="24"/>
              </w:rPr>
              <w:t>气道管理</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心肺复苏</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多系统急救等操作。</w:t>
            </w:r>
          </w:p>
          <w:p w14:paraId="68F1DA8C">
            <w:pPr>
              <w:widowControl/>
              <w:bidi w:val="0"/>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三、智能化教学系统，覆盖</w:t>
            </w:r>
            <w:r>
              <w:rPr>
                <w:rFonts w:hint="eastAsia" w:ascii="宋体" w:hAnsi="宋体" w:eastAsia="宋体" w:cs="宋体"/>
                <w:b w:val="0"/>
                <w:bCs w:val="0"/>
                <w:color w:val="auto"/>
                <w:sz w:val="24"/>
                <w:szCs w:val="24"/>
                <w:lang w:eastAsia="zh-CN"/>
              </w:rPr>
              <w:t>心搏骤停</w:t>
            </w:r>
            <w:r>
              <w:rPr>
                <w:rFonts w:hint="eastAsia" w:ascii="宋体" w:hAnsi="宋体" w:eastAsia="宋体" w:cs="宋体"/>
                <w:b w:val="0"/>
                <w:bCs w:val="0"/>
                <w:color w:val="auto"/>
                <w:sz w:val="24"/>
                <w:szCs w:val="24"/>
              </w:rPr>
              <w:t>、心律失常等常见急诊场景。实时监控体征数据，支持辅助检查，操作过程可记录、回放、自动打分。支持自定义编辑病例，病情随操作动态演变。</w:t>
            </w:r>
          </w:p>
          <w:p w14:paraId="1089506B">
            <w:pPr>
              <w:widowControl/>
              <w:bidi w:val="0"/>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功能参数：</w:t>
            </w:r>
          </w:p>
          <w:p w14:paraId="35323DCB">
            <w:pPr>
              <w:widowControl/>
              <w:bidi w:val="0"/>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（一）模拟人规格</w:t>
            </w:r>
          </w:p>
          <w:p w14:paraId="763C72B0">
            <w:pPr>
              <w:widowControl/>
              <w:bidi w:val="0"/>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基本特征：</w:t>
            </w:r>
          </w:p>
          <w:p w14:paraId="422937BA">
            <w:pPr>
              <w:widowControl/>
              <w:bidi w:val="0"/>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color w:val="auto"/>
                <w:sz w:val="24"/>
                <w:szCs w:val="24"/>
              </w:rPr>
              <w:t>1</w:t>
            </w:r>
            <w:r>
              <w:rPr>
                <w:rFonts w:hint="eastAsia" w:ascii="宋体" w:hAnsi="宋体" w:eastAsia="宋体" w:cs="宋体"/>
                <w:b w:val="0"/>
                <w:bCs/>
                <w:color w:val="auto"/>
                <w:sz w:val="24"/>
                <w:szCs w:val="24"/>
                <w:lang w:eastAsia="zh-CN"/>
              </w:rPr>
              <w:t>.</w:t>
            </w:r>
            <w:r>
              <w:rPr>
                <w:rFonts w:hint="eastAsia" w:ascii="宋体" w:hAnsi="宋体" w:eastAsia="宋体" w:cs="宋体"/>
                <w:b w:val="0"/>
                <w:bCs w:val="0"/>
                <w:color w:val="auto"/>
                <w:sz w:val="24"/>
                <w:szCs w:val="24"/>
              </w:rPr>
              <w:t>采用无线通讯技术，全无线连接，内置锂电池供电、充足电后可连续使用6小时以上。</w:t>
            </w:r>
          </w:p>
          <w:p w14:paraId="0ABDF054">
            <w:pPr>
              <w:widowControl/>
              <w:bidi w:val="0"/>
              <w:spacing w:line="240" w:lineRule="auto"/>
              <w:jc w:val="both"/>
              <w:textAlignment w:val="center"/>
              <w:rPr>
                <w:rFonts w:hint="eastAsia" w:ascii="宋体" w:hAnsi="宋体" w:eastAsia="宋体" w:cs="宋体"/>
                <w:b w:val="0"/>
                <w:bCs w:val="0"/>
                <w:color w:val="auto"/>
                <w:sz w:val="24"/>
                <w:szCs w:val="24"/>
              </w:rPr>
            </w:pPr>
            <w:r>
              <w:rPr>
                <w:rFonts w:hint="eastAsia" w:hAnsi="宋体" w:cs="宋体"/>
                <w:b w:val="0"/>
                <w:bCs w:val="0"/>
                <w:color w:val="auto"/>
                <w:sz w:val="24"/>
                <w:szCs w:val="24"/>
                <w:lang w:val="en-US" w:eastAsia="zh-CN"/>
              </w:rPr>
              <w:t>2</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有完整的口鼻腔、气道与食道；支持环甲膜切开插管；可产生胸廓起伏和自主呼吸。</w:t>
            </w:r>
          </w:p>
          <w:p w14:paraId="14001A26">
            <w:pPr>
              <w:widowControl/>
              <w:bidi w:val="0"/>
              <w:spacing w:line="240" w:lineRule="auto"/>
              <w:jc w:val="both"/>
              <w:textAlignment w:val="center"/>
              <w:rPr>
                <w:rFonts w:hint="eastAsia" w:ascii="宋体" w:hAnsi="宋体" w:eastAsia="宋体" w:cs="宋体"/>
                <w:b w:val="0"/>
                <w:bCs w:val="0"/>
                <w:color w:val="auto"/>
                <w:sz w:val="24"/>
                <w:szCs w:val="24"/>
              </w:rPr>
            </w:pPr>
            <w:r>
              <w:rPr>
                <w:rFonts w:hint="eastAsia" w:hAnsi="宋体" w:cs="宋体"/>
                <w:b w:val="0"/>
                <w:bCs w:val="0"/>
                <w:color w:val="auto"/>
                <w:sz w:val="24"/>
                <w:szCs w:val="24"/>
                <w:lang w:val="en-US" w:eastAsia="zh-CN"/>
              </w:rPr>
              <w:t>3</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有胸外按压的检测装置，按压深度、按压位置、按压频率，均有动态曲线描述，实时显示、记录与评估。</w:t>
            </w:r>
          </w:p>
          <w:p w14:paraId="66C775FB">
            <w:pPr>
              <w:widowControl/>
              <w:bidi w:val="0"/>
              <w:spacing w:line="240" w:lineRule="auto"/>
              <w:jc w:val="both"/>
              <w:textAlignment w:val="center"/>
              <w:rPr>
                <w:rFonts w:hint="eastAsia" w:ascii="宋体" w:hAnsi="宋体" w:eastAsia="宋体" w:cs="宋体"/>
                <w:b w:val="0"/>
                <w:bCs w:val="0"/>
                <w:color w:val="auto"/>
                <w:sz w:val="24"/>
                <w:szCs w:val="24"/>
              </w:rPr>
            </w:pPr>
            <w:r>
              <w:rPr>
                <w:rFonts w:hint="eastAsia" w:hAnsi="宋体" w:cs="宋体"/>
                <w:b w:val="0"/>
                <w:bCs w:val="0"/>
                <w:color w:val="auto"/>
                <w:sz w:val="24"/>
                <w:szCs w:val="24"/>
                <w:lang w:val="en-US" w:eastAsia="zh-CN"/>
              </w:rPr>
              <w:t>4</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神经反应：机械瞳孔可设置正常或异常的瞳孔变化</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左右瞳孔支持直接、间接对光反射检查；</w:t>
            </w:r>
          </w:p>
          <w:p w14:paraId="442190F0">
            <w:pPr>
              <w:widowControl/>
              <w:bidi w:val="0"/>
              <w:spacing w:line="240" w:lineRule="auto"/>
              <w:jc w:val="both"/>
              <w:textAlignment w:val="center"/>
              <w:rPr>
                <w:rFonts w:hint="eastAsia" w:ascii="宋体" w:hAnsi="宋体" w:eastAsia="宋体" w:cs="宋体"/>
                <w:b w:val="0"/>
                <w:bCs w:val="0"/>
                <w:color w:val="auto"/>
                <w:sz w:val="24"/>
                <w:szCs w:val="24"/>
              </w:rPr>
            </w:pPr>
            <w:r>
              <w:rPr>
                <w:rFonts w:hint="eastAsia" w:hAnsi="宋体" w:cs="宋体"/>
                <w:b w:val="0"/>
                <w:bCs w:val="0"/>
                <w:color w:val="auto"/>
                <w:sz w:val="24"/>
                <w:szCs w:val="24"/>
                <w:lang w:val="en-US" w:eastAsia="zh-CN"/>
              </w:rPr>
              <w:t>5</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模拟损伤：口吐白沫损伤表现；</w:t>
            </w:r>
          </w:p>
          <w:p w14:paraId="3CB76790">
            <w:pPr>
              <w:widowControl/>
              <w:bidi w:val="0"/>
              <w:spacing w:line="240" w:lineRule="auto"/>
              <w:jc w:val="both"/>
              <w:textAlignment w:val="center"/>
              <w:rPr>
                <w:rFonts w:hint="eastAsia" w:ascii="宋体" w:hAnsi="宋体" w:eastAsia="宋体" w:cs="宋体"/>
                <w:b w:val="0"/>
                <w:bCs w:val="0"/>
                <w:color w:val="auto"/>
                <w:sz w:val="24"/>
                <w:szCs w:val="24"/>
              </w:rPr>
            </w:pPr>
            <w:r>
              <w:rPr>
                <w:rFonts w:hint="eastAsia" w:hAnsi="宋体" w:cs="宋体"/>
                <w:b w:val="0"/>
                <w:bCs w:val="0"/>
                <w:color w:val="auto"/>
                <w:sz w:val="24"/>
                <w:szCs w:val="24"/>
                <w:lang w:val="en-US" w:eastAsia="zh-CN"/>
              </w:rPr>
              <w:t>6</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气道功能：</w:t>
            </w:r>
          </w:p>
          <w:p w14:paraId="5232B76E">
            <w:pPr>
              <w:widowControl/>
              <w:bidi w:val="0"/>
              <w:spacing w:line="240" w:lineRule="auto"/>
              <w:jc w:val="both"/>
              <w:textAlignment w:val="center"/>
              <w:rPr>
                <w:rFonts w:hint="eastAsia" w:ascii="宋体" w:hAnsi="宋体" w:eastAsia="宋体" w:cs="宋体"/>
                <w:b w:val="0"/>
                <w:bCs w:val="0"/>
                <w:color w:val="auto"/>
                <w:sz w:val="24"/>
                <w:szCs w:val="24"/>
              </w:rPr>
            </w:pPr>
            <w:r>
              <w:rPr>
                <w:rFonts w:hint="eastAsia" w:hAnsi="宋体" w:cs="宋体"/>
                <w:b w:val="0"/>
                <w:bCs w:val="0"/>
                <w:color w:val="auto"/>
                <w:sz w:val="24"/>
                <w:szCs w:val="24"/>
                <w:lang w:val="en-US" w:eastAsia="zh-CN"/>
              </w:rPr>
              <w:t>6</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左肺、右肺和双肺阻塞；</w:t>
            </w:r>
          </w:p>
          <w:p w14:paraId="51651A8F">
            <w:pPr>
              <w:widowControl/>
              <w:bidi w:val="0"/>
              <w:spacing w:line="240" w:lineRule="auto"/>
              <w:jc w:val="both"/>
              <w:textAlignment w:val="center"/>
              <w:rPr>
                <w:rFonts w:hint="eastAsia" w:ascii="宋体" w:hAnsi="宋体" w:eastAsia="宋体" w:cs="宋体"/>
                <w:b w:val="0"/>
                <w:bCs w:val="0"/>
                <w:color w:val="auto"/>
                <w:sz w:val="24"/>
                <w:szCs w:val="24"/>
              </w:rPr>
            </w:pPr>
            <w:r>
              <w:rPr>
                <w:rFonts w:hint="eastAsia" w:hAnsi="宋体" w:cs="宋体"/>
                <w:b w:val="0"/>
                <w:bCs w:val="0"/>
                <w:color w:val="auto"/>
                <w:sz w:val="24"/>
                <w:szCs w:val="24"/>
                <w:lang w:val="en-US" w:eastAsia="zh-CN"/>
              </w:rPr>
              <w:t>6</w:t>
            </w:r>
            <w:r>
              <w:rPr>
                <w:rFonts w:hint="eastAsia" w:ascii="宋体" w:hAnsi="宋体" w:eastAsia="宋体" w:cs="宋体"/>
                <w:b w:val="0"/>
                <w:bCs w:val="0"/>
                <w:color w:val="auto"/>
                <w:sz w:val="24"/>
                <w:szCs w:val="24"/>
                <w:lang w:val="en-US" w:eastAsia="zh-CN"/>
              </w:rPr>
              <w:t>.</w:t>
            </w:r>
            <w:r>
              <w:rPr>
                <w:rFonts w:hint="eastAsia" w:hAnsi="宋体" w:cs="宋体"/>
                <w:b w:val="0"/>
                <w:bCs w:val="0"/>
                <w:color w:val="auto"/>
                <w:sz w:val="24"/>
                <w:szCs w:val="24"/>
                <w:lang w:val="en-US" w:eastAsia="zh-CN"/>
              </w:rPr>
              <w:t>2</w:t>
            </w:r>
            <w:r>
              <w:rPr>
                <w:rFonts w:hint="eastAsia" w:ascii="宋体" w:hAnsi="宋体" w:eastAsia="宋体" w:cs="宋体"/>
                <w:b w:val="0"/>
                <w:bCs w:val="0"/>
                <w:color w:val="auto"/>
                <w:sz w:val="24"/>
                <w:szCs w:val="24"/>
              </w:rPr>
              <w:t>可模拟喉水肿和喉痉挛等紧急气道阻塞情况；</w:t>
            </w:r>
          </w:p>
          <w:p w14:paraId="57A5BAC3">
            <w:pPr>
              <w:widowControl/>
              <w:bidi w:val="0"/>
              <w:spacing w:line="240" w:lineRule="auto"/>
              <w:jc w:val="both"/>
              <w:textAlignment w:val="center"/>
              <w:rPr>
                <w:rFonts w:hint="eastAsia" w:ascii="宋体" w:hAnsi="宋体" w:eastAsia="宋体" w:cs="宋体"/>
                <w:b w:val="0"/>
                <w:bCs w:val="0"/>
                <w:color w:val="auto"/>
                <w:sz w:val="24"/>
                <w:szCs w:val="24"/>
              </w:rPr>
            </w:pPr>
            <w:r>
              <w:rPr>
                <w:rFonts w:hint="eastAsia" w:hAnsi="宋体" w:cs="宋体"/>
                <w:b w:val="0"/>
                <w:bCs w:val="0"/>
                <w:color w:val="auto"/>
                <w:sz w:val="24"/>
                <w:szCs w:val="24"/>
                <w:lang w:val="en-US" w:eastAsia="zh-CN"/>
              </w:rPr>
              <w:t>6</w:t>
            </w: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可模拟牙关紧闭、颈部僵直和舌水肿等困难气道；</w:t>
            </w:r>
          </w:p>
          <w:p w14:paraId="28447788">
            <w:pPr>
              <w:widowControl/>
              <w:bidi w:val="0"/>
              <w:spacing w:line="240" w:lineRule="auto"/>
              <w:jc w:val="both"/>
              <w:textAlignment w:val="center"/>
              <w:rPr>
                <w:rFonts w:hint="eastAsia" w:ascii="宋体" w:hAnsi="宋体" w:eastAsia="宋体" w:cs="宋体"/>
                <w:b w:val="0"/>
                <w:bCs w:val="0"/>
                <w:color w:val="auto"/>
                <w:sz w:val="24"/>
                <w:szCs w:val="24"/>
              </w:rPr>
            </w:pPr>
            <w:r>
              <w:rPr>
                <w:rFonts w:hint="eastAsia" w:hAnsi="宋体" w:cs="宋体"/>
                <w:b w:val="0"/>
                <w:bCs w:val="0"/>
                <w:color w:val="auto"/>
                <w:sz w:val="24"/>
                <w:szCs w:val="24"/>
                <w:lang w:val="en-US" w:eastAsia="zh-CN"/>
              </w:rPr>
              <w:t>6</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气道管理训练：有开放气道的检测，可行仰头举额、仰头抬颈法、双手抬颌法三种方式开放气道；支持高级气道管理，气管插管时可检测插管深度和位置；</w:t>
            </w:r>
          </w:p>
          <w:p w14:paraId="0DD548BF">
            <w:pPr>
              <w:widowControl/>
              <w:bidi w:val="0"/>
              <w:spacing w:line="240" w:lineRule="auto"/>
              <w:jc w:val="both"/>
              <w:textAlignment w:val="center"/>
              <w:rPr>
                <w:rFonts w:hint="eastAsia" w:ascii="宋体" w:hAnsi="宋体" w:eastAsia="宋体" w:cs="宋体"/>
                <w:b w:val="0"/>
                <w:bCs w:val="0"/>
                <w:color w:val="auto"/>
                <w:sz w:val="24"/>
                <w:szCs w:val="24"/>
                <w:lang w:eastAsia="zh-CN"/>
              </w:rPr>
            </w:pPr>
            <w:r>
              <w:rPr>
                <w:rFonts w:hint="eastAsia" w:hAnsi="宋体" w:cs="宋体"/>
                <w:b w:val="0"/>
                <w:bCs w:val="0"/>
                <w:color w:val="auto"/>
                <w:sz w:val="24"/>
                <w:szCs w:val="24"/>
                <w:lang w:val="en-US" w:eastAsia="zh-CN"/>
              </w:rPr>
              <w:t>6</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复苏球通气：吹入的潮气量有流量传感器检测并驱动胸廓起伏的一体化设计；吹气量的大小、吹气速度有动态曲线描述</w:t>
            </w:r>
            <w:r>
              <w:rPr>
                <w:rFonts w:hint="eastAsia" w:ascii="宋体" w:hAnsi="宋体" w:eastAsia="宋体" w:cs="宋体"/>
                <w:b w:val="0"/>
                <w:bCs w:val="0"/>
                <w:color w:val="auto"/>
                <w:sz w:val="24"/>
                <w:szCs w:val="24"/>
                <w:lang w:eastAsia="zh-CN"/>
              </w:rPr>
              <w:t>；</w:t>
            </w:r>
          </w:p>
          <w:p w14:paraId="40399F3D">
            <w:pPr>
              <w:widowControl/>
              <w:bidi w:val="0"/>
              <w:spacing w:line="240" w:lineRule="auto"/>
              <w:jc w:val="both"/>
              <w:textAlignment w:val="center"/>
              <w:rPr>
                <w:rFonts w:hint="eastAsia" w:ascii="宋体" w:hAnsi="宋体" w:eastAsia="宋体" w:cs="宋体"/>
                <w:b w:val="0"/>
                <w:bCs w:val="0"/>
                <w:color w:val="auto"/>
                <w:sz w:val="24"/>
                <w:szCs w:val="24"/>
              </w:rPr>
            </w:pPr>
            <w:r>
              <w:rPr>
                <w:rFonts w:hint="eastAsia" w:hAnsi="宋体" w:cs="宋体"/>
                <w:b w:val="0"/>
                <w:bCs w:val="0"/>
                <w:color w:val="auto"/>
                <w:sz w:val="24"/>
                <w:szCs w:val="24"/>
                <w:lang w:val="en-US" w:eastAsia="zh-CN"/>
              </w:rPr>
              <w:t>6</w:t>
            </w:r>
            <w:r>
              <w:rPr>
                <w:rFonts w:hint="eastAsia" w:ascii="宋体"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rPr>
              <w:t>可模拟单侧或双侧肺部支气管通气、插管进入食道导致胃扩张起伏；</w:t>
            </w:r>
          </w:p>
          <w:p w14:paraId="41A784E6">
            <w:pPr>
              <w:widowControl/>
              <w:bidi w:val="0"/>
              <w:spacing w:line="240" w:lineRule="auto"/>
              <w:jc w:val="both"/>
              <w:textAlignment w:val="center"/>
              <w:rPr>
                <w:rFonts w:hint="eastAsia" w:ascii="宋体" w:hAnsi="宋体" w:eastAsia="宋体" w:cs="宋体"/>
                <w:b w:val="0"/>
                <w:bCs w:val="0"/>
                <w:color w:val="auto"/>
                <w:sz w:val="24"/>
                <w:szCs w:val="24"/>
              </w:rPr>
            </w:pPr>
            <w:r>
              <w:rPr>
                <w:rFonts w:hint="eastAsia" w:hAnsi="宋体" w:cs="宋体"/>
                <w:b w:val="0"/>
                <w:bCs w:val="0"/>
                <w:color w:val="auto"/>
                <w:sz w:val="24"/>
                <w:szCs w:val="24"/>
                <w:lang w:val="en-US" w:eastAsia="zh-CN"/>
              </w:rPr>
              <w:t>6</w:t>
            </w: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口咽及鼻咽插管；</w:t>
            </w:r>
          </w:p>
          <w:p w14:paraId="202CDAD4">
            <w:pPr>
              <w:widowControl/>
              <w:bidi w:val="0"/>
              <w:spacing w:line="240" w:lineRule="auto"/>
              <w:jc w:val="both"/>
              <w:textAlignment w:val="center"/>
              <w:rPr>
                <w:rFonts w:hint="eastAsia" w:ascii="宋体" w:hAnsi="宋体" w:eastAsia="宋体" w:cs="宋体"/>
                <w:b w:val="0"/>
                <w:bCs w:val="0"/>
                <w:color w:val="auto"/>
                <w:sz w:val="24"/>
                <w:szCs w:val="24"/>
              </w:rPr>
            </w:pPr>
            <w:r>
              <w:rPr>
                <w:rFonts w:hint="eastAsia" w:hAnsi="宋体" w:cs="宋体"/>
                <w:b w:val="0"/>
                <w:bCs w:val="0"/>
                <w:color w:val="auto"/>
                <w:sz w:val="24"/>
                <w:szCs w:val="24"/>
                <w:lang w:val="en-US" w:eastAsia="zh-CN"/>
              </w:rPr>
              <w:t>6</w:t>
            </w: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rPr>
              <w:t>复合管插入、喉罩插入和</w:t>
            </w:r>
            <w:r>
              <w:rPr>
                <w:rFonts w:hint="eastAsia" w:ascii="宋体" w:hAnsi="宋体" w:eastAsia="宋体" w:cs="宋体"/>
                <w:b w:val="0"/>
                <w:bCs w:val="0"/>
                <w:color w:val="auto"/>
                <w:sz w:val="24"/>
                <w:szCs w:val="24"/>
                <w:lang w:eastAsia="zh-CN"/>
              </w:rPr>
              <w:t>其他</w:t>
            </w:r>
            <w:r>
              <w:rPr>
                <w:rFonts w:hint="eastAsia" w:ascii="宋体" w:hAnsi="宋体" w:eastAsia="宋体" w:cs="宋体"/>
                <w:b w:val="0"/>
                <w:bCs w:val="0"/>
                <w:color w:val="auto"/>
                <w:sz w:val="24"/>
                <w:szCs w:val="24"/>
              </w:rPr>
              <w:t>气道处理；</w:t>
            </w:r>
          </w:p>
          <w:p w14:paraId="33212A0D">
            <w:pPr>
              <w:widowControl/>
              <w:bidi w:val="0"/>
              <w:spacing w:line="240" w:lineRule="auto"/>
              <w:jc w:val="both"/>
              <w:textAlignment w:val="center"/>
              <w:rPr>
                <w:rFonts w:hint="eastAsia" w:ascii="宋体" w:hAnsi="宋体" w:eastAsia="宋体" w:cs="宋体"/>
                <w:b w:val="0"/>
                <w:bCs w:val="0"/>
                <w:color w:val="auto"/>
                <w:sz w:val="24"/>
                <w:szCs w:val="24"/>
              </w:rPr>
            </w:pPr>
            <w:r>
              <w:rPr>
                <w:rFonts w:hint="eastAsia" w:hAnsi="宋体" w:cs="宋体"/>
                <w:b w:val="0"/>
                <w:bCs w:val="0"/>
                <w:color w:val="auto"/>
                <w:sz w:val="24"/>
                <w:szCs w:val="24"/>
                <w:lang w:val="en-US" w:eastAsia="zh-CN"/>
              </w:rPr>
              <w:t>6</w:t>
            </w:r>
            <w:r>
              <w:rPr>
                <w:rFonts w:hint="eastAsia" w:ascii="宋体" w:hAnsi="宋体" w:eastAsia="宋体" w:cs="宋体"/>
                <w:b w:val="0"/>
                <w:bCs w:val="0"/>
                <w:color w:val="auto"/>
                <w:sz w:val="24"/>
                <w:szCs w:val="24"/>
                <w:lang w:val="en-US" w:eastAsia="zh-CN"/>
              </w:rPr>
              <w:t>.9</w:t>
            </w:r>
            <w:r>
              <w:rPr>
                <w:rFonts w:hint="eastAsia" w:ascii="宋体" w:hAnsi="宋体" w:eastAsia="宋体" w:cs="宋体"/>
                <w:b w:val="0"/>
                <w:bCs w:val="0"/>
                <w:color w:val="auto"/>
                <w:sz w:val="24"/>
                <w:szCs w:val="24"/>
              </w:rPr>
              <w:t>环甲膜切开术及环甲膜穿刺术；</w:t>
            </w:r>
          </w:p>
          <w:p w14:paraId="128A6765">
            <w:pPr>
              <w:widowControl/>
              <w:bidi w:val="0"/>
              <w:spacing w:line="240" w:lineRule="auto"/>
              <w:jc w:val="both"/>
              <w:textAlignment w:val="center"/>
              <w:rPr>
                <w:rFonts w:hint="eastAsia" w:ascii="宋体" w:hAnsi="宋体" w:eastAsia="宋体" w:cs="宋体"/>
                <w:b w:val="0"/>
                <w:bCs w:val="0"/>
                <w:color w:val="auto"/>
                <w:sz w:val="24"/>
                <w:szCs w:val="24"/>
              </w:rPr>
            </w:pPr>
            <w:r>
              <w:rPr>
                <w:rFonts w:hint="eastAsia" w:hAnsi="宋体" w:cs="宋体"/>
                <w:b w:val="0"/>
                <w:bCs w:val="0"/>
                <w:color w:val="auto"/>
                <w:sz w:val="24"/>
                <w:szCs w:val="24"/>
                <w:lang w:val="en-US" w:eastAsia="zh-CN"/>
              </w:rPr>
              <w:t>7</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呼吸功能：</w:t>
            </w:r>
          </w:p>
          <w:p w14:paraId="1DC86178">
            <w:pPr>
              <w:widowControl/>
              <w:bidi w:val="0"/>
              <w:spacing w:line="240" w:lineRule="auto"/>
              <w:jc w:val="both"/>
              <w:textAlignment w:val="center"/>
              <w:rPr>
                <w:rFonts w:hint="eastAsia" w:ascii="宋体" w:hAnsi="宋体" w:eastAsia="宋体" w:cs="宋体"/>
                <w:b w:val="0"/>
                <w:bCs w:val="0"/>
                <w:color w:val="auto"/>
                <w:sz w:val="24"/>
                <w:szCs w:val="24"/>
              </w:rPr>
            </w:pPr>
            <w:r>
              <w:rPr>
                <w:rFonts w:hint="eastAsia" w:hAnsi="宋体" w:cs="宋体"/>
                <w:b w:val="0"/>
                <w:bCs w:val="0"/>
                <w:color w:val="auto"/>
                <w:sz w:val="24"/>
                <w:szCs w:val="24"/>
                <w:lang w:val="en-US" w:eastAsia="zh-CN"/>
              </w:rPr>
              <w:t>7</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不同的呼吸频率，可观察到胸廓起伏，具有多种呼吸模式，包括潮式呼吸、比奥呼吸、间断呼吸等，可根据编辑的病例不同设置不同的呼吸模式，呼吸频率和深度可自行调节。</w:t>
            </w:r>
          </w:p>
          <w:p w14:paraId="623E6624">
            <w:pPr>
              <w:widowControl/>
              <w:bidi w:val="0"/>
              <w:spacing w:line="240" w:lineRule="auto"/>
              <w:jc w:val="both"/>
              <w:textAlignment w:val="center"/>
              <w:rPr>
                <w:rFonts w:hint="eastAsia" w:ascii="宋体" w:hAnsi="宋体" w:eastAsia="宋体" w:cs="宋体"/>
                <w:b w:val="0"/>
                <w:bCs w:val="0"/>
                <w:color w:val="auto"/>
                <w:sz w:val="24"/>
                <w:szCs w:val="24"/>
              </w:rPr>
            </w:pPr>
            <w:r>
              <w:rPr>
                <w:rFonts w:hint="eastAsia" w:hAnsi="宋体" w:cs="宋体"/>
                <w:b w:val="0"/>
                <w:bCs w:val="0"/>
                <w:color w:val="auto"/>
                <w:sz w:val="24"/>
                <w:szCs w:val="24"/>
                <w:lang w:val="en-US" w:eastAsia="zh-CN"/>
              </w:rPr>
              <w:t>7</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医用听诊器听诊，支持至少20种正常和不正常呼吸音（4个听诊区域），支持单边及双边，正常和不正常呼吸音；</w:t>
            </w:r>
          </w:p>
          <w:p w14:paraId="380CD435">
            <w:pPr>
              <w:widowControl/>
              <w:bidi w:val="0"/>
              <w:spacing w:line="240" w:lineRule="auto"/>
              <w:jc w:val="both"/>
              <w:textAlignment w:val="center"/>
              <w:rPr>
                <w:rFonts w:hint="eastAsia" w:ascii="宋体" w:hAnsi="宋体" w:eastAsia="宋体" w:cs="宋体"/>
                <w:b w:val="0"/>
                <w:bCs w:val="0"/>
                <w:color w:val="auto"/>
                <w:sz w:val="24"/>
                <w:szCs w:val="24"/>
              </w:rPr>
            </w:pPr>
            <w:r>
              <w:rPr>
                <w:rFonts w:hint="eastAsia" w:hAnsi="宋体" w:cs="宋体"/>
                <w:b w:val="0"/>
                <w:bCs w:val="0"/>
                <w:color w:val="auto"/>
                <w:sz w:val="24"/>
                <w:szCs w:val="24"/>
                <w:lang w:val="en-US" w:eastAsia="zh-CN"/>
              </w:rPr>
              <w:t>7</w:t>
            </w: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支持双侧气胸针解压及感应；</w:t>
            </w:r>
          </w:p>
          <w:p w14:paraId="7311CBB9">
            <w:pPr>
              <w:widowControl/>
              <w:bidi w:val="0"/>
              <w:spacing w:line="240" w:lineRule="auto"/>
              <w:jc w:val="both"/>
              <w:textAlignment w:val="center"/>
              <w:rPr>
                <w:rFonts w:hint="eastAsia" w:ascii="宋体" w:hAnsi="宋体" w:eastAsia="宋体" w:cs="宋体"/>
                <w:b w:val="0"/>
                <w:bCs w:val="0"/>
                <w:color w:val="auto"/>
                <w:sz w:val="24"/>
                <w:szCs w:val="24"/>
              </w:rPr>
            </w:pPr>
            <w:r>
              <w:rPr>
                <w:rFonts w:hint="eastAsia" w:hAnsi="宋体" w:cs="宋体"/>
                <w:b w:val="0"/>
                <w:bCs w:val="0"/>
                <w:color w:val="auto"/>
                <w:sz w:val="24"/>
                <w:szCs w:val="24"/>
                <w:lang w:val="en-US" w:eastAsia="zh-CN"/>
              </w:rPr>
              <w:t>7</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支持胸腔引流操作；</w:t>
            </w:r>
          </w:p>
          <w:p w14:paraId="6207DC17">
            <w:pPr>
              <w:widowControl/>
              <w:bidi w:val="0"/>
              <w:spacing w:line="240" w:lineRule="auto"/>
              <w:jc w:val="both"/>
              <w:textAlignment w:val="center"/>
              <w:rPr>
                <w:rFonts w:hint="eastAsia" w:ascii="宋体" w:hAnsi="宋体" w:eastAsia="宋体" w:cs="宋体"/>
                <w:b w:val="0"/>
                <w:bCs w:val="0"/>
                <w:color w:val="auto"/>
                <w:sz w:val="24"/>
                <w:szCs w:val="24"/>
              </w:rPr>
            </w:pPr>
            <w:r>
              <w:rPr>
                <w:rFonts w:hint="eastAsia" w:hAnsi="宋体" w:cs="宋体"/>
                <w:b w:val="0"/>
                <w:bCs w:val="0"/>
                <w:color w:val="auto"/>
                <w:sz w:val="24"/>
                <w:szCs w:val="24"/>
                <w:lang w:val="en-US" w:eastAsia="zh-CN"/>
              </w:rPr>
              <w:t>8</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心脏功能：</w:t>
            </w:r>
          </w:p>
          <w:p w14:paraId="3D518852">
            <w:pPr>
              <w:widowControl/>
              <w:bidi w:val="0"/>
              <w:spacing w:line="240" w:lineRule="auto"/>
              <w:jc w:val="both"/>
              <w:textAlignment w:val="center"/>
              <w:rPr>
                <w:rFonts w:hint="eastAsia" w:ascii="宋体" w:hAnsi="宋体" w:eastAsia="宋体" w:cs="宋体"/>
                <w:b w:val="0"/>
                <w:bCs w:val="0"/>
                <w:color w:val="auto"/>
                <w:sz w:val="24"/>
                <w:szCs w:val="24"/>
              </w:rPr>
            </w:pPr>
            <w:r>
              <w:rPr>
                <w:rFonts w:hint="eastAsia" w:hAnsi="宋体" w:cs="宋体"/>
                <w:b w:val="0"/>
                <w:bCs w:val="0"/>
                <w:color w:val="auto"/>
                <w:sz w:val="24"/>
                <w:szCs w:val="24"/>
                <w:lang w:val="en-US" w:eastAsia="zh-CN"/>
              </w:rPr>
              <w:t>8</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动态构建广泛心电图；</w:t>
            </w:r>
          </w:p>
          <w:p w14:paraId="21B81FE9">
            <w:pPr>
              <w:widowControl/>
              <w:bidi w:val="0"/>
              <w:spacing w:line="240" w:lineRule="auto"/>
              <w:jc w:val="both"/>
              <w:textAlignment w:val="center"/>
              <w:rPr>
                <w:rFonts w:hint="eastAsia" w:ascii="宋体" w:hAnsi="宋体" w:eastAsia="宋体" w:cs="宋体"/>
                <w:b w:val="0"/>
                <w:bCs w:val="0"/>
                <w:color w:val="auto"/>
                <w:sz w:val="24"/>
                <w:szCs w:val="24"/>
              </w:rPr>
            </w:pPr>
            <w:r>
              <w:rPr>
                <w:rFonts w:hint="eastAsia" w:hAnsi="宋体" w:cs="宋体"/>
                <w:b w:val="0"/>
                <w:bCs w:val="0"/>
                <w:color w:val="auto"/>
                <w:sz w:val="24"/>
                <w:szCs w:val="24"/>
                <w:lang w:val="en-US" w:eastAsia="zh-CN"/>
              </w:rPr>
              <w:t>8</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医用听诊器听诊，心电图和心音同步；</w:t>
            </w:r>
          </w:p>
          <w:p w14:paraId="24107C32">
            <w:pPr>
              <w:widowControl/>
              <w:bidi w:val="0"/>
              <w:spacing w:line="240" w:lineRule="auto"/>
              <w:jc w:val="both"/>
              <w:textAlignment w:val="center"/>
              <w:rPr>
                <w:rFonts w:hint="eastAsia" w:ascii="宋体" w:hAnsi="宋体" w:eastAsia="宋体" w:cs="宋体"/>
                <w:b w:val="0"/>
                <w:bCs w:val="0"/>
                <w:color w:val="auto"/>
                <w:sz w:val="24"/>
                <w:szCs w:val="24"/>
              </w:rPr>
            </w:pPr>
            <w:r>
              <w:rPr>
                <w:rFonts w:hint="eastAsia" w:hAnsi="宋体" w:cs="宋体"/>
                <w:b w:val="0"/>
                <w:bCs w:val="0"/>
                <w:color w:val="auto"/>
                <w:sz w:val="24"/>
                <w:szCs w:val="24"/>
                <w:lang w:val="en-US" w:eastAsia="zh-CN"/>
              </w:rPr>
              <w:t>8</w:t>
            </w: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可连接模拟的心电监护仪，支持胸导联和肢体导联同步监控；</w:t>
            </w:r>
          </w:p>
          <w:p w14:paraId="2D77FE0D">
            <w:pPr>
              <w:widowControl/>
              <w:bidi w:val="0"/>
              <w:spacing w:line="240" w:lineRule="auto"/>
              <w:jc w:val="both"/>
              <w:textAlignment w:val="center"/>
              <w:rPr>
                <w:rFonts w:hint="eastAsia" w:ascii="宋体" w:hAnsi="宋体" w:eastAsia="宋体" w:cs="宋体"/>
                <w:b w:val="0"/>
                <w:bCs w:val="0"/>
                <w:color w:val="auto"/>
                <w:sz w:val="24"/>
                <w:szCs w:val="24"/>
              </w:rPr>
            </w:pPr>
            <w:r>
              <w:rPr>
                <w:rFonts w:hint="eastAsia" w:hAnsi="宋体" w:cs="宋体"/>
                <w:b w:val="0"/>
                <w:bCs w:val="0"/>
                <w:color w:val="auto"/>
                <w:sz w:val="24"/>
                <w:szCs w:val="24"/>
                <w:lang w:val="en-US" w:eastAsia="zh-CN"/>
              </w:rPr>
              <w:t>8</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可用训练除颤起搏仪进行①手动非同步电除颤；②同步电复律；③体外起搏。</w:t>
            </w:r>
          </w:p>
          <w:p w14:paraId="3CD0C887">
            <w:pPr>
              <w:widowControl/>
              <w:bidi w:val="0"/>
              <w:spacing w:line="240" w:lineRule="auto"/>
              <w:jc w:val="both"/>
              <w:textAlignment w:val="center"/>
              <w:rPr>
                <w:rFonts w:hint="eastAsia" w:ascii="宋体" w:hAnsi="宋体" w:eastAsia="宋体" w:cs="宋体"/>
                <w:b w:val="0"/>
                <w:bCs w:val="0"/>
                <w:color w:val="auto"/>
                <w:sz w:val="24"/>
                <w:szCs w:val="24"/>
              </w:rPr>
            </w:pPr>
            <w:r>
              <w:rPr>
                <w:rFonts w:hint="eastAsia" w:hAnsi="宋体" w:cs="宋体"/>
                <w:b w:val="0"/>
                <w:bCs w:val="0"/>
                <w:color w:val="auto"/>
                <w:sz w:val="24"/>
                <w:szCs w:val="24"/>
                <w:lang w:val="en-US" w:eastAsia="zh-CN"/>
              </w:rPr>
              <w:t>9</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循环功能</w:t>
            </w:r>
          </w:p>
          <w:p w14:paraId="22967904">
            <w:pPr>
              <w:widowControl/>
              <w:bidi w:val="0"/>
              <w:spacing w:line="240" w:lineRule="auto"/>
              <w:jc w:val="both"/>
              <w:textAlignment w:val="center"/>
              <w:rPr>
                <w:rFonts w:hint="eastAsia" w:ascii="宋体" w:hAnsi="宋体" w:eastAsia="宋体" w:cs="宋体"/>
                <w:b w:val="0"/>
                <w:bCs w:val="0"/>
                <w:color w:val="auto"/>
                <w:sz w:val="24"/>
                <w:szCs w:val="24"/>
              </w:rPr>
            </w:pPr>
            <w:r>
              <w:rPr>
                <w:rFonts w:hint="eastAsia" w:hAnsi="宋体" w:cs="宋体"/>
                <w:b w:val="0"/>
                <w:bCs w:val="0"/>
                <w:color w:val="auto"/>
                <w:sz w:val="24"/>
                <w:szCs w:val="24"/>
                <w:lang w:val="en-US" w:eastAsia="zh-CN"/>
              </w:rPr>
              <w:t>9</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模拟人具有真实的动脉搏动，动脉搏动处装有传感装置，当触诊时，可感应到搏动；脉搏的频率和心率保持一致；</w:t>
            </w:r>
          </w:p>
          <w:p w14:paraId="0A3268C1">
            <w:pPr>
              <w:widowControl/>
              <w:bidi w:val="0"/>
              <w:spacing w:line="240" w:lineRule="auto"/>
              <w:jc w:val="both"/>
              <w:textAlignment w:val="center"/>
              <w:rPr>
                <w:rFonts w:hint="eastAsia" w:ascii="宋体" w:hAnsi="宋体" w:eastAsia="宋体" w:cs="宋体"/>
                <w:b w:val="0"/>
                <w:bCs w:val="0"/>
                <w:color w:val="auto"/>
                <w:sz w:val="24"/>
                <w:szCs w:val="24"/>
              </w:rPr>
            </w:pPr>
            <w:r>
              <w:rPr>
                <w:rFonts w:hint="eastAsia" w:hAnsi="宋体" w:cs="宋体"/>
                <w:b w:val="0"/>
                <w:bCs w:val="0"/>
                <w:color w:val="auto"/>
                <w:sz w:val="24"/>
                <w:szCs w:val="24"/>
                <w:lang w:val="en-US" w:eastAsia="zh-CN"/>
              </w:rPr>
              <w:t>9</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脉搏强弱可因血压不同而改变；</w:t>
            </w:r>
          </w:p>
          <w:p w14:paraId="40F9AFA1">
            <w:pPr>
              <w:widowControl/>
              <w:bidi w:val="0"/>
              <w:spacing w:line="240" w:lineRule="auto"/>
              <w:jc w:val="both"/>
              <w:textAlignment w:val="center"/>
              <w:rPr>
                <w:rFonts w:hint="eastAsia" w:ascii="宋体" w:hAnsi="宋体" w:eastAsia="宋体" w:cs="宋体"/>
                <w:b w:val="0"/>
                <w:bCs w:val="0"/>
                <w:color w:val="auto"/>
                <w:sz w:val="24"/>
                <w:szCs w:val="24"/>
              </w:rPr>
            </w:pPr>
            <w:r>
              <w:rPr>
                <w:rFonts w:hint="eastAsia" w:hAnsi="宋体" w:cs="宋体"/>
                <w:b w:val="0"/>
                <w:bCs w:val="0"/>
                <w:color w:val="auto"/>
                <w:sz w:val="24"/>
                <w:szCs w:val="24"/>
                <w:lang w:val="en-US" w:eastAsia="zh-CN"/>
              </w:rPr>
              <w:t>9</w:t>
            </w: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可触及颈动脉、桡动脉、股动脉搏动；</w:t>
            </w:r>
          </w:p>
          <w:p w14:paraId="2D61C0EA">
            <w:pPr>
              <w:widowControl/>
              <w:bidi w:val="0"/>
              <w:spacing w:line="240" w:lineRule="auto"/>
              <w:jc w:val="both"/>
              <w:textAlignment w:val="center"/>
              <w:rPr>
                <w:rFonts w:hint="eastAsia" w:ascii="宋体" w:hAnsi="宋体" w:eastAsia="宋体" w:cs="宋体"/>
                <w:b w:val="0"/>
                <w:bCs w:val="0"/>
                <w:color w:val="auto"/>
                <w:sz w:val="24"/>
                <w:szCs w:val="24"/>
              </w:rPr>
            </w:pPr>
            <w:r>
              <w:rPr>
                <w:rFonts w:hint="eastAsia" w:hAnsi="宋体" w:cs="宋体"/>
                <w:b w:val="0"/>
                <w:bCs w:val="0"/>
                <w:color w:val="auto"/>
                <w:sz w:val="24"/>
                <w:szCs w:val="24"/>
                <w:lang w:val="en-US" w:eastAsia="zh-CN"/>
              </w:rPr>
              <w:t>9</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可模拟抽搐；</w:t>
            </w:r>
          </w:p>
          <w:p w14:paraId="5E5B6FEA">
            <w:pPr>
              <w:widowControl/>
              <w:bidi w:val="0"/>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hAnsi="宋体" w:cs="宋体"/>
                <w:b w:val="0"/>
                <w:bCs w:val="0"/>
                <w:color w:val="auto"/>
                <w:sz w:val="24"/>
                <w:szCs w:val="24"/>
                <w:lang w:val="en-US" w:eastAsia="zh-CN"/>
              </w:rPr>
              <w:t>0</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胸外按压：</w:t>
            </w:r>
          </w:p>
          <w:p w14:paraId="6F2270E1">
            <w:pPr>
              <w:widowControl/>
              <w:bidi w:val="0"/>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hAnsi="宋体" w:cs="宋体"/>
                <w:b w:val="0"/>
                <w:bCs w:val="0"/>
                <w:color w:val="auto"/>
                <w:sz w:val="24"/>
                <w:szCs w:val="24"/>
                <w:lang w:val="en-US" w:eastAsia="zh-CN"/>
              </w:rPr>
              <w:t>0</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有胸外按压的检测装置，按压深度、按压位置、按压频率，均有动态曲线描述，实时显示、记录与评估。</w:t>
            </w:r>
          </w:p>
          <w:p w14:paraId="7B794B41">
            <w:pPr>
              <w:widowControl/>
              <w:bidi w:val="0"/>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hAnsi="宋体" w:cs="宋体"/>
                <w:b w:val="0"/>
                <w:bCs w:val="0"/>
                <w:color w:val="auto"/>
                <w:sz w:val="24"/>
                <w:szCs w:val="24"/>
                <w:lang w:val="en-US" w:eastAsia="zh-CN"/>
              </w:rPr>
              <w:t>0</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胸外压可产生脉搏，心电图；</w:t>
            </w:r>
          </w:p>
          <w:p w14:paraId="4594E50C">
            <w:pPr>
              <w:widowControl/>
              <w:bidi w:val="0"/>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r>
              <w:rPr>
                <w:rFonts w:hint="eastAsia" w:hAnsi="宋体" w:cs="宋体"/>
                <w:b w:val="0"/>
                <w:bCs w:val="0"/>
                <w:color w:val="auto"/>
                <w:sz w:val="24"/>
                <w:szCs w:val="24"/>
                <w:lang w:val="en-US" w:eastAsia="zh-CN"/>
              </w:rPr>
              <w:t>1</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静脉注射：手臂静脉注射或输液（输血），并支持胫骨穿刺快速给药；</w:t>
            </w:r>
          </w:p>
          <w:p w14:paraId="5324A777">
            <w:pPr>
              <w:widowControl/>
              <w:bidi w:val="0"/>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r>
              <w:rPr>
                <w:rFonts w:hint="eastAsia" w:hAnsi="宋体" w:cs="宋体"/>
                <w:b w:val="0"/>
                <w:bCs w:val="0"/>
                <w:color w:val="auto"/>
                <w:sz w:val="24"/>
                <w:szCs w:val="24"/>
                <w:lang w:val="en-US" w:eastAsia="zh-CN"/>
              </w:rPr>
              <w:t>2</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肌肉注射：双侧三角肌皮下、肌肉注射，双侧股外侧肌肌肉注射，臀部肌肉注射；</w:t>
            </w:r>
          </w:p>
          <w:p w14:paraId="7E715866">
            <w:pPr>
              <w:widowControl/>
              <w:bidi w:val="0"/>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r>
              <w:rPr>
                <w:rFonts w:hint="eastAsia" w:hAnsi="宋体" w:cs="宋体"/>
                <w:b w:val="0"/>
                <w:bCs w:val="0"/>
                <w:color w:val="auto"/>
                <w:sz w:val="24"/>
                <w:szCs w:val="24"/>
                <w:lang w:val="en-US" w:eastAsia="zh-CN"/>
              </w:rPr>
              <w:t>3</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用真实血压计进行无创血压的测量；</w:t>
            </w:r>
          </w:p>
          <w:p w14:paraId="44FE7C79">
            <w:pPr>
              <w:widowControl/>
              <w:bidi w:val="0"/>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r>
              <w:rPr>
                <w:rFonts w:hint="eastAsia" w:hAnsi="宋体" w:cs="宋体"/>
                <w:b w:val="0"/>
                <w:bCs w:val="0"/>
                <w:color w:val="auto"/>
                <w:sz w:val="24"/>
                <w:szCs w:val="24"/>
                <w:lang w:val="en-US" w:eastAsia="zh-CN"/>
              </w:rPr>
              <w:t>4</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声音功能包括：心音、呼吸音</w:t>
            </w:r>
            <w:r>
              <w:rPr>
                <w:rFonts w:hint="eastAsia" w:ascii="宋体" w:hAnsi="宋体" w:eastAsia="宋体" w:cs="宋体"/>
                <w:b w:val="0"/>
                <w:bCs w:val="0"/>
                <w:color w:val="auto"/>
                <w:sz w:val="24"/>
                <w:szCs w:val="24"/>
                <w:lang w:val="en-US" w:eastAsia="zh-CN"/>
              </w:rPr>
              <w:t>等</w:t>
            </w:r>
            <w:r>
              <w:rPr>
                <w:rFonts w:hint="eastAsia" w:ascii="宋体" w:hAnsi="宋体" w:eastAsia="宋体" w:cs="宋体"/>
                <w:b w:val="0"/>
                <w:bCs w:val="0"/>
                <w:color w:val="auto"/>
                <w:sz w:val="24"/>
                <w:szCs w:val="24"/>
              </w:rPr>
              <w:t>；</w:t>
            </w:r>
          </w:p>
          <w:p w14:paraId="7C3AEA87">
            <w:pPr>
              <w:widowControl/>
              <w:bidi w:val="0"/>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r>
              <w:rPr>
                <w:rFonts w:hint="eastAsia" w:hAnsi="宋体" w:cs="宋体"/>
                <w:b w:val="0"/>
                <w:bCs w:val="0"/>
                <w:color w:val="auto"/>
                <w:sz w:val="24"/>
                <w:szCs w:val="24"/>
                <w:lang w:val="en-US" w:eastAsia="zh-CN"/>
              </w:rPr>
              <w:t>5</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男女生殖器可互换，可训练男女导尿术；</w:t>
            </w:r>
          </w:p>
          <w:p w14:paraId="78780438">
            <w:pPr>
              <w:widowControl/>
              <w:bidi w:val="0"/>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r>
              <w:rPr>
                <w:rFonts w:hint="eastAsia" w:hAnsi="宋体" w:cs="宋体"/>
                <w:b w:val="0"/>
                <w:bCs w:val="0"/>
                <w:color w:val="auto"/>
                <w:sz w:val="24"/>
                <w:szCs w:val="24"/>
                <w:lang w:val="en-US" w:eastAsia="zh-CN"/>
              </w:rPr>
              <w:t>6</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模拟人可训练结肠造瘘口和直肠造瘘口的护理</w:t>
            </w:r>
            <w:r>
              <w:rPr>
                <w:rFonts w:hint="eastAsia" w:ascii="宋体" w:hAnsi="宋体" w:eastAsia="宋体" w:cs="宋体"/>
                <w:b w:val="0"/>
                <w:bCs w:val="0"/>
                <w:color w:val="auto"/>
                <w:sz w:val="24"/>
                <w:szCs w:val="24"/>
                <w:lang w:eastAsia="zh-CN"/>
              </w:rPr>
              <w:t>。</w:t>
            </w:r>
          </w:p>
          <w:p w14:paraId="69D4F439">
            <w:pPr>
              <w:widowControl/>
              <w:bidi w:val="0"/>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二</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软件的功能</w:t>
            </w:r>
          </w:p>
          <w:p w14:paraId="7971FFE2">
            <w:pPr>
              <w:widowControl/>
              <w:bidi w:val="0"/>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图形化触摸操作培训软件</w:t>
            </w:r>
          </w:p>
          <w:p w14:paraId="0DBA1CAA">
            <w:pPr>
              <w:widowControl/>
              <w:bidi w:val="0"/>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1.1</w:t>
            </w:r>
            <w:r>
              <w:rPr>
                <w:rFonts w:hint="eastAsia" w:ascii="宋体" w:hAnsi="宋体" w:eastAsia="宋体" w:cs="宋体"/>
                <w:b w:val="0"/>
                <w:bCs w:val="0"/>
                <w:color w:val="auto"/>
                <w:sz w:val="24"/>
                <w:szCs w:val="24"/>
              </w:rPr>
              <w:t>以图像为基础的界面，“模拟患者”不同区块触摸点击后显示相关的事件，从而驱动病例场景的演变。</w:t>
            </w:r>
          </w:p>
          <w:p w14:paraId="5C19AA17">
            <w:pPr>
              <w:widowControl/>
              <w:bidi w:val="0"/>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1.2</w:t>
            </w:r>
            <w:r>
              <w:rPr>
                <w:rFonts w:hint="eastAsia" w:ascii="宋体" w:hAnsi="宋体" w:eastAsia="宋体" w:cs="宋体"/>
                <w:b w:val="0"/>
                <w:bCs w:val="0"/>
                <w:color w:val="auto"/>
                <w:sz w:val="24"/>
                <w:szCs w:val="24"/>
              </w:rPr>
              <w:t>模拟的多参数监护显示可提供易管理的波形和生理参数。包括心电图波形、血压波形、呼吸曲线、血氧饱和度、心率、体温等数据。</w:t>
            </w:r>
          </w:p>
          <w:p w14:paraId="5FB58DAA">
            <w:pPr>
              <w:widowControl/>
              <w:bidi w:val="0"/>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1.3</w:t>
            </w:r>
            <w:r>
              <w:rPr>
                <w:rFonts w:hint="eastAsia" w:ascii="宋体" w:hAnsi="宋体" w:eastAsia="宋体" w:cs="宋体"/>
                <w:b w:val="0"/>
                <w:bCs w:val="0"/>
                <w:color w:val="auto"/>
                <w:sz w:val="24"/>
                <w:szCs w:val="24"/>
              </w:rPr>
              <w:t>心肺复苏模块实时统计按压和吹气质量。提示按压中断时间，实时显示按压深度，统计显示按压位置正确百分比、按压释放不足百分比。</w:t>
            </w:r>
          </w:p>
          <w:p w14:paraId="3531D978">
            <w:pPr>
              <w:widowControl/>
              <w:bidi w:val="0"/>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提供血液检查、X线片、CT、核磁共振、B超等辅助检查；</w:t>
            </w:r>
          </w:p>
          <w:p w14:paraId="7E7B9CF0">
            <w:pPr>
              <w:widowControl/>
              <w:bidi w:val="0"/>
              <w:spacing w:line="240" w:lineRule="auto"/>
              <w:jc w:val="both"/>
              <w:textAlignment w:val="center"/>
              <w:rPr>
                <w:rFonts w:hint="eastAsia" w:ascii="宋体" w:hAnsi="宋体" w:eastAsia="宋体" w:cs="宋体"/>
                <w:b w:val="0"/>
                <w:bCs w:val="0"/>
                <w:color w:val="auto"/>
                <w:sz w:val="24"/>
                <w:szCs w:val="24"/>
              </w:rPr>
            </w:pPr>
            <w:r>
              <w:rPr>
                <w:rFonts w:hint="eastAsia" w:hAnsi="宋体" w:cs="宋体"/>
                <w:b w:val="0"/>
                <w:bCs w:val="0"/>
                <w:color w:val="auto"/>
                <w:sz w:val="24"/>
                <w:szCs w:val="24"/>
                <w:lang w:val="en-US" w:eastAsia="zh-CN"/>
              </w:rPr>
              <w:t>3</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智能化实时反应：内置生理驱动模块，可对救治操作自动作出模拟生理反应；</w:t>
            </w:r>
          </w:p>
          <w:p w14:paraId="4192496B">
            <w:pPr>
              <w:widowControl/>
              <w:bidi w:val="0"/>
              <w:spacing w:line="240" w:lineRule="auto"/>
              <w:jc w:val="both"/>
              <w:textAlignment w:val="center"/>
              <w:rPr>
                <w:rFonts w:hint="eastAsia" w:ascii="宋体" w:hAnsi="宋体" w:eastAsia="宋体" w:cs="宋体"/>
                <w:b w:val="0"/>
                <w:bCs w:val="0"/>
                <w:color w:val="auto"/>
                <w:sz w:val="24"/>
                <w:szCs w:val="24"/>
              </w:rPr>
            </w:pPr>
            <w:r>
              <w:rPr>
                <w:rFonts w:hint="eastAsia" w:hAnsi="宋体" w:cs="宋体"/>
                <w:b w:val="0"/>
                <w:bCs w:val="0"/>
                <w:color w:val="auto"/>
                <w:sz w:val="24"/>
                <w:szCs w:val="24"/>
                <w:lang w:val="en-US" w:eastAsia="zh-CN"/>
              </w:rPr>
              <w:t>4</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系统自带操作记录及回放功能；</w:t>
            </w:r>
          </w:p>
          <w:p w14:paraId="6BC2A801">
            <w:pPr>
              <w:widowControl/>
              <w:bidi w:val="0"/>
              <w:spacing w:line="240" w:lineRule="auto"/>
              <w:jc w:val="both"/>
              <w:textAlignment w:val="center"/>
              <w:rPr>
                <w:rFonts w:hint="eastAsia" w:ascii="宋体" w:hAnsi="宋体" w:eastAsia="宋体" w:cs="宋体"/>
                <w:b w:val="0"/>
                <w:bCs w:val="0"/>
                <w:color w:val="auto"/>
                <w:sz w:val="24"/>
                <w:szCs w:val="24"/>
                <w:lang w:eastAsia="zh-CN"/>
              </w:rPr>
            </w:pPr>
            <w:r>
              <w:rPr>
                <w:rFonts w:hint="eastAsia" w:hAnsi="宋体" w:cs="宋体"/>
                <w:b w:val="0"/>
                <w:bCs w:val="0"/>
                <w:color w:val="auto"/>
                <w:sz w:val="24"/>
                <w:szCs w:val="24"/>
                <w:lang w:val="en-US" w:eastAsia="zh-CN"/>
              </w:rPr>
              <w:t>5</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智能考核、判断、保存系统</w:t>
            </w:r>
          </w:p>
          <w:p w14:paraId="6F1AFB2F">
            <w:pPr>
              <w:widowControl/>
              <w:bidi w:val="0"/>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系统用图形、波形、数字准确地记录学生考核情景，客观地进行评判、打分，并支持显示、保存与打印。</w:t>
            </w:r>
          </w:p>
          <w:p w14:paraId="2241B551">
            <w:pPr>
              <w:widowControl/>
              <w:bidi w:val="0"/>
              <w:spacing w:line="240" w:lineRule="auto"/>
              <w:jc w:val="both"/>
              <w:textAlignment w:val="center"/>
              <w:rPr>
                <w:rFonts w:hint="eastAsia" w:ascii="宋体" w:hAnsi="宋体" w:eastAsia="宋体" w:cs="宋体"/>
                <w:b w:val="0"/>
                <w:bCs w:val="0"/>
                <w:color w:val="auto"/>
                <w:sz w:val="24"/>
                <w:szCs w:val="24"/>
              </w:rPr>
            </w:pPr>
            <w:r>
              <w:rPr>
                <w:rFonts w:hint="eastAsia" w:hAnsi="宋体" w:cs="宋体"/>
                <w:b w:val="0"/>
                <w:bCs w:val="0"/>
                <w:color w:val="auto"/>
                <w:sz w:val="24"/>
                <w:szCs w:val="24"/>
                <w:lang w:val="en-US" w:eastAsia="zh-CN"/>
              </w:rPr>
              <w:t>6</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智能化</w:t>
            </w:r>
            <w:r>
              <w:rPr>
                <w:rFonts w:hint="eastAsia" w:ascii="宋体" w:hAnsi="宋体" w:eastAsia="宋体" w:cs="宋体"/>
                <w:b w:val="0"/>
                <w:bCs w:val="0"/>
                <w:color w:val="auto"/>
                <w:sz w:val="24"/>
                <w:szCs w:val="24"/>
                <w:lang w:eastAsia="zh-CN"/>
              </w:rPr>
              <w:t>病历</w:t>
            </w:r>
            <w:r>
              <w:rPr>
                <w:rFonts w:hint="eastAsia" w:ascii="宋体" w:hAnsi="宋体" w:eastAsia="宋体" w:cs="宋体"/>
                <w:b w:val="0"/>
                <w:bCs w:val="0"/>
                <w:color w:val="auto"/>
                <w:sz w:val="24"/>
                <w:szCs w:val="24"/>
              </w:rPr>
              <w:t>病编辑</w:t>
            </w:r>
          </w:p>
          <w:p w14:paraId="30E620F5">
            <w:pPr>
              <w:widowControl/>
              <w:bidi w:val="0"/>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系统可根据用户要求保存</w:t>
            </w:r>
            <w:r>
              <w:rPr>
                <w:rFonts w:hint="eastAsia" w:ascii="宋体" w:hAnsi="宋体" w:eastAsia="宋体" w:cs="宋体"/>
                <w:b w:val="0"/>
                <w:bCs w:val="0"/>
                <w:color w:val="auto"/>
                <w:sz w:val="24"/>
                <w:szCs w:val="24"/>
                <w:lang w:eastAsia="zh-CN"/>
              </w:rPr>
              <w:t>病历</w:t>
            </w:r>
            <w:r>
              <w:rPr>
                <w:rFonts w:hint="eastAsia" w:ascii="宋体" w:hAnsi="宋体" w:eastAsia="宋体" w:cs="宋体"/>
                <w:b w:val="0"/>
                <w:bCs w:val="0"/>
                <w:color w:val="auto"/>
                <w:sz w:val="24"/>
                <w:szCs w:val="24"/>
              </w:rPr>
              <w:t>。模拟病人病情根据操作者的操作自行演变，该系统自动记录。</w:t>
            </w:r>
          </w:p>
          <w:p w14:paraId="401086D0">
            <w:pPr>
              <w:widowControl/>
              <w:numPr>
                <w:ilvl w:val="0"/>
                <w:numId w:val="0"/>
              </w:numPr>
              <w:bidi w:val="0"/>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配置：</w:t>
            </w:r>
          </w:p>
          <w:p w14:paraId="20009FFC">
            <w:pPr>
              <w:widowControl/>
              <w:numPr>
                <w:ilvl w:val="0"/>
                <w:numId w:val="0"/>
              </w:numPr>
              <w:bidi w:val="0"/>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无线综合模拟人</w:t>
            </w:r>
          </w:p>
          <w:p w14:paraId="4F12DC62">
            <w:pPr>
              <w:widowControl/>
              <w:bidi w:val="0"/>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无线平板</w:t>
            </w:r>
          </w:p>
          <w:p w14:paraId="19C3FFEE">
            <w:pPr>
              <w:widowControl/>
              <w:bidi w:val="0"/>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气管插管套装</w:t>
            </w:r>
          </w:p>
          <w:p w14:paraId="086328D0">
            <w:pPr>
              <w:widowControl/>
              <w:bidi w:val="0"/>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静脉输液操作套装</w:t>
            </w:r>
          </w:p>
          <w:p w14:paraId="538E0BB5">
            <w:pPr>
              <w:widowControl/>
              <w:spacing w:line="240" w:lineRule="auto"/>
              <w:ind w:left="0" w:leftChars="0"/>
              <w:jc w:val="both"/>
              <w:textAlignment w:val="center"/>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val="0"/>
                <w:color w:val="auto"/>
                <w:sz w:val="24"/>
                <w:szCs w:val="24"/>
              </w:rPr>
              <w:t>5</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气胸处理套装</w:t>
            </w:r>
            <w:r>
              <w:rPr>
                <w:rFonts w:hint="eastAsia" w:ascii="宋体" w:hAnsi="宋体" w:eastAsia="宋体" w:cs="宋体"/>
                <w:b w:val="0"/>
                <w:bCs w:val="0"/>
                <w:color w:val="auto"/>
                <w:sz w:val="24"/>
                <w:szCs w:val="24"/>
                <w:lang w:val="en-US" w:eastAsia="zh-CN"/>
              </w:rPr>
              <w:t>培训</w:t>
            </w:r>
          </w:p>
        </w:tc>
        <w:tc>
          <w:tcPr>
            <w:tcW w:w="723" w:type="dxa"/>
            <w:noWrap w:val="0"/>
            <w:vAlign w:val="center"/>
          </w:tcPr>
          <w:p w14:paraId="6B974451">
            <w:pPr>
              <w:bidi w:val="0"/>
              <w:ind w:left="0" w:leftChars="0"/>
              <w:jc w:val="center"/>
              <w:rPr>
                <w:rFonts w:hint="eastAsia" w:ascii="宋体" w:hAnsi="宋体" w:eastAsia="宋体" w:cs="宋体"/>
                <w:b w:val="0"/>
                <w:bCs/>
                <w:color w:val="auto"/>
                <w:sz w:val="24"/>
                <w:szCs w:val="24"/>
                <w:lang w:val="en-US" w:eastAsia="zh-CN"/>
              </w:rPr>
            </w:pPr>
          </w:p>
          <w:p w14:paraId="3894991E">
            <w:pPr>
              <w:bidi w:val="0"/>
              <w:ind w:left="0" w:leftChars="0"/>
              <w:jc w:val="center"/>
              <w:rPr>
                <w:rFonts w:hint="eastAsia" w:ascii="宋体" w:hAnsi="宋体" w:eastAsia="宋体" w:cs="宋体"/>
                <w:b w:val="0"/>
                <w:bCs/>
                <w:color w:val="auto"/>
                <w:sz w:val="24"/>
                <w:szCs w:val="24"/>
                <w:lang w:val="en-US" w:eastAsia="zh-CN"/>
              </w:rPr>
            </w:pPr>
          </w:p>
          <w:p w14:paraId="12F85945">
            <w:pPr>
              <w:bidi w:val="0"/>
              <w:ind w:left="0" w:leftChars="0"/>
              <w:jc w:val="center"/>
              <w:rPr>
                <w:rFonts w:hint="eastAsia" w:ascii="宋体" w:hAnsi="宋体" w:eastAsia="宋体" w:cs="宋体"/>
                <w:b w:val="0"/>
                <w:bCs/>
                <w:color w:val="auto"/>
                <w:sz w:val="24"/>
                <w:szCs w:val="24"/>
                <w:lang w:val="en-US" w:eastAsia="zh-CN"/>
              </w:rPr>
            </w:pPr>
          </w:p>
          <w:p w14:paraId="46B13233">
            <w:pPr>
              <w:bidi w:val="0"/>
              <w:ind w:left="0" w:leftChars="0"/>
              <w:jc w:val="center"/>
              <w:rPr>
                <w:rFonts w:hint="eastAsia" w:ascii="宋体" w:hAnsi="宋体" w:eastAsia="宋体" w:cs="宋体"/>
                <w:b w:val="0"/>
                <w:bCs/>
                <w:color w:val="auto"/>
                <w:sz w:val="24"/>
                <w:szCs w:val="24"/>
                <w:lang w:val="en-US" w:eastAsia="zh-CN"/>
              </w:rPr>
            </w:pPr>
          </w:p>
          <w:p w14:paraId="513BCDA8">
            <w:pPr>
              <w:bidi w:val="0"/>
              <w:ind w:left="0" w:leftChars="0"/>
              <w:jc w:val="center"/>
              <w:rPr>
                <w:rFonts w:hint="eastAsia" w:ascii="宋体" w:hAnsi="宋体" w:eastAsia="宋体" w:cs="宋体"/>
                <w:b w:val="0"/>
                <w:bCs/>
                <w:color w:val="auto"/>
                <w:sz w:val="24"/>
                <w:szCs w:val="24"/>
                <w:lang w:val="en-US" w:eastAsia="zh-CN"/>
              </w:rPr>
            </w:pPr>
          </w:p>
          <w:p w14:paraId="25CDE491">
            <w:pPr>
              <w:bidi w:val="0"/>
              <w:ind w:left="0" w:leftChars="0"/>
              <w:jc w:val="center"/>
              <w:rPr>
                <w:rFonts w:hint="eastAsia" w:ascii="宋体" w:hAnsi="宋体" w:eastAsia="宋体" w:cs="宋体"/>
                <w:b w:val="0"/>
                <w:bCs/>
                <w:color w:val="auto"/>
                <w:sz w:val="24"/>
                <w:szCs w:val="24"/>
                <w:lang w:val="en-US" w:eastAsia="zh-CN"/>
              </w:rPr>
            </w:pPr>
          </w:p>
          <w:p w14:paraId="4EA0AF1C">
            <w:pPr>
              <w:bidi w:val="0"/>
              <w:ind w:left="0" w:leftChars="0"/>
              <w:jc w:val="center"/>
              <w:rPr>
                <w:rFonts w:hint="eastAsia" w:ascii="宋体" w:hAnsi="宋体" w:eastAsia="宋体" w:cs="宋体"/>
                <w:b w:val="0"/>
                <w:bCs/>
                <w:color w:val="auto"/>
                <w:sz w:val="24"/>
                <w:szCs w:val="24"/>
                <w:lang w:val="en-US" w:eastAsia="zh-CN"/>
              </w:rPr>
            </w:pPr>
          </w:p>
          <w:p w14:paraId="551CA98E">
            <w:pPr>
              <w:bidi w:val="0"/>
              <w:ind w:left="0" w:leftChars="0"/>
              <w:jc w:val="center"/>
              <w:rPr>
                <w:rFonts w:hint="eastAsia" w:ascii="宋体" w:hAnsi="宋体" w:eastAsia="宋体" w:cs="宋体"/>
                <w:b w:val="0"/>
                <w:bCs/>
                <w:color w:val="auto"/>
                <w:sz w:val="24"/>
                <w:szCs w:val="24"/>
                <w:lang w:val="en-US" w:eastAsia="zh-CN"/>
              </w:rPr>
            </w:pPr>
          </w:p>
          <w:p w14:paraId="3277D9AD">
            <w:pPr>
              <w:bidi w:val="0"/>
              <w:ind w:left="0" w:leftChars="0"/>
              <w:jc w:val="center"/>
              <w:rPr>
                <w:rFonts w:hint="eastAsia" w:ascii="宋体" w:hAnsi="宋体" w:eastAsia="宋体" w:cs="宋体"/>
                <w:b w:val="0"/>
                <w:bCs/>
                <w:color w:val="auto"/>
                <w:sz w:val="24"/>
                <w:szCs w:val="24"/>
                <w:lang w:val="en-US" w:eastAsia="zh-CN"/>
              </w:rPr>
            </w:pPr>
          </w:p>
          <w:p w14:paraId="254E5B9D">
            <w:pPr>
              <w:bidi w:val="0"/>
              <w:ind w:left="0" w:leftChars="0"/>
              <w:jc w:val="center"/>
              <w:rPr>
                <w:rFonts w:hint="eastAsia" w:ascii="宋体" w:hAnsi="宋体" w:eastAsia="宋体" w:cs="宋体"/>
                <w:b w:val="0"/>
                <w:bCs/>
                <w:color w:val="auto"/>
                <w:sz w:val="24"/>
                <w:szCs w:val="24"/>
                <w:lang w:val="en-US" w:eastAsia="zh-CN"/>
              </w:rPr>
            </w:pPr>
          </w:p>
          <w:p w14:paraId="522BB0A2">
            <w:pPr>
              <w:bidi w:val="0"/>
              <w:ind w:left="0" w:leftChars="0"/>
              <w:jc w:val="center"/>
              <w:rPr>
                <w:rFonts w:hint="eastAsia" w:ascii="宋体" w:hAnsi="宋体" w:eastAsia="宋体" w:cs="宋体"/>
                <w:b w:val="0"/>
                <w:bCs/>
                <w:color w:val="auto"/>
                <w:sz w:val="24"/>
                <w:szCs w:val="24"/>
                <w:lang w:val="en-US" w:eastAsia="zh-CN"/>
              </w:rPr>
            </w:pPr>
          </w:p>
          <w:p w14:paraId="5C83A8EB">
            <w:pPr>
              <w:bidi w:val="0"/>
              <w:ind w:left="0" w:leftChars="0"/>
              <w:jc w:val="center"/>
              <w:rPr>
                <w:rFonts w:hint="eastAsia" w:ascii="宋体" w:hAnsi="宋体" w:eastAsia="宋体" w:cs="宋体"/>
                <w:b w:val="0"/>
                <w:bCs/>
                <w:color w:val="auto"/>
                <w:sz w:val="24"/>
                <w:szCs w:val="24"/>
                <w:lang w:val="en-US" w:eastAsia="zh-CN"/>
              </w:rPr>
            </w:pPr>
          </w:p>
          <w:p w14:paraId="4EEEEEDB">
            <w:pPr>
              <w:bidi w:val="0"/>
              <w:ind w:left="0" w:leftChars="0"/>
              <w:jc w:val="center"/>
              <w:rPr>
                <w:rFonts w:hint="eastAsia" w:ascii="宋体" w:hAnsi="宋体" w:eastAsia="宋体" w:cs="宋体"/>
                <w:b w:val="0"/>
                <w:bCs/>
                <w:color w:val="auto"/>
                <w:sz w:val="24"/>
                <w:szCs w:val="24"/>
                <w:lang w:val="en-US" w:eastAsia="zh-CN"/>
              </w:rPr>
            </w:pPr>
          </w:p>
          <w:p w14:paraId="0F60D63D">
            <w:pPr>
              <w:bidi w:val="0"/>
              <w:ind w:left="0" w:leftChars="0"/>
              <w:jc w:val="center"/>
              <w:rPr>
                <w:rFonts w:hint="eastAsia" w:ascii="宋体" w:hAnsi="宋体" w:eastAsia="宋体" w:cs="宋体"/>
                <w:b w:val="0"/>
                <w:bCs/>
                <w:color w:val="auto"/>
                <w:sz w:val="24"/>
                <w:szCs w:val="24"/>
                <w:lang w:val="en-US" w:eastAsia="zh-CN"/>
              </w:rPr>
            </w:pPr>
          </w:p>
          <w:p w14:paraId="11F97B83">
            <w:pPr>
              <w:bidi w:val="0"/>
              <w:ind w:left="0" w:leftChars="0"/>
              <w:jc w:val="center"/>
              <w:rPr>
                <w:rFonts w:hint="eastAsia" w:ascii="宋体" w:hAnsi="宋体" w:eastAsia="宋体" w:cs="宋体"/>
                <w:b w:val="0"/>
                <w:bCs/>
                <w:color w:val="auto"/>
                <w:sz w:val="24"/>
                <w:szCs w:val="24"/>
                <w:lang w:val="en-US" w:eastAsia="zh-CN"/>
              </w:rPr>
            </w:pPr>
          </w:p>
          <w:p w14:paraId="04CA0A36">
            <w:pPr>
              <w:bidi w:val="0"/>
              <w:ind w:left="0" w:leftChars="0"/>
              <w:jc w:val="center"/>
              <w:rPr>
                <w:rFonts w:hint="eastAsia" w:ascii="宋体" w:hAnsi="宋体" w:eastAsia="宋体" w:cs="宋体"/>
                <w:b w:val="0"/>
                <w:bCs/>
                <w:color w:val="auto"/>
                <w:sz w:val="24"/>
                <w:szCs w:val="24"/>
                <w:lang w:val="en-US" w:eastAsia="zh-CN"/>
              </w:rPr>
            </w:pPr>
          </w:p>
          <w:p w14:paraId="1AE73906">
            <w:pPr>
              <w:bidi w:val="0"/>
              <w:ind w:left="0" w:leftChars="0"/>
              <w:jc w:val="center"/>
              <w:rPr>
                <w:rFonts w:hint="eastAsia" w:ascii="宋体" w:hAnsi="宋体" w:eastAsia="宋体" w:cs="宋体"/>
                <w:b w:val="0"/>
                <w:bCs/>
                <w:color w:val="auto"/>
                <w:sz w:val="24"/>
                <w:szCs w:val="24"/>
                <w:lang w:val="en-US" w:eastAsia="zh-CN"/>
              </w:rPr>
            </w:pPr>
          </w:p>
          <w:p w14:paraId="7B7A08F5">
            <w:pPr>
              <w:bidi w:val="0"/>
              <w:ind w:left="0" w:leftChars="0"/>
              <w:jc w:val="center"/>
              <w:rPr>
                <w:rFonts w:hint="eastAsia" w:ascii="宋体" w:hAnsi="宋体" w:eastAsia="宋体" w:cs="宋体"/>
                <w:b w:val="0"/>
                <w:bCs/>
                <w:color w:val="auto"/>
                <w:sz w:val="24"/>
                <w:szCs w:val="24"/>
                <w:lang w:val="en-US" w:eastAsia="zh-CN"/>
              </w:rPr>
            </w:pPr>
          </w:p>
          <w:p w14:paraId="3DC7276B">
            <w:pPr>
              <w:bidi w:val="0"/>
              <w:ind w:left="0" w:leftChars="0"/>
              <w:jc w:val="center"/>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sz w:val="24"/>
                <w:szCs w:val="24"/>
                <w:lang w:val="en-US" w:eastAsia="zh-CN"/>
              </w:rPr>
              <w:t>1</w:t>
            </w:r>
          </w:p>
        </w:tc>
        <w:tc>
          <w:tcPr>
            <w:tcW w:w="759" w:type="dxa"/>
            <w:noWrap w:val="0"/>
            <w:vAlign w:val="center"/>
          </w:tcPr>
          <w:p w14:paraId="5E069FA5">
            <w:pPr>
              <w:ind w:left="0" w:leftChars="0"/>
              <w:jc w:val="center"/>
              <w:rPr>
                <w:rFonts w:hint="eastAsia" w:ascii="宋体" w:hAnsi="宋体" w:eastAsia="宋体" w:cs="宋体"/>
                <w:b w:val="0"/>
                <w:bCs/>
                <w:color w:val="000000"/>
                <w:sz w:val="24"/>
                <w:szCs w:val="24"/>
              </w:rPr>
            </w:pPr>
          </w:p>
          <w:p w14:paraId="434E973A">
            <w:pPr>
              <w:ind w:left="0" w:leftChars="0"/>
              <w:jc w:val="center"/>
              <w:rPr>
                <w:rFonts w:hint="eastAsia" w:ascii="宋体" w:hAnsi="宋体" w:eastAsia="宋体" w:cs="宋体"/>
                <w:b w:val="0"/>
                <w:bCs/>
                <w:color w:val="000000"/>
                <w:sz w:val="24"/>
                <w:szCs w:val="24"/>
              </w:rPr>
            </w:pPr>
          </w:p>
          <w:p w14:paraId="5577FDDE">
            <w:pPr>
              <w:ind w:left="0" w:leftChars="0"/>
              <w:jc w:val="center"/>
              <w:rPr>
                <w:rFonts w:hint="eastAsia" w:ascii="宋体" w:hAnsi="宋体" w:eastAsia="宋体" w:cs="宋体"/>
                <w:b w:val="0"/>
                <w:bCs/>
                <w:color w:val="000000"/>
                <w:sz w:val="24"/>
                <w:szCs w:val="24"/>
              </w:rPr>
            </w:pPr>
          </w:p>
          <w:p w14:paraId="62709BE7">
            <w:pPr>
              <w:ind w:left="0" w:leftChars="0"/>
              <w:jc w:val="center"/>
              <w:rPr>
                <w:rFonts w:hint="eastAsia" w:ascii="宋体" w:hAnsi="宋体" w:eastAsia="宋体" w:cs="宋体"/>
                <w:b w:val="0"/>
                <w:bCs/>
                <w:color w:val="000000"/>
                <w:sz w:val="24"/>
                <w:szCs w:val="24"/>
              </w:rPr>
            </w:pPr>
          </w:p>
          <w:p w14:paraId="38D33FCA">
            <w:pPr>
              <w:ind w:left="0" w:leftChars="0"/>
              <w:jc w:val="center"/>
              <w:rPr>
                <w:rFonts w:hint="eastAsia" w:ascii="宋体" w:hAnsi="宋体" w:eastAsia="宋体" w:cs="宋体"/>
                <w:b w:val="0"/>
                <w:bCs/>
                <w:color w:val="000000"/>
                <w:sz w:val="24"/>
                <w:szCs w:val="24"/>
              </w:rPr>
            </w:pPr>
          </w:p>
          <w:p w14:paraId="2D176E37">
            <w:pPr>
              <w:ind w:left="0" w:leftChars="0"/>
              <w:jc w:val="center"/>
              <w:rPr>
                <w:rFonts w:hint="eastAsia" w:ascii="宋体" w:hAnsi="宋体" w:eastAsia="宋体" w:cs="宋体"/>
                <w:b w:val="0"/>
                <w:bCs/>
                <w:color w:val="000000"/>
                <w:sz w:val="24"/>
                <w:szCs w:val="24"/>
              </w:rPr>
            </w:pPr>
          </w:p>
          <w:p w14:paraId="4D98B9EF">
            <w:pPr>
              <w:ind w:left="0" w:leftChars="0"/>
              <w:jc w:val="center"/>
              <w:rPr>
                <w:rFonts w:hint="eastAsia" w:ascii="宋体" w:hAnsi="宋体" w:eastAsia="宋体" w:cs="宋体"/>
                <w:b w:val="0"/>
                <w:bCs/>
                <w:color w:val="000000"/>
                <w:sz w:val="24"/>
                <w:szCs w:val="24"/>
              </w:rPr>
            </w:pPr>
          </w:p>
          <w:p w14:paraId="05BC6B05">
            <w:pPr>
              <w:ind w:left="0" w:leftChars="0"/>
              <w:jc w:val="center"/>
              <w:rPr>
                <w:rFonts w:hint="eastAsia" w:ascii="宋体" w:hAnsi="宋体" w:eastAsia="宋体" w:cs="宋体"/>
                <w:b w:val="0"/>
                <w:bCs/>
                <w:color w:val="000000"/>
                <w:sz w:val="24"/>
                <w:szCs w:val="24"/>
              </w:rPr>
            </w:pPr>
          </w:p>
          <w:p w14:paraId="1879C705">
            <w:pPr>
              <w:ind w:left="0" w:leftChars="0"/>
              <w:jc w:val="center"/>
              <w:rPr>
                <w:rFonts w:hint="eastAsia" w:ascii="宋体" w:hAnsi="宋体" w:eastAsia="宋体" w:cs="宋体"/>
                <w:b w:val="0"/>
                <w:bCs/>
                <w:color w:val="000000"/>
                <w:sz w:val="24"/>
                <w:szCs w:val="24"/>
              </w:rPr>
            </w:pPr>
          </w:p>
          <w:p w14:paraId="499B326D">
            <w:pPr>
              <w:ind w:left="0" w:leftChars="0"/>
              <w:jc w:val="center"/>
              <w:rPr>
                <w:rFonts w:hint="eastAsia" w:ascii="宋体" w:hAnsi="宋体" w:eastAsia="宋体" w:cs="宋体"/>
                <w:b w:val="0"/>
                <w:bCs/>
                <w:color w:val="000000"/>
                <w:sz w:val="24"/>
                <w:szCs w:val="24"/>
              </w:rPr>
            </w:pPr>
          </w:p>
          <w:p w14:paraId="1A272D21">
            <w:pPr>
              <w:ind w:left="0" w:leftChars="0"/>
              <w:jc w:val="center"/>
              <w:rPr>
                <w:rFonts w:hint="eastAsia" w:ascii="宋体" w:hAnsi="宋体" w:eastAsia="宋体" w:cs="宋体"/>
                <w:b w:val="0"/>
                <w:bCs/>
                <w:color w:val="000000"/>
                <w:sz w:val="24"/>
                <w:szCs w:val="24"/>
              </w:rPr>
            </w:pPr>
          </w:p>
          <w:p w14:paraId="7D7E0E2B">
            <w:pPr>
              <w:ind w:left="0" w:leftChars="0"/>
              <w:jc w:val="center"/>
              <w:rPr>
                <w:rFonts w:hint="eastAsia" w:ascii="宋体" w:hAnsi="宋体" w:eastAsia="宋体" w:cs="宋体"/>
                <w:b w:val="0"/>
                <w:bCs/>
                <w:color w:val="000000"/>
                <w:sz w:val="24"/>
                <w:szCs w:val="24"/>
              </w:rPr>
            </w:pPr>
          </w:p>
          <w:p w14:paraId="7D4188F2">
            <w:pPr>
              <w:ind w:left="0" w:leftChars="0"/>
              <w:jc w:val="center"/>
              <w:rPr>
                <w:rFonts w:hint="eastAsia" w:ascii="宋体" w:hAnsi="宋体" w:eastAsia="宋体" w:cs="宋体"/>
                <w:b w:val="0"/>
                <w:bCs/>
                <w:color w:val="000000"/>
                <w:sz w:val="24"/>
                <w:szCs w:val="24"/>
              </w:rPr>
            </w:pPr>
          </w:p>
          <w:p w14:paraId="633D242D">
            <w:pPr>
              <w:ind w:left="0" w:leftChars="0"/>
              <w:jc w:val="center"/>
              <w:rPr>
                <w:rFonts w:hint="eastAsia" w:ascii="宋体" w:hAnsi="宋体" w:eastAsia="宋体" w:cs="宋体"/>
                <w:b w:val="0"/>
                <w:bCs/>
                <w:color w:val="000000"/>
                <w:sz w:val="24"/>
                <w:szCs w:val="24"/>
              </w:rPr>
            </w:pPr>
          </w:p>
          <w:p w14:paraId="3C5840E9">
            <w:pPr>
              <w:ind w:left="0" w:leftChars="0"/>
              <w:jc w:val="center"/>
              <w:rPr>
                <w:rFonts w:hint="eastAsia" w:ascii="宋体" w:hAnsi="宋体" w:eastAsia="宋体" w:cs="宋体"/>
                <w:b w:val="0"/>
                <w:bCs/>
                <w:color w:val="000000"/>
                <w:sz w:val="24"/>
                <w:szCs w:val="24"/>
              </w:rPr>
            </w:pPr>
          </w:p>
          <w:p w14:paraId="0BCD0CFA">
            <w:pPr>
              <w:ind w:left="0" w:leftChars="0"/>
              <w:jc w:val="center"/>
              <w:rPr>
                <w:rFonts w:hint="eastAsia" w:ascii="宋体" w:hAnsi="宋体" w:eastAsia="宋体" w:cs="宋体"/>
                <w:b w:val="0"/>
                <w:bCs/>
                <w:color w:val="000000"/>
                <w:sz w:val="24"/>
                <w:szCs w:val="24"/>
              </w:rPr>
            </w:pPr>
          </w:p>
          <w:p w14:paraId="3F645029">
            <w:pPr>
              <w:ind w:left="0" w:leftChars="0"/>
              <w:jc w:val="center"/>
              <w:rPr>
                <w:rFonts w:hint="eastAsia" w:ascii="宋体" w:hAnsi="宋体" w:eastAsia="宋体" w:cs="宋体"/>
                <w:b w:val="0"/>
                <w:bCs/>
                <w:color w:val="000000"/>
                <w:sz w:val="24"/>
                <w:szCs w:val="24"/>
              </w:rPr>
            </w:pPr>
          </w:p>
          <w:p w14:paraId="46F0330A">
            <w:pPr>
              <w:ind w:left="0" w:leftChars="0"/>
              <w:jc w:val="center"/>
              <w:rPr>
                <w:rFonts w:hint="eastAsia" w:ascii="宋体" w:hAnsi="宋体" w:eastAsia="宋体" w:cs="宋体"/>
                <w:b w:val="0"/>
                <w:bCs/>
                <w:color w:val="000000"/>
                <w:sz w:val="24"/>
                <w:szCs w:val="24"/>
              </w:rPr>
            </w:pPr>
          </w:p>
          <w:p w14:paraId="29E162FA">
            <w:pPr>
              <w:ind w:left="0" w:leftChars="0"/>
              <w:jc w:val="center"/>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sz w:val="24"/>
                <w:szCs w:val="24"/>
              </w:rPr>
              <w:t>套</w:t>
            </w:r>
          </w:p>
        </w:tc>
      </w:tr>
      <w:tr w14:paraId="29AA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0" w:hRule="atLeast"/>
          <w:jc w:val="center"/>
        </w:trPr>
        <w:tc>
          <w:tcPr>
            <w:tcW w:w="629" w:type="dxa"/>
            <w:noWrap/>
            <w:vAlign w:val="center"/>
          </w:tcPr>
          <w:p w14:paraId="013693B9">
            <w:pPr>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b w:val="0"/>
                <w:bCs w:val="0"/>
                <w:color w:val="auto"/>
                <w:sz w:val="24"/>
                <w:szCs w:val="24"/>
                <w:lang w:val="en-US" w:eastAsia="zh-CN"/>
              </w:rPr>
            </w:pPr>
            <w:r>
              <w:rPr>
                <w:rFonts w:hint="eastAsia" w:hAnsi="宋体" w:cs="宋体"/>
                <w:b w:val="0"/>
                <w:bCs w:val="0"/>
                <w:color w:val="auto"/>
                <w:sz w:val="24"/>
                <w:szCs w:val="24"/>
                <w:lang w:val="en-US" w:eastAsia="zh-CN"/>
              </w:rPr>
              <w:t>22</w:t>
            </w:r>
          </w:p>
        </w:tc>
        <w:tc>
          <w:tcPr>
            <w:tcW w:w="998" w:type="dxa"/>
            <w:noWrap/>
            <w:vAlign w:val="center"/>
          </w:tcPr>
          <w:p w14:paraId="0816D3F6">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医用</w:t>
            </w:r>
            <w:r>
              <w:rPr>
                <w:rFonts w:hint="eastAsia" w:ascii="宋体" w:hAnsi="宋体" w:eastAsia="宋体" w:cs="宋体"/>
                <w:b w:val="0"/>
                <w:bCs w:val="0"/>
                <w:color w:val="auto"/>
                <w:sz w:val="24"/>
                <w:szCs w:val="24"/>
              </w:rPr>
              <w:t>床头柜</w:t>
            </w:r>
          </w:p>
        </w:tc>
        <w:tc>
          <w:tcPr>
            <w:tcW w:w="4808" w:type="dxa"/>
            <w:noWrap/>
            <w:vAlign w:val="center"/>
          </w:tcPr>
          <w:p w14:paraId="1C557FAA">
            <w:pPr>
              <w:pStyle w:val="7"/>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1.规格</w:t>
            </w:r>
            <w:r>
              <w:rPr>
                <w:rFonts w:hint="eastAsia" w:ascii="宋体" w:hAnsi="宋体" w:eastAsia="宋体" w:cs="宋体"/>
                <w:b w:val="0"/>
                <w:bCs w:val="0"/>
                <w:color w:val="auto"/>
                <w:sz w:val="24"/>
                <w:szCs w:val="24"/>
                <w:lang w:eastAsia="zh-CN"/>
              </w:rPr>
              <w:t>：</w:t>
            </w:r>
            <w:r>
              <w:rPr>
                <w:rFonts w:hint="eastAsia"/>
                <w:lang w:val="en-US" w:eastAsia="zh-CN"/>
              </w:rPr>
              <w:t>≥</w:t>
            </w:r>
            <w:r>
              <w:rPr>
                <w:rFonts w:hint="eastAsia" w:ascii="宋体" w:hAnsi="宋体" w:eastAsia="宋体" w:cs="宋体"/>
                <w:b w:val="0"/>
                <w:bCs w:val="0"/>
                <w:color w:val="auto"/>
                <w:sz w:val="24"/>
                <w:szCs w:val="24"/>
              </w:rPr>
              <w:t>480*490*760</w:t>
            </w:r>
            <w:r>
              <w:rPr>
                <w:rFonts w:hint="eastAsia" w:hAnsi="宋体" w:cs="宋体"/>
                <w:b w:val="0"/>
                <w:bCs w:val="0"/>
                <w:color w:val="auto"/>
                <w:sz w:val="24"/>
                <w:szCs w:val="24"/>
                <w:lang w:val="en-US" w:eastAsia="zh-CN"/>
              </w:rPr>
              <w:t>mm</w:t>
            </w:r>
          </w:p>
          <w:p w14:paraId="00C2F6D7">
            <w:pPr>
              <w:widowControl/>
              <w:spacing w:line="240" w:lineRule="auto"/>
              <w:jc w:val="both"/>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2.整体采用工程塑料ABS材质注塑成型，表面易清洗、擦拭耐褪色，抗酸碱腐蚀；柜门内侧配有储物放置栏</w:t>
            </w:r>
          </w:p>
        </w:tc>
        <w:tc>
          <w:tcPr>
            <w:tcW w:w="723" w:type="dxa"/>
            <w:noWrap w:val="0"/>
            <w:vAlign w:val="center"/>
          </w:tcPr>
          <w:p w14:paraId="28DA630C">
            <w:pPr>
              <w:keepNext w:val="0"/>
              <w:keepLines w:val="0"/>
              <w:widowControl/>
              <w:suppressLineNumbers w:val="0"/>
              <w:ind w:left="0" w:leftChars="0"/>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i w:val="0"/>
                <w:iCs w:val="0"/>
                <w:color w:val="000000"/>
                <w:kern w:val="0"/>
                <w:sz w:val="24"/>
                <w:szCs w:val="24"/>
                <w:u w:val="none"/>
                <w:lang w:val="en-US" w:eastAsia="zh-CN"/>
              </w:rPr>
              <w:t>1</w:t>
            </w:r>
          </w:p>
        </w:tc>
        <w:tc>
          <w:tcPr>
            <w:tcW w:w="759" w:type="dxa"/>
            <w:noWrap w:val="0"/>
            <w:vAlign w:val="center"/>
          </w:tcPr>
          <w:p w14:paraId="0AD21FA4">
            <w:pPr>
              <w:keepNext w:val="0"/>
              <w:keepLines w:val="0"/>
              <w:widowControl/>
              <w:suppressLineNumbers w:val="0"/>
              <w:ind w:left="0" w:leftChars="0"/>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rPr>
              <w:t>个</w:t>
            </w:r>
          </w:p>
        </w:tc>
      </w:tr>
      <w:tr w14:paraId="07724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0" w:hRule="atLeast"/>
          <w:jc w:val="center"/>
        </w:trPr>
        <w:tc>
          <w:tcPr>
            <w:tcW w:w="629" w:type="dxa"/>
            <w:noWrap/>
            <w:vAlign w:val="center"/>
          </w:tcPr>
          <w:p w14:paraId="7088814B">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kern w:val="2"/>
                <w:sz w:val="24"/>
                <w:szCs w:val="24"/>
                <w:lang w:val="en-US" w:eastAsia="zh-CN" w:bidi="ar-SA"/>
              </w:rPr>
            </w:pPr>
          </w:p>
          <w:p w14:paraId="16A56161">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kern w:val="2"/>
                <w:sz w:val="24"/>
                <w:szCs w:val="24"/>
                <w:lang w:val="en-US" w:eastAsia="zh-CN" w:bidi="ar-SA"/>
              </w:rPr>
            </w:pPr>
          </w:p>
          <w:p w14:paraId="16977352">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kern w:val="2"/>
                <w:sz w:val="24"/>
                <w:szCs w:val="24"/>
                <w:lang w:val="en-US" w:eastAsia="zh-CN" w:bidi="ar-SA"/>
              </w:rPr>
            </w:pPr>
          </w:p>
          <w:p w14:paraId="3354BFEC">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kern w:val="2"/>
                <w:sz w:val="24"/>
                <w:szCs w:val="24"/>
                <w:lang w:val="en-US" w:eastAsia="zh-CN" w:bidi="ar-SA"/>
              </w:rPr>
            </w:pPr>
          </w:p>
          <w:p w14:paraId="25FE19F8">
            <w:pPr>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hAnsi="宋体" w:cs="宋体"/>
                <w:b w:val="0"/>
                <w:bCs w:val="0"/>
                <w:color w:val="auto"/>
                <w:kern w:val="2"/>
                <w:sz w:val="24"/>
                <w:szCs w:val="24"/>
                <w:lang w:val="en-US" w:eastAsia="zh-CN" w:bidi="ar-SA"/>
              </w:rPr>
              <w:t>23</w:t>
            </w:r>
          </w:p>
        </w:tc>
        <w:tc>
          <w:tcPr>
            <w:tcW w:w="998" w:type="dxa"/>
            <w:noWrap/>
            <w:vAlign w:val="center"/>
          </w:tcPr>
          <w:p w14:paraId="50E3953B">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115813AA">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2D4E16F4">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3CDE6B95">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p>
          <w:p w14:paraId="421C7C67">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移动推车，担架车</w:t>
            </w:r>
          </w:p>
        </w:tc>
        <w:tc>
          <w:tcPr>
            <w:tcW w:w="4808" w:type="dxa"/>
            <w:noWrap/>
            <w:vAlign w:val="center"/>
          </w:tcPr>
          <w:p w14:paraId="5857CE42">
            <w:pPr>
              <w:numPr>
                <w:ilvl w:val="0"/>
                <w:numId w:val="0"/>
              </w:numPr>
              <w:bidi w:val="0"/>
              <w:spacing w:line="240" w:lineRule="auto"/>
              <w:jc w:val="left"/>
              <w:rPr>
                <w:ins w:id="1" w:author="熊雪晨" w:date="2025-12-23T10:31:59Z"/>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bidi="ar-SA"/>
              </w:rPr>
              <w:t>一、</w:t>
            </w:r>
            <w:r>
              <w:rPr>
                <w:rFonts w:hint="eastAsia" w:ascii="宋体" w:hAnsi="宋体" w:eastAsia="宋体" w:cs="宋体"/>
                <w:color w:val="auto"/>
                <w:sz w:val="24"/>
                <w:szCs w:val="24"/>
                <w:lang w:val="en-US" w:eastAsia="zh-CN"/>
              </w:rPr>
              <w:t>规格：</w:t>
            </w:r>
            <w:r>
              <w:rPr>
                <w:rFonts w:hint="eastAsia" w:hAnsi="宋体" w:cs="宋体"/>
                <w:color w:val="auto"/>
                <w:sz w:val="24"/>
                <w:szCs w:val="24"/>
                <w:lang w:val="en-US" w:eastAsia="zh-CN"/>
              </w:rPr>
              <w:t>≥</w:t>
            </w:r>
            <w:r>
              <w:rPr>
                <w:rFonts w:hint="eastAsia" w:ascii="宋体" w:hAnsi="宋体" w:eastAsia="宋体" w:cs="宋体"/>
                <w:color w:val="auto"/>
                <w:sz w:val="24"/>
                <w:szCs w:val="24"/>
                <w:lang w:val="en-US" w:eastAsia="zh-CN"/>
              </w:rPr>
              <w:t xml:space="preserve">1930*760*500/800mm </w:t>
            </w:r>
          </w:p>
          <w:p w14:paraId="5C2ECB3A">
            <w:pPr>
              <w:bidi w:val="0"/>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升降行程：</w:t>
            </w:r>
            <w:r>
              <w:rPr>
                <w:rFonts w:hint="eastAsia" w:ascii="宋体" w:hAnsi="宋体" w:eastAsia="宋体" w:cs="宋体"/>
                <w:b w:val="0"/>
                <w:bCs w:val="0"/>
                <w:color w:val="auto"/>
                <w:sz w:val="24"/>
                <w:szCs w:val="24"/>
                <w:lang w:val="en-US" w:eastAsia="zh-CN"/>
              </w:rPr>
              <w:t>不低于</w:t>
            </w:r>
            <w:r>
              <w:rPr>
                <w:rFonts w:hint="eastAsia" w:ascii="宋体" w:hAnsi="宋体" w:eastAsia="宋体" w:cs="宋体"/>
                <w:color w:val="auto"/>
                <w:sz w:val="24"/>
                <w:szCs w:val="24"/>
                <w:lang w:val="en-US" w:eastAsia="zh-CN"/>
              </w:rPr>
              <w:t>300mm</w:t>
            </w:r>
          </w:p>
          <w:p w14:paraId="590F1FC6">
            <w:pPr>
              <w:bidi w:val="0"/>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二、参数：</w:t>
            </w:r>
          </w:p>
          <w:p w14:paraId="436AF1C7">
            <w:pPr>
              <w:bidi w:val="0"/>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1.车面采用ABS工程注塑料一次模压成型</w:t>
            </w:r>
            <w:ins w:id="2" w:author="熊雪晨" w:date="2025-12-23T10:31:59Z">
              <w:r>
                <w:rPr>
                  <w:rFonts w:hint="eastAsia" w:hAnsi="宋体" w:cs="宋体"/>
                  <w:color w:val="auto"/>
                  <w:sz w:val="24"/>
                  <w:szCs w:val="24"/>
                  <w:lang w:val="en-US" w:eastAsia="zh-CN"/>
                </w:rPr>
                <w:t>，</w:t>
              </w:r>
            </w:ins>
            <w:r>
              <w:rPr>
                <w:rFonts w:hint="eastAsia" w:ascii="宋体" w:hAnsi="宋体" w:eastAsia="宋体" w:cs="宋体"/>
                <w:color w:val="auto"/>
                <w:sz w:val="24"/>
                <w:szCs w:val="24"/>
                <w:lang w:val="en-US" w:eastAsia="zh-CN"/>
              </w:rPr>
              <w:t>四角分别设计有把手，方便护理急救人员操作。</w:t>
            </w:r>
          </w:p>
          <w:p w14:paraId="616042A2">
            <w:pPr>
              <w:bidi w:val="0"/>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2.床身由厚≥1.2mm的冷轧钢管制成，机器人焊接工艺，高精度焊接工艺保证焊接质量。床体坚固。可承载≥240kg。</w:t>
            </w:r>
          </w:p>
          <w:p w14:paraId="7C25984C">
            <w:pPr>
              <w:bidi w:val="0"/>
              <w:spacing w:line="240" w:lineRule="auto"/>
              <w:jc w:val="left"/>
              <w:rPr>
                <w:rFonts w:hint="eastAsia" w:ascii="宋体" w:hAnsi="宋体" w:eastAsia="宋体" w:cs="宋体"/>
                <w:color w:val="auto"/>
                <w:sz w:val="24"/>
                <w:szCs w:val="24"/>
                <w:lang w:val="en-US" w:eastAsia="zh-CN"/>
              </w:rPr>
            </w:pPr>
            <w:r>
              <w:rPr>
                <w:rFonts w:hint="eastAsia" w:hAnsi="宋体" w:cs="宋体"/>
                <w:color w:val="auto"/>
                <w:sz w:val="24"/>
                <w:szCs w:val="24"/>
                <w:lang w:val="en-US" w:eastAsia="zh-CN"/>
              </w:rPr>
              <w:t>3</w:t>
            </w:r>
            <w:r>
              <w:rPr>
                <w:rFonts w:hint="eastAsia" w:ascii="宋体" w:hAnsi="宋体" w:eastAsia="宋体" w:cs="宋体"/>
                <w:color w:val="auto"/>
                <w:sz w:val="24"/>
                <w:szCs w:val="24"/>
                <w:lang w:val="en-US" w:eastAsia="zh-CN"/>
              </w:rPr>
              <w:t>.床身采用环保粉末喷塑处理，起背采用气压系统，背部起升0-65°，操作简便，可单手操作；</w:t>
            </w:r>
          </w:p>
          <w:p w14:paraId="5A82B52C">
            <w:pPr>
              <w:bidi w:val="0"/>
              <w:spacing w:line="240" w:lineRule="auto"/>
              <w:jc w:val="left"/>
              <w:rPr>
                <w:rFonts w:hint="eastAsia" w:ascii="宋体" w:hAnsi="宋体" w:eastAsia="宋体" w:cs="宋体"/>
                <w:color w:val="auto"/>
                <w:sz w:val="24"/>
                <w:szCs w:val="24"/>
                <w:lang w:val="en-US" w:eastAsia="zh-CN"/>
              </w:rPr>
            </w:pPr>
            <w:r>
              <w:rPr>
                <w:rFonts w:hint="eastAsia" w:hAnsi="宋体" w:cs="宋体"/>
                <w:color w:val="auto"/>
                <w:sz w:val="24"/>
                <w:szCs w:val="24"/>
                <w:lang w:val="en-US" w:eastAsia="zh-CN"/>
              </w:rPr>
              <w:t>4</w:t>
            </w:r>
            <w:r>
              <w:rPr>
                <w:rFonts w:hint="eastAsia" w:ascii="宋体" w:hAnsi="宋体" w:eastAsia="宋体" w:cs="宋体"/>
                <w:color w:val="auto"/>
                <w:sz w:val="24"/>
                <w:szCs w:val="24"/>
                <w:lang w:val="en-US" w:eastAsia="zh-CN"/>
              </w:rPr>
              <w:t>.护栏采用ABS提拉升降式护栏，放下采用气弹簧缓冲设计</w:t>
            </w:r>
            <w:r>
              <w:rPr>
                <w:rFonts w:hint="eastAsia" w:hAnsi="宋体" w:cs="宋体"/>
                <w:color w:val="auto"/>
                <w:sz w:val="24"/>
                <w:szCs w:val="24"/>
                <w:lang w:val="en-US" w:eastAsia="zh-CN"/>
              </w:rPr>
              <w:t>。</w:t>
            </w:r>
          </w:p>
          <w:p w14:paraId="5BF61942">
            <w:pPr>
              <w:bidi w:val="0"/>
              <w:spacing w:line="240" w:lineRule="auto"/>
              <w:jc w:val="left"/>
              <w:rPr>
                <w:rFonts w:hint="eastAsia" w:ascii="宋体" w:hAnsi="宋体" w:eastAsia="宋体" w:cs="宋体"/>
                <w:color w:val="auto"/>
                <w:sz w:val="24"/>
                <w:szCs w:val="24"/>
                <w:lang w:val="en-US" w:eastAsia="zh-CN"/>
              </w:rPr>
            </w:pPr>
            <w:r>
              <w:rPr>
                <w:rFonts w:hint="eastAsia" w:hAnsi="宋体" w:cs="宋体"/>
                <w:color w:val="auto"/>
                <w:sz w:val="24"/>
                <w:szCs w:val="24"/>
                <w:lang w:val="en-US" w:eastAsia="zh-CN"/>
              </w:rPr>
              <w:t>5</w:t>
            </w:r>
            <w:r>
              <w:rPr>
                <w:rFonts w:hint="eastAsia" w:ascii="宋体" w:hAnsi="宋体" w:eastAsia="宋体" w:cs="宋体"/>
                <w:color w:val="auto"/>
                <w:sz w:val="24"/>
                <w:szCs w:val="24"/>
                <w:lang w:val="en-US" w:eastAsia="zh-CN"/>
              </w:rPr>
              <w:t>.整体升降采用摇杆式设计，升降行程500～800mm，摇把采用双向过盈保护，自动润滑功能。</w:t>
            </w:r>
          </w:p>
          <w:p w14:paraId="64407013">
            <w:pPr>
              <w:bidi w:val="0"/>
              <w:spacing w:line="240" w:lineRule="auto"/>
              <w:jc w:val="left"/>
              <w:rPr>
                <w:rFonts w:hint="eastAsia" w:ascii="宋体" w:hAnsi="宋体" w:eastAsia="宋体" w:cs="宋体"/>
                <w:color w:val="auto"/>
                <w:sz w:val="24"/>
                <w:szCs w:val="24"/>
                <w:lang w:val="en-US" w:eastAsia="zh-CN"/>
              </w:rPr>
            </w:pPr>
            <w:r>
              <w:rPr>
                <w:rFonts w:hint="eastAsia" w:hAnsi="宋体" w:cs="宋体"/>
                <w:color w:val="auto"/>
                <w:sz w:val="24"/>
                <w:szCs w:val="24"/>
                <w:lang w:val="en-US" w:eastAsia="zh-CN"/>
              </w:rPr>
              <w:t>6</w:t>
            </w:r>
            <w:r>
              <w:rPr>
                <w:rFonts w:hint="eastAsia" w:ascii="宋体" w:hAnsi="宋体" w:eastAsia="宋体" w:cs="宋体"/>
                <w:color w:val="auto"/>
                <w:sz w:val="24"/>
                <w:szCs w:val="24"/>
                <w:lang w:val="en-US" w:eastAsia="zh-CN"/>
              </w:rPr>
              <w:t>.平车底座为1.5mm冷轧钢板，采用模具一次性冲压成形。</w:t>
            </w:r>
          </w:p>
          <w:p w14:paraId="7D7EF5CB">
            <w:pPr>
              <w:bidi w:val="0"/>
              <w:spacing w:line="240" w:lineRule="auto"/>
              <w:jc w:val="left"/>
              <w:rPr>
                <w:rFonts w:hint="eastAsia" w:ascii="宋体" w:hAnsi="宋体" w:eastAsia="宋体" w:cs="宋体"/>
                <w:color w:val="auto"/>
                <w:sz w:val="24"/>
                <w:szCs w:val="24"/>
                <w:lang w:val="en-US" w:eastAsia="zh-CN"/>
              </w:rPr>
            </w:pPr>
            <w:r>
              <w:rPr>
                <w:rFonts w:hint="eastAsia" w:hAnsi="宋体" w:cs="宋体"/>
                <w:color w:val="auto"/>
                <w:sz w:val="24"/>
                <w:szCs w:val="24"/>
                <w:lang w:val="en-US" w:eastAsia="zh-CN"/>
              </w:rPr>
              <w:t>7</w:t>
            </w:r>
            <w:r>
              <w:rPr>
                <w:rFonts w:hint="eastAsia" w:ascii="宋体" w:hAnsi="宋体" w:eastAsia="宋体" w:cs="宋体"/>
                <w:color w:val="auto"/>
                <w:sz w:val="24"/>
                <w:szCs w:val="24"/>
                <w:lang w:val="en-US" w:eastAsia="zh-CN"/>
              </w:rPr>
              <w:t>.刹车采用中控刹车系统，四个全制动脚轮，轮径φ150mm</w:t>
            </w:r>
            <w:r>
              <w:rPr>
                <w:rFonts w:hint="eastAsia" w:hAnsi="宋体" w:cs="宋体"/>
                <w:color w:val="auto"/>
                <w:sz w:val="24"/>
                <w:szCs w:val="24"/>
                <w:lang w:val="en-US" w:eastAsia="zh-CN"/>
              </w:rPr>
              <w:t>。</w:t>
            </w:r>
          </w:p>
          <w:p w14:paraId="4068A974">
            <w:pPr>
              <w:bidi w:val="0"/>
              <w:spacing w:line="240" w:lineRule="auto"/>
              <w:jc w:val="left"/>
              <w:rPr>
                <w:rFonts w:hint="eastAsia" w:ascii="宋体" w:hAnsi="宋体" w:eastAsia="宋体" w:cs="宋体"/>
                <w:color w:val="auto"/>
                <w:sz w:val="24"/>
                <w:szCs w:val="24"/>
                <w:lang w:val="en-US" w:eastAsia="zh-CN"/>
              </w:rPr>
            </w:pPr>
            <w:r>
              <w:rPr>
                <w:rFonts w:hint="eastAsia" w:hAnsi="宋体" w:cs="宋体"/>
                <w:color w:val="auto"/>
                <w:sz w:val="24"/>
                <w:szCs w:val="24"/>
                <w:lang w:val="en-US" w:eastAsia="zh-CN"/>
              </w:rPr>
              <w:t>8</w:t>
            </w:r>
            <w:r>
              <w:rPr>
                <w:rFonts w:hint="eastAsia" w:ascii="宋体" w:hAnsi="宋体" w:eastAsia="宋体" w:cs="宋体"/>
                <w:color w:val="auto"/>
                <w:sz w:val="24"/>
                <w:szCs w:val="24"/>
                <w:lang w:val="en-US" w:eastAsia="zh-CN"/>
              </w:rPr>
              <w:t>.增加第五轮设计。</w:t>
            </w:r>
          </w:p>
          <w:p w14:paraId="3575717E">
            <w:pPr>
              <w:bidi w:val="0"/>
              <w:spacing w:line="240" w:lineRule="auto"/>
              <w:jc w:val="left"/>
              <w:rPr>
                <w:rFonts w:hint="eastAsia" w:ascii="宋体" w:hAnsi="宋体" w:eastAsia="宋体" w:cs="宋体"/>
                <w:color w:val="auto"/>
                <w:sz w:val="24"/>
                <w:szCs w:val="24"/>
                <w:lang w:val="en-US" w:eastAsia="zh-CN"/>
              </w:rPr>
            </w:pPr>
            <w:r>
              <w:rPr>
                <w:rFonts w:hint="eastAsia" w:hAnsi="宋体" w:cs="宋体"/>
                <w:color w:val="auto"/>
                <w:sz w:val="24"/>
                <w:szCs w:val="24"/>
                <w:lang w:val="en-US" w:eastAsia="zh-CN"/>
              </w:rPr>
              <w:t>9</w:t>
            </w:r>
            <w:r>
              <w:rPr>
                <w:rFonts w:hint="eastAsia" w:ascii="宋体" w:hAnsi="宋体" w:eastAsia="宋体" w:cs="宋体"/>
                <w:color w:val="auto"/>
                <w:sz w:val="24"/>
                <w:szCs w:val="24"/>
                <w:lang w:val="en-US" w:eastAsia="zh-CN"/>
              </w:rPr>
              <w:t>.床体前部带有氧气瓶托架，可放置5L氧气瓶，以便急救使用。</w:t>
            </w:r>
          </w:p>
          <w:p w14:paraId="2DB47F51">
            <w:pPr>
              <w:bidi w:val="0"/>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hAnsi="宋体" w:cs="宋体"/>
                <w:color w:val="auto"/>
                <w:sz w:val="24"/>
                <w:szCs w:val="24"/>
                <w:lang w:val="en-US" w:eastAsia="zh-CN"/>
              </w:rPr>
              <w:t>0</w:t>
            </w:r>
            <w:r>
              <w:rPr>
                <w:rFonts w:hint="eastAsia" w:ascii="宋体" w:hAnsi="宋体" w:eastAsia="宋体" w:cs="宋体"/>
                <w:color w:val="auto"/>
                <w:sz w:val="24"/>
                <w:szCs w:val="24"/>
                <w:lang w:val="en-US" w:eastAsia="zh-CN"/>
              </w:rPr>
              <w:t>.平车头尾带有对角输液架插孔，并配有1个输液架，方便患者输液；</w:t>
            </w:r>
          </w:p>
          <w:p w14:paraId="602AC5AC">
            <w:pPr>
              <w:bidi w:val="0"/>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hAnsi="宋体" w:cs="宋体"/>
                <w:color w:val="auto"/>
                <w:sz w:val="24"/>
                <w:szCs w:val="24"/>
                <w:lang w:val="en-US" w:eastAsia="zh-CN"/>
              </w:rPr>
              <w:t>1</w:t>
            </w:r>
            <w:r>
              <w:rPr>
                <w:rFonts w:hint="eastAsia" w:ascii="宋体" w:hAnsi="宋体" w:eastAsia="宋体" w:cs="宋体"/>
                <w:color w:val="auto"/>
                <w:sz w:val="24"/>
                <w:szCs w:val="24"/>
                <w:lang w:val="en-US" w:eastAsia="zh-CN"/>
              </w:rPr>
              <w:t>.辅助装置：带有厚度3CM牛津布车垫，带有2条安全绑带，在紧急运送病人时，可保护病人不从运送推车掉落。</w:t>
            </w:r>
          </w:p>
          <w:p w14:paraId="2CF038D2">
            <w:pPr>
              <w:bidi w:val="0"/>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三、基本配置清单：</w:t>
            </w:r>
          </w:p>
          <w:p w14:paraId="756B7788">
            <w:pPr>
              <w:bidi w:val="0"/>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1.床体1套</w:t>
            </w:r>
          </w:p>
          <w:p w14:paraId="4BC3C129">
            <w:pPr>
              <w:bidi w:val="0"/>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2.床垫1张</w:t>
            </w:r>
          </w:p>
          <w:p w14:paraId="1CFD9E29">
            <w:pPr>
              <w:bidi w:val="0"/>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3.护栏1副</w:t>
            </w:r>
          </w:p>
          <w:p w14:paraId="2A12E8E0">
            <w:pPr>
              <w:bidi w:val="0"/>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4.输液杆架1根</w:t>
            </w:r>
          </w:p>
          <w:p w14:paraId="47FA1720">
            <w:pPr>
              <w:bidi w:val="0"/>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5.氧气瓶架1个</w:t>
            </w:r>
          </w:p>
          <w:p w14:paraId="4E03A678">
            <w:pPr>
              <w:bidi w:val="0"/>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6.脚轮4个</w:t>
            </w:r>
          </w:p>
          <w:p w14:paraId="0AA5084F">
            <w:pPr>
              <w:bidi w:val="0"/>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7.摇把1套</w:t>
            </w:r>
          </w:p>
          <w:p w14:paraId="7107A018">
            <w:pPr>
              <w:widowControl/>
              <w:spacing w:line="240" w:lineRule="auto"/>
              <w:jc w:val="both"/>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lang w:val="en-US" w:eastAsia="zh-CN"/>
              </w:rPr>
              <w:t>8.产品说明书1套</w:t>
            </w:r>
          </w:p>
        </w:tc>
        <w:tc>
          <w:tcPr>
            <w:tcW w:w="723" w:type="dxa"/>
            <w:noWrap w:val="0"/>
            <w:vAlign w:val="center"/>
          </w:tcPr>
          <w:p w14:paraId="0C633B96">
            <w:pPr>
              <w:keepNext w:val="0"/>
              <w:keepLines w:val="0"/>
              <w:widowControl/>
              <w:suppressLineNumbers w:val="0"/>
              <w:ind w:left="0" w:leftChars="0"/>
              <w:jc w:val="center"/>
              <w:textAlignment w:val="top"/>
              <w:rPr>
                <w:rFonts w:hint="eastAsia" w:ascii="宋体" w:hAnsi="宋体" w:eastAsia="宋体" w:cs="宋体"/>
                <w:i w:val="0"/>
                <w:iCs w:val="0"/>
                <w:color w:val="000000"/>
                <w:kern w:val="0"/>
                <w:sz w:val="24"/>
                <w:szCs w:val="24"/>
                <w:u w:val="none"/>
                <w:lang w:val="en-US" w:eastAsia="zh-CN"/>
              </w:rPr>
            </w:pPr>
          </w:p>
          <w:p w14:paraId="42290747">
            <w:pPr>
              <w:keepNext w:val="0"/>
              <w:keepLines w:val="0"/>
              <w:widowControl/>
              <w:suppressLineNumbers w:val="0"/>
              <w:ind w:left="0" w:leftChars="0"/>
              <w:jc w:val="center"/>
              <w:textAlignment w:val="top"/>
              <w:rPr>
                <w:rFonts w:hint="eastAsia" w:ascii="宋体" w:hAnsi="宋体" w:eastAsia="宋体" w:cs="宋体"/>
                <w:i w:val="0"/>
                <w:iCs w:val="0"/>
                <w:color w:val="000000"/>
                <w:kern w:val="0"/>
                <w:sz w:val="24"/>
                <w:szCs w:val="24"/>
                <w:u w:val="none"/>
                <w:lang w:val="en-US" w:eastAsia="zh-CN"/>
              </w:rPr>
            </w:pPr>
          </w:p>
          <w:p w14:paraId="6D47AF50">
            <w:pPr>
              <w:keepNext w:val="0"/>
              <w:keepLines w:val="0"/>
              <w:widowControl/>
              <w:suppressLineNumbers w:val="0"/>
              <w:ind w:left="0" w:leftChars="0"/>
              <w:jc w:val="center"/>
              <w:textAlignment w:val="top"/>
              <w:rPr>
                <w:rFonts w:hint="eastAsia" w:ascii="宋体" w:hAnsi="宋体" w:eastAsia="宋体" w:cs="宋体"/>
                <w:i w:val="0"/>
                <w:iCs w:val="0"/>
                <w:color w:val="000000"/>
                <w:kern w:val="0"/>
                <w:sz w:val="24"/>
                <w:szCs w:val="24"/>
                <w:u w:val="none"/>
                <w:lang w:val="en-US" w:eastAsia="zh-CN"/>
              </w:rPr>
            </w:pPr>
          </w:p>
          <w:p w14:paraId="04CFCE25">
            <w:pPr>
              <w:keepNext w:val="0"/>
              <w:keepLines w:val="0"/>
              <w:widowControl/>
              <w:suppressLineNumbers w:val="0"/>
              <w:ind w:left="0" w:leftChars="0"/>
              <w:jc w:val="center"/>
              <w:textAlignment w:val="top"/>
              <w:rPr>
                <w:rFonts w:hint="eastAsia" w:ascii="宋体" w:hAnsi="宋体" w:eastAsia="宋体" w:cs="宋体"/>
                <w:b w:val="0"/>
                <w:bCs w:val="0"/>
                <w:color w:val="auto"/>
                <w:sz w:val="24"/>
                <w:szCs w:val="24"/>
                <w:lang w:val="en-US" w:eastAsia="zh-CN"/>
              </w:rPr>
            </w:pPr>
            <w:r>
              <w:rPr>
                <w:rFonts w:hint="eastAsia" w:ascii="宋体" w:hAnsi="宋体" w:eastAsia="宋体" w:cs="宋体"/>
                <w:i w:val="0"/>
                <w:iCs w:val="0"/>
                <w:color w:val="000000"/>
                <w:kern w:val="0"/>
                <w:sz w:val="24"/>
                <w:szCs w:val="24"/>
                <w:u w:val="none"/>
                <w:lang w:val="en-US" w:eastAsia="zh-CN"/>
              </w:rPr>
              <w:t>2</w:t>
            </w:r>
          </w:p>
        </w:tc>
        <w:tc>
          <w:tcPr>
            <w:tcW w:w="759" w:type="dxa"/>
            <w:noWrap w:val="0"/>
            <w:vAlign w:val="center"/>
          </w:tcPr>
          <w:p w14:paraId="3BBFED5D">
            <w:pPr>
              <w:keepNext w:val="0"/>
              <w:keepLines w:val="0"/>
              <w:widowControl/>
              <w:suppressLineNumbers w:val="0"/>
              <w:ind w:left="0" w:leftChars="0"/>
              <w:jc w:val="center"/>
              <w:textAlignment w:val="top"/>
              <w:rPr>
                <w:rFonts w:hint="eastAsia" w:ascii="宋体" w:hAnsi="宋体" w:eastAsia="宋体" w:cs="宋体"/>
                <w:i w:val="0"/>
                <w:iCs w:val="0"/>
                <w:color w:val="000000"/>
                <w:kern w:val="0"/>
                <w:sz w:val="24"/>
                <w:szCs w:val="24"/>
                <w:u w:val="none"/>
                <w:lang w:val="en-US" w:eastAsia="zh-CN"/>
              </w:rPr>
            </w:pPr>
          </w:p>
          <w:p w14:paraId="0CF6B4CD">
            <w:pPr>
              <w:keepNext w:val="0"/>
              <w:keepLines w:val="0"/>
              <w:widowControl/>
              <w:suppressLineNumbers w:val="0"/>
              <w:ind w:left="0" w:leftChars="0"/>
              <w:jc w:val="center"/>
              <w:textAlignment w:val="top"/>
              <w:rPr>
                <w:rFonts w:hint="eastAsia" w:ascii="宋体" w:hAnsi="宋体" w:eastAsia="宋体" w:cs="宋体"/>
                <w:i w:val="0"/>
                <w:iCs w:val="0"/>
                <w:color w:val="000000"/>
                <w:kern w:val="0"/>
                <w:sz w:val="24"/>
                <w:szCs w:val="24"/>
                <w:u w:val="none"/>
                <w:lang w:val="en-US" w:eastAsia="zh-CN"/>
              </w:rPr>
            </w:pPr>
          </w:p>
          <w:p w14:paraId="4F6AEABD">
            <w:pPr>
              <w:keepNext w:val="0"/>
              <w:keepLines w:val="0"/>
              <w:widowControl/>
              <w:suppressLineNumbers w:val="0"/>
              <w:ind w:left="0" w:leftChars="0"/>
              <w:jc w:val="center"/>
              <w:textAlignment w:val="top"/>
              <w:rPr>
                <w:rFonts w:hint="eastAsia" w:ascii="宋体" w:hAnsi="宋体" w:eastAsia="宋体" w:cs="宋体"/>
                <w:i w:val="0"/>
                <w:iCs w:val="0"/>
                <w:color w:val="000000"/>
                <w:kern w:val="0"/>
                <w:sz w:val="24"/>
                <w:szCs w:val="24"/>
                <w:u w:val="none"/>
                <w:lang w:val="en-US" w:eastAsia="zh-CN"/>
              </w:rPr>
            </w:pPr>
          </w:p>
          <w:p w14:paraId="0BEE456D">
            <w:pPr>
              <w:keepNext w:val="0"/>
              <w:keepLines w:val="0"/>
              <w:widowControl/>
              <w:suppressLineNumbers w:val="0"/>
              <w:ind w:left="0" w:leftChars="0"/>
              <w:jc w:val="center"/>
              <w:textAlignment w:val="top"/>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rPr>
              <w:t>台</w:t>
            </w:r>
          </w:p>
        </w:tc>
      </w:tr>
      <w:tr w14:paraId="4C5F5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0" w:hRule="atLeast"/>
          <w:jc w:val="center"/>
        </w:trPr>
        <w:tc>
          <w:tcPr>
            <w:tcW w:w="629" w:type="dxa"/>
            <w:noWrap/>
            <w:vAlign w:val="center"/>
          </w:tcPr>
          <w:p w14:paraId="1D6B7053">
            <w:pPr>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w:t>
            </w:r>
            <w:r>
              <w:rPr>
                <w:rFonts w:hint="eastAsia" w:hAnsi="宋体" w:cs="宋体"/>
                <w:b w:val="0"/>
                <w:bCs w:val="0"/>
                <w:color w:val="auto"/>
                <w:kern w:val="2"/>
                <w:sz w:val="24"/>
                <w:szCs w:val="24"/>
                <w:lang w:val="en-US" w:eastAsia="zh-CN" w:bidi="ar-SA"/>
              </w:rPr>
              <w:t>4</w:t>
            </w:r>
          </w:p>
        </w:tc>
        <w:tc>
          <w:tcPr>
            <w:tcW w:w="998" w:type="dxa"/>
            <w:noWrap/>
            <w:vAlign w:val="center"/>
          </w:tcPr>
          <w:p w14:paraId="305DBEC6">
            <w:pPr>
              <w:bidi w:val="0"/>
              <w:spacing w:line="240" w:lineRule="auto"/>
              <w:ind w:left="0" w:lef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空调</w:t>
            </w:r>
          </w:p>
        </w:tc>
        <w:tc>
          <w:tcPr>
            <w:tcW w:w="4808" w:type="dxa"/>
            <w:noWrap/>
            <w:vAlign w:val="center"/>
          </w:tcPr>
          <w:p w14:paraId="4B16FCAE">
            <w:pPr>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1.类型：立柜式</w:t>
            </w:r>
          </w:p>
          <w:p w14:paraId="108038CE">
            <w:pPr>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2.能效等级：一级能效</w:t>
            </w:r>
          </w:p>
          <w:p w14:paraId="64A30473">
            <w:pPr>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3.变频/定频：变频</w:t>
            </w:r>
          </w:p>
          <w:p w14:paraId="0BEA1177">
            <w:pPr>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4.冷暖类型：冷暖</w:t>
            </w:r>
          </w:p>
          <w:p w14:paraId="1A6EAB5C">
            <w:pPr>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5.制冷功率：≧2090W</w:t>
            </w:r>
          </w:p>
          <w:p w14:paraId="0F4F019B">
            <w:pPr>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6.制冷量：≧7210W</w:t>
            </w:r>
          </w:p>
          <w:p w14:paraId="0009BAAB">
            <w:pPr>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7.外机最大噪声：≦56dB(A)</w:t>
            </w:r>
          </w:p>
          <w:p w14:paraId="5E18D4E4">
            <w:pPr>
              <w:spacing w:line="240" w:lineRule="auto"/>
              <w:rPr>
                <w:ins w:id="3" w:author="熊雪晨" w:date="2025-12-23T10:31:59Z"/>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8.内机最大噪声：≦46dB(A)</w:t>
            </w:r>
          </w:p>
          <w:p w14:paraId="7CD659B2">
            <w:pPr>
              <w:spacing w:line="240" w:lineRule="auto"/>
              <w:rPr>
                <w:rFonts w:hint="eastAsia" w:ascii="宋体" w:hAnsi="宋体" w:eastAsia="宋体" w:cs="宋体"/>
                <w:b w:val="0"/>
                <w:bCs w:val="0"/>
                <w:color w:val="auto"/>
                <w:kern w:val="2"/>
                <w:sz w:val="24"/>
                <w:szCs w:val="24"/>
                <w:lang w:val="en-US" w:eastAsia="zh-CN" w:bidi="ar-SA"/>
              </w:rPr>
            </w:pPr>
            <w:r>
              <w:rPr>
                <w:rFonts w:hint="eastAsia"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lang w:val="en-US" w:eastAsia="zh-CN"/>
              </w:rPr>
              <w:t>符合国家最新强制性标准，提供</w:t>
            </w:r>
            <w:r>
              <w:rPr>
                <w:rFonts w:hint="eastAsia" w:ascii="宋体" w:hAnsi="宋体" w:cs="宋体"/>
                <w:b/>
                <w:bCs/>
                <w:sz w:val="24"/>
                <w:szCs w:val="24"/>
                <w:lang w:val="en-US" w:eastAsia="zh-CN"/>
              </w:rPr>
              <w:t>强制节能</w:t>
            </w:r>
            <w:r>
              <w:rPr>
                <w:rFonts w:hint="eastAsia" w:ascii="宋体" w:hAnsi="宋体" w:eastAsia="宋体" w:cs="宋体"/>
                <w:b/>
                <w:bCs/>
                <w:color w:val="auto"/>
                <w:sz w:val="24"/>
                <w:szCs w:val="24"/>
                <w:highlight w:val="none"/>
                <w:lang w:val="en-US" w:eastAsia="zh-CN"/>
              </w:rPr>
              <w:t>认证证书</w:t>
            </w:r>
            <w:r>
              <w:rPr>
                <w:rFonts w:hint="eastAsia" w:hAnsi="宋体" w:cs="宋体"/>
                <w:b/>
                <w:bCs/>
                <w:color w:val="auto"/>
                <w:sz w:val="24"/>
                <w:szCs w:val="24"/>
                <w:highlight w:val="none"/>
                <w:lang w:val="en-US" w:eastAsia="zh-CN"/>
              </w:rPr>
              <w:t>（实质性要求）</w:t>
            </w:r>
          </w:p>
        </w:tc>
        <w:tc>
          <w:tcPr>
            <w:tcW w:w="723" w:type="dxa"/>
            <w:noWrap w:val="0"/>
            <w:vAlign w:val="center"/>
          </w:tcPr>
          <w:p w14:paraId="3472D764">
            <w:pPr>
              <w:keepNext w:val="0"/>
              <w:keepLines w:val="0"/>
              <w:widowControl/>
              <w:suppressLineNumbers w:val="0"/>
              <w:ind w:left="0" w:leftChars="0"/>
              <w:jc w:val="center"/>
              <w:textAlignment w:val="center"/>
              <w:rPr>
                <w:rFonts w:hint="eastAsia" w:ascii="宋体" w:hAnsi="宋体" w:eastAsia="宋体" w:cs="宋体"/>
                <w:b w:val="0"/>
                <w:bCs/>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rPr>
              <w:t>2</w:t>
            </w:r>
          </w:p>
        </w:tc>
        <w:tc>
          <w:tcPr>
            <w:tcW w:w="759" w:type="dxa"/>
            <w:noWrap w:val="0"/>
            <w:vAlign w:val="center"/>
          </w:tcPr>
          <w:p w14:paraId="275493FE">
            <w:pPr>
              <w:keepNext w:val="0"/>
              <w:keepLines w:val="0"/>
              <w:widowControl/>
              <w:suppressLineNumbers w:val="0"/>
              <w:ind w:left="0" w:leftChars="0"/>
              <w:jc w:val="center"/>
              <w:textAlignment w:val="center"/>
              <w:rPr>
                <w:rFonts w:hint="eastAsia" w:ascii="宋体" w:hAnsi="宋体" w:eastAsia="宋体" w:cs="宋体"/>
                <w:b w:val="0"/>
                <w:bCs/>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rPr>
              <w:t>台</w:t>
            </w:r>
          </w:p>
        </w:tc>
      </w:tr>
    </w:tbl>
    <w:p w14:paraId="178E8FB8">
      <w:pPr>
        <w:rPr>
          <w:rFonts w:hint="eastAsia"/>
          <w:sz w:val="22"/>
          <w:szCs w:val="22"/>
        </w:rPr>
      </w:pPr>
    </w:p>
    <w:p w14:paraId="5CE4ADC3">
      <w:pPr>
        <w:rPr>
          <w:rFonts w:hint="eastAsia"/>
          <w:sz w:val="22"/>
          <w:szCs w:val="22"/>
        </w:rPr>
      </w:pPr>
    </w:p>
    <w:p w14:paraId="2B8976AF">
      <w:pPr>
        <w:rPr>
          <w:rFonts w:hint="eastAsia"/>
          <w:sz w:val="22"/>
          <w:szCs w:val="22"/>
        </w:rPr>
      </w:pPr>
    </w:p>
    <w:p w14:paraId="552B9A74">
      <w:pPr>
        <w:rPr>
          <w:rFonts w:hint="eastAsia"/>
          <w:sz w:val="22"/>
          <w:szCs w:val="22"/>
        </w:rPr>
      </w:pPr>
    </w:p>
    <w:p w14:paraId="5BCF3271">
      <w:pPr>
        <w:rPr>
          <w:rFonts w:hint="eastAsia"/>
          <w:sz w:val="22"/>
          <w:szCs w:val="22"/>
        </w:rPr>
      </w:pPr>
    </w:p>
    <w:p w14:paraId="03C4F952">
      <w:pPr>
        <w:rPr>
          <w:rFonts w:hint="eastAsia"/>
          <w:sz w:val="22"/>
          <w:szCs w:val="22"/>
        </w:rPr>
      </w:pPr>
    </w:p>
    <w:p w14:paraId="74E99ED7">
      <w:pPr>
        <w:rPr>
          <w:rFonts w:hint="eastAsia"/>
          <w:sz w:val="22"/>
          <w:szCs w:val="22"/>
        </w:rPr>
      </w:pPr>
    </w:p>
    <w:p w14:paraId="4962038A">
      <w:pPr>
        <w:pStyle w:val="15"/>
        <w:rPr>
          <w:rFonts w:hint="eastAsia"/>
          <w:sz w:val="22"/>
          <w:szCs w:val="22"/>
        </w:rPr>
      </w:pPr>
    </w:p>
    <w:p w14:paraId="1A1F290F">
      <w:pPr>
        <w:pStyle w:val="15"/>
        <w:rPr>
          <w:rFonts w:hint="eastAsia"/>
          <w:sz w:val="22"/>
          <w:szCs w:val="22"/>
        </w:rPr>
      </w:pPr>
    </w:p>
    <w:p w14:paraId="77E5F1A0">
      <w:pPr>
        <w:pStyle w:val="15"/>
        <w:rPr>
          <w:rFonts w:hint="eastAsia"/>
          <w:sz w:val="22"/>
          <w:szCs w:val="22"/>
        </w:rPr>
      </w:pPr>
    </w:p>
    <w:p w14:paraId="186E3FBE">
      <w:pPr>
        <w:pStyle w:val="15"/>
        <w:rPr>
          <w:rFonts w:hint="eastAsia"/>
          <w:sz w:val="22"/>
          <w:szCs w:val="22"/>
        </w:rPr>
      </w:pPr>
    </w:p>
    <w:p w14:paraId="4768482B">
      <w:pPr>
        <w:pStyle w:val="15"/>
        <w:rPr>
          <w:rFonts w:hint="eastAsia"/>
          <w:sz w:val="22"/>
          <w:szCs w:val="22"/>
        </w:rPr>
      </w:pPr>
    </w:p>
    <w:p w14:paraId="2EFEFD6E">
      <w:pPr>
        <w:pStyle w:val="15"/>
        <w:rPr>
          <w:rFonts w:hint="eastAsia"/>
          <w:sz w:val="22"/>
          <w:szCs w:val="22"/>
        </w:rPr>
      </w:pPr>
    </w:p>
    <w:p w14:paraId="2E001535">
      <w:pPr>
        <w:pStyle w:val="15"/>
        <w:rPr>
          <w:rFonts w:hint="eastAsia"/>
          <w:b/>
          <w:bCs/>
          <w:sz w:val="22"/>
          <w:szCs w:val="22"/>
          <w:lang w:val="en-US" w:eastAsia="zh-CN"/>
        </w:rPr>
      </w:pPr>
    </w:p>
    <w:p w14:paraId="7EBE3098">
      <w:pPr>
        <w:pStyle w:val="15"/>
        <w:rPr>
          <w:rFonts w:hint="eastAsia"/>
          <w:b/>
          <w:bCs/>
          <w:sz w:val="22"/>
          <w:szCs w:val="22"/>
          <w:lang w:val="en-US" w:eastAsia="zh-CN"/>
        </w:rPr>
      </w:pPr>
    </w:p>
    <w:p w14:paraId="7CB21210">
      <w:pPr>
        <w:pStyle w:val="15"/>
        <w:rPr>
          <w:rFonts w:hint="eastAsia"/>
          <w:b/>
          <w:bCs/>
          <w:sz w:val="22"/>
          <w:szCs w:val="22"/>
          <w:lang w:val="en-US" w:eastAsia="zh-CN"/>
        </w:rPr>
      </w:pPr>
    </w:p>
    <w:p w14:paraId="60E884E7">
      <w:pPr>
        <w:pStyle w:val="15"/>
        <w:rPr>
          <w:rFonts w:hint="eastAsia"/>
          <w:b/>
          <w:bCs/>
          <w:sz w:val="22"/>
          <w:szCs w:val="22"/>
          <w:lang w:val="en-US" w:eastAsia="zh-CN"/>
        </w:rPr>
      </w:pPr>
      <w:r>
        <w:rPr>
          <w:rFonts w:hint="eastAsia"/>
          <w:b/>
          <w:bCs/>
          <w:sz w:val="22"/>
          <w:szCs w:val="22"/>
          <w:lang w:val="en-US" w:eastAsia="zh-CN"/>
        </w:rPr>
        <w:t>02包</w:t>
      </w:r>
    </w:p>
    <w:tbl>
      <w:tblPr>
        <w:tblStyle w:val="16"/>
        <w:tblW w:w="7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
      <w:tblGrid>
        <w:gridCol w:w="629"/>
        <w:gridCol w:w="998"/>
        <w:gridCol w:w="4808"/>
        <w:gridCol w:w="723"/>
        <w:gridCol w:w="759"/>
      </w:tblGrid>
      <w:tr w14:paraId="25622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66" w:hRule="atLeast"/>
          <w:jc w:val="center"/>
        </w:trPr>
        <w:tc>
          <w:tcPr>
            <w:tcW w:w="629" w:type="dxa"/>
            <w:noWrap/>
            <w:vAlign w:val="center"/>
          </w:tcPr>
          <w:p w14:paraId="430CDB75">
            <w:pPr>
              <w:bidi w:val="0"/>
              <w:spacing w:line="240" w:lineRule="auto"/>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sz w:val="24"/>
                <w:szCs w:val="24"/>
                <w:highlight w:val="none"/>
              </w:rPr>
              <w:t>序号</w:t>
            </w:r>
          </w:p>
        </w:tc>
        <w:tc>
          <w:tcPr>
            <w:tcW w:w="998" w:type="dxa"/>
            <w:noWrap/>
            <w:vAlign w:val="center"/>
          </w:tcPr>
          <w:p w14:paraId="1E089168">
            <w:pPr>
              <w:bidi w:val="0"/>
              <w:spacing w:line="24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highlight w:val="none"/>
              </w:rPr>
              <w:t>产品名称</w:t>
            </w:r>
          </w:p>
        </w:tc>
        <w:tc>
          <w:tcPr>
            <w:tcW w:w="4808" w:type="dxa"/>
            <w:noWrap/>
            <w:vAlign w:val="center"/>
          </w:tcPr>
          <w:p w14:paraId="2A55BA8E">
            <w:pPr>
              <w:bidi w:val="0"/>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highlight w:val="none"/>
              </w:rPr>
              <w:t>主要功能与技术要求</w:t>
            </w:r>
          </w:p>
        </w:tc>
        <w:tc>
          <w:tcPr>
            <w:tcW w:w="723" w:type="dxa"/>
            <w:noWrap w:val="0"/>
            <w:vAlign w:val="center"/>
          </w:tcPr>
          <w:p w14:paraId="2F88A7B6">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b/>
                <w:bCs/>
                <w:i w:val="0"/>
                <w:iCs w:val="0"/>
                <w:color w:val="000000"/>
                <w:kern w:val="0"/>
                <w:sz w:val="24"/>
                <w:szCs w:val="24"/>
                <w:u w:val="none"/>
                <w:lang w:val="en-US" w:eastAsia="zh-CN"/>
              </w:rPr>
              <w:t>数量（实质性要求）</w:t>
            </w:r>
          </w:p>
        </w:tc>
        <w:tc>
          <w:tcPr>
            <w:tcW w:w="759" w:type="dxa"/>
            <w:noWrap w:val="0"/>
            <w:vAlign w:val="center"/>
          </w:tcPr>
          <w:p w14:paraId="64FE2856">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b/>
                <w:bCs/>
                <w:i w:val="0"/>
                <w:iCs w:val="0"/>
                <w:color w:val="000000"/>
                <w:kern w:val="0"/>
                <w:sz w:val="24"/>
                <w:szCs w:val="24"/>
                <w:u w:val="none"/>
                <w:lang w:val="en-US" w:eastAsia="zh-CN"/>
              </w:rPr>
              <w:t>单位（实质性要求）</w:t>
            </w:r>
          </w:p>
        </w:tc>
      </w:tr>
      <w:tr w14:paraId="4F6E3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0" w:hRule="atLeast"/>
          <w:jc w:val="center"/>
        </w:trPr>
        <w:tc>
          <w:tcPr>
            <w:tcW w:w="629" w:type="dxa"/>
            <w:noWrap/>
            <w:vAlign w:val="center"/>
          </w:tcPr>
          <w:p w14:paraId="6187704F">
            <w:pPr>
              <w:spacing w:line="240" w:lineRule="auto"/>
              <w:ind w:left="0" w:lef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sz w:val="24"/>
                <w:szCs w:val="24"/>
                <w:highlight w:val="none"/>
              </w:rPr>
              <w:t>1</w:t>
            </w:r>
          </w:p>
        </w:tc>
        <w:tc>
          <w:tcPr>
            <w:tcW w:w="998" w:type="dxa"/>
            <w:noWrap/>
            <w:vAlign w:val="center"/>
          </w:tcPr>
          <w:p w14:paraId="6D2D5971">
            <w:pPr>
              <w:bidi w:val="0"/>
              <w:spacing w:line="24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highlight w:val="none"/>
                <w:lang w:val="en-US" w:eastAsia="zh-CN"/>
              </w:rPr>
              <w:t>外科手臂缝合训练模型</w:t>
            </w:r>
          </w:p>
        </w:tc>
        <w:tc>
          <w:tcPr>
            <w:tcW w:w="4808" w:type="dxa"/>
            <w:noWrap/>
            <w:vAlign w:val="center"/>
          </w:tcPr>
          <w:p w14:paraId="5EB8E772">
            <w:pPr>
              <w:bidi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1.模型为成人手臂，可进行切开、缝合、拆线、包扎等外科基本技能的练习。</w:t>
            </w:r>
          </w:p>
          <w:p w14:paraId="24F06E68">
            <w:pPr>
              <w:bidi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2.皮肤弹性和柔韧性，触感真实，可反复进行多次缝合练习。</w:t>
            </w:r>
          </w:p>
          <w:p w14:paraId="35F54A05">
            <w:pPr>
              <w:bidi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3.提供手术切口。</w:t>
            </w:r>
          </w:p>
          <w:p w14:paraId="7D532D9D">
            <w:pPr>
              <w:bidi w:val="0"/>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4.除已有的伤口外，还可自行在其他部位切开进行缝合练习。</w:t>
            </w:r>
          </w:p>
        </w:tc>
        <w:tc>
          <w:tcPr>
            <w:tcW w:w="723" w:type="dxa"/>
            <w:noWrap w:val="0"/>
            <w:vAlign w:val="center"/>
          </w:tcPr>
          <w:p w14:paraId="71F34905">
            <w:pPr>
              <w:ind w:left="0" w:leftChars="0"/>
              <w:jc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color w:val="000000"/>
                <w:sz w:val="24"/>
                <w:szCs w:val="24"/>
                <w:lang w:val="en-US" w:eastAsia="zh-CN"/>
              </w:rPr>
              <w:t>10</w:t>
            </w:r>
          </w:p>
        </w:tc>
        <w:tc>
          <w:tcPr>
            <w:tcW w:w="759" w:type="dxa"/>
            <w:noWrap w:val="0"/>
            <w:vAlign w:val="center"/>
          </w:tcPr>
          <w:p w14:paraId="402C5EB1">
            <w:pPr>
              <w:ind w:left="0" w:leftChars="0"/>
              <w:jc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color w:val="000000"/>
                <w:sz w:val="24"/>
                <w:szCs w:val="24"/>
              </w:rPr>
              <w:t>套</w:t>
            </w:r>
          </w:p>
        </w:tc>
      </w:tr>
      <w:tr w14:paraId="6C933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0" w:hRule="atLeast"/>
          <w:jc w:val="center"/>
        </w:trPr>
        <w:tc>
          <w:tcPr>
            <w:tcW w:w="629" w:type="dxa"/>
            <w:noWrap/>
            <w:vAlign w:val="center"/>
          </w:tcPr>
          <w:p w14:paraId="13A4F7DB">
            <w:pPr>
              <w:spacing w:line="240" w:lineRule="auto"/>
              <w:ind w:left="0" w:lef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sz w:val="24"/>
                <w:szCs w:val="24"/>
                <w:highlight w:val="none"/>
              </w:rPr>
              <w:t>2</w:t>
            </w:r>
          </w:p>
        </w:tc>
        <w:tc>
          <w:tcPr>
            <w:tcW w:w="998" w:type="dxa"/>
            <w:noWrap/>
            <w:vAlign w:val="center"/>
          </w:tcPr>
          <w:p w14:paraId="01AFFFD6">
            <w:pPr>
              <w:bidi w:val="0"/>
              <w:spacing w:line="24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highlight w:val="none"/>
                <w:lang w:val="en-US" w:eastAsia="zh-CN"/>
              </w:rPr>
              <w:t>外科腿部缝合训练模型</w:t>
            </w:r>
          </w:p>
        </w:tc>
        <w:tc>
          <w:tcPr>
            <w:tcW w:w="4808" w:type="dxa"/>
            <w:noWrap/>
            <w:vAlign w:val="center"/>
          </w:tcPr>
          <w:p w14:paraId="590BE6D6">
            <w:pPr>
              <w:bidi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1.模型为成人腿部，可进行切开、缝合、拆线、包扎等外科基本技能的练习。</w:t>
            </w:r>
          </w:p>
          <w:p w14:paraId="3312C4D5">
            <w:pPr>
              <w:bidi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2.皮肤弹性和柔韧性，触感真实，可反复进行多次缝合练习。</w:t>
            </w:r>
          </w:p>
          <w:p w14:paraId="6270E35D">
            <w:pPr>
              <w:bidi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3.提供手术切口。</w:t>
            </w:r>
          </w:p>
          <w:p w14:paraId="50A86D5D">
            <w:pPr>
              <w:bidi w:val="0"/>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4.除已有的伤口外，还可自行在其他部位切开进行缝合练习。</w:t>
            </w:r>
          </w:p>
        </w:tc>
        <w:tc>
          <w:tcPr>
            <w:tcW w:w="723" w:type="dxa"/>
            <w:noWrap w:val="0"/>
            <w:vAlign w:val="center"/>
          </w:tcPr>
          <w:p w14:paraId="187DB84A">
            <w:pPr>
              <w:ind w:left="0" w:leftChars="0"/>
              <w:jc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color w:val="000000"/>
                <w:sz w:val="24"/>
                <w:szCs w:val="24"/>
                <w:lang w:val="en-US" w:eastAsia="zh-CN"/>
              </w:rPr>
              <w:t>10</w:t>
            </w:r>
          </w:p>
        </w:tc>
        <w:tc>
          <w:tcPr>
            <w:tcW w:w="759" w:type="dxa"/>
            <w:noWrap w:val="0"/>
            <w:vAlign w:val="center"/>
          </w:tcPr>
          <w:p w14:paraId="6732C976">
            <w:pPr>
              <w:ind w:left="0" w:leftChars="0"/>
              <w:jc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color w:val="000000"/>
                <w:sz w:val="24"/>
                <w:szCs w:val="24"/>
              </w:rPr>
              <w:t>套</w:t>
            </w:r>
          </w:p>
        </w:tc>
      </w:tr>
      <w:tr w14:paraId="028C0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0" w:hRule="atLeast"/>
          <w:jc w:val="center"/>
        </w:trPr>
        <w:tc>
          <w:tcPr>
            <w:tcW w:w="629" w:type="dxa"/>
            <w:noWrap/>
            <w:vAlign w:val="center"/>
          </w:tcPr>
          <w:p w14:paraId="48FA53C1">
            <w:pPr>
              <w:spacing w:line="240" w:lineRule="auto"/>
              <w:ind w:left="0" w:lef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sz w:val="24"/>
                <w:szCs w:val="24"/>
                <w:highlight w:val="none"/>
              </w:rPr>
              <w:t>3</w:t>
            </w:r>
          </w:p>
        </w:tc>
        <w:tc>
          <w:tcPr>
            <w:tcW w:w="998" w:type="dxa"/>
            <w:noWrap/>
            <w:vAlign w:val="center"/>
          </w:tcPr>
          <w:p w14:paraId="6F512B5A">
            <w:pPr>
              <w:bidi w:val="0"/>
              <w:spacing w:line="24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highlight w:val="none"/>
                <w:lang w:val="en-US" w:eastAsia="zh-CN"/>
              </w:rPr>
              <w:t>创伤模拟模型</w:t>
            </w:r>
          </w:p>
        </w:tc>
        <w:tc>
          <w:tcPr>
            <w:tcW w:w="4808" w:type="dxa"/>
            <w:noWrap/>
            <w:vAlign w:val="center"/>
          </w:tcPr>
          <w:p w14:paraId="44D018C1">
            <w:pPr>
              <w:bidi w:val="0"/>
              <w:spacing w:line="240" w:lineRule="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参数：模拟瞳孔异常、多部位护理操作（鼻饲/导尿/腰椎穿刺等），男女生殖器解剖精准（男性尿道3窄2弯，女性短粗直），含15种创伤模块（烧伤/骨折/脏器外露等），四肢可活动。</w:t>
            </w:r>
          </w:p>
          <w:p w14:paraId="018D9AB9">
            <w:pPr>
              <w:bidi w:val="0"/>
              <w:spacing w:line="240" w:lineRule="auto"/>
              <w:rPr>
                <w:rFonts w:hint="eastAsia" w:ascii="宋体" w:hAnsi="宋体" w:eastAsia="宋体" w:cs="宋体"/>
                <w:color w:val="auto"/>
                <w:sz w:val="24"/>
                <w:szCs w:val="24"/>
                <w:lang w:val="en-US" w:eastAsia="zh-CN"/>
              </w:rPr>
            </w:pP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能力：训练基础护理、专科操作（</w:t>
            </w:r>
            <w:r>
              <w:rPr>
                <w:rFonts w:hint="eastAsia" w:hAnsi="宋体" w:cs="宋体"/>
                <w:color w:val="auto"/>
                <w:sz w:val="24"/>
                <w:szCs w:val="24"/>
                <w:highlight w:val="none"/>
                <w:lang w:val="en-US" w:eastAsia="zh-CN"/>
              </w:rPr>
              <w:t>包括</w:t>
            </w:r>
            <w:r>
              <w:rPr>
                <w:rFonts w:hint="eastAsia" w:ascii="宋体" w:hAnsi="宋体" w:eastAsia="宋体" w:cs="宋体"/>
                <w:color w:val="auto"/>
                <w:sz w:val="24"/>
                <w:szCs w:val="24"/>
                <w:highlight w:val="none"/>
                <w:lang w:val="en-US" w:eastAsia="zh-CN"/>
              </w:rPr>
              <w:t>气管切开、造瘘护理）、创伤应急处置，培养临床思维与多技能协同能力。</w:t>
            </w:r>
          </w:p>
        </w:tc>
        <w:tc>
          <w:tcPr>
            <w:tcW w:w="723" w:type="dxa"/>
            <w:noWrap w:val="0"/>
            <w:vAlign w:val="center"/>
          </w:tcPr>
          <w:p w14:paraId="0ECC2284">
            <w:pPr>
              <w:ind w:left="0" w:leftChars="0"/>
              <w:jc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color w:val="000000"/>
                <w:sz w:val="24"/>
                <w:szCs w:val="24"/>
                <w:lang w:val="en-US" w:eastAsia="zh-CN"/>
              </w:rPr>
              <w:t>2</w:t>
            </w:r>
          </w:p>
        </w:tc>
        <w:tc>
          <w:tcPr>
            <w:tcW w:w="759" w:type="dxa"/>
            <w:noWrap w:val="0"/>
            <w:vAlign w:val="center"/>
          </w:tcPr>
          <w:p w14:paraId="4E1D247B">
            <w:pPr>
              <w:ind w:left="0" w:leftChars="0"/>
              <w:jc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color w:val="000000"/>
                <w:sz w:val="24"/>
                <w:szCs w:val="24"/>
              </w:rPr>
              <w:t>套</w:t>
            </w:r>
          </w:p>
        </w:tc>
      </w:tr>
      <w:tr w14:paraId="7491E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0" w:hRule="atLeast"/>
          <w:jc w:val="center"/>
        </w:trPr>
        <w:tc>
          <w:tcPr>
            <w:tcW w:w="629" w:type="dxa"/>
            <w:noWrap/>
            <w:vAlign w:val="center"/>
          </w:tcPr>
          <w:p w14:paraId="6BBA49BF">
            <w:pPr>
              <w:spacing w:line="240" w:lineRule="auto"/>
              <w:ind w:left="0" w:lef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sz w:val="24"/>
                <w:szCs w:val="24"/>
                <w:highlight w:val="none"/>
              </w:rPr>
              <w:t>4</w:t>
            </w:r>
          </w:p>
        </w:tc>
        <w:tc>
          <w:tcPr>
            <w:tcW w:w="998" w:type="dxa"/>
            <w:noWrap/>
            <w:vAlign w:val="center"/>
          </w:tcPr>
          <w:p w14:paraId="48FF0800">
            <w:pPr>
              <w:bidi w:val="0"/>
              <w:spacing w:line="24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highlight w:val="none"/>
                <w:lang w:val="en-US" w:eastAsia="zh-CN"/>
              </w:rPr>
              <w:t>外科缝合包扎展示模型</w:t>
            </w:r>
          </w:p>
        </w:tc>
        <w:tc>
          <w:tcPr>
            <w:tcW w:w="4808" w:type="dxa"/>
            <w:noWrap/>
            <w:vAlign w:val="center"/>
          </w:tcPr>
          <w:p w14:paraId="788BC374">
            <w:pPr>
              <w:bidi w:val="0"/>
              <w:spacing w:line="240" w:lineRule="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参数：成人躯干，含</w:t>
            </w:r>
            <w:r>
              <w:rPr>
                <w:rFonts w:hint="eastAsia" w:hAnsi="宋体" w:cs="宋体"/>
                <w:color w:val="auto"/>
                <w:sz w:val="24"/>
                <w:szCs w:val="24"/>
                <w:highlight w:val="none"/>
                <w:lang w:val="en-US" w:eastAsia="zh-CN"/>
              </w:rPr>
              <w:t>不低于</w:t>
            </w:r>
            <w:r>
              <w:rPr>
                <w:rFonts w:hint="eastAsia" w:ascii="宋体" w:hAnsi="宋体" w:eastAsia="宋体" w:cs="宋体"/>
                <w:color w:val="auto"/>
                <w:sz w:val="24"/>
                <w:szCs w:val="24"/>
                <w:highlight w:val="none"/>
                <w:lang w:val="en-US" w:eastAsia="zh-CN"/>
              </w:rPr>
              <w:t>20处手术切口（甲状腺切除/胆囊切除等），部分切口用真实缝合器缝合。</w:t>
            </w:r>
          </w:p>
          <w:p w14:paraId="3B973CA8">
            <w:pPr>
              <w:bidi w:val="0"/>
              <w:spacing w:line="240" w:lineRule="auto"/>
              <w:rPr>
                <w:rFonts w:hint="eastAsia" w:ascii="宋体" w:hAnsi="宋体" w:eastAsia="宋体" w:cs="宋体"/>
                <w:color w:val="auto"/>
                <w:sz w:val="24"/>
                <w:szCs w:val="24"/>
                <w:lang w:val="en-US" w:eastAsia="zh-CN"/>
              </w:rPr>
            </w:pP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能力：帮助识别不同手术切口，掌握对应包扎方法，提升外科护理认知与示教观摩效果。</w:t>
            </w:r>
          </w:p>
        </w:tc>
        <w:tc>
          <w:tcPr>
            <w:tcW w:w="723" w:type="dxa"/>
            <w:noWrap w:val="0"/>
            <w:vAlign w:val="center"/>
          </w:tcPr>
          <w:p w14:paraId="73419ADC">
            <w:pPr>
              <w:ind w:left="0" w:leftChars="0"/>
              <w:jc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color w:val="000000"/>
                <w:sz w:val="24"/>
                <w:szCs w:val="24"/>
                <w:lang w:val="en-US" w:eastAsia="zh-CN"/>
              </w:rPr>
              <w:t>10</w:t>
            </w:r>
          </w:p>
        </w:tc>
        <w:tc>
          <w:tcPr>
            <w:tcW w:w="759" w:type="dxa"/>
            <w:noWrap w:val="0"/>
            <w:vAlign w:val="center"/>
          </w:tcPr>
          <w:p w14:paraId="687F98BF">
            <w:pPr>
              <w:ind w:left="0" w:leftChars="0"/>
              <w:jc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color w:val="000000"/>
                <w:sz w:val="24"/>
                <w:szCs w:val="24"/>
              </w:rPr>
              <w:t>套</w:t>
            </w:r>
          </w:p>
        </w:tc>
      </w:tr>
      <w:tr w14:paraId="126D4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0" w:hRule="atLeast"/>
          <w:jc w:val="center"/>
        </w:trPr>
        <w:tc>
          <w:tcPr>
            <w:tcW w:w="629" w:type="dxa"/>
            <w:noWrap/>
            <w:vAlign w:val="center"/>
          </w:tcPr>
          <w:p w14:paraId="2ECC8397">
            <w:pPr>
              <w:spacing w:line="240" w:lineRule="auto"/>
              <w:ind w:left="0" w:lef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sz w:val="24"/>
                <w:szCs w:val="24"/>
                <w:highlight w:val="none"/>
              </w:rPr>
              <w:t>5</w:t>
            </w:r>
          </w:p>
        </w:tc>
        <w:tc>
          <w:tcPr>
            <w:tcW w:w="998" w:type="dxa"/>
            <w:noWrap/>
            <w:vAlign w:val="center"/>
          </w:tcPr>
          <w:p w14:paraId="7F4CB77D">
            <w:pPr>
              <w:bidi w:val="0"/>
              <w:spacing w:line="24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highlight w:val="none"/>
                <w:lang w:val="en-US" w:eastAsia="zh-CN"/>
              </w:rPr>
              <w:t>瘘管造口术模型</w:t>
            </w:r>
          </w:p>
        </w:tc>
        <w:tc>
          <w:tcPr>
            <w:tcW w:w="4808" w:type="dxa"/>
            <w:noWrap/>
            <w:vAlign w:val="center"/>
          </w:tcPr>
          <w:p w14:paraId="0D37706C">
            <w:pPr>
              <w:bidi w:val="0"/>
              <w:spacing w:line="240" w:lineRule="auto"/>
              <w:rPr>
                <w:rFonts w:hint="eastAsia" w:ascii="宋体" w:hAnsi="宋体" w:eastAsia="宋体" w:cs="宋体"/>
                <w:color w:val="auto"/>
                <w:sz w:val="24"/>
                <w:szCs w:val="24"/>
                <w:lang w:val="en-US" w:eastAsia="zh-CN"/>
              </w:rPr>
            </w:pP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造瘘口能进行术后造瘘口的扩大练习、造瘘口冲洗练习、安装护理粪便袋和灌肠练习。</w:t>
            </w:r>
          </w:p>
        </w:tc>
        <w:tc>
          <w:tcPr>
            <w:tcW w:w="723" w:type="dxa"/>
            <w:noWrap w:val="0"/>
            <w:vAlign w:val="center"/>
          </w:tcPr>
          <w:p w14:paraId="2BBF6DDA">
            <w:pPr>
              <w:ind w:left="0" w:leftChars="0"/>
              <w:jc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color w:val="000000"/>
                <w:sz w:val="24"/>
                <w:szCs w:val="24"/>
                <w:lang w:val="en-US" w:eastAsia="zh-CN"/>
              </w:rPr>
              <w:t>4</w:t>
            </w:r>
          </w:p>
        </w:tc>
        <w:tc>
          <w:tcPr>
            <w:tcW w:w="759" w:type="dxa"/>
            <w:noWrap w:val="0"/>
            <w:vAlign w:val="center"/>
          </w:tcPr>
          <w:p w14:paraId="24780876">
            <w:pPr>
              <w:ind w:left="0" w:leftChars="0"/>
              <w:jc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color w:val="000000"/>
                <w:sz w:val="24"/>
                <w:szCs w:val="24"/>
              </w:rPr>
              <w:t>套</w:t>
            </w:r>
          </w:p>
        </w:tc>
      </w:tr>
      <w:tr w14:paraId="4512E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0" w:hRule="atLeast"/>
          <w:jc w:val="center"/>
        </w:trPr>
        <w:tc>
          <w:tcPr>
            <w:tcW w:w="629" w:type="dxa"/>
            <w:noWrap/>
            <w:vAlign w:val="center"/>
          </w:tcPr>
          <w:p w14:paraId="3CD118FC">
            <w:pPr>
              <w:spacing w:line="240" w:lineRule="auto"/>
              <w:ind w:left="0" w:lef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sz w:val="24"/>
                <w:szCs w:val="24"/>
                <w:highlight w:val="none"/>
              </w:rPr>
              <w:t>6</w:t>
            </w:r>
          </w:p>
        </w:tc>
        <w:tc>
          <w:tcPr>
            <w:tcW w:w="998" w:type="dxa"/>
            <w:noWrap/>
            <w:vAlign w:val="center"/>
          </w:tcPr>
          <w:p w14:paraId="4DD9B2E4">
            <w:pPr>
              <w:bidi w:val="0"/>
              <w:spacing w:line="24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highlight w:val="none"/>
                <w:lang w:val="en-US" w:eastAsia="zh-CN"/>
              </w:rPr>
              <w:t>局麻训练工具箱</w:t>
            </w:r>
          </w:p>
        </w:tc>
        <w:tc>
          <w:tcPr>
            <w:tcW w:w="4808" w:type="dxa"/>
            <w:noWrap/>
            <w:vAlign w:val="center"/>
          </w:tcPr>
          <w:p w14:paraId="239F8E67">
            <w:pPr>
              <w:bidi w:val="0"/>
              <w:spacing w:line="240" w:lineRule="auto"/>
              <w:rPr>
                <w:rFonts w:hint="eastAsia" w:ascii="宋体" w:hAnsi="宋体" w:eastAsia="宋体" w:cs="宋体"/>
                <w:color w:val="auto"/>
                <w:sz w:val="24"/>
                <w:szCs w:val="24"/>
                <w:lang w:val="en-US" w:eastAsia="zh-CN"/>
              </w:rPr>
            </w:pP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提供一块皮肤局部浸润麻醉训练模块和环形局部浸润麻醉训练模块，可练习皮肤表面麻醉、局部浸润麻醉、模拟手指的环形局部麻醉。</w:t>
            </w:r>
          </w:p>
        </w:tc>
        <w:tc>
          <w:tcPr>
            <w:tcW w:w="723" w:type="dxa"/>
            <w:noWrap w:val="0"/>
            <w:vAlign w:val="center"/>
          </w:tcPr>
          <w:p w14:paraId="5CC72A8C">
            <w:pPr>
              <w:ind w:left="0" w:leftChars="0"/>
              <w:jc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color w:val="000000"/>
                <w:sz w:val="24"/>
                <w:szCs w:val="24"/>
                <w:lang w:val="en-US" w:eastAsia="zh-CN"/>
              </w:rPr>
              <w:t>1</w:t>
            </w:r>
          </w:p>
        </w:tc>
        <w:tc>
          <w:tcPr>
            <w:tcW w:w="759" w:type="dxa"/>
            <w:noWrap w:val="0"/>
            <w:vAlign w:val="center"/>
          </w:tcPr>
          <w:p w14:paraId="0E2A3D63">
            <w:pPr>
              <w:ind w:left="0" w:leftChars="0"/>
              <w:jc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color w:val="000000"/>
                <w:sz w:val="24"/>
                <w:szCs w:val="24"/>
              </w:rPr>
              <w:t>套</w:t>
            </w:r>
          </w:p>
        </w:tc>
      </w:tr>
      <w:tr w14:paraId="1C6FF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0" w:hRule="atLeast"/>
          <w:jc w:val="center"/>
        </w:trPr>
        <w:tc>
          <w:tcPr>
            <w:tcW w:w="629" w:type="dxa"/>
            <w:noWrap/>
            <w:vAlign w:val="center"/>
          </w:tcPr>
          <w:p w14:paraId="52734E69">
            <w:pPr>
              <w:spacing w:line="240" w:lineRule="auto"/>
              <w:ind w:left="0" w:leftChars="0"/>
              <w:jc w:val="center"/>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rPr>
              <w:t>7</w:t>
            </w:r>
          </w:p>
        </w:tc>
        <w:tc>
          <w:tcPr>
            <w:tcW w:w="998" w:type="dxa"/>
            <w:noWrap/>
            <w:vAlign w:val="center"/>
          </w:tcPr>
          <w:p w14:paraId="7A03C260">
            <w:pPr>
              <w:bidi w:val="0"/>
              <w:spacing w:line="24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highlight w:val="none"/>
                <w:lang w:val="en-US" w:eastAsia="zh-CN"/>
              </w:rPr>
              <w:t>多功能小手术训练工具箱</w:t>
            </w:r>
          </w:p>
        </w:tc>
        <w:tc>
          <w:tcPr>
            <w:tcW w:w="4808" w:type="dxa"/>
            <w:noWrap/>
            <w:vAlign w:val="center"/>
          </w:tcPr>
          <w:p w14:paraId="667450A2">
            <w:pPr>
              <w:bidi w:val="0"/>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1.提供不少于三种皮肤模块：皮脂腺囊肿切除术练习模块，脂肪瘤切除术练习模块，表皮常见病变处理训练模块。</w:t>
            </w:r>
          </w:p>
          <w:p w14:paraId="3EDB4593">
            <w:pPr>
              <w:bidi w:val="0"/>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2.每个模块包含不少于三种病变模型：皮赘、皮肤痣、皮脂溢性角化病。可进行皮赘剪除术、皮肤痣切除术、皮脂溢性角化刮除术等基本技术训练。</w:t>
            </w:r>
          </w:p>
        </w:tc>
        <w:tc>
          <w:tcPr>
            <w:tcW w:w="723" w:type="dxa"/>
            <w:noWrap w:val="0"/>
            <w:vAlign w:val="center"/>
          </w:tcPr>
          <w:p w14:paraId="0AF4B646">
            <w:pPr>
              <w:ind w:left="0" w:leftChars="0"/>
              <w:jc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color w:val="000000"/>
                <w:sz w:val="24"/>
                <w:szCs w:val="24"/>
                <w:lang w:val="en-US" w:eastAsia="zh-CN"/>
              </w:rPr>
              <w:t>1</w:t>
            </w:r>
          </w:p>
        </w:tc>
        <w:tc>
          <w:tcPr>
            <w:tcW w:w="759" w:type="dxa"/>
            <w:noWrap w:val="0"/>
            <w:vAlign w:val="center"/>
          </w:tcPr>
          <w:p w14:paraId="039B54D5">
            <w:pPr>
              <w:ind w:left="0" w:leftChars="0"/>
              <w:jc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color w:val="000000"/>
                <w:sz w:val="24"/>
                <w:szCs w:val="24"/>
              </w:rPr>
              <w:t>套</w:t>
            </w:r>
          </w:p>
        </w:tc>
      </w:tr>
      <w:tr w14:paraId="7DEA2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0" w:hRule="atLeast"/>
          <w:jc w:val="center"/>
        </w:trPr>
        <w:tc>
          <w:tcPr>
            <w:tcW w:w="629" w:type="dxa"/>
            <w:noWrap/>
            <w:vAlign w:val="center"/>
          </w:tcPr>
          <w:p w14:paraId="0EC3C190">
            <w:pPr>
              <w:spacing w:line="240" w:lineRule="auto"/>
              <w:ind w:left="0" w:leftChars="0"/>
              <w:jc w:val="center"/>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lang w:val="en-US" w:eastAsia="zh-CN"/>
              </w:rPr>
              <w:t>8</w:t>
            </w:r>
          </w:p>
        </w:tc>
        <w:tc>
          <w:tcPr>
            <w:tcW w:w="998" w:type="dxa"/>
            <w:noWrap/>
            <w:vAlign w:val="center"/>
          </w:tcPr>
          <w:p w14:paraId="332640B4">
            <w:pPr>
              <w:bidi w:val="0"/>
              <w:spacing w:line="24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highlight w:val="none"/>
                <w:lang w:val="en-US" w:eastAsia="zh-CN"/>
              </w:rPr>
              <w:t>术前无菌操作消毒模型</w:t>
            </w:r>
          </w:p>
        </w:tc>
        <w:tc>
          <w:tcPr>
            <w:tcW w:w="4808" w:type="dxa"/>
            <w:noWrap/>
            <w:vAlign w:val="center"/>
          </w:tcPr>
          <w:p w14:paraId="30A26523">
            <w:pPr>
              <w:bidi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1.标准仿真躯干人体，体表标志精确，外观真实。</w:t>
            </w:r>
          </w:p>
          <w:p w14:paraId="63001D86">
            <w:pPr>
              <w:bidi w:val="0"/>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2.皮肤柔软有弹性，质感逼真，提供消毒、铺巾等操作训练的真实实践环境。</w:t>
            </w:r>
          </w:p>
        </w:tc>
        <w:tc>
          <w:tcPr>
            <w:tcW w:w="723" w:type="dxa"/>
            <w:noWrap w:val="0"/>
            <w:vAlign w:val="center"/>
          </w:tcPr>
          <w:p w14:paraId="5C5AC109">
            <w:pPr>
              <w:ind w:left="0" w:leftChars="0"/>
              <w:jc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color w:val="000000"/>
                <w:sz w:val="24"/>
                <w:szCs w:val="24"/>
                <w:lang w:val="en-US" w:eastAsia="zh-CN"/>
              </w:rPr>
              <w:t>2</w:t>
            </w:r>
          </w:p>
        </w:tc>
        <w:tc>
          <w:tcPr>
            <w:tcW w:w="759" w:type="dxa"/>
            <w:noWrap w:val="0"/>
            <w:vAlign w:val="center"/>
          </w:tcPr>
          <w:p w14:paraId="72D0168C">
            <w:pPr>
              <w:ind w:left="0" w:leftChars="0"/>
              <w:jc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color w:val="000000"/>
                <w:sz w:val="24"/>
                <w:szCs w:val="24"/>
              </w:rPr>
              <w:t>套</w:t>
            </w:r>
          </w:p>
        </w:tc>
      </w:tr>
      <w:tr w14:paraId="0314C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0" w:hRule="atLeast"/>
          <w:jc w:val="center"/>
        </w:trPr>
        <w:tc>
          <w:tcPr>
            <w:tcW w:w="629" w:type="dxa"/>
            <w:noWrap/>
            <w:vAlign w:val="center"/>
          </w:tcPr>
          <w:p w14:paraId="3FDC3A8A">
            <w:pPr>
              <w:spacing w:line="240" w:lineRule="auto"/>
              <w:ind w:left="0" w:leftChars="0"/>
              <w:jc w:val="center"/>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lang w:val="en-US" w:eastAsia="zh-CN"/>
              </w:rPr>
              <w:t>9</w:t>
            </w:r>
          </w:p>
        </w:tc>
        <w:tc>
          <w:tcPr>
            <w:tcW w:w="998" w:type="dxa"/>
            <w:noWrap/>
            <w:vAlign w:val="center"/>
          </w:tcPr>
          <w:p w14:paraId="489ED1CE">
            <w:pPr>
              <w:bidi w:val="0"/>
              <w:spacing w:line="24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highlight w:val="none"/>
                <w:lang w:val="en-US" w:eastAsia="zh-CN"/>
              </w:rPr>
              <w:t>高级低位包扎模型</w:t>
            </w:r>
          </w:p>
        </w:tc>
        <w:tc>
          <w:tcPr>
            <w:tcW w:w="4808" w:type="dxa"/>
            <w:noWrap/>
            <w:vAlign w:val="center"/>
          </w:tcPr>
          <w:p w14:paraId="1AF4AFA6">
            <w:pPr>
              <w:bidi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1.模拟一男性下半身结构，从剑突下至双下肢，皮肤光滑平整；仰卧位</w:t>
            </w:r>
          </w:p>
          <w:p w14:paraId="4DD604D3">
            <w:pPr>
              <w:bidi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2.右下肢为从小腿处截断的截肢；左下肢为大腿中部截断的截肢，可进行断肢的包扎；</w:t>
            </w:r>
          </w:p>
          <w:p w14:paraId="3A123E2E">
            <w:pPr>
              <w:bidi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3.在此模型的各个部位上可完成环形、斜形、螺旋型包扎、螺旋反折形、8字、回返包扎；可进行腹部多头带包扎等操作；</w:t>
            </w:r>
          </w:p>
          <w:p w14:paraId="32DD668D">
            <w:pPr>
              <w:bidi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4.模型设计方便合理，绷带可绕过臀部而缠绕到髂脊水平；</w:t>
            </w:r>
          </w:p>
          <w:p w14:paraId="4A23464F">
            <w:pPr>
              <w:bidi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5.可以演示绷带缠绕好后其两断端固定的方法；</w:t>
            </w:r>
          </w:p>
          <w:p w14:paraId="1ACCD4C3">
            <w:pPr>
              <w:bidi w:val="0"/>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6.提供绷带和三角巾各1条。</w:t>
            </w:r>
          </w:p>
        </w:tc>
        <w:tc>
          <w:tcPr>
            <w:tcW w:w="723" w:type="dxa"/>
            <w:noWrap w:val="0"/>
            <w:vAlign w:val="center"/>
          </w:tcPr>
          <w:p w14:paraId="51F8828A">
            <w:pPr>
              <w:ind w:left="0" w:leftChars="0"/>
              <w:jc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color w:val="000000"/>
                <w:sz w:val="24"/>
                <w:szCs w:val="24"/>
                <w:lang w:val="en-US" w:eastAsia="zh-CN"/>
              </w:rPr>
              <w:t>1</w:t>
            </w:r>
          </w:p>
        </w:tc>
        <w:tc>
          <w:tcPr>
            <w:tcW w:w="759" w:type="dxa"/>
            <w:noWrap w:val="0"/>
            <w:vAlign w:val="center"/>
          </w:tcPr>
          <w:p w14:paraId="21B50548">
            <w:pPr>
              <w:ind w:left="0" w:leftChars="0"/>
              <w:jc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color w:val="000000"/>
                <w:sz w:val="24"/>
                <w:szCs w:val="24"/>
              </w:rPr>
              <w:t>套</w:t>
            </w:r>
          </w:p>
        </w:tc>
      </w:tr>
      <w:tr w14:paraId="40A15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0" w:hRule="atLeast"/>
          <w:jc w:val="center"/>
        </w:trPr>
        <w:tc>
          <w:tcPr>
            <w:tcW w:w="629" w:type="dxa"/>
            <w:noWrap/>
            <w:vAlign w:val="center"/>
          </w:tcPr>
          <w:p w14:paraId="0D899A76">
            <w:pPr>
              <w:spacing w:line="240" w:lineRule="auto"/>
              <w:ind w:left="0" w:leftChars="0"/>
              <w:jc w:val="center"/>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p>
        </w:tc>
        <w:tc>
          <w:tcPr>
            <w:tcW w:w="998" w:type="dxa"/>
            <w:noWrap/>
            <w:vAlign w:val="center"/>
          </w:tcPr>
          <w:p w14:paraId="0CE1BA35">
            <w:pPr>
              <w:bidi w:val="0"/>
              <w:spacing w:line="24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highlight w:val="none"/>
                <w:lang w:val="en-US" w:eastAsia="zh-CN"/>
              </w:rPr>
              <w:t>高位包扎模型</w:t>
            </w:r>
          </w:p>
        </w:tc>
        <w:tc>
          <w:tcPr>
            <w:tcW w:w="4808" w:type="dxa"/>
            <w:noWrap/>
            <w:vAlign w:val="center"/>
          </w:tcPr>
          <w:p w14:paraId="111F0202">
            <w:pPr>
              <w:bidi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1.模拟上半身结构，从头至髂前上棘。皮肤光滑平整、具有体表标志；</w:t>
            </w:r>
          </w:p>
          <w:p w14:paraId="1695C0A0">
            <w:pPr>
              <w:bidi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2.模拟头颈部、胸部和上肢截肢的病人，右手臂从腕上截断，左手从肘上截断。</w:t>
            </w:r>
          </w:p>
          <w:p w14:paraId="5A91D192">
            <w:pPr>
              <w:bidi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3.在此模型的各个部位上可完成环形、斜形、螺旋形包扎、螺旋形反折、8字、回返包扎，还可进行胸部多头带包扎等操作；</w:t>
            </w:r>
          </w:p>
          <w:p w14:paraId="65393D90">
            <w:pPr>
              <w:bidi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4.可进行锁骨、前臂、肱骨骨折的固定操作；</w:t>
            </w:r>
          </w:p>
          <w:p w14:paraId="0DC04655">
            <w:pPr>
              <w:bidi w:val="0"/>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5.提供绷带和三角巾各1条。</w:t>
            </w:r>
          </w:p>
        </w:tc>
        <w:tc>
          <w:tcPr>
            <w:tcW w:w="723" w:type="dxa"/>
            <w:noWrap w:val="0"/>
            <w:vAlign w:val="center"/>
          </w:tcPr>
          <w:p w14:paraId="2C544C84">
            <w:pPr>
              <w:ind w:left="0" w:leftChars="0"/>
              <w:jc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color w:val="000000"/>
                <w:sz w:val="24"/>
                <w:szCs w:val="24"/>
                <w:lang w:val="en-US" w:eastAsia="zh-CN"/>
              </w:rPr>
              <w:t>1</w:t>
            </w:r>
          </w:p>
        </w:tc>
        <w:tc>
          <w:tcPr>
            <w:tcW w:w="759" w:type="dxa"/>
            <w:noWrap w:val="0"/>
            <w:vAlign w:val="center"/>
          </w:tcPr>
          <w:p w14:paraId="0FD57CF1">
            <w:pPr>
              <w:ind w:left="0" w:leftChars="0"/>
              <w:jc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color w:val="000000"/>
                <w:sz w:val="24"/>
                <w:szCs w:val="24"/>
              </w:rPr>
              <w:t>套</w:t>
            </w:r>
          </w:p>
        </w:tc>
      </w:tr>
      <w:tr w14:paraId="318E8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0" w:hRule="atLeast"/>
          <w:jc w:val="center"/>
        </w:trPr>
        <w:tc>
          <w:tcPr>
            <w:tcW w:w="629" w:type="dxa"/>
            <w:noWrap/>
            <w:vAlign w:val="center"/>
          </w:tcPr>
          <w:p w14:paraId="11BB1716">
            <w:pPr>
              <w:spacing w:line="240" w:lineRule="auto"/>
              <w:ind w:left="0" w:lef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p>
        </w:tc>
        <w:tc>
          <w:tcPr>
            <w:tcW w:w="998" w:type="dxa"/>
            <w:noWrap/>
            <w:vAlign w:val="center"/>
          </w:tcPr>
          <w:p w14:paraId="424B1533">
            <w:pPr>
              <w:widowControl/>
              <w:spacing w:line="240" w:lineRule="auto"/>
              <w:ind w:left="0" w:leftChars="0"/>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sz w:val="24"/>
                <w:szCs w:val="24"/>
                <w:lang w:val="en-US" w:eastAsia="zh-CN"/>
              </w:rPr>
              <w:t>智能交互式触控一体机</w:t>
            </w:r>
          </w:p>
        </w:tc>
        <w:tc>
          <w:tcPr>
            <w:tcW w:w="4808" w:type="dxa"/>
            <w:noWrap/>
            <w:vAlign w:val="center"/>
          </w:tcPr>
          <w:p w14:paraId="04AD28F1">
            <w:pPr>
              <w:widowControl/>
              <w:spacing w:line="240" w:lineRule="auto"/>
              <w:ind w:firstLine="0" w:firstLineChars="0"/>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一、整机设计：</w:t>
            </w:r>
          </w:p>
          <w:p w14:paraId="6850D618">
            <w:pPr>
              <w:pStyle w:val="7"/>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1.整机尺寸不低于86英寸，屏幕采用超高清LED液晶显示屏，显示比例16:9，分辨率</w:t>
            </w:r>
            <w:r>
              <w:rPr>
                <w:rFonts w:hint="eastAsia"/>
                <w:highlight w:val="none"/>
                <w:lang w:val="en-US" w:eastAsia="zh-CN"/>
              </w:rPr>
              <w:t>≥</w:t>
            </w:r>
            <w:r>
              <w:rPr>
                <w:rFonts w:hint="eastAsia" w:ascii="宋体" w:hAnsi="宋体" w:eastAsia="宋体" w:cs="宋体"/>
                <w:sz w:val="24"/>
                <w:szCs w:val="24"/>
                <w:highlight w:val="none"/>
                <w:vertAlign w:val="baseline"/>
                <w:lang w:val="en-US" w:eastAsia="zh-CN"/>
              </w:rPr>
              <w:t>3840×2160；</w:t>
            </w:r>
          </w:p>
          <w:p w14:paraId="7E7210EB">
            <w:pPr>
              <w:widowControl/>
              <w:spacing w:line="240" w:lineRule="auto"/>
              <w:ind w:firstLine="0" w:firstLineChars="0"/>
              <w:textAlignment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2.屏幕采⽤≤3mm钢化玻璃保护，表⾯硬度≥石墨硬度9H或莫氏硬度7级，透光率不低于91%，雾度≤8%，支持防眩光功能。</w:t>
            </w:r>
          </w:p>
          <w:p w14:paraId="02A8655C">
            <w:pPr>
              <w:widowControl/>
              <w:spacing w:line="240" w:lineRule="auto"/>
              <w:ind w:firstLine="0" w:firstLineChars="0"/>
              <w:textAlignment w:val="center"/>
              <w:rPr>
                <w:rFonts w:hint="eastAsia" w:ascii="宋体" w:hAnsi="宋体" w:eastAsia="宋体" w:cs="宋体"/>
                <w:sz w:val="24"/>
                <w:szCs w:val="24"/>
                <w:highlight w:val="none"/>
                <w:vertAlign w:val="baseline"/>
                <w:lang w:val="en-US" w:eastAsia="zh-CN"/>
              </w:rPr>
            </w:pPr>
            <w:r>
              <w:rPr>
                <w:rFonts w:hint="eastAsia" w:hAnsi="宋体" w:cs="宋体"/>
                <w:sz w:val="24"/>
                <w:szCs w:val="24"/>
                <w:highlight w:val="none"/>
                <w:vertAlign w:val="baseline"/>
                <w:lang w:val="en-US" w:eastAsia="zh-CN"/>
              </w:rPr>
              <w:t>3</w:t>
            </w:r>
            <w:r>
              <w:rPr>
                <w:rFonts w:hint="eastAsia" w:ascii="宋体" w:hAnsi="宋体" w:eastAsia="宋体" w:cs="宋体"/>
                <w:sz w:val="24"/>
                <w:szCs w:val="24"/>
                <w:highlight w:val="none"/>
                <w:vertAlign w:val="baseline"/>
                <w:lang w:val="en-US" w:eastAsia="zh-CN"/>
              </w:rPr>
              <w:t>.整机采用≥12核国产化嵌入式芯片，CPU≥8核，整机嵌入式系统版本≥Android 15，主频≥1.6GHz，内存≥2GB，DDR最大速率≥2666MT/S，存储空间≥32GB。</w:t>
            </w:r>
          </w:p>
          <w:p w14:paraId="1AB155EC">
            <w:pPr>
              <w:widowControl/>
              <w:spacing w:line="240" w:lineRule="auto"/>
              <w:ind w:firstLine="0" w:firstLineChars="0"/>
              <w:textAlignment w:val="center"/>
              <w:rPr>
                <w:rFonts w:hint="eastAsia" w:ascii="宋体" w:hAnsi="宋体" w:eastAsia="宋体" w:cs="宋体"/>
                <w:sz w:val="24"/>
                <w:szCs w:val="24"/>
                <w:highlight w:val="none"/>
                <w:vertAlign w:val="baseline"/>
                <w:lang w:val="en-US" w:eastAsia="zh-CN"/>
              </w:rPr>
            </w:pPr>
            <w:r>
              <w:rPr>
                <w:rFonts w:hint="eastAsia" w:hAnsi="宋体" w:cs="宋体"/>
                <w:sz w:val="24"/>
                <w:szCs w:val="24"/>
                <w:highlight w:val="none"/>
                <w:vertAlign w:val="baseline"/>
                <w:lang w:val="en-US" w:eastAsia="zh-CN"/>
              </w:rPr>
              <w:t>4</w:t>
            </w:r>
            <w:r>
              <w:rPr>
                <w:rFonts w:hint="eastAsia" w:ascii="宋体" w:hAnsi="宋体" w:eastAsia="宋体" w:cs="宋体"/>
                <w:sz w:val="24"/>
                <w:szCs w:val="24"/>
                <w:highlight w:val="none"/>
                <w:vertAlign w:val="baseline"/>
                <w:lang w:val="en-US" w:eastAsia="zh-CN"/>
              </w:rPr>
              <w:t>.整机采用红外触控技术，Windows系统和Android系统均支持≥50点触控及书写划线。</w:t>
            </w:r>
          </w:p>
          <w:p w14:paraId="7A2A3FFC">
            <w:pPr>
              <w:widowControl/>
              <w:spacing w:line="240" w:lineRule="auto"/>
              <w:ind w:firstLine="0" w:firstLineChars="0"/>
              <w:textAlignment w:val="center"/>
              <w:rPr>
                <w:rFonts w:hint="eastAsia" w:ascii="宋体" w:hAnsi="宋体" w:eastAsia="宋体" w:cs="宋体"/>
                <w:sz w:val="24"/>
                <w:szCs w:val="24"/>
                <w:highlight w:val="none"/>
                <w:vertAlign w:val="baseline"/>
                <w:lang w:val="en-US" w:eastAsia="zh-CN"/>
              </w:rPr>
            </w:pPr>
            <w:r>
              <w:rPr>
                <w:rFonts w:hint="eastAsia" w:hAnsi="宋体" w:cs="宋体"/>
                <w:sz w:val="24"/>
                <w:szCs w:val="24"/>
                <w:highlight w:val="none"/>
                <w:vertAlign w:val="baseline"/>
                <w:lang w:val="en-US" w:eastAsia="zh-CN"/>
              </w:rPr>
              <w:t>5.</w:t>
            </w:r>
            <w:r>
              <w:rPr>
                <w:rFonts w:hint="eastAsia" w:ascii="宋体" w:hAnsi="宋体" w:eastAsia="宋体" w:cs="宋体"/>
                <w:sz w:val="24"/>
                <w:szCs w:val="24"/>
                <w:highlight w:val="none"/>
                <w:vertAlign w:val="baseline"/>
                <w:lang w:val="en-US" w:eastAsia="zh-CN"/>
              </w:rPr>
              <w:t>整机触摸支持动态压力感应，支持无任何电子功能的普通书写笔在整机上书写或点压时，整机能感应压力变化，书写或点压过程笔迹呈现不同粗细。</w:t>
            </w:r>
          </w:p>
          <w:p w14:paraId="703C4AA1">
            <w:pPr>
              <w:widowControl/>
              <w:spacing w:line="240" w:lineRule="auto"/>
              <w:ind w:firstLine="0" w:firstLineChars="0"/>
              <w:textAlignment w:val="center"/>
              <w:rPr>
                <w:rFonts w:hint="eastAsia" w:ascii="宋体" w:hAnsi="宋体" w:eastAsia="宋体" w:cs="宋体"/>
                <w:sz w:val="24"/>
                <w:szCs w:val="24"/>
                <w:highlight w:val="none"/>
                <w:vertAlign w:val="baseline"/>
                <w:lang w:val="en-US" w:eastAsia="zh-CN"/>
              </w:rPr>
            </w:pPr>
            <w:r>
              <w:rPr>
                <w:rFonts w:hint="eastAsia" w:hAnsi="宋体" w:cs="宋体"/>
                <w:sz w:val="24"/>
                <w:szCs w:val="24"/>
                <w:highlight w:val="none"/>
                <w:vertAlign w:val="baseline"/>
                <w:lang w:val="en-US" w:eastAsia="zh-CN"/>
              </w:rPr>
              <w:t>6.</w:t>
            </w:r>
            <w:r>
              <w:rPr>
                <w:rFonts w:hint="eastAsia" w:ascii="宋体" w:hAnsi="宋体" w:eastAsia="宋体" w:cs="宋体"/>
                <w:sz w:val="24"/>
                <w:szCs w:val="24"/>
                <w:highlight w:val="none"/>
                <w:vertAlign w:val="baseline"/>
                <w:lang w:val="en-US" w:eastAsia="zh-CN"/>
              </w:rPr>
              <w:t>.整机PC通道及安卓通道各具备一颗WiFi6无线芯片，PC和安卓通道均可通过大屏发送WiFi6热点以及连接WiFi6的路由器。</w:t>
            </w:r>
          </w:p>
          <w:p w14:paraId="20DDDA03">
            <w:pPr>
              <w:widowControl/>
              <w:spacing w:line="240" w:lineRule="auto"/>
              <w:ind w:firstLine="0" w:firstLineChars="0"/>
              <w:textAlignment w:val="center"/>
              <w:rPr>
                <w:rFonts w:hint="eastAsia" w:ascii="宋体" w:hAnsi="宋体" w:eastAsia="宋体" w:cs="宋体"/>
                <w:sz w:val="24"/>
                <w:szCs w:val="24"/>
                <w:highlight w:val="none"/>
                <w:vertAlign w:val="baseline"/>
                <w:lang w:val="en-US" w:eastAsia="zh-CN"/>
              </w:rPr>
            </w:pPr>
            <w:r>
              <w:rPr>
                <w:rFonts w:hint="eastAsia" w:hAnsi="宋体" w:cs="宋体"/>
                <w:sz w:val="24"/>
                <w:szCs w:val="24"/>
                <w:highlight w:val="none"/>
                <w:vertAlign w:val="baseline"/>
                <w:lang w:val="en-US" w:eastAsia="zh-CN"/>
              </w:rPr>
              <w:t>7</w:t>
            </w:r>
            <w:r>
              <w:rPr>
                <w:rFonts w:hint="eastAsia" w:ascii="宋体" w:hAnsi="宋体" w:eastAsia="宋体" w:cs="宋体"/>
                <w:sz w:val="24"/>
                <w:szCs w:val="24"/>
                <w:highlight w:val="none"/>
                <w:vertAlign w:val="baseline"/>
                <w:lang w:val="en-US" w:eastAsia="zh-CN"/>
              </w:rPr>
              <w:t>.整机设备内置2.2声道扬声器，前朝向发声，1</w:t>
            </w:r>
            <w:r>
              <w:rPr>
                <w:rFonts w:hint="eastAsia" w:hAnsi="宋体" w:cs="宋体"/>
                <w:sz w:val="24"/>
                <w:szCs w:val="24"/>
                <w:highlight w:val="none"/>
                <w:vertAlign w:val="baseline"/>
                <w:lang w:val="en-US" w:eastAsia="zh-CN"/>
              </w:rPr>
              <w:t>0</w:t>
            </w:r>
            <w:r>
              <w:rPr>
                <w:rFonts w:hint="eastAsia" w:ascii="宋体" w:hAnsi="宋体" w:eastAsia="宋体" w:cs="宋体"/>
                <w:sz w:val="24"/>
                <w:szCs w:val="24"/>
                <w:highlight w:val="none"/>
                <w:vertAlign w:val="baseline"/>
                <w:lang w:val="en-US" w:eastAsia="zh-CN"/>
              </w:rPr>
              <w:t>W高音扬声器2个，上朝向30W中低音扬声器2个，最大功率≥8</w:t>
            </w:r>
            <w:r>
              <w:rPr>
                <w:rFonts w:hint="eastAsia" w:hAnsi="宋体" w:cs="宋体"/>
                <w:sz w:val="24"/>
                <w:szCs w:val="24"/>
                <w:highlight w:val="none"/>
                <w:vertAlign w:val="baseline"/>
                <w:lang w:val="en-US" w:eastAsia="zh-CN"/>
              </w:rPr>
              <w:t>0</w:t>
            </w:r>
            <w:r>
              <w:rPr>
                <w:rFonts w:hint="eastAsia" w:ascii="宋体" w:hAnsi="宋体" w:eastAsia="宋体" w:cs="宋体"/>
                <w:sz w:val="24"/>
                <w:szCs w:val="24"/>
                <w:highlight w:val="none"/>
                <w:vertAlign w:val="baseline"/>
                <w:lang w:val="en-US" w:eastAsia="zh-CN"/>
              </w:rPr>
              <w:t>W，单个扬声器容积≥0.62L，最低谐振频率≤85Hz。</w:t>
            </w:r>
          </w:p>
          <w:p w14:paraId="56CFC8C4">
            <w:pPr>
              <w:widowControl/>
              <w:spacing w:line="240" w:lineRule="auto"/>
              <w:ind w:firstLine="0" w:firstLineChars="0"/>
              <w:textAlignment w:val="center"/>
              <w:rPr>
                <w:rFonts w:hint="eastAsia" w:ascii="宋体" w:hAnsi="宋体" w:eastAsia="宋体" w:cs="宋体"/>
                <w:sz w:val="24"/>
                <w:szCs w:val="24"/>
                <w:highlight w:val="none"/>
                <w:vertAlign w:val="baseline"/>
                <w:lang w:val="en-US" w:eastAsia="zh-CN"/>
              </w:rPr>
            </w:pPr>
            <w:r>
              <w:rPr>
                <w:rFonts w:hint="eastAsia" w:hAnsi="宋体" w:cs="宋体"/>
                <w:sz w:val="24"/>
                <w:szCs w:val="24"/>
                <w:highlight w:val="none"/>
                <w:vertAlign w:val="baseline"/>
                <w:lang w:val="en-US" w:eastAsia="zh-CN"/>
              </w:rPr>
              <w:t>8</w:t>
            </w:r>
            <w:r>
              <w:rPr>
                <w:rFonts w:hint="eastAsia" w:ascii="宋体" w:hAnsi="宋体" w:eastAsia="宋体" w:cs="宋体"/>
                <w:sz w:val="24"/>
                <w:szCs w:val="24"/>
                <w:highlight w:val="none"/>
                <w:vertAlign w:val="baseline"/>
                <w:lang w:val="en-US" w:eastAsia="zh-CN"/>
              </w:rPr>
              <w:t>.整机内置非独立外扩展的</w:t>
            </w:r>
            <w:r>
              <w:rPr>
                <w:rFonts w:hint="eastAsia" w:hAnsi="宋体" w:cs="宋体"/>
                <w:sz w:val="24"/>
                <w:szCs w:val="24"/>
                <w:highlight w:val="none"/>
                <w:vertAlign w:val="baseline"/>
                <w:lang w:val="en-US" w:eastAsia="zh-CN"/>
              </w:rPr>
              <w:t>4</w:t>
            </w:r>
            <w:r>
              <w:rPr>
                <w:rFonts w:hint="eastAsia" w:ascii="宋体" w:hAnsi="宋体" w:eastAsia="宋体" w:cs="宋体"/>
                <w:sz w:val="24"/>
                <w:szCs w:val="24"/>
                <w:highlight w:val="none"/>
                <w:vertAlign w:val="baseline"/>
                <w:lang w:val="en-US" w:eastAsia="zh-CN"/>
              </w:rPr>
              <w:t>阵列麦克风，拾音角度≥180°，可用于对教室环境音频进行采集，拾音距离≥12m</w:t>
            </w:r>
            <w:r>
              <w:rPr>
                <w:rFonts w:hint="eastAsia" w:hAnsi="宋体" w:cs="宋体"/>
                <w:sz w:val="24"/>
                <w:szCs w:val="24"/>
                <w:highlight w:val="none"/>
                <w:vertAlign w:val="baseline"/>
                <w:lang w:val="en-US" w:eastAsia="zh-CN"/>
              </w:rPr>
              <w:t>；</w:t>
            </w:r>
            <w:r>
              <w:rPr>
                <w:rFonts w:hint="eastAsia" w:ascii="宋体" w:hAnsi="宋体" w:eastAsia="宋体" w:cs="宋体"/>
                <w:sz w:val="24"/>
                <w:szCs w:val="24"/>
                <w:highlight w:val="none"/>
                <w:vertAlign w:val="baseline"/>
                <w:lang w:val="en-US" w:eastAsia="zh-CN"/>
              </w:rPr>
              <w:t>支持标准、听力、观影和AI空间感知音效模式</w:t>
            </w:r>
            <w:r>
              <w:rPr>
                <w:rFonts w:hint="eastAsia" w:hAnsi="宋体" w:cs="宋体"/>
                <w:sz w:val="24"/>
                <w:szCs w:val="24"/>
                <w:highlight w:val="none"/>
                <w:vertAlign w:val="baseline"/>
                <w:lang w:val="en-US" w:eastAsia="zh-CN"/>
              </w:rPr>
              <w:t>。</w:t>
            </w:r>
          </w:p>
          <w:p w14:paraId="0C0CD49F">
            <w:pPr>
              <w:widowControl/>
              <w:spacing w:line="240" w:lineRule="auto"/>
              <w:ind w:firstLine="0" w:firstLineChars="0"/>
              <w:textAlignment w:val="center"/>
              <w:rPr>
                <w:rFonts w:hint="eastAsia" w:ascii="宋体" w:hAnsi="宋体" w:eastAsia="宋体" w:cs="宋体"/>
                <w:sz w:val="24"/>
                <w:szCs w:val="24"/>
                <w:highlight w:val="none"/>
                <w:vertAlign w:val="baseline"/>
                <w:lang w:val="en-US" w:eastAsia="zh-CN"/>
              </w:rPr>
            </w:pPr>
            <w:r>
              <w:rPr>
                <w:rFonts w:hint="eastAsia" w:hAnsi="宋体" w:cs="宋体"/>
                <w:sz w:val="24"/>
                <w:szCs w:val="24"/>
                <w:highlight w:val="none"/>
                <w:vertAlign w:val="baseline"/>
                <w:lang w:val="en-US" w:eastAsia="zh-CN"/>
              </w:rPr>
              <w:t>9</w:t>
            </w:r>
            <w:r>
              <w:rPr>
                <w:rFonts w:hint="eastAsia" w:ascii="宋体" w:hAnsi="宋体" w:eastAsia="宋体" w:cs="宋体"/>
                <w:sz w:val="24"/>
                <w:szCs w:val="24"/>
                <w:highlight w:val="none"/>
                <w:vertAlign w:val="baseline"/>
                <w:lang w:val="en-US" w:eastAsia="zh-CN"/>
              </w:rPr>
              <w:t>.整机上边框内置非独立式摄像头。</w:t>
            </w:r>
            <w:r>
              <w:rPr>
                <w:rFonts w:hint="eastAsia" w:ascii="宋体" w:hAnsi="宋体" w:eastAsia="宋体" w:cs="宋体"/>
                <w:sz w:val="24"/>
                <w:szCs w:val="24"/>
                <w:highlight w:val="none"/>
                <w:lang w:val="en-US" w:eastAsia="zh-CN"/>
              </w:rPr>
              <w:t>摄像头对角线视场角≥120度，可拍摄≥1600万像素的照片，支持画面畸变矫正功能。</w:t>
            </w:r>
          </w:p>
          <w:p w14:paraId="5F2AAEF6">
            <w:pPr>
              <w:widowControl/>
              <w:spacing w:line="240" w:lineRule="auto"/>
              <w:ind w:firstLine="0" w:firstLineChars="0"/>
              <w:textAlignment w:val="center"/>
              <w:rPr>
                <w:rFonts w:hint="eastAsia" w:ascii="宋体" w:hAnsi="宋体" w:eastAsia="宋体" w:cs="宋体"/>
                <w:sz w:val="24"/>
                <w:szCs w:val="24"/>
                <w:highlight w:val="none"/>
                <w:vertAlign w:val="baseline"/>
                <w:lang w:val="en-US" w:eastAsia="zh-CN"/>
              </w:rPr>
            </w:pPr>
            <w:r>
              <w:rPr>
                <w:rFonts w:hint="eastAsia" w:hAnsi="宋体" w:cs="宋体"/>
                <w:sz w:val="24"/>
                <w:szCs w:val="24"/>
                <w:highlight w:val="none"/>
                <w:vertAlign w:val="baseline"/>
                <w:lang w:val="en-US" w:eastAsia="zh-CN"/>
              </w:rPr>
              <w:t>10</w:t>
            </w:r>
            <w:r>
              <w:rPr>
                <w:rFonts w:hint="eastAsia" w:ascii="宋体" w:hAnsi="宋体" w:eastAsia="宋体" w:cs="宋体"/>
                <w:sz w:val="24"/>
                <w:szCs w:val="24"/>
                <w:highlight w:val="none"/>
                <w:vertAlign w:val="baseline"/>
                <w:lang w:val="en-US" w:eastAsia="zh-CN"/>
              </w:rPr>
              <w:t>.整机摄像头支持人脸识别、清点人数、随机抽人；识别所有学生，显示标记，随机抽选，同时显示标记不少于60人，支持距离摄像头位置≥10米距离的AI识别人脸。</w:t>
            </w:r>
          </w:p>
          <w:p w14:paraId="109E31C4">
            <w:pPr>
              <w:widowControl/>
              <w:spacing w:line="240" w:lineRule="auto"/>
              <w:ind w:firstLine="0" w:firstLineChars="0"/>
              <w:textAlignment w:val="center"/>
              <w:rPr>
                <w:rFonts w:hint="eastAsia" w:ascii="宋体" w:hAnsi="宋体" w:eastAsia="宋体" w:cs="宋体"/>
                <w:sz w:val="24"/>
                <w:szCs w:val="24"/>
                <w:highlight w:val="none"/>
                <w:vertAlign w:val="baseline"/>
                <w:lang w:val="en-US" w:eastAsia="zh-CN"/>
              </w:rPr>
            </w:pPr>
            <w:r>
              <w:rPr>
                <w:rFonts w:hint="eastAsia" w:hAnsi="宋体" w:cs="宋体"/>
                <w:sz w:val="24"/>
                <w:szCs w:val="24"/>
                <w:highlight w:val="none"/>
                <w:vertAlign w:val="baseline"/>
                <w:lang w:val="en-US" w:eastAsia="zh-CN"/>
              </w:rPr>
              <w:t>11</w:t>
            </w:r>
            <w:r>
              <w:rPr>
                <w:rFonts w:hint="eastAsia" w:ascii="宋体" w:hAnsi="宋体" w:eastAsia="宋体" w:cs="宋体"/>
                <w:sz w:val="24"/>
                <w:szCs w:val="24"/>
                <w:highlight w:val="none"/>
                <w:vertAlign w:val="baseline"/>
                <w:lang w:val="en-US" w:eastAsia="zh-CN"/>
              </w:rPr>
              <w:t>.整机支持蓝牙Bluetooth 5.4</w:t>
            </w:r>
            <w:r>
              <w:rPr>
                <w:rFonts w:hint="eastAsia" w:hAnsi="宋体" w:cs="宋体"/>
                <w:sz w:val="24"/>
                <w:szCs w:val="24"/>
                <w:highlight w:val="none"/>
                <w:vertAlign w:val="baseline"/>
                <w:lang w:val="en-US" w:eastAsia="zh-CN"/>
              </w:rPr>
              <w:t>或以上</w:t>
            </w:r>
            <w:r>
              <w:rPr>
                <w:rFonts w:hint="eastAsia" w:ascii="宋体" w:hAnsi="宋体" w:eastAsia="宋体" w:cs="宋体"/>
                <w:sz w:val="24"/>
                <w:szCs w:val="24"/>
                <w:highlight w:val="none"/>
                <w:vertAlign w:val="baseline"/>
                <w:lang w:val="en-US" w:eastAsia="zh-CN"/>
              </w:rPr>
              <w:t>标准。</w:t>
            </w:r>
          </w:p>
          <w:p w14:paraId="7A023B5C">
            <w:pPr>
              <w:widowControl/>
              <w:spacing w:line="240" w:lineRule="auto"/>
              <w:ind w:firstLine="0" w:firstLineChars="0"/>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r>
              <w:rPr>
                <w:rFonts w:hint="eastAsia" w:hAnsi="宋体" w:cs="宋体"/>
                <w:sz w:val="24"/>
                <w:szCs w:val="24"/>
                <w:highlight w:val="none"/>
                <w:vertAlign w:val="baseline"/>
                <w:lang w:val="en-US" w:eastAsia="zh-CN"/>
              </w:rPr>
              <w:t>2</w:t>
            </w:r>
            <w:r>
              <w:rPr>
                <w:rFonts w:hint="eastAsia" w:ascii="宋体" w:hAnsi="宋体" w:eastAsia="宋体" w:cs="宋体"/>
                <w:sz w:val="24"/>
                <w:szCs w:val="24"/>
                <w:highlight w:val="none"/>
                <w:vertAlign w:val="baseline"/>
                <w:lang w:val="en-US" w:eastAsia="zh-CN"/>
              </w:rPr>
              <w:t>.整机Windows通道支持文件传输应用，支持通过扫码、超声、wifi直连三种方式与手机进行握手连接，实现文件传输功能。</w:t>
            </w:r>
          </w:p>
          <w:p w14:paraId="46C9C18B">
            <w:pPr>
              <w:widowControl/>
              <w:spacing w:line="240" w:lineRule="auto"/>
              <w:ind w:firstLine="0" w:firstLineChars="0"/>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r>
              <w:rPr>
                <w:rFonts w:hint="eastAsia" w:hAnsi="宋体" w:cs="宋体"/>
                <w:sz w:val="24"/>
                <w:szCs w:val="24"/>
                <w:highlight w:val="none"/>
                <w:vertAlign w:val="baseline"/>
                <w:lang w:val="en-US" w:eastAsia="zh-CN"/>
              </w:rPr>
              <w:t>3</w:t>
            </w:r>
            <w:r>
              <w:rPr>
                <w:rFonts w:hint="eastAsia" w:ascii="宋体" w:hAnsi="宋体" w:eastAsia="宋体" w:cs="宋体"/>
                <w:sz w:val="24"/>
                <w:szCs w:val="24"/>
                <w:highlight w:val="none"/>
                <w:vertAlign w:val="baseline"/>
                <w:lang w:val="en-US" w:eastAsia="zh-CN"/>
              </w:rPr>
              <w:t>.整机设备教学桌面的教师登录账号后，可自动获取并在桌面显示最近使用的教学课件，点击课件可直接进入授课模式；并支持查看所有个人教学课件资源。</w:t>
            </w:r>
          </w:p>
          <w:p w14:paraId="2C065870">
            <w:pPr>
              <w:widowControl/>
              <w:spacing w:line="240" w:lineRule="auto"/>
              <w:ind w:firstLine="0" w:firstLineChars="0"/>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14.整机设备支持多种身份识别方式，支持通过账号登录、手机扫码登录、人脸识别登录、声纹识别登录、近场发现登录，并支持账号安全登录检测。</w:t>
            </w:r>
          </w:p>
          <w:p w14:paraId="52521603">
            <w:pPr>
              <w:widowControl/>
              <w:spacing w:line="240" w:lineRule="auto"/>
              <w:ind w:firstLine="0" w:firstLineChars="0"/>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二、插拔式电脑模块：</w:t>
            </w:r>
          </w:p>
          <w:p w14:paraId="294A2898">
            <w:pPr>
              <w:widowControl/>
              <w:spacing w:line="240" w:lineRule="auto"/>
              <w:ind w:firstLine="0" w:firstLineChars="0"/>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1.电脑模块CPU要求：</w:t>
            </w:r>
            <w:r>
              <w:rPr>
                <w:rFonts w:hint="eastAsia" w:ascii="宋体" w:hAnsi="宋体" w:eastAsia="宋体" w:cs="宋体"/>
                <w:sz w:val="24"/>
                <w:szCs w:val="24"/>
                <w:vertAlign w:val="baseline"/>
                <w:lang w:val="en-US" w:eastAsia="zh-CN"/>
              </w:rPr>
              <w:t>主频≥2.</w:t>
            </w:r>
            <w:r>
              <w:rPr>
                <w:rFonts w:hint="eastAsia" w:hAnsi="宋体" w:cs="宋体"/>
                <w:sz w:val="24"/>
                <w:szCs w:val="24"/>
                <w:vertAlign w:val="baseline"/>
                <w:lang w:val="en-US" w:eastAsia="zh-CN"/>
              </w:rPr>
              <w:t>0</w:t>
            </w:r>
            <w:r>
              <w:rPr>
                <w:rFonts w:hint="eastAsia" w:ascii="宋体" w:hAnsi="宋体" w:eastAsia="宋体" w:cs="宋体"/>
                <w:sz w:val="24"/>
                <w:szCs w:val="24"/>
                <w:vertAlign w:val="baseline"/>
                <w:lang w:val="en-US" w:eastAsia="zh-CN"/>
              </w:rPr>
              <w:t>GHz.核数≥</w:t>
            </w:r>
            <w:r>
              <w:rPr>
                <w:rFonts w:hint="eastAsia" w:hAnsi="宋体" w:cs="宋体"/>
                <w:sz w:val="24"/>
                <w:szCs w:val="24"/>
                <w:vertAlign w:val="baseline"/>
                <w:lang w:val="en-US" w:eastAsia="zh-CN"/>
              </w:rPr>
              <w:t>8</w:t>
            </w:r>
            <w:r>
              <w:rPr>
                <w:rFonts w:hint="eastAsia" w:ascii="宋体" w:hAnsi="宋体" w:eastAsia="宋体" w:cs="宋体"/>
                <w:sz w:val="24"/>
                <w:szCs w:val="24"/>
                <w:highlight w:val="none"/>
                <w:vertAlign w:val="baseline"/>
                <w:lang w:val="en-US" w:eastAsia="zh-CN"/>
              </w:rPr>
              <w:t xml:space="preserve">；配置要求：不低于DDR4 </w:t>
            </w:r>
            <w:r>
              <w:rPr>
                <w:rFonts w:hint="eastAsia" w:hAnsi="宋体" w:cs="宋体"/>
                <w:sz w:val="24"/>
                <w:szCs w:val="24"/>
                <w:highlight w:val="none"/>
                <w:vertAlign w:val="baseline"/>
                <w:lang w:val="en-US" w:eastAsia="zh-CN"/>
              </w:rPr>
              <w:t>8</w:t>
            </w:r>
            <w:r>
              <w:rPr>
                <w:rFonts w:hint="eastAsia" w:ascii="宋体" w:hAnsi="宋体" w:eastAsia="宋体" w:cs="宋体"/>
                <w:sz w:val="24"/>
                <w:szCs w:val="24"/>
                <w:highlight w:val="none"/>
                <w:vertAlign w:val="baseline"/>
                <w:lang w:val="en-US" w:eastAsia="zh-CN"/>
              </w:rPr>
              <w:t>GB内存，256GB SSD固态硬盘配置；接口要求：≥1路HDMI，≥3路USB。</w:t>
            </w:r>
          </w:p>
          <w:p w14:paraId="57BB31D5">
            <w:pPr>
              <w:widowControl/>
              <w:spacing w:line="240" w:lineRule="auto"/>
              <w:ind w:firstLine="0" w:firstLineChars="0"/>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2.PC模块可抽拉式插入整机，可实现无单独接线的插拔，采用按压式卡扣，无需工具就可快速拆卸电脑模块。</w:t>
            </w:r>
          </w:p>
          <w:p w14:paraId="351BCD84">
            <w:pPr>
              <w:widowControl/>
              <w:spacing w:line="240" w:lineRule="auto"/>
              <w:ind w:firstLine="0" w:firstLineChars="0"/>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3.PC模块和整机的连接采用万兆级接口，传输速率≥10Gbps。</w:t>
            </w:r>
          </w:p>
          <w:p w14:paraId="1FC6F06D">
            <w:pPr>
              <w:widowControl/>
              <w:spacing w:line="240" w:lineRule="auto"/>
              <w:ind w:firstLine="0" w:firstLineChars="0"/>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三、内置教学软件</w:t>
            </w:r>
          </w:p>
          <w:p w14:paraId="66BE21C0">
            <w:pPr>
              <w:widowControl/>
              <w:spacing w:line="240" w:lineRule="auto"/>
              <w:ind w:firstLine="0" w:firstLineChars="0"/>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1.软件互动教学：通过软件端可实现学生手机、平板等与教师端授课工具进行连接，实现线上、线下混合互动教学。</w:t>
            </w:r>
          </w:p>
          <w:p w14:paraId="0FFEB893">
            <w:pPr>
              <w:widowControl/>
              <w:spacing w:line="240" w:lineRule="auto"/>
              <w:ind w:firstLine="0" w:firstLineChars="0"/>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2.直播授课：老师可利用教学软件一键开启直播，声音、影像实时同步；学生可通过网页端或者移动端APP实时加入课堂，课后支持学生在课堂报告查看直播回放。</w:t>
            </w:r>
          </w:p>
          <w:p w14:paraId="2DAFFF63">
            <w:pPr>
              <w:widowControl/>
              <w:spacing w:line="240" w:lineRule="auto"/>
              <w:ind w:firstLine="0" w:firstLineChars="0"/>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3.云盘存储：为每位教师可提供≥4GB的个人云空间，可上传图片、视频、音频、文档等类型文件，并且可以创建文件夹，实现资料个性化分类整理。</w:t>
            </w:r>
          </w:p>
          <w:p w14:paraId="501D8D0F">
            <w:pPr>
              <w:widowControl/>
              <w:spacing w:line="240" w:lineRule="auto"/>
              <w:ind w:firstLine="0" w:firstLineChars="0"/>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互动反馈系统：具备公网互动反馈功能，可将所有学生端和教师端连接在一起构建成为一套互动反馈系统，方便老师在授课过程中发布问题让所有同学实时参与互动并形成数据沉淀统计，在系统中可以设置：主观观点收集互动，单选/多选/判断等可观答题互动，同时支持文件下发、批注下发功能。（需提供功能证明材料，包括但不限于测试报告、官网和功能截图等）</w:t>
            </w:r>
          </w:p>
          <w:p w14:paraId="3E367B98">
            <w:pPr>
              <w:widowControl/>
              <w:spacing w:line="240" w:lineRule="auto"/>
              <w:ind w:firstLine="0" w:firstLineChars="0"/>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5.无线传屏：教师端工具栏支持无线传屏，点击开启无线传屏则打开传屏码，老师自带笔记本在互动教学软件输入传屏码即可进行无线传屏。</w:t>
            </w:r>
          </w:p>
          <w:p w14:paraId="5EF8703E">
            <w:pPr>
              <w:widowControl/>
              <w:spacing w:line="240" w:lineRule="auto"/>
              <w:ind w:firstLine="0" w:firstLineChars="0"/>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6.随堂测验：支持老师在课堂中通过教师端一键调取预先准备的测验题目，并分发给学生进行作答，支持设置答题时长以及自动统计答题结果；答题过程中，支持老师提前结束答题。</w:t>
            </w:r>
          </w:p>
          <w:p w14:paraId="271E502B">
            <w:pPr>
              <w:widowControl/>
              <w:spacing w:line="240" w:lineRule="auto"/>
              <w:ind w:firstLine="0" w:firstLineChars="0"/>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四、设备管控软件  </w:t>
            </w:r>
          </w:p>
          <w:p w14:paraId="436A5C7C">
            <w:pPr>
              <w:widowControl/>
              <w:spacing w:line="240" w:lineRule="auto"/>
              <w:ind w:firstLine="0" w:firstLineChars="0"/>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1.支持一键下课锁屏、开机自动锁屏、无网络时验证身份解锁。支持无网络情况下，通过手机微信扫一扫验证身份后进行解锁使用。</w:t>
            </w:r>
          </w:p>
          <w:p w14:paraId="056F6469">
            <w:pPr>
              <w:widowControl/>
              <w:spacing w:line="240" w:lineRule="auto"/>
              <w:ind w:firstLine="0" w:firstLineChars="0"/>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2.支持同时查看9间教室的实时摄像头画面、设备屏幕画面；并支持在一个显示界面同时查看单个教室内屏幕、摄像头的实时画面，以及麦克风的声音。可远程发消息、发语音干预，也可记录备注；支持记录管理员的巡视记录，方便回溯。  </w:t>
            </w:r>
          </w:p>
          <w:p w14:paraId="2040F92D">
            <w:pPr>
              <w:widowControl/>
              <w:spacing w:line="240" w:lineRule="auto"/>
              <w:ind w:firstLine="0" w:firstLineChars="0"/>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3.支持管理员上传正版软件，经过封装软件后，批量将软件发送至大屏设备安装，安装过程不影响正常教学。 </w:t>
            </w:r>
          </w:p>
          <w:p w14:paraId="5EA21EEA">
            <w:pPr>
              <w:widowControl/>
              <w:spacing w:line="240" w:lineRule="auto"/>
              <w:ind w:firstLine="0" w:firstLineChars="0"/>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4.支持一键开启设备的不良弹窗AI拦截过滤能力，当有不良弹窗时，自动拦截，以保证课堂教学稳定进行。（需提供功能证明材料，包括但不限于测试报告、官网和功能截图等）  </w:t>
            </w:r>
          </w:p>
          <w:p w14:paraId="4703FBCC">
            <w:pPr>
              <w:widowControl/>
              <w:spacing w:line="240" w:lineRule="auto"/>
              <w:ind w:firstLine="0" w:firstLineChars="0"/>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5.支持批量设置大屏设备的冰冻状态；支持实时监测设备冰点存在的风险。</w:t>
            </w:r>
          </w:p>
          <w:p w14:paraId="01865E1A">
            <w:pPr>
              <w:widowControl/>
              <w:spacing w:line="240" w:lineRule="auto"/>
              <w:ind w:firstLine="0" w:firstLineChars="0"/>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6.大屏设备的整体使用数据可实时查看和导出，并且支持精确查看具体设备的数据。</w:t>
            </w:r>
          </w:p>
          <w:p w14:paraId="55227850">
            <w:pPr>
              <w:widowControl/>
              <w:numPr>
                <w:ilvl w:val="0"/>
                <w:numId w:val="0"/>
              </w:numPr>
              <w:spacing w:line="240" w:lineRule="auto"/>
              <w:ind w:left="0" w:leftChars="0" w:firstLine="0" w:firstLineChars="0"/>
              <w:textAlignment w:val="center"/>
              <w:rPr>
                <w:rFonts w:hint="eastAsia" w:ascii="宋体" w:hAnsi="宋体" w:eastAsia="宋体" w:cs="宋体"/>
                <w:color w:val="auto"/>
                <w:sz w:val="24"/>
                <w:szCs w:val="24"/>
                <w:lang w:val="en-US" w:eastAsia="zh-CN"/>
              </w:rPr>
            </w:pPr>
            <w:r>
              <w:rPr>
                <w:rFonts w:hint="eastAsia" w:hAnsi="宋体" w:cs="宋体"/>
                <w:sz w:val="24"/>
                <w:szCs w:val="24"/>
                <w:vertAlign w:val="baseline"/>
                <w:lang w:val="en-US" w:eastAsia="zh-CN"/>
              </w:rPr>
              <w:t>7</w:t>
            </w:r>
            <w:r>
              <w:rPr>
                <w:rFonts w:hint="eastAsia" w:ascii="宋体" w:hAnsi="宋体" w:eastAsia="宋体" w:cs="宋体"/>
                <w:sz w:val="24"/>
                <w:szCs w:val="24"/>
                <w:vertAlign w:val="baseline"/>
                <w:lang w:val="en-US" w:eastAsia="zh-CN"/>
              </w:rPr>
              <w:t>.配备可移动支架。</w:t>
            </w:r>
          </w:p>
        </w:tc>
        <w:tc>
          <w:tcPr>
            <w:tcW w:w="723" w:type="dxa"/>
            <w:noWrap w:val="0"/>
            <w:vAlign w:val="center"/>
          </w:tcPr>
          <w:p w14:paraId="55803D66">
            <w:pPr>
              <w:spacing w:line="240" w:lineRule="auto"/>
              <w:ind w:left="0" w:leftChars="0"/>
              <w:jc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color w:val="auto"/>
                <w:sz w:val="24"/>
                <w:szCs w:val="24"/>
              </w:rPr>
              <w:t>2</w:t>
            </w:r>
          </w:p>
        </w:tc>
        <w:tc>
          <w:tcPr>
            <w:tcW w:w="759" w:type="dxa"/>
            <w:noWrap w:val="0"/>
            <w:vAlign w:val="center"/>
          </w:tcPr>
          <w:p w14:paraId="405C8053">
            <w:pPr>
              <w:spacing w:line="240" w:lineRule="auto"/>
              <w:ind w:left="0" w:leftChars="0"/>
              <w:jc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color w:val="auto"/>
                <w:sz w:val="24"/>
                <w:szCs w:val="24"/>
                <w:lang w:val="en-US" w:eastAsia="zh-CN"/>
              </w:rPr>
              <w:t>台</w:t>
            </w:r>
          </w:p>
        </w:tc>
      </w:tr>
      <w:tr w14:paraId="31BF3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0" w:hRule="atLeast"/>
          <w:jc w:val="center"/>
        </w:trPr>
        <w:tc>
          <w:tcPr>
            <w:tcW w:w="629" w:type="dxa"/>
            <w:noWrap/>
            <w:vAlign w:val="center"/>
          </w:tcPr>
          <w:p w14:paraId="679B12D5">
            <w:pPr>
              <w:spacing w:line="240" w:lineRule="auto"/>
              <w:ind w:left="0" w:lef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p>
        </w:tc>
        <w:tc>
          <w:tcPr>
            <w:tcW w:w="998" w:type="dxa"/>
            <w:noWrap/>
            <w:vAlign w:val="center"/>
          </w:tcPr>
          <w:p w14:paraId="4CFB4807">
            <w:pPr>
              <w:bidi w:val="0"/>
              <w:spacing w:line="24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highlight w:val="none"/>
                <w:lang w:val="en-US" w:eastAsia="zh-CN"/>
              </w:rPr>
              <w:t>医用操作台</w:t>
            </w:r>
          </w:p>
        </w:tc>
        <w:tc>
          <w:tcPr>
            <w:tcW w:w="4808" w:type="dxa"/>
            <w:noWrap/>
            <w:vAlign w:val="center"/>
          </w:tcPr>
          <w:p w14:paraId="3BA1EB64">
            <w:pPr>
              <w:bidi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1.规格：≧1800*700*800mm</w:t>
            </w:r>
          </w:p>
          <w:p w14:paraId="5E878587">
            <w:pPr>
              <w:bidi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2.台面板及围脚采用304不锈钢板制作，板厚≥1.2mm。</w:t>
            </w:r>
          </w:p>
          <w:p w14:paraId="00B9A982">
            <w:pPr>
              <w:bidi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3.柜体采用≥1mm厚冷轧钢板成型后，经酸洗、磷化、清洗等处理后，表面采用静电喷塑，平滑光洁，无毒，环保，抗锈。</w:t>
            </w:r>
          </w:p>
          <w:p w14:paraId="142FC2FE">
            <w:pPr>
              <w:bidi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4.配四个抽屉；两个对开门柜体，柜内可选配隔板，隔板额定载荷：每层搁板≥20㎏。</w:t>
            </w:r>
          </w:p>
          <w:p w14:paraId="1487AB1A">
            <w:pPr>
              <w:bidi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5.根据人体工学原理拉手采用弧形拉手。</w:t>
            </w:r>
          </w:p>
          <w:p w14:paraId="4338A8DE">
            <w:pPr>
              <w:bidi w:val="0"/>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6.抽屉及柜门均配有安全锁</w:t>
            </w:r>
          </w:p>
        </w:tc>
        <w:tc>
          <w:tcPr>
            <w:tcW w:w="723" w:type="dxa"/>
            <w:noWrap w:val="0"/>
            <w:vAlign w:val="center"/>
          </w:tcPr>
          <w:p w14:paraId="35F5212B">
            <w:pPr>
              <w:spacing w:line="240" w:lineRule="auto"/>
              <w:ind w:left="0" w:leftChars="0"/>
              <w:jc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w:t>
            </w:r>
          </w:p>
        </w:tc>
        <w:tc>
          <w:tcPr>
            <w:tcW w:w="759" w:type="dxa"/>
            <w:noWrap w:val="0"/>
            <w:vAlign w:val="center"/>
          </w:tcPr>
          <w:p w14:paraId="548313B2">
            <w:pPr>
              <w:spacing w:line="240" w:lineRule="auto"/>
              <w:ind w:left="0" w:leftChars="0"/>
              <w:jc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color w:val="auto"/>
                <w:sz w:val="24"/>
                <w:szCs w:val="24"/>
                <w:lang w:val="en-US" w:eastAsia="zh-CN"/>
              </w:rPr>
              <w:t>台</w:t>
            </w:r>
          </w:p>
        </w:tc>
      </w:tr>
      <w:tr w14:paraId="3F81A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0" w:hRule="atLeast"/>
          <w:jc w:val="center"/>
        </w:trPr>
        <w:tc>
          <w:tcPr>
            <w:tcW w:w="629" w:type="dxa"/>
            <w:noWrap/>
            <w:vAlign w:val="center"/>
          </w:tcPr>
          <w:p w14:paraId="00294C86">
            <w:pPr>
              <w:spacing w:line="240" w:lineRule="auto"/>
              <w:ind w:left="0" w:lef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p>
        </w:tc>
        <w:tc>
          <w:tcPr>
            <w:tcW w:w="998" w:type="dxa"/>
            <w:noWrap/>
            <w:vAlign w:val="center"/>
          </w:tcPr>
          <w:p w14:paraId="215AEA89">
            <w:pPr>
              <w:bidi w:val="0"/>
              <w:spacing w:line="24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highlight w:val="none"/>
                <w:lang w:val="en-US" w:eastAsia="zh-CN"/>
              </w:rPr>
              <w:t>医用器械柜</w:t>
            </w:r>
          </w:p>
        </w:tc>
        <w:tc>
          <w:tcPr>
            <w:tcW w:w="4808" w:type="dxa"/>
            <w:noWrap/>
            <w:vAlign w:val="center"/>
          </w:tcPr>
          <w:p w14:paraId="1367BD63">
            <w:pPr>
              <w:bidi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1.规格：≥950×400×1750mm</w:t>
            </w:r>
          </w:p>
          <w:p w14:paraId="16D21ABC">
            <w:pPr>
              <w:bidi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2.整柜采用1.0mm±10%厚304不锈钢板制造而成，外观美观平整、端正，四角平行，表面无锋棱、毛刺等。</w:t>
            </w:r>
          </w:p>
          <w:p w14:paraId="7A2C3C98">
            <w:pPr>
              <w:bidi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3.柜体为双开门，内为活动隔板，可根据需要自行调节高度。</w:t>
            </w:r>
          </w:p>
          <w:p w14:paraId="3D8B91D3">
            <w:pPr>
              <w:bidi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4.外面玻璃门玻璃厚度5.0mm±10%，玻璃周围嵌入有防震作用装饰条。</w:t>
            </w:r>
          </w:p>
          <w:p w14:paraId="32B64722">
            <w:pPr>
              <w:bidi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5.额定载荷：每层搁板≥20㎏；额定总载荷≥100㎏</w:t>
            </w:r>
          </w:p>
          <w:p w14:paraId="733FA907">
            <w:pPr>
              <w:bidi w:val="0"/>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6.柜门均带锁。</w:t>
            </w:r>
          </w:p>
        </w:tc>
        <w:tc>
          <w:tcPr>
            <w:tcW w:w="723" w:type="dxa"/>
            <w:noWrap w:val="0"/>
            <w:vAlign w:val="center"/>
          </w:tcPr>
          <w:p w14:paraId="57D325B5">
            <w:pPr>
              <w:spacing w:line="240" w:lineRule="auto"/>
              <w:ind w:left="0" w:leftChars="0"/>
              <w:jc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color w:val="auto"/>
                <w:sz w:val="24"/>
                <w:szCs w:val="24"/>
                <w:lang w:val="en-US" w:eastAsia="zh-CN"/>
              </w:rPr>
              <w:t>8</w:t>
            </w:r>
          </w:p>
        </w:tc>
        <w:tc>
          <w:tcPr>
            <w:tcW w:w="759" w:type="dxa"/>
            <w:noWrap w:val="0"/>
            <w:vAlign w:val="center"/>
          </w:tcPr>
          <w:p w14:paraId="1BAB1710">
            <w:pPr>
              <w:spacing w:line="240" w:lineRule="auto"/>
              <w:ind w:left="0" w:leftChars="0"/>
              <w:jc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color w:val="auto"/>
                <w:sz w:val="24"/>
                <w:szCs w:val="24"/>
                <w:lang w:val="en-US" w:eastAsia="zh-CN"/>
              </w:rPr>
              <w:t>组</w:t>
            </w:r>
          </w:p>
        </w:tc>
      </w:tr>
      <w:tr w14:paraId="3104D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0" w:hRule="atLeast"/>
          <w:jc w:val="center"/>
        </w:trPr>
        <w:tc>
          <w:tcPr>
            <w:tcW w:w="629" w:type="dxa"/>
            <w:noWrap/>
            <w:vAlign w:val="center"/>
          </w:tcPr>
          <w:p w14:paraId="522E3D92">
            <w:pPr>
              <w:spacing w:line="240" w:lineRule="auto"/>
              <w:ind w:left="0" w:lef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14</w:t>
            </w:r>
          </w:p>
        </w:tc>
        <w:tc>
          <w:tcPr>
            <w:tcW w:w="998" w:type="dxa"/>
            <w:noWrap/>
            <w:vAlign w:val="center"/>
          </w:tcPr>
          <w:p w14:paraId="47669874">
            <w:pPr>
              <w:bidi w:val="0"/>
              <w:spacing w:line="240" w:lineRule="auto"/>
              <w:ind w:left="0" w:leftChars="0"/>
              <w:jc w:val="center"/>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highlight w:val="none"/>
                <w:lang w:val="en-US" w:eastAsia="zh-CN"/>
              </w:rPr>
              <w:t>外科护理技能虚拟仿真训练系统</w:t>
            </w:r>
          </w:p>
        </w:tc>
        <w:tc>
          <w:tcPr>
            <w:tcW w:w="4808" w:type="dxa"/>
            <w:noWrap/>
            <w:vAlign w:val="center"/>
          </w:tcPr>
          <w:p w14:paraId="269A3132">
            <w:pPr>
              <w:bidi w:val="0"/>
              <w:spacing w:line="240" w:lineRule="auto"/>
              <w:rPr>
                <w:rFonts w:hint="default" w:eastAsia="宋体"/>
                <w:lang w:val="en-US" w:eastAsia="zh-CN"/>
              </w:rPr>
            </w:pPr>
            <w:r>
              <w:rPr>
                <w:rFonts w:hint="eastAsia" w:ascii="宋体" w:hAnsi="宋体" w:eastAsia="宋体" w:cs="宋体"/>
                <w:color w:val="auto"/>
                <w:sz w:val="24"/>
                <w:szCs w:val="24"/>
                <w:highlight w:val="none"/>
                <w:lang w:val="en-US" w:eastAsia="zh-CN"/>
              </w:rPr>
              <w:t>一、系统概括</w:t>
            </w:r>
          </w:p>
          <w:p w14:paraId="469ADFEF">
            <w:pPr>
              <w:bidi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为操作者构建一个交互式三维虚拟现实医疗场景，操作者通过电脑终端，在虚拟场景中开展互动训练，逐步掌握相应的知识、技能，从而提升操作者的认知能力、临床思维能力，达到正确、完整地掌握操作技能的效果。</w:t>
            </w:r>
          </w:p>
          <w:p w14:paraId="3A9C3D4A">
            <w:pPr>
              <w:bidi w:val="0"/>
              <w:spacing w:line="240" w:lineRule="auto"/>
              <w:ind w:firstLine="480" w:firstLineChars="200"/>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外科护理技能虚拟仿真实训项目PC版：</w:t>
            </w:r>
            <w:r>
              <w:rPr>
                <w:rFonts w:hint="eastAsia" w:hAnsi="宋体" w:cs="宋体"/>
                <w:color w:val="auto"/>
                <w:sz w:val="24"/>
                <w:szCs w:val="24"/>
                <w:highlight w:val="none"/>
                <w:lang w:val="en-US" w:eastAsia="zh-CN"/>
              </w:rPr>
              <w:t>包括</w:t>
            </w:r>
            <w:r>
              <w:rPr>
                <w:rFonts w:hint="eastAsia" w:ascii="宋体" w:hAnsi="宋体" w:eastAsia="宋体" w:cs="宋体"/>
                <w:color w:val="auto"/>
                <w:sz w:val="24"/>
                <w:szCs w:val="24"/>
                <w:highlight w:val="none"/>
                <w:lang w:val="en-US" w:eastAsia="zh-CN"/>
              </w:rPr>
              <w:t>换药技术、清创术、外科洗手及刷手、阑尾切除术、脓肿切开术、穿脱手术衣、手术基本技能：切开、缝合、打结、戴无菌手套、前交叉韧带损伤、乳腺切除、PICC维护技术、膀胱冲洗</w:t>
            </w:r>
            <w:r>
              <w:rPr>
                <w:rFonts w:hint="eastAsia" w:hAnsi="宋体" w:cs="宋体"/>
                <w:color w:val="auto"/>
                <w:sz w:val="24"/>
                <w:szCs w:val="24"/>
                <w:highlight w:val="none"/>
                <w:lang w:val="en-US" w:eastAsia="zh-CN"/>
              </w:rPr>
              <w:t>。</w:t>
            </w:r>
          </w:p>
          <w:p w14:paraId="53F27460">
            <w:pPr>
              <w:bidi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1.每个项目具备教学模式和挑战模式，教学模式下，系统内置的AI虚拟教师通过语音、文字、动画等形式，实时对操作者给予指导、纠错；挑战模式下，学生可以在没有提示的情况下测试自己对流程的掌握程度；</w:t>
            </w:r>
          </w:p>
          <w:p w14:paraId="24FD4112">
            <w:pPr>
              <w:bidi w:val="0"/>
              <w:spacing w:line="24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2.虚拟仿真项目可以用于虚拟操作考试，支持一场考试考核多个虚拟仿真技能，每个项目的分数权重可以设置；</w:t>
            </w:r>
          </w:p>
          <w:p w14:paraId="7FB0AFF4">
            <w:pPr>
              <w:bidi w:val="0"/>
              <w:spacing w:line="24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3.操作区分一般训练步骤和核心操作步骤，可以单独统计核心操作的正确率，更准确地评估操作者对核心技能的掌握情况；</w:t>
            </w:r>
          </w:p>
          <w:p w14:paraId="4A481653">
            <w:pPr>
              <w:bidi w:val="0"/>
              <w:spacing w:line="24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4.关键操作步骤，系统会提供生理结构剖面图、透视图，方便操作者全面掌握核心技能；</w:t>
            </w:r>
          </w:p>
          <w:p w14:paraId="636026E6">
            <w:pPr>
              <w:bidi w:val="0"/>
              <w:spacing w:line="24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5.不同操作步骤可以任意跳转，且每个操作步骤均包含该步骤的知识点说明，帮助操作者该步骤操作的意义、要求；</w:t>
            </w:r>
          </w:p>
          <w:p w14:paraId="5BB0D251">
            <w:pPr>
              <w:bidi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6.操作结束后，自动生成个人训练报告，内容包括：训练成绩、核心操作正确率、胜任力维度评价、所用时长、扣分和错误详情，系统可针对本次训练给出点评，并推荐下一步训练方案；</w:t>
            </w:r>
          </w:p>
          <w:p w14:paraId="4BD41639">
            <w:pPr>
              <w:bidi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7.每个虚拟仿真项目均具备课前学习模块，提供文档、视频、图片等格式的学习资料，支持教师自行上传、删除资料，支持教师将资料分享给指定的班级；</w:t>
            </w:r>
          </w:p>
          <w:p w14:paraId="4F8D0A37">
            <w:pPr>
              <w:bidi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8.每个虚拟仿真项目均具备课后巩固模块，可进行技能项目相关的理论答题，题目类型包含：单句型、病例摘要型、标准配伍题、多选题和判断题；支持教师自行上传、修改题目；</w:t>
            </w:r>
          </w:p>
          <w:p w14:paraId="7E12F247">
            <w:pPr>
              <w:bidi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每个虚拟仿真项目均为操作者提供个人训练数据统计分析页面，操作者可以查看：个人课前学习和虚拟仿真训练累计时长；个人虚拟仿真训练次数，并分别统计教学模式和挑战模式的次数；个人挑战模式平均成绩、排名；完成课后巩固试题的数量，并汇总计算正确率；以及该技能项目的技能胜任力蛛网图、成长曲线、典型错误汇总；</w:t>
            </w:r>
          </w:p>
          <w:p w14:paraId="63B3CF3C">
            <w:pPr>
              <w:bidi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系统具备个人中心功能模块，操作者登录后应可以查看个人训练、学习记录及汇总分析，包括：训练记录以及对应的训练报告；每个技能训练项目的累计训练次数、时长、平均耗时、教学模式和挑战模式的平均成绩，以及挑战排名、成长曲线和典型错误统计；资料学习的次数、时长；课后习题（题库挑战）答题次数和正确率等信息。</w:t>
            </w:r>
          </w:p>
          <w:p w14:paraId="668B140C">
            <w:pPr>
              <w:bidi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系统具备我的学生功能模块，教师可查看下辖班级、学生的学习、训练情况，包括：每个学生的训练记录，并查看详细训练报告；每个学生、每个技能项目、下辖班级的训练时长、次数，平均耗时，教学模式和挑战模式的平均成绩等统计信息；</w:t>
            </w:r>
          </w:p>
          <w:p w14:paraId="0FC8663C">
            <w:pPr>
              <w:bidi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系统为学生用户提供个人工作桌面，可查看虚拟仿真技能项目挑战模式总排名、勤奋程度排名；累计训练次数、时长，累计课前学习次数、时长；所有项目挑战模式的平均成绩和课后巩固试题的平均正确率；以及每个虚拟仿真项目的技能胜任力评价，详细列明医患沟通、无菌观念、临床思维、职业素养、专业知识、专业技能、人文关怀、病人安全八个维度的得分情况。</w:t>
            </w:r>
          </w:p>
          <w:p w14:paraId="6D5A7EA8">
            <w:pPr>
              <w:bidi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系统为教师用户提供个人工作桌面，可查看个人安排的课程任务数量、组织考试数量、编辑上传资料/题目数量、课程任务计划；所有学生的综合技能胜任力蛛网图；每个学生的实时学习、训练动态；可按照班级统计资料学习、题库挑战、虚拟仿真训练的次数、时长、成绩等汇总平均数据；并可以快速进行新建课程任务、上传资料、组织考试等工作；</w:t>
            </w:r>
          </w:p>
          <w:p w14:paraId="112C7508">
            <w:pPr>
              <w:bidi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14.系统为教学管理人员提供管理统计页面，可查看技能训练整体情况，教师工作量情况，不同时段在线人数；所有学生的学习、挑战、训练等汇总数据。</w:t>
            </w:r>
          </w:p>
          <w:p w14:paraId="76981319">
            <w:pPr>
              <w:bidi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15.系统具备通过学号/工号、手机号码登录系统，通过问题答案找回密码功能；</w:t>
            </w:r>
          </w:p>
          <w:p w14:paraId="2DF58C17">
            <w:pPr>
              <w:bidi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16.系统具备用户管理功能：批量添加、删除学生、教师，一键重置密码；</w:t>
            </w:r>
          </w:p>
          <w:p w14:paraId="3208B803">
            <w:pPr>
              <w:bidi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17.系统具备班级、课程管理功能：可添加、删除、修改课程、班级信息；</w:t>
            </w:r>
          </w:p>
          <w:p w14:paraId="3A0D8E1E">
            <w:pPr>
              <w:bidi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系统具备课程任务功能，可向学生推送任务，任务包含：训练形式、训练内容、次数和分数要求等；任务发布后，教师可以实时查看课程任务完成情况；任务结束后形成课程任务报告和数据汇总，包括：完成情况分析、成绩分布、操作错误分析，以及每个人任务完成详情；</w:t>
            </w:r>
          </w:p>
          <w:p w14:paraId="15D5A2A3">
            <w:pPr>
              <w:bidi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19.系统具备课件上传分享功能，教师可以上传视频、文本、图片等形式的课件，分享给特定的班级、学生；</w:t>
            </w:r>
          </w:p>
          <w:p w14:paraId="3B8E26DB">
            <w:pPr>
              <w:bidi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20.系统具备理论题库，内含不少于2万道理论试题，题目类型至少包含：单句型、病例摘要型、病例组型、病例串行、标准配伍题、判断题、多选题；用户可以自定义题库，添加题目，对题目进行管理；</w:t>
            </w:r>
          </w:p>
          <w:p w14:paraId="730D9680">
            <w:pPr>
              <w:bidi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21.系统具备题库挑战功能，学生可以在理论题库或者自定义题库中进行答题挑战，选择挑战题目范围，系统自动排名；</w:t>
            </w:r>
          </w:p>
          <w:p w14:paraId="4B8176BA">
            <w:pPr>
              <w:bidi w:val="0"/>
              <w:spacing w:line="240" w:lineRule="auto"/>
              <w:ind w:left="0"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22.教师可以利用系统进行理论考试：支持手工组卷试卷、随机自动组卷；可以设置考试信息，查看考试成绩、排名；支持成绩导出。</w:t>
            </w:r>
          </w:p>
        </w:tc>
        <w:tc>
          <w:tcPr>
            <w:tcW w:w="723" w:type="dxa"/>
            <w:noWrap w:val="0"/>
            <w:vAlign w:val="center"/>
          </w:tcPr>
          <w:p w14:paraId="783FD240">
            <w:pPr>
              <w:spacing w:line="240" w:lineRule="auto"/>
              <w:ind w:left="0" w:leftChars="0"/>
              <w:jc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color w:val="auto"/>
                <w:sz w:val="24"/>
                <w:szCs w:val="24"/>
                <w:lang w:val="en-US" w:eastAsia="zh-CN"/>
              </w:rPr>
              <w:t>1</w:t>
            </w:r>
          </w:p>
        </w:tc>
        <w:tc>
          <w:tcPr>
            <w:tcW w:w="759" w:type="dxa"/>
            <w:noWrap w:val="0"/>
            <w:vAlign w:val="center"/>
          </w:tcPr>
          <w:p w14:paraId="71CA0B40">
            <w:pPr>
              <w:spacing w:line="240" w:lineRule="auto"/>
              <w:ind w:left="0" w:leftChars="0"/>
              <w:jc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color w:val="auto"/>
                <w:sz w:val="24"/>
                <w:szCs w:val="24"/>
              </w:rPr>
              <w:t>套</w:t>
            </w:r>
          </w:p>
        </w:tc>
      </w:tr>
      <w:tr w14:paraId="27FCC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0" w:hRule="atLeast"/>
          <w:jc w:val="center"/>
        </w:trPr>
        <w:tc>
          <w:tcPr>
            <w:tcW w:w="629" w:type="dxa"/>
            <w:noWrap/>
            <w:vAlign w:val="center"/>
          </w:tcPr>
          <w:p w14:paraId="2398287E">
            <w:pPr>
              <w:spacing w:line="240" w:lineRule="auto"/>
              <w:ind w:left="0" w:lef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p>
        </w:tc>
        <w:tc>
          <w:tcPr>
            <w:tcW w:w="998" w:type="dxa"/>
            <w:noWrap/>
            <w:vAlign w:val="center"/>
          </w:tcPr>
          <w:p w14:paraId="0AA8AC79">
            <w:pPr>
              <w:bidi w:val="0"/>
              <w:spacing w:line="24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highlight w:val="none"/>
                <w:lang w:val="en-US" w:eastAsia="zh-CN"/>
              </w:rPr>
              <w:t>治疗车</w:t>
            </w:r>
          </w:p>
        </w:tc>
        <w:tc>
          <w:tcPr>
            <w:tcW w:w="4808" w:type="dxa"/>
            <w:noWrap/>
            <w:vAlign w:val="center"/>
          </w:tcPr>
          <w:p w14:paraId="08577791">
            <w:pPr>
              <w:bidi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1.规格尺寸：≧700*450*850mm</w:t>
            </w:r>
          </w:p>
          <w:p w14:paraId="4335352A">
            <w:pPr>
              <w:bidi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2.车体主体材质为304不锈钢，钢板厚度≥1.0mm管材≥1.2mm</w:t>
            </w:r>
          </w:p>
          <w:p w14:paraId="4E35C43A">
            <w:pPr>
              <w:bidi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3.两层不锈钢台面，每层带三面不锈钢护栏</w:t>
            </w:r>
          </w:p>
          <w:p w14:paraId="03EAB9CA">
            <w:pPr>
              <w:bidi w:val="0"/>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4.车体底部配有四只静音脚轮，四只带刹功能，防缠绕，移动轻便灵活</w:t>
            </w:r>
          </w:p>
        </w:tc>
        <w:tc>
          <w:tcPr>
            <w:tcW w:w="723" w:type="dxa"/>
            <w:noWrap w:val="0"/>
            <w:vAlign w:val="center"/>
          </w:tcPr>
          <w:p w14:paraId="548F1EC1">
            <w:pPr>
              <w:spacing w:line="240" w:lineRule="auto"/>
              <w:ind w:left="0" w:leftChars="0"/>
              <w:jc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0</w:t>
            </w:r>
          </w:p>
        </w:tc>
        <w:tc>
          <w:tcPr>
            <w:tcW w:w="759" w:type="dxa"/>
            <w:noWrap w:val="0"/>
            <w:vAlign w:val="center"/>
          </w:tcPr>
          <w:p w14:paraId="717FC160">
            <w:pPr>
              <w:spacing w:line="240" w:lineRule="auto"/>
              <w:ind w:left="0" w:leftChars="0"/>
              <w:jc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color w:val="auto"/>
                <w:sz w:val="24"/>
                <w:szCs w:val="24"/>
                <w:lang w:val="en-US" w:eastAsia="zh-CN"/>
              </w:rPr>
              <w:t>台</w:t>
            </w:r>
          </w:p>
        </w:tc>
      </w:tr>
      <w:tr w14:paraId="4497E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814" w:hRule="atLeast"/>
          <w:jc w:val="center"/>
        </w:trPr>
        <w:tc>
          <w:tcPr>
            <w:tcW w:w="629" w:type="dxa"/>
            <w:noWrap/>
            <w:vAlign w:val="center"/>
          </w:tcPr>
          <w:p w14:paraId="7B9189C1">
            <w:pPr>
              <w:spacing w:line="240" w:lineRule="auto"/>
              <w:ind w:left="0" w:lef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p>
        </w:tc>
        <w:tc>
          <w:tcPr>
            <w:tcW w:w="998" w:type="dxa"/>
            <w:noWrap/>
            <w:vAlign w:val="center"/>
          </w:tcPr>
          <w:p w14:paraId="4FC2ABBE">
            <w:pPr>
              <w:spacing w:line="240" w:lineRule="auto"/>
              <w:ind w:left="0" w:leftChars="0"/>
              <w:jc w:val="left"/>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highlight w:val="none"/>
                <w:lang w:val="en-US" w:eastAsia="zh-CN"/>
              </w:rPr>
              <w:t>带写字板椅子</w:t>
            </w:r>
          </w:p>
        </w:tc>
        <w:tc>
          <w:tcPr>
            <w:tcW w:w="4808" w:type="dxa"/>
            <w:noWrap/>
            <w:vAlign w:val="center"/>
          </w:tcPr>
          <w:p w14:paraId="7788D2D7">
            <w:pPr>
              <w:bidi w:val="0"/>
              <w:spacing w:line="24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1.外观尺寸:≥420*440*400</w:t>
            </w:r>
            <w:r>
              <w:rPr>
                <w:rFonts w:hint="eastAsia" w:hAnsi="宋体" w:cs="宋体"/>
                <w:color w:val="auto"/>
                <w:sz w:val="24"/>
                <w:szCs w:val="24"/>
                <w:highlight w:val="none"/>
                <w:lang w:val="en-US" w:eastAsia="zh-CN"/>
              </w:rPr>
              <w:t>mm</w:t>
            </w:r>
          </w:p>
          <w:p w14:paraId="64BC46FF">
            <w:pPr>
              <w:bidi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2.PA材质，固定靠背。</w:t>
            </w:r>
          </w:p>
          <w:p w14:paraId="24AFCA92">
            <w:pPr>
              <w:bidi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3.高密度纯棉，座板可翻转</w:t>
            </w:r>
          </w:p>
          <w:p w14:paraId="62205F69">
            <w:pPr>
              <w:bidi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4.全功能收起折叠</w:t>
            </w:r>
          </w:p>
          <w:p w14:paraId="0D67FEAD">
            <w:pPr>
              <w:bidi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5.铝合金头写字板椅架采用砂纹黑</w:t>
            </w:r>
          </w:p>
        </w:tc>
        <w:tc>
          <w:tcPr>
            <w:tcW w:w="723" w:type="dxa"/>
            <w:noWrap w:val="0"/>
            <w:vAlign w:val="center"/>
          </w:tcPr>
          <w:p w14:paraId="452AC041">
            <w:pPr>
              <w:spacing w:line="240" w:lineRule="auto"/>
              <w:ind w:left="0" w:leftChars="0"/>
              <w:jc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color w:val="auto"/>
                <w:sz w:val="24"/>
                <w:szCs w:val="24"/>
                <w:lang w:val="en-US" w:eastAsia="zh-CN"/>
              </w:rPr>
              <w:t>50</w:t>
            </w:r>
          </w:p>
        </w:tc>
        <w:tc>
          <w:tcPr>
            <w:tcW w:w="759" w:type="dxa"/>
            <w:noWrap w:val="0"/>
            <w:vAlign w:val="center"/>
          </w:tcPr>
          <w:p w14:paraId="7A4D1BEB">
            <w:pPr>
              <w:spacing w:line="240" w:lineRule="auto"/>
              <w:ind w:left="0" w:leftChars="0"/>
              <w:jc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color w:val="auto"/>
                <w:sz w:val="24"/>
                <w:szCs w:val="24"/>
                <w:lang w:val="en-US" w:eastAsia="zh-CN"/>
              </w:rPr>
              <w:t>把</w:t>
            </w:r>
          </w:p>
        </w:tc>
      </w:tr>
      <w:tr w14:paraId="3D017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949" w:hRule="atLeast"/>
          <w:jc w:val="center"/>
        </w:trPr>
        <w:tc>
          <w:tcPr>
            <w:tcW w:w="629" w:type="dxa"/>
            <w:noWrap/>
            <w:vAlign w:val="center"/>
          </w:tcPr>
          <w:p w14:paraId="1B04B59D">
            <w:pPr>
              <w:spacing w:line="240" w:lineRule="auto"/>
              <w:ind w:left="0" w:lef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p>
        </w:tc>
        <w:tc>
          <w:tcPr>
            <w:tcW w:w="998" w:type="dxa"/>
            <w:noWrap/>
            <w:vAlign w:val="center"/>
          </w:tcPr>
          <w:p w14:paraId="3F6E27E3">
            <w:pPr>
              <w:spacing w:line="240" w:lineRule="auto"/>
              <w:ind w:left="0" w:leftChars="0"/>
              <w:jc w:val="left"/>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highlight w:val="none"/>
                <w:lang w:val="en-US" w:eastAsia="zh-CN"/>
              </w:rPr>
              <w:t>模型柜定制柜</w:t>
            </w:r>
          </w:p>
        </w:tc>
        <w:tc>
          <w:tcPr>
            <w:tcW w:w="4808" w:type="dxa"/>
            <w:noWrap/>
            <w:vAlign w:val="center"/>
          </w:tcPr>
          <w:p w14:paraId="1C1ECD53">
            <w:pPr>
              <w:bidi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1.尺寸：≥1800*600*1800</w:t>
            </w:r>
            <w:r>
              <w:rPr>
                <w:rFonts w:hint="eastAsia" w:hAnsi="宋体" w:cs="宋体"/>
                <w:color w:val="auto"/>
                <w:sz w:val="24"/>
                <w:szCs w:val="24"/>
                <w:highlight w:val="none"/>
                <w:lang w:val="en-US" w:eastAsia="zh-CN"/>
              </w:rPr>
              <w:t>mm</w:t>
            </w:r>
          </w:p>
          <w:p w14:paraId="33C03A3E">
            <w:pPr>
              <w:bidi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2.对开玻璃门下面为上翻门</w:t>
            </w:r>
          </w:p>
        </w:tc>
        <w:tc>
          <w:tcPr>
            <w:tcW w:w="723" w:type="dxa"/>
            <w:noWrap w:val="0"/>
            <w:vAlign w:val="center"/>
          </w:tcPr>
          <w:p w14:paraId="4673570F">
            <w:pPr>
              <w:spacing w:line="240" w:lineRule="auto"/>
              <w:ind w:left="0" w:leftChars="0"/>
              <w:jc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color w:val="auto"/>
                <w:sz w:val="24"/>
                <w:szCs w:val="24"/>
                <w:lang w:val="en-US" w:eastAsia="zh-CN"/>
              </w:rPr>
              <w:t>4</w:t>
            </w:r>
          </w:p>
        </w:tc>
        <w:tc>
          <w:tcPr>
            <w:tcW w:w="759" w:type="dxa"/>
            <w:noWrap w:val="0"/>
            <w:vAlign w:val="center"/>
          </w:tcPr>
          <w:p w14:paraId="1C47695A">
            <w:pPr>
              <w:spacing w:line="240" w:lineRule="auto"/>
              <w:ind w:left="0" w:leftChars="0"/>
              <w:jc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color w:val="auto"/>
                <w:sz w:val="24"/>
                <w:szCs w:val="24"/>
                <w:lang w:val="en-US" w:eastAsia="zh-CN"/>
              </w:rPr>
              <w:t>套</w:t>
            </w:r>
          </w:p>
        </w:tc>
      </w:tr>
      <w:tr w14:paraId="6920C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0" w:hRule="atLeast"/>
          <w:jc w:val="center"/>
        </w:trPr>
        <w:tc>
          <w:tcPr>
            <w:tcW w:w="629" w:type="dxa"/>
            <w:noWrap/>
            <w:vAlign w:val="center"/>
          </w:tcPr>
          <w:p w14:paraId="6768A777">
            <w:pPr>
              <w:spacing w:line="240" w:lineRule="auto"/>
              <w:ind w:left="0" w:lef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18</w:t>
            </w:r>
          </w:p>
        </w:tc>
        <w:tc>
          <w:tcPr>
            <w:tcW w:w="998" w:type="dxa"/>
            <w:noWrap/>
            <w:vAlign w:val="center"/>
          </w:tcPr>
          <w:p w14:paraId="18380676">
            <w:pPr>
              <w:bidi w:val="0"/>
              <w:spacing w:line="240" w:lineRule="auto"/>
              <w:ind w:left="0" w:leftChars="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highlight w:val="none"/>
                <w:lang w:val="en-US" w:eastAsia="zh-CN"/>
              </w:rPr>
              <w:t>空调</w:t>
            </w:r>
          </w:p>
        </w:tc>
        <w:tc>
          <w:tcPr>
            <w:tcW w:w="4808" w:type="dxa"/>
            <w:noWrap/>
            <w:vAlign w:val="center"/>
          </w:tcPr>
          <w:p w14:paraId="1C428882">
            <w:pPr>
              <w:spacing w:line="240" w:lineRule="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类型：立柜式</w:t>
            </w:r>
          </w:p>
          <w:p w14:paraId="7C85278D">
            <w:pPr>
              <w:spacing w:line="240" w:lineRule="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能效等级：一级能效</w:t>
            </w:r>
          </w:p>
          <w:p w14:paraId="601DCBE4">
            <w:pPr>
              <w:spacing w:line="240" w:lineRule="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变频/定频：变频</w:t>
            </w:r>
          </w:p>
          <w:p w14:paraId="5FEDFA51">
            <w:pPr>
              <w:spacing w:line="240" w:lineRule="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冷暖类型：冷暖</w:t>
            </w:r>
          </w:p>
          <w:p w14:paraId="4DE42AA7">
            <w:pPr>
              <w:spacing w:line="240" w:lineRule="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制冷功率：≧2090W</w:t>
            </w:r>
          </w:p>
          <w:p w14:paraId="73B5FE5D">
            <w:pPr>
              <w:spacing w:line="240" w:lineRule="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制冷量：≧7210W</w:t>
            </w:r>
          </w:p>
          <w:p w14:paraId="14400063">
            <w:pPr>
              <w:spacing w:line="240" w:lineRule="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外机最大噪声：≦56dB(A)</w:t>
            </w:r>
          </w:p>
          <w:p w14:paraId="096D2341">
            <w:pPr>
              <w:numPr>
                <w:ilvl w:val="0"/>
                <w:numId w:val="0"/>
              </w:numPr>
              <w:spacing w:line="240" w:lineRule="auto"/>
              <w:ind w:left="0" w:leftChars="0" w:firstLine="0" w:firstLineChars="0"/>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内机最大噪声：≦46dB(A)</w:t>
            </w:r>
          </w:p>
          <w:p w14:paraId="740E4784">
            <w:pPr>
              <w:numPr>
                <w:ilvl w:val="0"/>
                <w:numId w:val="0"/>
              </w:numPr>
              <w:spacing w:line="240" w:lineRule="auto"/>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9.符合国家最新强制性标准，提供强制节能认证证书（实质性要求）</w:t>
            </w:r>
          </w:p>
        </w:tc>
        <w:tc>
          <w:tcPr>
            <w:tcW w:w="723" w:type="dxa"/>
            <w:noWrap w:val="0"/>
            <w:vAlign w:val="center"/>
          </w:tcPr>
          <w:p w14:paraId="6BFE9576">
            <w:pPr>
              <w:spacing w:line="240" w:lineRule="auto"/>
              <w:ind w:left="0" w:leftChars="0"/>
              <w:jc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color w:val="auto"/>
                <w:sz w:val="24"/>
                <w:szCs w:val="24"/>
                <w:lang w:val="en-US" w:eastAsia="zh-CN"/>
              </w:rPr>
              <w:t>2</w:t>
            </w:r>
          </w:p>
        </w:tc>
        <w:tc>
          <w:tcPr>
            <w:tcW w:w="759" w:type="dxa"/>
            <w:noWrap w:val="0"/>
            <w:vAlign w:val="center"/>
          </w:tcPr>
          <w:p w14:paraId="16474001">
            <w:pPr>
              <w:spacing w:line="240" w:lineRule="auto"/>
              <w:ind w:left="0" w:leftChars="0"/>
              <w:jc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color w:val="auto"/>
                <w:sz w:val="24"/>
                <w:szCs w:val="24"/>
                <w:lang w:val="en-US" w:eastAsia="zh-CN"/>
              </w:rPr>
              <w:t>台</w:t>
            </w:r>
          </w:p>
        </w:tc>
      </w:tr>
    </w:tbl>
    <w:p w14:paraId="6D95B748">
      <w:pPr>
        <w:pStyle w:val="15"/>
        <w:rPr>
          <w:rFonts w:hint="default"/>
          <w:lang w:val="en-US" w:eastAsia="zh-CN"/>
        </w:rPr>
      </w:pPr>
    </w:p>
    <w:p w14:paraId="53CFE628">
      <w:pPr>
        <w:pStyle w:val="15"/>
        <w:rPr>
          <w:rFonts w:hint="eastAsia"/>
        </w:rPr>
      </w:pPr>
    </w:p>
    <w:p w14:paraId="7EBDD25B">
      <w:pPr>
        <w:rPr>
          <w:rFonts w:hint="eastAsia"/>
          <w:sz w:val="22"/>
          <w:szCs w:val="22"/>
        </w:rPr>
      </w:pPr>
    </w:p>
    <w:p w14:paraId="05CE151A">
      <w:pPr>
        <w:rPr>
          <w:rFonts w:hint="eastAsia"/>
          <w:sz w:val="22"/>
          <w:szCs w:val="22"/>
        </w:rPr>
      </w:pPr>
      <w:r>
        <w:rPr>
          <w:rFonts w:hint="eastAsia"/>
          <w:sz w:val="22"/>
          <w:szCs w:val="22"/>
        </w:rPr>
        <w:br w:type="page"/>
      </w:r>
    </w:p>
    <w:p w14:paraId="17D56D4D">
      <w:pPr>
        <w:jc w:val="center"/>
        <w:rPr>
          <w:rStyle w:val="23"/>
        </w:rPr>
      </w:pPr>
      <w:bookmarkStart w:id="219" w:name="_Toc29620"/>
      <w:bookmarkStart w:id="220" w:name="_Toc3608"/>
      <w:r>
        <w:rPr>
          <w:rStyle w:val="23"/>
          <w:rFonts w:hint="eastAsia"/>
        </w:rPr>
        <w:t>第六章</w:t>
      </w:r>
      <w:r>
        <w:rPr>
          <w:rStyle w:val="23"/>
          <w:rFonts w:hint="eastAsia"/>
          <w:lang w:val="en-US" w:eastAsia="zh-CN"/>
        </w:rPr>
        <w:t xml:space="preserve">  </w:t>
      </w:r>
      <w:r>
        <w:rPr>
          <w:rStyle w:val="23"/>
          <w:rFonts w:hint="eastAsia"/>
        </w:rPr>
        <w:t>评标办法</w:t>
      </w:r>
      <w:bookmarkEnd w:id="211"/>
      <w:bookmarkEnd w:id="212"/>
      <w:bookmarkEnd w:id="213"/>
      <w:bookmarkEnd w:id="214"/>
      <w:bookmarkEnd w:id="216"/>
      <w:bookmarkEnd w:id="217"/>
      <w:bookmarkEnd w:id="218"/>
      <w:bookmarkStart w:id="221" w:name="_Toc208849007"/>
      <w:bookmarkStart w:id="222" w:name="_Toc217446097"/>
      <w:bookmarkStart w:id="223" w:name="_Toc183682415"/>
      <w:bookmarkStart w:id="224" w:name="_Toc183582280"/>
    </w:p>
    <w:bookmarkEnd w:id="215"/>
    <w:bookmarkEnd w:id="219"/>
    <w:bookmarkEnd w:id="220"/>
    <w:bookmarkEnd w:id="221"/>
    <w:bookmarkEnd w:id="222"/>
    <w:bookmarkEnd w:id="223"/>
    <w:bookmarkEnd w:id="224"/>
    <w:p w14:paraId="33ABD579">
      <w:pPr>
        <w:pStyle w:val="3"/>
        <w:rPr>
          <w:rFonts w:ascii="Times New Roman" w:hAnsi="Times New Roman"/>
          <w:sz w:val="22"/>
          <w:szCs w:val="22"/>
        </w:rPr>
      </w:pPr>
      <w:bookmarkStart w:id="225" w:name="_Toc9695"/>
      <w:bookmarkStart w:id="226" w:name="_Toc10747"/>
      <w:r>
        <w:rPr>
          <w:rFonts w:ascii="Times New Roman" w:hAnsi="Times New Roman"/>
          <w:sz w:val="22"/>
          <w:szCs w:val="22"/>
        </w:rPr>
        <w:t xml:space="preserve">1. </w:t>
      </w:r>
      <w:r>
        <w:rPr>
          <w:rFonts w:hint="eastAsia" w:ascii="Times New Roman"/>
          <w:sz w:val="22"/>
          <w:szCs w:val="22"/>
        </w:rPr>
        <w:t>总则</w:t>
      </w:r>
    </w:p>
    <w:p w14:paraId="32CA97DA">
      <w:pPr>
        <w:spacing w:line="400" w:lineRule="exact"/>
        <w:ind w:firstLine="440" w:firstLineChars="200"/>
        <w:rPr>
          <w:rFonts w:ascii="Times New Roman" w:hAnsi="Times New Roman"/>
          <w:sz w:val="22"/>
          <w:szCs w:val="21"/>
        </w:rPr>
      </w:pPr>
      <w:r>
        <w:rPr>
          <w:rFonts w:ascii="Times New Roman" w:hAnsi="Times New Roman"/>
          <w:sz w:val="22"/>
          <w:szCs w:val="21"/>
        </w:rPr>
        <w:t xml:space="preserve">1.1 </w:t>
      </w:r>
      <w:r>
        <w:rPr>
          <w:rFonts w:hint="eastAsia" w:ascii="Times New Roman" w:hAnsi="Times New Roman"/>
          <w:sz w:val="22"/>
          <w:szCs w:val="21"/>
        </w:rPr>
        <w:t>根据《中华人民共和国政府采购法》、《中华人民共和国政府采购法实施条例》、《政府采购货物和服务招标投标管理办法》等法律制度，结合采购项目特点制定本评标办法。</w:t>
      </w:r>
    </w:p>
    <w:p w14:paraId="3161102F">
      <w:pPr>
        <w:spacing w:line="400" w:lineRule="exact"/>
        <w:ind w:firstLine="440" w:firstLineChars="200"/>
        <w:rPr>
          <w:rFonts w:ascii="Times New Roman" w:hAnsi="Times New Roman"/>
          <w:sz w:val="22"/>
          <w:szCs w:val="21"/>
        </w:rPr>
      </w:pPr>
      <w:r>
        <w:rPr>
          <w:rFonts w:ascii="Times New Roman" w:hAnsi="Times New Roman"/>
          <w:sz w:val="22"/>
          <w:szCs w:val="21"/>
        </w:rPr>
        <w:t xml:space="preserve">1.2 </w:t>
      </w:r>
      <w:r>
        <w:rPr>
          <w:rFonts w:hint="eastAsia" w:ascii="Times New Roman" w:hAnsi="Times New Roman"/>
          <w:sz w:val="22"/>
          <w:szCs w:val="21"/>
        </w:rPr>
        <w:t>公开招标采购项目开标结束后，采购人或者采购代理机构应当依法对投标人的资格进行审查。依据法律法规和本招标文件的规定，对投标文件是否按照规定要求提供资格性证明材料、是否按照规定交纳投标保证金，以确定投标供应商是否具备投标资格。</w:t>
      </w:r>
    </w:p>
    <w:p w14:paraId="0C686CE3">
      <w:pPr>
        <w:spacing w:line="400" w:lineRule="exact"/>
        <w:ind w:firstLine="440" w:firstLineChars="200"/>
        <w:rPr>
          <w:rFonts w:ascii="Times New Roman" w:hAnsi="Times New Roman"/>
          <w:sz w:val="22"/>
          <w:szCs w:val="21"/>
        </w:rPr>
      </w:pPr>
      <w:r>
        <w:rPr>
          <w:rFonts w:hint="eastAsia" w:ascii="Times New Roman" w:hAnsi="Times New Roman"/>
          <w:sz w:val="22"/>
          <w:szCs w:val="21"/>
        </w:rPr>
        <w:t>合格投标人不足三家的，不得评标。</w:t>
      </w:r>
    </w:p>
    <w:p w14:paraId="16134E56">
      <w:pPr>
        <w:spacing w:line="400" w:lineRule="exact"/>
        <w:ind w:firstLine="440" w:firstLineChars="200"/>
        <w:rPr>
          <w:rFonts w:ascii="Times New Roman" w:hAnsi="Times New Roman"/>
          <w:sz w:val="22"/>
          <w:szCs w:val="21"/>
        </w:rPr>
      </w:pPr>
      <w:r>
        <w:rPr>
          <w:rFonts w:hint="eastAsia" w:ascii="Times New Roman" w:hAnsi="Times New Roman"/>
          <w:sz w:val="22"/>
          <w:szCs w:val="21"/>
        </w:rPr>
        <w:t>评标工作由采购代理机构负责组织，具体评标事务由采购代理机构依法组建的评标委员会负责。评标委员会由采购人代表和评审专家组成，成员人数为</w:t>
      </w:r>
      <w:r>
        <w:rPr>
          <w:rFonts w:ascii="Times New Roman" w:hAnsi="Times New Roman"/>
          <w:sz w:val="22"/>
          <w:szCs w:val="21"/>
        </w:rPr>
        <w:t>5</w:t>
      </w:r>
      <w:r>
        <w:rPr>
          <w:rFonts w:hint="eastAsia" w:ascii="Times New Roman" w:hAnsi="Times New Roman"/>
          <w:sz w:val="22"/>
          <w:szCs w:val="21"/>
        </w:rPr>
        <w:t>人及以上单数，其中评审专家不少于成员总数的三分之二。</w:t>
      </w:r>
    </w:p>
    <w:p w14:paraId="7D15D419">
      <w:pPr>
        <w:spacing w:line="400" w:lineRule="exact"/>
        <w:ind w:firstLine="440" w:firstLineChars="200"/>
        <w:rPr>
          <w:rFonts w:ascii="Times New Roman" w:hAnsi="Times New Roman"/>
          <w:sz w:val="22"/>
          <w:szCs w:val="21"/>
        </w:rPr>
      </w:pPr>
      <w:r>
        <w:rPr>
          <w:rFonts w:ascii="Times New Roman" w:hAnsi="Times New Roman"/>
          <w:sz w:val="22"/>
          <w:szCs w:val="21"/>
        </w:rPr>
        <w:t xml:space="preserve">1.3 </w:t>
      </w:r>
      <w:r>
        <w:rPr>
          <w:rFonts w:hint="eastAsia" w:ascii="Times New Roman" w:hAnsi="Times New Roman"/>
          <w:sz w:val="22"/>
          <w:szCs w:val="21"/>
        </w:rPr>
        <w:t>评标工作应遵循公平、公正、科学及择优的原则，并以相同的评标程序和标准对待所有的投标人。</w:t>
      </w:r>
    </w:p>
    <w:p w14:paraId="575B5675">
      <w:pPr>
        <w:spacing w:line="400" w:lineRule="exact"/>
        <w:ind w:firstLine="440" w:firstLineChars="200"/>
        <w:rPr>
          <w:rFonts w:ascii="Times New Roman" w:hAnsi="Times New Roman"/>
          <w:sz w:val="22"/>
          <w:szCs w:val="21"/>
        </w:rPr>
      </w:pPr>
      <w:r>
        <w:rPr>
          <w:rFonts w:ascii="Times New Roman" w:hAnsi="Times New Roman"/>
          <w:sz w:val="22"/>
          <w:szCs w:val="21"/>
        </w:rPr>
        <w:t xml:space="preserve">1.4 </w:t>
      </w:r>
      <w:r>
        <w:rPr>
          <w:rFonts w:hint="eastAsia" w:ascii="Times New Roman" w:hAnsi="Times New Roman"/>
          <w:sz w:val="22"/>
          <w:szCs w:val="21"/>
        </w:rPr>
        <w:t>评标委员会按照招标文件规定的评标方法和标准进行评标，并独立履行下列职责：</w:t>
      </w:r>
    </w:p>
    <w:p w14:paraId="611C7F1E">
      <w:pPr>
        <w:spacing w:line="400" w:lineRule="exact"/>
        <w:ind w:firstLine="440" w:firstLineChars="200"/>
        <w:rPr>
          <w:rFonts w:ascii="Times New Roman" w:hAnsi="Times New Roman"/>
          <w:sz w:val="22"/>
          <w:szCs w:val="21"/>
        </w:rPr>
      </w:pPr>
      <w:bookmarkStart w:id="227" w:name="_Toc217446098"/>
      <w:r>
        <w:rPr>
          <w:rFonts w:hint="eastAsia" w:ascii="Times New Roman" w:hAnsi="Times New Roman"/>
          <w:sz w:val="22"/>
          <w:szCs w:val="21"/>
        </w:rPr>
        <w:t>（一）熟悉和理解招标文件；</w:t>
      </w:r>
    </w:p>
    <w:p w14:paraId="1B8E1890">
      <w:pPr>
        <w:spacing w:line="400" w:lineRule="exact"/>
        <w:ind w:firstLine="440" w:firstLineChars="200"/>
        <w:rPr>
          <w:rFonts w:ascii="Times New Roman" w:hAnsi="Times New Roman"/>
          <w:sz w:val="22"/>
          <w:szCs w:val="21"/>
        </w:rPr>
      </w:pPr>
      <w:r>
        <w:rPr>
          <w:rFonts w:hint="eastAsia" w:ascii="Times New Roman" w:hAnsi="Times New Roman"/>
          <w:sz w:val="22"/>
          <w:szCs w:val="21"/>
        </w:rPr>
        <w:t>（二）审查供应商（已通过资格审查）的投标文件是否满足招标文件要求，并作出评价；</w:t>
      </w:r>
    </w:p>
    <w:p w14:paraId="479F15EB">
      <w:pPr>
        <w:spacing w:line="400" w:lineRule="exact"/>
        <w:ind w:firstLine="440" w:firstLineChars="200"/>
        <w:rPr>
          <w:rFonts w:ascii="Times New Roman" w:hAnsi="Times New Roman"/>
          <w:sz w:val="22"/>
          <w:szCs w:val="21"/>
        </w:rPr>
      </w:pPr>
      <w:r>
        <w:rPr>
          <w:rFonts w:hint="eastAsia" w:ascii="Times New Roman" w:hAnsi="Times New Roman"/>
          <w:sz w:val="22"/>
          <w:szCs w:val="21"/>
        </w:rPr>
        <w:t>（三）根据需要要求招标采购单位对招标文件作出解释；根据需要要求供应商对投标文件有关事项作出澄清、说明或者更正；</w:t>
      </w:r>
    </w:p>
    <w:p w14:paraId="632C8AC0">
      <w:pPr>
        <w:spacing w:line="400" w:lineRule="exact"/>
        <w:ind w:firstLine="440" w:firstLineChars="200"/>
        <w:rPr>
          <w:rFonts w:ascii="Times New Roman" w:hAnsi="Times New Roman"/>
          <w:sz w:val="22"/>
          <w:szCs w:val="21"/>
        </w:rPr>
      </w:pPr>
      <w:r>
        <w:rPr>
          <w:rFonts w:hint="eastAsia" w:ascii="Times New Roman" w:hAnsi="Times New Roman"/>
          <w:sz w:val="22"/>
          <w:szCs w:val="21"/>
        </w:rPr>
        <w:t>（四）推荐中标候选供应商，或者受采购人委托确定中标供应商；</w:t>
      </w:r>
    </w:p>
    <w:p w14:paraId="638485D6">
      <w:pPr>
        <w:spacing w:line="400" w:lineRule="exact"/>
        <w:ind w:firstLine="440" w:firstLineChars="200"/>
        <w:rPr>
          <w:rFonts w:ascii="Times New Roman" w:hAnsi="Times New Roman"/>
          <w:sz w:val="22"/>
          <w:szCs w:val="21"/>
        </w:rPr>
      </w:pPr>
      <w:r>
        <w:rPr>
          <w:rFonts w:hint="eastAsia" w:ascii="Times New Roman" w:hAnsi="Times New Roman"/>
          <w:sz w:val="22"/>
          <w:szCs w:val="21"/>
        </w:rPr>
        <w:t>（五）起草评标报告并进行签署；</w:t>
      </w:r>
    </w:p>
    <w:p w14:paraId="1D31E156">
      <w:pPr>
        <w:spacing w:line="400" w:lineRule="exact"/>
        <w:ind w:firstLine="440" w:firstLineChars="200"/>
        <w:rPr>
          <w:rFonts w:ascii="Times New Roman" w:hAnsi="Times New Roman"/>
          <w:sz w:val="22"/>
          <w:szCs w:val="21"/>
        </w:rPr>
      </w:pPr>
      <w:r>
        <w:rPr>
          <w:rFonts w:hint="eastAsia" w:ascii="Times New Roman" w:hAnsi="Times New Roman"/>
          <w:sz w:val="22"/>
          <w:szCs w:val="21"/>
        </w:rPr>
        <w:t>（六）向招标采购单位、财政部门或者其他监督部门报告非法干预评标工作的行为；</w:t>
      </w:r>
    </w:p>
    <w:p w14:paraId="303AB14E">
      <w:pPr>
        <w:spacing w:line="400" w:lineRule="exact"/>
        <w:ind w:firstLine="440" w:firstLineChars="200"/>
        <w:rPr>
          <w:rFonts w:ascii="Times New Roman" w:hAnsi="Times New Roman"/>
          <w:sz w:val="22"/>
          <w:szCs w:val="21"/>
        </w:rPr>
      </w:pPr>
      <w:r>
        <w:rPr>
          <w:rFonts w:hint="eastAsia" w:ascii="Times New Roman" w:hAnsi="Times New Roman"/>
          <w:sz w:val="22"/>
          <w:szCs w:val="21"/>
        </w:rPr>
        <w:t>（七）法律、法规和规章规定的其他职责。</w:t>
      </w:r>
    </w:p>
    <w:p w14:paraId="6F82B461">
      <w:pPr>
        <w:spacing w:line="400" w:lineRule="exact"/>
        <w:ind w:firstLine="440" w:firstLineChars="200"/>
        <w:rPr>
          <w:rFonts w:ascii="Times New Roman" w:hAnsi="Times New Roman"/>
          <w:sz w:val="22"/>
          <w:szCs w:val="21"/>
        </w:rPr>
      </w:pPr>
      <w:r>
        <w:rPr>
          <w:rFonts w:ascii="Times New Roman" w:hAnsi="Times New Roman"/>
          <w:sz w:val="22"/>
          <w:szCs w:val="21"/>
        </w:rPr>
        <w:t xml:space="preserve">1.5 </w:t>
      </w:r>
      <w:r>
        <w:rPr>
          <w:rFonts w:hint="eastAsia" w:ascii="Times New Roman" w:hAnsi="Times New Roman"/>
          <w:sz w:val="22"/>
          <w:szCs w:val="21"/>
        </w:rPr>
        <w:t>评标过程独立、保密。投标人非法干预评标过程的行为将导致其投标文件作为无效处理。</w:t>
      </w:r>
    </w:p>
    <w:p w14:paraId="587E2D22">
      <w:pPr>
        <w:spacing w:line="400" w:lineRule="exact"/>
        <w:ind w:firstLine="440" w:firstLineChars="200"/>
        <w:rPr>
          <w:rFonts w:ascii="Times New Roman" w:hAnsi="Times New Roman"/>
          <w:sz w:val="22"/>
          <w:szCs w:val="21"/>
        </w:rPr>
      </w:pPr>
      <w:r>
        <w:rPr>
          <w:rFonts w:ascii="Times New Roman" w:hAnsi="Times New Roman"/>
          <w:sz w:val="22"/>
          <w:szCs w:val="21"/>
        </w:rPr>
        <w:t xml:space="preserve">1.6 </w:t>
      </w:r>
      <w:r>
        <w:rPr>
          <w:rFonts w:hint="eastAsia" w:ascii="Times New Roman" w:hAnsi="Times New Roman"/>
          <w:sz w:val="22"/>
          <w:szCs w:val="21"/>
        </w:rPr>
        <w:t>评标委员会评价投标文件的响应性，对于投标人而言，除评标委员会要求其澄清、说明或者更正而提供的资料外，仅依据投标文件本身的内容，不寻求其他外部证据。</w:t>
      </w:r>
    </w:p>
    <w:p w14:paraId="17A0ADC1">
      <w:pPr>
        <w:pStyle w:val="3"/>
        <w:rPr>
          <w:rFonts w:ascii="Times New Roman" w:hAnsi="Times New Roman"/>
          <w:sz w:val="22"/>
          <w:szCs w:val="22"/>
        </w:rPr>
      </w:pPr>
      <w:r>
        <w:rPr>
          <w:rFonts w:ascii="Times New Roman" w:hAnsi="Times New Roman"/>
          <w:sz w:val="22"/>
          <w:szCs w:val="22"/>
        </w:rPr>
        <w:t>2</w:t>
      </w:r>
      <w:r>
        <w:rPr>
          <w:rFonts w:ascii="Times New Roman"/>
          <w:sz w:val="22"/>
          <w:szCs w:val="22"/>
        </w:rPr>
        <w:t>.</w:t>
      </w:r>
      <w:r>
        <w:rPr>
          <w:rFonts w:hint="eastAsia" w:ascii="Times New Roman"/>
          <w:sz w:val="22"/>
          <w:szCs w:val="22"/>
        </w:rPr>
        <w:t>评标</w:t>
      </w:r>
      <w:bookmarkEnd w:id="227"/>
      <w:r>
        <w:rPr>
          <w:rFonts w:hint="eastAsia" w:ascii="Times New Roman"/>
          <w:sz w:val="22"/>
          <w:szCs w:val="22"/>
        </w:rPr>
        <w:t>方法</w:t>
      </w:r>
    </w:p>
    <w:p w14:paraId="12B0E09B">
      <w:pPr>
        <w:spacing w:line="360" w:lineRule="auto"/>
        <w:ind w:firstLine="440" w:firstLineChars="200"/>
        <w:rPr>
          <w:rFonts w:ascii="Times New Roman" w:hAnsi="Times New Roman"/>
          <w:sz w:val="22"/>
          <w:szCs w:val="21"/>
        </w:rPr>
      </w:pPr>
      <w:bookmarkStart w:id="228" w:name="_Toc217446099"/>
      <w:bookmarkStart w:id="229" w:name="_Toc217446103"/>
      <w:r>
        <w:rPr>
          <w:rFonts w:ascii="Times New Roman" w:hAnsi="Times New Roman"/>
          <w:sz w:val="22"/>
          <w:szCs w:val="21"/>
        </w:rPr>
        <w:t>2.1</w:t>
      </w:r>
      <w:r>
        <w:rPr>
          <w:rFonts w:hint="eastAsia" w:ascii="Times New Roman" w:hAnsi="宋体"/>
          <w:sz w:val="22"/>
          <w:szCs w:val="21"/>
        </w:rPr>
        <w:t>本项目评标方法为：</w:t>
      </w:r>
      <w:r>
        <w:rPr>
          <w:rFonts w:hint="eastAsia" w:ascii="Times New Roman" w:hAnsi="宋体"/>
          <w:b/>
          <w:bCs/>
          <w:sz w:val="22"/>
          <w:szCs w:val="21"/>
        </w:rPr>
        <w:t>综合评分法</w:t>
      </w:r>
      <w:r>
        <w:rPr>
          <w:rFonts w:hint="eastAsia" w:ascii="Times New Roman" w:hAnsi="宋体"/>
          <w:sz w:val="22"/>
          <w:szCs w:val="21"/>
        </w:rPr>
        <w:t>。</w:t>
      </w:r>
    </w:p>
    <w:p w14:paraId="116AD1BF">
      <w:pPr>
        <w:pStyle w:val="3"/>
        <w:rPr>
          <w:rFonts w:ascii="Times New Roman" w:hAnsi="Times New Roman"/>
          <w:sz w:val="22"/>
          <w:szCs w:val="22"/>
        </w:rPr>
      </w:pPr>
      <w:r>
        <w:rPr>
          <w:rFonts w:ascii="Times New Roman" w:hAnsi="Times New Roman"/>
          <w:sz w:val="22"/>
          <w:szCs w:val="22"/>
        </w:rPr>
        <w:t>3</w:t>
      </w:r>
      <w:r>
        <w:rPr>
          <w:rFonts w:ascii="Times New Roman"/>
          <w:sz w:val="22"/>
          <w:szCs w:val="22"/>
        </w:rPr>
        <w:t xml:space="preserve">. </w:t>
      </w:r>
      <w:r>
        <w:rPr>
          <w:rFonts w:hint="eastAsia" w:ascii="Times New Roman"/>
          <w:sz w:val="22"/>
          <w:szCs w:val="22"/>
        </w:rPr>
        <w:t>评标程序</w:t>
      </w:r>
    </w:p>
    <w:p w14:paraId="37E11CC4">
      <w:pPr>
        <w:spacing w:line="400" w:lineRule="exact"/>
        <w:ind w:firstLine="440" w:firstLineChars="200"/>
        <w:rPr>
          <w:rFonts w:ascii="Times New Roman" w:hAnsi="Times New Roman"/>
          <w:sz w:val="22"/>
          <w:szCs w:val="21"/>
        </w:rPr>
      </w:pPr>
      <w:r>
        <w:rPr>
          <w:rFonts w:ascii="Times New Roman" w:hAnsi="Times New Roman"/>
          <w:sz w:val="22"/>
          <w:szCs w:val="21"/>
        </w:rPr>
        <w:t>3.1</w:t>
      </w:r>
      <w:r>
        <w:rPr>
          <w:rFonts w:hint="eastAsia" w:ascii="Times New Roman" w:hAnsi="Times New Roman"/>
          <w:sz w:val="22"/>
          <w:szCs w:val="21"/>
        </w:rPr>
        <w:t>熟悉和理解招标文件和停止评标。</w:t>
      </w:r>
    </w:p>
    <w:p w14:paraId="0C537046">
      <w:pPr>
        <w:spacing w:line="400" w:lineRule="exact"/>
        <w:ind w:firstLine="440" w:firstLineChars="200"/>
        <w:rPr>
          <w:rFonts w:ascii="Times New Roman" w:hAnsi="Times New Roman"/>
          <w:sz w:val="22"/>
          <w:szCs w:val="21"/>
        </w:rPr>
      </w:pPr>
      <w:r>
        <w:rPr>
          <w:rFonts w:ascii="Times New Roman" w:hAnsi="Times New Roman"/>
          <w:sz w:val="22"/>
          <w:szCs w:val="21"/>
        </w:rPr>
        <w:t>3.1.1</w:t>
      </w:r>
      <w:r>
        <w:rPr>
          <w:rFonts w:hint="eastAsia" w:ascii="Times New Roman" w:hAnsi="Times New Roman"/>
          <w:sz w:val="22"/>
          <w:szCs w:val="21"/>
        </w:rPr>
        <w:t>评标委员会正式评标前，应当对招标文件进行熟悉和理解，内容主要包括招标文件中投标人资格条件要求、采购项目技术、服务和商务要求、评标方法和标准以及可能涉及签订政府采购合同的内容等。</w:t>
      </w:r>
    </w:p>
    <w:p w14:paraId="78E11363">
      <w:pPr>
        <w:spacing w:line="400" w:lineRule="exact"/>
        <w:ind w:firstLine="440" w:firstLineChars="200"/>
        <w:rPr>
          <w:rFonts w:ascii="Times New Roman" w:hAnsi="Times New Roman"/>
          <w:sz w:val="22"/>
          <w:szCs w:val="21"/>
        </w:rPr>
      </w:pPr>
      <w:r>
        <w:rPr>
          <w:rFonts w:ascii="Times New Roman" w:hAnsi="Times New Roman"/>
          <w:sz w:val="22"/>
          <w:szCs w:val="21"/>
        </w:rPr>
        <w:t>3.1.2</w:t>
      </w:r>
      <w:r>
        <w:rPr>
          <w:rFonts w:hint="eastAsia" w:ascii="Times New Roman" w:hAnsi="Times New Roman"/>
          <w:sz w:val="22"/>
          <w:szCs w:val="21"/>
        </w:rPr>
        <w:t>评标委员会熟悉和理解招标文件以及评标过程中，发现本招标文件有下列情形之一的，评标委员会应当停止评标：</w:t>
      </w:r>
    </w:p>
    <w:p w14:paraId="721F9C16">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）招标文件的规定存在歧义、重大缺陷的；</w:t>
      </w:r>
    </w:p>
    <w:p w14:paraId="7129AEBC">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）招标文件有违反国家其他有关强制性规定的情形。</w:t>
      </w:r>
    </w:p>
    <w:p w14:paraId="593D79A7">
      <w:pPr>
        <w:spacing w:line="400" w:lineRule="exact"/>
        <w:ind w:firstLine="440" w:firstLineChars="200"/>
        <w:rPr>
          <w:rFonts w:ascii="Times New Roman" w:hAnsi="Times New Roman"/>
          <w:sz w:val="22"/>
          <w:szCs w:val="21"/>
        </w:rPr>
      </w:pPr>
      <w:r>
        <w:rPr>
          <w:rFonts w:ascii="Times New Roman" w:hAnsi="Times New Roman"/>
          <w:sz w:val="22"/>
          <w:szCs w:val="21"/>
        </w:rPr>
        <w:t>3.1.3</w:t>
      </w:r>
      <w:r>
        <w:rPr>
          <w:rFonts w:hint="eastAsia" w:ascii="Times New Roman" w:hAnsi="Times New Roman"/>
          <w:sz w:val="22"/>
          <w:szCs w:val="21"/>
        </w:rPr>
        <w:t>出现本条</w:t>
      </w:r>
      <w:r>
        <w:rPr>
          <w:rFonts w:ascii="Times New Roman" w:hAnsi="Times New Roman"/>
          <w:sz w:val="22"/>
          <w:szCs w:val="21"/>
        </w:rPr>
        <w:t>3.1.2</w:t>
      </w:r>
      <w:r>
        <w:rPr>
          <w:rFonts w:hint="eastAsia" w:ascii="Times New Roman" w:hAnsi="Times New Roman"/>
          <w:sz w:val="22"/>
          <w:szCs w:val="21"/>
        </w:rPr>
        <w:t>规定应当停止评标情形的，评标委员会成员应当向招标采购单位书面说明情况。除本条规定和评标委员会无法依法组建的情形外，评标委员会成员不得以任何方式和理由停止评标。</w:t>
      </w:r>
    </w:p>
    <w:p w14:paraId="16AE93B9">
      <w:pPr>
        <w:spacing w:line="400" w:lineRule="exact"/>
        <w:ind w:firstLine="440" w:firstLineChars="200"/>
        <w:rPr>
          <w:rFonts w:ascii="Times New Roman" w:hAnsi="Times New Roman"/>
          <w:sz w:val="22"/>
          <w:szCs w:val="21"/>
        </w:rPr>
      </w:pPr>
      <w:r>
        <w:rPr>
          <w:rFonts w:ascii="Times New Roman" w:hAnsi="Times New Roman"/>
          <w:sz w:val="22"/>
          <w:szCs w:val="21"/>
        </w:rPr>
        <w:t>3.2</w:t>
      </w:r>
      <w:r>
        <w:rPr>
          <w:rFonts w:hint="eastAsia" w:ascii="Times New Roman" w:hAnsi="Times New Roman"/>
          <w:sz w:val="22"/>
          <w:szCs w:val="21"/>
        </w:rPr>
        <w:t>符合性检查。</w:t>
      </w:r>
    </w:p>
    <w:p w14:paraId="041FDAE4">
      <w:pPr>
        <w:spacing w:line="400" w:lineRule="exact"/>
        <w:ind w:firstLine="440" w:firstLineChars="200"/>
        <w:rPr>
          <w:rFonts w:ascii="Times New Roman" w:hAnsi="Times New Roman"/>
          <w:sz w:val="22"/>
          <w:szCs w:val="21"/>
        </w:rPr>
      </w:pPr>
      <w:r>
        <w:rPr>
          <w:rFonts w:ascii="Times New Roman" w:hAnsi="Times New Roman"/>
          <w:sz w:val="22"/>
          <w:szCs w:val="21"/>
        </w:rPr>
        <w:t>3.2.1</w:t>
      </w:r>
      <w:r>
        <w:rPr>
          <w:rFonts w:hint="eastAsia" w:ascii="Times New Roman" w:hAnsi="Times New Roman"/>
          <w:sz w:val="22"/>
          <w:szCs w:val="21"/>
        </w:rPr>
        <w:t>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14:paraId="1BFBF5FE">
      <w:pPr>
        <w:spacing w:line="400" w:lineRule="exact"/>
        <w:ind w:firstLine="440" w:firstLineChars="200"/>
        <w:rPr>
          <w:rFonts w:ascii="Times New Roman" w:hAnsi="Times New Roman"/>
          <w:sz w:val="22"/>
          <w:szCs w:val="21"/>
        </w:rPr>
      </w:pPr>
      <w:r>
        <w:rPr>
          <w:rFonts w:ascii="Times New Roman" w:hAnsi="Times New Roman"/>
          <w:sz w:val="22"/>
          <w:szCs w:val="21"/>
        </w:rPr>
        <w:t>3.2.2</w:t>
      </w:r>
      <w:r>
        <w:rPr>
          <w:rFonts w:hint="eastAsia" w:ascii="Times New Roman" w:hAnsi="Times New Roman"/>
          <w:sz w:val="22"/>
          <w:szCs w:val="21"/>
        </w:rPr>
        <w:t>投标文件（包括单独递交的开标一览表）有下列情形的，本项目不作为实质性要求进行规定，即不作为符合性审查事项，不得作为无效投标处理：</w:t>
      </w:r>
    </w:p>
    <w:p w14:paraId="714E2D7D">
      <w:pPr>
        <w:spacing w:line="400" w:lineRule="exact"/>
        <w:ind w:firstLine="440" w:firstLineChars="200"/>
        <w:rPr>
          <w:rFonts w:ascii="Times New Roman" w:hAnsi="Times New Roman"/>
          <w:sz w:val="22"/>
          <w:szCs w:val="21"/>
        </w:rPr>
      </w:pPr>
      <w:r>
        <w:rPr>
          <w:rFonts w:hint="eastAsia" w:ascii="Times New Roman" w:hAnsi="Times New Roman"/>
          <w:sz w:val="22"/>
          <w:szCs w:val="21"/>
        </w:rPr>
        <w:t>（一）除招标文件明确要求加盖单位</w:t>
      </w:r>
      <w:r>
        <w:rPr>
          <w:rFonts w:ascii="Times New Roman" w:hAnsi="Times New Roman"/>
          <w:sz w:val="22"/>
          <w:szCs w:val="21"/>
        </w:rPr>
        <w:t>(</w:t>
      </w:r>
      <w:r>
        <w:rPr>
          <w:rFonts w:hint="eastAsia" w:ascii="Times New Roman" w:hAnsi="Times New Roman"/>
          <w:sz w:val="22"/>
          <w:szCs w:val="21"/>
        </w:rPr>
        <w:t>法人</w:t>
      </w:r>
      <w:r>
        <w:rPr>
          <w:rFonts w:ascii="Times New Roman" w:hAnsi="Times New Roman"/>
          <w:sz w:val="22"/>
          <w:szCs w:val="21"/>
        </w:rPr>
        <w:t>)</w:t>
      </w:r>
      <w:r>
        <w:rPr>
          <w:rFonts w:hint="eastAsia" w:ascii="Times New Roman" w:hAnsi="Times New Roman"/>
          <w:sz w:val="22"/>
          <w:szCs w:val="21"/>
        </w:rPr>
        <w:t>公章的以外，其他地方以相关专用章加盖的；</w:t>
      </w:r>
    </w:p>
    <w:p w14:paraId="3F1FBC00">
      <w:pPr>
        <w:spacing w:line="400" w:lineRule="exact"/>
        <w:ind w:firstLine="440" w:firstLineChars="200"/>
        <w:rPr>
          <w:rFonts w:ascii="Times New Roman" w:hAnsi="Times New Roman"/>
          <w:sz w:val="22"/>
          <w:szCs w:val="21"/>
        </w:rPr>
      </w:pPr>
      <w:r>
        <w:rPr>
          <w:rFonts w:hint="eastAsia" w:ascii="Times New Roman" w:hAnsi="Times New Roman"/>
          <w:sz w:val="22"/>
          <w:szCs w:val="21"/>
        </w:rPr>
        <w:t>（二）以骑缝章的形式代替投标文件内容逐页盖章的（但是骑缝章模糊不清，印章名称无法辨认的除外）；</w:t>
      </w:r>
    </w:p>
    <w:p w14:paraId="5542FF90">
      <w:pPr>
        <w:spacing w:line="400" w:lineRule="exact"/>
        <w:ind w:firstLine="440" w:firstLineChars="200"/>
        <w:rPr>
          <w:rFonts w:ascii="Times New Roman" w:hAnsi="Times New Roman"/>
          <w:sz w:val="22"/>
          <w:szCs w:val="21"/>
        </w:rPr>
      </w:pPr>
      <w:r>
        <w:rPr>
          <w:rFonts w:hint="eastAsia" w:ascii="Times New Roman" w:hAnsi="Times New Roman"/>
          <w:sz w:val="22"/>
          <w:szCs w:val="21"/>
        </w:rPr>
        <w:t>（三）其他不影响采购项目实质性要求的情形。</w:t>
      </w:r>
    </w:p>
    <w:p w14:paraId="77853AB6">
      <w:pPr>
        <w:spacing w:line="400" w:lineRule="exact"/>
        <w:ind w:firstLine="440" w:firstLineChars="200"/>
        <w:rPr>
          <w:rFonts w:ascii="Times New Roman" w:hAnsi="Times New Roman"/>
          <w:sz w:val="22"/>
          <w:szCs w:val="21"/>
        </w:rPr>
      </w:pPr>
      <w:r>
        <w:rPr>
          <w:rFonts w:ascii="Times New Roman" w:hAnsi="Times New Roman"/>
          <w:sz w:val="22"/>
          <w:szCs w:val="21"/>
        </w:rPr>
        <w:t>3.2.3</w:t>
      </w:r>
      <w:r>
        <w:rPr>
          <w:rFonts w:hint="eastAsia" w:ascii="Times New Roman" w:hAnsi="Times New Roman"/>
          <w:sz w:val="22"/>
          <w:szCs w:val="21"/>
        </w:rPr>
        <w:t>除政府采购法律制度规定的情形外，本项目投标人或者其投标文件有下列情形之一的，作为无效投标处理：</w:t>
      </w:r>
    </w:p>
    <w:p w14:paraId="1BCB054F">
      <w:pPr>
        <w:spacing w:line="400" w:lineRule="exact"/>
        <w:ind w:firstLine="440" w:firstLineChars="200"/>
        <w:rPr>
          <w:rFonts w:ascii="Times New Roman" w:hAnsi="Times New Roman"/>
          <w:sz w:val="22"/>
          <w:szCs w:val="21"/>
        </w:rPr>
      </w:pPr>
      <w:r>
        <w:rPr>
          <w:rFonts w:hint="eastAsia" w:ascii="Times New Roman" w:hAnsi="Times New Roman"/>
          <w:sz w:val="22"/>
          <w:szCs w:val="21"/>
        </w:rPr>
        <w:t>（一）投标文件组成明显不符合招标文件的规定要求，影响评标委员会评判的；</w:t>
      </w:r>
    </w:p>
    <w:p w14:paraId="69A92D36">
      <w:pPr>
        <w:spacing w:line="400" w:lineRule="exact"/>
        <w:ind w:firstLine="440" w:firstLineChars="200"/>
        <w:rPr>
          <w:rFonts w:ascii="Times New Roman" w:hAnsi="Times New Roman"/>
          <w:sz w:val="22"/>
          <w:szCs w:val="21"/>
        </w:rPr>
      </w:pPr>
      <w:r>
        <w:rPr>
          <w:rFonts w:hint="eastAsia" w:ascii="Times New Roman" w:hAnsi="Times New Roman"/>
          <w:sz w:val="22"/>
          <w:szCs w:val="21"/>
        </w:rPr>
        <w:t>（二）投标文件的格式、语言、计量单位、报价货币、知识产权、投标有效期等不符合招标文件的规定，影响评标委员会评判的；</w:t>
      </w:r>
    </w:p>
    <w:p w14:paraId="0FAC3BD8">
      <w:pPr>
        <w:spacing w:line="400" w:lineRule="exact"/>
        <w:ind w:firstLine="440" w:firstLineChars="200"/>
        <w:rPr>
          <w:rFonts w:ascii="Times New Roman" w:hAnsi="Times New Roman"/>
          <w:sz w:val="22"/>
          <w:szCs w:val="21"/>
        </w:rPr>
      </w:pPr>
      <w:r>
        <w:rPr>
          <w:rFonts w:hint="eastAsia" w:ascii="Times New Roman" w:hAnsi="Times New Roman"/>
          <w:sz w:val="22"/>
          <w:szCs w:val="21"/>
        </w:rPr>
        <w:t>（三）投标报价不符合招标文件规定的采购预算或限价或其他报价规定的；</w:t>
      </w:r>
    </w:p>
    <w:p w14:paraId="4EF54410">
      <w:pPr>
        <w:spacing w:line="400" w:lineRule="exact"/>
        <w:ind w:firstLine="440" w:firstLineChars="200"/>
        <w:rPr>
          <w:rFonts w:ascii="Times New Roman" w:hAnsi="Times New Roman"/>
          <w:sz w:val="22"/>
          <w:szCs w:val="21"/>
        </w:rPr>
      </w:pPr>
      <w:r>
        <w:rPr>
          <w:rFonts w:hint="eastAsia" w:ascii="Times New Roman" w:hAnsi="Times New Roman"/>
          <w:sz w:val="22"/>
          <w:szCs w:val="21"/>
        </w:rPr>
        <w:t>（四）商务、技术、服务应答内容没有完全响应招标文件的实质性要求的；</w:t>
      </w:r>
    </w:p>
    <w:p w14:paraId="5C69F08A">
      <w:pPr>
        <w:spacing w:line="400" w:lineRule="exact"/>
        <w:ind w:firstLine="440" w:firstLineChars="200"/>
        <w:rPr>
          <w:rFonts w:ascii="Times New Roman" w:hAnsi="Times New Roman"/>
          <w:sz w:val="22"/>
          <w:szCs w:val="21"/>
        </w:rPr>
      </w:pPr>
      <w:r>
        <w:rPr>
          <w:rFonts w:hint="eastAsia" w:ascii="Times New Roman" w:hAnsi="Times New Roman"/>
          <w:sz w:val="22"/>
          <w:szCs w:val="21"/>
        </w:rPr>
        <w:t>（五）未载明或者载明的招标项目履约时间、方式、数量及其他政府采购合同实质性内容与招标文件要求不一致，且招标采购单位无法接受的。</w:t>
      </w:r>
    </w:p>
    <w:p w14:paraId="44867530">
      <w:pPr>
        <w:spacing w:line="400" w:lineRule="exact"/>
        <w:ind w:firstLine="440" w:firstLineChars="200"/>
        <w:rPr>
          <w:rFonts w:ascii="Times New Roman" w:hAnsi="Times New Roman"/>
          <w:sz w:val="22"/>
          <w:szCs w:val="21"/>
        </w:rPr>
      </w:pPr>
      <w:r>
        <w:rPr>
          <w:rFonts w:hint="eastAsia" w:ascii="Times New Roman" w:hAnsi="Times New Roman"/>
          <w:sz w:val="22"/>
          <w:szCs w:val="21"/>
        </w:rPr>
        <w:t>（六）没有完全响应招标文件的其他实质性要求或属于招标文件中投标无效情形的。</w:t>
      </w:r>
    </w:p>
    <w:p w14:paraId="3B46B331">
      <w:pPr>
        <w:spacing w:line="400" w:lineRule="exact"/>
        <w:ind w:firstLine="440" w:firstLineChars="200"/>
        <w:rPr>
          <w:rFonts w:ascii="Times New Roman" w:hAnsi="Times New Roman"/>
          <w:sz w:val="22"/>
          <w:szCs w:val="21"/>
        </w:rPr>
      </w:pPr>
      <w:r>
        <w:rPr>
          <w:rFonts w:ascii="Times New Roman" w:hAnsi="Times New Roman"/>
          <w:sz w:val="22"/>
          <w:szCs w:val="21"/>
        </w:rPr>
        <w:t>3.3</w:t>
      </w:r>
      <w:r>
        <w:rPr>
          <w:rFonts w:hint="eastAsia" w:ascii="Times New Roman" w:hAnsi="Times New Roman"/>
          <w:sz w:val="22"/>
          <w:szCs w:val="21"/>
        </w:rPr>
        <w:t>比较与评价。按招标文件中规定的评标方法和标准，对未作无效投标处理的投标文件进行技术、服务、商务等方面评估，综合比较与评价。</w:t>
      </w:r>
    </w:p>
    <w:p w14:paraId="7D97ECF4">
      <w:pPr>
        <w:spacing w:line="400" w:lineRule="exact"/>
        <w:ind w:firstLine="440" w:firstLineChars="200"/>
        <w:rPr>
          <w:rFonts w:ascii="Times New Roman" w:hAnsi="Times New Roman"/>
          <w:sz w:val="22"/>
          <w:szCs w:val="21"/>
        </w:rPr>
      </w:pPr>
      <w:r>
        <w:rPr>
          <w:rFonts w:ascii="Times New Roman" w:hAnsi="Times New Roman"/>
          <w:sz w:val="22"/>
          <w:szCs w:val="21"/>
        </w:rPr>
        <w:t>3.4</w:t>
      </w:r>
      <w:r>
        <w:rPr>
          <w:rFonts w:hint="eastAsia" w:ascii="Times New Roman" w:hAnsi="Times New Roman"/>
          <w:sz w:val="22"/>
          <w:szCs w:val="21"/>
        </w:rPr>
        <w:t>复核。评分汇总结束后，评标委员会应当进行复核，特别要对拟推荐为中标候选供应商的、报价最低的、投标文件被认定为无效的进行重点复核。</w:t>
      </w:r>
    </w:p>
    <w:p w14:paraId="18C45D00">
      <w:pPr>
        <w:spacing w:line="400" w:lineRule="exact"/>
        <w:ind w:firstLine="440" w:firstLineChars="200"/>
        <w:rPr>
          <w:rFonts w:ascii="Times New Roman" w:hAnsi="Times New Roman"/>
          <w:sz w:val="22"/>
          <w:szCs w:val="21"/>
        </w:rPr>
      </w:pPr>
      <w:r>
        <w:rPr>
          <w:rFonts w:ascii="Times New Roman" w:hAnsi="Times New Roman"/>
          <w:sz w:val="22"/>
          <w:szCs w:val="21"/>
        </w:rPr>
        <w:t>3.5</w:t>
      </w:r>
      <w:r>
        <w:rPr>
          <w:rFonts w:hint="eastAsia" w:ascii="Times New Roman" w:hAnsi="Times New Roman"/>
          <w:sz w:val="22"/>
          <w:szCs w:val="21"/>
        </w:rPr>
        <w:t>推荐中标候选供应商。中标候选供应商应当排序。采用最低评标价法的，评标结果按投标报价由低到高顺序排列。投标报价相同的并列。投标文件满足招标文件全部实质性要求且投标报价最低的投标人为排名第一的中标候选人。报价相同且满足招标文件全部实质性要求的并列，由采购人自主采取随机抽取的方式选择中标供应商。采用综合评分法的，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排名并列的由采购人自主采取随机抽取的方式选择中标供应商。</w:t>
      </w:r>
    </w:p>
    <w:p w14:paraId="175DE934">
      <w:pPr>
        <w:spacing w:line="400" w:lineRule="exact"/>
        <w:ind w:firstLine="440" w:firstLineChars="200"/>
        <w:rPr>
          <w:rFonts w:ascii="Times New Roman" w:hAnsi="Times New Roman"/>
          <w:sz w:val="22"/>
          <w:szCs w:val="21"/>
        </w:rPr>
      </w:pPr>
      <w:r>
        <w:rPr>
          <w:rFonts w:hint="eastAsia" w:ascii="Times New Roman" w:hAnsi="Times New Roman"/>
          <w:sz w:val="22"/>
          <w:szCs w:val="21"/>
        </w:rPr>
        <w:t>评标委员会可推荐的中标候选供应商数量不能满足招标文件规定的数量的，只有在获得采购人书面同意后，可以根据实际情况推荐中标候选供应商。未获得采购人的书面同意</w:t>
      </w:r>
      <w:r>
        <w:rPr>
          <w:rFonts w:ascii="Times New Roman" w:hAnsi="Times New Roman"/>
          <w:sz w:val="22"/>
          <w:szCs w:val="21"/>
        </w:rPr>
        <w:t>,</w:t>
      </w:r>
      <w:r>
        <w:rPr>
          <w:rFonts w:hint="eastAsia" w:ascii="Times New Roman" w:hAnsi="Times New Roman"/>
          <w:sz w:val="22"/>
          <w:szCs w:val="21"/>
        </w:rPr>
        <w:t>评标委员会不得在招标文件规定之外推荐中标候选供应商，否则，采购人可以不予认可。</w:t>
      </w:r>
    </w:p>
    <w:p w14:paraId="3295BC85">
      <w:pPr>
        <w:spacing w:line="400" w:lineRule="exact"/>
        <w:ind w:firstLine="440" w:firstLineChars="200"/>
        <w:rPr>
          <w:rFonts w:ascii="Times New Roman" w:hAnsi="Times New Roman"/>
          <w:sz w:val="22"/>
          <w:szCs w:val="21"/>
        </w:rPr>
      </w:pPr>
      <w:r>
        <w:rPr>
          <w:rFonts w:ascii="Times New Roman" w:hAnsi="Times New Roman"/>
          <w:sz w:val="22"/>
          <w:szCs w:val="21"/>
        </w:rPr>
        <w:t>3.6</w:t>
      </w:r>
      <w:r>
        <w:rPr>
          <w:rFonts w:hint="eastAsia" w:ascii="Times New Roman" w:hAnsi="Times New Roman"/>
          <w:sz w:val="22"/>
          <w:szCs w:val="21"/>
        </w:rPr>
        <w:t>出具评标报告。评标委员会推荐中标候选供应商后，应当向招标采购单位出具评标报告。评标报告应当包括下列内容：</w:t>
      </w:r>
    </w:p>
    <w:p w14:paraId="195CF1FE">
      <w:pPr>
        <w:spacing w:line="400" w:lineRule="exact"/>
        <w:ind w:firstLine="440" w:firstLineChars="200"/>
        <w:rPr>
          <w:rFonts w:ascii="Times New Roman" w:hAnsi="Times New Roman"/>
          <w:sz w:val="22"/>
          <w:szCs w:val="21"/>
        </w:rPr>
      </w:pPr>
      <w:r>
        <w:rPr>
          <w:rFonts w:hint="eastAsia" w:ascii="Times New Roman" w:hAnsi="Times New Roman"/>
          <w:sz w:val="22"/>
          <w:szCs w:val="21"/>
        </w:rPr>
        <w:t>（一）招标公告刊登的媒体名称、开标日期和地点；</w:t>
      </w:r>
    </w:p>
    <w:p w14:paraId="3772901B">
      <w:pPr>
        <w:spacing w:line="400" w:lineRule="exact"/>
        <w:ind w:firstLine="440" w:firstLineChars="200"/>
        <w:rPr>
          <w:rFonts w:ascii="Times New Roman" w:hAnsi="Times New Roman"/>
          <w:sz w:val="22"/>
          <w:szCs w:val="21"/>
        </w:rPr>
      </w:pPr>
      <w:r>
        <w:rPr>
          <w:rFonts w:hint="eastAsia" w:ascii="Times New Roman" w:hAnsi="Times New Roman"/>
          <w:sz w:val="22"/>
          <w:szCs w:val="21"/>
        </w:rPr>
        <w:t>（二）获取招标文件的投标人名单和评标委员会成员名单；</w:t>
      </w:r>
    </w:p>
    <w:p w14:paraId="7369F77F">
      <w:pPr>
        <w:spacing w:line="400" w:lineRule="exact"/>
        <w:ind w:firstLine="440" w:firstLineChars="200"/>
        <w:rPr>
          <w:rFonts w:ascii="Times New Roman" w:hAnsi="Times New Roman"/>
          <w:sz w:val="22"/>
          <w:szCs w:val="21"/>
        </w:rPr>
      </w:pPr>
      <w:r>
        <w:rPr>
          <w:rFonts w:hint="eastAsia" w:ascii="Times New Roman" w:hAnsi="Times New Roman"/>
          <w:sz w:val="22"/>
          <w:szCs w:val="21"/>
        </w:rPr>
        <w:t>（三）评标方法和标准；</w:t>
      </w:r>
    </w:p>
    <w:p w14:paraId="53FEF31C">
      <w:pPr>
        <w:spacing w:line="400" w:lineRule="exact"/>
        <w:ind w:firstLine="440" w:firstLineChars="200"/>
        <w:rPr>
          <w:rFonts w:ascii="Times New Roman" w:hAnsi="Times New Roman"/>
          <w:sz w:val="22"/>
          <w:szCs w:val="21"/>
        </w:rPr>
      </w:pPr>
      <w:r>
        <w:rPr>
          <w:rFonts w:hint="eastAsia" w:ascii="Times New Roman" w:hAnsi="Times New Roman"/>
          <w:sz w:val="22"/>
          <w:szCs w:val="21"/>
        </w:rPr>
        <w:t>（四）开标记录和评标情况及说明，包括无效投标人名单及原因；</w:t>
      </w:r>
    </w:p>
    <w:p w14:paraId="424EFBA3">
      <w:pPr>
        <w:spacing w:line="400" w:lineRule="exact"/>
        <w:ind w:firstLine="440" w:firstLineChars="200"/>
        <w:rPr>
          <w:rFonts w:ascii="Times New Roman" w:hAnsi="Times New Roman"/>
          <w:sz w:val="22"/>
          <w:szCs w:val="21"/>
        </w:rPr>
      </w:pPr>
      <w:r>
        <w:rPr>
          <w:rFonts w:hint="eastAsia" w:ascii="Times New Roman" w:hAnsi="Times New Roman"/>
          <w:sz w:val="22"/>
          <w:szCs w:val="21"/>
        </w:rPr>
        <w:t>（五）评标结果和中标候选供应商排序表；</w:t>
      </w:r>
    </w:p>
    <w:p w14:paraId="54BC8303">
      <w:pPr>
        <w:spacing w:line="400" w:lineRule="exact"/>
        <w:ind w:firstLine="440" w:firstLineChars="200"/>
        <w:rPr>
          <w:rFonts w:ascii="Times New Roman" w:hAnsi="Times New Roman"/>
          <w:sz w:val="22"/>
          <w:szCs w:val="21"/>
        </w:rPr>
      </w:pPr>
      <w:r>
        <w:rPr>
          <w:rFonts w:hint="eastAsia" w:ascii="Times New Roman" w:hAnsi="Times New Roman"/>
          <w:sz w:val="22"/>
          <w:szCs w:val="21"/>
        </w:rPr>
        <w:t>（六）评标委员会授标建议；</w:t>
      </w:r>
    </w:p>
    <w:p w14:paraId="1C3CBAFC">
      <w:pPr>
        <w:spacing w:line="400" w:lineRule="exact"/>
        <w:ind w:firstLine="440" w:firstLineChars="200"/>
        <w:rPr>
          <w:rFonts w:ascii="Times New Roman" w:hAnsi="Times New Roman"/>
          <w:sz w:val="22"/>
          <w:szCs w:val="21"/>
        </w:rPr>
      </w:pPr>
      <w:r>
        <w:rPr>
          <w:rFonts w:hint="eastAsia" w:ascii="Times New Roman" w:hAnsi="Times New Roman"/>
          <w:sz w:val="22"/>
          <w:szCs w:val="21"/>
        </w:rPr>
        <w:t>（七）报价最高的投标人为中标候选人的，评标委员会应当对其报价的合理性予以特别说明。</w:t>
      </w:r>
    </w:p>
    <w:p w14:paraId="4AE25A05">
      <w:pPr>
        <w:spacing w:line="400" w:lineRule="exact"/>
        <w:ind w:firstLine="440" w:firstLineChars="200"/>
        <w:rPr>
          <w:rFonts w:ascii="Times New Roman" w:hAnsi="Times New Roman"/>
          <w:sz w:val="22"/>
          <w:szCs w:val="21"/>
        </w:rPr>
      </w:pPr>
      <w:r>
        <w:rPr>
          <w:rFonts w:hint="eastAsia" w:ascii="Times New Roman" w:hAnsi="Times New Roman"/>
          <w:sz w:val="22"/>
          <w:szCs w:val="21"/>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4267AE65">
      <w:pPr>
        <w:spacing w:line="400" w:lineRule="exact"/>
        <w:ind w:firstLine="440" w:firstLineChars="200"/>
        <w:rPr>
          <w:rFonts w:ascii="Times New Roman" w:hAnsi="Times New Roman"/>
          <w:sz w:val="22"/>
          <w:szCs w:val="21"/>
        </w:rPr>
      </w:pPr>
      <w:r>
        <w:rPr>
          <w:rFonts w:ascii="Times New Roman" w:hAnsi="Times New Roman"/>
          <w:sz w:val="22"/>
          <w:szCs w:val="21"/>
        </w:rPr>
        <w:t>3.7</w:t>
      </w:r>
      <w:r>
        <w:rPr>
          <w:rFonts w:hint="eastAsia" w:ascii="Times New Roman" w:hAnsi="Times New Roman"/>
          <w:sz w:val="22"/>
          <w:szCs w:val="21"/>
        </w:rPr>
        <w:t>评标争议处理规则。评标委员会在评审过程中，对于符合性审查、对供应商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应当书面报告采购项目同级财政部门依法处理。</w:t>
      </w:r>
    </w:p>
    <w:p w14:paraId="7EA26C9D">
      <w:pPr>
        <w:spacing w:line="400" w:lineRule="exact"/>
        <w:ind w:firstLine="440" w:firstLineChars="200"/>
        <w:rPr>
          <w:rFonts w:ascii="Times New Roman" w:hAnsi="Times New Roman"/>
          <w:sz w:val="22"/>
          <w:szCs w:val="21"/>
        </w:rPr>
      </w:pPr>
      <w:r>
        <w:rPr>
          <w:rFonts w:ascii="Times New Roman" w:hAnsi="Times New Roman"/>
          <w:sz w:val="22"/>
          <w:szCs w:val="21"/>
        </w:rPr>
        <w:t>3.8</w:t>
      </w:r>
      <w:r>
        <w:rPr>
          <w:rFonts w:hint="eastAsia" w:ascii="Times New Roman" w:hAnsi="Times New Roman"/>
          <w:sz w:val="22"/>
          <w:szCs w:val="21"/>
        </w:rPr>
        <w:t>供应商应当书面澄清、说明或者更正。</w:t>
      </w:r>
    </w:p>
    <w:p w14:paraId="6431F494">
      <w:pPr>
        <w:spacing w:line="400" w:lineRule="exact"/>
        <w:ind w:firstLine="440" w:firstLineChars="200"/>
        <w:rPr>
          <w:rFonts w:ascii="Times New Roman" w:hAnsi="Times New Roman"/>
          <w:sz w:val="22"/>
          <w:szCs w:val="21"/>
        </w:rPr>
      </w:pPr>
      <w:r>
        <w:rPr>
          <w:rFonts w:ascii="Times New Roman" w:hAnsi="Times New Roman"/>
          <w:sz w:val="22"/>
          <w:szCs w:val="21"/>
        </w:rPr>
        <w:t>3.8.1</w:t>
      </w:r>
      <w:r>
        <w:rPr>
          <w:rFonts w:hint="eastAsia" w:ascii="Times New Roman" w:hAnsi="Times New Roman"/>
          <w:sz w:val="22"/>
          <w:szCs w:val="21"/>
        </w:rPr>
        <w:t>在评标过程中，供应商投标文件实质性符合招标文件要求的前提下，评标委员会对投标文件中含义不明确、同类问题表述不一致或者有明显文字和计算错误的内容，应当以书面形式（须由评标委员会全体成员签字）要求供应商作出必要的书面澄清、说明或者更正，并给予供应商必要的反馈时间。</w:t>
      </w:r>
    </w:p>
    <w:p w14:paraId="437DAF2D">
      <w:pPr>
        <w:spacing w:line="400" w:lineRule="exact"/>
        <w:ind w:firstLine="440" w:firstLineChars="200"/>
        <w:rPr>
          <w:rFonts w:ascii="Times New Roman" w:hAnsi="Times New Roman"/>
          <w:sz w:val="22"/>
          <w:szCs w:val="21"/>
        </w:rPr>
      </w:pPr>
      <w:r>
        <w:rPr>
          <w:rFonts w:ascii="Times New Roman" w:hAnsi="Times New Roman"/>
          <w:sz w:val="22"/>
          <w:szCs w:val="21"/>
        </w:rPr>
        <w:t>3.8.2</w:t>
      </w:r>
      <w:r>
        <w:rPr>
          <w:rFonts w:hint="eastAsia" w:ascii="Times New Roman" w:hAnsi="Times New Roman"/>
          <w:sz w:val="22"/>
          <w:szCs w:val="21"/>
        </w:rPr>
        <w:t>供应商应当书面澄清、说明或者更正，并加盖公章或签字确认（供应商为法人的，应当由其法定代表人或者代理人签字确认；供应商为其他组织的，应当由其主要负责人或者代理人签字确认；供应商为自然人的，应当由其本人或者代理人签字确认），否则无效。澄清、说明或者更正不影响投标文件的效力，有效的澄清、说明或者更正材料，是投标文件的组成部分。</w:t>
      </w:r>
    </w:p>
    <w:p w14:paraId="3FACC845">
      <w:pPr>
        <w:spacing w:line="400" w:lineRule="exact"/>
        <w:ind w:firstLine="440" w:firstLineChars="200"/>
        <w:rPr>
          <w:rFonts w:ascii="Times New Roman" w:hAnsi="Times New Roman"/>
          <w:sz w:val="22"/>
          <w:szCs w:val="21"/>
        </w:rPr>
      </w:pPr>
      <w:r>
        <w:rPr>
          <w:rFonts w:ascii="Times New Roman" w:hAnsi="Times New Roman"/>
          <w:sz w:val="22"/>
          <w:szCs w:val="21"/>
        </w:rPr>
        <w:t>3.8.3</w:t>
      </w:r>
      <w:r>
        <w:rPr>
          <w:rFonts w:hint="eastAsia" w:ascii="Times New Roman" w:hAnsi="Times New Roman"/>
          <w:sz w:val="22"/>
          <w:szCs w:val="21"/>
        </w:rPr>
        <w:t>评标委员会要求供应商澄清、说明或者更正，不得超出招标文件的范围，不得以此让供应商实质改变投标文件的内容，不得影响供应商公平竞争。本项目下列内容不得澄清：</w:t>
      </w:r>
    </w:p>
    <w:p w14:paraId="4D369218">
      <w:pPr>
        <w:spacing w:line="400" w:lineRule="exact"/>
        <w:ind w:firstLine="440" w:firstLineChars="200"/>
        <w:rPr>
          <w:rFonts w:ascii="Times New Roman" w:hAnsi="Times New Roman"/>
          <w:sz w:val="22"/>
          <w:szCs w:val="21"/>
        </w:rPr>
      </w:pPr>
      <w:r>
        <w:rPr>
          <w:rFonts w:hint="eastAsia" w:ascii="Times New Roman" w:hAnsi="Times New Roman"/>
          <w:sz w:val="22"/>
          <w:szCs w:val="21"/>
        </w:rPr>
        <w:t>（一）按财政部规定应当在评标时不予承认的投标文件内容事项；</w:t>
      </w:r>
    </w:p>
    <w:p w14:paraId="217BF3BE">
      <w:pPr>
        <w:spacing w:line="400" w:lineRule="exact"/>
        <w:ind w:firstLine="440" w:firstLineChars="200"/>
        <w:rPr>
          <w:rFonts w:ascii="Times New Roman" w:hAnsi="Times New Roman"/>
          <w:sz w:val="22"/>
          <w:szCs w:val="21"/>
        </w:rPr>
      </w:pPr>
      <w:r>
        <w:rPr>
          <w:rFonts w:hint="eastAsia" w:ascii="Times New Roman" w:hAnsi="Times New Roman"/>
          <w:sz w:val="22"/>
          <w:szCs w:val="21"/>
        </w:rPr>
        <w:t>（二）投标文件中已经明确的内容事项；</w:t>
      </w:r>
    </w:p>
    <w:p w14:paraId="69E6104A">
      <w:pPr>
        <w:spacing w:line="400" w:lineRule="exact"/>
        <w:ind w:firstLine="440" w:firstLineChars="200"/>
        <w:rPr>
          <w:rFonts w:ascii="Times New Roman" w:hAnsi="Times New Roman"/>
          <w:sz w:val="22"/>
          <w:szCs w:val="21"/>
        </w:rPr>
      </w:pPr>
      <w:r>
        <w:rPr>
          <w:rFonts w:ascii="Times New Roman" w:hAnsi="Times New Roman"/>
          <w:sz w:val="22"/>
          <w:szCs w:val="21"/>
        </w:rPr>
        <w:t xml:space="preserve">3.8.4 </w:t>
      </w:r>
      <w:r>
        <w:rPr>
          <w:rFonts w:hint="eastAsia" w:ascii="Times New Roman" w:hAnsi="Times New Roman"/>
          <w:sz w:val="22"/>
          <w:szCs w:val="21"/>
        </w:rPr>
        <w:t>本项目采购过程中，投标文件报价出现前后不一致的，按照下列规定修正：</w:t>
      </w:r>
    </w:p>
    <w:p w14:paraId="663449D4">
      <w:pPr>
        <w:spacing w:line="400" w:lineRule="exact"/>
        <w:ind w:firstLine="440" w:firstLineChars="200"/>
        <w:rPr>
          <w:rFonts w:ascii="Times New Roman" w:hAnsi="Times New Roman"/>
          <w:sz w:val="22"/>
          <w:szCs w:val="21"/>
        </w:rPr>
      </w:pPr>
      <w:r>
        <w:rPr>
          <w:rFonts w:hint="eastAsia" w:ascii="Times New Roman" w:hAnsi="Times New Roman"/>
          <w:sz w:val="22"/>
          <w:szCs w:val="21"/>
        </w:rPr>
        <w:t>（一）投标文件中开标一览表（报价表）内容与投标文件中相应内容不一致的，以开标一览表（报价表）为准；</w:t>
      </w:r>
    </w:p>
    <w:p w14:paraId="35B94673">
      <w:pPr>
        <w:spacing w:line="400" w:lineRule="exact"/>
        <w:ind w:firstLine="440" w:firstLineChars="200"/>
        <w:rPr>
          <w:rFonts w:ascii="Times New Roman" w:hAnsi="Times New Roman"/>
          <w:sz w:val="22"/>
          <w:szCs w:val="21"/>
        </w:rPr>
      </w:pPr>
      <w:r>
        <w:rPr>
          <w:rFonts w:hint="eastAsia" w:ascii="Times New Roman" w:hAnsi="Times New Roman"/>
          <w:sz w:val="22"/>
          <w:szCs w:val="21"/>
        </w:rPr>
        <w:t>（二）大写金额和小写金额不一致的，以大写金额为准；</w:t>
      </w:r>
    </w:p>
    <w:p w14:paraId="098A49EB">
      <w:pPr>
        <w:spacing w:line="400" w:lineRule="exact"/>
        <w:ind w:firstLine="440" w:firstLineChars="200"/>
        <w:rPr>
          <w:rFonts w:ascii="Times New Roman" w:hAnsi="Times New Roman"/>
          <w:sz w:val="22"/>
          <w:szCs w:val="21"/>
        </w:rPr>
      </w:pPr>
      <w:r>
        <w:rPr>
          <w:rFonts w:hint="eastAsia" w:ascii="Times New Roman" w:hAnsi="Times New Roman"/>
          <w:sz w:val="22"/>
          <w:szCs w:val="21"/>
        </w:rPr>
        <w:t>（三）单价金额小数点或者百分比有明显错位的，以开标一览表的总价为准，并修改单价；</w:t>
      </w:r>
    </w:p>
    <w:p w14:paraId="719074FE">
      <w:pPr>
        <w:spacing w:line="400" w:lineRule="exact"/>
        <w:ind w:firstLine="440" w:firstLineChars="200"/>
        <w:rPr>
          <w:rFonts w:ascii="Times New Roman" w:hAnsi="Times New Roman"/>
          <w:sz w:val="22"/>
          <w:szCs w:val="21"/>
        </w:rPr>
      </w:pPr>
      <w:r>
        <w:rPr>
          <w:rFonts w:hint="eastAsia" w:ascii="Times New Roman" w:hAnsi="Times New Roman"/>
          <w:sz w:val="22"/>
          <w:szCs w:val="21"/>
        </w:rPr>
        <w:t>（四）总价金额与按单价汇总金额不一致的，以单价金额计算结果为准。</w:t>
      </w:r>
    </w:p>
    <w:p w14:paraId="1573D21B">
      <w:pPr>
        <w:spacing w:line="400" w:lineRule="exact"/>
        <w:ind w:firstLine="440" w:firstLineChars="200"/>
        <w:rPr>
          <w:rFonts w:ascii="Times New Roman" w:hAnsi="Times New Roman"/>
          <w:sz w:val="22"/>
          <w:szCs w:val="21"/>
        </w:rPr>
      </w:pPr>
      <w:r>
        <w:rPr>
          <w:rFonts w:hint="eastAsia" w:ascii="Times New Roman" w:hAnsi="Times New Roman"/>
          <w:sz w:val="22"/>
          <w:szCs w:val="21"/>
        </w:rPr>
        <w:t>同时出现两种以上不一致的，按照前款规定的顺序修正。修正后的报价按照本章</w:t>
      </w:r>
      <w:r>
        <w:rPr>
          <w:rFonts w:ascii="Times New Roman" w:hAnsi="Times New Roman"/>
          <w:sz w:val="22"/>
          <w:szCs w:val="21"/>
        </w:rPr>
        <w:t>3.8.1-3.8.3</w:t>
      </w:r>
      <w:r>
        <w:rPr>
          <w:rFonts w:hint="eastAsia" w:ascii="Times New Roman" w:hAnsi="Times New Roman"/>
          <w:sz w:val="22"/>
          <w:szCs w:val="21"/>
        </w:rPr>
        <w:t>的规定经投标人确认后产生约束力，投标人不确认的，其投标无效。</w:t>
      </w:r>
    </w:p>
    <w:p w14:paraId="0BC757F4">
      <w:pPr>
        <w:spacing w:line="400" w:lineRule="exact"/>
        <w:ind w:firstLine="442" w:firstLineChars="200"/>
        <w:rPr>
          <w:rFonts w:ascii="Times New Roman" w:hAnsi="Times New Roman"/>
          <w:b/>
          <w:sz w:val="22"/>
          <w:szCs w:val="21"/>
        </w:rPr>
      </w:pPr>
      <w:r>
        <w:rPr>
          <w:rFonts w:hint="eastAsia" w:ascii="Times New Roman" w:hAnsi="Times New Roman"/>
          <w:b/>
          <w:sz w:val="22"/>
          <w:szCs w:val="21"/>
        </w:rPr>
        <w:t>注：评标委员会当积极履行澄清、说明或者更正的职责，不得滥用权力。供应商的投标文件应当要求澄清、说明或者更正的，不得未经澄清、说明或者更正而直接作无效投标处理。</w:t>
      </w:r>
    </w:p>
    <w:p w14:paraId="5430340F">
      <w:pPr>
        <w:spacing w:line="276" w:lineRule="auto"/>
        <w:ind w:left="2" w:firstLine="220" w:firstLineChars="100"/>
        <w:rPr>
          <w:rFonts w:ascii="Times New Roman" w:hAnsi="Times New Roman"/>
          <w:sz w:val="22"/>
          <w:szCs w:val="21"/>
        </w:rPr>
      </w:pPr>
      <w:r>
        <w:rPr>
          <w:rFonts w:ascii="Times New Roman" w:hAnsi="Times New Roman"/>
          <w:sz w:val="22"/>
          <w:szCs w:val="21"/>
        </w:rPr>
        <w:t>3.9</w:t>
      </w:r>
      <w:bookmarkStart w:id="230" w:name="PO_默认文件内容_111"/>
      <w:r>
        <w:rPr>
          <w:rFonts w:hint="eastAsia" w:ascii="Times New Roman" w:hAnsi="Times New Roman"/>
          <w:b/>
          <w:sz w:val="22"/>
          <w:szCs w:val="21"/>
        </w:rPr>
        <w:t>低于成本价投标处理。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bookmarkEnd w:id="230"/>
      <w:r>
        <w:rPr>
          <w:rFonts w:hint="eastAsia" w:ascii="Times New Roman" w:hAnsi="Times New Roman"/>
          <w:sz w:val="22"/>
          <w:szCs w:val="21"/>
        </w:rPr>
        <w:t>。</w:t>
      </w:r>
    </w:p>
    <w:p w14:paraId="04A59D0A">
      <w:pPr>
        <w:pStyle w:val="21"/>
        <w:ind w:firstLine="440" w:firstLineChars="200"/>
        <w:jc w:val="both"/>
        <w:rPr>
          <w:rFonts w:ascii="Times New Roman" w:hAnsi="Times New Roman" w:cs="Times New Roman"/>
          <w:sz w:val="22"/>
          <w:szCs w:val="22"/>
        </w:rPr>
      </w:pPr>
      <w:r>
        <w:rPr>
          <w:rFonts w:hint="eastAsia" w:ascii="Times New Roman" w:cs="Times New Roman"/>
          <w:sz w:val="22"/>
          <w:szCs w:val="22"/>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621DD91F">
      <w:pPr>
        <w:pStyle w:val="21"/>
        <w:ind w:firstLine="440" w:firstLineChars="200"/>
        <w:jc w:val="both"/>
        <w:rPr>
          <w:rFonts w:ascii="Times New Roman" w:hAnsi="Times New Roman" w:cs="Times New Roman"/>
          <w:sz w:val="22"/>
          <w:szCs w:val="22"/>
        </w:rPr>
      </w:pPr>
      <w:r>
        <w:rPr>
          <w:rFonts w:hint="eastAsia" w:ascii="Times New Roman" w:cs="Times New Roman"/>
          <w:sz w:val="22"/>
          <w:szCs w:val="22"/>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响应文件作为无效处理。</w:t>
      </w:r>
    </w:p>
    <w:p w14:paraId="388F05D9">
      <w:pPr>
        <w:pStyle w:val="21"/>
        <w:ind w:firstLine="440" w:firstLineChars="200"/>
        <w:jc w:val="both"/>
        <w:rPr>
          <w:rFonts w:ascii="Times New Roman" w:hAnsi="Times New Roman" w:cs="Times New Roman"/>
          <w:sz w:val="22"/>
          <w:szCs w:val="22"/>
        </w:rPr>
      </w:pPr>
      <w:r>
        <w:rPr>
          <w:rFonts w:ascii="Times New Roman" w:hAnsi="Times New Roman" w:cs="Times New Roman"/>
          <w:sz w:val="22"/>
          <w:szCs w:val="22"/>
        </w:rPr>
        <w:t>3.10</w:t>
      </w:r>
      <w:r>
        <w:rPr>
          <w:rFonts w:hint="eastAsia" w:ascii="Times New Roman" w:cs="Times New Roman"/>
          <w:sz w:val="22"/>
          <w:szCs w:val="22"/>
        </w:rPr>
        <w:t>招标采购单位现场复核评标结果。</w:t>
      </w:r>
    </w:p>
    <w:p w14:paraId="0544CDD7">
      <w:pPr>
        <w:pStyle w:val="21"/>
        <w:ind w:firstLine="440" w:firstLineChars="200"/>
        <w:jc w:val="both"/>
        <w:rPr>
          <w:rFonts w:ascii="Times New Roman" w:hAnsi="Times New Roman" w:cs="Times New Roman"/>
          <w:sz w:val="22"/>
          <w:szCs w:val="22"/>
        </w:rPr>
      </w:pPr>
      <w:r>
        <w:rPr>
          <w:rFonts w:ascii="Times New Roman" w:hAnsi="Times New Roman" w:cs="Times New Roman"/>
          <w:sz w:val="22"/>
          <w:szCs w:val="22"/>
        </w:rPr>
        <w:t>3.10.1</w:t>
      </w:r>
      <w:r>
        <w:rPr>
          <w:rFonts w:hint="eastAsia" w:ascii="Times New Roman" w:cs="Times New Roman"/>
          <w:sz w:val="22"/>
          <w:szCs w:val="22"/>
        </w:rPr>
        <w:t>评标结果汇总完成后，评标委员会拟出具评标报告前，招标采购单位应当组织</w:t>
      </w:r>
      <w:r>
        <w:rPr>
          <w:rFonts w:ascii="Times New Roman" w:hAnsi="Times New Roman" w:cs="Times New Roman"/>
          <w:sz w:val="22"/>
          <w:szCs w:val="22"/>
        </w:rPr>
        <w:t>2</w:t>
      </w:r>
      <w:r>
        <w:rPr>
          <w:rFonts w:hint="eastAsia" w:ascii="Times New Roman" w:cs="Times New Roman"/>
          <w:sz w:val="22"/>
          <w:szCs w:val="22"/>
        </w:rPr>
        <w:t>名以上的本单位工作人员，在采购现场监督人员的监督之下，依据有关的法律制度和采购文件对评标结果进行复核，出具复核报告。除下列情形外，任何人不得修改评标结果：</w:t>
      </w:r>
    </w:p>
    <w:p w14:paraId="3EF054F7">
      <w:pPr>
        <w:pStyle w:val="21"/>
        <w:ind w:firstLine="440" w:firstLineChars="200"/>
        <w:jc w:val="both"/>
        <w:rPr>
          <w:rFonts w:ascii="Times New Roman" w:hAnsi="Times New Roman" w:cs="Times New Roman"/>
          <w:sz w:val="22"/>
          <w:szCs w:val="22"/>
        </w:rPr>
      </w:pPr>
      <w:r>
        <w:rPr>
          <w:rFonts w:hint="eastAsia" w:ascii="Times New Roman" w:cs="Times New Roman"/>
          <w:sz w:val="22"/>
          <w:szCs w:val="22"/>
        </w:rPr>
        <w:t>（一）分值汇总计算错误的；</w:t>
      </w:r>
    </w:p>
    <w:p w14:paraId="48F5CE45">
      <w:pPr>
        <w:pStyle w:val="21"/>
        <w:ind w:firstLine="440" w:firstLineChars="200"/>
        <w:jc w:val="both"/>
        <w:rPr>
          <w:rFonts w:ascii="Times New Roman" w:hAnsi="Times New Roman" w:cs="Times New Roman"/>
          <w:sz w:val="22"/>
          <w:szCs w:val="22"/>
        </w:rPr>
      </w:pPr>
      <w:r>
        <w:rPr>
          <w:rFonts w:hint="eastAsia" w:ascii="Times New Roman" w:cs="Times New Roman"/>
          <w:sz w:val="22"/>
          <w:szCs w:val="22"/>
        </w:rPr>
        <w:t>（二）分项评分超出评分标准范围的；</w:t>
      </w:r>
    </w:p>
    <w:p w14:paraId="78F354F9">
      <w:pPr>
        <w:pStyle w:val="21"/>
        <w:ind w:firstLine="440" w:firstLineChars="200"/>
        <w:jc w:val="both"/>
        <w:rPr>
          <w:rFonts w:ascii="Times New Roman" w:hAnsi="Times New Roman" w:cs="Times New Roman"/>
          <w:sz w:val="22"/>
          <w:szCs w:val="22"/>
        </w:rPr>
      </w:pPr>
      <w:r>
        <w:rPr>
          <w:rFonts w:hint="eastAsia" w:ascii="Times New Roman" w:cs="Times New Roman"/>
          <w:sz w:val="22"/>
          <w:szCs w:val="22"/>
        </w:rPr>
        <w:t>（三）客观评分不一致的；</w:t>
      </w:r>
    </w:p>
    <w:p w14:paraId="009A5F5B">
      <w:pPr>
        <w:pStyle w:val="21"/>
        <w:ind w:firstLine="440" w:firstLineChars="200"/>
        <w:jc w:val="both"/>
        <w:rPr>
          <w:rFonts w:ascii="Times New Roman" w:hAnsi="Times New Roman" w:cs="Times New Roman"/>
          <w:sz w:val="22"/>
          <w:szCs w:val="22"/>
        </w:rPr>
      </w:pPr>
      <w:r>
        <w:rPr>
          <w:rFonts w:hint="eastAsia" w:ascii="Times New Roman" w:cs="Times New Roman"/>
          <w:sz w:val="22"/>
          <w:szCs w:val="22"/>
        </w:rPr>
        <w:t>（四）经评标委员会认定评分畸高畸低的。</w:t>
      </w:r>
    </w:p>
    <w:p w14:paraId="67CA60B6">
      <w:pPr>
        <w:pStyle w:val="21"/>
        <w:ind w:firstLine="440" w:firstLineChars="200"/>
        <w:jc w:val="both"/>
        <w:rPr>
          <w:rFonts w:ascii="Times New Roman" w:hAnsi="Times New Roman" w:cs="Times New Roman"/>
          <w:sz w:val="22"/>
          <w:szCs w:val="22"/>
        </w:rPr>
      </w:pPr>
      <w:r>
        <w:rPr>
          <w:rFonts w:hint="eastAsia" w:ascii="Times New Roman" w:cs="Times New Roman"/>
          <w:sz w:val="22"/>
          <w:szCs w:val="22"/>
        </w:rPr>
        <w:t>存在本条上述规定情形的，由评标委员会自主决定是否采纳招标采购单位的书面建议，并承担独立评审责任。评标委员会采纳招标采购单位书面建议的，应当按照规定现场修改评标结果或者重新评审，并在评标报告中详细记载有关事宜；不采纳招标采购单位书面建议的，应当书面说明理由。招标采购单位书面建议未被评标委员会采纳的，应当按照规定程序要求继续组织实施采购活动，不得擅自中止采购活动。招标采购单位认为评标委员会评标结果不合法的，应当书面报告采购项目同级财政部门依法处理。</w:t>
      </w:r>
    </w:p>
    <w:p w14:paraId="106D9EA9">
      <w:pPr>
        <w:pStyle w:val="21"/>
        <w:ind w:firstLine="440" w:firstLineChars="200"/>
        <w:jc w:val="both"/>
        <w:rPr>
          <w:rFonts w:ascii="Times New Roman" w:hAnsi="Times New Roman" w:cs="Times New Roman"/>
          <w:sz w:val="22"/>
          <w:szCs w:val="22"/>
        </w:rPr>
      </w:pPr>
      <w:r>
        <w:rPr>
          <w:rFonts w:ascii="Times New Roman" w:hAnsi="Times New Roman" w:cs="Times New Roman"/>
          <w:sz w:val="22"/>
          <w:szCs w:val="22"/>
        </w:rPr>
        <w:t>3.10.2</w:t>
      </w:r>
      <w:r>
        <w:rPr>
          <w:rFonts w:hint="eastAsia" w:ascii="Times New Roman" w:cs="Times New Roman"/>
          <w:sz w:val="22"/>
          <w:szCs w:val="22"/>
        </w:rPr>
        <w:t>有下列情形之一的，不得修改评标结果或者重新评审：</w:t>
      </w:r>
    </w:p>
    <w:p w14:paraId="5E1420B3">
      <w:pPr>
        <w:pStyle w:val="21"/>
        <w:ind w:firstLine="440" w:firstLineChars="200"/>
        <w:jc w:val="both"/>
        <w:rPr>
          <w:rFonts w:ascii="Times New Roman" w:hAnsi="Times New Roman" w:cs="Times New Roman"/>
          <w:sz w:val="22"/>
          <w:szCs w:val="22"/>
        </w:rPr>
      </w:pPr>
      <w:r>
        <w:rPr>
          <w:rFonts w:hint="eastAsia" w:ascii="Times New Roman" w:cs="Times New Roman"/>
          <w:sz w:val="22"/>
          <w:szCs w:val="22"/>
        </w:rPr>
        <w:t>（一）招标采购单位现场复核时，复核工作人员数量不足的；</w:t>
      </w:r>
    </w:p>
    <w:p w14:paraId="32F69980">
      <w:pPr>
        <w:pStyle w:val="21"/>
        <w:ind w:firstLine="440" w:firstLineChars="200"/>
        <w:jc w:val="both"/>
        <w:rPr>
          <w:rFonts w:ascii="Times New Roman" w:hAnsi="Times New Roman" w:cs="Times New Roman"/>
          <w:sz w:val="22"/>
          <w:szCs w:val="22"/>
        </w:rPr>
      </w:pPr>
      <w:r>
        <w:rPr>
          <w:rFonts w:hint="eastAsia" w:ascii="Times New Roman" w:cs="Times New Roman"/>
          <w:sz w:val="22"/>
          <w:szCs w:val="22"/>
        </w:rPr>
        <w:t>（二）招标采购单位现场复核时，没有采购监督人员现场监督的；</w:t>
      </w:r>
    </w:p>
    <w:p w14:paraId="4FFEDDDA">
      <w:pPr>
        <w:pStyle w:val="21"/>
        <w:ind w:firstLine="440" w:firstLineChars="200"/>
        <w:jc w:val="both"/>
        <w:rPr>
          <w:rFonts w:ascii="Times New Roman" w:hAnsi="Times New Roman" w:cs="Times New Roman"/>
          <w:sz w:val="22"/>
          <w:szCs w:val="22"/>
        </w:rPr>
      </w:pPr>
      <w:r>
        <w:rPr>
          <w:rFonts w:hint="eastAsia" w:ascii="Times New Roman" w:cs="Times New Roman"/>
          <w:sz w:val="22"/>
          <w:szCs w:val="22"/>
        </w:rPr>
        <w:t>（三）招标采购单位现场复核内容超出规定范围的；</w:t>
      </w:r>
    </w:p>
    <w:p w14:paraId="61C11DDE">
      <w:pPr>
        <w:pStyle w:val="21"/>
        <w:ind w:firstLine="440" w:firstLineChars="200"/>
        <w:jc w:val="both"/>
        <w:rPr>
          <w:rFonts w:ascii="Times New Roman" w:hAnsi="Times New Roman" w:cs="Times New Roman"/>
          <w:sz w:val="22"/>
          <w:szCs w:val="22"/>
        </w:rPr>
      </w:pPr>
      <w:r>
        <w:rPr>
          <w:rFonts w:hint="eastAsia" w:ascii="Times New Roman" w:cs="Times New Roman"/>
          <w:sz w:val="22"/>
          <w:szCs w:val="22"/>
        </w:rPr>
        <w:t>（四）招标采购单位未提供书面建议的。</w:t>
      </w:r>
    </w:p>
    <w:p w14:paraId="3DFEBDA1">
      <w:pPr>
        <w:pStyle w:val="3"/>
        <w:spacing w:line="400" w:lineRule="exact"/>
        <w:ind w:firstLine="433" w:firstLineChars="196"/>
        <w:rPr>
          <w:rFonts w:ascii="Times New Roman" w:hAnsi="Times New Roman"/>
          <w:sz w:val="22"/>
          <w:szCs w:val="22"/>
        </w:rPr>
      </w:pPr>
      <w:r>
        <w:rPr>
          <w:rFonts w:hint="eastAsia" w:ascii="Times New Roman" w:hAnsi="Times New Roman"/>
          <w:sz w:val="22"/>
          <w:szCs w:val="22"/>
        </w:rPr>
        <w:t>4</w:t>
      </w:r>
      <w:r>
        <w:rPr>
          <w:rFonts w:ascii="Times New Roman" w:hAnsi="Times New Roman"/>
          <w:sz w:val="22"/>
          <w:szCs w:val="22"/>
        </w:rPr>
        <w:t xml:space="preserve">. </w:t>
      </w:r>
      <w:r>
        <w:rPr>
          <w:rFonts w:hint="eastAsia" w:ascii="Times New Roman" w:hAnsi="Times New Roman"/>
          <w:sz w:val="22"/>
          <w:szCs w:val="22"/>
        </w:rPr>
        <w:t>废标</w:t>
      </w:r>
    </w:p>
    <w:p w14:paraId="4978062E">
      <w:pPr>
        <w:spacing w:line="400" w:lineRule="exact"/>
        <w:ind w:firstLine="440" w:firstLineChars="200"/>
        <w:rPr>
          <w:rFonts w:ascii="Times New Roman" w:hAnsi="Times New Roman"/>
          <w:sz w:val="22"/>
          <w:szCs w:val="21"/>
        </w:rPr>
      </w:pPr>
      <w:r>
        <w:rPr>
          <w:rFonts w:hint="eastAsia" w:ascii="Times New Roman" w:hAnsi="Times New Roman"/>
          <w:sz w:val="22"/>
          <w:szCs w:val="21"/>
        </w:rPr>
        <w:t>4</w:t>
      </w:r>
      <w:r>
        <w:rPr>
          <w:rFonts w:ascii="Times New Roman" w:hAnsi="Times New Roman"/>
          <w:sz w:val="22"/>
          <w:szCs w:val="21"/>
        </w:rPr>
        <w:t>.1</w:t>
      </w:r>
      <w:r>
        <w:rPr>
          <w:rFonts w:hint="eastAsia" w:ascii="Times New Roman" w:hAnsi="Times New Roman"/>
          <w:sz w:val="22"/>
          <w:szCs w:val="21"/>
        </w:rPr>
        <w:t>本次政府采购活动中，出现下列情形之一的，予以废标：</w:t>
      </w:r>
    </w:p>
    <w:p w14:paraId="2DDB720A">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）符合专业条件的供应商或者对招标文件作实质响应的供应商不足三家的；</w:t>
      </w:r>
    </w:p>
    <w:p w14:paraId="102126AF">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）出现影响采购公正的违法、违规行为的；</w:t>
      </w:r>
    </w:p>
    <w:p w14:paraId="1C03024F">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）投标人的报价均超过了采购预算，采购人不能支付的；</w:t>
      </w:r>
    </w:p>
    <w:p w14:paraId="41C90C49">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4</w:t>
      </w:r>
      <w:r>
        <w:rPr>
          <w:rFonts w:hint="eastAsia" w:ascii="Times New Roman" w:hAnsi="Times New Roman"/>
          <w:sz w:val="22"/>
          <w:szCs w:val="21"/>
        </w:rPr>
        <w:t>）因重大变故，采购任务取消的。</w:t>
      </w:r>
    </w:p>
    <w:p w14:paraId="56A5497F">
      <w:pPr>
        <w:spacing w:line="400" w:lineRule="exact"/>
        <w:ind w:firstLine="440" w:firstLineChars="200"/>
        <w:rPr>
          <w:rFonts w:ascii="Times New Roman" w:hAnsi="Times New Roman"/>
          <w:sz w:val="22"/>
          <w:szCs w:val="21"/>
        </w:rPr>
      </w:pPr>
      <w:r>
        <w:rPr>
          <w:rFonts w:hint="eastAsia" w:ascii="Times New Roman" w:hAnsi="Times New Roman"/>
          <w:sz w:val="22"/>
          <w:szCs w:val="21"/>
        </w:rPr>
        <w:t>废标后，采购代理机构应在</w:t>
      </w:r>
      <w:r>
        <w:rPr>
          <w:rFonts w:hint="eastAsia" w:ascii="Times New Roman" w:hAnsi="Times New Roman"/>
          <w:sz w:val="22"/>
          <w:szCs w:val="21"/>
          <w:lang w:eastAsia="zh-CN"/>
        </w:rPr>
        <w:t>陕西省政府采购网</w:t>
      </w:r>
      <w:r>
        <w:rPr>
          <w:rFonts w:hint="eastAsia" w:ascii="Times New Roman" w:hAnsi="Times New Roman"/>
          <w:sz w:val="22"/>
          <w:szCs w:val="21"/>
        </w:rPr>
        <w:t>上公告，并公告废标的情形。投标人需要知晓导致废标情形的具体原因和理由的，可以通过书面形式询问招标采购单位。</w:t>
      </w:r>
    </w:p>
    <w:p w14:paraId="28FE0B3E">
      <w:pPr>
        <w:spacing w:line="400" w:lineRule="exact"/>
        <w:ind w:firstLine="440" w:firstLineChars="200"/>
        <w:rPr>
          <w:rFonts w:ascii="Times New Roman" w:hAnsi="Times New Roman"/>
          <w:sz w:val="22"/>
          <w:szCs w:val="21"/>
        </w:rPr>
      </w:pPr>
      <w:r>
        <w:rPr>
          <w:rFonts w:hint="eastAsia" w:ascii="Times New Roman" w:hAnsi="Times New Roman"/>
          <w:sz w:val="22"/>
          <w:szCs w:val="21"/>
        </w:rPr>
        <w:t>4</w:t>
      </w:r>
      <w:r>
        <w:rPr>
          <w:rFonts w:ascii="Times New Roman" w:hAnsi="Times New Roman"/>
          <w:sz w:val="22"/>
          <w:szCs w:val="21"/>
        </w:rPr>
        <w:t>.2</w:t>
      </w:r>
      <w:r>
        <w:rPr>
          <w:rFonts w:hint="eastAsia" w:ascii="Times New Roman" w:hAnsi="Times New Roman"/>
          <w:sz w:val="22"/>
          <w:szCs w:val="21"/>
        </w:rPr>
        <w:t>对于评标过程中废标的采购项目，评标委员会应当对招标文件是否存在倾向性和歧视性、是否存在不合理条款进行论证，并出具书面论证意见。</w:t>
      </w:r>
    </w:p>
    <w:p w14:paraId="2506CA5F">
      <w:pPr>
        <w:pStyle w:val="3"/>
        <w:spacing w:line="400" w:lineRule="exact"/>
        <w:ind w:firstLine="433" w:firstLineChars="196"/>
        <w:rPr>
          <w:rFonts w:ascii="Times New Roman" w:hAnsi="Times New Roman"/>
          <w:sz w:val="22"/>
          <w:szCs w:val="22"/>
        </w:rPr>
      </w:pPr>
      <w:r>
        <w:rPr>
          <w:rFonts w:hint="eastAsia" w:ascii="Times New Roman" w:hAnsi="Times New Roman"/>
          <w:sz w:val="22"/>
          <w:szCs w:val="22"/>
        </w:rPr>
        <w:t>5</w:t>
      </w:r>
      <w:r>
        <w:rPr>
          <w:rFonts w:ascii="Times New Roman" w:hAnsi="Times New Roman"/>
          <w:sz w:val="22"/>
          <w:szCs w:val="22"/>
        </w:rPr>
        <w:t xml:space="preserve">. </w:t>
      </w:r>
      <w:r>
        <w:rPr>
          <w:rFonts w:hint="eastAsia" w:ascii="Times New Roman" w:hAnsi="Times New Roman"/>
          <w:sz w:val="22"/>
          <w:szCs w:val="22"/>
        </w:rPr>
        <w:t>定标</w:t>
      </w:r>
    </w:p>
    <w:p w14:paraId="512BACD1">
      <w:pPr>
        <w:spacing w:line="400" w:lineRule="exact"/>
        <w:ind w:firstLine="440" w:firstLineChars="200"/>
        <w:rPr>
          <w:rFonts w:ascii="Times New Roman" w:hAnsi="Times New Roman"/>
          <w:sz w:val="22"/>
          <w:szCs w:val="21"/>
        </w:rPr>
      </w:pPr>
      <w:r>
        <w:rPr>
          <w:rFonts w:hint="eastAsia" w:ascii="Times New Roman" w:hAnsi="Times New Roman"/>
          <w:sz w:val="22"/>
          <w:szCs w:val="21"/>
        </w:rPr>
        <w:t>5</w:t>
      </w:r>
      <w:r>
        <w:rPr>
          <w:rFonts w:ascii="Times New Roman" w:hAnsi="Times New Roman"/>
          <w:sz w:val="22"/>
          <w:szCs w:val="21"/>
        </w:rPr>
        <w:t xml:space="preserve">.1. </w:t>
      </w:r>
      <w:r>
        <w:rPr>
          <w:rFonts w:hint="eastAsia" w:ascii="Times New Roman" w:hAnsi="Times New Roman"/>
          <w:sz w:val="22"/>
          <w:szCs w:val="21"/>
        </w:rPr>
        <w:t>定标原则：本项目根据评标委员会推荐的中标候选供应商名单，按顺序确定中标供应商。</w:t>
      </w:r>
    </w:p>
    <w:p w14:paraId="4C1BFA5A">
      <w:pPr>
        <w:spacing w:line="400" w:lineRule="exact"/>
        <w:ind w:firstLine="440" w:firstLineChars="200"/>
        <w:rPr>
          <w:rFonts w:ascii="Times New Roman" w:hAnsi="Times New Roman"/>
          <w:sz w:val="22"/>
          <w:szCs w:val="21"/>
        </w:rPr>
      </w:pPr>
      <w:r>
        <w:rPr>
          <w:rFonts w:hint="eastAsia" w:ascii="Times New Roman" w:hAnsi="Times New Roman"/>
          <w:sz w:val="22"/>
          <w:szCs w:val="21"/>
        </w:rPr>
        <w:t>5</w:t>
      </w:r>
      <w:r>
        <w:rPr>
          <w:rFonts w:ascii="Times New Roman" w:hAnsi="Times New Roman"/>
          <w:sz w:val="22"/>
          <w:szCs w:val="21"/>
        </w:rPr>
        <w:t xml:space="preserve">.2. </w:t>
      </w:r>
      <w:r>
        <w:rPr>
          <w:rFonts w:hint="eastAsia" w:ascii="Times New Roman" w:hAnsi="Times New Roman"/>
          <w:sz w:val="22"/>
          <w:szCs w:val="21"/>
        </w:rPr>
        <w:t>定标程序</w:t>
      </w:r>
    </w:p>
    <w:p w14:paraId="20D31D0A">
      <w:pPr>
        <w:spacing w:line="400" w:lineRule="exact"/>
        <w:ind w:firstLine="440" w:firstLineChars="200"/>
        <w:rPr>
          <w:rFonts w:ascii="Times New Roman" w:hAnsi="Times New Roman"/>
          <w:sz w:val="22"/>
          <w:szCs w:val="21"/>
        </w:rPr>
      </w:pPr>
      <w:r>
        <w:rPr>
          <w:rFonts w:hint="eastAsia" w:ascii="Times New Roman" w:hAnsi="Times New Roman"/>
          <w:sz w:val="22"/>
          <w:szCs w:val="21"/>
        </w:rPr>
        <w:t>5</w:t>
      </w:r>
      <w:r>
        <w:rPr>
          <w:rFonts w:ascii="Times New Roman" w:hAnsi="Times New Roman"/>
          <w:sz w:val="22"/>
          <w:szCs w:val="21"/>
        </w:rPr>
        <w:t xml:space="preserve">.2.1 </w:t>
      </w:r>
      <w:r>
        <w:rPr>
          <w:rFonts w:hint="eastAsia" w:ascii="Times New Roman" w:hAnsi="Times New Roman"/>
          <w:sz w:val="22"/>
          <w:szCs w:val="21"/>
        </w:rPr>
        <w:t>评标委员会将评标情况写出书面报告，推荐中标候选供应商。</w:t>
      </w:r>
    </w:p>
    <w:p w14:paraId="5179BD4E">
      <w:pPr>
        <w:spacing w:line="400" w:lineRule="exact"/>
        <w:ind w:firstLine="440" w:firstLineChars="200"/>
        <w:rPr>
          <w:rFonts w:ascii="Times New Roman" w:hAnsi="Times New Roman"/>
          <w:sz w:val="22"/>
          <w:szCs w:val="21"/>
        </w:rPr>
      </w:pPr>
      <w:r>
        <w:rPr>
          <w:rFonts w:hint="eastAsia" w:ascii="Times New Roman" w:hAnsi="Times New Roman"/>
          <w:sz w:val="22"/>
          <w:szCs w:val="21"/>
        </w:rPr>
        <w:t>5</w:t>
      </w:r>
      <w:r>
        <w:rPr>
          <w:rFonts w:ascii="Times New Roman" w:hAnsi="Times New Roman"/>
          <w:sz w:val="22"/>
          <w:szCs w:val="21"/>
        </w:rPr>
        <w:t xml:space="preserve">.2.2 </w:t>
      </w:r>
      <w:r>
        <w:rPr>
          <w:rFonts w:hint="eastAsia" w:ascii="Times New Roman" w:hAnsi="Times New Roman"/>
          <w:sz w:val="22"/>
          <w:szCs w:val="21"/>
        </w:rPr>
        <w:t>采购代理机构在评标结束后</w:t>
      </w:r>
      <w:r>
        <w:rPr>
          <w:rFonts w:ascii="Times New Roman" w:hAnsi="Times New Roman"/>
          <w:sz w:val="22"/>
          <w:szCs w:val="21"/>
        </w:rPr>
        <w:t>2</w:t>
      </w:r>
      <w:r>
        <w:rPr>
          <w:rFonts w:hint="eastAsia" w:ascii="Times New Roman" w:hAnsi="Times New Roman"/>
          <w:sz w:val="22"/>
          <w:szCs w:val="21"/>
        </w:rPr>
        <w:t>个工作日内将评标报告送采购人。</w:t>
      </w:r>
    </w:p>
    <w:p w14:paraId="1F19F4B2">
      <w:pPr>
        <w:spacing w:line="400" w:lineRule="exact"/>
        <w:ind w:firstLine="440" w:firstLineChars="200"/>
        <w:rPr>
          <w:rFonts w:ascii="Times New Roman" w:hAnsi="Times New Roman"/>
          <w:sz w:val="22"/>
          <w:szCs w:val="21"/>
        </w:rPr>
      </w:pPr>
      <w:r>
        <w:rPr>
          <w:rFonts w:hint="eastAsia" w:ascii="Times New Roman" w:hAnsi="Times New Roman"/>
          <w:sz w:val="22"/>
          <w:szCs w:val="21"/>
        </w:rPr>
        <w:t>5</w:t>
      </w:r>
      <w:r>
        <w:rPr>
          <w:rFonts w:ascii="Times New Roman" w:hAnsi="Times New Roman"/>
          <w:sz w:val="22"/>
          <w:szCs w:val="21"/>
        </w:rPr>
        <w:t xml:space="preserve">.2.3 </w:t>
      </w:r>
      <w:r>
        <w:rPr>
          <w:rFonts w:hint="eastAsia" w:ascii="Times New Roman" w:hAnsi="Times New Roman"/>
          <w:sz w:val="22"/>
          <w:szCs w:val="21"/>
        </w:rPr>
        <w:t>采购人在收到评标报告后</w:t>
      </w:r>
      <w:r>
        <w:rPr>
          <w:rFonts w:ascii="Times New Roman" w:hAnsi="Times New Roman"/>
          <w:sz w:val="22"/>
          <w:szCs w:val="21"/>
        </w:rPr>
        <w:t>5</w:t>
      </w:r>
      <w:r>
        <w:rPr>
          <w:rFonts w:hint="eastAsia" w:ascii="Times New Roman" w:hAnsi="Times New Roman"/>
          <w:sz w:val="22"/>
          <w:szCs w:val="21"/>
        </w:rPr>
        <w:t>个工作日内，按照评标报告中推荐的中标候选供应商顺序确定中标供应商。采用最低评标价法的，评标结果按投标报价由低到高顺序排列。投标报价相同的并列。投标文件满足招标文件全部实质性要求且投标报价最低的投标人为排名第一的中标候选人。报价相同且满足招标文件全部实质性要求的并列，由采购人自主采取随机抽取的方式选择中标供应商。采用综合评分法的，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排名并列的由采购人自主采取随机抽取的方式选择中标供应商。</w:t>
      </w:r>
    </w:p>
    <w:p w14:paraId="4D0C7E04">
      <w:pPr>
        <w:spacing w:line="400" w:lineRule="exact"/>
        <w:ind w:firstLine="442" w:firstLineChars="200"/>
        <w:rPr>
          <w:rFonts w:ascii="Times New Roman" w:hAnsi="Times New Roman"/>
          <w:b/>
          <w:sz w:val="22"/>
          <w:szCs w:val="21"/>
        </w:rPr>
      </w:pPr>
      <w:r>
        <w:rPr>
          <w:rFonts w:hint="eastAsia" w:ascii="Times New Roman" w:hAnsi="Times New Roman"/>
          <w:b/>
          <w:sz w:val="22"/>
          <w:szCs w:val="21"/>
        </w:rPr>
        <w:t>注意，采购人按照推荐的中标候选供应商顺序确定中标供应商，不能认为采购人只能确定第一中标候选供应商为中标供应商，采购人有正当理由的，可以确定后一顺序中标候选供应商为中标供应商，依次类推。</w:t>
      </w:r>
    </w:p>
    <w:p w14:paraId="6CF852C6">
      <w:pPr>
        <w:spacing w:line="400" w:lineRule="exact"/>
        <w:ind w:firstLine="440" w:firstLineChars="200"/>
        <w:rPr>
          <w:rFonts w:ascii="Times New Roman" w:hAnsi="Times New Roman"/>
          <w:sz w:val="22"/>
          <w:szCs w:val="21"/>
        </w:rPr>
      </w:pPr>
      <w:r>
        <w:rPr>
          <w:rFonts w:hint="eastAsia" w:ascii="Times New Roman" w:hAnsi="Times New Roman"/>
          <w:sz w:val="22"/>
          <w:szCs w:val="21"/>
        </w:rPr>
        <w:t>5</w:t>
      </w:r>
      <w:r>
        <w:rPr>
          <w:rFonts w:ascii="Times New Roman" w:hAnsi="Times New Roman"/>
          <w:sz w:val="22"/>
          <w:szCs w:val="21"/>
        </w:rPr>
        <w:t xml:space="preserve">.2.4 </w:t>
      </w:r>
      <w:r>
        <w:rPr>
          <w:rFonts w:hint="eastAsia" w:ascii="Times New Roman" w:hAnsi="Times New Roman"/>
          <w:sz w:val="22"/>
          <w:szCs w:val="21"/>
        </w:rPr>
        <w:t>根据采购人确定的中标供应商，采购代理机构在</w:t>
      </w:r>
      <w:r>
        <w:rPr>
          <w:rFonts w:hint="eastAsia" w:ascii="Times New Roman" w:hAnsi="Times New Roman"/>
          <w:sz w:val="22"/>
          <w:szCs w:val="21"/>
          <w:lang w:eastAsia="zh-CN"/>
        </w:rPr>
        <w:t>陕西省政府采购网</w:t>
      </w:r>
      <w:r>
        <w:rPr>
          <w:rFonts w:hint="eastAsia" w:ascii="Times New Roman" w:hAnsi="Times New Roman"/>
          <w:sz w:val="22"/>
          <w:szCs w:val="21"/>
        </w:rPr>
        <w:t>上发布中标公告，并自采购人确定中标之日起</w:t>
      </w:r>
      <w:r>
        <w:rPr>
          <w:rFonts w:ascii="Times New Roman" w:hAnsi="Times New Roman"/>
          <w:sz w:val="22"/>
          <w:szCs w:val="21"/>
        </w:rPr>
        <w:t>2</w:t>
      </w:r>
      <w:r>
        <w:rPr>
          <w:rFonts w:hint="eastAsia" w:ascii="Times New Roman" w:hAnsi="Times New Roman"/>
          <w:sz w:val="22"/>
          <w:szCs w:val="21"/>
        </w:rPr>
        <w:t>个工作日内向中标供应商发出中标通知书。</w:t>
      </w:r>
    </w:p>
    <w:p w14:paraId="4A988B56">
      <w:pPr>
        <w:spacing w:line="400" w:lineRule="exact"/>
        <w:ind w:firstLine="440" w:firstLineChars="200"/>
        <w:rPr>
          <w:rFonts w:ascii="Times New Roman" w:hAnsi="Times New Roman"/>
          <w:sz w:val="22"/>
          <w:szCs w:val="21"/>
        </w:rPr>
      </w:pPr>
      <w:r>
        <w:rPr>
          <w:rFonts w:hint="eastAsia" w:ascii="Times New Roman" w:hAnsi="Times New Roman"/>
          <w:sz w:val="22"/>
          <w:szCs w:val="21"/>
        </w:rPr>
        <w:t>5</w:t>
      </w:r>
      <w:r>
        <w:rPr>
          <w:rFonts w:ascii="Times New Roman" w:hAnsi="Times New Roman"/>
          <w:sz w:val="22"/>
          <w:szCs w:val="21"/>
        </w:rPr>
        <w:t xml:space="preserve">.2.5 </w:t>
      </w:r>
      <w:r>
        <w:rPr>
          <w:rFonts w:hint="eastAsia" w:ascii="Times New Roman" w:hAnsi="Times New Roman"/>
          <w:sz w:val="22"/>
          <w:szCs w:val="21"/>
        </w:rPr>
        <w:t>招标采购单位不退回投标人投标文件和其他投标资料。</w:t>
      </w:r>
    </w:p>
    <w:p w14:paraId="6DD6AE70">
      <w:pPr>
        <w:pStyle w:val="3"/>
        <w:spacing w:line="400" w:lineRule="exact"/>
        <w:ind w:firstLine="442" w:firstLineChars="200"/>
        <w:rPr>
          <w:rFonts w:ascii="Times New Roman" w:hAnsi="Times New Roman"/>
          <w:sz w:val="22"/>
          <w:szCs w:val="22"/>
        </w:rPr>
      </w:pPr>
      <w:r>
        <w:rPr>
          <w:rFonts w:hint="eastAsia" w:ascii="Times New Roman" w:hAnsi="Times New Roman"/>
          <w:sz w:val="22"/>
          <w:szCs w:val="22"/>
        </w:rPr>
        <w:t>6</w:t>
      </w:r>
      <w:r>
        <w:rPr>
          <w:rFonts w:ascii="Times New Roman" w:hAnsi="Times New Roman"/>
          <w:sz w:val="22"/>
          <w:szCs w:val="22"/>
        </w:rPr>
        <w:t xml:space="preserve">. </w:t>
      </w:r>
      <w:r>
        <w:rPr>
          <w:rFonts w:hint="eastAsia" w:ascii="Times New Roman" w:hAnsi="Times New Roman"/>
          <w:sz w:val="22"/>
          <w:szCs w:val="22"/>
        </w:rPr>
        <w:t>评标专家在政府采购活动中承担以下义务：</w:t>
      </w:r>
    </w:p>
    <w:p w14:paraId="29E83502">
      <w:pPr>
        <w:spacing w:line="400" w:lineRule="exact"/>
        <w:ind w:firstLine="440" w:firstLineChars="200"/>
        <w:rPr>
          <w:rFonts w:ascii="Times New Roman" w:hAnsi="Times New Roman"/>
          <w:sz w:val="22"/>
          <w:szCs w:val="21"/>
        </w:rPr>
      </w:pPr>
      <w:r>
        <w:rPr>
          <w:rFonts w:hint="eastAsia" w:ascii="Times New Roman" w:hAnsi="Times New Roman"/>
          <w:sz w:val="22"/>
          <w:szCs w:val="21"/>
        </w:rPr>
        <w:t>（一）遵守评审工作纪律；</w:t>
      </w:r>
    </w:p>
    <w:p w14:paraId="4FE73C04">
      <w:pPr>
        <w:spacing w:line="400" w:lineRule="exact"/>
        <w:ind w:firstLine="440" w:firstLineChars="200"/>
        <w:rPr>
          <w:rFonts w:ascii="Times New Roman" w:hAnsi="Times New Roman"/>
          <w:sz w:val="22"/>
          <w:szCs w:val="21"/>
        </w:rPr>
      </w:pPr>
      <w:r>
        <w:rPr>
          <w:rFonts w:hint="eastAsia" w:ascii="Times New Roman" w:hAnsi="Times New Roman"/>
          <w:sz w:val="22"/>
          <w:szCs w:val="21"/>
        </w:rPr>
        <w:t>（二）按照客观、公正、审慎的原则，根据采购文件规定的评审程序、评审方法和评审标准进行独立评审；</w:t>
      </w:r>
    </w:p>
    <w:p w14:paraId="29E62D1D">
      <w:pPr>
        <w:spacing w:line="400" w:lineRule="exact"/>
        <w:ind w:firstLine="440" w:firstLineChars="200"/>
        <w:rPr>
          <w:rFonts w:ascii="Times New Roman" w:hAnsi="Times New Roman"/>
          <w:sz w:val="22"/>
          <w:szCs w:val="21"/>
        </w:rPr>
      </w:pPr>
      <w:r>
        <w:rPr>
          <w:rFonts w:hint="eastAsia" w:ascii="Times New Roman" w:hAnsi="Times New Roman"/>
          <w:sz w:val="22"/>
          <w:szCs w:val="21"/>
        </w:rPr>
        <w:t>（三）不得泄露评审文件、评审情况和在评审过程中获悉的商业秘密；</w:t>
      </w:r>
    </w:p>
    <w:p w14:paraId="0E4AFAC2">
      <w:pPr>
        <w:spacing w:line="400" w:lineRule="exact"/>
        <w:ind w:firstLine="440" w:firstLineChars="200"/>
        <w:rPr>
          <w:rFonts w:ascii="Times New Roman" w:hAnsi="Times New Roman"/>
          <w:sz w:val="22"/>
          <w:szCs w:val="21"/>
        </w:rPr>
      </w:pPr>
      <w:r>
        <w:rPr>
          <w:rFonts w:hint="eastAsia" w:ascii="Times New Roman" w:hAnsi="Times New Roman"/>
          <w:sz w:val="22"/>
          <w:szCs w:val="21"/>
        </w:rPr>
        <w:t>（四）及时向监督部门报告评审过程中采购组织单位向评审专家做倾向性、误导性的解释或者说明，供应商行贿、提供虚假材料或者串通、受到的非法干预情况等违法违规行为；</w:t>
      </w:r>
    </w:p>
    <w:p w14:paraId="2AE1BB89">
      <w:pPr>
        <w:spacing w:line="400" w:lineRule="exact"/>
        <w:ind w:firstLine="440" w:firstLineChars="200"/>
        <w:rPr>
          <w:rFonts w:ascii="Times New Roman" w:hAnsi="Times New Roman"/>
          <w:sz w:val="22"/>
          <w:szCs w:val="21"/>
        </w:rPr>
      </w:pPr>
      <w:r>
        <w:rPr>
          <w:rFonts w:hint="eastAsia" w:ascii="Times New Roman" w:hAnsi="Times New Roman"/>
          <w:sz w:val="22"/>
          <w:szCs w:val="21"/>
        </w:rPr>
        <w:t>（五）发现采购文件内容违反国家有关强制性规定或者存在歧义、重大缺陷导致评审工作无法进行时，停止评审并向采购组织单位书面说明情况；</w:t>
      </w:r>
    </w:p>
    <w:p w14:paraId="7487D7A9">
      <w:pPr>
        <w:spacing w:line="400" w:lineRule="exact"/>
        <w:ind w:firstLine="440" w:firstLineChars="200"/>
        <w:rPr>
          <w:rFonts w:ascii="Times New Roman" w:hAnsi="Times New Roman"/>
          <w:sz w:val="22"/>
          <w:szCs w:val="21"/>
        </w:rPr>
      </w:pPr>
      <w:r>
        <w:rPr>
          <w:rFonts w:hint="eastAsia" w:ascii="Times New Roman" w:hAnsi="Times New Roman"/>
          <w:sz w:val="22"/>
          <w:szCs w:val="21"/>
        </w:rPr>
        <w:t>（六）配合答复处理供应商的询问、质疑和投诉等事项；</w:t>
      </w:r>
    </w:p>
    <w:p w14:paraId="3A69C467">
      <w:pPr>
        <w:spacing w:line="400" w:lineRule="exact"/>
        <w:ind w:firstLine="440" w:firstLineChars="200"/>
        <w:rPr>
          <w:rFonts w:ascii="Times New Roman" w:hAnsi="Times New Roman"/>
          <w:sz w:val="22"/>
          <w:szCs w:val="21"/>
        </w:rPr>
      </w:pPr>
      <w:r>
        <w:rPr>
          <w:rFonts w:hint="eastAsia" w:ascii="Times New Roman" w:hAnsi="Times New Roman"/>
          <w:sz w:val="22"/>
          <w:szCs w:val="21"/>
        </w:rPr>
        <w:t>（七）法律、法规和规章规定的其他义务。</w:t>
      </w:r>
    </w:p>
    <w:p w14:paraId="3C11CAEC">
      <w:pPr>
        <w:pStyle w:val="3"/>
        <w:spacing w:line="400" w:lineRule="exact"/>
        <w:ind w:firstLine="442" w:firstLineChars="200"/>
        <w:rPr>
          <w:rFonts w:ascii="Times New Roman" w:hAnsi="Times New Roman"/>
          <w:sz w:val="22"/>
          <w:szCs w:val="22"/>
        </w:rPr>
      </w:pPr>
      <w:r>
        <w:rPr>
          <w:rFonts w:hint="eastAsia" w:ascii="Times New Roman" w:hAnsi="Times New Roman"/>
          <w:sz w:val="22"/>
          <w:szCs w:val="22"/>
        </w:rPr>
        <w:t>7</w:t>
      </w:r>
      <w:r>
        <w:rPr>
          <w:rFonts w:ascii="Times New Roman" w:hAnsi="Times New Roman"/>
          <w:sz w:val="22"/>
          <w:szCs w:val="22"/>
        </w:rPr>
        <w:t>.</w:t>
      </w:r>
      <w:r>
        <w:rPr>
          <w:rFonts w:hint="eastAsia" w:ascii="Times New Roman" w:hAnsi="Times New Roman"/>
          <w:sz w:val="22"/>
          <w:szCs w:val="22"/>
        </w:rPr>
        <w:t>评标专家在政府采购活动中应当遵守以下工作纪律：</w:t>
      </w:r>
    </w:p>
    <w:p w14:paraId="158F5942">
      <w:pPr>
        <w:spacing w:line="400" w:lineRule="exact"/>
        <w:ind w:firstLine="440" w:firstLineChars="200"/>
        <w:rPr>
          <w:rFonts w:ascii="Times New Roman" w:hAnsi="Times New Roman"/>
          <w:sz w:val="22"/>
          <w:szCs w:val="21"/>
        </w:rPr>
      </w:pPr>
      <w:r>
        <w:rPr>
          <w:rFonts w:hint="eastAsia" w:ascii="Times New Roman" w:hAnsi="Times New Roman"/>
          <w:sz w:val="22"/>
          <w:szCs w:val="21"/>
        </w:rPr>
        <w:t>（一）遵行《政府采购法》第十二条和《政府采购法实施条例》第九条及财政部关于回避的规定。</w:t>
      </w:r>
    </w:p>
    <w:p w14:paraId="3D8BDF65">
      <w:pPr>
        <w:spacing w:line="400" w:lineRule="exact"/>
        <w:ind w:firstLine="440" w:firstLineChars="200"/>
        <w:rPr>
          <w:rFonts w:ascii="Times New Roman" w:hAnsi="Times New Roman"/>
          <w:sz w:val="22"/>
          <w:szCs w:val="21"/>
        </w:rPr>
      </w:pPr>
      <w:r>
        <w:rPr>
          <w:rFonts w:hint="eastAsia" w:ascii="Times New Roman" w:hAnsi="Times New Roman"/>
          <w:sz w:val="22"/>
          <w:szCs w:val="21"/>
        </w:rPr>
        <w:t>（二）评标前，应当将通讯工具或者相关电子设备交由招标采购单位统一保管。</w:t>
      </w:r>
    </w:p>
    <w:p w14:paraId="490322B2">
      <w:pPr>
        <w:spacing w:line="400" w:lineRule="exact"/>
        <w:ind w:firstLine="440" w:firstLineChars="200"/>
        <w:rPr>
          <w:rFonts w:ascii="Times New Roman" w:hAnsi="Times New Roman"/>
          <w:sz w:val="22"/>
          <w:szCs w:val="21"/>
        </w:rPr>
      </w:pPr>
      <w:r>
        <w:rPr>
          <w:rFonts w:hint="eastAsia" w:ascii="Times New Roman" w:hAnsi="Times New Roman"/>
          <w:sz w:val="22"/>
          <w:szCs w:val="21"/>
        </w:rPr>
        <w:t>（三）评标过程中，不得与外界联系，因发生不可预见情况，确实需要与外界联系的，应当在监督人员监督之下办理。</w:t>
      </w:r>
    </w:p>
    <w:p w14:paraId="619D551B">
      <w:pPr>
        <w:spacing w:line="400" w:lineRule="exact"/>
        <w:ind w:firstLine="440" w:firstLineChars="200"/>
        <w:rPr>
          <w:rFonts w:ascii="Times New Roman" w:hAnsi="Times New Roman"/>
          <w:sz w:val="22"/>
          <w:szCs w:val="21"/>
        </w:rPr>
      </w:pPr>
      <w:r>
        <w:rPr>
          <w:rFonts w:hint="eastAsia" w:ascii="Times New Roman" w:hAnsi="Times New Roman"/>
          <w:sz w:val="22"/>
          <w:szCs w:val="21"/>
        </w:rPr>
        <w:t>（四）评标过程中，不得干预或者影响正常评标工作，不得发表倾向性、引导性意见，不得修改或细化招标文件确定的评标程序、评标方法、评标因素和评标标准，不得接受供应商主动提出的澄清和解释，不得征询采购人代表的意见，不得协商评分，不得违反规定的评标格式评分和撰写评标意见，不得拒绝对自己的评标意见签字确认。</w:t>
      </w:r>
    </w:p>
    <w:p w14:paraId="5BF5EEA2">
      <w:pPr>
        <w:spacing w:line="400" w:lineRule="exact"/>
        <w:ind w:firstLine="440" w:firstLineChars="200"/>
        <w:rPr>
          <w:rFonts w:ascii="Times New Roman" w:hAnsi="Times New Roman"/>
          <w:sz w:val="22"/>
          <w:szCs w:val="21"/>
        </w:rPr>
      </w:pPr>
      <w:r>
        <w:rPr>
          <w:rFonts w:hint="eastAsia" w:ascii="Times New Roman" w:hAnsi="Times New Roman"/>
          <w:sz w:val="22"/>
          <w:szCs w:val="21"/>
        </w:rPr>
        <w:t>（五）在评标过程中和评标结束后，不得记录、复制或带走任何评标资料，除因规定的义务外，不得向外界透露评标内容。</w:t>
      </w:r>
    </w:p>
    <w:p w14:paraId="077BCA5C">
      <w:pPr>
        <w:spacing w:line="400" w:lineRule="exact"/>
        <w:ind w:firstLine="440" w:firstLineChars="200"/>
        <w:rPr>
          <w:rFonts w:ascii="Times New Roman" w:hAnsi="Times New Roman"/>
          <w:sz w:val="22"/>
          <w:szCs w:val="21"/>
        </w:rPr>
      </w:pPr>
      <w:r>
        <w:rPr>
          <w:rFonts w:hint="eastAsia" w:ascii="Times New Roman" w:hAnsi="Times New Roman"/>
          <w:sz w:val="22"/>
          <w:szCs w:val="21"/>
        </w:rPr>
        <w:t>（六）服从评标现场招标采购单位的现场秩序管理，接受评标现场监督人员的合法监督。</w:t>
      </w:r>
    </w:p>
    <w:p w14:paraId="771D0717">
      <w:pPr>
        <w:spacing w:line="400" w:lineRule="exact"/>
        <w:ind w:firstLine="440" w:firstLineChars="200"/>
        <w:rPr>
          <w:rFonts w:ascii="Times New Roman" w:hAnsi="Times New Roman"/>
          <w:sz w:val="22"/>
          <w:szCs w:val="21"/>
        </w:rPr>
      </w:pPr>
      <w:r>
        <w:rPr>
          <w:rFonts w:hint="eastAsia" w:ascii="Times New Roman" w:hAnsi="Times New Roman"/>
          <w:sz w:val="22"/>
          <w:szCs w:val="21"/>
        </w:rPr>
        <w:t>（七）遵守有关廉洁自律规定，不得私下接触供应商，不得收受供应商及有关业务单位和个人的财物或好处，不得接受采购组织单位的请托。</w:t>
      </w:r>
    </w:p>
    <w:bookmarkEnd w:id="228"/>
    <w:bookmarkEnd w:id="229"/>
    <w:p w14:paraId="5F37E5A5">
      <w:pPr>
        <w:pStyle w:val="2"/>
        <w:jc w:val="center"/>
        <w:rPr>
          <w:rFonts w:ascii="Times New Roman" w:hAnsi="Times New Roman"/>
          <w:sz w:val="40"/>
          <w:szCs w:val="20"/>
        </w:rPr>
      </w:pPr>
      <w:r>
        <w:rPr>
          <w:rFonts w:ascii="Times New Roman" w:hAnsi="Times New Roman"/>
          <w:sz w:val="40"/>
          <w:szCs w:val="21"/>
        </w:rPr>
        <w:br w:type="page"/>
      </w:r>
      <w:bookmarkEnd w:id="225"/>
      <w:bookmarkEnd w:id="226"/>
    </w:p>
    <w:p w14:paraId="043DAA63">
      <w:pPr>
        <w:pStyle w:val="3"/>
        <w:jc w:val="center"/>
        <w:rPr>
          <w:rStyle w:val="23"/>
          <w:b/>
        </w:rPr>
      </w:pPr>
      <w:bookmarkStart w:id="231" w:name="_Toc13356"/>
      <w:bookmarkStart w:id="232" w:name="_Toc24334"/>
      <w:bookmarkStart w:id="233" w:name="_Toc18750"/>
      <w:bookmarkStart w:id="234" w:name="_Toc14701"/>
      <w:bookmarkStart w:id="235" w:name="_Toc8783"/>
      <w:r>
        <w:rPr>
          <w:rStyle w:val="23"/>
          <w:rFonts w:hint="eastAsia"/>
          <w:b/>
        </w:rPr>
        <w:t>第七章  评标细则及标准</w:t>
      </w:r>
    </w:p>
    <w:bookmarkEnd w:id="231"/>
    <w:bookmarkEnd w:id="232"/>
    <w:bookmarkEnd w:id="233"/>
    <w:bookmarkEnd w:id="234"/>
    <w:p w14:paraId="48FBEEC1">
      <w:pPr>
        <w:pStyle w:val="3"/>
        <w:rPr>
          <w:rFonts w:ascii="Times New Roman" w:hAnsi="Times New Roman"/>
          <w:sz w:val="22"/>
          <w:szCs w:val="22"/>
        </w:rPr>
      </w:pPr>
      <w:r>
        <w:rPr>
          <w:rFonts w:hint="eastAsia" w:ascii="Times New Roman" w:hAnsi="Times New Roman"/>
          <w:sz w:val="22"/>
          <w:szCs w:val="22"/>
        </w:rPr>
        <w:t>1</w:t>
      </w:r>
      <w:r>
        <w:rPr>
          <w:rFonts w:ascii="Times New Roman" w:hAnsi="Times New Roman"/>
          <w:sz w:val="22"/>
          <w:szCs w:val="22"/>
        </w:rPr>
        <w:t xml:space="preserve">. </w:t>
      </w:r>
      <w:r>
        <w:rPr>
          <w:rFonts w:hint="eastAsia" w:ascii="Times New Roman"/>
          <w:sz w:val="22"/>
          <w:szCs w:val="22"/>
        </w:rPr>
        <w:t>评标细则及标准</w:t>
      </w:r>
    </w:p>
    <w:p w14:paraId="05F0630F">
      <w:pPr>
        <w:pStyle w:val="21"/>
        <w:ind w:firstLine="440" w:firstLineChars="200"/>
        <w:jc w:val="both"/>
        <w:rPr>
          <w:rFonts w:ascii="Times New Roman" w:hAnsi="Times New Roman" w:cs="Times New Roman"/>
          <w:sz w:val="22"/>
          <w:szCs w:val="22"/>
        </w:rPr>
      </w:pPr>
      <w:bookmarkStart w:id="236" w:name="_Toc217446059"/>
      <w:r>
        <w:rPr>
          <w:rFonts w:hint="eastAsia" w:ascii="Times New Roman" w:hAnsi="Times New Roman" w:cs="Times New Roman"/>
          <w:sz w:val="22"/>
          <w:szCs w:val="22"/>
        </w:rPr>
        <w:t>1</w:t>
      </w:r>
      <w:r>
        <w:rPr>
          <w:rFonts w:ascii="Times New Roman" w:hAnsi="Times New Roman" w:cs="Times New Roman"/>
          <w:sz w:val="22"/>
          <w:szCs w:val="22"/>
        </w:rPr>
        <w:t xml:space="preserve">.1 </w:t>
      </w:r>
      <w:r>
        <w:rPr>
          <w:rFonts w:hint="eastAsia" w:ascii="Times New Roman" w:cs="Times New Roman"/>
          <w:sz w:val="22"/>
          <w:szCs w:val="22"/>
        </w:rPr>
        <w:t>评委会只对通过初审的投标文件，根据招标文件的要求采用相同的评标程序、评分办法及标准进行评价和比较。</w:t>
      </w:r>
    </w:p>
    <w:p w14:paraId="1577EF82">
      <w:pPr>
        <w:pStyle w:val="21"/>
        <w:ind w:firstLine="440" w:firstLineChars="200"/>
        <w:jc w:val="both"/>
        <w:rPr>
          <w:rFonts w:ascii="Times New Roman" w:hAnsi="Times New Roman" w:cs="Times New Roman"/>
          <w:sz w:val="22"/>
          <w:szCs w:val="22"/>
        </w:rPr>
      </w:pPr>
      <w:r>
        <w:rPr>
          <w:rFonts w:hint="eastAsia" w:ascii="Times New Roman" w:hAnsi="Times New Roman" w:cs="Times New Roman"/>
          <w:sz w:val="22"/>
          <w:szCs w:val="22"/>
        </w:rPr>
        <w:t>1</w:t>
      </w:r>
      <w:r>
        <w:rPr>
          <w:rFonts w:ascii="Times New Roman" w:hAnsi="Times New Roman" w:cs="Times New Roman"/>
          <w:sz w:val="22"/>
          <w:szCs w:val="22"/>
        </w:rPr>
        <w:t xml:space="preserve">.2 </w:t>
      </w:r>
      <w:r>
        <w:rPr>
          <w:rFonts w:hint="eastAsia" w:ascii="Times New Roman" w:cs="Times New Roman"/>
          <w:sz w:val="22"/>
          <w:szCs w:val="22"/>
        </w:rPr>
        <w:t>本次综合评分的因素是：价格、技术指标和配置、实施方案、业绩、培训、售后服务。</w:t>
      </w:r>
    </w:p>
    <w:p w14:paraId="615A2A5B">
      <w:pPr>
        <w:pStyle w:val="21"/>
        <w:ind w:firstLine="440" w:firstLineChars="200"/>
        <w:jc w:val="both"/>
        <w:rPr>
          <w:rFonts w:ascii="Times New Roman" w:hAnsi="Times New Roman" w:cs="Times New Roman"/>
          <w:sz w:val="22"/>
          <w:szCs w:val="22"/>
        </w:rPr>
      </w:pPr>
      <w:r>
        <w:rPr>
          <w:rFonts w:hint="eastAsia" w:ascii="Times New Roman" w:hAnsi="Times New Roman" w:cs="Times New Roman"/>
          <w:sz w:val="22"/>
          <w:szCs w:val="22"/>
        </w:rPr>
        <w:t>1</w:t>
      </w:r>
      <w:r>
        <w:rPr>
          <w:rFonts w:ascii="Times New Roman" w:hAnsi="Times New Roman" w:cs="Times New Roman"/>
          <w:sz w:val="22"/>
          <w:szCs w:val="22"/>
        </w:rPr>
        <w:t xml:space="preserve">.3 </w:t>
      </w:r>
      <w:r>
        <w:rPr>
          <w:rFonts w:hint="eastAsia" w:ascii="Times New Roman" w:cs="Times New Roman"/>
          <w:sz w:val="22"/>
          <w:szCs w:val="22"/>
        </w:rPr>
        <w:t>除价格因素外，评委会成员应依据投标文件规定的评分标准和方法独立对其他因素进行比较打分。</w:t>
      </w:r>
    </w:p>
    <w:p w14:paraId="31BDBD5D">
      <w:pPr>
        <w:pStyle w:val="21"/>
        <w:ind w:firstLine="440" w:firstLineChars="200"/>
        <w:jc w:val="both"/>
        <w:rPr>
          <w:rFonts w:ascii="Times New Roman" w:hAnsi="Times New Roman" w:cs="Times New Roman"/>
          <w:sz w:val="22"/>
          <w:szCs w:val="22"/>
        </w:rPr>
      </w:pPr>
      <w:r>
        <w:rPr>
          <w:rFonts w:hint="eastAsia" w:ascii="Times New Roman" w:hAnsi="Times New Roman" w:cs="Times New Roman"/>
          <w:sz w:val="22"/>
          <w:szCs w:val="22"/>
        </w:rPr>
        <w:t>1</w:t>
      </w:r>
      <w:r>
        <w:rPr>
          <w:rFonts w:ascii="Times New Roman" w:hAnsi="Times New Roman" w:cs="Times New Roman"/>
          <w:sz w:val="22"/>
          <w:szCs w:val="22"/>
        </w:rPr>
        <w:t xml:space="preserve">.4 </w:t>
      </w:r>
      <w:r>
        <w:rPr>
          <w:rFonts w:hint="eastAsia" w:ascii="Times New Roman" w:cs="Times New Roman"/>
          <w:sz w:val="22"/>
          <w:szCs w:val="22"/>
        </w:rPr>
        <w:t>在评标过程中，投标文件有下列情况之一，评标委员会成员应当按照招标文件规定的非实质性偏离进行扣分：</w:t>
      </w:r>
    </w:p>
    <w:p w14:paraId="5EEE7685">
      <w:pPr>
        <w:pStyle w:val="21"/>
        <w:ind w:firstLine="440" w:firstLineChars="200"/>
        <w:jc w:val="both"/>
        <w:rPr>
          <w:rFonts w:ascii="Times New Roman" w:hAnsi="Times New Roman" w:cs="Times New Roman"/>
          <w:sz w:val="22"/>
          <w:szCs w:val="22"/>
        </w:rPr>
      </w:pPr>
      <w:r>
        <w:rPr>
          <w:rFonts w:hint="eastAsia" w:ascii="Times New Roman" w:cs="Times New Roman"/>
          <w:sz w:val="22"/>
          <w:szCs w:val="22"/>
        </w:rPr>
        <w:t>（</w:t>
      </w:r>
      <w:r>
        <w:rPr>
          <w:rFonts w:ascii="Times New Roman" w:hAnsi="Times New Roman" w:cs="Times New Roman"/>
          <w:sz w:val="22"/>
          <w:szCs w:val="22"/>
        </w:rPr>
        <w:t>1</w:t>
      </w:r>
      <w:r>
        <w:rPr>
          <w:rFonts w:hint="eastAsia" w:ascii="Times New Roman" w:cs="Times New Roman"/>
          <w:sz w:val="22"/>
          <w:szCs w:val="22"/>
        </w:rPr>
        <w:t>）文字表述的内容含义不明确，或者同类问题表述不一致，或者有明显文字和计算错误，或者提供的技术信息和数据资料不完整，投标人拒不或在规定的时间内没有进行澄清、说明或补正或澄清、说明、补正的内容也不能说明问题的；</w:t>
      </w:r>
    </w:p>
    <w:p w14:paraId="6B3823E1">
      <w:pPr>
        <w:pStyle w:val="21"/>
        <w:ind w:firstLine="440" w:firstLineChars="200"/>
        <w:jc w:val="both"/>
        <w:rPr>
          <w:rFonts w:ascii="Times New Roman" w:hAnsi="Times New Roman" w:cs="Times New Roman"/>
          <w:sz w:val="22"/>
          <w:szCs w:val="22"/>
        </w:rPr>
      </w:pPr>
      <w:r>
        <w:rPr>
          <w:rFonts w:hint="eastAsia" w:ascii="Times New Roman" w:cs="Times New Roman"/>
          <w:sz w:val="22"/>
          <w:szCs w:val="22"/>
        </w:rPr>
        <w:t>（</w:t>
      </w:r>
      <w:r>
        <w:rPr>
          <w:rFonts w:ascii="Times New Roman" w:hAnsi="Times New Roman" w:cs="Times New Roman"/>
          <w:sz w:val="22"/>
          <w:szCs w:val="22"/>
        </w:rPr>
        <w:t>2</w:t>
      </w:r>
      <w:r>
        <w:rPr>
          <w:rFonts w:hint="eastAsia" w:ascii="Times New Roman" w:cs="Times New Roman"/>
          <w:sz w:val="22"/>
          <w:szCs w:val="22"/>
        </w:rPr>
        <w:t>）投标文件未按招标文件要求进行装订或未编制目录、页码；</w:t>
      </w:r>
    </w:p>
    <w:p w14:paraId="040C59A5">
      <w:pPr>
        <w:pStyle w:val="21"/>
        <w:ind w:firstLine="440" w:firstLineChars="200"/>
        <w:jc w:val="both"/>
        <w:rPr>
          <w:rFonts w:ascii="Times New Roman" w:hAnsi="Times New Roman" w:cs="Times New Roman"/>
          <w:sz w:val="22"/>
          <w:szCs w:val="22"/>
        </w:rPr>
      </w:pPr>
      <w:r>
        <w:rPr>
          <w:rFonts w:hint="eastAsia" w:ascii="Times New Roman" w:cs="Times New Roman"/>
          <w:sz w:val="22"/>
          <w:szCs w:val="22"/>
        </w:rPr>
        <w:t>（</w:t>
      </w:r>
      <w:r>
        <w:rPr>
          <w:rFonts w:ascii="Times New Roman" w:hAnsi="Times New Roman" w:cs="Times New Roman"/>
          <w:sz w:val="22"/>
          <w:szCs w:val="22"/>
        </w:rPr>
        <w:t>3</w:t>
      </w:r>
      <w:r>
        <w:rPr>
          <w:rFonts w:hint="eastAsia" w:ascii="Times New Roman" w:cs="Times New Roman"/>
          <w:sz w:val="22"/>
          <w:szCs w:val="22"/>
        </w:rPr>
        <w:t>）认定的与招标文件第五章规定的技术、商务和其他规定要求不符的非实质性偏离。</w:t>
      </w:r>
    </w:p>
    <w:p w14:paraId="1C47543D">
      <w:pPr>
        <w:pStyle w:val="21"/>
        <w:ind w:firstLine="440" w:firstLineChars="200"/>
        <w:jc w:val="both"/>
        <w:rPr>
          <w:rFonts w:ascii="Times New Roman" w:hAnsi="Times New Roman" w:cs="Times New Roman"/>
          <w:sz w:val="22"/>
          <w:szCs w:val="22"/>
        </w:rPr>
      </w:pPr>
      <w:r>
        <w:rPr>
          <w:rFonts w:hint="eastAsia" w:ascii="Times New Roman" w:cs="Times New Roman"/>
          <w:sz w:val="22"/>
          <w:szCs w:val="22"/>
        </w:rPr>
        <w:t>（</w:t>
      </w:r>
      <w:r>
        <w:rPr>
          <w:rFonts w:ascii="Times New Roman" w:hAnsi="Times New Roman" w:cs="Times New Roman"/>
          <w:sz w:val="22"/>
          <w:szCs w:val="22"/>
        </w:rPr>
        <w:t>4</w:t>
      </w:r>
      <w:r>
        <w:rPr>
          <w:rFonts w:hint="eastAsia" w:ascii="Times New Roman" w:cs="Times New Roman"/>
          <w:sz w:val="22"/>
          <w:szCs w:val="22"/>
        </w:rPr>
        <w:t>）认定的其他非实质性偏离。</w:t>
      </w:r>
    </w:p>
    <w:p w14:paraId="01CBC60B">
      <w:pPr>
        <w:pStyle w:val="9"/>
        <w:tabs>
          <w:tab w:val="left" w:pos="600"/>
        </w:tabs>
        <w:spacing w:line="400" w:lineRule="exact"/>
        <w:ind w:left="0" w:leftChars="0" w:firstLine="440" w:firstLineChars="200"/>
        <w:rPr>
          <w:rFonts w:ascii="Times New Roman" w:hAnsi="Times New Roman"/>
          <w:sz w:val="22"/>
          <w:szCs w:val="22"/>
        </w:rPr>
      </w:pPr>
      <w:r>
        <w:rPr>
          <w:rFonts w:hint="eastAsia" w:ascii="Times New Roman" w:hAnsi="Times New Roman"/>
          <w:sz w:val="22"/>
          <w:szCs w:val="22"/>
        </w:rPr>
        <w:t>1</w:t>
      </w:r>
      <w:r>
        <w:rPr>
          <w:rFonts w:ascii="Times New Roman" w:hAnsi="Times New Roman"/>
          <w:sz w:val="22"/>
          <w:szCs w:val="22"/>
        </w:rPr>
        <w:t>.5</w:t>
      </w:r>
      <w:r>
        <w:rPr>
          <w:rFonts w:hint="eastAsia" w:ascii="Times New Roman" w:hAnsi="Times New Roman"/>
          <w:sz w:val="22"/>
          <w:szCs w:val="22"/>
        </w:rPr>
        <w:t>综合评分明细表</w:t>
      </w:r>
    </w:p>
    <w:p w14:paraId="0F5E29C6">
      <w:pPr>
        <w:pStyle w:val="9"/>
        <w:tabs>
          <w:tab w:val="left" w:pos="600"/>
        </w:tabs>
        <w:spacing w:line="400" w:lineRule="exact"/>
        <w:ind w:left="0" w:leftChars="0" w:firstLine="440" w:firstLineChars="200"/>
        <w:rPr>
          <w:rFonts w:ascii="Times New Roman" w:hAnsi="Times New Roman"/>
          <w:sz w:val="22"/>
          <w:szCs w:val="22"/>
        </w:rPr>
      </w:pPr>
      <w:r>
        <w:rPr>
          <w:rFonts w:hint="eastAsia" w:ascii="Times New Roman" w:hAnsi="Times New Roman"/>
          <w:sz w:val="22"/>
          <w:szCs w:val="22"/>
        </w:rPr>
        <w:t>1</w:t>
      </w:r>
      <w:r>
        <w:rPr>
          <w:rFonts w:ascii="Times New Roman" w:hAnsi="Times New Roman"/>
          <w:sz w:val="22"/>
          <w:szCs w:val="22"/>
        </w:rPr>
        <w:t>.5.1</w:t>
      </w:r>
      <w:r>
        <w:rPr>
          <w:rFonts w:hint="eastAsia" w:ascii="Times New Roman" w:hAnsi="Times New Roman"/>
          <w:sz w:val="22"/>
          <w:szCs w:val="22"/>
        </w:rPr>
        <w:t>综合评分明细表的制定以科学合理、降低评委会自由裁量权为原则。</w:t>
      </w:r>
    </w:p>
    <w:p w14:paraId="7EA5CA36">
      <w:pPr>
        <w:ind w:firstLine="440" w:firstLineChars="200"/>
        <w:jc w:val="left"/>
        <w:rPr>
          <w:rFonts w:ascii="Times New Roman" w:hAnsi="Times New Roman"/>
          <w:sz w:val="22"/>
          <w:szCs w:val="21"/>
        </w:rPr>
      </w:pPr>
      <w:r>
        <w:rPr>
          <w:rFonts w:hint="eastAsia" w:ascii="Times New Roman" w:hAnsi="Times New Roman"/>
          <w:sz w:val="22"/>
          <w:szCs w:val="21"/>
        </w:rPr>
        <w:t>1</w:t>
      </w:r>
      <w:r>
        <w:rPr>
          <w:rFonts w:ascii="Times New Roman" w:hAnsi="Times New Roman"/>
          <w:sz w:val="22"/>
          <w:szCs w:val="21"/>
        </w:rPr>
        <w:t xml:space="preserve">.5.2 </w:t>
      </w:r>
      <w:r>
        <w:rPr>
          <w:rFonts w:hint="eastAsia" w:ascii="Times New Roman" w:hAnsi="Times New Roman"/>
          <w:sz w:val="22"/>
          <w:szCs w:val="21"/>
        </w:rPr>
        <w:t>综合评分明细表按须知表中的相关要求进行价格调整，再参与价格分评审。</w:t>
      </w:r>
    </w:p>
    <w:p w14:paraId="26B1CEA7">
      <w:pPr>
        <w:pStyle w:val="9"/>
        <w:tabs>
          <w:tab w:val="left" w:pos="600"/>
        </w:tabs>
        <w:spacing w:line="400" w:lineRule="exact"/>
        <w:ind w:left="0" w:leftChars="0" w:firstLine="440" w:firstLineChars="200"/>
        <w:rPr>
          <w:rFonts w:hint="eastAsia" w:ascii="Times New Roman" w:hAnsi="Times New Roman" w:eastAsia="宋体"/>
          <w:sz w:val="22"/>
          <w:szCs w:val="22"/>
          <w:lang w:eastAsia="zh-CN"/>
        </w:rPr>
      </w:pPr>
      <w:r>
        <w:rPr>
          <w:rFonts w:hint="eastAsia" w:ascii="Times New Roman" w:hAnsi="Times New Roman"/>
          <w:sz w:val="22"/>
          <w:szCs w:val="22"/>
        </w:rPr>
        <w:t>1</w:t>
      </w:r>
      <w:r>
        <w:rPr>
          <w:rFonts w:ascii="Times New Roman" w:hAnsi="Times New Roman"/>
          <w:sz w:val="22"/>
          <w:szCs w:val="22"/>
        </w:rPr>
        <w:t>.5.3</w:t>
      </w:r>
      <w:r>
        <w:rPr>
          <w:rFonts w:hint="eastAsia" w:ascii="Times New Roman" w:hAnsi="Times New Roman"/>
          <w:sz w:val="22"/>
          <w:szCs w:val="22"/>
        </w:rPr>
        <w:t>综合评分明细表</w:t>
      </w:r>
      <w:bookmarkEnd w:id="236"/>
      <w:r>
        <w:rPr>
          <w:rFonts w:hint="eastAsia" w:ascii="Times New Roman" w:hAnsi="Times New Roman"/>
          <w:sz w:val="22"/>
          <w:szCs w:val="22"/>
          <w:lang w:eastAsia="zh-CN"/>
        </w:rPr>
        <w:t>（</w:t>
      </w:r>
      <w:r>
        <w:rPr>
          <w:rFonts w:hint="eastAsia" w:ascii="Times New Roman" w:hAnsi="Times New Roman"/>
          <w:sz w:val="22"/>
          <w:szCs w:val="22"/>
          <w:lang w:val="en-US" w:eastAsia="zh-CN"/>
        </w:rPr>
        <w:t>01-02包</w:t>
      </w:r>
      <w:r>
        <w:rPr>
          <w:rFonts w:hint="eastAsia" w:ascii="Times New Roman" w:hAnsi="Times New Roman"/>
          <w:sz w:val="22"/>
          <w:szCs w:val="22"/>
          <w:lang w:eastAsia="zh-CN"/>
        </w:rPr>
        <w:t>）</w:t>
      </w:r>
    </w:p>
    <w:tbl>
      <w:tblPr>
        <w:tblStyle w:val="16"/>
        <w:tblpPr w:leftFromText="180" w:rightFromText="180" w:vertAnchor="text" w:horzAnchor="page" w:tblpX="1798" w:tblpY="460"/>
        <w:tblOverlap w:val="never"/>
        <w:tblW w:w="90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
        <w:gridCol w:w="967"/>
        <w:gridCol w:w="586"/>
        <w:gridCol w:w="3896"/>
        <w:gridCol w:w="2107"/>
        <w:gridCol w:w="1125"/>
      </w:tblGrid>
      <w:tr w14:paraId="6874B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56" w:type="dxa"/>
            <w:vAlign w:val="center"/>
          </w:tcPr>
          <w:p w14:paraId="7E7B6E75">
            <w:pPr>
              <w:jc w:val="center"/>
              <w:rPr>
                <w:sz w:val="22"/>
                <w:szCs w:val="13"/>
              </w:rPr>
            </w:pPr>
            <w:r>
              <w:rPr>
                <w:rFonts w:hint="eastAsia"/>
                <w:sz w:val="22"/>
                <w:szCs w:val="13"/>
              </w:rPr>
              <w:t>序号</w:t>
            </w:r>
          </w:p>
        </w:tc>
        <w:tc>
          <w:tcPr>
            <w:tcW w:w="967" w:type="dxa"/>
          </w:tcPr>
          <w:p w14:paraId="7E6D57A6">
            <w:pPr>
              <w:jc w:val="center"/>
              <w:rPr>
                <w:sz w:val="22"/>
                <w:szCs w:val="13"/>
              </w:rPr>
            </w:pPr>
            <w:r>
              <w:rPr>
                <w:rFonts w:hint="eastAsia"/>
                <w:sz w:val="22"/>
                <w:szCs w:val="13"/>
              </w:rPr>
              <w:t>评分因素及权重</w:t>
            </w:r>
          </w:p>
        </w:tc>
        <w:tc>
          <w:tcPr>
            <w:tcW w:w="586" w:type="dxa"/>
          </w:tcPr>
          <w:p w14:paraId="57C38E88">
            <w:pPr>
              <w:jc w:val="center"/>
              <w:rPr>
                <w:sz w:val="22"/>
                <w:szCs w:val="13"/>
              </w:rPr>
            </w:pPr>
            <w:r>
              <w:rPr>
                <w:rFonts w:hint="eastAsia"/>
                <w:sz w:val="22"/>
                <w:szCs w:val="13"/>
              </w:rPr>
              <w:t>分值</w:t>
            </w:r>
          </w:p>
        </w:tc>
        <w:tc>
          <w:tcPr>
            <w:tcW w:w="3896" w:type="dxa"/>
          </w:tcPr>
          <w:p w14:paraId="3D8B38B9">
            <w:pPr>
              <w:jc w:val="center"/>
              <w:rPr>
                <w:sz w:val="22"/>
                <w:szCs w:val="13"/>
              </w:rPr>
            </w:pPr>
          </w:p>
          <w:p w14:paraId="5BF1193F">
            <w:pPr>
              <w:jc w:val="center"/>
              <w:rPr>
                <w:sz w:val="22"/>
                <w:szCs w:val="13"/>
              </w:rPr>
            </w:pPr>
            <w:r>
              <w:rPr>
                <w:rFonts w:hint="eastAsia"/>
                <w:sz w:val="22"/>
                <w:szCs w:val="13"/>
              </w:rPr>
              <w:t>评分标准</w:t>
            </w:r>
          </w:p>
        </w:tc>
        <w:tc>
          <w:tcPr>
            <w:tcW w:w="2107" w:type="dxa"/>
            <w:vAlign w:val="center"/>
          </w:tcPr>
          <w:p w14:paraId="03C4D13F">
            <w:pPr>
              <w:jc w:val="center"/>
              <w:rPr>
                <w:sz w:val="22"/>
                <w:szCs w:val="13"/>
              </w:rPr>
            </w:pPr>
            <w:r>
              <w:rPr>
                <w:rFonts w:hint="eastAsia"/>
                <w:sz w:val="22"/>
                <w:szCs w:val="13"/>
              </w:rPr>
              <w:t>说明</w:t>
            </w:r>
          </w:p>
        </w:tc>
        <w:tc>
          <w:tcPr>
            <w:tcW w:w="1125" w:type="dxa"/>
            <w:vAlign w:val="center"/>
          </w:tcPr>
          <w:p w14:paraId="33EA1C2A">
            <w:pPr>
              <w:jc w:val="center"/>
              <w:rPr>
                <w:sz w:val="22"/>
                <w:szCs w:val="13"/>
              </w:rPr>
            </w:pPr>
            <w:r>
              <w:rPr>
                <w:rFonts w:hint="eastAsia"/>
                <w:sz w:val="22"/>
                <w:szCs w:val="13"/>
              </w:rPr>
              <w:t>主/客观</w:t>
            </w:r>
          </w:p>
        </w:tc>
      </w:tr>
      <w:tr w14:paraId="68DED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356" w:type="dxa"/>
            <w:vAlign w:val="center"/>
          </w:tcPr>
          <w:p w14:paraId="4DB25486">
            <w:pPr>
              <w:rPr>
                <w:sz w:val="22"/>
                <w:szCs w:val="13"/>
              </w:rPr>
            </w:pPr>
            <w:r>
              <w:rPr>
                <w:sz w:val="22"/>
                <w:szCs w:val="13"/>
              </w:rPr>
              <w:t>1</w:t>
            </w:r>
          </w:p>
        </w:tc>
        <w:tc>
          <w:tcPr>
            <w:tcW w:w="967" w:type="dxa"/>
            <w:vAlign w:val="center"/>
          </w:tcPr>
          <w:p w14:paraId="365FC744">
            <w:pPr>
              <w:rPr>
                <w:sz w:val="22"/>
                <w:szCs w:val="13"/>
              </w:rPr>
            </w:pPr>
            <w:r>
              <w:rPr>
                <w:rFonts w:hint="eastAsia"/>
                <w:sz w:val="22"/>
                <w:szCs w:val="13"/>
              </w:rPr>
              <w:t>价格30%</w:t>
            </w:r>
          </w:p>
        </w:tc>
        <w:tc>
          <w:tcPr>
            <w:tcW w:w="586" w:type="dxa"/>
            <w:vAlign w:val="center"/>
          </w:tcPr>
          <w:p w14:paraId="3BCBD83D">
            <w:pPr>
              <w:jc w:val="center"/>
              <w:rPr>
                <w:sz w:val="22"/>
                <w:szCs w:val="13"/>
              </w:rPr>
            </w:pPr>
            <w:r>
              <w:rPr>
                <w:sz w:val="22"/>
                <w:szCs w:val="13"/>
              </w:rPr>
              <w:t>30</w:t>
            </w:r>
          </w:p>
        </w:tc>
        <w:tc>
          <w:tcPr>
            <w:tcW w:w="3896" w:type="dxa"/>
          </w:tcPr>
          <w:p w14:paraId="483E2E7C">
            <w:pPr>
              <w:rPr>
                <w:sz w:val="22"/>
                <w:szCs w:val="13"/>
              </w:rPr>
            </w:pPr>
          </w:p>
          <w:p w14:paraId="6F0D59C3">
            <w:pPr>
              <w:ind w:firstLine="440" w:firstLineChars="200"/>
              <w:rPr>
                <w:rFonts w:hint="eastAsia"/>
                <w:sz w:val="22"/>
                <w:szCs w:val="13"/>
              </w:rPr>
            </w:pPr>
          </w:p>
          <w:p w14:paraId="09182B58">
            <w:pPr>
              <w:ind w:firstLine="440" w:firstLineChars="200"/>
              <w:rPr>
                <w:sz w:val="22"/>
                <w:szCs w:val="13"/>
              </w:rPr>
            </w:pPr>
            <w:r>
              <w:rPr>
                <w:rFonts w:hint="eastAsia"/>
                <w:sz w:val="22"/>
                <w:szCs w:val="13"/>
              </w:rPr>
              <w:t>以本次最低有效投标报价为基准价，投标报价得分=(基准价／投标报价)×权值×100</w:t>
            </w:r>
          </w:p>
        </w:tc>
        <w:tc>
          <w:tcPr>
            <w:tcW w:w="2107" w:type="dxa"/>
          </w:tcPr>
          <w:p w14:paraId="7E1CE64A">
            <w:pPr>
              <w:rPr>
                <w:sz w:val="22"/>
                <w:szCs w:val="13"/>
              </w:rPr>
            </w:pPr>
            <w:r>
              <w:rPr>
                <w:rFonts w:hint="eastAsia"/>
                <w:sz w:val="22"/>
                <w:szCs w:val="13"/>
              </w:rPr>
              <w:t>对于非专门面向中小企业的项目，对小型和微型企业、监狱福利企业产品的价格给予10%的扣除，用扣除后的价格参与评审；</w:t>
            </w:r>
          </w:p>
        </w:tc>
        <w:tc>
          <w:tcPr>
            <w:tcW w:w="1125" w:type="dxa"/>
            <w:vAlign w:val="center"/>
          </w:tcPr>
          <w:p w14:paraId="6DB7437E">
            <w:pPr>
              <w:jc w:val="center"/>
              <w:rPr>
                <w:rFonts w:hAnsi="宋体" w:cs="宋体"/>
                <w:sz w:val="24"/>
                <w:szCs w:val="16"/>
              </w:rPr>
            </w:pPr>
            <w:r>
              <w:rPr>
                <w:rFonts w:hint="eastAsia"/>
                <w:sz w:val="22"/>
                <w:szCs w:val="13"/>
              </w:rPr>
              <w:t>客观</w:t>
            </w:r>
          </w:p>
        </w:tc>
      </w:tr>
      <w:tr w14:paraId="794C4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6" w:type="dxa"/>
            <w:vAlign w:val="center"/>
          </w:tcPr>
          <w:p w14:paraId="23D4E773">
            <w:pPr>
              <w:rPr>
                <w:sz w:val="22"/>
                <w:szCs w:val="13"/>
              </w:rPr>
            </w:pPr>
            <w:r>
              <w:rPr>
                <w:rFonts w:hint="eastAsia"/>
                <w:sz w:val="22"/>
                <w:szCs w:val="13"/>
              </w:rPr>
              <w:t>2</w:t>
            </w:r>
          </w:p>
        </w:tc>
        <w:tc>
          <w:tcPr>
            <w:tcW w:w="967" w:type="dxa"/>
            <w:vAlign w:val="center"/>
          </w:tcPr>
          <w:p w14:paraId="0C4338C6">
            <w:pPr>
              <w:rPr>
                <w:sz w:val="22"/>
                <w:szCs w:val="13"/>
              </w:rPr>
            </w:pPr>
            <w:r>
              <w:rPr>
                <w:rFonts w:hint="eastAsia"/>
                <w:sz w:val="22"/>
                <w:szCs w:val="13"/>
              </w:rPr>
              <w:t>技术指标和配置</w:t>
            </w:r>
            <w:r>
              <w:rPr>
                <w:rFonts w:hint="eastAsia"/>
                <w:sz w:val="22"/>
                <w:szCs w:val="13"/>
                <w:lang w:val="en-US" w:eastAsia="zh-CN"/>
              </w:rPr>
              <w:t>30</w:t>
            </w:r>
            <w:r>
              <w:rPr>
                <w:rFonts w:hint="eastAsia"/>
                <w:sz w:val="22"/>
                <w:szCs w:val="13"/>
              </w:rPr>
              <w:t xml:space="preserve"> %</w:t>
            </w:r>
          </w:p>
        </w:tc>
        <w:tc>
          <w:tcPr>
            <w:tcW w:w="586" w:type="dxa"/>
            <w:vAlign w:val="center"/>
          </w:tcPr>
          <w:p w14:paraId="117855DB">
            <w:pPr>
              <w:rPr>
                <w:rFonts w:hint="default" w:eastAsia="宋体"/>
                <w:sz w:val="22"/>
                <w:szCs w:val="13"/>
                <w:lang w:val="en-US" w:eastAsia="zh-CN"/>
              </w:rPr>
            </w:pPr>
            <w:r>
              <w:rPr>
                <w:rFonts w:hint="eastAsia"/>
                <w:sz w:val="22"/>
                <w:szCs w:val="13"/>
              </w:rPr>
              <w:t xml:space="preserve"> </w:t>
            </w:r>
            <w:r>
              <w:rPr>
                <w:rFonts w:hint="eastAsia"/>
                <w:sz w:val="22"/>
                <w:szCs w:val="13"/>
                <w:lang w:val="en-US" w:eastAsia="zh-CN"/>
              </w:rPr>
              <w:t>30</w:t>
            </w:r>
          </w:p>
        </w:tc>
        <w:tc>
          <w:tcPr>
            <w:tcW w:w="3896" w:type="dxa"/>
            <w:vAlign w:val="center"/>
          </w:tcPr>
          <w:p w14:paraId="13A16D50">
            <w:pPr>
              <w:rPr>
                <w:sz w:val="22"/>
                <w:szCs w:val="13"/>
              </w:rPr>
            </w:pPr>
          </w:p>
          <w:p w14:paraId="6C87D365">
            <w:pPr>
              <w:ind w:firstLine="240" w:firstLineChars="100"/>
              <w:rPr>
                <w:rFonts w:hint="eastAsia" w:ascii="宋体" w:hAnsi="宋体" w:eastAsia="宋体" w:cs="宋体"/>
                <w:sz w:val="24"/>
                <w:szCs w:val="24"/>
              </w:rPr>
            </w:pPr>
            <w:r>
              <w:rPr>
                <w:rFonts w:hint="eastAsia" w:ascii="宋体" w:hAnsi="宋体" w:eastAsia="宋体" w:cs="宋体"/>
                <w:sz w:val="24"/>
                <w:szCs w:val="24"/>
                <w:highlight w:val="none"/>
                <w:lang w:val="en-US" w:eastAsia="zh-CN"/>
              </w:rPr>
              <w:t>技术</w:t>
            </w:r>
            <w:r>
              <w:rPr>
                <w:rFonts w:hint="eastAsia" w:hAnsi="宋体" w:cs="宋体"/>
                <w:sz w:val="24"/>
                <w:szCs w:val="24"/>
                <w:highlight w:val="none"/>
                <w:lang w:val="en-US" w:eastAsia="zh-CN"/>
              </w:rPr>
              <w:t>参数</w:t>
            </w:r>
            <w:r>
              <w:rPr>
                <w:rFonts w:hint="eastAsia" w:ascii="宋体" w:hAnsi="宋体" w:eastAsia="宋体" w:cs="宋体"/>
                <w:sz w:val="24"/>
                <w:szCs w:val="24"/>
                <w:highlight w:val="none"/>
                <w:lang w:val="en-US" w:eastAsia="zh-CN"/>
              </w:rPr>
              <w:t>要求</w:t>
            </w:r>
            <w:r>
              <w:rPr>
                <w:rFonts w:hint="eastAsia" w:ascii="宋体" w:hAnsi="宋体" w:eastAsia="宋体" w:cs="宋体"/>
                <w:sz w:val="24"/>
                <w:szCs w:val="24"/>
              </w:rPr>
              <w:t>完全符合、响应采购文件要求，没有负偏离的得</w:t>
            </w:r>
            <w:r>
              <w:rPr>
                <w:rFonts w:hint="eastAsia" w:hAnsi="宋体" w:cs="宋体"/>
                <w:sz w:val="24"/>
                <w:szCs w:val="24"/>
                <w:lang w:val="en-US" w:eastAsia="zh-CN"/>
              </w:rPr>
              <w:t>30</w:t>
            </w:r>
            <w:r>
              <w:rPr>
                <w:rFonts w:hint="eastAsia" w:ascii="宋体" w:hAnsi="宋体" w:eastAsia="宋体" w:cs="宋体"/>
                <w:sz w:val="24"/>
                <w:szCs w:val="24"/>
              </w:rPr>
              <w:t>分。</w:t>
            </w:r>
          </w:p>
          <w:p w14:paraId="461EB8D7">
            <w:pPr>
              <w:ind w:firstLine="240" w:firstLineChars="100"/>
              <w:rPr>
                <w:rFonts w:hint="eastAsia" w:ascii="宋体" w:hAnsi="宋体" w:eastAsia="宋体" w:cs="宋体"/>
                <w:sz w:val="24"/>
                <w:szCs w:val="24"/>
              </w:rPr>
            </w:pPr>
            <w:r>
              <w:rPr>
                <w:rFonts w:hint="eastAsia" w:ascii="宋体" w:hAnsi="宋体" w:eastAsia="宋体" w:cs="宋体"/>
                <w:sz w:val="24"/>
                <w:szCs w:val="24"/>
              </w:rPr>
              <w:t>技术参数</w:t>
            </w:r>
            <w:r>
              <w:rPr>
                <w:rFonts w:hint="eastAsia" w:ascii="宋体" w:hAnsi="宋体" w:eastAsia="宋体" w:cs="宋体"/>
                <w:sz w:val="24"/>
                <w:szCs w:val="24"/>
                <w:lang w:val="en-US" w:eastAsia="zh-CN"/>
              </w:rPr>
              <w:t>要求</w:t>
            </w:r>
            <w:r>
              <w:rPr>
                <w:rFonts w:hint="eastAsia" w:ascii="宋体" w:hAnsi="宋体" w:eastAsia="宋体" w:cs="宋体"/>
                <w:sz w:val="24"/>
                <w:szCs w:val="24"/>
              </w:rPr>
              <w:t>中每有一条负偏离扣</w:t>
            </w:r>
            <w:r>
              <w:rPr>
                <w:rFonts w:hint="eastAsia" w:hAnsi="宋体" w:cs="宋体"/>
                <w:sz w:val="24"/>
                <w:szCs w:val="24"/>
                <w:lang w:val="en-US" w:eastAsia="zh-CN"/>
              </w:rPr>
              <w:t>0.5分</w:t>
            </w:r>
            <w:r>
              <w:rPr>
                <w:rFonts w:hint="eastAsia" w:ascii="宋体" w:hAnsi="宋体" w:eastAsia="宋体" w:cs="宋体"/>
                <w:sz w:val="24"/>
                <w:szCs w:val="24"/>
              </w:rPr>
              <w:t>。以上扣分项，扣完为止。</w:t>
            </w:r>
          </w:p>
          <w:p w14:paraId="14EF8A66">
            <w:pPr>
              <w:rPr>
                <w:sz w:val="22"/>
                <w:szCs w:val="13"/>
              </w:rPr>
            </w:pPr>
          </w:p>
        </w:tc>
        <w:tc>
          <w:tcPr>
            <w:tcW w:w="2107" w:type="dxa"/>
            <w:vAlign w:val="center"/>
          </w:tcPr>
          <w:p w14:paraId="0CCE3C26">
            <w:pPr>
              <w:rPr>
                <w:sz w:val="22"/>
                <w:szCs w:val="13"/>
              </w:rPr>
            </w:pPr>
          </w:p>
        </w:tc>
        <w:tc>
          <w:tcPr>
            <w:tcW w:w="1125" w:type="dxa"/>
            <w:vAlign w:val="center"/>
          </w:tcPr>
          <w:p w14:paraId="5DF390EF">
            <w:pPr>
              <w:rPr>
                <w:sz w:val="22"/>
                <w:szCs w:val="13"/>
              </w:rPr>
            </w:pPr>
            <w:r>
              <w:rPr>
                <w:rFonts w:hint="eastAsia"/>
                <w:sz w:val="22"/>
                <w:szCs w:val="13"/>
              </w:rPr>
              <w:t>客观</w:t>
            </w:r>
          </w:p>
        </w:tc>
      </w:tr>
      <w:tr w14:paraId="25C6D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4" w:hRule="atLeast"/>
        </w:trPr>
        <w:tc>
          <w:tcPr>
            <w:tcW w:w="356" w:type="dxa"/>
            <w:vAlign w:val="center"/>
          </w:tcPr>
          <w:p w14:paraId="37AE29BB">
            <w:pPr>
              <w:jc w:val="center"/>
              <w:rPr>
                <w:sz w:val="22"/>
                <w:szCs w:val="13"/>
              </w:rPr>
            </w:pPr>
            <w:r>
              <w:rPr>
                <w:rFonts w:hint="eastAsia"/>
                <w:sz w:val="22"/>
                <w:szCs w:val="13"/>
              </w:rPr>
              <w:t>3</w:t>
            </w:r>
          </w:p>
        </w:tc>
        <w:tc>
          <w:tcPr>
            <w:tcW w:w="967" w:type="dxa"/>
            <w:vAlign w:val="center"/>
          </w:tcPr>
          <w:p w14:paraId="631CE47C">
            <w:pPr>
              <w:jc w:val="center"/>
              <w:rPr>
                <w:sz w:val="22"/>
                <w:szCs w:val="13"/>
              </w:rPr>
            </w:pPr>
            <w:r>
              <w:rPr>
                <w:rFonts w:hint="eastAsia"/>
                <w:sz w:val="22"/>
                <w:szCs w:val="13"/>
              </w:rPr>
              <w:t>实施方案1</w:t>
            </w:r>
            <w:r>
              <w:rPr>
                <w:rFonts w:hint="eastAsia"/>
                <w:sz w:val="22"/>
                <w:szCs w:val="13"/>
                <w:lang w:val="en-US" w:eastAsia="zh-CN"/>
              </w:rPr>
              <w:t>2</w:t>
            </w:r>
            <w:r>
              <w:rPr>
                <w:rFonts w:hint="eastAsia"/>
                <w:sz w:val="22"/>
                <w:szCs w:val="13"/>
              </w:rPr>
              <w:t>%</w:t>
            </w:r>
          </w:p>
        </w:tc>
        <w:tc>
          <w:tcPr>
            <w:tcW w:w="586" w:type="dxa"/>
            <w:vAlign w:val="center"/>
          </w:tcPr>
          <w:p w14:paraId="7FA8B8DF">
            <w:pPr>
              <w:jc w:val="center"/>
              <w:rPr>
                <w:rFonts w:hint="eastAsia" w:eastAsia="宋体"/>
                <w:sz w:val="22"/>
                <w:szCs w:val="13"/>
                <w:lang w:eastAsia="zh-CN"/>
              </w:rPr>
            </w:pPr>
            <w:r>
              <w:rPr>
                <w:rFonts w:hint="eastAsia"/>
                <w:sz w:val="22"/>
                <w:szCs w:val="13"/>
              </w:rPr>
              <w:t xml:space="preserve">  1</w:t>
            </w:r>
            <w:r>
              <w:rPr>
                <w:rFonts w:hint="eastAsia"/>
                <w:sz w:val="22"/>
                <w:szCs w:val="13"/>
                <w:lang w:val="en-US" w:eastAsia="zh-CN"/>
              </w:rPr>
              <w:t>2</w:t>
            </w:r>
          </w:p>
        </w:tc>
        <w:tc>
          <w:tcPr>
            <w:tcW w:w="3896" w:type="dxa"/>
            <w:vAlign w:val="center"/>
          </w:tcPr>
          <w:p w14:paraId="215DB7CC">
            <w:pPr>
              <w:pStyle w:val="7"/>
              <w:ind w:firstLine="480" w:firstLineChars="200"/>
              <w:rPr>
                <w:sz w:val="22"/>
                <w:szCs w:val="13"/>
                <w:lang w:eastAsia="zh-TW"/>
              </w:rPr>
            </w:pPr>
            <w:r>
              <w:rPr>
                <w:rFonts w:hint="eastAsia" w:asciiTheme="minorEastAsia" w:hAnsiTheme="minorEastAsia" w:eastAsiaTheme="minorEastAsia" w:cstheme="minorEastAsia"/>
                <w:color w:val="auto"/>
                <w:sz w:val="24"/>
                <w:szCs w:val="24"/>
                <w:highlight w:val="none"/>
                <w:lang w:val="en-US" w:eastAsia="zh-CN"/>
              </w:rPr>
              <w:t>提供项目实施方案至少包括：①</w:t>
            </w:r>
            <w:r>
              <w:rPr>
                <w:rFonts w:hint="eastAsia" w:ascii="宋体" w:hAnsi="宋体" w:eastAsia="宋体" w:cs="宋体"/>
                <w:sz w:val="24"/>
                <w:szCs w:val="24"/>
                <w:highlight w:val="none"/>
                <w:lang w:val="en-US" w:eastAsia="zh-CN"/>
              </w:rPr>
              <w:t>实施计划安排</w:t>
            </w:r>
            <w:r>
              <w:rPr>
                <w:rFonts w:hint="eastAsia" w:asciiTheme="minorEastAsia" w:hAnsiTheme="minorEastAsia" w:eastAsiaTheme="minorEastAsia" w:cstheme="minorEastAsia"/>
                <w:color w:val="auto"/>
                <w:sz w:val="24"/>
                <w:szCs w:val="24"/>
                <w:highlight w:val="none"/>
                <w:lang w:val="en-US" w:eastAsia="zh-CN"/>
              </w:rPr>
              <w:t>：②</w:t>
            </w:r>
            <w:r>
              <w:rPr>
                <w:rFonts w:hint="eastAsia" w:ascii="宋体" w:hAnsi="宋体" w:eastAsia="宋体" w:cs="宋体"/>
                <w:sz w:val="24"/>
                <w:szCs w:val="24"/>
                <w:highlight w:val="none"/>
                <w:lang w:val="en-US" w:eastAsia="zh-CN"/>
              </w:rPr>
              <w:t>项目实施</w:t>
            </w:r>
            <w:r>
              <w:rPr>
                <w:rFonts w:hint="eastAsia" w:ascii="宋体" w:hAnsi="宋体" w:eastAsia="宋体" w:cs="宋体"/>
                <w:sz w:val="24"/>
                <w:szCs w:val="24"/>
                <w:highlight w:val="none"/>
              </w:rPr>
              <w:t>步骤</w:t>
            </w:r>
            <w:r>
              <w:rPr>
                <w:rFonts w:hint="eastAsia" w:asciiTheme="minorEastAsia" w:hAnsiTheme="minorEastAsia" w:eastAsiaTheme="minorEastAsia" w:cstheme="minorEastAsia"/>
                <w:color w:val="auto"/>
                <w:sz w:val="24"/>
                <w:szCs w:val="24"/>
                <w:highlight w:val="none"/>
                <w:lang w:val="en-US" w:eastAsia="zh-CN"/>
              </w:rPr>
              <w:t>；③</w:t>
            </w:r>
            <w:r>
              <w:rPr>
                <w:rFonts w:hint="eastAsia" w:ascii="宋体" w:hAnsi="宋体" w:eastAsia="宋体" w:cs="宋体"/>
                <w:sz w:val="24"/>
                <w:szCs w:val="24"/>
                <w:highlight w:val="none"/>
                <w:lang w:val="en-US" w:eastAsia="zh-CN"/>
              </w:rPr>
              <w:t>项目管理</w:t>
            </w:r>
            <w:r>
              <w:rPr>
                <w:rFonts w:hint="eastAsia" w:ascii="宋体" w:hAnsi="宋体" w:eastAsia="宋体" w:cs="宋体"/>
                <w:sz w:val="24"/>
                <w:szCs w:val="24"/>
                <w:highlight w:val="none"/>
              </w:rPr>
              <w:t>方案</w:t>
            </w:r>
            <w:r>
              <w:rPr>
                <w:rFonts w:hint="eastAsia" w:ascii="宋体" w:hAnsi="宋体" w:eastAsia="宋体" w:cs="宋体"/>
                <w:sz w:val="24"/>
                <w:szCs w:val="24"/>
                <w:highlight w:val="none"/>
                <w:lang w:eastAsia="zh-CN"/>
              </w:rPr>
              <w:t>；</w:t>
            </w:r>
            <w:r>
              <w:rPr>
                <w:rFonts w:hint="eastAsia" w:hAnsi="宋体" w:cs="宋体"/>
                <w:sz w:val="24"/>
                <w:szCs w:val="24"/>
                <w:highlight w:val="none"/>
                <w:lang w:val="en-US" w:eastAsia="zh-CN"/>
              </w:rPr>
              <w:t>④</w:t>
            </w:r>
            <w:r>
              <w:rPr>
                <w:rFonts w:hint="eastAsia" w:ascii="宋体" w:hAnsi="宋体" w:eastAsia="宋体" w:cs="宋体"/>
                <w:sz w:val="24"/>
                <w:szCs w:val="24"/>
                <w:highlight w:val="none"/>
                <w:lang w:val="en-US" w:eastAsia="zh-CN"/>
              </w:rPr>
              <w:t>项目保障方案</w:t>
            </w:r>
            <w:r>
              <w:rPr>
                <w:rFonts w:hint="eastAsia" w:asciiTheme="minorEastAsia" w:hAnsiTheme="minorEastAsia" w:eastAsiaTheme="minorEastAsia" w:cstheme="minorEastAsia"/>
                <w:color w:val="auto"/>
                <w:sz w:val="24"/>
                <w:szCs w:val="24"/>
                <w:highlight w:val="none"/>
                <w:lang w:val="en-US" w:eastAsia="zh-CN"/>
              </w:rPr>
              <w:t>。方案内容完全响应磋商文件要求的得12分；方案中每有一项内容缺失扣3分，方案内容要素中每存在一处缺陷扣1分，该分项分值扣完为止。 注：缺陷是指：存在项目名称错误、地点区域错误、内容与本项目需求无关、方案内容矛盾、仅有框架或标题、适用的标准（方法）错误、明显复制其他项目内容等任意一种情形。</w:t>
            </w:r>
          </w:p>
        </w:tc>
        <w:tc>
          <w:tcPr>
            <w:tcW w:w="2107" w:type="dxa"/>
            <w:vAlign w:val="center"/>
          </w:tcPr>
          <w:p w14:paraId="2F45E27A">
            <w:pPr>
              <w:rPr>
                <w:sz w:val="22"/>
                <w:szCs w:val="13"/>
              </w:rPr>
            </w:pPr>
          </w:p>
        </w:tc>
        <w:tc>
          <w:tcPr>
            <w:tcW w:w="1125" w:type="dxa"/>
            <w:vAlign w:val="center"/>
          </w:tcPr>
          <w:p w14:paraId="0D0E0B5A">
            <w:pPr>
              <w:jc w:val="center"/>
              <w:rPr>
                <w:sz w:val="22"/>
                <w:szCs w:val="13"/>
              </w:rPr>
            </w:pPr>
            <w:r>
              <w:rPr>
                <w:rFonts w:hint="eastAsia"/>
                <w:sz w:val="22"/>
                <w:szCs w:val="13"/>
              </w:rPr>
              <w:t>主观</w:t>
            </w:r>
          </w:p>
        </w:tc>
      </w:tr>
      <w:tr w14:paraId="0471D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356" w:type="dxa"/>
            <w:shd w:val="clear" w:color="auto" w:fill="auto"/>
            <w:vAlign w:val="center"/>
          </w:tcPr>
          <w:p w14:paraId="12AB1FA1">
            <w:pPr>
              <w:jc w:val="center"/>
              <w:rPr>
                <w:sz w:val="22"/>
                <w:szCs w:val="13"/>
              </w:rPr>
            </w:pPr>
            <w:r>
              <w:rPr>
                <w:rFonts w:hint="eastAsia"/>
                <w:sz w:val="22"/>
                <w:szCs w:val="13"/>
              </w:rPr>
              <w:t>4</w:t>
            </w:r>
          </w:p>
        </w:tc>
        <w:tc>
          <w:tcPr>
            <w:tcW w:w="967" w:type="dxa"/>
            <w:shd w:val="clear" w:color="auto" w:fill="auto"/>
            <w:vAlign w:val="center"/>
          </w:tcPr>
          <w:p w14:paraId="2B241094">
            <w:pPr>
              <w:jc w:val="center"/>
              <w:rPr>
                <w:sz w:val="22"/>
                <w:szCs w:val="13"/>
              </w:rPr>
            </w:pPr>
            <w:r>
              <w:rPr>
                <w:rFonts w:hint="eastAsia"/>
                <w:sz w:val="22"/>
                <w:szCs w:val="13"/>
              </w:rPr>
              <w:t xml:space="preserve">业绩 </w:t>
            </w:r>
            <w:r>
              <w:rPr>
                <w:rFonts w:hint="eastAsia"/>
                <w:sz w:val="22"/>
                <w:szCs w:val="13"/>
                <w:lang w:val="en-US" w:eastAsia="zh-CN"/>
              </w:rPr>
              <w:t>10</w:t>
            </w:r>
            <w:r>
              <w:rPr>
                <w:sz w:val="22"/>
                <w:szCs w:val="13"/>
              </w:rPr>
              <w:t>%</w:t>
            </w:r>
          </w:p>
        </w:tc>
        <w:tc>
          <w:tcPr>
            <w:tcW w:w="586" w:type="dxa"/>
            <w:shd w:val="clear" w:color="auto" w:fill="FFFFFF"/>
            <w:vAlign w:val="center"/>
          </w:tcPr>
          <w:p w14:paraId="68B19E06">
            <w:pPr>
              <w:jc w:val="center"/>
              <w:rPr>
                <w:rFonts w:hint="default" w:eastAsia="宋体"/>
                <w:sz w:val="22"/>
                <w:szCs w:val="13"/>
                <w:lang w:val="en-US" w:eastAsia="zh-CN"/>
              </w:rPr>
            </w:pPr>
            <w:r>
              <w:rPr>
                <w:rFonts w:hint="eastAsia"/>
                <w:sz w:val="22"/>
                <w:szCs w:val="13"/>
                <w:lang w:val="en-US" w:eastAsia="zh-CN"/>
              </w:rPr>
              <w:t>10</w:t>
            </w:r>
          </w:p>
        </w:tc>
        <w:tc>
          <w:tcPr>
            <w:tcW w:w="3896" w:type="dxa"/>
            <w:shd w:val="clear" w:color="auto" w:fill="FFFFFF"/>
            <w:vAlign w:val="center"/>
          </w:tcPr>
          <w:p w14:paraId="5D70C0E6">
            <w:pPr>
              <w:ind w:firstLine="440" w:firstLineChars="200"/>
              <w:rPr>
                <w:sz w:val="22"/>
                <w:szCs w:val="13"/>
              </w:rPr>
            </w:pPr>
            <w:r>
              <w:rPr>
                <w:rFonts w:hint="eastAsia"/>
                <w:sz w:val="22"/>
                <w:szCs w:val="13"/>
              </w:rPr>
              <w:t>提供2022年01月01日至投标截止时间同类业绩（以合同签订时间为准），每提供1个得</w:t>
            </w:r>
            <w:r>
              <w:rPr>
                <w:rFonts w:hint="eastAsia"/>
                <w:sz w:val="22"/>
                <w:szCs w:val="13"/>
                <w:lang w:val="en-US" w:eastAsia="zh-CN"/>
              </w:rPr>
              <w:t>2</w:t>
            </w:r>
            <w:r>
              <w:rPr>
                <w:rFonts w:hint="eastAsia"/>
                <w:sz w:val="22"/>
                <w:szCs w:val="13"/>
              </w:rPr>
              <w:t xml:space="preserve">分，最高得 </w:t>
            </w:r>
            <w:r>
              <w:rPr>
                <w:rFonts w:hint="eastAsia"/>
                <w:sz w:val="22"/>
                <w:szCs w:val="13"/>
                <w:lang w:val="en-US" w:eastAsia="zh-CN"/>
              </w:rPr>
              <w:t>10</w:t>
            </w:r>
            <w:r>
              <w:rPr>
                <w:rFonts w:hint="eastAsia"/>
                <w:sz w:val="22"/>
                <w:szCs w:val="13"/>
              </w:rPr>
              <w:t>分。（供应商自己实施的）</w:t>
            </w:r>
          </w:p>
        </w:tc>
        <w:tc>
          <w:tcPr>
            <w:tcW w:w="2107" w:type="dxa"/>
            <w:vAlign w:val="center"/>
          </w:tcPr>
          <w:p w14:paraId="225BADED">
            <w:pPr>
              <w:jc w:val="center"/>
              <w:rPr>
                <w:sz w:val="22"/>
                <w:szCs w:val="13"/>
              </w:rPr>
            </w:pPr>
            <w:r>
              <w:rPr>
                <w:rFonts w:hint="eastAsia"/>
                <w:sz w:val="22"/>
                <w:szCs w:val="13"/>
              </w:rPr>
              <w:t>需提供合同复印件</w:t>
            </w:r>
          </w:p>
        </w:tc>
        <w:tc>
          <w:tcPr>
            <w:tcW w:w="1125" w:type="dxa"/>
            <w:vAlign w:val="center"/>
          </w:tcPr>
          <w:p w14:paraId="57B4656F">
            <w:pPr>
              <w:jc w:val="center"/>
              <w:rPr>
                <w:sz w:val="22"/>
                <w:szCs w:val="13"/>
              </w:rPr>
            </w:pPr>
            <w:r>
              <w:rPr>
                <w:rFonts w:hint="eastAsia"/>
                <w:sz w:val="22"/>
                <w:szCs w:val="13"/>
              </w:rPr>
              <w:t>客观</w:t>
            </w:r>
          </w:p>
        </w:tc>
      </w:tr>
      <w:tr w14:paraId="2152C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56" w:type="dxa"/>
            <w:vAlign w:val="center"/>
          </w:tcPr>
          <w:p w14:paraId="22EC9B2C">
            <w:pPr>
              <w:jc w:val="center"/>
              <w:rPr>
                <w:color w:val="000000"/>
                <w:sz w:val="22"/>
                <w:szCs w:val="13"/>
              </w:rPr>
            </w:pPr>
            <w:r>
              <w:rPr>
                <w:color w:val="000000"/>
                <w:sz w:val="22"/>
                <w:szCs w:val="13"/>
              </w:rPr>
              <w:t>5</w:t>
            </w:r>
          </w:p>
        </w:tc>
        <w:tc>
          <w:tcPr>
            <w:tcW w:w="967" w:type="dxa"/>
            <w:vAlign w:val="center"/>
          </w:tcPr>
          <w:p w14:paraId="38E9B41D">
            <w:pPr>
              <w:jc w:val="center"/>
              <w:rPr>
                <w:color w:val="000000"/>
                <w:sz w:val="22"/>
                <w:szCs w:val="13"/>
              </w:rPr>
            </w:pPr>
            <w:r>
              <w:rPr>
                <w:rFonts w:hint="eastAsia" w:asciiTheme="minorEastAsia" w:hAnsiTheme="minorEastAsia" w:eastAsiaTheme="minorEastAsia" w:cstheme="minorEastAsia"/>
                <w:color w:val="auto"/>
                <w:sz w:val="24"/>
                <w:szCs w:val="24"/>
                <w:highlight w:val="none"/>
                <w:lang w:val="en-US" w:eastAsia="zh-CN"/>
              </w:rPr>
              <w:t>培训方案12%</w:t>
            </w:r>
          </w:p>
        </w:tc>
        <w:tc>
          <w:tcPr>
            <w:tcW w:w="586" w:type="dxa"/>
            <w:vAlign w:val="center"/>
          </w:tcPr>
          <w:p w14:paraId="3C02F11B">
            <w:pPr>
              <w:jc w:val="center"/>
              <w:rPr>
                <w:rFonts w:hint="default" w:eastAsia="宋体"/>
                <w:color w:val="000000"/>
                <w:sz w:val="22"/>
                <w:szCs w:val="13"/>
                <w:lang w:val="en-US" w:eastAsia="zh-CN"/>
              </w:rPr>
            </w:pPr>
            <w:r>
              <w:rPr>
                <w:rFonts w:hint="eastAsia"/>
                <w:color w:val="000000"/>
                <w:sz w:val="22"/>
                <w:szCs w:val="13"/>
                <w:lang w:val="en-US" w:eastAsia="zh-CN"/>
              </w:rPr>
              <w:t>12</w:t>
            </w:r>
          </w:p>
        </w:tc>
        <w:tc>
          <w:tcPr>
            <w:tcW w:w="3896" w:type="dxa"/>
          </w:tcPr>
          <w:p w14:paraId="7CAECF23">
            <w:pPr>
              <w:ind w:firstLine="480" w:firstLineChars="200"/>
              <w:rPr>
                <w:color w:val="000000"/>
                <w:sz w:val="22"/>
                <w:szCs w:val="13"/>
              </w:rPr>
            </w:pPr>
            <w:r>
              <w:rPr>
                <w:rFonts w:hint="eastAsia" w:asciiTheme="minorEastAsia" w:hAnsiTheme="minorEastAsia" w:eastAsiaTheme="minorEastAsia" w:cstheme="minorEastAsia"/>
                <w:color w:val="auto"/>
                <w:sz w:val="24"/>
                <w:szCs w:val="24"/>
                <w:highlight w:val="none"/>
                <w:lang w:val="en-US" w:eastAsia="zh-CN"/>
              </w:rPr>
              <w:t>提供完整、可行的培训方案至少包括：①具体培训方式；②培训时间、地点安排；③</w:t>
            </w:r>
            <w:r>
              <w:rPr>
                <w:rFonts w:hint="eastAsia" w:ascii="宋体" w:hAnsi="宋体" w:eastAsia="宋体" w:cs="宋体"/>
                <w:sz w:val="24"/>
                <w:szCs w:val="24"/>
                <w:highlight w:val="none"/>
                <w:lang w:val="en-US" w:eastAsia="zh-CN"/>
              </w:rPr>
              <w:t>培训效果保障</w:t>
            </w:r>
            <w:r>
              <w:rPr>
                <w:rFonts w:hint="eastAsia" w:asciiTheme="minorEastAsia" w:hAnsiTheme="minorEastAsia" w:eastAsiaTheme="minorEastAsia" w:cstheme="minorEastAsia"/>
                <w:color w:val="auto"/>
                <w:sz w:val="24"/>
                <w:szCs w:val="24"/>
                <w:highlight w:val="none"/>
                <w:lang w:val="en-US" w:eastAsia="zh-CN"/>
              </w:rPr>
              <w:t>；④培训内容安排情况。方案内容完全响应磋商文件要求的得12分；方案中每有一项内容缺失扣3分，方案内容要素中每存在一处缺陷扣0.5分，该分项分值扣完为止。 注：缺陷是指：存在项目名称错误、地点区域错误、内容与本项目需求无关、方案内容矛盾或表述前后不一致、仅有框架或标题、适用的标准（方法）错误、明显复制其他项目内容等任意一种情形。</w:t>
            </w:r>
          </w:p>
        </w:tc>
        <w:tc>
          <w:tcPr>
            <w:tcW w:w="2107" w:type="dxa"/>
            <w:vAlign w:val="center"/>
          </w:tcPr>
          <w:p w14:paraId="4885B21E">
            <w:pPr>
              <w:rPr>
                <w:sz w:val="22"/>
                <w:szCs w:val="13"/>
              </w:rPr>
            </w:pPr>
            <w:r>
              <w:rPr>
                <w:rFonts w:hint="eastAsia"/>
                <w:sz w:val="22"/>
                <w:szCs w:val="13"/>
              </w:rPr>
              <w:t>提供详细的培训方案。</w:t>
            </w:r>
          </w:p>
        </w:tc>
        <w:tc>
          <w:tcPr>
            <w:tcW w:w="1125" w:type="dxa"/>
            <w:vAlign w:val="center"/>
          </w:tcPr>
          <w:p w14:paraId="46F371A9">
            <w:pPr>
              <w:jc w:val="center"/>
              <w:rPr>
                <w:sz w:val="22"/>
                <w:szCs w:val="13"/>
              </w:rPr>
            </w:pPr>
            <w:r>
              <w:rPr>
                <w:rFonts w:hint="eastAsia"/>
                <w:sz w:val="22"/>
                <w:szCs w:val="13"/>
              </w:rPr>
              <w:t>主观</w:t>
            </w:r>
          </w:p>
        </w:tc>
      </w:tr>
      <w:tr w14:paraId="26395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trPr>
        <w:tc>
          <w:tcPr>
            <w:tcW w:w="356" w:type="dxa"/>
            <w:vAlign w:val="center"/>
          </w:tcPr>
          <w:p w14:paraId="4B2BA951">
            <w:pPr>
              <w:rPr>
                <w:sz w:val="32"/>
                <w:szCs w:val="11"/>
              </w:rPr>
            </w:pPr>
            <w:r>
              <w:rPr>
                <w:rFonts w:hint="eastAsia"/>
                <w:color w:val="000000"/>
                <w:sz w:val="22"/>
                <w:szCs w:val="13"/>
              </w:rPr>
              <w:t>6</w:t>
            </w:r>
          </w:p>
        </w:tc>
        <w:tc>
          <w:tcPr>
            <w:tcW w:w="967" w:type="dxa"/>
            <w:vAlign w:val="center"/>
          </w:tcPr>
          <w:p w14:paraId="0133A9E6">
            <w:pPr>
              <w:rPr>
                <w:sz w:val="32"/>
                <w:szCs w:val="11"/>
              </w:rPr>
            </w:pPr>
            <w:r>
              <w:rPr>
                <w:rFonts w:hint="eastAsia"/>
                <w:color w:val="000000"/>
                <w:sz w:val="22"/>
                <w:szCs w:val="13"/>
              </w:rPr>
              <w:t>售后服务</w:t>
            </w:r>
            <w:r>
              <w:rPr>
                <w:rFonts w:hint="eastAsia"/>
                <w:color w:val="000000"/>
                <w:sz w:val="22"/>
                <w:szCs w:val="13"/>
                <w:lang w:val="en-US" w:eastAsia="zh-CN"/>
              </w:rPr>
              <w:t>6</w:t>
            </w:r>
            <w:r>
              <w:rPr>
                <w:rFonts w:hint="eastAsia"/>
                <w:color w:val="000000"/>
                <w:sz w:val="22"/>
                <w:szCs w:val="13"/>
              </w:rPr>
              <w:t>%</w:t>
            </w:r>
          </w:p>
        </w:tc>
        <w:tc>
          <w:tcPr>
            <w:tcW w:w="586" w:type="dxa"/>
            <w:vAlign w:val="center"/>
          </w:tcPr>
          <w:p w14:paraId="303B969C">
            <w:pPr>
              <w:rPr>
                <w:rFonts w:hint="default" w:eastAsia="宋体"/>
                <w:sz w:val="32"/>
                <w:szCs w:val="11"/>
                <w:lang w:val="en-US" w:eastAsia="zh-CN"/>
              </w:rPr>
            </w:pPr>
            <w:r>
              <w:rPr>
                <w:rFonts w:hint="eastAsia" w:ascii="Times New Roman"/>
                <w:color w:val="000000"/>
                <w:kern w:val="2"/>
                <w:sz w:val="22"/>
                <w:szCs w:val="13"/>
              </w:rPr>
              <w:t xml:space="preserve"> </w:t>
            </w:r>
            <w:r>
              <w:rPr>
                <w:rFonts w:hint="eastAsia" w:ascii="Times New Roman"/>
                <w:color w:val="000000"/>
                <w:kern w:val="2"/>
                <w:sz w:val="22"/>
                <w:szCs w:val="13"/>
                <w:lang w:val="en-US" w:eastAsia="zh-CN"/>
              </w:rPr>
              <w:t>6</w:t>
            </w:r>
          </w:p>
        </w:tc>
        <w:tc>
          <w:tcPr>
            <w:tcW w:w="3896" w:type="dxa"/>
          </w:tcPr>
          <w:p w14:paraId="6BCBFAAA">
            <w:pPr>
              <w:pStyle w:val="7"/>
              <w:ind w:firstLine="480" w:firstLineChars="200"/>
              <w:rPr>
                <w:szCs w:val="11"/>
              </w:rPr>
            </w:pPr>
            <w:r>
              <w:rPr>
                <w:rFonts w:hint="eastAsia" w:asciiTheme="minorEastAsia" w:hAnsiTheme="minorEastAsia" w:eastAsiaTheme="minorEastAsia" w:cstheme="minorEastAsia"/>
                <w:color w:val="auto"/>
                <w:sz w:val="24"/>
                <w:szCs w:val="24"/>
                <w:highlight w:val="none"/>
                <w:lang w:val="en-US" w:eastAsia="zh-CN"/>
              </w:rPr>
              <w:t>提供详细完整的售后服务方案。至少包括：①</w:t>
            </w:r>
            <w:r>
              <w:rPr>
                <w:rFonts w:hint="eastAsia" w:ascii="宋体" w:hAnsi="宋体" w:eastAsia="宋体" w:cs="宋体"/>
                <w:sz w:val="24"/>
                <w:szCs w:val="24"/>
                <w:highlight w:val="none"/>
              </w:rPr>
              <w:t>售后</w:t>
            </w:r>
            <w:r>
              <w:rPr>
                <w:rFonts w:hint="eastAsia" w:hAnsi="宋体" w:cs="宋体"/>
                <w:sz w:val="24"/>
                <w:szCs w:val="24"/>
                <w:highlight w:val="none"/>
                <w:lang w:val="en-US" w:eastAsia="zh-CN"/>
              </w:rPr>
              <w:t>人员配置</w:t>
            </w:r>
            <w:r>
              <w:rPr>
                <w:rFonts w:hint="eastAsia" w:asciiTheme="minorEastAsia" w:hAnsiTheme="minorEastAsia" w:eastAsiaTheme="minorEastAsia" w:cstheme="minorEastAsia"/>
                <w:color w:val="auto"/>
                <w:sz w:val="24"/>
                <w:szCs w:val="24"/>
                <w:highlight w:val="none"/>
                <w:lang w:val="en-US" w:eastAsia="zh-CN"/>
              </w:rPr>
              <w:t>；②</w:t>
            </w:r>
            <w:r>
              <w:rPr>
                <w:rFonts w:hint="eastAsia" w:ascii="宋体" w:hAnsi="宋体" w:eastAsia="宋体" w:cs="宋体"/>
                <w:sz w:val="24"/>
                <w:szCs w:val="24"/>
                <w:highlight w:val="none"/>
                <w:lang w:val="en-US" w:eastAsia="zh-CN"/>
              </w:rPr>
              <w:t>服务保障措施</w:t>
            </w:r>
            <w:r>
              <w:rPr>
                <w:rFonts w:hint="eastAsia" w:asciiTheme="minorEastAsia" w:hAnsiTheme="minorEastAsia" w:eastAsiaTheme="minorEastAsia" w:cstheme="minorEastAsia"/>
                <w:color w:val="auto"/>
                <w:sz w:val="24"/>
                <w:szCs w:val="24"/>
                <w:highlight w:val="none"/>
                <w:lang w:val="en-US" w:eastAsia="zh-CN"/>
              </w:rPr>
              <w:t>；③</w:t>
            </w:r>
            <w:r>
              <w:rPr>
                <w:rFonts w:hint="eastAsia" w:ascii="宋体" w:hAnsi="宋体" w:eastAsia="宋体" w:cs="宋体"/>
                <w:sz w:val="24"/>
                <w:szCs w:val="24"/>
                <w:highlight w:val="none"/>
              </w:rPr>
              <w:t>本地化服务</w:t>
            </w:r>
            <w:r>
              <w:rPr>
                <w:rFonts w:hint="eastAsia" w:ascii="宋体" w:hAnsi="宋体" w:eastAsia="宋体" w:cs="宋体"/>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方案内容完全响应磋商文件要求的得6分；方案中每有一项内容缺失扣2分，方案内容要素中每存在一处缺陷扣1分，该分项分值扣完为止。注：缺陷是指：存在项目名称错误、地点区域错误、内容与本项目需求无关、方案内容矛盾、仅有框架或标题、适用的标准（方法）错误、明显复制其他项目内容等任意一种情形。</w:t>
            </w:r>
          </w:p>
        </w:tc>
        <w:tc>
          <w:tcPr>
            <w:tcW w:w="2107" w:type="dxa"/>
            <w:vAlign w:val="center"/>
          </w:tcPr>
          <w:p w14:paraId="3749B24C">
            <w:pPr>
              <w:rPr>
                <w:sz w:val="32"/>
                <w:szCs w:val="11"/>
              </w:rPr>
            </w:pPr>
          </w:p>
        </w:tc>
        <w:tc>
          <w:tcPr>
            <w:tcW w:w="1125" w:type="dxa"/>
            <w:vAlign w:val="center"/>
          </w:tcPr>
          <w:p w14:paraId="2CB4A74F">
            <w:pPr>
              <w:jc w:val="center"/>
              <w:rPr>
                <w:sz w:val="32"/>
                <w:szCs w:val="11"/>
              </w:rPr>
            </w:pPr>
            <w:r>
              <w:rPr>
                <w:rFonts w:hint="eastAsia" w:ascii="Times New Roman"/>
                <w:color w:val="000000"/>
                <w:kern w:val="2"/>
                <w:sz w:val="22"/>
                <w:szCs w:val="13"/>
              </w:rPr>
              <w:t>主观</w:t>
            </w:r>
          </w:p>
        </w:tc>
      </w:tr>
    </w:tbl>
    <w:p w14:paraId="4E3FD6F7">
      <w:pPr>
        <w:jc w:val="center"/>
        <w:rPr>
          <w:rFonts w:ascii="Times New Roman" w:hAnsi="Times New Roman"/>
          <w:sz w:val="36"/>
          <w:szCs w:val="18"/>
        </w:rPr>
      </w:pPr>
      <w:bookmarkStart w:id="237" w:name="_Toc3642"/>
      <w:bookmarkStart w:id="238" w:name="_Toc15495"/>
      <w:r>
        <w:rPr>
          <w:rFonts w:hint="eastAsia" w:ascii="Times New Roman" w:hAnsi="Times New Roman"/>
          <w:sz w:val="36"/>
          <w:szCs w:val="20"/>
        </w:rPr>
        <w:t>第八章</w:t>
      </w:r>
      <w:r>
        <w:rPr>
          <w:rFonts w:ascii="Times New Roman" w:hAnsi="Times New Roman"/>
          <w:sz w:val="36"/>
          <w:szCs w:val="20"/>
        </w:rPr>
        <w:t xml:space="preserve">  </w:t>
      </w:r>
      <w:r>
        <w:rPr>
          <w:rFonts w:hint="eastAsia" w:ascii="Times New Roman" w:hAnsi="Times New Roman"/>
          <w:sz w:val="36"/>
          <w:szCs w:val="20"/>
        </w:rPr>
        <w:t>合同条款（仅供参考）</w:t>
      </w:r>
      <w:bookmarkEnd w:id="235"/>
      <w:bookmarkEnd w:id="237"/>
      <w:bookmarkEnd w:id="238"/>
    </w:p>
    <w:p w14:paraId="207F06C4">
      <w:pPr>
        <w:tabs>
          <w:tab w:val="left" w:pos="6480"/>
        </w:tabs>
        <w:rPr>
          <w:rFonts w:ascii="仿宋" w:hAnsi="仿宋" w:eastAsia="仿宋"/>
          <w:sz w:val="22"/>
          <w:szCs w:val="21"/>
        </w:rPr>
      </w:pPr>
    </w:p>
    <w:p w14:paraId="2D923A16">
      <w:pPr>
        <w:tabs>
          <w:tab w:val="left" w:pos="6480"/>
        </w:tabs>
        <w:rPr>
          <w:rFonts w:ascii="仿宋" w:hAnsi="仿宋" w:eastAsia="仿宋"/>
          <w:sz w:val="22"/>
          <w:szCs w:val="21"/>
        </w:rPr>
      </w:pPr>
      <w:r>
        <w:rPr>
          <w:rFonts w:hint="eastAsia" w:ascii="仿宋" w:hAnsi="仿宋" w:eastAsia="仿宋"/>
          <w:sz w:val="22"/>
          <w:szCs w:val="21"/>
        </w:rPr>
        <w:t>使用单位：                      经费来源：</w:t>
      </w:r>
    </w:p>
    <w:p w14:paraId="6D2175CB">
      <w:pPr>
        <w:tabs>
          <w:tab w:val="left" w:pos="6480"/>
        </w:tabs>
        <w:rPr>
          <w:rFonts w:ascii="仿宋" w:hAnsi="仿宋" w:eastAsia="仿宋"/>
          <w:sz w:val="22"/>
          <w:szCs w:val="21"/>
        </w:rPr>
      </w:pPr>
      <w:r>
        <w:rPr>
          <w:rFonts w:hint="eastAsia" w:ascii="仿宋" w:hAnsi="仿宋" w:eastAsia="仿宋"/>
          <w:sz w:val="22"/>
          <w:szCs w:val="21"/>
        </w:rPr>
        <w:t>计划编号：                      合同编号：招标编号-GN</w:t>
      </w:r>
    </w:p>
    <w:p w14:paraId="6D0F2D5A">
      <w:pPr>
        <w:jc w:val="center"/>
        <w:rPr>
          <w:rFonts w:hint="eastAsia"/>
        </w:rPr>
      </w:pPr>
      <w:bookmarkStart w:id="239" w:name="_Toc25561"/>
    </w:p>
    <w:p w14:paraId="0036DE1C">
      <w:pPr>
        <w:jc w:val="center"/>
        <w:rPr>
          <w:rFonts w:ascii="仿宋" w:hAnsi="仿宋" w:eastAsia="仿宋"/>
          <w:szCs w:val="28"/>
        </w:rPr>
      </w:pPr>
      <w:r>
        <w:rPr>
          <w:rFonts w:hint="eastAsia"/>
        </w:rPr>
        <w:t>国产货物采购合同书</w:t>
      </w:r>
      <w:bookmarkEnd w:id="239"/>
    </w:p>
    <w:p w14:paraId="11C5667D">
      <w:pPr>
        <w:spacing w:line="480" w:lineRule="exact"/>
        <w:rPr>
          <w:rFonts w:hint="eastAsia" w:ascii="仿宋" w:hAnsi="仿宋" w:eastAsia="仿宋"/>
          <w:b/>
          <w:bCs/>
          <w:sz w:val="24"/>
          <w:szCs w:val="21"/>
          <w:lang w:eastAsia="zh-CN"/>
        </w:rPr>
      </w:pPr>
      <w:r>
        <w:rPr>
          <w:rFonts w:hint="eastAsia" w:ascii="仿宋" w:hAnsi="仿宋" w:eastAsia="仿宋"/>
          <w:b/>
          <w:bCs/>
          <w:sz w:val="24"/>
          <w:szCs w:val="21"/>
        </w:rPr>
        <w:t>甲方：</w:t>
      </w:r>
      <w:r>
        <w:rPr>
          <w:rFonts w:hint="eastAsia" w:ascii="仿宋" w:hAnsi="仿宋" w:eastAsia="仿宋"/>
          <w:b/>
          <w:bCs/>
          <w:sz w:val="24"/>
          <w:szCs w:val="21"/>
          <w:lang w:eastAsia="zh-CN"/>
        </w:rPr>
        <w:t>咸阳职业技术学院</w:t>
      </w:r>
    </w:p>
    <w:p w14:paraId="40551456">
      <w:pPr>
        <w:spacing w:line="480" w:lineRule="exact"/>
        <w:rPr>
          <w:rFonts w:ascii="仿宋" w:hAnsi="仿宋" w:eastAsia="仿宋"/>
          <w:b/>
          <w:bCs/>
          <w:sz w:val="24"/>
          <w:szCs w:val="21"/>
          <w:u w:val="single"/>
        </w:rPr>
      </w:pPr>
      <w:r>
        <w:rPr>
          <w:rFonts w:hint="eastAsia" w:ascii="仿宋" w:hAnsi="仿宋" w:eastAsia="仿宋"/>
          <w:b/>
          <w:bCs/>
          <w:sz w:val="24"/>
          <w:szCs w:val="21"/>
        </w:rPr>
        <w:t>乙方：</w:t>
      </w:r>
    </w:p>
    <w:p w14:paraId="3F0BCF5C">
      <w:pPr>
        <w:spacing w:line="400" w:lineRule="exact"/>
        <w:ind w:firstLine="480" w:firstLineChars="200"/>
        <w:rPr>
          <w:rFonts w:ascii="仿宋" w:hAnsi="仿宋" w:eastAsia="仿宋"/>
          <w:bCs/>
          <w:sz w:val="24"/>
          <w:szCs w:val="21"/>
        </w:rPr>
      </w:pPr>
      <w:r>
        <w:rPr>
          <w:rFonts w:hint="eastAsia" w:ascii="仿宋" w:hAnsi="仿宋" w:eastAsia="仿宋"/>
          <w:bCs/>
          <w:sz w:val="24"/>
          <w:szCs w:val="21"/>
          <w:u w:val="single"/>
        </w:rPr>
        <w:t xml:space="preserve">    </w:t>
      </w:r>
      <w:r>
        <w:rPr>
          <w:rFonts w:hint="eastAsia" w:ascii="仿宋" w:hAnsi="仿宋" w:eastAsia="仿宋"/>
          <w:bCs/>
          <w:sz w:val="24"/>
          <w:szCs w:val="21"/>
        </w:rPr>
        <w:t>年</w:t>
      </w:r>
      <w:r>
        <w:rPr>
          <w:rFonts w:hint="eastAsia" w:ascii="仿宋" w:hAnsi="仿宋" w:eastAsia="仿宋"/>
          <w:bCs/>
          <w:sz w:val="24"/>
          <w:szCs w:val="21"/>
          <w:u w:val="single"/>
        </w:rPr>
        <w:t xml:space="preserve">  </w:t>
      </w:r>
      <w:r>
        <w:rPr>
          <w:rFonts w:hint="eastAsia" w:ascii="仿宋" w:hAnsi="仿宋" w:eastAsia="仿宋"/>
          <w:bCs/>
          <w:sz w:val="24"/>
          <w:szCs w:val="21"/>
        </w:rPr>
        <w:t>月</w:t>
      </w:r>
      <w:r>
        <w:rPr>
          <w:rFonts w:hint="eastAsia" w:ascii="仿宋" w:hAnsi="仿宋" w:eastAsia="仿宋"/>
          <w:bCs/>
          <w:sz w:val="24"/>
          <w:szCs w:val="21"/>
          <w:u w:val="single"/>
        </w:rPr>
        <w:t xml:space="preserve">  </w:t>
      </w:r>
      <w:r>
        <w:rPr>
          <w:rFonts w:hint="eastAsia" w:ascii="仿宋" w:hAnsi="仿宋" w:eastAsia="仿宋"/>
          <w:bCs/>
          <w:sz w:val="24"/>
          <w:szCs w:val="21"/>
        </w:rPr>
        <w:t>日，</w:t>
      </w:r>
      <w:r>
        <w:rPr>
          <w:rFonts w:hint="eastAsia" w:ascii="仿宋" w:hAnsi="仿宋" w:eastAsia="仿宋"/>
          <w:bCs/>
          <w:sz w:val="24"/>
          <w:szCs w:val="21"/>
          <w:lang w:eastAsia="zh-CN"/>
        </w:rPr>
        <w:t>咸阳职业技术学院</w:t>
      </w:r>
      <w:r>
        <w:rPr>
          <w:rFonts w:hint="eastAsia" w:ascii="仿宋" w:hAnsi="仿宋" w:eastAsia="仿宋"/>
          <w:bCs/>
          <w:sz w:val="24"/>
          <w:szCs w:val="21"/>
          <w:u w:val="single"/>
        </w:rPr>
        <w:t xml:space="preserve">             </w:t>
      </w:r>
      <w:r>
        <w:rPr>
          <w:rFonts w:hint="eastAsia" w:ascii="仿宋" w:hAnsi="仿宋" w:eastAsia="仿宋"/>
          <w:bCs/>
          <w:sz w:val="24"/>
          <w:szCs w:val="21"/>
        </w:rPr>
        <w:t>采购项目，按照采购程序，委托</w:t>
      </w:r>
      <w:r>
        <w:rPr>
          <w:rFonts w:hint="eastAsia" w:ascii="仿宋" w:hAnsi="仿宋" w:eastAsia="仿宋"/>
          <w:bCs/>
          <w:sz w:val="24"/>
          <w:szCs w:val="21"/>
          <w:u w:val="single"/>
        </w:rPr>
        <w:t xml:space="preserve">       </w:t>
      </w:r>
      <w:r>
        <w:rPr>
          <w:rFonts w:hint="eastAsia" w:ascii="仿宋" w:hAnsi="仿宋" w:eastAsia="仿宋"/>
          <w:bCs/>
          <w:sz w:val="24"/>
          <w:szCs w:val="21"/>
        </w:rPr>
        <w:t>公司通过</w:t>
      </w:r>
      <w:r>
        <w:rPr>
          <w:rFonts w:hint="eastAsia" w:ascii="仿宋" w:hAnsi="仿宋" w:eastAsia="仿宋"/>
          <w:bCs/>
          <w:sz w:val="24"/>
          <w:szCs w:val="21"/>
          <w:u w:val="single"/>
        </w:rPr>
        <w:t xml:space="preserve">     </w:t>
      </w:r>
      <w:r>
        <w:rPr>
          <w:rFonts w:hint="eastAsia" w:ascii="仿宋" w:hAnsi="仿宋" w:eastAsia="仿宋"/>
          <w:bCs/>
          <w:sz w:val="24"/>
          <w:szCs w:val="21"/>
        </w:rPr>
        <w:t>方式确定（招标编号：</w:t>
      </w:r>
      <w:r>
        <w:rPr>
          <w:rFonts w:hint="eastAsia" w:ascii="仿宋" w:hAnsi="仿宋" w:eastAsia="仿宋"/>
          <w:bCs/>
          <w:sz w:val="24"/>
          <w:szCs w:val="21"/>
          <w:u w:val="single"/>
        </w:rPr>
        <w:t xml:space="preserve">    </w:t>
      </w:r>
      <w:r>
        <w:rPr>
          <w:rFonts w:hint="eastAsia" w:ascii="仿宋" w:hAnsi="仿宋" w:eastAsia="仿宋"/>
          <w:bCs/>
          <w:sz w:val="24"/>
          <w:szCs w:val="21"/>
        </w:rPr>
        <w:t>），乙方获得该项目第</w:t>
      </w:r>
      <w:r>
        <w:rPr>
          <w:rFonts w:hint="eastAsia" w:ascii="仿宋" w:hAnsi="仿宋" w:eastAsia="仿宋"/>
          <w:bCs/>
          <w:sz w:val="24"/>
          <w:szCs w:val="21"/>
          <w:u w:val="single"/>
        </w:rPr>
        <w:t xml:space="preserve">   </w:t>
      </w:r>
      <w:r>
        <w:rPr>
          <w:rFonts w:hint="eastAsia" w:ascii="仿宋" w:hAnsi="仿宋" w:eastAsia="仿宋"/>
          <w:bCs/>
          <w:sz w:val="24"/>
          <w:szCs w:val="21"/>
        </w:rPr>
        <w:t>包设备的供货权。双方经过协商，达成如下协议：</w:t>
      </w:r>
    </w:p>
    <w:p w14:paraId="0DF510C6">
      <w:pPr>
        <w:spacing w:line="400" w:lineRule="exact"/>
        <w:rPr>
          <w:rFonts w:ascii="仿宋" w:hAnsi="仿宋" w:eastAsia="仿宋"/>
          <w:bCs/>
          <w:sz w:val="24"/>
          <w:szCs w:val="21"/>
        </w:rPr>
      </w:pPr>
      <w:r>
        <w:rPr>
          <w:rFonts w:hint="eastAsia" w:ascii="仿宋" w:hAnsi="仿宋" w:eastAsia="仿宋"/>
          <w:bCs/>
          <w:sz w:val="24"/>
          <w:szCs w:val="21"/>
        </w:rPr>
        <w:t xml:space="preserve">一、货物清单 </w:t>
      </w:r>
      <w:r>
        <w:rPr>
          <w:rFonts w:hint="eastAsia" w:ascii="仿宋" w:hAnsi="仿宋" w:eastAsia="仿宋"/>
          <w:bCs/>
          <w:sz w:val="32"/>
          <w:szCs w:val="20"/>
        </w:rPr>
        <w:t>(详细技术指标见附件)</w:t>
      </w:r>
      <w:r>
        <w:rPr>
          <w:rFonts w:hint="eastAsia" w:ascii="仿宋" w:hAnsi="仿宋" w:eastAsia="仿宋"/>
          <w:bCs/>
          <w:sz w:val="24"/>
          <w:szCs w:val="21"/>
        </w:rPr>
        <w:t xml:space="preserve"> </w:t>
      </w:r>
    </w:p>
    <w:tbl>
      <w:tblPr>
        <w:tblStyle w:val="16"/>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39"/>
        <w:gridCol w:w="1336"/>
        <w:gridCol w:w="701"/>
        <w:gridCol w:w="1204"/>
        <w:gridCol w:w="900"/>
        <w:gridCol w:w="1080"/>
        <w:gridCol w:w="1260"/>
      </w:tblGrid>
      <w:tr w14:paraId="35223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0C8F1BC2">
            <w:pPr>
              <w:spacing w:line="320" w:lineRule="exact"/>
              <w:jc w:val="center"/>
              <w:rPr>
                <w:rFonts w:ascii="仿宋" w:hAnsi="仿宋" w:eastAsia="仿宋"/>
                <w:bCs/>
                <w:sz w:val="22"/>
                <w:szCs w:val="21"/>
              </w:rPr>
            </w:pPr>
            <w:r>
              <w:rPr>
                <w:rFonts w:hint="eastAsia" w:ascii="仿宋" w:hAnsi="仿宋" w:eastAsia="仿宋"/>
                <w:bCs/>
                <w:sz w:val="22"/>
                <w:szCs w:val="21"/>
              </w:rPr>
              <w:t>序号</w:t>
            </w:r>
          </w:p>
        </w:tc>
        <w:tc>
          <w:tcPr>
            <w:tcW w:w="1439" w:type="dxa"/>
            <w:vAlign w:val="center"/>
          </w:tcPr>
          <w:p w14:paraId="1B3E7062">
            <w:pPr>
              <w:spacing w:line="320" w:lineRule="exact"/>
              <w:jc w:val="center"/>
              <w:rPr>
                <w:rFonts w:ascii="仿宋" w:hAnsi="仿宋" w:eastAsia="仿宋"/>
                <w:bCs/>
                <w:sz w:val="22"/>
                <w:szCs w:val="21"/>
              </w:rPr>
            </w:pPr>
            <w:r>
              <w:rPr>
                <w:rFonts w:hint="eastAsia" w:ascii="仿宋" w:hAnsi="仿宋" w:eastAsia="仿宋"/>
                <w:bCs/>
                <w:sz w:val="22"/>
                <w:szCs w:val="21"/>
              </w:rPr>
              <w:t>名称</w:t>
            </w:r>
          </w:p>
        </w:tc>
        <w:tc>
          <w:tcPr>
            <w:tcW w:w="1336" w:type="dxa"/>
            <w:vAlign w:val="center"/>
          </w:tcPr>
          <w:p w14:paraId="3D772161">
            <w:pPr>
              <w:spacing w:line="320" w:lineRule="exact"/>
              <w:jc w:val="center"/>
              <w:rPr>
                <w:rFonts w:ascii="仿宋" w:hAnsi="仿宋" w:eastAsia="仿宋"/>
                <w:bCs/>
                <w:sz w:val="22"/>
                <w:szCs w:val="21"/>
              </w:rPr>
            </w:pPr>
            <w:r>
              <w:rPr>
                <w:rFonts w:hint="eastAsia" w:ascii="仿宋" w:hAnsi="仿宋" w:eastAsia="仿宋"/>
                <w:bCs/>
                <w:sz w:val="22"/>
                <w:szCs w:val="21"/>
              </w:rPr>
              <w:t>规格型号</w:t>
            </w:r>
          </w:p>
        </w:tc>
        <w:tc>
          <w:tcPr>
            <w:tcW w:w="701" w:type="dxa"/>
            <w:vAlign w:val="center"/>
          </w:tcPr>
          <w:p w14:paraId="5266679F">
            <w:pPr>
              <w:spacing w:line="320" w:lineRule="exact"/>
              <w:jc w:val="center"/>
              <w:rPr>
                <w:rFonts w:ascii="仿宋" w:hAnsi="仿宋" w:eastAsia="仿宋"/>
                <w:bCs/>
                <w:sz w:val="22"/>
                <w:szCs w:val="21"/>
              </w:rPr>
            </w:pPr>
            <w:r>
              <w:rPr>
                <w:rFonts w:hint="eastAsia" w:ascii="仿宋" w:hAnsi="仿宋" w:eastAsia="仿宋"/>
                <w:bCs/>
                <w:sz w:val="22"/>
                <w:szCs w:val="21"/>
              </w:rPr>
              <w:t xml:space="preserve">品牌 </w:t>
            </w:r>
          </w:p>
        </w:tc>
        <w:tc>
          <w:tcPr>
            <w:tcW w:w="1204" w:type="dxa"/>
            <w:vAlign w:val="center"/>
          </w:tcPr>
          <w:p w14:paraId="48C0DE1E">
            <w:pPr>
              <w:spacing w:line="320" w:lineRule="exact"/>
              <w:jc w:val="center"/>
              <w:rPr>
                <w:rFonts w:ascii="仿宋" w:hAnsi="仿宋" w:eastAsia="仿宋"/>
                <w:bCs/>
                <w:sz w:val="22"/>
                <w:szCs w:val="21"/>
              </w:rPr>
            </w:pPr>
            <w:r>
              <w:rPr>
                <w:rFonts w:hint="eastAsia" w:ascii="仿宋" w:hAnsi="仿宋" w:eastAsia="仿宋"/>
                <w:bCs/>
                <w:sz w:val="22"/>
                <w:szCs w:val="21"/>
              </w:rPr>
              <w:t>生产厂家全称</w:t>
            </w:r>
          </w:p>
        </w:tc>
        <w:tc>
          <w:tcPr>
            <w:tcW w:w="900" w:type="dxa"/>
            <w:vAlign w:val="center"/>
          </w:tcPr>
          <w:p w14:paraId="62114A6B">
            <w:pPr>
              <w:spacing w:line="320" w:lineRule="exact"/>
              <w:jc w:val="center"/>
              <w:rPr>
                <w:rFonts w:ascii="仿宋" w:hAnsi="仿宋" w:eastAsia="仿宋"/>
                <w:bCs/>
                <w:sz w:val="22"/>
                <w:szCs w:val="21"/>
              </w:rPr>
            </w:pPr>
            <w:r>
              <w:rPr>
                <w:rFonts w:hint="eastAsia" w:ascii="仿宋" w:hAnsi="仿宋" w:eastAsia="仿宋"/>
                <w:bCs/>
                <w:sz w:val="22"/>
                <w:szCs w:val="21"/>
              </w:rPr>
              <w:t>数量</w:t>
            </w:r>
          </w:p>
        </w:tc>
        <w:tc>
          <w:tcPr>
            <w:tcW w:w="1080" w:type="dxa"/>
            <w:vAlign w:val="center"/>
          </w:tcPr>
          <w:p w14:paraId="39A8075B">
            <w:pPr>
              <w:spacing w:line="320" w:lineRule="exact"/>
              <w:jc w:val="center"/>
              <w:rPr>
                <w:rFonts w:ascii="仿宋" w:hAnsi="仿宋" w:eastAsia="仿宋"/>
                <w:bCs/>
                <w:sz w:val="22"/>
                <w:szCs w:val="21"/>
              </w:rPr>
            </w:pPr>
            <w:r>
              <w:rPr>
                <w:rFonts w:hint="eastAsia" w:ascii="仿宋" w:hAnsi="仿宋" w:eastAsia="仿宋"/>
                <w:bCs/>
                <w:sz w:val="22"/>
                <w:szCs w:val="21"/>
              </w:rPr>
              <w:t>单价（元）</w:t>
            </w:r>
          </w:p>
        </w:tc>
        <w:tc>
          <w:tcPr>
            <w:tcW w:w="1260" w:type="dxa"/>
            <w:vAlign w:val="center"/>
          </w:tcPr>
          <w:p w14:paraId="6CB17006">
            <w:pPr>
              <w:spacing w:line="320" w:lineRule="exact"/>
              <w:jc w:val="center"/>
              <w:rPr>
                <w:rFonts w:ascii="仿宋" w:hAnsi="仿宋" w:eastAsia="仿宋"/>
                <w:bCs/>
                <w:sz w:val="22"/>
                <w:szCs w:val="21"/>
              </w:rPr>
            </w:pPr>
            <w:r>
              <w:rPr>
                <w:rFonts w:hint="eastAsia" w:ascii="仿宋" w:hAnsi="仿宋" w:eastAsia="仿宋"/>
                <w:bCs/>
                <w:sz w:val="22"/>
                <w:szCs w:val="21"/>
              </w:rPr>
              <w:t>总价</w:t>
            </w:r>
          </w:p>
          <w:p w14:paraId="1F1CB1BA">
            <w:pPr>
              <w:spacing w:line="320" w:lineRule="exact"/>
              <w:jc w:val="center"/>
              <w:rPr>
                <w:rFonts w:ascii="仿宋" w:hAnsi="仿宋" w:eastAsia="仿宋"/>
                <w:bCs/>
                <w:sz w:val="22"/>
                <w:szCs w:val="21"/>
              </w:rPr>
            </w:pPr>
            <w:r>
              <w:rPr>
                <w:rFonts w:hint="eastAsia" w:ascii="仿宋" w:hAnsi="仿宋" w:eastAsia="仿宋"/>
                <w:bCs/>
                <w:sz w:val="22"/>
                <w:szCs w:val="21"/>
              </w:rPr>
              <w:t>（元）</w:t>
            </w:r>
          </w:p>
        </w:tc>
      </w:tr>
      <w:tr w14:paraId="5041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6747A16E">
            <w:pPr>
              <w:spacing w:line="320" w:lineRule="exact"/>
              <w:jc w:val="center"/>
              <w:rPr>
                <w:rFonts w:ascii="仿宋" w:hAnsi="仿宋" w:eastAsia="仿宋"/>
                <w:bCs/>
                <w:sz w:val="22"/>
                <w:szCs w:val="21"/>
              </w:rPr>
            </w:pPr>
            <w:r>
              <w:rPr>
                <w:rFonts w:hint="eastAsia" w:ascii="仿宋" w:hAnsi="仿宋" w:eastAsia="仿宋"/>
                <w:bCs/>
                <w:sz w:val="22"/>
                <w:szCs w:val="21"/>
              </w:rPr>
              <w:t>1</w:t>
            </w:r>
          </w:p>
        </w:tc>
        <w:tc>
          <w:tcPr>
            <w:tcW w:w="1439" w:type="dxa"/>
            <w:vAlign w:val="center"/>
          </w:tcPr>
          <w:p w14:paraId="19DC6DF9">
            <w:pPr>
              <w:spacing w:line="320" w:lineRule="exact"/>
              <w:jc w:val="center"/>
              <w:rPr>
                <w:rFonts w:ascii="仿宋" w:hAnsi="仿宋" w:eastAsia="仿宋"/>
                <w:bCs/>
                <w:sz w:val="22"/>
                <w:szCs w:val="21"/>
              </w:rPr>
            </w:pPr>
          </w:p>
        </w:tc>
        <w:tc>
          <w:tcPr>
            <w:tcW w:w="1336" w:type="dxa"/>
            <w:vAlign w:val="center"/>
          </w:tcPr>
          <w:p w14:paraId="257DB7C3">
            <w:pPr>
              <w:spacing w:line="320" w:lineRule="exact"/>
              <w:jc w:val="center"/>
              <w:rPr>
                <w:rFonts w:ascii="仿宋" w:hAnsi="仿宋" w:eastAsia="仿宋"/>
                <w:bCs/>
                <w:sz w:val="22"/>
                <w:szCs w:val="21"/>
              </w:rPr>
            </w:pPr>
          </w:p>
        </w:tc>
        <w:tc>
          <w:tcPr>
            <w:tcW w:w="701" w:type="dxa"/>
            <w:vAlign w:val="center"/>
          </w:tcPr>
          <w:p w14:paraId="2DEBB96B">
            <w:pPr>
              <w:spacing w:line="320" w:lineRule="exact"/>
              <w:jc w:val="center"/>
              <w:rPr>
                <w:rFonts w:ascii="仿宋" w:hAnsi="仿宋" w:eastAsia="仿宋"/>
                <w:bCs/>
                <w:sz w:val="22"/>
                <w:szCs w:val="21"/>
              </w:rPr>
            </w:pPr>
          </w:p>
        </w:tc>
        <w:tc>
          <w:tcPr>
            <w:tcW w:w="1204" w:type="dxa"/>
            <w:vAlign w:val="center"/>
          </w:tcPr>
          <w:p w14:paraId="6D0BDB84">
            <w:pPr>
              <w:spacing w:line="320" w:lineRule="exact"/>
              <w:jc w:val="center"/>
              <w:rPr>
                <w:rFonts w:ascii="仿宋" w:hAnsi="仿宋" w:eastAsia="仿宋"/>
                <w:bCs/>
                <w:sz w:val="22"/>
                <w:szCs w:val="21"/>
              </w:rPr>
            </w:pPr>
          </w:p>
        </w:tc>
        <w:tc>
          <w:tcPr>
            <w:tcW w:w="900" w:type="dxa"/>
            <w:vAlign w:val="center"/>
          </w:tcPr>
          <w:p w14:paraId="7E70A2DF">
            <w:pPr>
              <w:spacing w:line="320" w:lineRule="exact"/>
              <w:jc w:val="center"/>
              <w:rPr>
                <w:rFonts w:ascii="仿宋" w:hAnsi="仿宋" w:eastAsia="仿宋"/>
                <w:bCs/>
                <w:sz w:val="22"/>
                <w:szCs w:val="21"/>
              </w:rPr>
            </w:pPr>
          </w:p>
        </w:tc>
        <w:tc>
          <w:tcPr>
            <w:tcW w:w="1080" w:type="dxa"/>
            <w:vAlign w:val="center"/>
          </w:tcPr>
          <w:p w14:paraId="15B0C41E">
            <w:pPr>
              <w:spacing w:line="320" w:lineRule="exact"/>
              <w:jc w:val="center"/>
              <w:rPr>
                <w:rFonts w:ascii="仿宋" w:hAnsi="仿宋" w:eastAsia="仿宋"/>
                <w:bCs/>
                <w:sz w:val="22"/>
                <w:szCs w:val="21"/>
              </w:rPr>
            </w:pPr>
          </w:p>
        </w:tc>
        <w:tc>
          <w:tcPr>
            <w:tcW w:w="1260" w:type="dxa"/>
            <w:vAlign w:val="center"/>
          </w:tcPr>
          <w:p w14:paraId="380363CE">
            <w:pPr>
              <w:spacing w:line="320" w:lineRule="exact"/>
              <w:jc w:val="center"/>
              <w:rPr>
                <w:rFonts w:ascii="仿宋" w:hAnsi="仿宋" w:eastAsia="仿宋"/>
                <w:bCs/>
                <w:sz w:val="22"/>
                <w:szCs w:val="21"/>
              </w:rPr>
            </w:pPr>
          </w:p>
        </w:tc>
      </w:tr>
      <w:tr w14:paraId="7C08B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775E6B92">
            <w:pPr>
              <w:spacing w:line="320" w:lineRule="exact"/>
              <w:jc w:val="center"/>
              <w:rPr>
                <w:rFonts w:ascii="仿宋" w:hAnsi="仿宋" w:eastAsia="仿宋"/>
                <w:bCs/>
                <w:sz w:val="22"/>
                <w:szCs w:val="21"/>
              </w:rPr>
            </w:pPr>
            <w:r>
              <w:rPr>
                <w:rFonts w:hint="eastAsia" w:ascii="仿宋" w:hAnsi="仿宋" w:eastAsia="仿宋"/>
                <w:bCs/>
                <w:sz w:val="22"/>
                <w:szCs w:val="21"/>
              </w:rPr>
              <w:t>2</w:t>
            </w:r>
          </w:p>
        </w:tc>
        <w:tc>
          <w:tcPr>
            <w:tcW w:w="1439" w:type="dxa"/>
            <w:vAlign w:val="center"/>
          </w:tcPr>
          <w:p w14:paraId="78B8C3E9">
            <w:pPr>
              <w:spacing w:line="320" w:lineRule="exact"/>
              <w:jc w:val="center"/>
              <w:rPr>
                <w:rFonts w:ascii="仿宋" w:hAnsi="仿宋" w:eastAsia="仿宋"/>
                <w:bCs/>
                <w:sz w:val="22"/>
                <w:szCs w:val="21"/>
              </w:rPr>
            </w:pPr>
          </w:p>
        </w:tc>
        <w:tc>
          <w:tcPr>
            <w:tcW w:w="1336" w:type="dxa"/>
            <w:vAlign w:val="center"/>
          </w:tcPr>
          <w:p w14:paraId="6E170942">
            <w:pPr>
              <w:spacing w:line="320" w:lineRule="exact"/>
              <w:jc w:val="center"/>
              <w:rPr>
                <w:rFonts w:ascii="仿宋" w:hAnsi="仿宋" w:eastAsia="仿宋"/>
                <w:bCs/>
                <w:sz w:val="22"/>
                <w:szCs w:val="21"/>
              </w:rPr>
            </w:pPr>
          </w:p>
        </w:tc>
        <w:tc>
          <w:tcPr>
            <w:tcW w:w="701" w:type="dxa"/>
            <w:vAlign w:val="center"/>
          </w:tcPr>
          <w:p w14:paraId="19384521">
            <w:pPr>
              <w:spacing w:line="320" w:lineRule="exact"/>
              <w:jc w:val="center"/>
              <w:rPr>
                <w:rFonts w:ascii="仿宋" w:hAnsi="仿宋" w:eastAsia="仿宋"/>
                <w:bCs/>
                <w:sz w:val="22"/>
                <w:szCs w:val="21"/>
              </w:rPr>
            </w:pPr>
          </w:p>
        </w:tc>
        <w:tc>
          <w:tcPr>
            <w:tcW w:w="1204" w:type="dxa"/>
            <w:vAlign w:val="center"/>
          </w:tcPr>
          <w:p w14:paraId="27BF04BE">
            <w:pPr>
              <w:spacing w:line="320" w:lineRule="exact"/>
              <w:jc w:val="center"/>
              <w:rPr>
                <w:rFonts w:ascii="仿宋" w:hAnsi="仿宋" w:eastAsia="仿宋"/>
                <w:bCs/>
                <w:sz w:val="22"/>
                <w:szCs w:val="21"/>
              </w:rPr>
            </w:pPr>
          </w:p>
        </w:tc>
        <w:tc>
          <w:tcPr>
            <w:tcW w:w="900" w:type="dxa"/>
            <w:vAlign w:val="center"/>
          </w:tcPr>
          <w:p w14:paraId="41A53BA8">
            <w:pPr>
              <w:spacing w:line="320" w:lineRule="exact"/>
              <w:jc w:val="center"/>
              <w:rPr>
                <w:rFonts w:ascii="仿宋" w:hAnsi="仿宋" w:eastAsia="仿宋"/>
                <w:bCs/>
                <w:sz w:val="22"/>
                <w:szCs w:val="21"/>
              </w:rPr>
            </w:pPr>
          </w:p>
        </w:tc>
        <w:tc>
          <w:tcPr>
            <w:tcW w:w="1080" w:type="dxa"/>
            <w:vAlign w:val="center"/>
          </w:tcPr>
          <w:p w14:paraId="241E686A">
            <w:pPr>
              <w:spacing w:line="320" w:lineRule="exact"/>
              <w:jc w:val="center"/>
              <w:rPr>
                <w:rFonts w:ascii="仿宋" w:hAnsi="仿宋" w:eastAsia="仿宋"/>
                <w:bCs/>
                <w:sz w:val="22"/>
                <w:szCs w:val="21"/>
              </w:rPr>
            </w:pPr>
          </w:p>
        </w:tc>
        <w:tc>
          <w:tcPr>
            <w:tcW w:w="1260" w:type="dxa"/>
            <w:vAlign w:val="center"/>
          </w:tcPr>
          <w:p w14:paraId="30D8624D">
            <w:pPr>
              <w:spacing w:line="320" w:lineRule="exact"/>
              <w:jc w:val="center"/>
              <w:rPr>
                <w:rFonts w:ascii="仿宋" w:hAnsi="仿宋" w:eastAsia="仿宋"/>
                <w:bCs/>
                <w:sz w:val="22"/>
                <w:szCs w:val="21"/>
              </w:rPr>
            </w:pPr>
          </w:p>
        </w:tc>
      </w:tr>
      <w:tr w14:paraId="7525C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69905D5B">
            <w:pPr>
              <w:spacing w:line="320" w:lineRule="exact"/>
              <w:jc w:val="center"/>
              <w:rPr>
                <w:rFonts w:ascii="仿宋" w:hAnsi="仿宋" w:eastAsia="仿宋"/>
                <w:bCs/>
                <w:sz w:val="22"/>
                <w:szCs w:val="21"/>
              </w:rPr>
            </w:pPr>
            <w:r>
              <w:rPr>
                <w:rFonts w:hint="eastAsia" w:ascii="仿宋" w:hAnsi="仿宋" w:eastAsia="仿宋"/>
                <w:bCs/>
                <w:sz w:val="22"/>
                <w:szCs w:val="21"/>
              </w:rPr>
              <w:t>…</w:t>
            </w:r>
          </w:p>
        </w:tc>
        <w:tc>
          <w:tcPr>
            <w:tcW w:w="1439" w:type="dxa"/>
            <w:vAlign w:val="center"/>
          </w:tcPr>
          <w:p w14:paraId="184AD203">
            <w:pPr>
              <w:spacing w:line="320" w:lineRule="exact"/>
              <w:jc w:val="center"/>
              <w:rPr>
                <w:rFonts w:ascii="仿宋" w:hAnsi="仿宋" w:eastAsia="仿宋"/>
                <w:bCs/>
                <w:sz w:val="22"/>
                <w:szCs w:val="21"/>
              </w:rPr>
            </w:pPr>
          </w:p>
        </w:tc>
        <w:tc>
          <w:tcPr>
            <w:tcW w:w="1336" w:type="dxa"/>
            <w:vAlign w:val="center"/>
          </w:tcPr>
          <w:p w14:paraId="42E4972A">
            <w:pPr>
              <w:spacing w:line="320" w:lineRule="exact"/>
              <w:jc w:val="center"/>
              <w:rPr>
                <w:rFonts w:ascii="仿宋" w:hAnsi="仿宋" w:eastAsia="仿宋"/>
                <w:bCs/>
                <w:sz w:val="22"/>
                <w:szCs w:val="21"/>
              </w:rPr>
            </w:pPr>
          </w:p>
        </w:tc>
        <w:tc>
          <w:tcPr>
            <w:tcW w:w="701" w:type="dxa"/>
            <w:vAlign w:val="center"/>
          </w:tcPr>
          <w:p w14:paraId="561F00D7">
            <w:pPr>
              <w:spacing w:line="320" w:lineRule="exact"/>
              <w:jc w:val="center"/>
              <w:rPr>
                <w:rFonts w:ascii="仿宋" w:hAnsi="仿宋" w:eastAsia="仿宋"/>
                <w:bCs/>
                <w:sz w:val="22"/>
                <w:szCs w:val="21"/>
              </w:rPr>
            </w:pPr>
          </w:p>
        </w:tc>
        <w:tc>
          <w:tcPr>
            <w:tcW w:w="1204" w:type="dxa"/>
            <w:vAlign w:val="center"/>
          </w:tcPr>
          <w:p w14:paraId="56E05112">
            <w:pPr>
              <w:spacing w:line="320" w:lineRule="exact"/>
              <w:jc w:val="center"/>
              <w:rPr>
                <w:rFonts w:ascii="仿宋" w:hAnsi="仿宋" w:eastAsia="仿宋"/>
                <w:bCs/>
                <w:sz w:val="22"/>
                <w:szCs w:val="21"/>
              </w:rPr>
            </w:pPr>
          </w:p>
        </w:tc>
        <w:tc>
          <w:tcPr>
            <w:tcW w:w="900" w:type="dxa"/>
            <w:vAlign w:val="center"/>
          </w:tcPr>
          <w:p w14:paraId="18F469A9">
            <w:pPr>
              <w:spacing w:line="320" w:lineRule="exact"/>
              <w:jc w:val="center"/>
              <w:rPr>
                <w:rFonts w:ascii="仿宋" w:hAnsi="仿宋" w:eastAsia="仿宋"/>
                <w:bCs/>
                <w:sz w:val="22"/>
                <w:szCs w:val="21"/>
              </w:rPr>
            </w:pPr>
          </w:p>
        </w:tc>
        <w:tc>
          <w:tcPr>
            <w:tcW w:w="1080" w:type="dxa"/>
            <w:vAlign w:val="center"/>
          </w:tcPr>
          <w:p w14:paraId="3F65EB01">
            <w:pPr>
              <w:spacing w:line="320" w:lineRule="exact"/>
              <w:jc w:val="center"/>
              <w:rPr>
                <w:rFonts w:ascii="仿宋" w:hAnsi="仿宋" w:eastAsia="仿宋"/>
                <w:bCs/>
                <w:sz w:val="22"/>
                <w:szCs w:val="21"/>
              </w:rPr>
            </w:pPr>
          </w:p>
        </w:tc>
        <w:tc>
          <w:tcPr>
            <w:tcW w:w="1260" w:type="dxa"/>
            <w:vAlign w:val="center"/>
          </w:tcPr>
          <w:p w14:paraId="1DEC4815">
            <w:pPr>
              <w:spacing w:line="320" w:lineRule="exact"/>
              <w:jc w:val="center"/>
              <w:rPr>
                <w:rFonts w:ascii="仿宋" w:hAnsi="仿宋" w:eastAsia="仿宋"/>
                <w:bCs/>
                <w:sz w:val="22"/>
                <w:szCs w:val="21"/>
              </w:rPr>
            </w:pPr>
          </w:p>
        </w:tc>
      </w:tr>
      <w:tr w14:paraId="2843A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0" w:type="dxa"/>
            <w:gridSpan w:val="5"/>
            <w:vAlign w:val="center"/>
          </w:tcPr>
          <w:p w14:paraId="3468744C">
            <w:pPr>
              <w:spacing w:line="320" w:lineRule="exact"/>
              <w:jc w:val="center"/>
              <w:rPr>
                <w:rFonts w:ascii="仿宋" w:hAnsi="仿宋" w:eastAsia="仿宋"/>
                <w:bCs/>
                <w:sz w:val="22"/>
                <w:szCs w:val="21"/>
              </w:rPr>
            </w:pPr>
            <w:r>
              <w:rPr>
                <w:rFonts w:hint="eastAsia" w:ascii="仿宋" w:hAnsi="仿宋" w:eastAsia="仿宋"/>
                <w:bCs/>
                <w:sz w:val="22"/>
                <w:szCs w:val="21"/>
              </w:rPr>
              <w:t>合   计</w:t>
            </w:r>
          </w:p>
        </w:tc>
        <w:tc>
          <w:tcPr>
            <w:tcW w:w="900" w:type="dxa"/>
            <w:vAlign w:val="center"/>
          </w:tcPr>
          <w:p w14:paraId="23B476B6">
            <w:pPr>
              <w:spacing w:line="320" w:lineRule="exact"/>
              <w:jc w:val="center"/>
              <w:rPr>
                <w:rFonts w:ascii="仿宋" w:hAnsi="仿宋" w:eastAsia="仿宋"/>
                <w:bCs/>
                <w:sz w:val="22"/>
                <w:szCs w:val="21"/>
              </w:rPr>
            </w:pPr>
          </w:p>
        </w:tc>
        <w:tc>
          <w:tcPr>
            <w:tcW w:w="1080" w:type="dxa"/>
            <w:vAlign w:val="center"/>
          </w:tcPr>
          <w:p w14:paraId="7518E9C0">
            <w:pPr>
              <w:spacing w:line="320" w:lineRule="exact"/>
              <w:jc w:val="center"/>
              <w:rPr>
                <w:rFonts w:ascii="仿宋" w:hAnsi="仿宋" w:eastAsia="仿宋"/>
                <w:bCs/>
                <w:sz w:val="22"/>
                <w:szCs w:val="21"/>
              </w:rPr>
            </w:pPr>
          </w:p>
        </w:tc>
        <w:tc>
          <w:tcPr>
            <w:tcW w:w="1260" w:type="dxa"/>
            <w:vAlign w:val="center"/>
          </w:tcPr>
          <w:p w14:paraId="2B0B6436">
            <w:pPr>
              <w:spacing w:line="320" w:lineRule="exact"/>
              <w:jc w:val="center"/>
              <w:rPr>
                <w:rFonts w:ascii="仿宋" w:hAnsi="仿宋" w:eastAsia="仿宋"/>
                <w:bCs/>
                <w:sz w:val="22"/>
                <w:szCs w:val="21"/>
              </w:rPr>
            </w:pPr>
          </w:p>
        </w:tc>
      </w:tr>
    </w:tbl>
    <w:p w14:paraId="4FBAB7E0">
      <w:pPr>
        <w:spacing w:line="400" w:lineRule="exact"/>
        <w:ind w:firstLine="240" w:firstLineChars="100"/>
        <w:rPr>
          <w:rFonts w:ascii="仿宋" w:hAnsi="仿宋" w:eastAsia="仿宋"/>
          <w:bCs/>
          <w:sz w:val="24"/>
          <w:szCs w:val="21"/>
        </w:rPr>
      </w:pPr>
      <w:r>
        <w:rPr>
          <w:rFonts w:hint="eastAsia" w:ascii="仿宋" w:hAnsi="仿宋" w:eastAsia="仿宋"/>
          <w:bCs/>
          <w:sz w:val="24"/>
          <w:szCs w:val="21"/>
        </w:rPr>
        <w:t>人民币（含税）合计：</w:t>
      </w:r>
      <w:r>
        <w:rPr>
          <w:rFonts w:hint="eastAsia" w:ascii="仿宋" w:hAnsi="仿宋" w:eastAsia="仿宋"/>
          <w:bCs/>
          <w:sz w:val="24"/>
          <w:szCs w:val="21"/>
          <w:u w:val="single"/>
        </w:rPr>
        <w:t xml:space="preserve">        </w:t>
      </w:r>
      <w:r>
        <w:rPr>
          <w:rFonts w:hint="eastAsia" w:ascii="仿宋" w:hAnsi="仿宋" w:eastAsia="仿宋"/>
          <w:bCs/>
          <w:sz w:val="24"/>
          <w:szCs w:val="21"/>
        </w:rPr>
        <w:t>（大写）</w:t>
      </w:r>
    </w:p>
    <w:p w14:paraId="727E190A">
      <w:pPr>
        <w:spacing w:line="400" w:lineRule="exact"/>
        <w:rPr>
          <w:rFonts w:ascii="仿宋" w:hAnsi="仿宋" w:eastAsia="仿宋"/>
          <w:bCs/>
          <w:sz w:val="24"/>
          <w:szCs w:val="21"/>
        </w:rPr>
      </w:pPr>
      <w:r>
        <w:rPr>
          <w:rFonts w:hint="eastAsia" w:ascii="仿宋" w:hAnsi="仿宋" w:eastAsia="仿宋"/>
          <w:bCs/>
          <w:sz w:val="24"/>
          <w:szCs w:val="21"/>
        </w:rPr>
        <w:t>二、产品质量</w:t>
      </w:r>
    </w:p>
    <w:p w14:paraId="2ED993AA">
      <w:pPr>
        <w:spacing w:line="400" w:lineRule="exact"/>
        <w:ind w:firstLine="480" w:firstLineChars="200"/>
        <w:rPr>
          <w:rFonts w:ascii="仿宋" w:hAnsi="仿宋" w:eastAsia="仿宋"/>
          <w:bCs/>
          <w:sz w:val="24"/>
          <w:szCs w:val="21"/>
        </w:rPr>
      </w:pPr>
      <w:r>
        <w:rPr>
          <w:rFonts w:hint="eastAsia" w:ascii="仿宋" w:hAnsi="仿宋" w:eastAsia="仿宋"/>
          <w:bCs/>
          <w:sz w:val="24"/>
          <w:szCs w:val="21"/>
        </w:rPr>
        <w:t>1、乙方提供给甲方的货物必须是原厂生产的全新合格产品。</w:t>
      </w:r>
    </w:p>
    <w:p w14:paraId="33B3ADAB">
      <w:pPr>
        <w:spacing w:line="400" w:lineRule="exact"/>
        <w:ind w:firstLine="480" w:firstLineChars="200"/>
        <w:rPr>
          <w:rFonts w:ascii="仿宋" w:hAnsi="仿宋" w:eastAsia="仿宋"/>
          <w:bCs/>
          <w:sz w:val="24"/>
          <w:szCs w:val="21"/>
        </w:rPr>
      </w:pPr>
      <w:r>
        <w:rPr>
          <w:rFonts w:hint="eastAsia" w:ascii="仿宋" w:hAnsi="仿宋" w:eastAsia="仿宋"/>
          <w:bCs/>
          <w:sz w:val="24"/>
          <w:szCs w:val="21"/>
        </w:rPr>
        <w:t>2、乙方提供产品涉及的专利权应符合中国的相关法律要求，由此导致与第三方发生的任何纠纷均与甲方无关。</w:t>
      </w:r>
    </w:p>
    <w:p w14:paraId="31E4A953">
      <w:pPr>
        <w:spacing w:line="400" w:lineRule="exact"/>
        <w:ind w:firstLine="480" w:firstLineChars="200"/>
        <w:rPr>
          <w:rFonts w:ascii="仿宋" w:hAnsi="仿宋" w:eastAsia="仿宋"/>
          <w:bCs/>
          <w:sz w:val="24"/>
          <w:szCs w:val="21"/>
        </w:rPr>
      </w:pPr>
      <w:r>
        <w:rPr>
          <w:rFonts w:hint="eastAsia" w:ascii="仿宋" w:hAnsi="仿宋" w:eastAsia="仿宋"/>
          <w:bCs/>
          <w:sz w:val="24"/>
          <w:szCs w:val="21"/>
        </w:rPr>
        <w:t>3、安全可靠。在正常使用下不应对操作者造成任何人身伤害，如因产品质量或标示不明确而对操作者造成伤害的，甲方将保留依法索赔的权利。</w:t>
      </w:r>
    </w:p>
    <w:p w14:paraId="35495DDD">
      <w:pPr>
        <w:spacing w:line="400" w:lineRule="exact"/>
        <w:ind w:firstLine="480" w:firstLineChars="200"/>
        <w:rPr>
          <w:rFonts w:ascii="仿宋" w:hAnsi="仿宋" w:eastAsia="仿宋"/>
          <w:bCs/>
          <w:sz w:val="24"/>
          <w:szCs w:val="21"/>
        </w:rPr>
      </w:pPr>
      <w:r>
        <w:rPr>
          <w:rFonts w:hint="eastAsia" w:ascii="仿宋" w:hAnsi="仿宋" w:eastAsia="仿宋"/>
          <w:bCs/>
          <w:sz w:val="24"/>
          <w:szCs w:val="21"/>
        </w:rPr>
        <w:t>4、有强制性安全标准的产品，乙方应提供产品的制造许可证明。</w:t>
      </w:r>
    </w:p>
    <w:p w14:paraId="5A5EB933">
      <w:pPr>
        <w:spacing w:line="400" w:lineRule="exact"/>
        <w:ind w:firstLine="480" w:firstLineChars="200"/>
        <w:rPr>
          <w:rFonts w:ascii="仿宋" w:hAnsi="仿宋" w:eastAsia="仿宋"/>
          <w:bCs/>
          <w:sz w:val="24"/>
          <w:szCs w:val="21"/>
        </w:rPr>
      </w:pPr>
      <w:r>
        <w:rPr>
          <w:rFonts w:hint="eastAsia" w:ascii="仿宋" w:hAnsi="仿宋" w:eastAsia="仿宋"/>
          <w:bCs/>
          <w:sz w:val="24"/>
          <w:szCs w:val="21"/>
        </w:rPr>
        <w:t>5、乙方产品性能必须与其标示的技术指标相符合，并符合国家标准，无国家标准的应符合行业标准。</w:t>
      </w:r>
    </w:p>
    <w:p w14:paraId="5F1E1A96">
      <w:pPr>
        <w:spacing w:line="400" w:lineRule="exact"/>
        <w:rPr>
          <w:rFonts w:ascii="仿宋" w:hAnsi="仿宋" w:eastAsia="仿宋"/>
          <w:bCs/>
          <w:sz w:val="24"/>
          <w:szCs w:val="21"/>
        </w:rPr>
      </w:pPr>
      <w:r>
        <w:rPr>
          <w:rFonts w:hint="eastAsia" w:ascii="仿宋" w:hAnsi="仿宋" w:eastAsia="仿宋"/>
          <w:bCs/>
          <w:sz w:val="24"/>
          <w:szCs w:val="21"/>
        </w:rPr>
        <w:t>三、产品运输方式及到货验收时间</w:t>
      </w:r>
    </w:p>
    <w:p w14:paraId="577886BD">
      <w:pPr>
        <w:spacing w:line="400" w:lineRule="exact"/>
        <w:ind w:firstLine="480" w:firstLineChars="200"/>
        <w:rPr>
          <w:rFonts w:ascii="仿宋" w:hAnsi="仿宋" w:eastAsia="仿宋"/>
          <w:bCs/>
          <w:sz w:val="24"/>
          <w:szCs w:val="21"/>
        </w:rPr>
      </w:pPr>
      <w:r>
        <w:rPr>
          <w:rFonts w:hint="eastAsia" w:ascii="仿宋" w:hAnsi="仿宋" w:eastAsia="仿宋"/>
          <w:bCs/>
          <w:sz w:val="24"/>
          <w:szCs w:val="21"/>
        </w:rPr>
        <w:t>1、产品运输方式由乙方自行选择，所发生的一切费用由乙方承担。</w:t>
      </w:r>
    </w:p>
    <w:p w14:paraId="6F08DC5D">
      <w:pPr>
        <w:spacing w:line="400" w:lineRule="exact"/>
        <w:ind w:firstLine="470" w:firstLineChars="196"/>
        <w:rPr>
          <w:rFonts w:ascii="仿宋" w:hAnsi="仿宋" w:eastAsia="仿宋"/>
          <w:bCs/>
          <w:sz w:val="24"/>
          <w:szCs w:val="21"/>
        </w:rPr>
      </w:pPr>
      <w:r>
        <w:rPr>
          <w:rFonts w:hint="eastAsia" w:ascii="仿宋" w:hAnsi="仿宋" w:eastAsia="仿宋"/>
          <w:bCs/>
          <w:sz w:val="24"/>
          <w:szCs w:val="21"/>
        </w:rPr>
        <w:t>2、乙方货物到达甲方指定地点，并按合同要求完成安装调试方可组织验收。甲乙双方签署验收单的时间，也是货物所有权进行交割的时间，在交割以前货物所发生的一切损失及费用由乙方承担。</w:t>
      </w:r>
    </w:p>
    <w:p w14:paraId="65FF3911">
      <w:pPr>
        <w:spacing w:line="400" w:lineRule="exact"/>
        <w:rPr>
          <w:rFonts w:ascii="仿宋" w:hAnsi="仿宋" w:eastAsia="仿宋"/>
          <w:bCs/>
          <w:sz w:val="24"/>
          <w:szCs w:val="21"/>
        </w:rPr>
      </w:pPr>
      <w:r>
        <w:rPr>
          <w:rFonts w:hint="eastAsia" w:ascii="仿宋" w:hAnsi="仿宋" w:eastAsia="仿宋"/>
          <w:bCs/>
          <w:sz w:val="24"/>
          <w:szCs w:val="21"/>
        </w:rPr>
        <w:t xml:space="preserve">    3、到货及验收时间：</w:t>
      </w:r>
      <w:r>
        <w:rPr>
          <w:rFonts w:hint="eastAsia" w:ascii="仿宋" w:hAnsi="仿宋" w:eastAsia="仿宋"/>
          <w:sz w:val="24"/>
          <w:szCs w:val="24"/>
        </w:rPr>
        <w:t>合同签订后</w:t>
      </w:r>
      <w:r>
        <w:rPr>
          <w:rFonts w:hint="eastAsia" w:ascii="仿宋" w:hAnsi="仿宋" w:eastAsia="仿宋"/>
          <w:sz w:val="24"/>
          <w:szCs w:val="24"/>
          <w:u w:val="single"/>
        </w:rPr>
        <w:t xml:space="preserve">    </w:t>
      </w:r>
      <w:r>
        <w:rPr>
          <w:rFonts w:hint="eastAsia" w:ascii="仿宋" w:hAnsi="仿宋" w:eastAsia="仿宋"/>
          <w:sz w:val="24"/>
          <w:szCs w:val="24"/>
        </w:rPr>
        <w:t>日内</w:t>
      </w:r>
      <w:r>
        <w:rPr>
          <w:rFonts w:hint="eastAsia" w:ascii="仿宋" w:hAnsi="仿宋" w:eastAsia="仿宋"/>
          <w:bCs/>
          <w:sz w:val="24"/>
          <w:szCs w:val="21"/>
        </w:rPr>
        <w:t>到货。到货后5个工作日内乙方完成安装调试及培训，10个工作日内甲方组织验收。进口设备验收时乙方需提交设备的报关单、原产地证明等相关材料。</w:t>
      </w:r>
    </w:p>
    <w:p w14:paraId="292E3EA4">
      <w:pPr>
        <w:spacing w:line="400" w:lineRule="exact"/>
        <w:rPr>
          <w:rFonts w:ascii="仿宋" w:hAnsi="仿宋" w:eastAsia="仿宋"/>
          <w:bCs/>
          <w:sz w:val="24"/>
          <w:szCs w:val="21"/>
        </w:rPr>
      </w:pPr>
      <w:r>
        <w:rPr>
          <w:rFonts w:hint="eastAsia" w:ascii="仿宋" w:hAnsi="仿宋" w:eastAsia="仿宋"/>
          <w:bCs/>
          <w:sz w:val="24"/>
          <w:szCs w:val="21"/>
        </w:rPr>
        <w:t>四、保修</w:t>
      </w:r>
    </w:p>
    <w:p w14:paraId="1C41FA2F">
      <w:pPr>
        <w:spacing w:line="400" w:lineRule="exact"/>
        <w:ind w:firstLine="480" w:firstLineChars="200"/>
        <w:rPr>
          <w:rFonts w:ascii="仿宋" w:hAnsi="仿宋" w:eastAsia="仿宋"/>
          <w:bCs/>
          <w:sz w:val="24"/>
          <w:szCs w:val="21"/>
        </w:rPr>
      </w:pPr>
      <w:r>
        <w:rPr>
          <w:rFonts w:hint="eastAsia" w:ascii="仿宋" w:hAnsi="仿宋" w:eastAsia="仿宋"/>
          <w:bCs/>
          <w:sz w:val="24"/>
          <w:szCs w:val="21"/>
        </w:rPr>
        <w:t>乙方所提供的上述产品免费质保期限为</w:t>
      </w:r>
      <w:r>
        <w:rPr>
          <w:rFonts w:hint="eastAsia" w:ascii="仿宋" w:hAnsi="仿宋" w:eastAsia="仿宋"/>
          <w:bCs/>
          <w:sz w:val="24"/>
          <w:szCs w:val="21"/>
          <w:u w:val="single"/>
        </w:rPr>
        <w:t xml:space="preserve">   </w:t>
      </w:r>
      <w:r>
        <w:rPr>
          <w:rFonts w:hint="eastAsia" w:ascii="仿宋" w:hAnsi="仿宋" w:eastAsia="仿宋"/>
          <w:bCs/>
          <w:sz w:val="24"/>
          <w:szCs w:val="21"/>
        </w:rPr>
        <w:t>年，时间按所有货物验收合格之日算起。质保期内免费上门服务响应时间为</w:t>
      </w:r>
      <w:r>
        <w:rPr>
          <w:rFonts w:hint="eastAsia" w:ascii="仿宋" w:hAnsi="仿宋" w:eastAsia="仿宋"/>
          <w:bCs/>
          <w:sz w:val="24"/>
          <w:szCs w:val="21"/>
          <w:u w:val="single"/>
        </w:rPr>
        <w:t xml:space="preserve">   </w:t>
      </w:r>
      <w:r>
        <w:rPr>
          <w:rFonts w:hint="eastAsia" w:ascii="仿宋" w:hAnsi="仿宋" w:eastAsia="仿宋"/>
          <w:bCs/>
          <w:sz w:val="24"/>
          <w:szCs w:val="21"/>
        </w:rPr>
        <w:t>小时，</w:t>
      </w:r>
      <w:r>
        <w:rPr>
          <w:rFonts w:hint="eastAsia" w:ascii="仿宋" w:hAnsi="仿宋" w:eastAsia="仿宋"/>
          <w:bCs/>
          <w:sz w:val="24"/>
          <w:szCs w:val="21"/>
          <w:u w:val="single"/>
        </w:rPr>
        <w:t xml:space="preserve">   </w:t>
      </w:r>
      <w:r>
        <w:rPr>
          <w:rFonts w:hint="eastAsia" w:ascii="仿宋" w:hAnsi="仿宋" w:eastAsia="仿宋"/>
          <w:bCs/>
          <w:sz w:val="24"/>
          <w:szCs w:val="21"/>
        </w:rPr>
        <w:t>小时内解决存在问题。质保期内货物不能及时维修时，乙方应向甲方提供相同的货物，以保证甲方的正常使用。质保期外的维修，乙方只收取材料费。</w:t>
      </w:r>
    </w:p>
    <w:p w14:paraId="40DF39A7">
      <w:pPr>
        <w:spacing w:line="400" w:lineRule="exact"/>
        <w:rPr>
          <w:rFonts w:ascii="仿宋" w:hAnsi="仿宋" w:eastAsia="仿宋"/>
          <w:bCs/>
          <w:sz w:val="24"/>
          <w:szCs w:val="21"/>
        </w:rPr>
      </w:pPr>
      <w:r>
        <w:rPr>
          <w:rFonts w:hint="eastAsia" w:ascii="仿宋" w:hAnsi="仿宋" w:eastAsia="仿宋"/>
          <w:bCs/>
          <w:sz w:val="24"/>
          <w:szCs w:val="21"/>
        </w:rPr>
        <w:t>五、技术培训</w:t>
      </w:r>
    </w:p>
    <w:p w14:paraId="109D8879">
      <w:pPr>
        <w:spacing w:line="400" w:lineRule="exact"/>
        <w:ind w:firstLine="480" w:firstLineChars="200"/>
        <w:rPr>
          <w:rFonts w:ascii="仿宋" w:hAnsi="仿宋" w:eastAsia="仿宋"/>
          <w:bCs/>
          <w:sz w:val="24"/>
          <w:szCs w:val="21"/>
        </w:rPr>
      </w:pPr>
      <w:r>
        <w:rPr>
          <w:rFonts w:hint="eastAsia" w:ascii="仿宋" w:hAnsi="仿宋" w:eastAsia="仿宋"/>
          <w:bCs/>
          <w:sz w:val="24"/>
          <w:szCs w:val="21"/>
        </w:rPr>
        <w:t>乙方免费为甲方在货物使用地提供1—3人的操作、保养及维修培训。</w:t>
      </w:r>
    </w:p>
    <w:p w14:paraId="65DAFA72">
      <w:pPr>
        <w:spacing w:line="400" w:lineRule="exact"/>
        <w:rPr>
          <w:rFonts w:ascii="仿宋" w:hAnsi="仿宋" w:eastAsia="仿宋"/>
          <w:bCs/>
          <w:sz w:val="24"/>
          <w:szCs w:val="21"/>
        </w:rPr>
      </w:pPr>
      <w:r>
        <w:rPr>
          <w:rFonts w:hint="eastAsia" w:ascii="仿宋" w:hAnsi="仿宋" w:eastAsia="仿宋"/>
          <w:bCs/>
          <w:sz w:val="24"/>
          <w:szCs w:val="21"/>
        </w:rPr>
        <w:t>六、付款</w:t>
      </w:r>
    </w:p>
    <w:p w14:paraId="034AB6EC">
      <w:pPr>
        <w:spacing w:line="400" w:lineRule="exact"/>
        <w:ind w:firstLine="480" w:firstLineChars="200"/>
        <w:rPr>
          <w:rFonts w:ascii="仿宋" w:hAnsi="仿宋" w:eastAsia="仿宋"/>
          <w:bCs/>
          <w:sz w:val="24"/>
          <w:szCs w:val="21"/>
        </w:rPr>
      </w:pPr>
      <w:r>
        <w:rPr>
          <w:rFonts w:hint="eastAsia" w:ascii="仿宋" w:hAnsi="仿宋" w:eastAsia="仿宋"/>
          <w:bCs/>
          <w:sz w:val="24"/>
          <w:szCs w:val="21"/>
        </w:rPr>
        <w:t>本合同签订前，乙方须向甲方缴纳合同总金额的5%，作为履约保证金，在项目验收合格后退还至公司账户，不计利息。</w:t>
      </w:r>
    </w:p>
    <w:p w14:paraId="0AEB07D7">
      <w:pPr>
        <w:spacing w:line="400" w:lineRule="exact"/>
        <w:ind w:firstLine="480" w:firstLineChars="200"/>
        <w:rPr>
          <w:rFonts w:ascii="仿宋" w:hAnsi="仿宋" w:eastAsia="仿宋"/>
          <w:bCs/>
          <w:sz w:val="24"/>
          <w:szCs w:val="21"/>
        </w:rPr>
      </w:pPr>
      <w:r>
        <w:rPr>
          <w:rFonts w:hint="eastAsia" w:ascii="仿宋" w:hAnsi="仿宋" w:eastAsia="仿宋"/>
          <w:bCs/>
          <w:sz w:val="24"/>
          <w:szCs w:val="21"/>
        </w:rPr>
        <w:t>所有货物经双方验收合格并签署验收单后在10个工作日内通过银行电汇方式付给乙方全额货款。</w:t>
      </w:r>
      <w:r>
        <w:rPr>
          <w:rFonts w:ascii="仿宋" w:hAnsi="仿宋" w:eastAsia="仿宋"/>
          <w:bCs/>
          <w:sz w:val="24"/>
          <w:szCs w:val="21"/>
        </w:rPr>
        <w:t>验收付款前，</w:t>
      </w:r>
      <w:r>
        <w:rPr>
          <w:rFonts w:hint="eastAsia" w:ascii="仿宋" w:hAnsi="仿宋" w:eastAsia="仿宋"/>
          <w:bCs/>
          <w:sz w:val="24"/>
          <w:szCs w:val="21"/>
        </w:rPr>
        <w:t>国产设备</w:t>
      </w:r>
      <w:r>
        <w:rPr>
          <w:rFonts w:ascii="仿宋" w:hAnsi="仿宋" w:eastAsia="仿宋"/>
          <w:bCs/>
          <w:sz w:val="24"/>
          <w:szCs w:val="21"/>
        </w:rPr>
        <w:t>乙方必须提供全额</w:t>
      </w:r>
      <w:r>
        <w:rPr>
          <w:rFonts w:hint="eastAsia" w:ascii="仿宋" w:hAnsi="仿宋" w:eastAsia="仿宋"/>
          <w:bCs/>
          <w:sz w:val="24"/>
          <w:szCs w:val="21"/>
        </w:rPr>
        <w:t>增值税专用</w:t>
      </w:r>
      <w:r>
        <w:rPr>
          <w:rFonts w:ascii="仿宋" w:hAnsi="仿宋" w:eastAsia="仿宋"/>
          <w:bCs/>
          <w:sz w:val="24"/>
          <w:szCs w:val="21"/>
        </w:rPr>
        <w:t>发票及供货清单。</w:t>
      </w:r>
    </w:p>
    <w:p w14:paraId="7D4A563F">
      <w:pPr>
        <w:spacing w:line="400" w:lineRule="exact"/>
        <w:ind w:firstLine="480" w:firstLineChars="200"/>
        <w:rPr>
          <w:rFonts w:ascii="仿宋" w:hAnsi="仿宋" w:eastAsia="仿宋"/>
          <w:bCs/>
          <w:sz w:val="24"/>
          <w:szCs w:val="21"/>
        </w:rPr>
      </w:pPr>
      <w:r>
        <w:rPr>
          <w:rFonts w:hint="eastAsia" w:ascii="仿宋" w:hAnsi="仿宋" w:eastAsia="仿宋"/>
          <w:bCs/>
          <w:sz w:val="24"/>
          <w:szCs w:val="21"/>
        </w:rPr>
        <w:t>乙方基本账户信息：</w:t>
      </w:r>
    </w:p>
    <w:p w14:paraId="38A1C67E">
      <w:pPr>
        <w:widowControl w:val="0"/>
        <w:spacing w:line="400" w:lineRule="exact"/>
        <w:ind w:firstLine="480" w:firstLineChars="200"/>
        <w:rPr>
          <w:rFonts w:ascii="仿宋" w:hAnsi="仿宋" w:eastAsia="仿宋"/>
          <w:bCs/>
          <w:sz w:val="24"/>
          <w:szCs w:val="21"/>
        </w:rPr>
      </w:pPr>
      <w:r>
        <w:rPr>
          <w:rFonts w:hint="eastAsia" w:ascii="仿宋" w:hAnsi="仿宋" w:eastAsia="仿宋"/>
          <w:bCs/>
          <w:sz w:val="24"/>
          <w:szCs w:val="21"/>
        </w:rPr>
        <w:t>单    位：</w:t>
      </w:r>
    </w:p>
    <w:p w14:paraId="7DD2A086">
      <w:pPr>
        <w:widowControl w:val="0"/>
        <w:spacing w:line="400" w:lineRule="exact"/>
        <w:ind w:firstLine="480" w:firstLineChars="200"/>
        <w:rPr>
          <w:rFonts w:ascii="仿宋" w:hAnsi="仿宋" w:eastAsia="仿宋"/>
          <w:bCs/>
          <w:sz w:val="24"/>
          <w:szCs w:val="21"/>
        </w:rPr>
      </w:pPr>
      <w:r>
        <w:rPr>
          <w:rFonts w:hint="eastAsia" w:ascii="仿宋" w:hAnsi="仿宋" w:eastAsia="仿宋"/>
          <w:bCs/>
          <w:sz w:val="24"/>
          <w:szCs w:val="21"/>
        </w:rPr>
        <w:t>开 户 行：</w:t>
      </w:r>
    </w:p>
    <w:p w14:paraId="0216F4F6">
      <w:pPr>
        <w:spacing w:line="400" w:lineRule="exact"/>
        <w:ind w:firstLine="480" w:firstLineChars="200"/>
        <w:rPr>
          <w:rFonts w:ascii="仿宋" w:hAnsi="仿宋" w:eastAsia="仿宋"/>
          <w:bCs/>
          <w:sz w:val="24"/>
          <w:szCs w:val="21"/>
        </w:rPr>
      </w:pPr>
      <w:r>
        <w:rPr>
          <w:rFonts w:hint="eastAsia" w:ascii="仿宋" w:hAnsi="仿宋" w:eastAsia="仿宋"/>
          <w:bCs/>
          <w:sz w:val="24"/>
          <w:szCs w:val="21"/>
        </w:rPr>
        <w:t>账    号：</w:t>
      </w:r>
    </w:p>
    <w:p w14:paraId="0028AC51">
      <w:pPr>
        <w:spacing w:line="400" w:lineRule="exact"/>
        <w:rPr>
          <w:rFonts w:ascii="仿宋" w:hAnsi="仿宋" w:eastAsia="仿宋"/>
          <w:bCs/>
          <w:sz w:val="24"/>
          <w:szCs w:val="21"/>
        </w:rPr>
      </w:pPr>
      <w:r>
        <w:rPr>
          <w:rFonts w:hint="eastAsia" w:ascii="仿宋" w:hAnsi="仿宋" w:eastAsia="仿宋"/>
          <w:bCs/>
          <w:sz w:val="24"/>
          <w:szCs w:val="21"/>
        </w:rPr>
        <w:t>七、违约责任</w:t>
      </w:r>
    </w:p>
    <w:p w14:paraId="470F1801">
      <w:pPr>
        <w:spacing w:line="400" w:lineRule="exact"/>
        <w:ind w:firstLine="480" w:firstLineChars="200"/>
        <w:rPr>
          <w:rFonts w:ascii="仿宋" w:hAnsi="仿宋" w:eastAsia="仿宋"/>
          <w:bCs/>
          <w:sz w:val="24"/>
          <w:szCs w:val="21"/>
        </w:rPr>
      </w:pPr>
      <w:r>
        <w:rPr>
          <w:rFonts w:hint="eastAsia" w:ascii="仿宋" w:hAnsi="仿宋" w:eastAsia="仿宋"/>
          <w:bCs/>
          <w:sz w:val="24"/>
          <w:szCs w:val="21"/>
        </w:rPr>
        <w:t>1、甲乙双方均应全面履行本合同，任何一方未能按照本合同的约定履行自己的义务，应当承担违约责任。</w:t>
      </w:r>
    </w:p>
    <w:p w14:paraId="7F41F1A4">
      <w:pPr>
        <w:spacing w:line="400" w:lineRule="exact"/>
        <w:ind w:firstLine="480" w:firstLineChars="200"/>
        <w:rPr>
          <w:rFonts w:ascii="仿宋" w:hAnsi="仿宋" w:eastAsia="仿宋"/>
          <w:bCs/>
          <w:sz w:val="24"/>
          <w:szCs w:val="21"/>
        </w:rPr>
      </w:pPr>
      <w:r>
        <w:rPr>
          <w:rFonts w:hint="eastAsia" w:ascii="仿宋" w:hAnsi="仿宋" w:eastAsia="仿宋"/>
          <w:bCs/>
          <w:sz w:val="24"/>
          <w:szCs w:val="21"/>
        </w:rPr>
        <w:t>2、乙方逾期交付货物的，则每逾期一天，按合同总额的3‰向甲方支付违约金，并承担因此给甲方造成的实际损失。逾期交付超过5天的，甲方有权单方解除合同，并没收全额履约保证金。</w:t>
      </w:r>
    </w:p>
    <w:p w14:paraId="601A609A">
      <w:pPr>
        <w:spacing w:line="400" w:lineRule="exact"/>
        <w:ind w:firstLine="480" w:firstLineChars="200"/>
        <w:rPr>
          <w:rFonts w:ascii="仿宋" w:hAnsi="仿宋" w:eastAsia="仿宋"/>
          <w:bCs/>
          <w:color w:val="FF0000"/>
          <w:sz w:val="24"/>
          <w:szCs w:val="21"/>
        </w:rPr>
      </w:pPr>
      <w:r>
        <w:rPr>
          <w:rFonts w:hint="eastAsia" w:ascii="仿宋" w:hAnsi="仿宋" w:eastAsia="仿宋"/>
          <w:bCs/>
          <w:sz w:val="24"/>
          <w:szCs w:val="21"/>
        </w:rPr>
        <w:t>3、若乙方未能按照合同约定的质量标准履行合同，甲方有权单方解除合同。对甲方造</w:t>
      </w:r>
      <w:r>
        <w:rPr>
          <w:rFonts w:ascii="仿宋" w:hAnsi="仿宋" w:eastAsia="仿宋"/>
          <w:bCs/>
          <w:sz w:val="24"/>
          <w:szCs w:val="21"/>
        </w:rPr>
        <w:t>成损失的，</w:t>
      </w:r>
      <w:r>
        <w:rPr>
          <w:rFonts w:hint="eastAsia" w:ascii="仿宋" w:hAnsi="仿宋" w:eastAsia="仿宋"/>
          <w:bCs/>
          <w:sz w:val="24"/>
          <w:szCs w:val="21"/>
        </w:rPr>
        <w:t>乙方应对</w:t>
      </w:r>
      <w:r>
        <w:rPr>
          <w:rFonts w:ascii="仿宋" w:hAnsi="仿宋" w:eastAsia="仿宋"/>
          <w:bCs/>
          <w:sz w:val="24"/>
          <w:szCs w:val="21"/>
        </w:rPr>
        <w:t>甲</w:t>
      </w:r>
      <w:r>
        <w:rPr>
          <w:rFonts w:hint="eastAsia" w:ascii="仿宋" w:hAnsi="仿宋" w:eastAsia="仿宋"/>
          <w:bCs/>
          <w:sz w:val="24"/>
          <w:szCs w:val="21"/>
        </w:rPr>
        <w:t>方损失全额赔偿，并按照合同金额20%的标准承担违约金</w:t>
      </w:r>
      <w:r>
        <w:rPr>
          <w:rFonts w:ascii="仿宋" w:hAnsi="仿宋" w:eastAsia="仿宋"/>
          <w:bCs/>
          <w:sz w:val="24"/>
          <w:szCs w:val="21"/>
        </w:rPr>
        <w:t>。</w:t>
      </w:r>
    </w:p>
    <w:p w14:paraId="3A9D802F">
      <w:pPr>
        <w:spacing w:line="400" w:lineRule="exact"/>
        <w:ind w:firstLine="480" w:firstLineChars="200"/>
        <w:rPr>
          <w:rFonts w:ascii="仿宋" w:hAnsi="仿宋" w:eastAsia="仿宋"/>
          <w:bCs/>
          <w:sz w:val="24"/>
          <w:szCs w:val="21"/>
        </w:rPr>
      </w:pPr>
      <w:r>
        <w:rPr>
          <w:rFonts w:hint="eastAsia" w:ascii="仿宋" w:hAnsi="仿宋" w:eastAsia="仿宋"/>
          <w:bCs/>
          <w:sz w:val="24"/>
          <w:szCs w:val="21"/>
        </w:rPr>
        <w:t>4、若乙方未按本合同的约定提供保修服务，甲方有权自行委托第三方提供甲方所需要的技术支持和售后服务，所发生的费用由乙方承担，如因此造成甲方损失的，乙方应承担赔偿责任。</w:t>
      </w:r>
    </w:p>
    <w:p w14:paraId="1F0645B3">
      <w:pPr>
        <w:spacing w:line="400" w:lineRule="exact"/>
        <w:ind w:firstLine="480" w:firstLineChars="200"/>
        <w:rPr>
          <w:rFonts w:ascii="仿宋" w:hAnsi="仿宋" w:eastAsia="仿宋"/>
          <w:bCs/>
          <w:sz w:val="24"/>
          <w:szCs w:val="21"/>
        </w:rPr>
      </w:pPr>
      <w:r>
        <w:rPr>
          <w:rFonts w:hint="eastAsia" w:ascii="仿宋" w:hAnsi="仿宋" w:eastAsia="仿宋"/>
          <w:bCs/>
          <w:sz w:val="24"/>
          <w:szCs w:val="21"/>
        </w:rPr>
        <w:t>5、甲乙双方的任何一方遇法定不可抗因素，造成合同履行不能或延时，由双方协商解决。</w:t>
      </w:r>
    </w:p>
    <w:p w14:paraId="5770322C">
      <w:pPr>
        <w:spacing w:line="400" w:lineRule="exact"/>
        <w:rPr>
          <w:rFonts w:ascii="仿宋" w:hAnsi="仿宋" w:eastAsia="仿宋"/>
          <w:bCs/>
          <w:sz w:val="24"/>
          <w:szCs w:val="21"/>
        </w:rPr>
      </w:pPr>
      <w:r>
        <w:rPr>
          <w:rFonts w:hint="eastAsia" w:ascii="仿宋" w:hAnsi="仿宋" w:eastAsia="仿宋"/>
          <w:bCs/>
          <w:sz w:val="24"/>
          <w:szCs w:val="21"/>
        </w:rPr>
        <w:t>八、合同书、本合同附件与本项目的招投标文件具有同等法律效力，合同未尽事宜执行招投标文件。</w:t>
      </w:r>
    </w:p>
    <w:p w14:paraId="3A096863">
      <w:pPr>
        <w:spacing w:line="400" w:lineRule="exact"/>
        <w:rPr>
          <w:rFonts w:ascii="仿宋" w:hAnsi="仿宋" w:eastAsia="仿宋"/>
          <w:bCs/>
          <w:sz w:val="24"/>
          <w:szCs w:val="21"/>
        </w:rPr>
      </w:pPr>
      <w:r>
        <w:rPr>
          <w:rFonts w:hint="eastAsia" w:ascii="仿宋" w:hAnsi="仿宋" w:eastAsia="仿宋"/>
          <w:bCs/>
          <w:sz w:val="24"/>
          <w:szCs w:val="21"/>
        </w:rPr>
        <w:t>九、解决合同纠纷方式：如有纠纷，双方友好协商解决，协商不成时应向杨陵区人民法院起诉。</w:t>
      </w:r>
    </w:p>
    <w:p w14:paraId="1C916D4C">
      <w:pPr>
        <w:spacing w:line="400" w:lineRule="exact"/>
        <w:rPr>
          <w:rFonts w:hint="eastAsia" w:ascii="仿宋" w:hAnsi="仿宋" w:eastAsia="仿宋"/>
          <w:bCs/>
          <w:sz w:val="24"/>
          <w:szCs w:val="21"/>
          <w:lang w:eastAsia="zh-CN"/>
        </w:rPr>
      </w:pPr>
      <w:r>
        <w:rPr>
          <w:rFonts w:hint="eastAsia" w:ascii="仿宋" w:hAnsi="仿宋" w:eastAsia="仿宋"/>
          <w:bCs/>
          <w:sz w:val="24"/>
          <w:szCs w:val="21"/>
        </w:rPr>
        <w:t xml:space="preserve">十、合同签订地点：陕西  </w:t>
      </w:r>
      <w:r>
        <w:rPr>
          <w:rFonts w:hint="eastAsia" w:ascii="仿宋" w:hAnsi="仿宋" w:eastAsia="仿宋"/>
          <w:bCs/>
          <w:sz w:val="24"/>
          <w:szCs w:val="21"/>
          <w:lang w:val="en-US" w:eastAsia="zh-CN"/>
        </w:rPr>
        <w:t xml:space="preserve">咸阳  </w:t>
      </w:r>
      <w:r>
        <w:rPr>
          <w:rFonts w:hint="eastAsia" w:ascii="仿宋" w:hAnsi="仿宋" w:eastAsia="仿宋"/>
          <w:bCs/>
          <w:sz w:val="24"/>
          <w:szCs w:val="21"/>
          <w:lang w:eastAsia="zh-CN"/>
        </w:rPr>
        <w:t>咸阳职业技术学院</w:t>
      </w:r>
    </w:p>
    <w:p w14:paraId="40C785A9">
      <w:pPr>
        <w:spacing w:line="400" w:lineRule="exact"/>
        <w:rPr>
          <w:rFonts w:ascii="仿宋" w:hAnsi="仿宋" w:eastAsia="仿宋"/>
          <w:bCs/>
          <w:sz w:val="24"/>
          <w:szCs w:val="21"/>
        </w:rPr>
      </w:pPr>
      <w:r>
        <w:rPr>
          <w:rFonts w:hint="eastAsia" w:ascii="仿宋" w:hAnsi="仿宋" w:eastAsia="仿宋"/>
          <w:bCs/>
          <w:sz w:val="24"/>
          <w:szCs w:val="21"/>
        </w:rPr>
        <w:t>十一、本合同书一式六份，甲方四份（校招采中心二份，使用单位二份），乙方二份。</w:t>
      </w:r>
    </w:p>
    <w:p w14:paraId="7C3F8399">
      <w:pPr>
        <w:spacing w:line="400" w:lineRule="exact"/>
        <w:rPr>
          <w:rFonts w:ascii="仿宋" w:hAnsi="仿宋" w:eastAsia="仿宋"/>
          <w:bCs/>
          <w:sz w:val="24"/>
          <w:szCs w:val="21"/>
        </w:rPr>
      </w:pPr>
      <w:r>
        <w:rPr>
          <w:rFonts w:hint="eastAsia" w:ascii="仿宋" w:hAnsi="仿宋" w:eastAsia="仿宋"/>
          <w:bCs/>
          <w:sz w:val="24"/>
          <w:szCs w:val="21"/>
        </w:rPr>
        <w:t>十二、本合同经甲、乙双方法定代表人或委托代理人签字并加盖单位公章后生效。</w:t>
      </w:r>
    </w:p>
    <w:p w14:paraId="11B0D567">
      <w:pPr>
        <w:spacing w:line="400" w:lineRule="exact"/>
        <w:ind w:left="551"/>
        <w:rPr>
          <w:rFonts w:ascii="仿宋" w:hAnsi="仿宋" w:eastAsia="仿宋"/>
          <w:bCs/>
          <w:sz w:val="24"/>
          <w:szCs w:val="21"/>
        </w:rPr>
      </w:pPr>
    </w:p>
    <w:p w14:paraId="7F636E55">
      <w:pPr>
        <w:spacing w:after="156" w:afterLines="50" w:line="400" w:lineRule="exact"/>
        <w:ind w:left="1251" w:leftChars="368"/>
        <w:rPr>
          <w:rFonts w:ascii="仿宋" w:hAnsi="仿宋" w:eastAsia="仿宋"/>
          <w:bCs/>
          <w:sz w:val="24"/>
          <w:szCs w:val="21"/>
        </w:rPr>
      </w:pPr>
      <w:r>
        <w:rPr>
          <w:rFonts w:hint="eastAsia" w:ascii="仿宋" w:hAnsi="仿宋" w:eastAsia="仿宋"/>
          <w:bCs/>
          <w:sz w:val="24"/>
          <w:szCs w:val="21"/>
        </w:rPr>
        <w:t>甲方：</w:t>
      </w:r>
      <w:r>
        <w:rPr>
          <w:rFonts w:hint="eastAsia" w:ascii="仿宋" w:hAnsi="仿宋" w:eastAsia="仿宋"/>
          <w:bCs/>
          <w:sz w:val="24"/>
          <w:szCs w:val="21"/>
          <w:lang w:eastAsia="zh-CN"/>
        </w:rPr>
        <w:t>咸阳职业技术学院</w:t>
      </w:r>
      <w:r>
        <w:rPr>
          <w:rFonts w:hint="eastAsia" w:ascii="仿宋" w:hAnsi="仿宋" w:eastAsia="仿宋"/>
          <w:bCs/>
          <w:sz w:val="24"/>
          <w:szCs w:val="21"/>
        </w:rPr>
        <w:t>（盖章）</w:t>
      </w:r>
    </w:p>
    <w:p w14:paraId="05FB4A61">
      <w:pPr>
        <w:spacing w:line="400" w:lineRule="exact"/>
        <w:ind w:left="1251" w:leftChars="368"/>
        <w:rPr>
          <w:rFonts w:ascii="仿宋" w:hAnsi="仿宋" w:eastAsia="仿宋"/>
          <w:bCs/>
          <w:sz w:val="24"/>
          <w:szCs w:val="21"/>
        </w:rPr>
      </w:pPr>
      <w:r>
        <w:rPr>
          <w:rFonts w:hint="eastAsia" w:ascii="仿宋" w:hAnsi="仿宋" w:eastAsia="仿宋"/>
          <w:bCs/>
          <w:sz w:val="24"/>
          <w:szCs w:val="21"/>
        </w:rPr>
        <w:t>代表：</w:t>
      </w:r>
      <w:r>
        <w:rPr>
          <w:rFonts w:hint="eastAsia" w:ascii="仿宋" w:hAnsi="仿宋" w:eastAsia="仿宋"/>
          <w:bCs/>
          <w:sz w:val="24"/>
          <w:szCs w:val="21"/>
          <w:u w:val="single"/>
        </w:rPr>
        <w:t xml:space="preserve">            </w:t>
      </w:r>
      <w:r>
        <w:rPr>
          <w:rFonts w:hint="eastAsia" w:ascii="仿宋" w:hAnsi="仿宋" w:eastAsia="仿宋"/>
          <w:bCs/>
          <w:sz w:val="24"/>
          <w:szCs w:val="21"/>
        </w:rPr>
        <w:t xml:space="preserve"> </w:t>
      </w:r>
    </w:p>
    <w:p w14:paraId="7DAF7E4B">
      <w:pPr>
        <w:spacing w:line="400" w:lineRule="exact"/>
        <w:ind w:left="1251" w:leftChars="368"/>
        <w:rPr>
          <w:rFonts w:hint="eastAsia" w:ascii="仿宋" w:hAnsi="仿宋" w:eastAsia="仿宋"/>
          <w:bCs/>
          <w:sz w:val="24"/>
          <w:szCs w:val="21"/>
          <w:lang w:val="en-US" w:eastAsia="zh-CN"/>
        </w:rPr>
      </w:pPr>
      <w:r>
        <w:rPr>
          <w:rFonts w:hint="eastAsia" w:ascii="仿宋" w:hAnsi="仿宋" w:eastAsia="仿宋"/>
          <w:bCs/>
          <w:sz w:val="24"/>
          <w:szCs w:val="21"/>
        </w:rPr>
        <w:t xml:space="preserve">地址：陕西     </w:t>
      </w:r>
      <w:r>
        <w:rPr>
          <w:rFonts w:hint="eastAsia" w:ascii="仿宋" w:hAnsi="仿宋" w:eastAsia="仿宋"/>
          <w:bCs/>
          <w:sz w:val="24"/>
          <w:szCs w:val="21"/>
          <w:lang w:val="en-US" w:eastAsia="zh-CN"/>
        </w:rPr>
        <w:t>咸阳</w:t>
      </w:r>
    </w:p>
    <w:p w14:paraId="0553F0B2">
      <w:pPr>
        <w:spacing w:line="400" w:lineRule="exact"/>
        <w:ind w:left="1251" w:leftChars="368"/>
        <w:rPr>
          <w:rFonts w:ascii="仿宋" w:hAnsi="仿宋" w:eastAsia="仿宋"/>
          <w:bCs/>
          <w:sz w:val="24"/>
          <w:szCs w:val="21"/>
        </w:rPr>
      </w:pPr>
      <w:r>
        <w:rPr>
          <w:rFonts w:hint="eastAsia" w:ascii="仿宋" w:hAnsi="仿宋" w:eastAsia="仿宋"/>
          <w:bCs/>
          <w:sz w:val="24"/>
          <w:szCs w:val="21"/>
        </w:rPr>
        <w:t xml:space="preserve">电话：029—87082444 </w:t>
      </w:r>
    </w:p>
    <w:p w14:paraId="33AE4A75">
      <w:pPr>
        <w:spacing w:line="400" w:lineRule="exact"/>
        <w:ind w:left="1251" w:leftChars="368"/>
        <w:rPr>
          <w:rFonts w:ascii="仿宋" w:hAnsi="仿宋" w:eastAsia="仿宋"/>
          <w:bCs/>
          <w:sz w:val="24"/>
          <w:szCs w:val="21"/>
        </w:rPr>
      </w:pPr>
    </w:p>
    <w:p w14:paraId="06FECD14">
      <w:pPr>
        <w:spacing w:after="156" w:afterLines="50" w:line="400" w:lineRule="exact"/>
        <w:ind w:left="1251" w:leftChars="368"/>
        <w:rPr>
          <w:rFonts w:ascii="仿宋" w:hAnsi="仿宋" w:eastAsia="仿宋"/>
          <w:bCs/>
          <w:sz w:val="24"/>
          <w:szCs w:val="21"/>
        </w:rPr>
      </w:pPr>
      <w:r>
        <w:rPr>
          <w:rFonts w:hint="eastAsia" w:ascii="仿宋" w:hAnsi="仿宋" w:eastAsia="仿宋"/>
          <w:bCs/>
          <w:sz w:val="24"/>
          <w:szCs w:val="21"/>
        </w:rPr>
        <w:t>乙方：                    （盖章）</w:t>
      </w:r>
    </w:p>
    <w:p w14:paraId="5A0A2992">
      <w:pPr>
        <w:spacing w:line="400" w:lineRule="exact"/>
        <w:ind w:left="1251" w:leftChars="368"/>
        <w:rPr>
          <w:rFonts w:ascii="仿宋" w:hAnsi="仿宋" w:eastAsia="仿宋"/>
          <w:bCs/>
          <w:sz w:val="24"/>
          <w:szCs w:val="21"/>
          <w:u w:val="single"/>
        </w:rPr>
      </w:pPr>
      <w:r>
        <w:rPr>
          <w:rFonts w:hint="eastAsia" w:ascii="仿宋" w:hAnsi="仿宋" w:eastAsia="仿宋"/>
          <w:bCs/>
          <w:sz w:val="24"/>
          <w:szCs w:val="21"/>
        </w:rPr>
        <w:t>代表：</w:t>
      </w:r>
      <w:r>
        <w:rPr>
          <w:rFonts w:hint="eastAsia" w:ascii="仿宋" w:hAnsi="仿宋" w:eastAsia="仿宋"/>
          <w:bCs/>
          <w:sz w:val="24"/>
          <w:szCs w:val="21"/>
          <w:u w:val="single"/>
        </w:rPr>
        <w:t xml:space="preserve">            </w:t>
      </w:r>
    </w:p>
    <w:p w14:paraId="440F3C75">
      <w:pPr>
        <w:spacing w:line="400" w:lineRule="exact"/>
        <w:ind w:left="1251" w:leftChars="368"/>
        <w:rPr>
          <w:rFonts w:ascii="仿宋" w:hAnsi="仿宋" w:eastAsia="仿宋"/>
          <w:bCs/>
          <w:sz w:val="24"/>
          <w:szCs w:val="21"/>
        </w:rPr>
      </w:pPr>
      <w:r>
        <w:rPr>
          <w:rFonts w:hint="eastAsia" w:ascii="仿宋" w:hAnsi="仿宋" w:eastAsia="仿宋"/>
          <w:bCs/>
          <w:sz w:val="24"/>
          <w:szCs w:val="21"/>
        </w:rPr>
        <w:t>地址：</w:t>
      </w:r>
    </w:p>
    <w:p w14:paraId="088F84AF">
      <w:pPr>
        <w:spacing w:line="400" w:lineRule="exact"/>
        <w:ind w:left="1251" w:leftChars="368"/>
        <w:rPr>
          <w:rFonts w:ascii="仿宋" w:hAnsi="仿宋" w:eastAsia="仿宋"/>
          <w:bCs/>
          <w:sz w:val="24"/>
          <w:szCs w:val="21"/>
        </w:rPr>
      </w:pPr>
      <w:r>
        <w:rPr>
          <w:rFonts w:hint="eastAsia" w:ascii="仿宋" w:hAnsi="仿宋" w:eastAsia="仿宋"/>
          <w:bCs/>
          <w:sz w:val="24"/>
          <w:szCs w:val="21"/>
        </w:rPr>
        <w:t>座机：                      手机：</w:t>
      </w:r>
    </w:p>
    <w:p w14:paraId="14CFC855">
      <w:pPr>
        <w:spacing w:line="400" w:lineRule="exact"/>
        <w:ind w:left="1251" w:leftChars="368"/>
        <w:rPr>
          <w:rFonts w:ascii="仿宋" w:hAnsi="仿宋" w:eastAsia="仿宋"/>
          <w:bCs/>
          <w:sz w:val="24"/>
          <w:szCs w:val="21"/>
        </w:rPr>
      </w:pPr>
    </w:p>
    <w:p w14:paraId="04F605CC">
      <w:pPr>
        <w:spacing w:line="400" w:lineRule="exact"/>
        <w:ind w:firstLine="4800" w:firstLineChars="2000"/>
        <w:rPr>
          <w:rFonts w:ascii="仿宋" w:hAnsi="仿宋" w:eastAsia="仿宋"/>
          <w:bCs/>
          <w:sz w:val="24"/>
          <w:szCs w:val="21"/>
        </w:rPr>
      </w:pPr>
      <w:r>
        <w:rPr>
          <w:rFonts w:hint="eastAsia" w:ascii="仿宋" w:hAnsi="仿宋" w:eastAsia="仿宋"/>
          <w:bCs/>
          <w:sz w:val="24"/>
          <w:szCs w:val="21"/>
        </w:rPr>
        <w:t>年   月   日</w:t>
      </w:r>
    </w:p>
    <w:p w14:paraId="6B295B28">
      <w:pPr>
        <w:spacing w:line="400" w:lineRule="exact"/>
        <w:rPr>
          <w:rFonts w:ascii="仿宋" w:hAnsi="仿宋" w:eastAsia="仿宋"/>
          <w:bCs/>
          <w:sz w:val="24"/>
          <w:szCs w:val="21"/>
        </w:rPr>
      </w:pPr>
      <w:r>
        <w:rPr>
          <w:rFonts w:hint="eastAsia" w:ascii="仿宋" w:hAnsi="仿宋" w:eastAsia="仿宋"/>
          <w:bCs/>
          <w:sz w:val="24"/>
          <w:szCs w:val="21"/>
        </w:rPr>
        <w:t>附件：具体配置及详细技术指标</w:t>
      </w:r>
    </w:p>
    <w:p w14:paraId="22E6E13E">
      <w:pPr>
        <w:spacing w:line="400" w:lineRule="exact"/>
        <w:rPr>
          <w:rFonts w:ascii="仿宋" w:hAnsi="仿宋" w:eastAsia="仿宋"/>
          <w:bCs/>
          <w:sz w:val="24"/>
          <w:szCs w:val="21"/>
        </w:rPr>
      </w:pPr>
      <w:r>
        <w:rPr>
          <w:rFonts w:ascii="仿宋" w:hAnsi="仿宋" w:eastAsia="仿宋"/>
          <w:bCs/>
          <w:sz w:val="24"/>
          <w:szCs w:val="21"/>
        </w:rPr>
        <w:br w:type="page"/>
      </w:r>
      <w:r>
        <w:rPr>
          <w:rFonts w:hint="eastAsia" w:ascii="仿宋" w:hAnsi="仿宋" w:eastAsia="仿宋"/>
          <w:bCs/>
          <w:sz w:val="24"/>
          <w:szCs w:val="21"/>
        </w:rPr>
        <w:t>附件：具体配置及详细技术指标</w:t>
      </w:r>
    </w:p>
    <w:p w14:paraId="4BE9A34E">
      <w:pPr>
        <w:spacing w:after="156" w:afterLines="50" w:line="400" w:lineRule="exact"/>
        <w:rPr>
          <w:rFonts w:ascii="仿宋" w:hAnsi="仿宋" w:eastAsia="仿宋"/>
          <w:bCs/>
          <w:sz w:val="24"/>
          <w:szCs w:val="21"/>
        </w:rPr>
      </w:pPr>
      <w:r>
        <w:rPr>
          <w:rFonts w:hint="eastAsia" w:ascii="仿宋" w:hAnsi="仿宋" w:eastAsia="仿宋"/>
          <w:bCs/>
          <w:sz w:val="24"/>
          <w:szCs w:val="21"/>
        </w:rPr>
        <w:t>一、</w:t>
      </w:r>
      <w:r>
        <w:rPr>
          <w:rFonts w:ascii="仿宋" w:hAnsi="仿宋" w:eastAsia="仿宋"/>
          <w:bCs/>
          <w:sz w:val="24"/>
          <w:szCs w:val="21"/>
        </w:rPr>
        <w:t>配置</w:t>
      </w:r>
      <w:r>
        <w:rPr>
          <w:rFonts w:hint="eastAsia" w:ascii="仿宋" w:hAnsi="仿宋" w:eastAsia="仿宋"/>
          <w:bCs/>
          <w:sz w:val="24"/>
          <w:szCs w:val="21"/>
        </w:rPr>
        <w:t>详单：</w:t>
      </w:r>
    </w:p>
    <w:tbl>
      <w:tblPr>
        <w:tblStyle w:val="16"/>
        <w:tblW w:w="8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507"/>
        <w:gridCol w:w="1276"/>
        <w:gridCol w:w="1559"/>
        <w:gridCol w:w="2127"/>
        <w:gridCol w:w="850"/>
      </w:tblGrid>
      <w:tr w14:paraId="05029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Pr>
          <w:p w14:paraId="6304F06A">
            <w:pPr>
              <w:spacing w:line="360" w:lineRule="exact"/>
              <w:jc w:val="center"/>
              <w:rPr>
                <w:rFonts w:ascii="仿宋" w:hAnsi="仿宋" w:eastAsia="仿宋"/>
                <w:bCs/>
                <w:sz w:val="22"/>
                <w:szCs w:val="21"/>
              </w:rPr>
            </w:pPr>
            <w:r>
              <w:rPr>
                <w:rFonts w:hint="eastAsia" w:ascii="仿宋" w:hAnsi="仿宋" w:eastAsia="仿宋"/>
                <w:bCs/>
                <w:sz w:val="22"/>
                <w:szCs w:val="21"/>
              </w:rPr>
              <w:t>序</w:t>
            </w:r>
            <w:r>
              <w:rPr>
                <w:rFonts w:ascii="仿宋" w:hAnsi="仿宋" w:eastAsia="仿宋"/>
                <w:bCs/>
                <w:sz w:val="22"/>
                <w:szCs w:val="21"/>
              </w:rPr>
              <w:t>号</w:t>
            </w:r>
          </w:p>
        </w:tc>
        <w:tc>
          <w:tcPr>
            <w:tcW w:w="1507" w:type="dxa"/>
          </w:tcPr>
          <w:p w14:paraId="66F75727">
            <w:pPr>
              <w:spacing w:line="360" w:lineRule="exact"/>
              <w:jc w:val="center"/>
              <w:rPr>
                <w:rFonts w:ascii="仿宋" w:hAnsi="仿宋" w:eastAsia="仿宋"/>
                <w:bCs/>
                <w:sz w:val="22"/>
                <w:szCs w:val="21"/>
              </w:rPr>
            </w:pPr>
            <w:r>
              <w:rPr>
                <w:rFonts w:hint="eastAsia" w:ascii="仿宋" w:hAnsi="仿宋" w:eastAsia="仿宋"/>
                <w:bCs/>
                <w:sz w:val="22"/>
                <w:szCs w:val="21"/>
              </w:rPr>
              <w:t>名</w:t>
            </w:r>
            <w:r>
              <w:rPr>
                <w:rFonts w:ascii="仿宋" w:hAnsi="仿宋" w:eastAsia="仿宋"/>
                <w:bCs/>
                <w:sz w:val="22"/>
                <w:szCs w:val="21"/>
              </w:rPr>
              <w:t>称</w:t>
            </w:r>
          </w:p>
        </w:tc>
        <w:tc>
          <w:tcPr>
            <w:tcW w:w="1276" w:type="dxa"/>
          </w:tcPr>
          <w:p w14:paraId="0F72C888">
            <w:pPr>
              <w:spacing w:line="360" w:lineRule="exact"/>
              <w:jc w:val="center"/>
              <w:rPr>
                <w:rFonts w:ascii="仿宋" w:hAnsi="仿宋" w:eastAsia="仿宋"/>
                <w:bCs/>
                <w:sz w:val="22"/>
                <w:szCs w:val="21"/>
              </w:rPr>
            </w:pPr>
            <w:r>
              <w:rPr>
                <w:rFonts w:hint="eastAsia" w:ascii="仿宋" w:hAnsi="仿宋" w:eastAsia="仿宋"/>
                <w:bCs/>
                <w:sz w:val="22"/>
                <w:szCs w:val="21"/>
              </w:rPr>
              <w:t>品牌</w:t>
            </w:r>
          </w:p>
        </w:tc>
        <w:tc>
          <w:tcPr>
            <w:tcW w:w="1559" w:type="dxa"/>
          </w:tcPr>
          <w:p w14:paraId="3CC2D37C">
            <w:pPr>
              <w:spacing w:line="360" w:lineRule="exact"/>
              <w:jc w:val="center"/>
              <w:rPr>
                <w:rFonts w:ascii="仿宋" w:hAnsi="仿宋" w:eastAsia="仿宋"/>
                <w:bCs/>
                <w:sz w:val="22"/>
                <w:szCs w:val="21"/>
              </w:rPr>
            </w:pPr>
            <w:r>
              <w:rPr>
                <w:rFonts w:hint="eastAsia" w:ascii="仿宋" w:hAnsi="仿宋" w:eastAsia="仿宋"/>
                <w:bCs/>
                <w:sz w:val="22"/>
                <w:szCs w:val="21"/>
              </w:rPr>
              <w:t>规格型号</w:t>
            </w:r>
          </w:p>
        </w:tc>
        <w:tc>
          <w:tcPr>
            <w:tcW w:w="2127" w:type="dxa"/>
          </w:tcPr>
          <w:p w14:paraId="680E0CFC">
            <w:pPr>
              <w:spacing w:line="360" w:lineRule="exact"/>
              <w:jc w:val="center"/>
              <w:rPr>
                <w:rFonts w:ascii="仿宋" w:hAnsi="仿宋" w:eastAsia="仿宋"/>
                <w:bCs/>
                <w:sz w:val="22"/>
                <w:szCs w:val="21"/>
              </w:rPr>
            </w:pPr>
            <w:r>
              <w:rPr>
                <w:rFonts w:hint="eastAsia" w:ascii="仿宋" w:hAnsi="仿宋" w:eastAsia="仿宋"/>
                <w:bCs/>
                <w:sz w:val="22"/>
                <w:szCs w:val="21"/>
              </w:rPr>
              <w:t>生</w:t>
            </w:r>
            <w:r>
              <w:rPr>
                <w:rFonts w:ascii="仿宋" w:hAnsi="仿宋" w:eastAsia="仿宋"/>
                <w:bCs/>
                <w:sz w:val="22"/>
                <w:szCs w:val="21"/>
              </w:rPr>
              <w:t>产厂家全</w:t>
            </w:r>
            <w:r>
              <w:rPr>
                <w:rFonts w:hint="eastAsia" w:ascii="仿宋" w:hAnsi="仿宋" w:eastAsia="仿宋"/>
                <w:bCs/>
                <w:sz w:val="22"/>
                <w:szCs w:val="21"/>
              </w:rPr>
              <w:t>称</w:t>
            </w:r>
          </w:p>
        </w:tc>
        <w:tc>
          <w:tcPr>
            <w:tcW w:w="850" w:type="dxa"/>
          </w:tcPr>
          <w:p w14:paraId="7AEB17FB">
            <w:pPr>
              <w:spacing w:line="360" w:lineRule="exact"/>
              <w:jc w:val="center"/>
              <w:rPr>
                <w:rFonts w:ascii="仿宋" w:hAnsi="仿宋" w:eastAsia="仿宋"/>
                <w:bCs/>
                <w:sz w:val="22"/>
                <w:szCs w:val="21"/>
              </w:rPr>
            </w:pPr>
            <w:r>
              <w:rPr>
                <w:rFonts w:hint="eastAsia" w:ascii="仿宋" w:hAnsi="仿宋" w:eastAsia="仿宋"/>
                <w:bCs/>
                <w:sz w:val="22"/>
                <w:szCs w:val="21"/>
              </w:rPr>
              <w:t>数</w:t>
            </w:r>
            <w:r>
              <w:rPr>
                <w:rFonts w:ascii="仿宋" w:hAnsi="仿宋" w:eastAsia="仿宋"/>
                <w:bCs/>
                <w:sz w:val="22"/>
                <w:szCs w:val="21"/>
              </w:rPr>
              <w:t>量</w:t>
            </w:r>
          </w:p>
        </w:tc>
      </w:tr>
      <w:tr w14:paraId="4EA89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Pr>
          <w:p w14:paraId="64B657DE">
            <w:pPr>
              <w:spacing w:line="360" w:lineRule="exact"/>
              <w:jc w:val="center"/>
              <w:rPr>
                <w:rFonts w:ascii="仿宋" w:hAnsi="仿宋" w:eastAsia="仿宋"/>
                <w:bCs/>
                <w:sz w:val="22"/>
                <w:szCs w:val="21"/>
              </w:rPr>
            </w:pPr>
            <w:r>
              <w:rPr>
                <w:rFonts w:hint="eastAsia" w:ascii="仿宋" w:hAnsi="仿宋" w:eastAsia="仿宋"/>
                <w:bCs/>
                <w:sz w:val="22"/>
                <w:szCs w:val="21"/>
              </w:rPr>
              <w:t>1</w:t>
            </w:r>
          </w:p>
        </w:tc>
        <w:tc>
          <w:tcPr>
            <w:tcW w:w="1507" w:type="dxa"/>
          </w:tcPr>
          <w:p w14:paraId="1A6D653B">
            <w:pPr>
              <w:spacing w:line="360" w:lineRule="exact"/>
              <w:jc w:val="center"/>
              <w:rPr>
                <w:rFonts w:ascii="仿宋" w:hAnsi="仿宋" w:eastAsia="仿宋"/>
                <w:bCs/>
                <w:sz w:val="22"/>
                <w:szCs w:val="21"/>
              </w:rPr>
            </w:pPr>
          </w:p>
        </w:tc>
        <w:tc>
          <w:tcPr>
            <w:tcW w:w="1276" w:type="dxa"/>
          </w:tcPr>
          <w:p w14:paraId="5741E1A6">
            <w:pPr>
              <w:spacing w:line="360" w:lineRule="exact"/>
              <w:jc w:val="center"/>
              <w:rPr>
                <w:rFonts w:ascii="仿宋" w:hAnsi="仿宋" w:eastAsia="仿宋"/>
                <w:bCs/>
                <w:sz w:val="22"/>
                <w:szCs w:val="21"/>
              </w:rPr>
            </w:pPr>
          </w:p>
        </w:tc>
        <w:tc>
          <w:tcPr>
            <w:tcW w:w="1559" w:type="dxa"/>
          </w:tcPr>
          <w:p w14:paraId="6D811C68">
            <w:pPr>
              <w:spacing w:line="360" w:lineRule="exact"/>
              <w:jc w:val="center"/>
              <w:rPr>
                <w:rFonts w:ascii="仿宋" w:hAnsi="仿宋" w:eastAsia="仿宋"/>
                <w:bCs/>
                <w:sz w:val="22"/>
                <w:szCs w:val="21"/>
              </w:rPr>
            </w:pPr>
          </w:p>
        </w:tc>
        <w:tc>
          <w:tcPr>
            <w:tcW w:w="2127" w:type="dxa"/>
          </w:tcPr>
          <w:p w14:paraId="604340AF">
            <w:pPr>
              <w:spacing w:line="360" w:lineRule="exact"/>
              <w:jc w:val="center"/>
              <w:rPr>
                <w:rFonts w:ascii="仿宋" w:hAnsi="仿宋" w:eastAsia="仿宋"/>
                <w:bCs/>
                <w:sz w:val="22"/>
                <w:szCs w:val="21"/>
              </w:rPr>
            </w:pPr>
          </w:p>
        </w:tc>
        <w:tc>
          <w:tcPr>
            <w:tcW w:w="850" w:type="dxa"/>
          </w:tcPr>
          <w:p w14:paraId="4ECE45DE">
            <w:pPr>
              <w:spacing w:line="360" w:lineRule="exact"/>
              <w:jc w:val="center"/>
              <w:rPr>
                <w:rFonts w:ascii="仿宋" w:hAnsi="仿宋" w:eastAsia="仿宋"/>
                <w:bCs/>
                <w:sz w:val="22"/>
                <w:szCs w:val="21"/>
              </w:rPr>
            </w:pPr>
          </w:p>
        </w:tc>
      </w:tr>
      <w:tr w14:paraId="5B5C3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Pr>
          <w:p w14:paraId="5AB1BAFB">
            <w:pPr>
              <w:spacing w:line="360" w:lineRule="exact"/>
              <w:jc w:val="center"/>
              <w:rPr>
                <w:rFonts w:ascii="仿宋" w:hAnsi="仿宋" w:eastAsia="仿宋"/>
                <w:bCs/>
                <w:sz w:val="22"/>
                <w:szCs w:val="21"/>
              </w:rPr>
            </w:pPr>
            <w:r>
              <w:rPr>
                <w:rFonts w:hint="eastAsia" w:ascii="仿宋" w:hAnsi="仿宋" w:eastAsia="仿宋"/>
                <w:bCs/>
                <w:sz w:val="22"/>
                <w:szCs w:val="21"/>
              </w:rPr>
              <w:t>2</w:t>
            </w:r>
          </w:p>
        </w:tc>
        <w:tc>
          <w:tcPr>
            <w:tcW w:w="1507" w:type="dxa"/>
          </w:tcPr>
          <w:p w14:paraId="16A00152">
            <w:pPr>
              <w:spacing w:line="360" w:lineRule="exact"/>
              <w:jc w:val="center"/>
              <w:rPr>
                <w:rFonts w:ascii="仿宋" w:hAnsi="仿宋" w:eastAsia="仿宋"/>
                <w:bCs/>
                <w:sz w:val="22"/>
                <w:szCs w:val="21"/>
              </w:rPr>
            </w:pPr>
          </w:p>
        </w:tc>
        <w:tc>
          <w:tcPr>
            <w:tcW w:w="1276" w:type="dxa"/>
          </w:tcPr>
          <w:p w14:paraId="7A4602BD">
            <w:pPr>
              <w:spacing w:line="360" w:lineRule="exact"/>
              <w:jc w:val="center"/>
              <w:rPr>
                <w:rFonts w:ascii="仿宋" w:hAnsi="仿宋" w:eastAsia="仿宋"/>
                <w:bCs/>
                <w:sz w:val="22"/>
                <w:szCs w:val="21"/>
              </w:rPr>
            </w:pPr>
          </w:p>
        </w:tc>
        <w:tc>
          <w:tcPr>
            <w:tcW w:w="1559" w:type="dxa"/>
          </w:tcPr>
          <w:p w14:paraId="29F057CD">
            <w:pPr>
              <w:spacing w:line="360" w:lineRule="exact"/>
              <w:jc w:val="center"/>
              <w:rPr>
                <w:rFonts w:ascii="仿宋" w:hAnsi="仿宋" w:eastAsia="仿宋"/>
                <w:bCs/>
                <w:sz w:val="22"/>
                <w:szCs w:val="21"/>
              </w:rPr>
            </w:pPr>
          </w:p>
        </w:tc>
        <w:tc>
          <w:tcPr>
            <w:tcW w:w="2127" w:type="dxa"/>
          </w:tcPr>
          <w:p w14:paraId="46E6F48F">
            <w:pPr>
              <w:spacing w:line="360" w:lineRule="exact"/>
              <w:jc w:val="center"/>
              <w:rPr>
                <w:rFonts w:ascii="仿宋" w:hAnsi="仿宋" w:eastAsia="仿宋"/>
                <w:bCs/>
                <w:sz w:val="22"/>
                <w:szCs w:val="21"/>
              </w:rPr>
            </w:pPr>
          </w:p>
        </w:tc>
        <w:tc>
          <w:tcPr>
            <w:tcW w:w="850" w:type="dxa"/>
          </w:tcPr>
          <w:p w14:paraId="3D345F80">
            <w:pPr>
              <w:spacing w:line="360" w:lineRule="exact"/>
              <w:jc w:val="center"/>
              <w:rPr>
                <w:rFonts w:ascii="仿宋" w:hAnsi="仿宋" w:eastAsia="仿宋"/>
                <w:bCs/>
                <w:sz w:val="22"/>
                <w:szCs w:val="21"/>
              </w:rPr>
            </w:pPr>
          </w:p>
        </w:tc>
      </w:tr>
      <w:tr w14:paraId="7DF77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Pr>
          <w:p w14:paraId="325E6211">
            <w:pPr>
              <w:spacing w:line="360" w:lineRule="exact"/>
              <w:jc w:val="center"/>
              <w:rPr>
                <w:rFonts w:ascii="仿宋" w:hAnsi="仿宋" w:eastAsia="仿宋"/>
                <w:bCs/>
                <w:sz w:val="22"/>
                <w:szCs w:val="21"/>
              </w:rPr>
            </w:pPr>
            <w:r>
              <w:rPr>
                <w:rFonts w:hint="eastAsia" w:ascii="仿宋" w:hAnsi="仿宋" w:eastAsia="仿宋"/>
                <w:bCs/>
                <w:sz w:val="22"/>
                <w:szCs w:val="21"/>
              </w:rPr>
              <w:t>…</w:t>
            </w:r>
          </w:p>
        </w:tc>
        <w:tc>
          <w:tcPr>
            <w:tcW w:w="1507" w:type="dxa"/>
          </w:tcPr>
          <w:p w14:paraId="1F906856">
            <w:pPr>
              <w:spacing w:line="360" w:lineRule="exact"/>
              <w:jc w:val="center"/>
              <w:rPr>
                <w:rFonts w:ascii="仿宋" w:hAnsi="仿宋" w:eastAsia="仿宋"/>
                <w:bCs/>
                <w:sz w:val="22"/>
                <w:szCs w:val="21"/>
              </w:rPr>
            </w:pPr>
          </w:p>
        </w:tc>
        <w:tc>
          <w:tcPr>
            <w:tcW w:w="1276" w:type="dxa"/>
          </w:tcPr>
          <w:p w14:paraId="39990777">
            <w:pPr>
              <w:spacing w:line="360" w:lineRule="exact"/>
              <w:jc w:val="center"/>
              <w:rPr>
                <w:rFonts w:ascii="仿宋" w:hAnsi="仿宋" w:eastAsia="仿宋"/>
                <w:bCs/>
                <w:sz w:val="22"/>
                <w:szCs w:val="21"/>
              </w:rPr>
            </w:pPr>
          </w:p>
        </w:tc>
        <w:tc>
          <w:tcPr>
            <w:tcW w:w="1559" w:type="dxa"/>
          </w:tcPr>
          <w:p w14:paraId="6B5021AF">
            <w:pPr>
              <w:spacing w:line="360" w:lineRule="exact"/>
              <w:jc w:val="center"/>
              <w:rPr>
                <w:rFonts w:ascii="仿宋" w:hAnsi="仿宋" w:eastAsia="仿宋"/>
                <w:bCs/>
                <w:sz w:val="22"/>
                <w:szCs w:val="21"/>
              </w:rPr>
            </w:pPr>
          </w:p>
        </w:tc>
        <w:tc>
          <w:tcPr>
            <w:tcW w:w="2127" w:type="dxa"/>
          </w:tcPr>
          <w:p w14:paraId="44D216E8">
            <w:pPr>
              <w:spacing w:line="360" w:lineRule="exact"/>
              <w:jc w:val="center"/>
              <w:rPr>
                <w:rFonts w:ascii="仿宋" w:hAnsi="仿宋" w:eastAsia="仿宋"/>
                <w:bCs/>
                <w:sz w:val="22"/>
                <w:szCs w:val="21"/>
              </w:rPr>
            </w:pPr>
          </w:p>
        </w:tc>
        <w:tc>
          <w:tcPr>
            <w:tcW w:w="850" w:type="dxa"/>
          </w:tcPr>
          <w:p w14:paraId="45A95620">
            <w:pPr>
              <w:spacing w:line="360" w:lineRule="exact"/>
              <w:jc w:val="center"/>
              <w:rPr>
                <w:rFonts w:ascii="仿宋" w:hAnsi="仿宋" w:eastAsia="仿宋"/>
                <w:bCs/>
                <w:sz w:val="22"/>
                <w:szCs w:val="21"/>
              </w:rPr>
            </w:pPr>
          </w:p>
        </w:tc>
      </w:tr>
    </w:tbl>
    <w:p w14:paraId="6894F5CF">
      <w:pPr>
        <w:spacing w:line="400" w:lineRule="exact"/>
        <w:ind w:left="720"/>
        <w:rPr>
          <w:rFonts w:ascii="仿宋" w:hAnsi="仿宋" w:eastAsia="仿宋"/>
          <w:bCs/>
          <w:sz w:val="24"/>
          <w:szCs w:val="21"/>
        </w:rPr>
      </w:pPr>
    </w:p>
    <w:p w14:paraId="284169A6">
      <w:pPr>
        <w:spacing w:line="400" w:lineRule="exact"/>
        <w:rPr>
          <w:rFonts w:ascii="仿宋" w:hAnsi="仿宋" w:eastAsia="仿宋"/>
          <w:bCs/>
          <w:sz w:val="24"/>
          <w:szCs w:val="21"/>
        </w:rPr>
      </w:pPr>
      <w:r>
        <w:rPr>
          <w:rFonts w:hint="eastAsia" w:ascii="仿宋" w:hAnsi="仿宋" w:eastAsia="仿宋"/>
          <w:bCs/>
          <w:sz w:val="24"/>
          <w:szCs w:val="21"/>
        </w:rPr>
        <w:t>二、</w:t>
      </w:r>
      <w:r>
        <w:rPr>
          <w:rFonts w:ascii="仿宋" w:hAnsi="仿宋" w:eastAsia="仿宋"/>
          <w:bCs/>
          <w:sz w:val="24"/>
          <w:szCs w:val="21"/>
        </w:rPr>
        <w:t>技术指标</w:t>
      </w:r>
      <w:r>
        <w:rPr>
          <w:rFonts w:hint="eastAsia" w:ascii="仿宋" w:hAnsi="仿宋" w:eastAsia="仿宋"/>
          <w:bCs/>
          <w:sz w:val="24"/>
          <w:szCs w:val="21"/>
        </w:rPr>
        <w:t>：</w:t>
      </w:r>
    </w:p>
    <w:p w14:paraId="5F028822">
      <w:pPr>
        <w:spacing w:line="400" w:lineRule="exact"/>
        <w:rPr>
          <w:rFonts w:ascii="仿宋" w:hAnsi="仿宋" w:eastAsia="仿宋"/>
          <w:bCs/>
          <w:sz w:val="24"/>
          <w:szCs w:val="21"/>
        </w:rPr>
      </w:pPr>
    </w:p>
    <w:p w14:paraId="4502593B">
      <w:pPr>
        <w:spacing w:line="400" w:lineRule="exact"/>
        <w:rPr>
          <w:rFonts w:ascii="仿宋" w:hAnsi="仿宋" w:eastAsia="仿宋"/>
          <w:bCs/>
          <w:sz w:val="28"/>
        </w:rPr>
      </w:pPr>
    </w:p>
    <w:p w14:paraId="3CE7EDA9"/>
    <w:p w14:paraId="3710531A">
      <w:r>
        <w:br w:type="page"/>
      </w:r>
    </w:p>
    <w:sectPr>
      <w:headerReference r:id="rId9" w:type="first"/>
      <w:footerReference r:id="rId12" w:type="first"/>
      <w:headerReference r:id="rId7" w:type="default"/>
      <w:footerReference r:id="rId10" w:type="default"/>
      <w:headerReference r:id="rId8" w:type="even"/>
      <w:footerReference r:id="rId11"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E4651">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D46FB">
                          <w:pPr>
                            <w:pStyle w:val="11"/>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F2D46FB">
                    <w:pPr>
                      <w:pStyle w:val="11"/>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A0C19">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71856A46">
                          <w:pPr>
                            <w:pStyle w:val="11"/>
                          </w:pPr>
                          <w:r>
                            <w:fldChar w:fldCharType="begin"/>
                          </w:r>
                          <w:r>
                            <w:instrText xml:space="preserve"> PAGE  \* MERGEFORMAT </w:instrText>
                          </w:r>
                          <w:r>
                            <w:fldChar w:fldCharType="separate"/>
                          </w:r>
                          <w:r>
                            <w:t>26</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rpb8P0QAAAAMBAAAPAAAAAAAAAAEAIAAAACIAAABkcnMvZG93bnJldi54bWxQ&#10;SwECFAAUAAAACACHTuJAPEqhov4BAAAPBAAADgAAAAAAAAABACAAAAAgAQAAZHJzL2Uyb0RvYy54&#10;bWxQSwUGAAAAAAYABgBZAQAAkAUAAAAA&#10;">
              <v:fill on="f" focussize="0,0"/>
              <v:stroke on="f"/>
              <v:imagedata o:title=""/>
              <o:lock v:ext="edit" aspectratio="f"/>
              <v:textbox inset="0mm,0mm,0mm,0mm" style="mso-fit-shape-to-text:t;">
                <w:txbxContent>
                  <w:p w14:paraId="71856A46">
                    <w:pPr>
                      <w:pStyle w:val="11"/>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8C3F8">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49BED4">
                          <w:pPr>
                            <w:pStyle w:val="11"/>
                            <w:jc w:val="center"/>
                            <w:rPr>
                              <w:rStyle w:val="19"/>
                            </w:rPr>
                          </w:pPr>
                          <w:r>
                            <w:fldChar w:fldCharType="begin"/>
                          </w:r>
                          <w:r>
                            <w:rPr>
                              <w:rStyle w:val="19"/>
                            </w:rPr>
                            <w:instrText xml:space="preserve">PAGE  </w:instrText>
                          </w:r>
                          <w:r>
                            <w:fldChar w:fldCharType="separate"/>
                          </w:r>
                          <w:r>
                            <w:rPr>
                              <w:rStyle w:val="19"/>
                            </w:rPr>
                            <w:t>31</w:t>
                          </w:r>
                          <w:r>
                            <w:fldChar w:fldCharType="end"/>
                          </w:r>
                        </w:p>
                        <w:p w14:paraId="74A2E50E"/>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F49BED4">
                    <w:pPr>
                      <w:pStyle w:val="11"/>
                      <w:jc w:val="center"/>
                      <w:rPr>
                        <w:rStyle w:val="19"/>
                      </w:rPr>
                    </w:pPr>
                    <w:r>
                      <w:fldChar w:fldCharType="begin"/>
                    </w:r>
                    <w:r>
                      <w:rPr>
                        <w:rStyle w:val="19"/>
                      </w:rPr>
                      <w:instrText xml:space="preserve">PAGE  </w:instrText>
                    </w:r>
                    <w:r>
                      <w:fldChar w:fldCharType="separate"/>
                    </w:r>
                    <w:r>
                      <w:rPr>
                        <w:rStyle w:val="19"/>
                      </w:rPr>
                      <w:t>31</w:t>
                    </w:r>
                    <w:r>
                      <w:fldChar w:fldCharType="end"/>
                    </w:r>
                  </w:p>
                  <w:p w14:paraId="74A2E50E"/>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F9FF0">
    <w:pPr>
      <w:pStyle w:val="1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F11BA3">
                          <w:pPr>
                            <w:pStyle w:val="11"/>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CF11BA3">
                    <w:pPr>
                      <w:pStyle w:val="11"/>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FE231">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FCEDA">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A13CF">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96FFE">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C8FC1">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C3ED8">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FFED41"/>
    <w:multiLevelType w:val="singleLevel"/>
    <w:tmpl w:val="28FFED41"/>
    <w:lvl w:ilvl="0" w:tentative="0">
      <w:start w:val="18"/>
      <w:numFmt w:val="decimal"/>
      <w:lvlText w:val="%1."/>
      <w:lvlJc w:val="left"/>
      <w:pPr>
        <w:tabs>
          <w:tab w:val="left" w:pos="312"/>
        </w:tabs>
      </w:pPr>
    </w:lvl>
  </w:abstractNum>
  <w:abstractNum w:abstractNumId="1">
    <w:nsid w:val="53F0996D"/>
    <w:multiLevelType w:val="singleLevel"/>
    <w:tmpl w:val="53F0996D"/>
    <w:lvl w:ilvl="0" w:tentative="0">
      <w:start w:val="1"/>
      <w:numFmt w:val="chineseCounting"/>
      <w:suff w:val="nothing"/>
      <w:lvlText w:val="（%1）"/>
      <w:lvlJc w:val="left"/>
      <w:rPr>
        <w:rFonts w:cs="Times New Roman"/>
      </w:rPr>
    </w:lvl>
  </w:abstractNum>
  <w:abstractNum w:abstractNumId="2">
    <w:nsid w:val="593B76D0"/>
    <w:multiLevelType w:val="singleLevel"/>
    <w:tmpl w:val="593B76D0"/>
    <w:lvl w:ilvl="0" w:tentative="0">
      <w:start w:val="4"/>
      <w:numFmt w:val="chineseCounting"/>
      <w:suff w:val="space"/>
      <w:lvlText w:val="第%1章"/>
      <w:lvlJc w:val="left"/>
      <w:rPr>
        <w:rFonts w:cs="Times New Roman"/>
      </w:rPr>
    </w:lvl>
  </w:abstractNum>
  <w:abstractNum w:abstractNumId="3">
    <w:nsid w:val="59C07086"/>
    <w:multiLevelType w:val="singleLevel"/>
    <w:tmpl w:val="59C07086"/>
    <w:lvl w:ilvl="0" w:tentative="0">
      <w:start w:val="1"/>
      <w:numFmt w:val="decimal"/>
      <w:suff w:val="nothing"/>
      <w:lvlText w:val="%1、"/>
      <w:lvlJc w:val="left"/>
      <w:rPr>
        <w:rFonts w:cs="Times New Roman"/>
      </w:rPr>
    </w:lvl>
  </w:abstractNum>
  <w:abstractNum w:abstractNumId="4">
    <w:nsid w:val="59DAE5C0"/>
    <w:multiLevelType w:val="singleLevel"/>
    <w:tmpl w:val="59DAE5C0"/>
    <w:lvl w:ilvl="0" w:tentative="0">
      <w:start w:val="3"/>
      <w:numFmt w:val="chineseCounting"/>
      <w:suff w:val="nothing"/>
      <w:lvlText w:val="%1、"/>
      <w:lvlJc w:val="left"/>
      <w:rPr>
        <w:rFonts w:cs="Times New Roman"/>
      </w:rPr>
    </w:lvl>
  </w:abstractNum>
  <w:abstractNum w:abstractNumId="5">
    <w:nsid w:val="59DB328A"/>
    <w:multiLevelType w:val="singleLevel"/>
    <w:tmpl w:val="59DB328A"/>
    <w:lvl w:ilvl="0" w:tentative="0">
      <w:start w:val="1"/>
      <w:numFmt w:val="decimal"/>
      <w:suff w:val="nothing"/>
      <w:lvlText w:val="（%1）"/>
      <w:lvlJc w:val="left"/>
      <w:rPr>
        <w:rFonts w:cs="Times New Roman"/>
      </w:r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熊雪晨">
    <w15:presenceInfo w15:providerId="None" w15:userId="熊雪晨"/>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E2F52"/>
    <w:rsid w:val="00611165"/>
    <w:rsid w:val="007D4A07"/>
    <w:rsid w:val="02EC6064"/>
    <w:rsid w:val="04844854"/>
    <w:rsid w:val="04F419D9"/>
    <w:rsid w:val="05DD53C1"/>
    <w:rsid w:val="065F7326"/>
    <w:rsid w:val="066921FD"/>
    <w:rsid w:val="06823E09"/>
    <w:rsid w:val="085A0DA2"/>
    <w:rsid w:val="098175B4"/>
    <w:rsid w:val="09886B94"/>
    <w:rsid w:val="0A040C77"/>
    <w:rsid w:val="0C2448DD"/>
    <w:rsid w:val="0C2A5CE1"/>
    <w:rsid w:val="0D4B74B3"/>
    <w:rsid w:val="0DC91529"/>
    <w:rsid w:val="0DF33F6A"/>
    <w:rsid w:val="0E4F3E25"/>
    <w:rsid w:val="0F6347CE"/>
    <w:rsid w:val="0F655282"/>
    <w:rsid w:val="10CF5F46"/>
    <w:rsid w:val="11165F0C"/>
    <w:rsid w:val="113B6507"/>
    <w:rsid w:val="115B5C22"/>
    <w:rsid w:val="11D81D3B"/>
    <w:rsid w:val="13785584"/>
    <w:rsid w:val="13DF3D61"/>
    <w:rsid w:val="13F54E26"/>
    <w:rsid w:val="151921BA"/>
    <w:rsid w:val="16E86EC4"/>
    <w:rsid w:val="17C26CB1"/>
    <w:rsid w:val="17E31439"/>
    <w:rsid w:val="186C6A02"/>
    <w:rsid w:val="1B764638"/>
    <w:rsid w:val="1C0E68DC"/>
    <w:rsid w:val="1C275D99"/>
    <w:rsid w:val="1CF85987"/>
    <w:rsid w:val="1D2B2EF5"/>
    <w:rsid w:val="1EEB57A3"/>
    <w:rsid w:val="1FF70178"/>
    <w:rsid w:val="213E1182"/>
    <w:rsid w:val="21921F06"/>
    <w:rsid w:val="21BC3427"/>
    <w:rsid w:val="2452748C"/>
    <w:rsid w:val="24601679"/>
    <w:rsid w:val="2734580E"/>
    <w:rsid w:val="283D7C38"/>
    <w:rsid w:val="289163B7"/>
    <w:rsid w:val="2AF05EF0"/>
    <w:rsid w:val="2B12230A"/>
    <w:rsid w:val="2D287BC3"/>
    <w:rsid w:val="2ECE02F6"/>
    <w:rsid w:val="2EFF6701"/>
    <w:rsid w:val="2F272792"/>
    <w:rsid w:val="30537BCC"/>
    <w:rsid w:val="30F17C15"/>
    <w:rsid w:val="32737B32"/>
    <w:rsid w:val="37C16C4A"/>
    <w:rsid w:val="38081B5E"/>
    <w:rsid w:val="392A2B50"/>
    <w:rsid w:val="396907A1"/>
    <w:rsid w:val="39F5444A"/>
    <w:rsid w:val="3A0F6392"/>
    <w:rsid w:val="3A8A3C6B"/>
    <w:rsid w:val="3B47390A"/>
    <w:rsid w:val="3CA11D44"/>
    <w:rsid w:val="3D9566F3"/>
    <w:rsid w:val="40EE4872"/>
    <w:rsid w:val="43853221"/>
    <w:rsid w:val="4387343D"/>
    <w:rsid w:val="43D877F5"/>
    <w:rsid w:val="46FF32EA"/>
    <w:rsid w:val="49310C32"/>
    <w:rsid w:val="498D2E30"/>
    <w:rsid w:val="4B3425C6"/>
    <w:rsid w:val="4B765D91"/>
    <w:rsid w:val="4FD7050F"/>
    <w:rsid w:val="53CE2BE8"/>
    <w:rsid w:val="542720D3"/>
    <w:rsid w:val="54624EB9"/>
    <w:rsid w:val="564357B8"/>
    <w:rsid w:val="56AE4BC0"/>
    <w:rsid w:val="58A0329A"/>
    <w:rsid w:val="596F4300"/>
    <w:rsid w:val="59FE510A"/>
    <w:rsid w:val="5C960E74"/>
    <w:rsid w:val="5D495D8B"/>
    <w:rsid w:val="61B46F75"/>
    <w:rsid w:val="63815B89"/>
    <w:rsid w:val="647B7FFD"/>
    <w:rsid w:val="655824E7"/>
    <w:rsid w:val="655B636B"/>
    <w:rsid w:val="65D774B5"/>
    <w:rsid w:val="678051F5"/>
    <w:rsid w:val="67EC035F"/>
    <w:rsid w:val="68162C79"/>
    <w:rsid w:val="683D5915"/>
    <w:rsid w:val="6954706E"/>
    <w:rsid w:val="69F83E9D"/>
    <w:rsid w:val="6A5D6907"/>
    <w:rsid w:val="6AB04778"/>
    <w:rsid w:val="6C502DA8"/>
    <w:rsid w:val="6C8E0AE9"/>
    <w:rsid w:val="6D324879"/>
    <w:rsid w:val="6D474DA1"/>
    <w:rsid w:val="6DEF55B7"/>
    <w:rsid w:val="6EFC5E00"/>
    <w:rsid w:val="6FC62348"/>
    <w:rsid w:val="70657DB3"/>
    <w:rsid w:val="71553388"/>
    <w:rsid w:val="717E112C"/>
    <w:rsid w:val="725620A9"/>
    <w:rsid w:val="75556648"/>
    <w:rsid w:val="75874AC7"/>
    <w:rsid w:val="75D6310E"/>
    <w:rsid w:val="76592168"/>
    <w:rsid w:val="766A7ED1"/>
    <w:rsid w:val="76960CC6"/>
    <w:rsid w:val="76A20B48"/>
    <w:rsid w:val="791B3704"/>
    <w:rsid w:val="7C2136D0"/>
    <w:rsid w:val="7C6241EF"/>
    <w:rsid w:val="7F6BE546"/>
    <w:rsid w:val="7FE64C1A"/>
    <w:rsid w:val="7FFB603E"/>
    <w:rsid w:val="C4AFAF27"/>
    <w:rsid w:val="ECFF3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宋体" w:hAnsi="Calibri" w:eastAsia="宋体" w:cs="Times New Roman"/>
      <w:sz w:val="34"/>
      <w:szCs w:val="22"/>
      <w:lang w:val="en-US" w:eastAsia="zh-CN" w:bidi="ar-SA"/>
    </w:rPr>
  </w:style>
  <w:style w:type="paragraph" w:styleId="2">
    <w:name w:val="heading 1"/>
    <w:basedOn w:val="1"/>
    <w:next w:val="1"/>
    <w:link w:val="23"/>
    <w:qFormat/>
    <w:uiPriority w:val="99"/>
    <w:pPr>
      <w:keepNext/>
      <w:keepLines/>
      <w:spacing w:line="576" w:lineRule="auto"/>
      <w:outlineLvl w:val="0"/>
    </w:pPr>
    <w:rPr>
      <w:b/>
      <w:kern w:val="44"/>
      <w:sz w:val="44"/>
    </w:rPr>
  </w:style>
  <w:style w:type="paragraph" w:styleId="3">
    <w:name w:val="heading 2"/>
    <w:basedOn w:val="1"/>
    <w:next w:val="1"/>
    <w:qFormat/>
    <w:uiPriority w:val="99"/>
    <w:pPr>
      <w:keepNext/>
      <w:keepLines/>
      <w:spacing w:line="416" w:lineRule="auto"/>
      <w:outlineLvl w:val="1"/>
    </w:pPr>
    <w:rPr>
      <w:rFonts w:ascii="Cambria" w:hAnsi="Cambria"/>
      <w:b/>
      <w:sz w:val="32"/>
      <w:szCs w:val="24"/>
    </w:rPr>
  </w:style>
  <w:style w:type="paragraph" w:styleId="4">
    <w:name w:val="heading 3"/>
    <w:basedOn w:val="1"/>
    <w:next w:val="1"/>
    <w:qFormat/>
    <w:uiPriority w:val="99"/>
    <w:pPr>
      <w:keepNext/>
      <w:keepLines/>
      <w:spacing w:line="413" w:lineRule="auto"/>
      <w:outlineLvl w:val="2"/>
    </w:pPr>
    <w:rPr>
      <w:rFonts w:ascii="Times New Roman"/>
      <w:b/>
      <w:sz w:val="32"/>
    </w:rPr>
  </w:style>
  <w:style w:type="paragraph" w:styleId="5">
    <w:name w:val="heading 4"/>
    <w:basedOn w:val="1"/>
    <w:next w:val="1"/>
    <w:qFormat/>
    <w:uiPriority w:val="9"/>
    <w:pPr>
      <w:keepNext/>
      <w:keepLines/>
      <w:jc w:val="left"/>
      <w:outlineLvl w:val="3"/>
    </w:pPr>
    <w:rPr>
      <w:rFonts w:ascii="Cambria" w:hAnsi="Cambria"/>
      <w:b/>
      <w:bCs/>
      <w:sz w:val="28"/>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99"/>
    <w:pPr>
      <w:ind w:firstLine="200" w:firstLineChars="200"/>
    </w:pPr>
  </w:style>
  <w:style w:type="paragraph" w:styleId="7">
    <w:name w:val="annotation text"/>
    <w:basedOn w:val="1"/>
    <w:qFormat/>
    <w:uiPriority w:val="99"/>
    <w:pPr>
      <w:jc w:val="left"/>
    </w:pPr>
    <w:rPr>
      <w:rFonts w:ascii="Times New Roman"/>
      <w:kern w:val="2"/>
      <w:sz w:val="21"/>
    </w:rPr>
  </w:style>
  <w:style w:type="paragraph" w:styleId="8">
    <w:name w:val="Body Text"/>
    <w:basedOn w:val="1"/>
    <w:next w:val="1"/>
    <w:qFormat/>
    <w:uiPriority w:val="99"/>
    <w:rPr>
      <w:szCs w:val="24"/>
    </w:rPr>
  </w:style>
  <w:style w:type="paragraph" w:styleId="9">
    <w:name w:val="Body Text Indent"/>
    <w:basedOn w:val="1"/>
    <w:qFormat/>
    <w:uiPriority w:val="99"/>
    <w:pPr>
      <w:widowControl w:val="0"/>
      <w:ind w:left="420" w:leftChars="200"/>
    </w:pPr>
    <w:rPr>
      <w:szCs w:val="24"/>
    </w:rPr>
  </w:style>
  <w:style w:type="paragraph" w:styleId="10">
    <w:name w:val="Body Text Indent 2"/>
    <w:basedOn w:val="1"/>
    <w:qFormat/>
    <w:uiPriority w:val="99"/>
    <w:pPr>
      <w:spacing w:line="480" w:lineRule="auto"/>
      <w:ind w:left="200" w:leftChars="200"/>
    </w:p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Normal (Web)"/>
    <w:basedOn w:val="1"/>
    <w:qFormat/>
    <w:uiPriority w:val="99"/>
    <w:pPr>
      <w:widowControl/>
      <w:wordWrap/>
      <w:autoSpaceDE/>
      <w:autoSpaceDN/>
      <w:spacing w:before="100" w:beforeAutospacing="1" w:after="100" w:afterAutospacing="1"/>
      <w:jc w:val="left"/>
    </w:pPr>
    <w:rPr>
      <w:rFonts w:hAnsi="宋体" w:cs="宋体"/>
      <w:kern w:val="0"/>
      <w:sz w:val="24"/>
      <w:lang w:eastAsia="zh-CN"/>
    </w:rPr>
  </w:style>
  <w:style w:type="paragraph" w:styleId="15">
    <w:name w:val="Body Text First Indent"/>
    <w:basedOn w:val="8"/>
    <w:qFormat/>
    <w:uiPriority w:val="0"/>
    <w:pPr>
      <w:ind w:firstLine="420" w:firstLineChars="1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paragraph" w:customStyle="1" w:styleId="20">
    <w:name w:val="正文首行缩进两字符"/>
    <w:basedOn w:val="1"/>
    <w:qFormat/>
    <w:uiPriority w:val="99"/>
    <w:pPr>
      <w:widowControl w:val="0"/>
      <w:spacing w:line="360" w:lineRule="auto"/>
      <w:ind w:firstLine="200" w:firstLineChars="200"/>
    </w:pPr>
    <w:rPr>
      <w:szCs w:val="24"/>
    </w:rPr>
  </w:style>
  <w:style w:type="paragraph" w:customStyle="1" w:styleId="2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2">
    <w:name w:val="Normal1"/>
    <w:qFormat/>
    <w:uiPriority w:val="99"/>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23">
    <w:name w:val="标题 1 字符"/>
    <w:basedOn w:val="18"/>
    <w:link w:val="2"/>
    <w:qFormat/>
    <w:locked/>
    <w:uiPriority w:val="99"/>
    <w:rPr>
      <w:b/>
      <w:kern w:val="44"/>
      <w:sz w:val="44"/>
    </w:rPr>
  </w:style>
  <w:style w:type="character" w:customStyle="1" w:styleId="24">
    <w:name w:val="font51"/>
    <w:qFormat/>
    <w:uiPriority w:val="0"/>
    <w:rPr>
      <w:rFonts w:hint="eastAsia" w:ascii="宋体" w:hAnsi="宋体" w:eastAsia="宋体" w:cs="宋体"/>
      <w:color w:val="000000"/>
      <w:sz w:val="20"/>
      <w:szCs w:val="20"/>
      <w:u w:val="none"/>
    </w:rPr>
  </w:style>
  <w:style w:type="paragraph" w:customStyle="1" w:styleId="25">
    <w:name w:val="_Style 3"/>
    <w:basedOn w:val="1"/>
    <w:qFormat/>
    <w:uiPriority w:val="0"/>
    <w:pPr>
      <w:ind w:firstLine="20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91</Pages>
  <Words>18988</Words>
  <Characters>19948</Characters>
  <Lines>0</Lines>
  <Paragraphs>0</Paragraphs>
  <TotalTime>2</TotalTime>
  <ScaleCrop>false</ScaleCrop>
  <LinksUpToDate>false</LinksUpToDate>
  <CharactersWithSpaces>20460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2025-06-16T10:30:00Z</dcterms:created>
  <dc:creator>chuanzhao</dc:creator>
  <cp:lastModifiedBy>川招</cp:lastModifiedBy>
  <cp:lastPrinted>2025-12-24T07:46:00Z</cp:lastPrinted>
  <dcterms:modified xsi:type="dcterms:W3CDTF">2025-12-31T01:26:20Z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eyJoZGlkIjoiNjk1ZDhhOTc0M2U2MTFiOTJkZTZmZTcyYWE4YWYyZWMiLCJ1c2VySWQiOiI2MDM4ODc3OTYifQ==</vt:lpwstr>
  </property>
  <property fmtid="{D5CDD505-2E9C-101B-9397-08002B2CF9AE}" pid="4" name="ICV">
    <vt:lpwstr>974229794F4E4E218A69F8FB40AEE65A_13</vt:lpwstr>
  </property>
</Properties>
</file>