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14:paraId="68C1A546">
      <w:pPr>
        <w:widowControl w:val="0"/>
        <w:topLinePunct/>
        <w:jc w:val="center"/>
        <w:rPr>
          <w:rFonts w:eastAsia="宋体" w:cs="Tahoma"/>
          <w:sz w:val="44"/>
          <w:szCs w:val="44"/>
        </w:rPr>
      </w:pPr>
      <w:bookmarkStart w:id="16" w:name="_GoBack"/>
      <w:bookmarkEnd w:id="16"/>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hint="eastAsia" w:cstheme="minorHAnsi"/>
        </w:rPr>
        <w:t>竞争性磋商</w:t>
      </w:r>
      <w:r>
        <w:rPr>
          <w:rFonts w:cstheme="minorHAnsi"/>
        </w:rPr>
        <w:t>文件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陕西西咸新区人民检察院物业管理</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XCZX2026-0002</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2026年1月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01FC0D83">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"_Toc212455737" </w:instrText>
      </w:r>
      <w:r>
        <w:fldChar w:fldCharType="separate"/>
      </w:r>
      <w:r>
        <w:rPr>
          <w:rStyle w:val="31"/>
          <w:rFonts w:hint="eastAsia"/>
        </w:rPr>
        <w:t>第一章　磋商邀请函</w:t>
      </w:r>
      <w:r>
        <w:tab/>
      </w:r>
      <w:r>
        <w:fldChar w:fldCharType="begin"/>
      </w:r>
      <w:r>
        <w:instrText xml:space="preserve"> PAGEREF _Toc212455737 \h </w:instrText>
      </w:r>
      <w:r>
        <w:fldChar w:fldCharType="separate"/>
      </w:r>
      <w:r>
        <w:t>1</w:t>
      </w:r>
      <w:r>
        <w:fldChar w:fldCharType="end"/>
      </w:r>
      <w:r>
        <w:fldChar w:fldCharType="end"/>
      </w:r>
    </w:p>
    <w:p w14:paraId="3D9F1C74">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"_Toc212455738" </w:instrText>
      </w:r>
      <w:r>
        <w:fldChar w:fldCharType="separate"/>
      </w:r>
      <w:r>
        <w:rPr>
          <w:rStyle w:val="31"/>
          <w:rFonts w:hint="eastAsia"/>
        </w:rPr>
        <w:t>第二章　供应商须知</w:t>
      </w:r>
      <w:r>
        <w:tab/>
      </w:r>
      <w:r>
        <w:fldChar w:fldCharType="begin"/>
      </w:r>
      <w:r>
        <w:instrText xml:space="preserve"> PAGEREF _Toc212455738 \h </w:instrText>
      </w:r>
      <w:r>
        <w:fldChar w:fldCharType="separate"/>
      </w:r>
      <w:r>
        <w:t>4</w:t>
      </w:r>
      <w:r>
        <w:fldChar w:fldCharType="end"/>
      </w:r>
      <w:r>
        <w:fldChar w:fldCharType="end"/>
      </w:r>
    </w:p>
    <w:p w14:paraId="1C135B06">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"_Toc212455739" </w:instrText>
      </w:r>
      <w:r>
        <w:fldChar w:fldCharType="separate"/>
      </w:r>
      <w:r>
        <w:rPr>
          <w:rStyle w:val="31"/>
          <w:rFonts w:hint="eastAsia"/>
        </w:rPr>
        <w:t>第三章　磋商内容及要求</w:t>
      </w:r>
      <w:r>
        <w:tab/>
      </w:r>
      <w:r>
        <w:t>32</w:t>
      </w:r>
      <w:r>
        <w:fldChar w:fldCharType="end"/>
      </w:r>
    </w:p>
    <w:p w14:paraId="2DF7692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"_Toc212455740" </w:instrText>
      </w:r>
      <w:r>
        <w:fldChar w:fldCharType="separate"/>
      </w:r>
      <w:r>
        <w:rPr>
          <w:rStyle w:val="31"/>
          <w:rFonts w:hint="eastAsia"/>
        </w:rPr>
        <w:t>第四章　合同草案条款</w:t>
      </w:r>
      <w:r>
        <w:tab/>
      </w:r>
      <w:r>
        <w:fldChar w:fldCharType="end"/>
      </w:r>
      <w:r>
        <w:t>3</w:t>
      </w:r>
      <w:r>
        <w:fldChar w:fldCharType="begin"/>
      </w:r>
      <w:r>
        <w:instrText xml:space="preserve"> HYPERLINK \l "_Toc212455741" </w:instrText>
      </w:r>
      <w:r>
        <w:fldChar w:fldCharType="separate"/>
      </w:r>
      <w:r>
        <w:rPr>
          <w:rStyle w:val="31"/>
          <w:rFonts w:hint="eastAsia"/>
        </w:rPr>
        <w:t>9</w:t>
      </w:r>
      <w:r>
        <w:rPr>
          <w:rStyle w:val="31"/>
          <w:rFonts w:hint="eastAsia"/>
        </w:rPr>
        <w:fldChar w:fldCharType="end"/>
      </w:r>
    </w:p>
    <w:p w14:paraId="078A24DC">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"_Toc212455742" </w:instrText>
      </w:r>
      <w:r>
        <w:fldChar w:fldCharType="separate"/>
      </w:r>
      <w:r>
        <w:rPr>
          <w:rStyle w:val="31"/>
          <w:rFonts w:hint="eastAsia"/>
        </w:rPr>
        <w:t>第五章　响应文件构成及格式</w:t>
      </w:r>
      <w:r>
        <w:tab/>
      </w:r>
      <w:r>
        <w:fldChar w:fldCharType="begin"/>
      </w:r>
      <w:r>
        <w:instrText xml:space="preserve"> PAGEREF _Toc212455742 \h </w:instrText>
      </w:r>
      <w:r>
        <w:fldChar w:fldCharType="separate"/>
      </w:r>
      <w:r>
        <w:t>42</w:t>
      </w:r>
      <w:r>
        <w:fldChar w:fldCharType="end"/>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2455737"/>
      <w:r>
        <w:rPr>
          <w:rFonts w:hint="eastAsia"/>
        </w:rPr>
        <w:t>第一章　磋商邀请函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陕西西咸新区人民检察院</w:t>
      </w:r>
      <w:r>
        <w:rPr>
          <w:rFonts w:hint="eastAsia"/>
        </w:rPr>
        <w:t>的委托，经政府采购监管部门批准，按照政府采购程序，对</w:t>
      </w:r>
      <w:r>
        <w:rPr>
          <w:rFonts w:hint="eastAsia"/>
          <w:color w:val="C00000"/>
        </w:rPr>
        <w:t>陕西西咸新区人民检察院物业管理</w:t>
      </w:r>
      <w:r>
        <w:rPr>
          <w:rFonts w:hint="eastAsia"/>
        </w:rPr>
        <w:t>进行竞争性磋商，欢迎符合资格条件的、有能力提供本项目所需货物、服务或</w:t>
      </w:r>
      <w:r>
        <w:t>工程</w:t>
      </w:r>
      <w:r>
        <w:rPr>
          <w:rFonts w:hint="eastAsia"/>
        </w:rPr>
        <w:t>的供应商参加磋商。</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陕西西咸新区人民检察院物业管理</w:t>
      </w:r>
    </w:p>
    <w:p w14:paraId="62B33849">
      <w:pPr>
        <w:widowControl w:val="0"/>
        <w:topLinePunct/>
        <w:ind w:firstLine="480" w:firstLineChars="200"/>
        <w:jc w:val="both"/>
      </w:pPr>
      <w:r>
        <w:rPr>
          <w:rFonts w:hint="eastAsia"/>
        </w:rPr>
        <w:t>项目编号：</w:t>
      </w:r>
      <w:r>
        <w:rPr>
          <w:rFonts w:hint="eastAsia"/>
          <w:color w:val="C00000"/>
        </w:rPr>
        <w:t>XCZX2026-0002</w:t>
      </w:r>
    </w:p>
    <w:p w14:paraId="3201ECCD">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2026-000</w:t>
      </w:r>
      <w:r>
        <w:rPr>
          <w:color w:val="C00000"/>
        </w:rPr>
        <w:t>01</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color w:val="C00000"/>
        </w:rPr>
        <w:t>811612.80元</w:t>
      </w:r>
      <w:r>
        <w:rPr>
          <w:rFonts w:hint="eastAsia"/>
          <w:color w:val="C00000"/>
        </w:rPr>
        <w:t>（最高限价</w:t>
      </w:r>
      <w:r>
        <w:rPr>
          <w:color w:val="C00000"/>
        </w:rPr>
        <w:t>811612.80</w:t>
      </w:r>
      <w:r>
        <w:rPr>
          <w:rFonts w:hint="eastAsia"/>
          <w:color w:val="C00000"/>
        </w:rPr>
        <w:t>元）</w:t>
      </w:r>
    </w:p>
    <w:p w14:paraId="22CDC1C3">
      <w:pPr>
        <w:widowControl w:val="0"/>
        <w:topLinePunct/>
        <w:ind w:firstLine="480" w:firstLineChars="200"/>
        <w:jc w:val="both"/>
        <w:rPr>
          <w:b/>
        </w:rPr>
      </w:pPr>
      <w:r>
        <w:rPr>
          <w:b/>
        </w:rPr>
        <w:t>四、采购</w:t>
      </w:r>
      <w:r>
        <w:rPr>
          <w:rFonts w:hint="eastAsia"/>
          <w:b/>
        </w:rPr>
        <w:t>内容和要求：</w:t>
      </w:r>
    </w:p>
    <w:p w14:paraId="64FC89D4">
      <w:pPr>
        <w:widowControl w:val="0"/>
        <w:topLinePunct/>
        <w:ind w:firstLine="480" w:firstLineChars="200"/>
        <w:jc w:val="both"/>
      </w:pP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r>
        <w:rPr>
          <w:rFonts w:hint="eastAsia"/>
          <w:u w:val="single"/>
        </w:rPr>
        <w:t>2026</w:t>
      </w:r>
      <w:r>
        <w:rPr>
          <w:rFonts w:hint="eastAsia"/>
        </w:rPr>
        <w:t>年</w:t>
      </w:r>
      <w:r>
        <w:t>1</w:t>
      </w:r>
      <w:r>
        <w:rPr>
          <w:rFonts w:hint="eastAsia"/>
        </w:rPr>
        <w:t>月2</w:t>
      </w:r>
      <w:r>
        <w:t>3</w:t>
      </w:r>
      <w:r>
        <w:rPr>
          <w:rFonts w:hint="eastAsia"/>
        </w:rPr>
        <w:t>日10:30，逾期提交的，系统将拒绝接收。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2026</w:t>
      </w:r>
      <w:r>
        <w:rPr>
          <w:rFonts w:hint="eastAsia"/>
        </w:rPr>
        <w:t>年</w:t>
      </w:r>
      <w:r>
        <w:t>1</w:t>
      </w:r>
      <w:r>
        <w:rPr>
          <w:rFonts w:hint="eastAsia"/>
        </w:rPr>
        <w:t>月2</w:t>
      </w:r>
      <w:r>
        <w:t>3</w:t>
      </w:r>
      <w:r>
        <w:rPr>
          <w:rFonts w:hint="eastAsia"/>
        </w:rPr>
        <w:t>日10:3</w:t>
      </w:r>
      <w:r>
        <w:t>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t>4</w:t>
      </w:r>
      <w:r>
        <w:rPr>
          <w:rFonts w:hint="eastAsia"/>
        </w:rPr>
        <w:t>。</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1．采购人：陕西西咸新区人民检察院</w:t>
      </w:r>
    </w:p>
    <w:p w14:paraId="07A194B0">
      <w:pPr>
        <w:widowControl w:val="0"/>
        <w:topLinePunct/>
        <w:ind w:firstLine="480" w:firstLineChars="200"/>
        <w:jc w:val="both"/>
      </w:pPr>
      <w:r>
        <w:rPr>
          <w:rFonts w:hint="eastAsia"/>
        </w:rPr>
        <w:t>地址：陕西省咸阳市渭城区窑店街道秦苑七路199号</w:t>
      </w:r>
    </w:p>
    <w:p w14:paraId="5CD1CE1F">
      <w:pPr>
        <w:widowControl w:val="0"/>
        <w:topLinePunct/>
        <w:ind w:firstLine="480" w:firstLineChars="200"/>
        <w:jc w:val="both"/>
      </w:pPr>
      <w:r>
        <w:rPr>
          <w:rFonts w:hint="eastAsia"/>
        </w:rPr>
        <w:t>联系人：李老师</w:t>
      </w:r>
    </w:p>
    <w:p w14:paraId="7C403659">
      <w:pPr>
        <w:widowControl w:val="0"/>
        <w:topLinePunct/>
        <w:ind w:firstLine="480" w:firstLineChars="200"/>
        <w:jc w:val="both"/>
      </w:pPr>
      <w:r>
        <w:rPr>
          <w:rFonts w:hint="eastAsia"/>
        </w:rPr>
        <w:t>联系电话：</w:t>
      </w:r>
      <w:r>
        <w:t>029-33356051</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标书联系人及分机号：梁老师（</w:t>
      </w:r>
      <w:r>
        <w:t>80865</w:t>
      </w:r>
      <w:r>
        <w:rPr>
          <w:rFonts w:hint="eastAsia"/>
        </w:rPr>
        <w:t>）</w:t>
      </w:r>
    </w:p>
    <w:p w14:paraId="6F1334A2">
      <w:pPr>
        <w:widowControl w:val="0"/>
        <w:topLinePunct/>
        <w:ind w:firstLine="480" w:firstLineChars="200"/>
        <w:jc w:val="both"/>
      </w:pPr>
      <w:r>
        <w:rPr>
          <w:rFonts w:hint="eastAsia"/>
        </w:rPr>
        <w:t>开标联系人及分机号：张老师（80</w:t>
      </w:r>
      <w:r>
        <w:t>835</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445407251"/>
      <w:bookmarkStart w:id="2" w:name="_Toc533363235"/>
      <w:bookmarkStart w:id="3" w:name="_Toc534656409"/>
      <w:bookmarkStart w:id="4" w:name="_Toc533363262"/>
      <w:bookmarkStart w:id="5" w:name="_Toc498349068"/>
      <w:bookmarkStart w:id="6" w:name="_Toc97563329"/>
      <w:bookmarkStart w:id="7" w:name="_Toc212455738"/>
      <w:bookmarkStart w:id="8" w:name="_Toc534656414"/>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陕西西咸新区人民检察院物业管理</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XCZX2026-0002</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3"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ascii="Calibri" w:hAnsi="宋体" w:eastAsia="宋体" w:cstheme="minorHAnsi"/>
                <w:sz w:val="21"/>
              </w:rPr>
              <w:t>811612.80</w:t>
            </w:r>
            <w:r>
              <w:rPr>
                <w:rFonts w:hint="eastAsia" w:ascii="Calibri" w:hAnsi="宋体" w:eastAsia="宋体" w:cstheme="minorHAnsi"/>
                <w:sz w:val="21"/>
              </w:rPr>
              <w:t>元（最高限价</w:t>
            </w:r>
            <w:r>
              <w:rPr>
                <w:rFonts w:ascii="Calibri" w:hAnsi="宋体" w:eastAsia="宋体" w:cstheme="minorHAnsi"/>
                <w:sz w:val="21"/>
              </w:rPr>
              <w:t>811612.80</w:t>
            </w:r>
            <w:r>
              <w:rPr>
                <w:rFonts w:hint="eastAsia" w:ascii="Calibri" w:hAnsi="宋体" w:eastAsia="宋体" w:cstheme="minorHAnsi"/>
                <w:sz w:val="21"/>
              </w:rPr>
              <w:t>元）</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713A06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1D0D8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71065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40C658F">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3DC1D910">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0B106D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32613423">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4AA0FCC2">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3A61785F">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163474F9">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7578361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物业管理</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3DC0236E"/>
    <w:p w14:paraId="44152FC5">
      <w:pPr>
        <w:rPr>
          <w:rFonts w:ascii="Calibri" w:hAnsi="Calibri" w:eastAsia="黑体" w:cstheme="majorBidi"/>
          <w:bCs/>
          <w:iCs/>
          <w:kern w:val="32"/>
          <w:sz w:val="28"/>
          <w:szCs w:val="28"/>
        </w:rPr>
      </w:pPr>
      <w:r>
        <w:br w:type="page"/>
      </w:r>
    </w:p>
    <w:p w14:paraId="3669E3A3">
      <w:pPr>
        <w:pStyle w:val="3"/>
        <w:jc w:val="both"/>
      </w:pPr>
      <w:r>
        <w:t>一、有关定义</w:t>
      </w:r>
    </w:p>
    <w:p w14:paraId="174EA960">
      <w:pPr>
        <w:ind w:firstLine="480" w:firstLineChars="200"/>
        <w:jc w:val="both"/>
        <w:rPr>
          <w:rFonts w:cstheme="minorHAnsi"/>
        </w:rPr>
      </w:pPr>
      <w:r>
        <w:rPr>
          <w:rFonts w:hint="eastAsia" w:cstheme="minorHAnsi"/>
        </w:rPr>
        <w:t>1．采购人：依法进行政府采购的西安市市级机关、事业单位或团体组织。</w:t>
      </w:r>
    </w:p>
    <w:p w14:paraId="7DF98CC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C49474">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039F545">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0C993A48">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6DB3B6DD">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4068C746">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69400206">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579A7E70">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9" w:name="OLE_LINK9"/>
      <w:bookmarkStart w:id="10" w:name="OLE_LINK10"/>
      <w:r>
        <w:rPr>
          <w:rFonts w:hint="eastAsia"/>
          <w:color w:val="C00000"/>
        </w:rPr>
        <w:t>采购文件公告期限届满之日</w:t>
      </w:r>
      <w:bookmarkEnd w:id="9"/>
      <w:bookmarkEnd w:id="10"/>
      <w:r>
        <w:rPr>
          <w:rFonts w:hint="eastAsia"/>
          <w:color w:val="C00000"/>
        </w:rPr>
        <w:t>。</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757EB72">
      <w:pPr>
        <w:pStyle w:val="4"/>
        <w:ind w:firstLine="482"/>
      </w:pPr>
      <w:r>
        <w:t>（五）</w:t>
      </w:r>
      <w:r>
        <w:rPr>
          <w:rFonts w:hint="eastAsia"/>
        </w:rPr>
        <w:t>关于政府采购</w:t>
      </w:r>
      <w:r>
        <w:t>政策</w:t>
      </w:r>
    </w:p>
    <w:p w14:paraId="45D8A6C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238383B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07604E96">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447BE28B">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5FAECBEE">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53553126">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373C800F">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270992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355068CF">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7A1308D2">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47466523">
      <w:pPr>
        <w:ind w:firstLine="480" w:firstLineChars="200"/>
        <w:jc w:val="both"/>
        <w:rPr>
          <w:rFonts w:cstheme="minorHAnsi"/>
          <w:b/>
        </w:rPr>
      </w:pPr>
      <w:r>
        <w:rPr>
          <w:rFonts w:hint="eastAsia" w:cstheme="minorHAnsi"/>
          <w:b/>
        </w:rPr>
        <w:t>（1）陕西省中小企业政府采购信用融资办法</w:t>
      </w:r>
    </w:p>
    <w:p w14:paraId="72A2CB80">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14:paraId="6A65DAE5">
      <w:pPr>
        <w:ind w:firstLine="480" w:firstLineChars="200"/>
        <w:jc w:val="both"/>
        <w:rPr>
          <w:b/>
        </w:rPr>
      </w:pPr>
      <w:r>
        <w:rPr>
          <w:rFonts w:hint="eastAsia" w:cstheme="minorHAnsi"/>
          <w:b/>
        </w:rPr>
        <w:t>（2）</w:t>
      </w:r>
      <w:r>
        <w:rPr>
          <w:b/>
        </w:rPr>
        <w:t>西安市政府采购信用担保及信用融资政策</w:t>
      </w:r>
    </w:p>
    <w:p w14:paraId="43FA72CD">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4FAF62E3">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8ABBE46">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4317014E">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pPr>
        <w:pStyle w:val="4"/>
      </w:pPr>
      <w:r>
        <w:t>（十）关于联合体</w:t>
      </w:r>
    </w:p>
    <w:p w14:paraId="5CDDB123">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3FE1621C">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713EBE0B">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0F0DA6A8">
      <w:pPr>
        <w:ind w:firstLine="480" w:firstLineChars="200"/>
        <w:jc w:val="both"/>
      </w:pPr>
      <w:r>
        <w:rPr>
          <w:rFonts w:hint="eastAsia"/>
        </w:rPr>
        <w:t>6．联合体可享受的中小企业优惠政策：</w:t>
      </w:r>
    </w:p>
    <w:p w14:paraId="19BF3BD9">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5867ABE1">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pPr>
        <w:ind w:firstLine="480" w:firstLineChars="200"/>
        <w:jc w:val="both"/>
      </w:pPr>
      <w:r>
        <w:rPr>
          <w:rFonts w:hint="eastAsia"/>
        </w:rPr>
        <w:t>7．联合体出现下列情形之一的，响</w:t>
      </w:r>
      <w:r>
        <w:rPr>
          <w:rFonts w:hint="eastAsia"/>
          <w:w w:val="1"/>
        </w:rPr>
        <w:t>　</w:t>
      </w:r>
      <w:r>
        <w:rPr>
          <w:rFonts w:hint="eastAsia"/>
        </w:rPr>
        <w:t>应无效：</w:t>
      </w:r>
    </w:p>
    <w:p w14:paraId="6B74783B">
      <w:pPr>
        <w:ind w:firstLine="480" w:firstLineChars="200"/>
        <w:jc w:val="both"/>
      </w:pPr>
      <w:r>
        <w:rPr>
          <w:rFonts w:hint="eastAsia"/>
        </w:rPr>
        <w:t>（1）联合体没有提交有效的联合协议的；</w:t>
      </w:r>
    </w:p>
    <w:p w14:paraId="6E355482">
      <w:pPr>
        <w:ind w:firstLine="480" w:firstLineChars="200"/>
        <w:jc w:val="both"/>
      </w:pPr>
      <w:r>
        <w:rPr>
          <w:rFonts w:hint="eastAsia"/>
        </w:rPr>
        <w:t xml:space="preserve">（2）进行资格预审的项目，资格预审后联合体增减、更换成员的； </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三、磋商文件</w:t>
      </w:r>
    </w:p>
    <w:p w14:paraId="57027355">
      <w:pPr>
        <w:pStyle w:val="4"/>
        <w:ind w:firstLine="482"/>
      </w:pPr>
      <w:r>
        <w:t>（一）磋商</w:t>
      </w:r>
      <w:r>
        <w:rPr>
          <w:rFonts w:hint="eastAsia"/>
        </w:rPr>
        <w:t>文件的解释权</w:t>
      </w:r>
    </w:p>
    <w:p w14:paraId="140F6F8E">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F374EBD">
      <w:pPr>
        <w:pStyle w:val="4"/>
        <w:ind w:firstLine="482"/>
      </w:pPr>
      <w:r>
        <w:t>（二）磋商文件主要内容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04A09AD">
      <w:pPr>
        <w:pStyle w:val="4"/>
        <w:ind w:firstLine="482"/>
      </w:pPr>
      <w:r>
        <w:t>（三）磋商文件的检查及阅读</w:t>
      </w:r>
    </w:p>
    <w:p w14:paraId="136227A3">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pPr>
        <w:pStyle w:val="4"/>
        <w:ind w:firstLine="482"/>
      </w:pPr>
      <w:r>
        <w:t>（四）磋商文件的修改、澄清</w:t>
      </w:r>
    </w:p>
    <w:p w14:paraId="0079D1AC">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5C6D7605">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6E55830B">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四、响应文件</w:t>
      </w:r>
    </w:p>
    <w:p w14:paraId="38AFDCFA">
      <w:pPr>
        <w:pStyle w:val="4"/>
        <w:ind w:firstLine="482"/>
      </w:pPr>
      <w:r>
        <w:rPr>
          <w:rFonts w:hint="eastAsia"/>
        </w:rPr>
        <w:t>（一）响应文件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磋商活动的所有文件、资料、函电文字均使用简体中文，确需提交用其他语言形成的资料，必须翻译成简体中文，如有差异，以简体中文为准。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响应文件的计量单位应使用中华人民共和国法定计量单位，但磋商文件另有规定的除外。</w:t>
      </w:r>
    </w:p>
    <w:p w14:paraId="40216070">
      <w:pPr>
        <w:pStyle w:val="4"/>
        <w:ind w:firstLine="482"/>
      </w:pPr>
      <w:r>
        <w:rPr>
          <w:rFonts w:hint="eastAsia"/>
        </w:rPr>
        <w:t>（二）响应文件</w:t>
      </w:r>
      <w:r>
        <w:t>的有效期</w:t>
      </w:r>
    </w:p>
    <w:p w14:paraId="5B7D7BC8">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7802925A">
      <w:pPr>
        <w:pStyle w:val="4"/>
        <w:ind w:firstLine="482"/>
      </w:pPr>
      <w:r>
        <w:rPr>
          <w:rFonts w:hint="eastAsia"/>
        </w:rPr>
        <w:t>（三）磋商</w:t>
      </w:r>
      <w:r>
        <w:t>报价</w:t>
      </w:r>
    </w:p>
    <w:p w14:paraId="15B579B7">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pPr>
        <w:pStyle w:val="4"/>
        <w:ind w:firstLine="482"/>
      </w:pPr>
      <w:r>
        <w:rPr>
          <w:rFonts w:hint="eastAsia"/>
        </w:rPr>
        <w:t>（四）电子响应文件</w:t>
      </w:r>
      <w:r>
        <w:t>的</w:t>
      </w:r>
      <w:r>
        <w:rPr>
          <w:rFonts w:hint="eastAsia"/>
        </w:rPr>
        <w:t>制作、</w:t>
      </w:r>
      <w:r>
        <w:t>签章及加密</w:t>
      </w:r>
    </w:p>
    <w:p w14:paraId="5660DCD5">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1AFAE165">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5C61E669">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32D1415B">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20C51986">
      <w:pPr>
        <w:pStyle w:val="4"/>
        <w:ind w:firstLine="482"/>
      </w:pPr>
      <w:r>
        <w:rPr>
          <w:rFonts w:hint="eastAsia"/>
        </w:rPr>
        <w:t>（五）电子响应文件</w:t>
      </w:r>
      <w:r>
        <w:t>的提交</w:t>
      </w:r>
    </w:p>
    <w:p w14:paraId="0656DC15">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340285A">
      <w:pPr>
        <w:pStyle w:val="81"/>
        <w:ind w:firstLine="480"/>
      </w:pPr>
      <w:r>
        <w:t>出现下述情形的，电子响应文件将被系统拒收：</w:t>
      </w:r>
    </w:p>
    <w:p w14:paraId="4AC6B849">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AA2B29A">
      <w:pPr>
        <w:ind w:firstLine="480" w:firstLineChars="200"/>
        <w:jc w:val="both"/>
        <w:rPr>
          <w:rFonts w:cstheme="minorHAnsi"/>
        </w:rPr>
      </w:pPr>
      <w:r>
        <w:rPr>
          <w:rFonts w:hint="eastAsia" w:cstheme="minorHAnsi"/>
        </w:rPr>
        <w:t>2．</w:t>
      </w:r>
      <w:r>
        <w:rPr>
          <w:rFonts w:cstheme="minorHAnsi"/>
        </w:rPr>
        <w:t>逾期提交电子响应文件的；</w:t>
      </w:r>
    </w:p>
    <w:p w14:paraId="76583FD7">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092E8868">
      <w:pPr>
        <w:pStyle w:val="4"/>
        <w:ind w:firstLine="482"/>
      </w:pPr>
      <w:r>
        <w:t>（</w:t>
      </w:r>
      <w:r>
        <w:rPr>
          <w:rFonts w:hint="eastAsia"/>
        </w:rPr>
        <w:t>六</w:t>
      </w:r>
      <w:r>
        <w:t>）电子响应文件的撤回、补充及修改</w:t>
      </w:r>
    </w:p>
    <w:p w14:paraId="3592412A">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pPr>
        <w:pStyle w:val="4"/>
        <w:ind w:firstLine="482"/>
      </w:pPr>
      <w:r>
        <w:rPr>
          <w:rFonts w:hint="eastAsia"/>
        </w:rPr>
        <w:t>（七）关于电子投</w:t>
      </w:r>
      <w:r>
        <w:rPr>
          <w:rFonts w:hint="eastAsia"/>
          <w:w w:val="1"/>
        </w:rPr>
        <w:t>　</w:t>
      </w:r>
      <w:r>
        <w:rPr>
          <w:rFonts w:hint="eastAsia"/>
        </w:rPr>
        <w:t>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60DD6D01">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29ABB2FB">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3AFE0513">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601A4A6">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58163BC9">
      <w:pPr>
        <w:pStyle w:val="81"/>
        <w:ind w:firstLine="480"/>
      </w:pPr>
      <w:r>
        <w:rPr>
          <w:rFonts w:hint="eastAsia"/>
        </w:rPr>
        <w:t>1．不同供应商的响应文件由同一单位或者个人编制的；</w:t>
      </w:r>
    </w:p>
    <w:p w14:paraId="680072CC">
      <w:pPr>
        <w:pStyle w:val="81"/>
        <w:ind w:firstLine="480"/>
      </w:pPr>
      <w:r>
        <w:rPr>
          <w:rFonts w:hint="eastAsia"/>
        </w:rPr>
        <w:t>2．不同供应商委托同一单位或者个人办理磋商事宜的；</w:t>
      </w:r>
    </w:p>
    <w:p w14:paraId="7440E1B6">
      <w:pPr>
        <w:pStyle w:val="81"/>
        <w:ind w:firstLine="480"/>
      </w:pPr>
      <w:r>
        <w:rPr>
          <w:rFonts w:hint="eastAsia"/>
        </w:rPr>
        <w:t>3．不同供应商的响应文件载明的项目管理成员或者联系人员为同一人的；</w:t>
      </w:r>
    </w:p>
    <w:p w14:paraId="781FE8A4">
      <w:pPr>
        <w:pStyle w:val="81"/>
        <w:ind w:firstLine="480"/>
      </w:pPr>
      <w:r>
        <w:rPr>
          <w:rFonts w:hint="eastAsia"/>
        </w:rPr>
        <w:t>4．不同供应商的响应文件异常一致或者报价呈规律性差异的；</w:t>
      </w:r>
    </w:p>
    <w:p w14:paraId="3D0E3CF0">
      <w:pPr>
        <w:pStyle w:val="81"/>
        <w:ind w:firstLine="480"/>
      </w:pPr>
      <w:r>
        <w:rPr>
          <w:rFonts w:hint="eastAsia"/>
        </w:rPr>
        <w:t>5．不同供应商的响应文件相互混编或混装的。</w:t>
      </w:r>
    </w:p>
    <w:p w14:paraId="147CE1F7">
      <w:pPr>
        <w:pStyle w:val="3"/>
      </w:pPr>
      <w:r>
        <w:rPr>
          <w:rFonts w:hint="eastAsia"/>
        </w:rPr>
        <w:t>五</w:t>
      </w:r>
      <w:r>
        <w:t>、开启</w:t>
      </w:r>
    </w:p>
    <w:p w14:paraId="7E9B778B">
      <w:pPr>
        <w:pStyle w:val="81"/>
        <w:ind w:firstLine="480"/>
      </w:pPr>
      <w:r>
        <w:rPr>
          <w:rFonts w:hint="eastAsia"/>
        </w:rPr>
        <w:t>开启工作由采购代理机构组织实施，整个过程受同级政府采购监管部门的监督、管理。</w:t>
      </w:r>
    </w:p>
    <w:p w14:paraId="5994D3AC">
      <w:pPr>
        <w:pStyle w:val="81"/>
        <w:ind w:firstLine="480"/>
        <w:rPr>
          <w:color w:val="auto"/>
        </w:rPr>
      </w:pPr>
      <w:r>
        <w:rPr>
          <w:rFonts w:hint="eastAsia"/>
        </w:rPr>
        <w:t>1</w:t>
      </w:r>
      <w:r>
        <w:rPr>
          <w:rFonts w:hint="eastAsia"/>
          <w:color w:val="auto"/>
        </w:rPr>
        <w:t>．提交首次响应文件截止时间前，请各供应商务必确认已正常提交了响应文件。</w:t>
      </w:r>
    </w:p>
    <w:p w14:paraId="7F3B1320">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859B800">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554DB15D">
      <w:pPr>
        <w:pStyle w:val="81"/>
        <w:ind w:firstLine="480"/>
      </w:pPr>
      <w:r>
        <w:rPr>
          <w:rStyle w:val="31"/>
          <w:color w:val="auto"/>
          <w:u w:val="none"/>
        </w:rPr>
        <w:t>（</w:t>
      </w:r>
      <w:r>
        <w:rPr>
          <w:rStyle w:val="31"/>
          <w:rFonts w:hint="eastAsia"/>
          <w:color w:val="auto"/>
          <w:u w:val="none"/>
        </w:rPr>
        <w:t>3</w:t>
      </w:r>
      <w:r>
        <w:rPr>
          <w:rStyle w:val="31"/>
          <w:color w:val="auto"/>
          <w:u w:val="none"/>
        </w:rPr>
        <w:t>）突发状况的处置：整个磋商期间，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5DF699C5">
      <w:pPr>
        <w:pStyle w:val="81"/>
        <w:ind w:firstLine="480"/>
        <w:rPr>
          <w:color w:val="auto"/>
        </w:rPr>
      </w:pPr>
      <w:r>
        <w:rPr>
          <w:rFonts w:hint="eastAsia"/>
          <w:color w:val="auto"/>
        </w:rPr>
        <w:t>（3）上传</w:t>
      </w:r>
      <w:r>
        <w:rPr>
          <w:color w:val="auto"/>
        </w:rPr>
        <w:t>的电子响应文件无法正常打开的；</w:t>
      </w:r>
    </w:p>
    <w:p w14:paraId="5875F9E0">
      <w:pPr>
        <w:pStyle w:val="81"/>
        <w:ind w:firstLine="480"/>
        <w:rPr>
          <w:color w:val="auto"/>
        </w:rPr>
      </w:pPr>
      <w:r>
        <w:rPr>
          <w:rFonts w:hint="eastAsia"/>
          <w:color w:val="auto"/>
        </w:rPr>
        <w:t>（4）</w:t>
      </w:r>
      <w:r>
        <w:rPr>
          <w:color w:val="auto"/>
        </w:rPr>
        <w:t>政府采购法律法规规定的其他无效情形。</w:t>
      </w:r>
    </w:p>
    <w:p w14:paraId="76C6C5F6">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14:paraId="30688DCD">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pPr>
        <w:pStyle w:val="3"/>
      </w:pPr>
      <w:r>
        <w:t>六、磋商方法和程序</w:t>
      </w:r>
    </w:p>
    <w:p w14:paraId="70C3F6C2">
      <w:pPr>
        <w:pStyle w:val="4"/>
        <w:ind w:firstLine="482"/>
      </w:pPr>
      <w:r>
        <w:rPr>
          <w:rFonts w:hint="eastAsia"/>
        </w:rPr>
        <w:t>（一）组建磋商小组</w:t>
      </w:r>
    </w:p>
    <w:p w14:paraId="2FB0A0CA">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0B85A452">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pPr>
        <w:ind w:firstLine="480" w:firstLineChars="200"/>
        <w:jc w:val="both"/>
      </w:pPr>
      <w:r>
        <w:rPr>
          <w:rFonts w:hint="eastAsia"/>
        </w:rPr>
        <w:t>由采购代理机构组织磋商小组推选评审组长，采购人代表不得担任组长。</w:t>
      </w:r>
    </w:p>
    <w:p w14:paraId="147E3A3B">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pPr>
        <w:pStyle w:val="4"/>
        <w:ind w:firstLine="482"/>
      </w:pPr>
      <w:r>
        <w:t>（二）资格性审查</w:t>
      </w:r>
    </w:p>
    <w:p w14:paraId="72965B24">
      <w:pPr>
        <w:pStyle w:val="81"/>
        <w:ind w:firstLine="480"/>
      </w:pPr>
      <w:r>
        <w:rPr>
          <w:rFonts w:hint="eastAsia"/>
        </w:rPr>
        <w:t>磋商文件经确认后，磋商小组对响应文件中的供应商资格证明文件进行审查（其中供应商信用记录审查由采购人进行）。</w:t>
      </w:r>
    </w:p>
    <w:p w14:paraId="415E7DA6">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pPr>
        <w:pStyle w:val="81"/>
        <w:ind w:firstLine="480"/>
      </w:pPr>
      <w:r>
        <w:rPr>
          <w:rFonts w:hint="eastAsia"/>
        </w:rPr>
        <w:t>（1）不具备磋商文件中规定的资格要求的；</w:t>
      </w:r>
    </w:p>
    <w:p w14:paraId="679D2DFA">
      <w:pPr>
        <w:pStyle w:val="81"/>
        <w:ind w:firstLine="480"/>
      </w:pPr>
      <w:r>
        <w:rPr>
          <w:rFonts w:hint="eastAsia"/>
        </w:rPr>
        <w:t>（2）未按磋商文件要求提供资格证明文件，或资格证明文件未按磋商文件要求签字、盖章的；</w:t>
      </w:r>
    </w:p>
    <w:p w14:paraId="13F9BBCC">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pPr>
        <w:pStyle w:val="81"/>
        <w:ind w:firstLine="480"/>
      </w:pPr>
      <w:r>
        <w:rPr>
          <w:rFonts w:hint="eastAsia"/>
        </w:rPr>
        <w:t>（4）法律法规规定的其他无效情形。</w:t>
      </w:r>
    </w:p>
    <w:p w14:paraId="17B8864D">
      <w:pPr>
        <w:pStyle w:val="81"/>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3A72EC81">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年度经审计的财务会计报告（成立时间至提交响应文件截止时间不足一年的可提供成立后任意时段的资产负债表）；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0590A008">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特定资格条件</w:t>
            </w:r>
          </w:p>
        </w:tc>
        <w:tc>
          <w:tcPr>
            <w:tcW w:w="5846" w:type="dxa"/>
            <w:vAlign w:val="center"/>
          </w:tcPr>
          <w:p w14:paraId="71EBC67A">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 xml:space="preserve">（1）自行招用保安员的供应商，须出具承诺书（承诺书形式不限），承诺自承接本项目之日起30日内向采购人所在地设区的市级人民政府公安机关备案。 </w:t>
            </w:r>
          </w:p>
          <w:p w14:paraId="185812BF">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（2）从保安服务公司购买保安服务的供应商，须提供该保安公司的《保安服务许可证》及供应商与保安服务公司签订的保安服务合同，明确规定服务的项目、内容以及双方的权利义务。</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270D6FB0">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4DCD95B1">
      <w:pPr>
        <w:pStyle w:val="4"/>
        <w:ind w:firstLine="482"/>
      </w:pPr>
      <w:r>
        <w:t>（三）符合性审查</w:t>
      </w:r>
    </w:p>
    <w:p w14:paraId="02B54396">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5CC9CFE5">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14:paraId="28566B72">
      <w:pPr>
        <w:pStyle w:val="4"/>
        <w:ind w:firstLine="482"/>
        <w:jc w:val="both"/>
      </w:pPr>
      <w:r>
        <w:t>（六）综合比较与评分</w:t>
      </w:r>
    </w:p>
    <w:p w14:paraId="1664C8C9">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259"/>
        <w:gridCol w:w="968"/>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259"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评审要素</w:t>
            </w:r>
          </w:p>
        </w:tc>
        <w:tc>
          <w:tcPr>
            <w:tcW w:w="968"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259"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968"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6259" w:type="dxa"/>
            <w:tcBorders>
              <w:top w:val="single" w:color="auto" w:sz="2" w:space="0"/>
            </w:tcBorders>
            <w:shd w:val="clear" w:color="auto" w:fill="auto"/>
            <w:vAlign w:val="center"/>
          </w:tcPr>
          <w:p w14:paraId="7746683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满足磋商文件要求且最后报价最低的供应商的价格为磋商基准价得</w:t>
            </w:r>
            <w:r>
              <w:rPr>
                <w:rFonts w:ascii="Calibri" w:hAnsi="宋体" w:eastAsia="宋体" w:cs="宋体"/>
                <w:sz w:val="21"/>
                <w:szCs w:val="21"/>
              </w:rPr>
              <w:t>1</w:t>
            </w:r>
            <w:r>
              <w:rPr>
                <w:rFonts w:hint="eastAsia" w:ascii="Calibri" w:hAnsi="宋体" w:eastAsia="宋体" w:cs="宋体"/>
                <w:sz w:val="21"/>
                <w:szCs w:val="21"/>
              </w:rPr>
              <w:t>0分，其他各供应商的最后报价得分按下列公式计算：（磋商基准价/最后磋商报价）×</w:t>
            </w:r>
            <w:r>
              <w:rPr>
                <w:rFonts w:ascii="Calibri" w:hAnsi="宋体" w:eastAsia="宋体" w:cs="宋体"/>
                <w:sz w:val="21"/>
                <w:szCs w:val="21"/>
              </w:rPr>
              <w:t>1</w:t>
            </w:r>
            <w:r>
              <w:rPr>
                <w:rFonts w:hint="eastAsia" w:ascii="Calibri" w:hAnsi="宋体" w:eastAsia="宋体" w:cs="宋体"/>
                <w:sz w:val="21"/>
                <w:szCs w:val="21"/>
              </w:rPr>
              <w:t>0％×100。</w:t>
            </w:r>
          </w:p>
        </w:tc>
        <w:tc>
          <w:tcPr>
            <w:tcW w:w="968"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4A5A4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4FA5D636">
            <w:pPr>
              <w:spacing w:line="400" w:lineRule="exact"/>
              <w:jc w:val="center"/>
              <w:rPr>
                <w:rFonts w:ascii="Calibri" w:hAnsi="宋体" w:eastAsia="宋体" w:cs="宋体"/>
                <w:b/>
                <w:sz w:val="21"/>
                <w:szCs w:val="21"/>
              </w:rPr>
            </w:pPr>
            <w:r>
              <w:rPr>
                <w:rFonts w:hint="eastAsia" w:ascii="Calibri" w:hAnsi="宋体" w:eastAsia="宋体" w:cs="宋体"/>
                <w:b/>
                <w:sz w:val="21"/>
                <w:szCs w:val="21"/>
              </w:rPr>
              <w:t>服务部分</w:t>
            </w:r>
          </w:p>
        </w:tc>
        <w:tc>
          <w:tcPr>
            <w:tcW w:w="640" w:type="dxa"/>
            <w:vMerge w:val="restart"/>
            <w:tcBorders>
              <w:top w:val="single" w:color="auto" w:sz="2" w:space="0"/>
            </w:tcBorders>
            <w:shd w:val="clear" w:color="auto" w:fill="auto"/>
            <w:vAlign w:val="center"/>
          </w:tcPr>
          <w:p w14:paraId="2817A904">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r>
              <w:rPr>
                <w:rFonts w:ascii="Calibri" w:hAnsi="宋体" w:eastAsia="宋体" w:cs="宋体"/>
                <w:bCs/>
                <w:sz w:val="21"/>
                <w:szCs w:val="21"/>
              </w:rPr>
              <w:t>0</w:t>
            </w:r>
          </w:p>
        </w:tc>
        <w:tc>
          <w:tcPr>
            <w:tcW w:w="860" w:type="dxa"/>
            <w:shd w:val="clear" w:color="auto" w:fill="auto"/>
            <w:vAlign w:val="center"/>
          </w:tcPr>
          <w:p w14:paraId="2EBBB84D">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8</w:t>
            </w:r>
          </w:p>
        </w:tc>
        <w:tc>
          <w:tcPr>
            <w:tcW w:w="6259" w:type="dxa"/>
            <w:tcBorders>
              <w:top w:val="single" w:color="auto" w:sz="2" w:space="0"/>
            </w:tcBorders>
            <w:shd w:val="clear" w:color="auto" w:fill="auto"/>
            <w:vAlign w:val="center"/>
          </w:tcPr>
          <w:p w14:paraId="392307E1">
            <w:pPr>
              <w:spacing w:line="320" w:lineRule="exact"/>
              <w:ind w:firstLine="420"/>
              <w:jc w:val="both"/>
              <w:rPr>
                <w:rFonts w:ascii="Calibri" w:hAnsi="宋体" w:eastAsia="宋体"/>
                <w:b/>
                <w:color w:val="C00000"/>
                <w:sz w:val="21"/>
              </w:rPr>
            </w:pPr>
            <w:r>
              <w:rPr>
                <w:rFonts w:hint="eastAsia" w:ascii="Calibri" w:hAnsi="宋体" w:eastAsia="宋体"/>
                <w:b/>
                <w:color w:val="C00000"/>
                <w:sz w:val="21"/>
              </w:rPr>
              <w:t>总体管理方案</w:t>
            </w:r>
          </w:p>
          <w:p w14:paraId="0FF206C7">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52FAB11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提出针对于本项目的总体管理方案，方案内容包含：①项目组织架构及各岗位工作制度；②各岗位工作职能；③总体服务标准。</w:t>
            </w:r>
          </w:p>
          <w:p w14:paraId="7667E2E4">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0A783F7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1、完整性：方案须全面，对评审内容中的各项要求有详细描述及说明；</w:t>
            </w:r>
          </w:p>
          <w:p w14:paraId="42285F39">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14:paraId="21D9EC1E">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14:paraId="40440FA5">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三、赋分标准（满分18分）</w:t>
            </w:r>
          </w:p>
          <w:p w14:paraId="0E18F12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①项目组织架构及各岗位工作制度：每完全满足一项评审标准得2分，不满足不得分，本项满分6分；</w:t>
            </w:r>
          </w:p>
          <w:p w14:paraId="6DE73DB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②各岗位工作职能：每完全满足一项评审标准得2分，不满足不得分，本项满分6分；</w:t>
            </w:r>
          </w:p>
          <w:p w14:paraId="729A1E2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③总体服务标准：每完全满足一项评审标准得2分，不满足不得分，本项满分6分。</w:t>
            </w:r>
          </w:p>
        </w:tc>
        <w:tc>
          <w:tcPr>
            <w:tcW w:w="968" w:type="dxa"/>
            <w:tcBorders>
              <w:top w:val="single" w:color="auto" w:sz="2" w:space="0"/>
            </w:tcBorders>
            <w:shd w:val="clear" w:color="auto" w:fill="auto"/>
            <w:vAlign w:val="center"/>
          </w:tcPr>
          <w:p w14:paraId="1D831F73">
            <w:pPr>
              <w:spacing w:line="400" w:lineRule="exact"/>
              <w:jc w:val="center"/>
              <w:rPr>
                <w:rFonts w:ascii="Calibri" w:hAnsi="宋体" w:eastAsia="宋体" w:cs="宋体"/>
                <w:bCs/>
                <w:color w:val="FF0000"/>
                <w:sz w:val="21"/>
                <w:szCs w:val="21"/>
              </w:rPr>
            </w:pPr>
          </w:p>
        </w:tc>
      </w:tr>
      <w:tr w14:paraId="6547EA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454961D">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C0F812C">
            <w:pPr>
              <w:spacing w:line="400" w:lineRule="exact"/>
              <w:jc w:val="center"/>
              <w:rPr>
                <w:rFonts w:ascii="Calibri" w:hAnsi="宋体" w:eastAsia="宋体" w:cs="宋体"/>
                <w:bCs/>
                <w:sz w:val="21"/>
                <w:szCs w:val="21"/>
              </w:rPr>
            </w:pPr>
          </w:p>
        </w:tc>
        <w:tc>
          <w:tcPr>
            <w:tcW w:w="860" w:type="dxa"/>
            <w:shd w:val="clear" w:color="auto" w:fill="auto"/>
            <w:vAlign w:val="center"/>
          </w:tcPr>
          <w:p w14:paraId="39DB3606">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r>
              <w:rPr>
                <w:rFonts w:ascii="Calibri" w:hAnsi="宋体" w:eastAsia="宋体" w:cs="宋体"/>
                <w:bCs/>
                <w:sz w:val="21"/>
                <w:szCs w:val="21"/>
              </w:rPr>
              <w:t>0</w:t>
            </w:r>
          </w:p>
        </w:tc>
        <w:tc>
          <w:tcPr>
            <w:tcW w:w="6259" w:type="dxa"/>
            <w:tcBorders>
              <w:top w:val="single" w:color="auto" w:sz="2" w:space="0"/>
            </w:tcBorders>
            <w:shd w:val="clear" w:color="auto" w:fill="auto"/>
            <w:vAlign w:val="center"/>
          </w:tcPr>
          <w:p w14:paraId="4199AB59">
            <w:pPr>
              <w:spacing w:line="320" w:lineRule="exact"/>
              <w:ind w:firstLine="420"/>
              <w:jc w:val="both"/>
              <w:rPr>
                <w:rFonts w:ascii="Calibri" w:hAnsi="宋体" w:eastAsia="宋体"/>
                <w:b/>
                <w:color w:val="C00000"/>
                <w:sz w:val="21"/>
              </w:rPr>
            </w:pPr>
            <w:r>
              <w:rPr>
                <w:rFonts w:hint="eastAsia" w:ascii="Calibri" w:hAnsi="宋体" w:eastAsia="宋体"/>
                <w:b/>
                <w:color w:val="C00000"/>
                <w:sz w:val="21"/>
              </w:rPr>
              <w:t>分项服务实施方案</w:t>
            </w:r>
          </w:p>
          <w:p w14:paraId="3F4F5637">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61AB507F">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提出针对于本项目的分项服务实施方案，方案内容包含：①24小时安保服务方案；②保洁服务方案；③会议保障服务方案；④维修养护服务方案；⑤绿化养护服务方案。</w:t>
            </w:r>
          </w:p>
          <w:p w14:paraId="043C1426">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注：各方案内容包括但不限于岗位分工、工作时间安排、岗位工作内容工作流程及服务质量标准等。</w:t>
            </w:r>
          </w:p>
          <w:p w14:paraId="0FDD9A86">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437DBA4E">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1、完整性：方案须全面，对评审内容中的各项要求有详细描述及说明；</w:t>
            </w:r>
          </w:p>
          <w:p w14:paraId="496121F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14:paraId="2E601210">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14:paraId="36A1BECA">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三、赋分标准（满分30分）</w:t>
            </w:r>
          </w:p>
          <w:p w14:paraId="7621101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①24小时安保服务方案：每完全满足一项评审标准得2分，不满足不得分，本项满分6分；</w:t>
            </w:r>
          </w:p>
          <w:p w14:paraId="6D7331D9">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②保洁服务方案：每完全满足一项评审标准得2分，不满足不得分，本项满分6分；</w:t>
            </w:r>
          </w:p>
          <w:p w14:paraId="774C367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③会议保障服务方案：每完全满足一项评审标准得2分，不满足不得分，本项满分6分；</w:t>
            </w:r>
          </w:p>
          <w:p w14:paraId="41D2249C">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④维修养护服务方案：每完全满足一项评审标准得2分，不满足不得分，本项满分6分；</w:t>
            </w:r>
          </w:p>
          <w:p w14:paraId="29B4512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⑤绿化养护服务方案：每完全满足一项评审标准得2分，不满足不得分，本项满分6分。</w:t>
            </w:r>
          </w:p>
        </w:tc>
        <w:tc>
          <w:tcPr>
            <w:tcW w:w="968" w:type="dxa"/>
            <w:tcBorders>
              <w:top w:val="single" w:color="auto" w:sz="2" w:space="0"/>
            </w:tcBorders>
            <w:shd w:val="clear" w:color="auto" w:fill="auto"/>
            <w:vAlign w:val="center"/>
          </w:tcPr>
          <w:p w14:paraId="05994DBC">
            <w:pPr>
              <w:spacing w:line="400" w:lineRule="exact"/>
              <w:jc w:val="center"/>
              <w:rPr>
                <w:rFonts w:ascii="Calibri" w:hAnsi="宋体" w:eastAsia="宋体" w:cs="宋体"/>
                <w:bCs/>
                <w:color w:val="FF0000"/>
                <w:sz w:val="21"/>
                <w:szCs w:val="21"/>
              </w:rPr>
            </w:pPr>
          </w:p>
        </w:tc>
      </w:tr>
      <w:tr w14:paraId="44239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30016D3">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05786051">
            <w:pPr>
              <w:spacing w:line="400" w:lineRule="exact"/>
              <w:jc w:val="center"/>
              <w:rPr>
                <w:rFonts w:ascii="Calibri" w:hAnsi="宋体" w:eastAsia="宋体" w:cs="宋体"/>
                <w:bCs/>
                <w:sz w:val="21"/>
                <w:szCs w:val="21"/>
              </w:rPr>
            </w:pPr>
          </w:p>
        </w:tc>
        <w:tc>
          <w:tcPr>
            <w:tcW w:w="860" w:type="dxa"/>
            <w:shd w:val="clear" w:color="auto" w:fill="auto"/>
            <w:vAlign w:val="center"/>
          </w:tcPr>
          <w:p w14:paraId="7613B7B9">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6259" w:type="dxa"/>
            <w:tcBorders>
              <w:top w:val="single" w:color="auto" w:sz="2" w:space="0"/>
            </w:tcBorders>
            <w:shd w:val="clear" w:color="auto" w:fill="auto"/>
            <w:vAlign w:val="center"/>
          </w:tcPr>
          <w:p w14:paraId="4DE858B5">
            <w:pPr>
              <w:spacing w:line="320" w:lineRule="exact"/>
              <w:ind w:firstLine="420"/>
              <w:jc w:val="both"/>
              <w:rPr>
                <w:rFonts w:ascii="Calibri" w:hAnsi="宋体" w:eastAsia="宋体"/>
                <w:b/>
                <w:color w:val="C00000"/>
                <w:sz w:val="21"/>
              </w:rPr>
            </w:pPr>
            <w:r>
              <w:rPr>
                <w:rFonts w:hint="eastAsia" w:ascii="Calibri" w:hAnsi="宋体" w:eastAsia="宋体"/>
                <w:b/>
                <w:color w:val="C00000"/>
                <w:sz w:val="21"/>
              </w:rPr>
              <w:t>应急预案</w:t>
            </w:r>
          </w:p>
          <w:p w14:paraId="659FE634">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424F398C">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提供针对本项目的应急方案，内容包含：①突发事件、事故处理、治安应急的预案；②重大活动应急预案；③消防应急预案；④漏水浸水处理应急预案。</w:t>
            </w:r>
          </w:p>
          <w:p w14:paraId="745F95D5">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120414C0">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1、完整性：方案须全面，对评审内容中的各项要求有详细描述及说明；</w:t>
            </w:r>
          </w:p>
          <w:p w14:paraId="419CD3B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14:paraId="387284F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14:paraId="1C63089D">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三、赋分标准（满分12分）</w:t>
            </w:r>
          </w:p>
          <w:p w14:paraId="1E4E3A9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①突发事件、事故处理、治安应急的预案：每完全满足一项评审标准得1分，不满足不得分，本项满分3分；</w:t>
            </w:r>
          </w:p>
          <w:p w14:paraId="3A2983C0">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②重大活动应急预案：每完全满足一项评审标准得1分，不满足不得分，本项满分3分；</w:t>
            </w:r>
          </w:p>
          <w:p w14:paraId="65B023A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③消防应急预案：每完全满足一项评审标准得1分，不满足不得分，本项满分3分；</w:t>
            </w:r>
          </w:p>
          <w:p w14:paraId="6D7C2C2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④漏水浸水处理应急预案：每完全满足一项评审标准得1分，不满足不得分，本项满分3分。</w:t>
            </w:r>
          </w:p>
        </w:tc>
        <w:tc>
          <w:tcPr>
            <w:tcW w:w="968" w:type="dxa"/>
            <w:tcBorders>
              <w:top w:val="single" w:color="auto" w:sz="2" w:space="0"/>
            </w:tcBorders>
            <w:shd w:val="clear" w:color="auto" w:fill="auto"/>
            <w:vAlign w:val="center"/>
          </w:tcPr>
          <w:p w14:paraId="4FB7401E">
            <w:pPr>
              <w:spacing w:line="400" w:lineRule="exact"/>
              <w:jc w:val="center"/>
              <w:rPr>
                <w:rFonts w:ascii="Calibri" w:hAnsi="宋体" w:eastAsia="宋体" w:cs="宋体"/>
                <w:bCs/>
                <w:color w:val="FF0000"/>
                <w:sz w:val="21"/>
                <w:szCs w:val="21"/>
              </w:rPr>
            </w:pPr>
          </w:p>
        </w:tc>
      </w:tr>
      <w:tr w14:paraId="531B01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24961D1C">
            <w:pPr>
              <w:spacing w:line="400" w:lineRule="exact"/>
              <w:jc w:val="center"/>
              <w:rPr>
                <w:rFonts w:ascii="Calibri" w:hAnsi="宋体" w:eastAsia="宋体" w:cs="宋体"/>
                <w:bCs/>
                <w:sz w:val="21"/>
                <w:szCs w:val="21"/>
              </w:rPr>
            </w:pPr>
            <w:r>
              <w:rPr>
                <w:rFonts w:hint="eastAsia" w:ascii="Calibri" w:hAnsi="宋体" w:eastAsia="宋体" w:cs="宋体"/>
                <w:b/>
                <w:sz w:val="21"/>
                <w:szCs w:val="21"/>
              </w:rPr>
              <w:t>商务部分</w:t>
            </w:r>
          </w:p>
        </w:tc>
        <w:tc>
          <w:tcPr>
            <w:tcW w:w="640" w:type="dxa"/>
            <w:vMerge w:val="restart"/>
            <w:shd w:val="clear" w:color="auto" w:fill="auto"/>
            <w:vAlign w:val="center"/>
          </w:tcPr>
          <w:p w14:paraId="2DE786ED">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r>
              <w:rPr>
                <w:rFonts w:ascii="Calibri" w:hAnsi="宋体" w:eastAsia="宋体" w:cs="宋体"/>
                <w:bCs/>
                <w:sz w:val="21"/>
                <w:szCs w:val="21"/>
              </w:rPr>
              <w:t>0</w:t>
            </w:r>
          </w:p>
        </w:tc>
        <w:tc>
          <w:tcPr>
            <w:tcW w:w="860" w:type="dxa"/>
            <w:shd w:val="clear" w:color="auto" w:fill="auto"/>
            <w:vAlign w:val="center"/>
          </w:tcPr>
          <w:p w14:paraId="262FFE14">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1</w:t>
            </w:r>
          </w:p>
        </w:tc>
        <w:tc>
          <w:tcPr>
            <w:tcW w:w="6259" w:type="dxa"/>
            <w:shd w:val="clear" w:color="auto" w:fill="auto"/>
            <w:vAlign w:val="center"/>
          </w:tcPr>
          <w:p w14:paraId="1738625A">
            <w:pPr>
              <w:spacing w:line="320" w:lineRule="exact"/>
              <w:ind w:firstLine="420"/>
              <w:jc w:val="both"/>
              <w:rPr>
                <w:rFonts w:ascii="Calibri" w:hAnsi="宋体" w:eastAsia="宋体"/>
                <w:b/>
                <w:color w:val="C00000"/>
                <w:sz w:val="21"/>
              </w:rPr>
            </w:pPr>
            <w:r>
              <w:rPr>
                <w:rFonts w:hint="eastAsia" w:ascii="Calibri" w:hAnsi="宋体" w:eastAsia="宋体"/>
                <w:b/>
                <w:color w:val="C00000"/>
                <w:sz w:val="21"/>
              </w:rPr>
              <w:t>人员配备方案</w:t>
            </w:r>
          </w:p>
          <w:p w14:paraId="6921DEED">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一、项目经理（本项满分1分）：</w:t>
            </w:r>
          </w:p>
          <w:p w14:paraId="537207D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具有大专及以上学历，提供学历证书扫描件，并提供2</w:t>
            </w:r>
            <w:r>
              <w:rPr>
                <w:rFonts w:ascii="Calibri" w:hAnsi="宋体" w:eastAsia="宋体" w:cs="宋体"/>
                <w:sz w:val="21"/>
                <w:szCs w:val="21"/>
              </w:rPr>
              <w:t>024年</w:t>
            </w:r>
            <w:r>
              <w:rPr>
                <w:rFonts w:hint="eastAsia" w:ascii="Calibri" w:hAnsi="宋体" w:eastAsia="宋体" w:cs="宋体"/>
                <w:sz w:val="21"/>
                <w:szCs w:val="21"/>
              </w:rPr>
              <w:t>7月1日以来供应商为其缴纳的连续一年社保证明，全部满足得1分，提供不全或未提供不得分。</w:t>
            </w:r>
          </w:p>
          <w:p w14:paraId="58A35922">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二、人员资格情况（本项满分1分）：</w:t>
            </w:r>
          </w:p>
          <w:p w14:paraId="0D9F56A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客服人员具有大专及以上学历，提供学历证书扫描件，并2</w:t>
            </w:r>
            <w:r>
              <w:rPr>
                <w:rFonts w:ascii="Calibri" w:hAnsi="宋体" w:eastAsia="宋体" w:cs="宋体"/>
                <w:sz w:val="21"/>
                <w:szCs w:val="21"/>
              </w:rPr>
              <w:t>024年</w:t>
            </w:r>
            <w:r>
              <w:rPr>
                <w:rFonts w:hint="eastAsia" w:ascii="Calibri" w:hAnsi="宋体" w:eastAsia="宋体" w:cs="宋体"/>
                <w:sz w:val="21"/>
                <w:szCs w:val="21"/>
              </w:rPr>
              <w:t>7月1日以来提供供应商为其缴纳的连续一年社保证明，全部满足得1分，提供不全或未提供不得分。</w:t>
            </w:r>
          </w:p>
          <w:p w14:paraId="34CB19D5">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三、服务人员配备方案（本项满分9分）：</w:t>
            </w:r>
          </w:p>
          <w:p w14:paraId="6EAAD4D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（一）评审内容</w:t>
            </w:r>
          </w:p>
          <w:p w14:paraId="2AB3715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针对本项目提供人员配备情况（包括不限于服务人员的年龄/学历/专业资格/相关工作经验等）。（以响应方案中《拟派项目团队及人员情况表》为依据）</w:t>
            </w:r>
          </w:p>
          <w:p w14:paraId="410F72D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（二）评审标准</w:t>
            </w:r>
          </w:p>
          <w:p w14:paraId="08B66FD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1、完整性：组织机构的运行配备完善、各岗位人员分工明确合理；</w:t>
            </w:r>
          </w:p>
          <w:p w14:paraId="59ED3FA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2、针对性：人员数量充足，人员资格/年龄等符合采购需求；</w:t>
            </w:r>
          </w:p>
          <w:p w14:paraId="7DAEE9F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3、专业性：人员相关岗位经验丰富，切合本项目实际情况。</w:t>
            </w:r>
          </w:p>
          <w:p w14:paraId="3A537B5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（三）赋分标准（满分9分）</w:t>
            </w:r>
          </w:p>
          <w:p w14:paraId="1A32FFC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每完全满足一项评审标准得3分，不满足不得分，满分9分。</w:t>
            </w:r>
          </w:p>
        </w:tc>
        <w:tc>
          <w:tcPr>
            <w:tcW w:w="968" w:type="dxa"/>
            <w:shd w:val="clear" w:color="auto" w:fill="auto"/>
            <w:vAlign w:val="center"/>
          </w:tcPr>
          <w:p w14:paraId="318B968A">
            <w:pPr>
              <w:spacing w:line="400" w:lineRule="exact"/>
              <w:jc w:val="center"/>
              <w:rPr>
                <w:rFonts w:ascii="Calibri" w:hAnsi="宋体" w:eastAsia="宋体" w:cs="宋体"/>
                <w:bCs/>
                <w:color w:val="FF0000"/>
                <w:sz w:val="21"/>
                <w:szCs w:val="21"/>
              </w:rPr>
            </w:pPr>
          </w:p>
        </w:tc>
      </w:tr>
      <w:tr w14:paraId="5826C4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E1FFA5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BD4E880">
            <w:pPr>
              <w:spacing w:line="400" w:lineRule="exact"/>
              <w:jc w:val="center"/>
              <w:rPr>
                <w:rFonts w:ascii="Calibri" w:hAnsi="宋体" w:eastAsia="宋体" w:cs="宋体"/>
                <w:bCs/>
                <w:sz w:val="21"/>
                <w:szCs w:val="21"/>
              </w:rPr>
            </w:pPr>
          </w:p>
        </w:tc>
        <w:tc>
          <w:tcPr>
            <w:tcW w:w="860" w:type="dxa"/>
            <w:shd w:val="clear" w:color="auto" w:fill="auto"/>
            <w:vAlign w:val="center"/>
          </w:tcPr>
          <w:p w14:paraId="71E8561B">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6259" w:type="dxa"/>
            <w:shd w:val="clear" w:color="auto" w:fill="auto"/>
            <w:vAlign w:val="center"/>
          </w:tcPr>
          <w:p w14:paraId="11819AEB">
            <w:pPr>
              <w:spacing w:line="320" w:lineRule="exact"/>
              <w:ind w:firstLine="420"/>
              <w:jc w:val="both"/>
              <w:rPr>
                <w:rFonts w:ascii="Calibri" w:hAnsi="宋体" w:eastAsia="宋体"/>
                <w:b/>
                <w:color w:val="C00000"/>
                <w:sz w:val="21"/>
              </w:rPr>
            </w:pPr>
            <w:r>
              <w:rPr>
                <w:rFonts w:hint="eastAsia" w:ascii="Calibri" w:hAnsi="宋体" w:eastAsia="宋体"/>
                <w:b/>
                <w:color w:val="C00000"/>
                <w:sz w:val="21"/>
              </w:rPr>
              <w:t>物资装备</w:t>
            </w:r>
          </w:p>
          <w:p w14:paraId="3420D0EF">
            <w:pPr>
              <w:spacing w:line="320" w:lineRule="exact"/>
              <w:ind w:firstLine="420"/>
              <w:jc w:val="both"/>
              <w:rPr>
                <w:rFonts w:ascii="Calibri" w:hAnsi="宋体" w:eastAsia="宋体"/>
                <w:b/>
                <w:sz w:val="21"/>
              </w:rPr>
            </w:pPr>
            <w:r>
              <w:rPr>
                <w:rFonts w:hint="eastAsia" w:ascii="Calibri" w:hAnsi="宋体" w:eastAsia="宋体"/>
                <w:b/>
                <w:sz w:val="21"/>
              </w:rPr>
              <w:t>一、评审内容</w:t>
            </w:r>
          </w:p>
          <w:p w14:paraId="69FC3710">
            <w:pPr>
              <w:spacing w:line="320" w:lineRule="exact"/>
              <w:ind w:firstLine="420"/>
              <w:jc w:val="both"/>
              <w:rPr>
                <w:rFonts w:ascii="Calibri" w:hAnsi="宋体" w:eastAsia="宋体"/>
                <w:sz w:val="21"/>
              </w:rPr>
            </w:pPr>
            <w:r>
              <w:rPr>
                <w:rFonts w:hint="eastAsia" w:ascii="Calibri" w:hAnsi="宋体" w:eastAsia="宋体"/>
                <w:sz w:val="21"/>
              </w:rPr>
              <w:t>供应商拟投入的详细的物资装备及耗材配置，包括：①保洁、安防相关设备、装备；②维修用具；③易耗品品目；④工作服。</w:t>
            </w:r>
          </w:p>
          <w:p w14:paraId="0BD963A4">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2DD0439A">
            <w:pPr>
              <w:spacing w:line="320" w:lineRule="exact"/>
              <w:ind w:firstLine="420"/>
              <w:jc w:val="both"/>
              <w:rPr>
                <w:rFonts w:ascii="Calibri" w:hAnsi="宋体" w:eastAsia="宋体"/>
                <w:sz w:val="21"/>
              </w:rPr>
            </w:pPr>
            <w:r>
              <w:rPr>
                <w:rFonts w:hint="eastAsia" w:ascii="Calibri" w:hAnsi="宋体" w:eastAsia="宋体"/>
                <w:sz w:val="21"/>
              </w:rPr>
              <w:t>1、齐全程度：对评审内容中的各项工具（或设备）的数量和种类有详细描述，能完全满足磋商文件要求；</w:t>
            </w:r>
          </w:p>
          <w:p w14:paraId="29BE2730">
            <w:pPr>
              <w:spacing w:line="320" w:lineRule="exact"/>
              <w:ind w:firstLine="420"/>
              <w:jc w:val="both"/>
              <w:rPr>
                <w:rFonts w:ascii="Calibri" w:hAnsi="宋体" w:eastAsia="宋体"/>
                <w:sz w:val="21"/>
              </w:rPr>
            </w:pPr>
            <w:r>
              <w:rPr>
                <w:rFonts w:hint="eastAsia" w:ascii="Calibri" w:hAnsi="宋体" w:eastAsia="宋体"/>
                <w:sz w:val="21"/>
              </w:rPr>
              <w:t>2、实用性：设备工具、耗材质量有保障、使用率高、安全性能强、环保性强、服装统一；</w:t>
            </w:r>
          </w:p>
          <w:p w14:paraId="7EF237C6">
            <w:pPr>
              <w:spacing w:line="320" w:lineRule="exact"/>
              <w:ind w:firstLine="420"/>
              <w:jc w:val="both"/>
              <w:rPr>
                <w:rFonts w:ascii="Calibri" w:hAnsi="宋体" w:eastAsia="宋体"/>
                <w:sz w:val="21"/>
              </w:rPr>
            </w:pPr>
            <w:r>
              <w:rPr>
                <w:rFonts w:hint="eastAsia" w:ascii="Calibri" w:hAnsi="宋体" w:eastAsia="宋体"/>
                <w:sz w:val="21"/>
              </w:rPr>
              <w:t>3、针对性：设备工具、耗材能紧扣项目实际情况，配置合理科学。</w:t>
            </w:r>
          </w:p>
          <w:p w14:paraId="2D5290E1">
            <w:pPr>
              <w:spacing w:line="320" w:lineRule="exact"/>
              <w:ind w:firstLine="420"/>
              <w:jc w:val="both"/>
              <w:rPr>
                <w:rFonts w:ascii="Calibri" w:hAnsi="宋体" w:eastAsia="宋体"/>
                <w:b/>
                <w:sz w:val="21"/>
              </w:rPr>
            </w:pPr>
            <w:r>
              <w:rPr>
                <w:rFonts w:hint="eastAsia" w:ascii="Calibri" w:hAnsi="宋体" w:eastAsia="宋体"/>
                <w:b/>
                <w:sz w:val="21"/>
              </w:rPr>
              <w:t>三、赋分标准（满分12分）</w:t>
            </w:r>
          </w:p>
          <w:p w14:paraId="538CDB95">
            <w:pPr>
              <w:spacing w:line="320" w:lineRule="exact"/>
              <w:ind w:firstLine="420"/>
              <w:jc w:val="both"/>
              <w:rPr>
                <w:rFonts w:ascii="Calibri" w:hAnsi="宋体" w:eastAsia="宋体"/>
                <w:sz w:val="21"/>
              </w:rPr>
            </w:pPr>
            <w:r>
              <w:rPr>
                <w:rFonts w:hint="eastAsia" w:ascii="Calibri" w:hAnsi="宋体" w:eastAsia="宋体"/>
                <w:sz w:val="21"/>
              </w:rPr>
              <w:t>①保洁、安防相关设备、装备：每完全满足一项评审标准得1分，本项满分3分；</w:t>
            </w:r>
          </w:p>
          <w:p w14:paraId="5DD0C6C8">
            <w:pPr>
              <w:spacing w:line="320" w:lineRule="exact"/>
              <w:ind w:firstLine="420"/>
              <w:jc w:val="both"/>
              <w:rPr>
                <w:rFonts w:ascii="Calibri" w:hAnsi="宋体" w:eastAsia="宋体"/>
                <w:sz w:val="21"/>
              </w:rPr>
            </w:pPr>
            <w:r>
              <w:rPr>
                <w:rFonts w:hint="eastAsia" w:ascii="Calibri" w:hAnsi="宋体" w:eastAsia="宋体"/>
                <w:sz w:val="21"/>
              </w:rPr>
              <w:t>②维修用具：每完全满足一项评审标准得1分，不满足不得分，本项满分3分；</w:t>
            </w:r>
          </w:p>
          <w:p w14:paraId="2D66D6D3">
            <w:pPr>
              <w:spacing w:line="320" w:lineRule="exact"/>
              <w:ind w:firstLine="420"/>
              <w:jc w:val="both"/>
              <w:rPr>
                <w:rFonts w:ascii="Calibri" w:hAnsi="宋体" w:eastAsia="宋体"/>
                <w:sz w:val="21"/>
              </w:rPr>
            </w:pPr>
            <w:r>
              <w:rPr>
                <w:rFonts w:hint="eastAsia" w:ascii="Calibri" w:hAnsi="宋体" w:eastAsia="宋体"/>
                <w:sz w:val="21"/>
              </w:rPr>
              <w:t>③易耗品品目：每完全满足一项评审标准得1分，不满足不得分，本项满分3分；</w:t>
            </w:r>
          </w:p>
          <w:p w14:paraId="793C4151">
            <w:pPr>
              <w:spacing w:line="320" w:lineRule="exact"/>
              <w:ind w:firstLine="420"/>
              <w:jc w:val="both"/>
              <w:rPr>
                <w:rFonts w:ascii="Calibri" w:hAnsi="宋体" w:eastAsia="宋体"/>
                <w:sz w:val="21"/>
              </w:rPr>
            </w:pPr>
            <w:r>
              <w:rPr>
                <w:rFonts w:hint="eastAsia" w:ascii="Calibri" w:hAnsi="宋体" w:eastAsia="宋体"/>
                <w:sz w:val="21"/>
              </w:rPr>
              <w:t>④工作服：每完全满足一项评审标准得1分，不满足不得分，本项满分3分。</w:t>
            </w:r>
          </w:p>
        </w:tc>
        <w:tc>
          <w:tcPr>
            <w:tcW w:w="968" w:type="dxa"/>
            <w:shd w:val="clear" w:color="auto" w:fill="auto"/>
            <w:vAlign w:val="center"/>
          </w:tcPr>
          <w:p w14:paraId="17A2B5D7">
            <w:pPr>
              <w:spacing w:line="400" w:lineRule="exact"/>
              <w:jc w:val="center"/>
              <w:rPr>
                <w:rFonts w:ascii="Calibri" w:hAnsi="宋体" w:eastAsia="宋体" w:cs="宋体"/>
                <w:bCs/>
                <w:color w:val="FF0000"/>
                <w:sz w:val="21"/>
                <w:szCs w:val="21"/>
              </w:rPr>
            </w:pPr>
          </w:p>
        </w:tc>
      </w:tr>
      <w:tr w14:paraId="070926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F1960C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BA32D62">
            <w:pPr>
              <w:spacing w:line="400" w:lineRule="exact"/>
              <w:jc w:val="center"/>
              <w:rPr>
                <w:rFonts w:ascii="Calibri" w:hAnsi="宋体" w:eastAsia="宋体" w:cs="宋体"/>
                <w:bCs/>
                <w:sz w:val="21"/>
                <w:szCs w:val="21"/>
              </w:rPr>
            </w:pPr>
          </w:p>
        </w:tc>
        <w:tc>
          <w:tcPr>
            <w:tcW w:w="860" w:type="dxa"/>
            <w:shd w:val="clear" w:color="auto" w:fill="auto"/>
            <w:vAlign w:val="center"/>
          </w:tcPr>
          <w:p w14:paraId="0E10AFCB">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259" w:type="dxa"/>
            <w:shd w:val="clear" w:color="auto" w:fill="auto"/>
            <w:vAlign w:val="center"/>
          </w:tcPr>
          <w:p w14:paraId="09792B86">
            <w:pPr>
              <w:spacing w:line="320" w:lineRule="exact"/>
              <w:ind w:firstLine="420"/>
              <w:jc w:val="both"/>
              <w:rPr>
                <w:rFonts w:ascii="Calibri" w:hAnsi="宋体" w:eastAsia="宋体"/>
                <w:b/>
                <w:color w:val="C00000"/>
                <w:sz w:val="21"/>
              </w:rPr>
            </w:pPr>
            <w:r>
              <w:rPr>
                <w:rFonts w:hint="eastAsia" w:ascii="Calibri" w:hAnsi="宋体" w:eastAsia="宋体"/>
                <w:b/>
                <w:color w:val="C00000"/>
                <w:sz w:val="21"/>
              </w:rPr>
              <w:t>管理体系证书</w:t>
            </w:r>
          </w:p>
          <w:p w14:paraId="08876B81">
            <w:pPr>
              <w:spacing w:line="320" w:lineRule="exact"/>
              <w:ind w:firstLine="420" w:firstLineChars="200"/>
              <w:jc w:val="both"/>
              <w:rPr>
                <w:rFonts w:ascii="Calibri" w:hAnsi="宋体" w:eastAsia="宋体"/>
                <w:sz w:val="21"/>
              </w:rPr>
            </w:pPr>
            <w:r>
              <w:rPr>
                <w:rFonts w:hint="eastAsia" w:ascii="Calibri" w:hAnsi="宋体" w:eastAsia="宋体"/>
                <w:sz w:val="21"/>
              </w:rPr>
              <w:t>供应商具有有效的质量管理体系认证证书、环境管理体系认证证书、职业健康安全管理体系认证证书。</w:t>
            </w:r>
          </w:p>
          <w:p w14:paraId="3134B226">
            <w:pPr>
              <w:spacing w:line="32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提供证书扫描件加盖公章，并附国家市场监督管理总局全国认证认可信息公共服务平台查询截图，全部提供得3分，提供不全或未提供不得分。</w:t>
            </w:r>
          </w:p>
        </w:tc>
        <w:tc>
          <w:tcPr>
            <w:tcW w:w="968" w:type="dxa"/>
            <w:shd w:val="clear" w:color="auto" w:fill="auto"/>
            <w:vAlign w:val="center"/>
          </w:tcPr>
          <w:p w14:paraId="4DA32682">
            <w:pPr>
              <w:spacing w:line="400" w:lineRule="exact"/>
              <w:jc w:val="center"/>
              <w:rPr>
                <w:rFonts w:ascii="Calibri" w:hAnsi="宋体" w:eastAsia="宋体" w:cs="宋体"/>
                <w:bCs/>
                <w:color w:val="FF0000"/>
                <w:sz w:val="21"/>
                <w:szCs w:val="21"/>
              </w:rPr>
            </w:pPr>
          </w:p>
        </w:tc>
      </w:tr>
      <w:tr w14:paraId="706522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6266C42">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B13CEF5">
            <w:pPr>
              <w:spacing w:line="400" w:lineRule="exact"/>
              <w:jc w:val="center"/>
              <w:rPr>
                <w:rFonts w:ascii="Calibri" w:hAnsi="宋体" w:eastAsia="宋体" w:cs="宋体"/>
                <w:bCs/>
                <w:sz w:val="21"/>
                <w:szCs w:val="21"/>
              </w:rPr>
            </w:pPr>
          </w:p>
        </w:tc>
        <w:tc>
          <w:tcPr>
            <w:tcW w:w="860" w:type="dxa"/>
            <w:shd w:val="clear" w:color="auto" w:fill="auto"/>
            <w:vAlign w:val="center"/>
          </w:tcPr>
          <w:p w14:paraId="21F76293">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p>
        </w:tc>
        <w:tc>
          <w:tcPr>
            <w:tcW w:w="6259" w:type="dxa"/>
            <w:shd w:val="clear" w:color="auto" w:fill="auto"/>
            <w:vAlign w:val="center"/>
          </w:tcPr>
          <w:p w14:paraId="4AFB6AEB">
            <w:pPr>
              <w:spacing w:line="320" w:lineRule="exact"/>
              <w:ind w:firstLine="420"/>
              <w:jc w:val="both"/>
              <w:rPr>
                <w:rFonts w:ascii="Calibri" w:hAnsi="宋体" w:eastAsia="宋体"/>
                <w:b/>
                <w:color w:val="C00000"/>
                <w:sz w:val="21"/>
              </w:rPr>
            </w:pPr>
            <w:r>
              <w:rPr>
                <w:rFonts w:ascii="Calibri" w:hAnsi="宋体" w:eastAsia="宋体"/>
                <w:b/>
                <w:color w:val="C00000"/>
                <w:sz w:val="21"/>
              </w:rPr>
              <w:t>业绩</w:t>
            </w:r>
          </w:p>
          <w:p w14:paraId="42D4630E">
            <w:pPr>
              <w:spacing w:line="320" w:lineRule="exact"/>
              <w:ind w:firstLine="420"/>
              <w:jc w:val="both"/>
              <w:rPr>
                <w:rFonts w:ascii="Calibri" w:hAnsi="宋体" w:eastAsia="宋体"/>
                <w:sz w:val="21"/>
              </w:rPr>
            </w:pPr>
            <w:r>
              <w:rPr>
                <w:rFonts w:hint="eastAsia" w:ascii="Calibri" w:hAnsi="宋体" w:eastAsia="宋体"/>
                <w:sz w:val="21"/>
              </w:rPr>
              <w:t>提供2023年1月1日（以合同签订时间或服务时间为准）以来类似项目的业绩证明文件（包括合同及服务期内任意1个月的服务费用发票），评审时以相应文件中的扫描件加盖公章为计分依据，出具一份有效的业绩证明文件得1分，满分4分。</w:t>
            </w:r>
          </w:p>
          <w:p w14:paraId="2A8D6584">
            <w:pPr>
              <w:spacing w:line="32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供应商需提供合同关键页扫描件（至少应包含合同首页、合同金额所在页、签字盖章，并加盖公章）。</w:t>
            </w:r>
          </w:p>
        </w:tc>
        <w:tc>
          <w:tcPr>
            <w:tcW w:w="968" w:type="dxa"/>
            <w:shd w:val="clear" w:color="auto" w:fill="auto"/>
            <w:vAlign w:val="center"/>
          </w:tcPr>
          <w:p w14:paraId="0D7C30B4">
            <w:pPr>
              <w:spacing w:line="40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磋商小组成员必须按照本评审要素据实打分，各类数字计算均按“四舍五入”保留小数点后两位。</w:t>
            </w:r>
          </w:p>
        </w:tc>
      </w:tr>
    </w:tbl>
    <w:p w14:paraId="5E16FD7D">
      <w:pPr>
        <w:pStyle w:val="81"/>
        <w:ind w:firstLine="482"/>
        <w:rPr>
          <w:b/>
        </w:rPr>
      </w:pPr>
      <w:r>
        <w:rPr>
          <w:b/>
        </w:rPr>
        <w:t>（七）推荐成交候选人并编写评审报告</w:t>
      </w:r>
    </w:p>
    <w:p w14:paraId="441B310C">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154C24D1">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pPr>
        <w:pStyle w:val="3"/>
      </w:pPr>
      <w:r>
        <w:t>七、成交</w:t>
      </w:r>
    </w:p>
    <w:p w14:paraId="5D87E9E5">
      <w:pPr>
        <w:pStyle w:val="81"/>
        <w:ind w:firstLine="480"/>
      </w:pPr>
      <w:r>
        <w:rPr>
          <w:rFonts w:hint="eastAsia"/>
        </w:rPr>
        <w:t>1</w:t>
      </w:r>
      <w:r>
        <w:rPr>
          <w:rFonts w:hint="eastAsia"/>
          <w:color w:val="auto"/>
        </w:rPr>
        <w:t>．</w:t>
      </w:r>
      <w:r>
        <w:t>采购代理机构在评审工作结束后2个工作日内，将评审报告送采购人确认。</w:t>
      </w:r>
    </w:p>
    <w:p w14:paraId="4224D80C">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14:paraId="67B80D74">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pPr>
        <w:pStyle w:val="3"/>
      </w:pPr>
      <w:r>
        <w:t>八、合同签订、履行及验收</w:t>
      </w:r>
    </w:p>
    <w:p w14:paraId="704629A0">
      <w:pPr>
        <w:pStyle w:val="81"/>
        <w:ind w:firstLine="480"/>
      </w:pPr>
      <w:r>
        <w:t>磋商文件、响应文件、澄清、补充合同等为政府采购合同的组成部分，具有同等法律效力。</w:t>
      </w:r>
    </w:p>
    <w:p w14:paraId="4EB7DCB4">
      <w:pPr>
        <w:pStyle w:val="4"/>
        <w:ind w:firstLine="482"/>
      </w:pPr>
      <w:r>
        <w:t>（一）签订政府采购合同</w:t>
      </w:r>
    </w:p>
    <w:p w14:paraId="5931A392">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pPr>
        <w:pStyle w:val="4"/>
        <w:ind w:firstLine="482"/>
      </w:pPr>
      <w:r>
        <w:t>（二）合同公示</w:t>
      </w:r>
    </w:p>
    <w:p w14:paraId="75105598">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0D105C6D">
      <w:pPr>
        <w:pStyle w:val="81"/>
        <w:ind w:firstLine="480"/>
        <w:rPr>
          <w:color w:val="auto"/>
        </w:rPr>
      </w:pPr>
      <w:r>
        <w:rPr>
          <w:rFonts w:hint="eastAsia"/>
        </w:rPr>
        <w:t>1</w:t>
      </w:r>
      <w:r>
        <w:rPr>
          <w:rFonts w:hint="eastAsia"/>
          <w:color w:val="auto"/>
        </w:rPr>
        <w:t>．采购人与成交供应商应当根据合同的约定依法履行合同义务。</w:t>
      </w:r>
    </w:p>
    <w:p w14:paraId="29751297">
      <w:pPr>
        <w:pStyle w:val="81"/>
        <w:ind w:firstLine="480"/>
      </w:pPr>
      <w:r>
        <w:rPr>
          <w:rFonts w:hint="eastAsia"/>
          <w:color w:val="auto"/>
        </w:rPr>
        <w:t>2．政府采购合同的履行、违约责任和解决争议的方法等适用《中华人民共和国民法典》。</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九、其他</w:t>
      </w:r>
    </w:p>
    <w:p w14:paraId="7E2D661B">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pPr>
        <w:pStyle w:val="81"/>
        <w:ind w:firstLine="480"/>
      </w:pPr>
      <w:r>
        <w:t>3</w:t>
      </w:r>
      <w:r>
        <w:rPr>
          <w:rFonts w:hint="eastAsia"/>
        </w:rPr>
        <w:t>．出现下列情形之一的，采购人或者采购代理机构应当终止竞争性磋商采购活动，发布项目终止公告并说明原因，重新开展采购活动：</w:t>
      </w:r>
    </w:p>
    <w:p w14:paraId="5D68919C">
      <w:pPr>
        <w:pStyle w:val="81"/>
        <w:ind w:firstLine="480"/>
      </w:pPr>
      <w:r>
        <w:rPr>
          <w:rFonts w:hint="eastAsia"/>
        </w:rPr>
        <w:t>（1）因情况变化，不再符合规定的竞争性磋商采购方式适用情形的；</w:t>
      </w:r>
    </w:p>
    <w:p w14:paraId="0FA6E2DE">
      <w:pPr>
        <w:pStyle w:val="81"/>
        <w:ind w:firstLine="480"/>
      </w:pPr>
      <w:r>
        <w:rPr>
          <w:rFonts w:hint="eastAsia"/>
        </w:rPr>
        <w:t>（2）出现影响采购公正的违法、违规行为的；</w:t>
      </w:r>
    </w:p>
    <w:p w14:paraId="119AEF1E">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35A598FC">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3FD9A5A8">
      <w:pPr>
        <w:pStyle w:val="81"/>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1BB5030A">
      <w:pPr>
        <w:pStyle w:val="81"/>
        <w:ind w:firstLine="0" w:firstLineChars="0"/>
      </w:pPr>
    </w:p>
    <w:p w14:paraId="0A42446B">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14:paraId="3E5C702B">
      <w:pPr>
        <w:pStyle w:val="2"/>
        <w:spacing w:before="230" w:after="230"/>
      </w:pPr>
      <w:bookmarkStart w:id="11" w:name="_Toc212455739"/>
      <w:r>
        <w:rPr>
          <w:rFonts w:hint="eastAsia"/>
        </w:rPr>
        <w:t>第三章　磋商内容及要求</w:t>
      </w:r>
      <w:bookmarkEnd w:id="11"/>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本项目服务地点位于西咸新区兰池大厦A座，建筑面积10145.16平方米，共14层，采购物业管理服务。</w:t>
      </w:r>
    </w:p>
    <w:p w14:paraId="7307D21B">
      <w:pPr>
        <w:pStyle w:val="3"/>
        <w:jc w:val="both"/>
      </w:pPr>
      <w:r>
        <w:rPr>
          <w:rFonts w:hint="eastAsia"/>
        </w:rPr>
        <w:t>二、</w:t>
      </w:r>
      <w:r>
        <w:t>采购</w:t>
      </w:r>
      <w:r>
        <w:rPr>
          <w:rFonts w:hint="eastAsia"/>
        </w:rPr>
        <w:t>内容</w:t>
      </w:r>
    </w:p>
    <w:p w14:paraId="3CBBC845">
      <w:pPr>
        <w:ind w:firstLine="480" w:firstLineChars="200"/>
        <w:jc w:val="both"/>
      </w:pPr>
      <w:r>
        <w:rPr>
          <w:rFonts w:hint="eastAsia"/>
        </w:rPr>
        <w:t>包括但不限于24小时安保服务；保洁服务；会议保障服务；维修服务；绿植养护服务。</w:t>
      </w:r>
    </w:p>
    <w:p w14:paraId="26042384">
      <w:pPr>
        <w:pStyle w:val="3"/>
        <w:jc w:val="both"/>
      </w:pPr>
      <w:r>
        <w:t>三、</w:t>
      </w:r>
      <w:r>
        <w:rPr>
          <w:rFonts w:hint="eastAsia"/>
        </w:rPr>
        <w:t>服务要求</w:t>
      </w:r>
    </w:p>
    <w:p w14:paraId="3C74BC67">
      <w:pPr>
        <w:spacing w:line="400" w:lineRule="exact"/>
        <w:ind w:firstLine="560" w:firstLineChars="200"/>
        <w:rPr>
          <w:rFonts w:ascii="华文仿宋" w:hAnsi="华文仿宋" w:eastAsia="华文仿宋"/>
          <w:sz w:val="28"/>
          <w:szCs w:val="28"/>
        </w:rPr>
      </w:pPr>
      <w:r>
        <w:rPr>
          <w:rFonts w:hint="eastAsia" w:ascii="华文仿宋" w:hAnsi="华文仿宋" w:eastAsia="华文仿宋"/>
          <w:b/>
          <w:sz w:val="28"/>
          <w:szCs w:val="28"/>
        </w:rPr>
        <w:t>（一）人员配置</w:t>
      </w:r>
    </w:p>
    <w:p w14:paraId="656C92C8">
      <w:pPr>
        <w:spacing w:line="40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本项目要求配置服务人员总人数不得低于12人。</w:t>
      </w:r>
    </w:p>
    <w:tbl>
      <w:tblPr>
        <w:tblStyle w:val="99"/>
        <w:tblW w:w="87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27"/>
        <w:gridCol w:w="993"/>
        <w:gridCol w:w="2935"/>
        <w:gridCol w:w="1293"/>
        <w:gridCol w:w="2151"/>
      </w:tblGrid>
      <w:tr w14:paraId="602BFB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27" w:type="dxa"/>
            <w:tcBorders>
              <w:top w:val="single" w:color="auto" w:sz="12" w:space="0"/>
              <w:left w:val="single" w:color="auto" w:sz="12" w:space="0"/>
              <w:bottom w:val="single" w:color="auto" w:sz="2" w:space="0"/>
              <w:right w:val="single" w:color="auto" w:sz="2" w:space="0"/>
            </w:tcBorders>
            <w:shd w:val="clear" w:color="auto" w:fill="F2F2F2"/>
            <w:vAlign w:val="center"/>
          </w:tcPr>
          <w:p w14:paraId="1147FAEB">
            <w:pPr>
              <w:spacing w:line="320" w:lineRule="exact"/>
              <w:jc w:val="center"/>
              <w:rPr>
                <w:rFonts w:ascii="Calibri" w:hAnsi="宋体" w:eastAsia="宋体" w:cs="仿宋"/>
                <w:b/>
                <w:kern w:val="24"/>
                <w:sz w:val="21"/>
                <w:szCs w:val="21"/>
              </w:rPr>
            </w:pPr>
            <w:r>
              <w:rPr>
                <w:rFonts w:ascii="宋体" w:hAnsi="宋体" w:eastAsia="宋体" w:cs="仿宋"/>
                <w:b/>
                <w:kern w:val="24"/>
              </w:rPr>
              <w:t>人员类别</w:t>
            </w:r>
          </w:p>
        </w:tc>
        <w:tc>
          <w:tcPr>
            <w:tcW w:w="993" w:type="dxa"/>
            <w:tcBorders>
              <w:top w:val="single" w:color="auto" w:sz="12" w:space="0"/>
              <w:left w:val="single" w:color="auto" w:sz="2" w:space="0"/>
              <w:bottom w:val="single" w:color="auto" w:sz="2" w:space="0"/>
              <w:right w:val="single" w:color="auto" w:sz="2" w:space="0"/>
            </w:tcBorders>
            <w:shd w:val="clear" w:color="auto" w:fill="F2F2F2"/>
            <w:vAlign w:val="center"/>
          </w:tcPr>
          <w:p w14:paraId="1171D14E">
            <w:pPr>
              <w:spacing w:line="320" w:lineRule="exact"/>
              <w:jc w:val="center"/>
              <w:rPr>
                <w:rFonts w:ascii="Times New Roman" w:hAnsi="宋体" w:eastAsia="宋体" w:cs="仿宋"/>
                <w:b/>
                <w:kern w:val="24"/>
              </w:rPr>
            </w:pPr>
            <w:r>
              <w:rPr>
                <w:rFonts w:ascii="宋体" w:hAnsi="宋体" w:eastAsia="宋体" w:cs="仿宋"/>
                <w:b/>
                <w:kern w:val="24"/>
              </w:rPr>
              <w:t>数量</w:t>
            </w:r>
          </w:p>
        </w:tc>
        <w:tc>
          <w:tcPr>
            <w:tcW w:w="2935" w:type="dxa"/>
            <w:tcBorders>
              <w:top w:val="single" w:color="auto" w:sz="12" w:space="0"/>
              <w:left w:val="single" w:color="auto" w:sz="2" w:space="0"/>
              <w:bottom w:val="single" w:color="auto" w:sz="2" w:space="0"/>
              <w:right w:val="single" w:color="auto" w:sz="2" w:space="0"/>
            </w:tcBorders>
            <w:shd w:val="clear" w:color="auto" w:fill="F2F2F2"/>
            <w:vAlign w:val="center"/>
          </w:tcPr>
          <w:p w14:paraId="56775F32">
            <w:pPr>
              <w:spacing w:line="320" w:lineRule="exact"/>
              <w:jc w:val="center"/>
              <w:rPr>
                <w:rFonts w:ascii="Times New Roman" w:hAnsi="宋体" w:eastAsia="宋体" w:cs="仿宋"/>
                <w:b/>
                <w:kern w:val="24"/>
              </w:rPr>
            </w:pPr>
            <w:r>
              <w:rPr>
                <w:rFonts w:ascii="宋体" w:hAnsi="宋体" w:eastAsia="宋体" w:cs="仿宋"/>
                <w:b/>
                <w:kern w:val="24"/>
              </w:rPr>
              <w:t>人员要求</w:t>
            </w:r>
          </w:p>
        </w:tc>
        <w:tc>
          <w:tcPr>
            <w:tcW w:w="3444" w:type="dxa"/>
            <w:gridSpan w:val="2"/>
            <w:tcBorders>
              <w:top w:val="single" w:color="auto" w:sz="12" w:space="0"/>
              <w:left w:val="single" w:color="auto" w:sz="2" w:space="0"/>
              <w:bottom w:val="single" w:color="auto" w:sz="2" w:space="0"/>
              <w:right w:val="single" w:color="auto" w:sz="12" w:space="0"/>
            </w:tcBorders>
            <w:shd w:val="clear" w:color="auto" w:fill="F2F2F2"/>
            <w:vAlign w:val="center"/>
          </w:tcPr>
          <w:p w14:paraId="3C8BF468">
            <w:pPr>
              <w:spacing w:line="320" w:lineRule="exact"/>
              <w:jc w:val="center"/>
              <w:rPr>
                <w:rFonts w:ascii="Times New Roman" w:hAnsi="宋体" w:eastAsia="宋体" w:cs="仿宋"/>
                <w:b/>
                <w:kern w:val="24"/>
              </w:rPr>
            </w:pPr>
            <w:r>
              <w:rPr>
                <w:rFonts w:ascii="宋体" w:hAnsi="宋体" w:eastAsia="宋体" w:cs="仿宋"/>
                <w:b/>
                <w:kern w:val="24"/>
              </w:rPr>
              <w:t>服务内容</w:t>
            </w:r>
          </w:p>
        </w:tc>
      </w:tr>
      <w:tr w14:paraId="6C98A2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27" w:type="dxa"/>
            <w:tcBorders>
              <w:top w:val="single" w:color="auto" w:sz="2" w:space="0"/>
              <w:left w:val="single" w:color="auto" w:sz="12" w:space="0"/>
              <w:bottom w:val="single" w:color="auto" w:sz="2" w:space="0"/>
              <w:right w:val="single" w:color="auto" w:sz="2" w:space="0"/>
            </w:tcBorders>
            <w:vAlign w:val="center"/>
          </w:tcPr>
          <w:p w14:paraId="12507699">
            <w:pPr>
              <w:spacing w:line="320" w:lineRule="exact"/>
              <w:jc w:val="center"/>
              <w:rPr>
                <w:rFonts w:ascii="华文仿宋" w:hAnsi="华文仿宋" w:eastAsia="华文仿宋" w:cs="仿宋"/>
                <w:kern w:val="24"/>
              </w:rPr>
            </w:pPr>
            <w:r>
              <w:rPr>
                <w:rFonts w:hint="eastAsia" w:ascii="华文仿宋" w:hAnsi="华文仿宋" w:eastAsia="华文仿宋"/>
              </w:rPr>
              <w:t>项目经理</w:t>
            </w:r>
          </w:p>
        </w:tc>
        <w:tc>
          <w:tcPr>
            <w:tcW w:w="993" w:type="dxa"/>
            <w:tcBorders>
              <w:top w:val="single" w:color="auto" w:sz="2" w:space="0"/>
              <w:left w:val="single" w:color="auto" w:sz="2" w:space="0"/>
              <w:bottom w:val="single" w:color="auto" w:sz="2" w:space="0"/>
              <w:right w:val="single" w:color="auto" w:sz="2" w:space="0"/>
            </w:tcBorders>
            <w:vAlign w:val="center"/>
          </w:tcPr>
          <w:p w14:paraId="33E27F5C">
            <w:pPr>
              <w:spacing w:line="320" w:lineRule="exact"/>
              <w:jc w:val="center"/>
              <w:rPr>
                <w:rFonts w:ascii="华文仿宋" w:hAnsi="华文仿宋" w:eastAsia="华文仿宋" w:cs="仿宋"/>
                <w:kern w:val="24"/>
              </w:rPr>
            </w:pPr>
            <w:r>
              <w:rPr>
                <w:rFonts w:hint="eastAsia" w:ascii="华文仿宋" w:hAnsi="华文仿宋" w:eastAsia="华文仿宋" w:cs="仿宋"/>
                <w:kern w:val="24"/>
              </w:rPr>
              <w:t>1人</w:t>
            </w:r>
          </w:p>
        </w:tc>
        <w:tc>
          <w:tcPr>
            <w:tcW w:w="2935" w:type="dxa"/>
            <w:tcBorders>
              <w:top w:val="single" w:color="auto" w:sz="2" w:space="0"/>
              <w:left w:val="single" w:color="auto" w:sz="2" w:space="0"/>
              <w:bottom w:val="single" w:color="auto" w:sz="2" w:space="0"/>
              <w:right w:val="single" w:color="auto" w:sz="2" w:space="0"/>
            </w:tcBorders>
            <w:vAlign w:val="center"/>
          </w:tcPr>
          <w:p w14:paraId="133CB39B">
            <w:pPr>
              <w:spacing w:line="320" w:lineRule="exact"/>
              <w:rPr>
                <w:rFonts w:ascii="华文仿宋" w:hAnsi="华文仿宋" w:eastAsia="华文仿宋" w:cs="仿宋"/>
                <w:kern w:val="24"/>
              </w:rPr>
            </w:pPr>
            <w:r>
              <w:rPr>
                <w:rFonts w:hint="eastAsia" w:ascii="华文仿宋" w:hAnsi="华文仿宋" w:eastAsia="华文仿宋" w:cs="仿宋"/>
                <w:kern w:val="24"/>
              </w:rPr>
              <w:t>①年龄50周岁及以下，要求法定工作日在现场值守，采购人提供住宿，如采购人有紧急任务，随叫随到；</w:t>
            </w:r>
          </w:p>
          <w:p w14:paraId="1AC30A37">
            <w:pPr>
              <w:spacing w:line="320" w:lineRule="exact"/>
              <w:rPr>
                <w:rFonts w:ascii="华文仿宋" w:hAnsi="华文仿宋" w:eastAsia="华文仿宋" w:cs="仿宋"/>
                <w:kern w:val="24"/>
              </w:rPr>
            </w:pPr>
            <w:r>
              <w:rPr>
                <w:rFonts w:hint="eastAsia" w:ascii="华文仿宋" w:hAnsi="华文仿宋" w:eastAsia="华文仿宋" w:cs="仿宋"/>
                <w:kern w:val="24"/>
              </w:rPr>
              <w:t>②大专及以上学历；</w:t>
            </w:r>
          </w:p>
          <w:p w14:paraId="476BAFB4">
            <w:pPr>
              <w:spacing w:line="320" w:lineRule="exact"/>
              <w:rPr>
                <w:rFonts w:ascii="华文仿宋" w:hAnsi="华文仿宋" w:eastAsia="华文仿宋" w:cs="仿宋"/>
                <w:kern w:val="24"/>
              </w:rPr>
            </w:pPr>
            <w:r>
              <w:rPr>
                <w:rFonts w:hint="eastAsia" w:ascii="华文仿宋" w:hAnsi="华文仿宋" w:eastAsia="华文仿宋" w:cs="仿宋"/>
                <w:kern w:val="24"/>
              </w:rPr>
              <w:t>③连续缴纳社保1年及以上，截止开标时间前；</w:t>
            </w:r>
          </w:p>
          <w:p w14:paraId="0825A585">
            <w:pPr>
              <w:spacing w:line="320" w:lineRule="exact"/>
              <w:rPr>
                <w:rFonts w:ascii="华文仿宋" w:hAnsi="华文仿宋" w:eastAsia="华文仿宋" w:cs="仿宋"/>
                <w:kern w:val="24"/>
              </w:rPr>
            </w:pPr>
            <w:r>
              <w:rPr>
                <w:rFonts w:hint="eastAsia" w:ascii="华文仿宋" w:hAnsi="华文仿宋" w:eastAsia="华文仿宋" w:cs="仿宋"/>
                <w:kern w:val="24"/>
              </w:rPr>
              <w:t>④工作条理性强，有较强的语言表达能力和文字功底，具有良好的综合判断能力、决策能力、沟通协调能力。</w:t>
            </w:r>
          </w:p>
        </w:tc>
        <w:tc>
          <w:tcPr>
            <w:tcW w:w="3444" w:type="dxa"/>
            <w:gridSpan w:val="2"/>
            <w:tcBorders>
              <w:top w:val="single" w:color="auto" w:sz="2" w:space="0"/>
              <w:left w:val="single" w:color="auto" w:sz="2" w:space="0"/>
              <w:bottom w:val="single" w:color="auto" w:sz="2" w:space="0"/>
              <w:right w:val="single" w:color="auto" w:sz="12" w:space="0"/>
            </w:tcBorders>
            <w:vAlign w:val="center"/>
          </w:tcPr>
          <w:p w14:paraId="274BA154">
            <w:pPr>
              <w:spacing w:line="320" w:lineRule="exact"/>
              <w:rPr>
                <w:rFonts w:ascii="华文仿宋" w:hAnsi="华文仿宋" w:eastAsia="华文仿宋" w:cs="仿宋"/>
                <w:kern w:val="24"/>
              </w:rPr>
            </w:pPr>
            <w:r>
              <w:rPr>
                <w:rFonts w:hint="eastAsia" w:ascii="华文仿宋" w:hAnsi="华文仿宋" w:eastAsia="华文仿宋" w:cs="仿宋"/>
                <w:kern w:val="24"/>
              </w:rPr>
              <w:t>1、负责根据采购人要求制定物业管理制度，监督指导服务人员按物业服务制度规范操作，如有问题负责落实整改及人员更换；</w:t>
            </w:r>
          </w:p>
          <w:p w14:paraId="1B78EE55">
            <w:pPr>
              <w:spacing w:line="320" w:lineRule="exact"/>
              <w:rPr>
                <w:rFonts w:ascii="华文仿宋" w:hAnsi="华文仿宋" w:eastAsia="华文仿宋" w:cs="仿宋"/>
                <w:kern w:val="24"/>
              </w:rPr>
            </w:pPr>
            <w:r>
              <w:rPr>
                <w:rFonts w:hint="eastAsia" w:ascii="华文仿宋" w:hAnsi="华文仿宋" w:eastAsia="华文仿宋" w:cs="仿宋"/>
                <w:kern w:val="24"/>
              </w:rPr>
              <w:t>2、详细制定工作安排，如有人员变更须提前三日书面告知采购人并协调人员确保服务不间断，在服务人员临时缺员时可顶替具体服务工作；</w:t>
            </w:r>
          </w:p>
          <w:p w14:paraId="095BEC0E">
            <w:pPr>
              <w:spacing w:line="320" w:lineRule="exact"/>
              <w:rPr>
                <w:rFonts w:ascii="华文仿宋" w:hAnsi="华文仿宋" w:eastAsia="华文仿宋" w:cs="仿宋"/>
                <w:kern w:val="24"/>
              </w:rPr>
            </w:pPr>
            <w:r>
              <w:rPr>
                <w:rFonts w:hint="eastAsia" w:ascii="华文仿宋" w:hAnsi="华文仿宋" w:eastAsia="华文仿宋" w:cs="仿宋"/>
                <w:kern w:val="24"/>
              </w:rPr>
              <w:t>3、协调处理采购人提出的各项要求和建议，按照需求组织人员完成工作；</w:t>
            </w:r>
          </w:p>
          <w:p w14:paraId="267B78E7">
            <w:pPr>
              <w:spacing w:line="320" w:lineRule="exact"/>
              <w:rPr>
                <w:rFonts w:ascii="华文仿宋" w:hAnsi="华文仿宋" w:eastAsia="华文仿宋" w:cs="仿宋"/>
                <w:kern w:val="24"/>
              </w:rPr>
            </w:pPr>
            <w:r>
              <w:rPr>
                <w:rFonts w:hint="eastAsia" w:ascii="华文仿宋" w:hAnsi="华文仿宋" w:eastAsia="华文仿宋" w:cs="仿宋"/>
                <w:kern w:val="24"/>
              </w:rPr>
              <w:t>4、协调与公安、市容等外部部门相关事宜，保证采购人单位正常有序开展工作；</w:t>
            </w:r>
          </w:p>
          <w:p w14:paraId="69DA0903">
            <w:pPr>
              <w:spacing w:line="320" w:lineRule="exact"/>
              <w:rPr>
                <w:rFonts w:ascii="华文仿宋" w:hAnsi="华文仿宋" w:eastAsia="华文仿宋" w:cs="仿宋"/>
                <w:kern w:val="24"/>
              </w:rPr>
            </w:pPr>
            <w:r>
              <w:rPr>
                <w:rFonts w:hint="eastAsia" w:ascii="华文仿宋" w:hAnsi="华文仿宋" w:eastAsia="华文仿宋" w:cs="仿宋"/>
                <w:kern w:val="24"/>
              </w:rPr>
              <w:t>5、物业经理考察试用期一月，不符合采购人要求服务方需及时更换。</w:t>
            </w:r>
          </w:p>
        </w:tc>
      </w:tr>
      <w:tr w14:paraId="789D61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27" w:type="dxa"/>
            <w:tcBorders>
              <w:top w:val="single" w:color="auto" w:sz="2" w:space="0"/>
              <w:left w:val="single" w:color="auto" w:sz="12" w:space="0"/>
              <w:bottom w:val="single" w:color="auto" w:sz="2" w:space="0"/>
              <w:right w:val="single" w:color="auto" w:sz="2" w:space="0"/>
            </w:tcBorders>
            <w:vAlign w:val="center"/>
          </w:tcPr>
          <w:p w14:paraId="36A9EC09">
            <w:pPr>
              <w:spacing w:line="320" w:lineRule="exact"/>
              <w:jc w:val="center"/>
              <w:rPr>
                <w:rFonts w:ascii="华文仿宋" w:hAnsi="华文仿宋" w:eastAsia="华文仿宋"/>
              </w:rPr>
            </w:pPr>
            <w:r>
              <w:rPr>
                <w:rFonts w:hint="eastAsia" w:ascii="华文仿宋" w:hAnsi="华文仿宋" w:eastAsia="华文仿宋"/>
              </w:rPr>
              <w:t>客服人员</w:t>
            </w:r>
          </w:p>
        </w:tc>
        <w:tc>
          <w:tcPr>
            <w:tcW w:w="993" w:type="dxa"/>
            <w:tcBorders>
              <w:top w:val="single" w:color="auto" w:sz="2" w:space="0"/>
              <w:left w:val="single" w:color="auto" w:sz="2" w:space="0"/>
              <w:bottom w:val="single" w:color="auto" w:sz="2" w:space="0"/>
              <w:right w:val="single" w:color="auto" w:sz="2" w:space="0"/>
            </w:tcBorders>
            <w:vAlign w:val="center"/>
          </w:tcPr>
          <w:p w14:paraId="2FD0E837">
            <w:pPr>
              <w:spacing w:line="320" w:lineRule="exact"/>
              <w:jc w:val="center"/>
              <w:rPr>
                <w:rFonts w:ascii="华文仿宋" w:hAnsi="华文仿宋" w:eastAsia="华文仿宋" w:cs="仿宋"/>
                <w:kern w:val="24"/>
              </w:rPr>
            </w:pPr>
            <w:r>
              <w:rPr>
                <w:rFonts w:hint="eastAsia" w:ascii="华文仿宋" w:hAnsi="华文仿宋" w:eastAsia="华文仿宋" w:cs="仿宋"/>
                <w:kern w:val="24"/>
              </w:rPr>
              <w:t>1人</w:t>
            </w:r>
          </w:p>
        </w:tc>
        <w:tc>
          <w:tcPr>
            <w:tcW w:w="2935" w:type="dxa"/>
            <w:tcBorders>
              <w:top w:val="single" w:color="auto" w:sz="2" w:space="0"/>
              <w:left w:val="single" w:color="auto" w:sz="2" w:space="0"/>
              <w:bottom w:val="single" w:color="auto" w:sz="2" w:space="0"/>
              <w:right w:val="single" w:color="auto" w:sz="2" w:space="0"/>
            </w:tcBorders>
            <w:vAlign w:val="center"/>
          </w:tcPr>
          <w:p w14:paraId="7C6962BD">
            <w:pPr>
              <w:spacing w:line="320" w:lineRule="exact"/>
              <w:rPr>
                <w:rFonts w:ascii="华文仿宋" w:hAnsi="华文仿宋" w:eastAsia="华文仿宋" w:cs="仿宋"/>
                <w:kern w:val="24"/>
              </w:rPr>
            </w:pPr>
            <w:r>
              <w:rPr>
                <w:rFonts w:hint="eastAsia" w:ascii="华文仿宋" w:hAnsi="华文仿宋" w:eastAsia="华文仿宋" w:cs="仿宋"/>
                <w:kern w:val="24"/>
              </w:rPr>
              <w:t>①年龄40周岁及以下，女性，身高165㎝以上；</w:t>
            </w:r>
          </w:p>
          <w:p w14:paraId="71FDE7EA">
            <w:pPr>
              <w:spacing w:line="320" w:lineRule="exact"/>
              <w:rPr>
                <w:rFonts w:ascii="华文仿宋" w:hAnsi="华文仿宋" w:eastAsia="华文仿宋" w:cs="仿宋"/>
                <w:kern w:val="24"/>
              </w:rPr>
            </w:pPr>
            <w:r>
              <w:rPr>
                <w:rFonts w:hint="eastAsia" w:ascii="华文仿宋" w:hAnsi="华文仿宋" w:eastAsia="华文仿宋" w:cs="仿宋"/>
                <w:kern w:val="24"/>
              </w:rPr>
              <w:t>②大专文化程度及以上；</w:t>
            </w:r>
          </w:p>
          <w:p w14:paraId="34B6F492">
            <w:pPr>
              <w:spacing w:line="320" w:lineRule="exact"/>
              <w:rPr>
                <w:rFonts w:ascii="华文仿宋" w:hAnsi="华文仿宋" w:eastAsia="华文仿宋" w:cs="仿宋"/>
                <w:kern w:val="24"/>
              </w:rPr>
            </w:pPr>
            <w:r>
              <w:rPr>
                <w:rFonts w:hint="eastAsia" w:ascii="华文仿宋" w:hAnsi="华文仿宋" w:eastAsia="华文仿宋" w:cs="仿宋"/>
                <w:kern w:val="24"/>
              </w:rPr>
              <w:t>③连续缴纳社保1年及以上（截止开标时间前）；</w:t>
            </w:r>
          </w:p>
          <w:p w14:paraId="69D1428E">
            <w:pPr>
              <w:spacing w:line="320" w:lineRule="exact"/>
              <w:rPr>
                <w:rFonts w:ascii="华文仿宋" w:hAnsi="华文仿宋" w:eastAsia="华文仿宋" w:cs="仿宋"/>
                <w:kern w:val="24"/>
              </w:rPr>
            </w:pPr>
            <w:r>
              <w:rPr>
                <w:rFonts w:hint="eastAsia" w:ascii="华文仿宋" w:hAnsi="华文仿宋" w:eastAsia="华文仿宋" w:cs="仿宋"/>
                <w:kern w:val="24"/>
              </w:rPr>
              <w:t>④熟练使用计算机；</w:t>
            </w:r>
          </w:p>
          <w:p w14:paraId="1BF3204C">
            <w:pPr>
              <w:spacing w:line="320" w:lineRule="exact"/>
              <w:rPr>
                <w:rFonts w:ascii="华文仿宋" w:hAnsi="华文仿宋" w:eastAsia="华文仿宋" w:cs="仿宋"/>
                <w:kern w:val="24"/>
              </w:rPr>
            </w:pPr>
            <w:r>
              <w:rPr>
                <w:rFonts w:hint="eastAsia" w:ascii="华文仿宋" w:hAnsi="华文仿宋" w:eastAsia="华文仿宋" w:cs="仿宋"/>
                <w:kern w:val="24"/>
              </w:rPr>
              <w:t>⑤了解物业管理行业的基本特点及具备良好的物业服务意识，有较强的文字功底和沟通协调能力。</w:t>
            </w:r>
          </w:p>
        </w:tc>
        <w:tc>
          <w:tcPr>
            <w:tcW w:w="3444" w:type="dxa"/>
            <w:gridSpan w:val="2"/>
            <w:tcBorders>
              <w:top w:val="single" w:color="auto" w:sz="2" w:space="0"/>
              <w:left w:val="single" w:color="auto" w:sz="2" w:space="0"/>
              <w:bottom w:val="single" w:color="auto" w:sz="2" w:space="0"/>
              <w:right w:val="single" w:color="auto" w:sz="12" w:space="0"/>
            </w:tcBorders>
            <w:vAlign w:val="center"/>
          </w:tcPr>
          <w:p w14:paraId="592ACDDD">
            <w:pPr>
              <w:spacing w:line="320" w:lineRule="exact"/>
              <w:rPr>
                <w:rFonts w:ascii="华文仿宋" w:hAnsi="华文仿宋" w:eastAsia="华文仿宋" w:cs="仿宋"/>
                <w:kern w:val="24"/>
              </w:rPr>
            </w:pPr>
            <w:r>
              <w:rPr>
                <w:rFonts w:hint="eastAsia" w:ascii="华文仿宋" w:hAnsi="华文仿宋" w:eastAsia="华文仿宋" w:cs="仿宋"/>
                <w:kern w:val="24"/>
              </w:rPr>
              <w:t>①负责办公楼举办的各类会议服务，做好会议室的布置、会前、会中、会后服务，做好接待工作中的迎送、接待、礼仪等服务工作；</w:t>
            </w:r>
          </w:p>
          <w:p w14:paraId="5A287159">
            <w:pPr>
              <w:spacing w:line="320" w:lineRule="exact"/>
              <w:rPr>
                <w:rFonts w:ascii="华文仿宋" w:hAnsi="华文仿宋" w:eastAsia="华文仿宋" w:cs="仿宋"/>
                <w:kern w:val="24"/>
              </w:rPr>
            </w:pPr>
            <w:r>
              <w:rPr>
                <w:rFonts w:hint="eastAsia" w:ascii="华文仿宋" w:hAnsi="华文仿宋" w:eastAsia="华文仿宋" w:cs="仿宋"/>
                <w:kern w:val="24"/>
              </w:rPr>
              <w:t>②负责报纸、信件分发等工作；</w:t>
            </w:r>
          </w:p>
          <w:p w14:paraId="5C9149E8">
            <w:pPr>
              <w:spacing w:line="320" w:lineRule="exact"/>
              <w:rPr>
                <w:rFonts w:ascii="华文仿宋" w:hAnsi="华文仿宋" w:eastAsia="华文仿宋" w:cs="仿宋"/>
                <w:kern w:val="24"/>
              </w:rPr>
            </w:pPr>
            <w:r>
              <w:rPr>
                <w:rFonts w:hint="eastAsia" w:ascii="华文仿宋" w:hAnsi="华文仿宋" w:eastAsia="华文仿宋" w:cs="仿宋"/>
                <w:kern w:val="24"/>
              </w:rPr>
              <w:t>③负责接听各类投诉、服务电话，及时与采购人沟通和反馈投诉处置情况；</w:t>
            </w:r>
          </w:p>
          <w:p w14:paraId="4CCD3CAC">
            <w:pPr>
              <w:spacing w:line="320" w:lineRule="exact"/>
              <w:rPr>
                <w:rFonts w:ascii="华文仿宋" w:hAnsi="华文仿宋" w:eastAsia="华文仿宋" w:cs="仿宋"/>
                <w:kern w:val="24"/>
              </w:rPr>
            </w:pPr>
            <w:r>
              <w:rPr>
                <w:rFonts w:hint="eastAsia" w:ascii="华文仿宋" w:hAnsi="华文仿宋" w:eastAsia="华文仿宋" w:cs="仿宋"/>
                <w:kern w:val="24"/>
              </w:rPr>
              <w:t>④负责物业档案管理与文案性工作。</w:t>
            </w:r>
          </w:p>
        </w:tc>
      </w:tr>
      <w:tr w14:paraId="660A08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27" w:type="dxa"/>
            <w:tcBorders>
              <w:top w:val="single" w:color="auto" w:sz="2" w:space="0"/>
              <w:left w:val="single" w:color="auto" w:sz="12" w:space="0"/>
              <w:bottom w:val="single" w:color="auto" w:sz="2" w:space="0"/>
              <w:right w:val="single" w:color="auto" w:sz="2" w:space="0"/>
            </w:tcBorders>
            <w:vAlign w:val="center"/>
          </w:tcPr>
          <w:p w14:paraId="48BF0FEE">
            <w:pPr>
              <w:spacing w:line="320" w:lineRule="exact"/>
              <w:jc w:val="center"/>
              <w:rPr>
                <w:rFonts w:ascii="华文仿宋" w:hAnsi="华文仿宋" w:eastAsia="华文仿宋"/>
              </w:rPr>
            </w:pPr>
            <w:r>
              <w:rPr>
                <w:rFonts w:hint="eastAsia" w:ascii="华文仿宋" w:hAnsi="华文仿宋" w:eastAsia="华文仿宋"/>
                <w:bCs/>
              </w:rPr>
              <w:t>工程部人员</w:t>
            </w:r>
          </w:p>
        </w:tc>
        <w:tc>
          <w:tcPr>
            <w:tcW w:w="993" w:type="dxa"/>
            <w:tcBorders>
              <w:top w:val="single" w:color="auto" w:sz="2" w:space="0"/>
              <w:left w:val="single" w:color="auto" w:sz="2" w:space="0"/>
              <w:bottom w:val="single" w:color="auto" w:sz="2" w:space="0"/>
              <w:right w:val="single" w:color="auto" w:sz="2" w:space="0"/>
            </w:tcBorders>
            <w:vAlign w:val="center"/>
          </w:tcPr>
          <w:p w14:paraId="64D2F87F">
            <w:pPr>
              <w:spacing w:line="320" w:lineRule="exact"/>
              <w:jc w:val="center"/>
              <w:rPr>
                <w:rFonts w:ascii="华文仿宋" w:hAnsi="华文仿宋" w:eastAsia="华文仿宋" w:cs="仿宋"/>
                <w:kern w:val="24"/>
              </w:rPr>
            </w:pPr>
            <w:r>
              <w:rPr>
                <w:rFonts w:hint="eastAsia" w:ascii="华文仿宋" w:hAnsi="华文仿宋" w:eastAsia="华文仿宋" w:cs="仿宋"/>
                <w:kern w:val="24"/>
              </w:rPr>
              <w:t>2人</w:t>
            </w:r>
          </w:p>
        </w:tc>
        <w:tc>
          <w:tcPr>
            <w:tcW w:w="2935" w:type="dxa"/>
            <w:tcBorders>
              <w:top w:val="single" w:color="auto" w:sz="2" w:space="0"/>
              <w:left w:val="single" w:color="auto" w:sz="2" w:space="0"/>
              <w:bottom w:val="single" w:color="auto" w:sz="2" w:space="0"/>
              <w:right w:val="single" w:color="auto" w:sz="2" w:space="0"/>
            </w:tcBorders>
            <w:vAlign w:val="center"/>
          </w:tcPr>
          <w:p w14:paraId="0C941494">
            <w:pPr>
              <w:spacing w:line="320" w:lineRule="exact"/>
              <w:rPr>
                <w:rFonts w:ascii="华文仿宋" w:hAnsi="华文仿宋" w:eastAsia="华文仿宋" w:cs="仿宋"/>
                <w:kern w:val="24"/>
              </w:rPr>
            </w:pPr>
            <w:r>
              <w:rPr>
                <w:rFonts w:hint="eastAsia" w:ascii="华文仿宋" w:hAnsi="华文仿宋" w:eastAsia="华文仿宋" w:cs="仿宋"/>
                <w:kern w:val="24"/>
              </w:rPr>
              <w:t>①年龄55周岁及以下，至少一名人员法定工作日在现场值守，采购人提供住宿，如采购人有紧急任务，随叫随到，节假日至少确保一名值班；</w:t>
            </w:r>
          </w:p>
          <w:p w14:paraId="44BC3B59">
            <w:pPr>
              <w:spacing w:line="320" w:lineRule="exact"/>
              <w:rPr>
                <w:rFonts w:ascii="华文仿宋" w:hAnsi="华文仿宋" w:eastAsia="华文仿宋" w:cs="仿宋"/>
                <w:kern w:val="24"/>
              </w:rPr>
            </w:pPr>
            <w:r>
              <w:rPr>
                <w:rFonts w:ascii="Segoe UI Symbol" w:hAnsi="Segoe UI Symbol" w:eastAsia="宋体" w:cs="Segoe UI Symbol"/>
                <w:kern w:val="24"/>
              </w:rPr>
              <w:t>★</w:t>
            </w:r>
            <w:r>
              <w:rPr>
                <w:rFonts w:hint="eastAsia" w:ascii="华文仿宋" w:hAnsi="华文仿宋" w:eastAsia="华文仿宋" w:cs="仿宋"/>
                <w:kern w:val="24"/>
              </w:rPr>
              <w:t>②配备专业技术人员，全员需持特种作业操作证（低压电工证或高压电工证），</w:t>
            </w:r>
            <w:r>
              <w:rPr>
                <w:rFonts w:hint="eastAsia" w:ascii="华文仿宋" w:hAnsi="华文仿宋" w:eastAsia="华文仿宋" w:cs="仿宋"/>
              </w:rPr>
              <w:t>提供证件扫描件或承诺在上岗前提供该证，承诺函格式自拟；</w:t>
            </w:r>
          </w:p>
          <w:p w14:paraId="043DA578">
            <w:pPr>
              <w:spacing w:line="320" w:lineRule="exact"/>
              <w:rPr>
                <w:rFonts w:ascii="华文仿宋" w:hAnsi="华文仿宋" w:eastAsia="华文仿宋" w:cs="仿宋"/>
                <w:kern w:val="24"/>
              </w:rPr>
            </w:pPr>
            <w:r>
              <w:rPr>
                <w:rFonts w:hint="eastAsia" w:ascii="华文仿宋" w:hAnsi="华文仿宋" w:eastAsia="华文仿宋" w:cs="仿宋"/>
                <w:kern w:val="24"/>
              </w:rPr>
              <w:t>③负责办公楼房屋、给排水设备、供电设备等公共设施设备的日常巡检，能够熟练操作、运行设备。</w:t>
            </w:r>
          </w:p>
        </w:tc>
        <w:tc>
          <w:tcPr>
            <w:tcW w:w="3444" w:type="dxa"/>
            <w:gridSpan w:val="2"/>
            <w:tcBorders>
              <w:top w:val="single" w:color="auto" w:sz="2" w:space="0"/>
              <w:left w:val="single" w:color="auto" w:sz="2" w:space="0"/>
              <w:bottom w:val="single" w:color="auto" w:sz="2" w:space="0"/>
              <w:right w:val="single" w:color="auto" w:sz="12" w:space="0"/>
            </w:tcBorders>
            <w:vAlign w:val="center"/>
          </w:tcPr>
          <w:p w14:paraId="4C01A1CB">
            <w:pPr>
              <w:spacing w:line="320" w:lineRule="exact"/>
              <w:rPr>
                <w:rFonts w:ascii="华文仿宋" w:hAnsi="华文仿宋" w:eastAsia="华文仿宋" w:cs="仿宋"/>
                <w:kern w:val="24"/>
              </w:rPr>
            </w:pPr>
            <w:r>
              <w:rPr>
                <w:rFonts w:hint="eastAsia" w:ascii="华文仿宋" w:hAnsi="华文仿宋" w:eastAsia="华文仿宋" w:cs="仿宋"/>
                <w:kern w:val="24"/>
              </w:rPr>
              <w:t>①办公楼房屋及附属设施的巡查。包括楼外周界部分、楼顶、外墙、楼内门厅、楼梯间、走廊通道、地下室门窗以及相关的行人道、行车道、公共卫生间、共用设施设备使用的房屋等其他公共部位的巡查和管理。并对办公室、会议室、机房、档案室、机要室等场所的灯具、插座、锁具等进行维修更换。</w:t>
            </w:r>
          </w:p>
          <w:p w14:paraId="75A8C13C">
            <w:pPr>
              <w:spacing w:line="320" w:lineRule="exact"/>
              <w:rPr>
                <w:rFonts w:ascii="华文仿宋" w:hAnsi="华文仿宋" w:eastAsia="华文仿宋" w:cs="仿宋"/>
                <w:kern w:val="24"/>
              </w:rPr>
            </w:pPr>
            <w:r>
              <w:rPr>
                <w:rFonts w:hint="eastAsia" w:ascii="华文仿宋" w:hAnsi="华文仿宋" w:eastAsia="华文仿宋" w:cs="仿宋"/>
                <w:kern w:val="24"/>
              </w:rPr>
              <w:t>②共用设施设备的运行、维护和管理。包括供配电系统、给排水系统、空调和暖通自控系统、消防系统、监控系统、电梯系统、建筑物防雷设施及其他共用设施设备等巡查（属于原资产方的设备，应由资产方维修的除外）。</w:t>
            </w:r>
          </w:p>
        </w:tc>
      </w:tr>
      <w:tr w14:paraId="402A11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27" w:type="dxa"/>
            <w:tcBorders>
              <w:top w:val="single" w:color="auto" w:sz="2" w:space="0"/>
              <w:left w:val="single" w:color="auto" w:sz="12" w:space="0"/>
              <w:bottom w:val="single" w:color="auto" w:sz="2" w:space="0"/>
              <w:right w:val="single" w:color="auto" w:sz="2" w:space="0"/>
            </w:tcBorders>
            <w:vAlign w:val="center"/>
          </w:tcPr>
          <w:p w14:paraId="29F4A09E">
            <w:pPr>
              <w:spacing w:line="320" w:lineRule="exact"/>
              <w:rPr>
                <w:rFonts w:ascii="华文仿宋" w:hAnsi="华文仿宋" w:eastAsia="华文仿宋"/>
              </w:rPr>
            </w:pPr>
            <w:r>
              <w:rPr>
                <w:rFonts w:hint="eastAsia" w:ascii="华文仿宋" w:hAnsi="华文仿宋" w:eastAsia="华文仿宋"/>
              </w:rPr>
              <w:t>保安部人员</w:t>
            </w:r>
          </w:p>
        </w:tc>
        <w:tc>
          <w:tcPr>
            <w:tcW w:w="993" w:type="dxa"/>
            <w:tcBorders>
              <w:top w:val="single" w:color="auto" w:sz="2" w:space="0"/>
              <w:left w:val="single" w:color="auto" w:sz="2" w:space="0"/>
              <w:bottom w:val="single" w:color="auto" w:sz="2" w:space="0"/>
              <w:right w:val="single" w:color="auto" w:sz="2" w:space="0"/>
            </w:tcBorders>
            <w:vAlign w:val="center"/>
          </w:tcPr>
          <w:p w14:paraId="28C294E2">
            <w:pPr>
              <w:spacing w:line="320" w:lineRule="exact"/>
              <w:jc w:val="center"/>
              <w:rPr>
                <w:rFonts w:ascii="华文仿宋" w:hAnsi="华文仿宋" w:eastAsia="华文仿宋" w:cs="仿宋"/>
                <w:kern w:val="24"/>
              </w:rPr>
            </w:pPr>
            <w:r>
              <w:rPr>
                <w:rFonts w:hint="eastAsia" w:ascii="华文仿宋" w:hAnsi="华文仿宋" w:eastAsia="华文仿宋" w:cs="仿宋"/>
                <w:kern w:val="24"/>
              </w:rPr>
              <w:t>4人</w:t>
            </w:r>
          </w:p>
        </w:tc>
        <w:tc>
          <w:tcPr>
            <w:tcW w:w="2935" w:type="dxa"/>
            <w:tcBorders>
              <w:top w:val="single" w:color="auto" w:sz="2" w:space="0"/>
              <w:left w:val="single" w:color="auto" w:sz="2" w:space="0"/>
              <w:bottom w:val="single" w:color="auto" w:sz="2" w:space="0"/>
              <w:right w:val="single" w:color="auto" w:sz="2" w:space="0"/>
            </w:tcBorders>
            <w:vAlign w:val="center"/>
          </w:tcPr>
          <w:p w14:paraId="4BD66084">
            <w:pPr>
              <w:spacing w:line="320" w:lineRule="exact"/>
              <w:rPr>
                <w:rFonts w:ascii="华文仿宋" w:hAnsi="华文仿宋" w:eastAsia="华文仿宋" w:cs="仿宋"/>
                <w:kern w:val="24"/>
              </w:rPr>
            </w:pPr>
            <w:r>
              <w:rPr>
                <w:rFonts w:hint="eastAsia" w:ascii="华文仿宋" w:hAnsi="华文仿宋" w:eastAsia="华文仿宋" w:cs="仿宋"/>
                <w:kern w:val="24"/>
              </w:rPr>
              <w:t>①年龄55周岁及以下；</w:t>
            </w:r>
          </w:p>
          <w:p w14:paraId="7A418D8D">
            <w:pPr>
              <w:spacing w:line="320" w:lineRule="exact"/>
              <w:rPr>
                <w:rFonts w:ascii="华文仿宋" w:hAnsi="华文仿宋" w:eastAsia="华文仿宋" w:cs="仿宋"/>
                <w:kern w:val="24"/>
              </w:rPr>
            </w:pPr>
            <w:r>
              <w:rPr>
                <w:rFonts w:hint="eastAsia" w:ascii="华文仿宋" w:hAnsi="华文仿宋" w:eastAsia="华文仿宋" w:cs="仿宋"/>
                <w:kern w:val="24"/>
              </w:rPr>
              <w:t>②其中规范执勤岗位一名，30周岁及以下，男性，退伍军人并提供《退伍证》；</w:t>
            </w:r>
          </w:p>
          <w:p w14:paraId="3FE0661D">
            <w:pPr>
              <w:spacing w:line="320" w:lineRule="exact"/>
              <w:rPr>
                <w:rFonts w:ascii="华文仿宋" w:hAnsi="华文仿宋" w:eastAsia="华文仿宋" w:cs="仿宋"/>
                <w:spacing w:val="-8"/>
                <w:kern w:val="24"/>
              </w:rPr>
            </w:pPr>
            <w:r>
              <w:rPr>
                <w:rFonts w:ascii="Segoe UI Symbol" w:hAnsi="Segoe UI Symbol" w:eastAsia="宋体" w:cs="Segoe UI Symbol"/>
                <w:spacing w:val="-8"/>
              </w:rPr>
              <w:t>★</w:t>
            </w:r>
            <w:r>
              <w:rPr>
                <w:rFonts w:hint="eastAsia" w:ascii="华文仿宋" w:hAnsi="华文仿宋" w:eastAsia="华文仿宋" w:cs="仿宋"/>
                <w:spacing w:val="-8"/>
                <w:kern w:val="24"/>
              </w:rPr>
              <w:t>③提供4人的保安员证书扫描件或承诺在上岗前提供该证，承诺函格式自拟；</w:t>
            </w:r>
          </w:p>
          <w:p w14:paraId="1EBA452C">
            <w:pPr>
              <w:spacing w:line="320" w:lineRule="exact"/>
              <w:rPr>
                <w:rFonts w:ascii="华文仿宋" w:hAnsi="华文仿宋" w:eastAsia="华文仿宋" w:cs="仿宋"/>
                <w:spacing w:val="-8"/>
                <w:kern w:val="24"/>
              </w:rPr>
            </w:pPr>
            <w:r>
              <w:rPr>
                <w:rFonts w:ascii="华文仿宋" w:hAnsi="华文仿宋" w:eastAsia="华文仿宋" w:cs="仿宋"/>
                <w:spacing w:val="-8"/>
                <w:kern w:val="24"/>
              </w:rPr>
              <w:t>★</w:t>
            </w:r>
            <w:r>
              <w:rPr>
                <w:rFonts w:hint="eastAsia" w:ascii="华文仿宋" w:hAnsi="华文仿宋" w:eastAsia="华文仿宋" w:cs="仿宋"/>
                <w:spacing w:val="-8"/>
                <w:kern w:val="24"/>
              </w:rPr>
              <w:t>④至少1人需具有消防设施操作员证，提供证件扫描件或承诺在上岗前提供该证，承诺函格式自拟；</w:t>
            </w:r>
          </w:p>
          <w:p w14:paraId="6AFC6C45">
            <w:pPr>
              <w:spacing w:line="320" w:lineRule="exact"/>
              <w:rPr>
                <w:rFonts w:ascii="华文仿宋" w:hAnsi="华文仿宋" w:eastAsia="华文仿宋" w:cs="仿宋"/>
                <w:kern w:val="24"/>
              </w:rPr>
            </w:pPr>
            <w:r>
              <w:rPr>
                <w:rFonts w:hint="eastAsia" w:ascii="华文仿宋" w:hAnsi="华文仿宋" w:eastAsia="华文仿宋" w:cs="仿宋"/>
                <w:kern w:val="24"/>
              </w:rPr>
              <w:t>⑤监控室值班人员负责办公楼门卫、来客登记、定期巡查办公楼公共安全，大门岗及监控室24小时值守。</w:t>
            </w:r>
          </w:p>
        </w:tc>
        <w:tc>
          <w:tcPr>
            <w:tcW w:w="3444" w:type="dxa"/>
            <w:gridSpan w:val="2"/>
            <w:tcBorders>
              <w:top w:val="single" w:color="auto" w:sz="2" w:space="0"/>
              <w:left w:val="single" w:color="auto" w:sz="2" w:space="0"/>
              <w:bottom w:val="single" w:color="auto" w:sz="2" w:space="0"/>
              <w:right w:val="single" w:color="auto" w:sz="12" w:space="0"/>
            </w:tcBorders>
            <w:vAlign w:val="center"/>
          </w:tcPr>
          <w:p w14:paraId="70D27140">
            <w:pPr>
              <w:spacing w:line="320" w:lineRule="exact"/>
              <w:rPr>
                <w:rFonts w:ascii="华文仿宋" w:hAnsi="华文仿宋" w:eastAsia="华文仿宋" w:cs="仿宋"/>
                <w:kern w:val="24"/>
              </w:rPr>
            </w:pPr>
            <w:r>
              <w:rPr>
                <w:rFonts w:hint="eastAsia" w:ascii="华文仿宋" w:hAnsi="华文仿宋" w:eastAsia="华文仿宋" w:cs="仿宋"/>
                <w:kern w:val="24"/>
              </w:rPr>
              <w:t>①安保消防管理。包括整栋大楼及周界的安全和消防管理，在采购人指导下负责监控系统的管理，在采购人及消防管理部门指导下负责消防系统的管理。</w:t>
            </w:r>
          </w:p>
          <w:p w14:paraId="544F8A87">
            <w:pPr>
              <w:spacing w:line="320" w:lineRule="exact"/>
              <w:rPr>
                <w:rFonts w:ascii="华文仿宋" w:hAnsi="华文仿宋" w:eastAsia="华文仿宋" w:cs="仿宋"/>
                <w:kern w:val="24"/>
              </w:rPr>
            </w:pPr>
            <w:r>
              <w:rPr>
                <w:rFonts w:hint="eastAsia" w:ascii="华文仿宋" w:hAnsi="华文仿宋" w:eastAsia="华文仿宋" w:cs="仿宋"/>
                <w:kern w:val="24"/>
              </w:rPr>
              <w:t>②车辆进出、车辆停放和通道出入的秩序管理。</w:t>
            </w:r>
          </w:p>
          <w:p w14:paraId="0A8234A3">
            <w:pPr>
              <w:spacing w:line="320" w:lineRule="exact"/>
              <w:rPr>
                <w:rFonts w:ascii="华文仿宋" w:hAnsi="华文仿宋" w:eastAsia="华文仿宋" w:cs="仿宋"/>
                <w:kern w:val="24"/>
              </w:rPr>
            </w:pPr>
            <w:r>
              <w:rPr>
                <w:rFonts w:hint="eastAsia" w:ascii="华文仿宋" w:hAnsi="华文仿宋" w:eastAsia="华文仿宋" w:cs="仿宋"/>
                <w:kern w:val="24"/>
              </w:rPr>
              <w:t>③负责办公楼门卫、来客登记、定期巡查办公楼公共安全，大门岗及监控室24小时值守。</w:t>
            </w:r>
          </w:p>
        </w:tc>
      </w:tr>
      <w:tr w14:paraId="3203C4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1427" w:type="dxa"/>
            <w:vMerge w:val="restart"/>
            <w:tcBorders>
              <w:top w:val="nil"/>
              <w:left w:val="single" w:color="auto" w:sz="12" w:space="0"/>
              <w:bottom w:val="single" w:color="auto" w:sz="2" w:space="0"/>
              <w:right w:val="single" w:color="auto" w:sz="4" w:space="0"/>
            </w:tcBorders>
            <w:vAlign w:val="center"/>
          </w:tcPr>
          <w:p w14:paraId="28F4159A">
            <w:pPr>
              <w:spacing w:line="320" w:lineRule="exact"/>
              <w:jc w:val="center"/>
              <w:rPr>
                <w:rFonts w:ascii="华文仿宋" w:hAnsi="华文仿宋" w:eastAsia="华文仿宋"/>
              </w:rPr>
            </w:pPr>
            <w:r>
              <w:rPr>
                <w:rFonts w:hint="eastAsia" w:ascii="华文仿宋" w:hAnsi="华文仿宋" w:eastAsia="华文仿宋"/>
              </w:rPr>
              <w:t>保洁部人员</w:t>
            </w:r>
          </w:p>
        </w:tc>
        <w:tc>
          <w:tcPr>
            <w:tcW w:w="993" w:type="dxa"/>
            <w:vMerge w:val="restart"/>
            <w:tcBorders>
              <w:top w:val="nil"/>
              <w:left w:val="single" w:color="auto" w:sz="2" w:space="0"/>
              <w:bottom w:val="single" w:color="auto" w:sz="2" w:space="0"/>
              <w:right w:val="single" w:color="auto" w:sz="4" w:space="0"/>
            </w:tcBorders>
            <w:vAlign w:val="center"/>
          </w:tcPr>
          <w:p w14:paraId="36ED77EF">
            <w:pPr>
              <w:spacing w:line="320" w:lineRule="exact"/>
              <w:jc w:val="center"/>
              <w:rPr>
                <w:rFonts w:ascii="华文仿宋" w:hAnsi="华文仿宋" w:eastAsia="华文仿宋"/>
              </w:rPr>
            </w:pPr>
            <w:r>
              <w:rPr>
                <w:rFonts w:hint="eastAsia" w:ascii="华文仿宋" w:hAnsi="华文仿宋" w:eastAsia="华文仿宋"/>
              </w:rPr>
              <w:t>4人</w:t>
            </w:r>
          </w:p>
        </w:tc>
        <w:tc>
          <w:tcPr>
            <w:tcW w:w="2935" w:type="dxa"/>
            <w:vMerge w:val="restart"/>
            <w:tcBorders>
              <w:top w:val="nil"/>
              <w:left w:val="nil"/>
              <w:bottom w:val="single" w:color="auto" w:sz="2" w:space="0"/>
              <w:right w:val="single" w:color="auto" w:sz="2" w:space="0"/>
            </w:tcBorders>
            <w:vAlign w:val="center"/>
          </w:tcPr>
          <w:p w14:paraId="6BD6E509">
            <w:pPr>
              <w:spacing w:line="320" w:lineRule="exact"/>
              <w:rPr>
                <w:rFonts w:ascii="华文仿宋" w:hAnsi="华文仿宋" w:eastAsia="华文仿宋"/>
              </w:rPr>
            </w:pPr>
            <w:r>
              <w:rPr>
                <w:rFonts w:hint="eastAsia" w:ascii="华文仿宋" w:hAnsi="华文仿宋" w:eastAsia="华文仿宋"/>
              </w:rPr>
              <w:t>年龄55周岁及以下，至少2名人员法定工作日在现场值守，采购人提供住宿，如采购人有紧急任务，随叫随到。</w:t>
            </w:r>
          </w:p>
        </w:tc>
        <w:tc>
          <w:tcPr>
            <w:tcW w:w="1293" w:type="dxa"/>
            <w:tcBorders>
              <w:top w:val="single" w:color="auto" w:sz="2" w:space="0"/>
              <w:left w:val="single" w:color="auto" w:sz="2" w:space="0"/>
              <w:bottom w:val="single" w:color="auto" w:sz="4" w:space="0"/>
              <w:right w:val="single" w:color="auto" w:sz="4" w:space="0"/>
            </w:tcBorders>
            <w:vAlign w:val="center"/>
          </w:tcPr>
          <w:p w14:paraId="60B8324B">
            <w:pPr>
              <w:spacing w:line="320" w:lineRule="exact"/>
              <w:rPr>
                <w:rFonts w:ascii="华文仿宋" w:hAnsi="华文仿宋" w:eastAsia="华文仿宋" w:cs="仿宋"/>
                <w:kern w:val="24"/>
              </w:rPr>
            </w:pPr>
            <w:r>
              <w:rPr>
                <w:rFonts w:hint="eastAsia" w:ascii="华文仿宋" w:hAnsi="华文仿宋" w:eastAsia="华文仿宋" w:cs="仿宋"/>
                <w:kern w:val="24"/>
              </w:rPr>
              <w:t>环境卫生管理人员</w:t>
            </w:r>
          </w:p>
        </w:tc>
        <w:tc>
          <w:tcPr>
            <w:tcW w:w="2151" w:type="dxa"/>
            <w:tcBorders>
              <w:top w:val="single" w:color="auto" w:sz="2" w:space="0"/>
              <w:left w:val="nil"/>
              <w:bottom w:val="single" w:color="auto" w:sz="4" w:space="0"/>
              <w:right w:val="single" w:color="auto" w:sz="12" w:space="0"/>
            </w:tcBorders>
            <w:vAlign w:val="center"/>
          </w:tcPr>
          <w:p w14:paraId="7FEFEA7D">
            <w:pPr>
              <w:spacing w:line="320" w:lineRule="exact"/>
              <w:rPr>
                <w:rFonts w:ascii="华文仿宋" w:hAnsi="华文仿宋" w:eastAsia="华文仿宋" w:cs="仿宋"/>
                <w:kern w:val="24"/>
              </w:rPr>
            </w:pPr>
            <w:r>
              <w:rPr>
                <w:rFonts w:hint="eastAsia" w:ascii="华文仿宋" w:hAnsi="华文仿宋" w:eastAsia="华文仿宋" w:cs="仿宋"/>
                <w:kern w:val="24"/>
              </w:rPr>
              <w:t>负责整栋大楼及周界的清洁保洁，包括楼外周界、楼内门厅、楼梯间、电梯间、走廊通道、会议室、活动室、接待室、阅览室、水房垃圾房、卫生间、行车道等公共部位及共用设施设备的清洁保洁；办案工作区、总值班室卫生清洁。</w:t>
            </w:r>
          </w:p>
        </w:tc>
      </w:tr>
      <w:tr w14:paraId="30D5EE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1427" w:type="dxa"/>
            <w:vMerge w:val="continue"/>
            <w:tcBorders>
              <w:top w:val="nil"/>
              <w:left w:val="single" w:color="auto" w:sz="12" w:space="0"/>
              <w:bottom w:val="single" w:color="auto" w:sz="2" w:space="0"/>
              <w:right w:val="single" w:color="auto" w:sz="4" w:space="0"/>
            </w:tcBorders>
            <w:vAlign w:val="center"/>
          </w:tcPr>
          <w:p w14:paraId="559C35A0">
            <w:pPr>
              <w:ind w:left="1260"/>
              <w:rPr>
                <w:rFonts w:ascii="华文仿宋" w:hAnsi="华文仿宋" w:eastAsia="华文仿宋"/>
              </w:rPr>
            </w:pPr>
          </w:p>
        </w:tc>
        <w:tc>
          <w:tcPr>
            <w:tcW w:w="993" w:type="dxa"/>
            <w:vMerge w:val="continue"/>
            <w:tcBorders>
              <w:top w:val="nil"/>
              <w:left w:val="single" w:color="auto" w:sz="2" w:space="0"/>
              <w:bottom w:val="single" w:color="auto" w:sz="2" w:space="0"/>
              <w:right w:val="single" w:color="auto" w:sz="4" w:space="0"/>
            </w:tcBorders>
            <w:vAlign w:val="center"/>
          </w:tcPr>
          <w:p w14:paraId="64C217BC">
            <w:pPr>
              <w:rPr>
                <w:rFonts w:ascii="华文仿宋" w:hAnsi="华文仿宋" w:eastAsia="华文仿宋"/>
              </w:rPr>
            </w:pPr>
          </w:p>
        </w:tc>
        <w:tc>
          <w:tcPr>
            <w:tcW w:w="2935" w:type="dxa"/>
            <w:vMerge w:val="continue"/>
            <w:tcBorders>
              <w:top w:val="nil"/>
              <w:left w:val="nil"/>
              <w:bottom w:val="single" w:color="auto" w:sz="2" w:space="0"/>
              <w:right w:val="single" w:color="auto" w:sz="2" w:space="0"/>
            </w:tcBorders>
            <w:vAlign w:val="center"/>
          </w:tcPr>
          <w:p w14:paraId="0515749F">
            <w:pPr>
              <w:rPr>
                <w:rFonts w:ascii="华文仿宋" w:hAnsi="华文仿宋" w:eastAsia="华文仿宋" w:cs="仿宋"/>
                <w:kern w:val="24"/>
              </w:rPr>
            </w:pPr>
          </w:p>
        </w:tc>
        <w:tc>
          <w:tcPr>
            <w:tcW w:w="1293" w:type="dxa"/>
            <w:tcBorders>
              <w:top w:val="single" w:color="auto" w:sz="4" w:space="0"/>
              <w:left w:val="single" w:color="auto" w:sz="2" w:space="0"/>
              <w:bottom w:val="single" w:color="auto" w:sz="4" w:space="0"/>
              <w:right w:val="single" w:color="auto" w:sz="4" w:space="0"/>
            </w:tcBorders>
            <w:vAlign w:val="center"/>
          </w:tcPr>
          <w:p w14:paraId="2327ABC4">
            <w:pPr>
              <w:spacing w:line="320" w:lineRule="exact"/>
              <w:rPr>
                <w:rFonts w:ascii="华文仿宋" w:hAnsi="华文仿宋" w:eastAsia="华文仿宋" w:cs="仿宋"/>
                <w:kern w:val="24"/>
              </w:rPr>
            </w:pPr>
            <w:r>
              <w:rPr>
                <w:rFonts w:hint="eastAsia" w:ascii="华文仿宋" w:hAnsi="华文仿宋" w:eastAsia="华文仿宋" w:cs="仿宋"/>
                <w:kern w:val="24"/>
              </w:rPr>
              <w:t>除“四害”管理和卫生消毒人员</w:t>
            </w:r>
          </w:p>
        </w:tc>
        <w:tc>
          <w:tcPr>
            <w:tcW w:w="2151" w:type="dxa"/>
            <w:tcBorders>
              <w:top w:val="single" w:color="auto" w:sz="4" w:space="0"/>
              <w:left w:val="nil"/>
              <w:bottom w:val="single" w:color="auto" w:sz="4" w:space="0"/>
              <w:right w:val="single" w:color="auto" w:sz="12" w:space="0"/>
            </w:tcBorders>
            <w:vAlign w:val="center"/>
          </w:tcPr>
          <w:p w14:paraId="43F533ED">
            <w:pPr>
              <w:spacing w:line="320" w:lineRule="exact"/>
              <w:rPr>
                <w:rFonts w:ascii="华文仿宋" w:hAnsi="华文仿宋" w:eastAsia="华文仿宋" w:cs="仿宋"/>
                <w:kern w:val="24"/>
              </w:rPr>
            </w:pPr>
            <w:r>
              <w:rPr>
                <w:rFonts w:hint="eastAsia" w:ascii="华文仿宋" w:hAnsi="华文仿宋" w:eastAsia="华文仿宋" w:cs="仿宋"/>
                <w:kern w:val="24"/>
              </w:rPr>
              <w:t>负责灭鼠、灭蚊、灭蝇、灭蟑螂工作；公共区域、公共设施的消毒。</w:t>
            </w:r>
          </w:p>
        </w:tc>
      </w:tr>
      <w:tr w14:paraId="183836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8" w:hRule="atLeast"/>
          <w:jc w:val="center"/>
        </w:trPr>
        <w:tc>
          <w:tcPr>
            <w:tcW w:w="1427" w:type="dxa"/>
            <w:vMerge w:val="continue"/>
            <w:tcBorders>
              <w:top w:val="nil"/>
              <w:left w:val="single" w:color="auto" w:sz="12" w:space="0"/>
              <w:bottom w:val="single" w:color="auto" w:sz="2" w:space="0"/>
              <w:right w:val="single" w:color="auto" w:sz="4" w:space="0"/>
            </w:tcBorders>
            <w:vAlign w:val="center"/>
          </w:tcPr>
          <w:p w14:paraId="1A186D37">
            <w:pPr>
              <w:ind w:left="1260"/>
              <w:rPr>
                <w:rFonts w:ascii="华文仿宋" w:hAnsi="华文仿宋" w:eastAsia="华文仿宋"/>
              </w:rPr>
            </w:pPr>
          </w:p>
        </w:tc>
        <w:tc>
          <w:tcPr>
            <w:tcW w:w="993" w:type="dxa"/>
            <w:vMerge w:val="continue"/>
            <w:tcBorders>
              <w:top w:val="nil"/>
              <w:left w:val="single" w:color="auto" w:sz="2" w:space="0"/>
              <w:bottom w:val="single" w:color="auto" w:sz="2" w:space="0"/>
              <w:right w:val="single" w:color="auto" w:sz="4" w:space="0"/>
            </w:tcBorders>
            <w:vAlign w:val="center"/>
          </w:tcPr>
          <w:p w14:paraId="36228A15">
            <w:pPr>
              <w:rPr>
                <w:rFonts w:ascii="华文仿宋" w:hAnsi="华文仿宋" w:eastAsia="华文仿宋"/>
              </w:rPr>
            </w:pPr>
          </w:p>
        </w:tc>
        <w:tc>
          <w:tcPr>
            <w:tcW w:w="2935" w:type="dxa"/>
            <w:vMerge w:val="continue"/>
            <w:tcBorders>
              <w:top w:val="nil"/>
              <w:left w:val="nil"/>
              <w:bottom w:val="single" w:color="auto" w:sz="2" w:space="0"/>
              <w:right w:val="single" w:color="auto" w:sz="2" w:space="0"/>
            </w:tcBorders>
            <w:vAlign w:val="center"/>
          </w:tcPr>
          <w:p w14:paraId="66181CD2">
            <w:pPr>
              <w:rPr>
                <w:rFonts w:ascii="华文仿宋" w:hAnsi="华文仿宋" w:eastAsia="华文仿宋" w:cs="仿宋"/>
                <w:kern w:val="24"/>
              </w:rPr>
            </w:pPr>
          </w:p>
        </w:tc>
        <w:tc>
          <w:tcPr>
            <w:tcW w:w="1293" w:type="dxa"/>
            <w:tcBorders>
              <w:top w:val="single" w:color="auto" w:sz="4" w:space="0"/>
              <w:left w:val="single" w:color="auto" w:sz="2" w:space="0"/>
              <w:bottom w:val="single" w:color="auto" w:sz="4" w:space="0"/>
              <w:right w:val="single" w:color="auto" w:sz="4" w:space="0"/>
            </w:tcBorders>
            <w:vAlign w:val="center"/>
          </w:tcPr>
          <w:p w14:paraId="46169249">
            <w:pPr>
              <w:spacing w:line="320" w:lineRule="exact"/>
              <w:rPr>
                <w:rFonts w:ascii="华文仿宋" w:hAnsi="华文仿宋" w:eastAsia="华文仿宋" w:cs="仿宋"/>
                <w:kern w:val="24"/>
              </w:rPr>
            </w:pPr>
            <w:r>
              <w:rPr>
                <w:rFonts w:hint="eastAsia" w:ascii="华文仿宋" w:hAnsi="华文仿宋" w:eastAsia="华文仿宋" w:cs="仿宋"/>
                <w:kern w:val="24"/>
              </w:rPr>
              <w:t>垃圾分类收集人员</w:t>
            </w:r>
          </w:p>
        </w:tc>
        <w:tc>
          <w:tcPr>
            <w:tcW w:w="2151" w:type="dxa"/>
            <w:tcBorders>
              <w:top w:val="single" w:color="auto" w:sz="4" w:space="0"/>
              <w:left w:val="nil"/>
              <w:bottom w:val="single" w:color="auto" w:sz="4" w:space="0"/>
              <w:right w:val="single" w:color="auto" w:sz="12" w:space="0"/>
            </w:tcBorders>
            <w:vAlign w:val="center"/>
          </w:tcPr>
          <w:p w14:paraId="6AF6C6DF">
            <w:pPr>
              <w:spacing w:line="320" w:lineRule="exact"/>
              <w:rPr>
                <w:rFonts w:ascii="华文仿宋" w:hAnsi="华文仿宋" w:eastAsia="华文仿宋" w:cs="仿宋"/>
                <w:kern w:val="24"/>
              </w:rPr>
            </w:pPr>
            <w:r>
              <w:rPr>
                <w:rFonts w:hint="eastAsia" w:ascii="华文仿宋" w:hAnsi="华文仿宋" w:eastAsia="华文仿宋" w:cs="仿宋"/>
                <w:kern w:val="24"/>
              </w:rPr>
              <w:t>生活垃圾的分类、收集。</w:t>
            </w:r>
          </w:p>
        </w:tc>
      </w:tr>
    </w:tbl>
    <w:p w14:paraId="4532EA4E">
      <w:pPr>
        <w:ind w:firstLine="480" w:firstLineChars="200"/>
        <w:jc w:val="both"/>
        <w:rPr>
          <w:b/>
        </w:rPr>
      </w:pPr>
      <w:r>
        <w:rPr>
          <w:rFonts w:hint="eastAsia"/>
          <w:b/>
        </w:rPr>
        <w:t>（二）24小时安保服务</w:t>
      </w:r>
    </w:p>
    <w:p w14:paraId="4D539C36">
      <w:pPr>
        <w:ind w:firstLine="480" w:firstLineChars="200"/>
        <w:jc w:val="both"/>
      </w:pPr>
      <w:r>
        <w:rPr>
          <w:rFonts w:hint="eastAsia"/>
        </w:rPr>
        <w:t>1、服务要求</w:t>
      </w:r>
    </w:p>
    <w:p w14:paraId="1B9C9059">
      <w:pPr>
        <w:ind w:firstLine="480" w:firstLineChars="200"/>
        <w:jc w:val="both"/>
      </w:pPr>
      <w:r>
        <w:rPr>
          <w:rFonts w:hint="eastAsia"/>
        </w:rPr>
        <w:t>（1）安保协防消防管理。包括整栋大楼及周界的安全和消防管理。在采购人指导下负责监控系统的管理，在采购人及消防管理部门指导下负责消防系统的管理。</w:t>
      </w:r>
    </w:p>
    <w:p w14:paraId="605A59CE">
      <w:pPr>
        <w:ind w:firstLine="480" w:firstLineChars="200"/>
        <w:jc w:val="both"/>
      </w:pPr>
      <w:r>
        <w:rPr>
          <w:rFonts w:hint="eastAsia"/>
        </w:rPr>
        <w:t>（2）巡岗服务。按规定对办公区及周边进行巡视，除白天巡岗外，加强夜间巡查，发现灯未熄灭、水管及阀漏水，应及时通知维修人员检查、修复。</w:t>
      </w:r>
    </w:p>
    <w:p w14:paraId="05342BE0">
      <w:pPr>
        <w:ind w:firstLine="480" w:firstLineChars="200"/>
        <w:jc w:val="both"/>
      </w:pPr>
      <w:r>
        <w:rPr>
          <w:rFonts w:hint="eastAsia"/>
        </w:rPr>
        <w:t>2、服务标准</w:t>
      </w:r>
    </w:p>
    <w:p w14:paraId="3D83E367">
      <w:pPr>
        <w:ind w:firstLine="480" w:firstLineChars="200"/>
        <w:jc w:val="both"/>
      </w:pPr>
      <w:r>
        <w:rPr>
          <w:rFonts w:hint="eastAsia"/>
        </w:rPr>
        <w:t>指派专人对消防、监控中心、进出口进行24小时值班。在主要通道、地下室出入口监控死角，配备专业的保安人员进行巡逻，负责安全、保卫工作。制定全面的安全保障工作计划，建立有效的保安制度，及应急响应方案，消除一切危及或影响安全和保密的外界因素。定时定点定线巡逻与不定时定点定线巡查相结合，要注意出入口、隐蔽处、重要部位、地下室入口等场所建立24小时固定值班、站岗和巡逻制度，做好交接班工作，根据国家消防条例规定，制定防火制度，定期检查消防设施，组织消防演练，建立消防管理档案，保障各类重大活动接待及群体上访秩序维护工作，针对采购人的管理特点提出切实可行提升方案。</w:t>
      </w:r>
    </w:p>
    <w:p w14:paraId="07B7B4A6">
      <w:pPr>
        <w:ind w:firstLine="480" w:firstLineChars="200"/>
        <w:jc w:val="both"/>
        <w:rPr>
          <w:b/>
        </w:rPr>
      </w:pPr>
      <w:r>
        <w:rPr>
          <w:rFonts w:hint="eastAsia"/>
          <w:b/>
        </w:rPr>
        <w:t>（三）保洁服务</w:t>
      </w:r>
    </w:p>
    <w:p w14:paraId="2D99E9B2">
      <w:pPr>
        <w:ind w:firstLine="480" w:firstLineChars="200"/>
        <w:jc w:val="both"/>
      </w:pPr>
      <w:r>
        <w:rPr>
          <w:rFonts w:hint="eastAsia"/>
        </w:rPr>
        <w:t>1、服务要求</w:t>
      </w:r>
    </w:p>
    <w:p w14:paraId="04A71DA5">
      <w:pPr>
        <w:ind w:firstLine="480" w:firstLineChars="200"/>
        <w:jc w:val="both"/>
      </w:pPr>
      <w:r>
        <w:rPr>
          <w:rFonts w:hint="eastAsia"/>
        </w:rPr>
        <w:t>（1）物业服务区域内的卫生清理。保证物业服务公共区域和特约区域卫生整洁。</w:t>
      </w:r>
    </w:p>
    <w:p w14:paraId="1A28FD77">
      <w:pPr>
        <w:ind w:firstLine="480" w:firstLineChars="200"/>
        <w:jc w:val="both"/>
      </w:pPr>
      <w:r>
        <w:rPr>
          <w:rFonts w:hint="eastAsia"/>
        </w:rPr>
        <w:t>（2）保洁管理。负责整栋大楼及周界的清洁保洁，包括楼外周界、大楼外观、楼内门厅、楼梯间、电梯间、走廊通道、会议室、活动室、水房、垃圾房、卫生间以及相关的行人道、行车道、共用设施设备等其他公共部位的清洁保洁以及生活垃圾清理处置。驻场保洁负责临时性的保洁工作，随叫随到。</w:t>
      </w:r>
    </w:p>
    <w:p w14:paraId="31906C63">
      <w:pPr>
        <w:ind w:firstLine="480" w:firstLineChars="200"/>
        <w:jc w:val="both"/>
      </w:pPr>
      <w:r>
        <w:rPr>
          <w:rFonts w:hint="eastAsia"/>
        </w:rPr>
        <w:t>（3）办案工作区、总值班室、监控室等公共开放场所入室保洁。</w:t>
      </w:r>
    </w:p>
    <w:p w14:paraId="0C9AE79D">
      <w:pPr>
        <w:ind w:firstLine="480" w:firstLineChars="200"/>
        <w:jc w:val="both"/>
      </w:pPr>
      <w:r>
        <w:rPr>
          <w:rFonts w:hint="eastAsia"/>
        </w:rPr>
        <w:t>2、服务标准</w:t>
      </w:r>
    </w:p>
    <w:p w14:paraId="2DB416C0">
      <w:pPr>
        <w:ind w:firstLine="480" w:firstLineChars="200"/>
        <w:jc w:val="both"/>
      </w:pPr>
      <w:r>
        <w:rPr>
          <w:rFonts w:hint="eastAsia"/>
        </w:rPr>
        <w:t>（1）环境卫生管理人员</w:t>
      </w:r>
    </w:p>
    <w:p w14:paraId="70D99DBC">
      <w:pPr>
        <w:ind w:firstLine="480" w:firstLineChars="200"/>
        <w:jc w:val="both"/>
      </w:pPr>
      <w:r>
        <w:rPr>
          <w:rFonts w:hint="eastAsia"/>
        </w:rPr>
        <w:t>①建立环境卫生管理制度、明确保洁区域责任、保洁频次并认真落实；环卫设施齐备；实行标准化清扫保洁，由专人负责检查监督，清洁率100%。</w:t>
      </w:r>
    </w:p>
    <w:p w14:paraId="67853B44">
      <w:pPr>
        <w:ind w:firstLine="480" w:firstLineChars="200"/>
        <w:jc w:val="both"/>
      </w:pPr>
      <w:r>
        <w:rPr>
          <w:rFonts w:hint="eastAsia"/>
        </w:rPr>
        <w:t>②地面：楼内大厅、通道、楼梯，每日拖擦2次，定期保养，保持材质干净、有光泽；外围地面每日清扫1次，每季度彻底冲洗1次，保持无落叶、无垃圾、无污渍；雨雪天气后及时清扫，雨雪停后半天内地面无积水、积雪。</w:t>
      </w:r>
    </w:p>
    <w:p w14:paraId="7D3F9736">
      <w:pPr>
        <w:ind w:firstLine="480" w:firstLineChars="200"/>
        <w:jc w:val="both"/>
      </w:pPr>
      <w:r>
        <w:rPr>
          <w:rFonts w:hint="eastAsia"/>
        </w:rPr>
        <w:t>③墙面：涂料材质的墙面及2米以上贴砖墙面，每月清扫1次，保持目视无蛛网、无明显污渍；2米以下贴砖墙面，每周抹擦1次，保持表面干净、无污渍；外围瓷砖围墙每季度彻底清洗1次，保持无明显泥渍、污渍、乱涂乱画与张贴物。</w:t>
      </w:r>
    </w:p>
    <w:p w14:paraId="0B98E7F5">
      <w:pPr>
        <w:ind w:firstLine="480" w:firstLineChars="200"/>
        <w:jc w:val="both"/>
      </w:pPr>
      <w:r>
        <w:rPr>
          <w:rFonts w:hint="eastAsia"/>
        </w:rPr>
        <w:t>④门、窗、玻璃：每周擦拭1次，保持无手印、无污渍，干净光亮。公共区域沙发、茶几、电视、楼梯扶手、电子屏、花瓶、开关等2米持目视无蛛网、无明显污渍；2米以下贴砖墙面，每周抹擦1次，保持表面干净、无污渍。</w:t>
      </w:r>
    </w:p>
    <w:p w14:paraId="040766DE">
      <w:pPr>
        <w:ind w:firstLine="480" w:firstLineChars="200"/>
        <w:jc w:val="both"/>
      </w:pPr>
      <w:r>
        <w:rPr>
          <w:rFonts w:hint="eastAsia"/>
        </w:rPr>
        <w:t>⑤消防栓内、天花板、共用照明灯具、标识牌等2米以上公共设施：每周擦拭1次，保持表面干净、无污渍。</w:t>
      </w:r>
    </w:p>
    <w:p w14:paraId="2B02035A">
      <w:pPr>
        <w:ind w:firstLine="480" w:firstLineChars="200"/>
        <w:jc w:val="both"/>
      </w:pPr>
      <w:r>
        <w:rPr>
          <w:rFonts w:hint="eastAsia"/>
        </w:rPr>
        <w:t>⑥垃圾桶：整齐套袋，桶内垃圾不超过2/3，每周冲洗1次垃圾桶，桶内外壁无污渍，定点放置，周围无污水与垃圾散落，米石洁白。</w:t>
      </w:r>
    </w:p>
    <w:p w14:paraId="07477016">
      <w:pPr>
        <w:ind w:firstLine="480" w:firstLineChars="200"/>
        <w:jc w:val="both"/>
      </w:pPr>
      <w:r>
        <w:rPr>
          <w:rFonts w:hint="eastAsia"/>
        </w:rPr>
        <w:t>⑦屋顶：每月清扫1次，保持清洁、无垃圾，落水口无杂物堵塞；每月清洗1次玻璃屋顶，保持无积水、积雪、积尘。</w:t>
      </w:r>
    </w:p>
    <w:p w14:paraId="5AA3AE0B">
      <w:pPr>
        <w:ind w:firstLine="480" w:firstLineChars="200"/>
        <w:jc w:val="both"/>
      </w:pPr>
      <w:r>
        <w:rPr>
          <w:rFonts w:hint="eastAsia"/>
        </w:rPr>
        <w:t>⑧电梯轿厢：每日清扫、擦拭1次，每周对电梯轿厢保养1次，保持轿厢地面无水迹、垃圾，轨道槽内无杂物、无泥沙，轿厢壁表面光亮、无污渍、无手印，厢内广告屏、宣传画、灯无污渍、无积灰。</w:t>
      </w:r>
    </w:p>
    <w:p w14:paraId="5458C2B9">
      <w:pPr>
        <w:ind w:firstLine="480" w:firstLineChars="200"/>
        <w:jc w:val="both"/>
      </w:pPr>
      <w:r>
        <w:rPr>
          <w:rFonts w:hint="eastAsia"/>
        </w:rPr>
        <w:t>⑨入室保洁：信访大厅每日清洁1次；办案工作区、阅览室每周清洁1次；会议室、接待室每次使用前清洁,地毯每周吸尘1次；领导办公室每周精细清洁1次；办公桌、会议桌无积灰、无污渍，文件、陈设品整齐摆放；门、窗无污渍、无积灰、无明显手印；花盆内、托盘内无垃圾，盆壁无污渍周围地面无污水、枯叶；地毯无杂物、无毛絮、无积灰、无污渍，整齐平铺；顶灯、出风口等高处设施无明显积灰、污渍。</w:t>
      </w:r>
    </w:p>
    <w:p w14:paraId="6C330E2B">
      <w:pPr>
        <w:ind w:firstLine="480" w:firstLineChars="200"/>
        <w:jc w:val="both"/>
      </w:pPr>
      <w:r>
        <w:rPr>
          <w:rFonts w:hint="eastAsia"/>
        </w:rPr>
        <w:t>⑩垃圾：垃圾日产日清，供应商负责垃圾清运相关事项和费用。</w:t>
      </w:r>
    </w:p>
    <w:p w14:paraId="7DB37517">
      <w:pPr>
        <w:ind w:firstLine="480" w:firstLineChars="200"/>
        <w:jc w:val="both"/>
      </w:pPr>
      <w:r>
        <w:rPr>
          <w:rFonts w:ascii="Cambria Math" w:hAnsi="Cambria Math" w:cs="Cambria Math"/>
        </w:rPr>
        <w:t>⑪</w:t>
      </w:r>
      <w:r>
        <w:rPr>
          <w:rFonts w:hint="eastAsia" w:ascii="宋体" w:hAnsi="宋体" w:eastAsia="宋体" w:cs="宋体"/>
        </w:rPr>
        <w:t>卫生间、开水房：卫生间、开水房每日全面清洁</w:t>
      </w:r>
      <w:r>
        <w:t>3</w:t>
      </w:r>
      <w:r>
        <w:rPr>
          <w:rFonts w:hint="eastAsia"/>
        </w:rPr>
        <w:t>次，每周精细清洁</w:t>
      </w:r>
      <w:r>
        <w:t>1</w:t>
      </w:r>
      <w:r>
        <w:rPr>
          <w:rFonts w:hint="eastAsia"/>
        </w:rPr>
        <w:t>次；便池、坐便器、拖把池无污渍、无堵漏，出水口、下水口无污渍、无水锈；冲水阀、淋浴器、不锈钢扶手无污渍、无积灰，干净光亮；台面、镜面、水龙头无水迹，干净光亮，台面无杂物、无积水，放置物无积灰，定点放置，水池内无杂物、无污渍、无水锈，下水管无污渍、无堵漏；开关、插座、灯具、管道、排风口等设施无污渍、无积灰；热水器表面无污迹、无积灰，接水盘内无杂物，不锈钢面无锈蚀，管道、下水口无堵漏；按时关闭热水器电源开关；门帘无污渍无破损，整齐悬挂；纸盒、洗手液无积灰、无污渍，纸、洗手液添加及时；门帘无污渍、无破损，整齐悬挂；整体环境无异味与蚊蝇。</w:t>
      </w:r>
    </w:p>
    <w:p w14:paraId="689FDBBA">
      <w:pPr>
        <w:ind w:firstLine="480" w:firstLineChars="200"/>
        <w:jc w:val="both"/>
      </w:pPr>
      <w:r>
        <w:rPr>
          <w:rFonts w:ascii="Cambria Math" w:hAnsi="Cambria Math" w:cs="Cambria Math"/>
        </w:rPr>
        <w:t>⑫</w:t>
      </w:r>
      <w:r>
        <w:rPr>
          <w:rFonts w:hint="eastAsia" w:ascii="宋体" w:hAnsi="宋体" w:eastAsia="宋体" w:cs="宋体"/>
        </w:rPr>
        <w:t>保洁工具：保持完好、整洁，定点放置。</w:t>
      </w:r>
    </w:p>
    <w:p w14:paraId="57BD6FD2">
      <w:pPr>
        <w:ind w:firstLine="480" w:firstLineChars="200"/>
        <w:jc w:val="both"/>
      </w:pPr>
      <w:r>
        <w:rPr>
          <w:rFonts w:hint="eastAsia"/>
        </w:rPr>
        <w:t>（2）除“四害”管理和卫生消毒人员</w:t>
      </w:r>
    </w:p>
    <w:p w14:paraId="1977B1CB">
      <w:pPr>
        <w:ind w:firstLine="480" w:firstLineChars="200"/>
        <w:jc w:val="both"/>
      </w:pPr>
      <w:r>
        <w:rPr>
          <w:rFonts w:hint="eastAsia"/>
        </w:rPr>
        <w:t>①建立消杀管理规定，识别消杀重点区域，并严格落实；</w:t>
      </w:r>
    </w:p>
    <w:p w14:paraId="1FEC7ECE">
      <w:pPr>
        <w:ind w:firstLine="480" w:firstLineChars="200"/>
        <w:jc w:val="both"/>
      </w:pPr>
      <w:r>
        <w:rPr>
          <w:rFonts w:hint="eastAsia"/>
        </w:rPr>
        <w:t>②“四害”消杀达到全国爱卫会规定的标准；</w:t>
      </w:r>
    </w:p>
    <w:p w14:paraId="4EC9784E">
      <w:pPr>
        <w:ind w:firstLine="480" w:firstLineChars="200"/>
        <w:jc w:val="both"/>
      </w:pPr>
      <w:r>
        <w:rPr>
          <w:rFonts w:hint="eastAsia"/>
        </w:rPr>
        <w:t>③公共区域公共设施定期进行消毒；</w:t>
      </w:r>
    </w:p>
    <w:p w14:paraId="22192F84">
      <w:pPr>
        <w:ind w:firstLine="480" w:firstLineChars="200"/>
        <w:jc w:val="both"/>
      </w:pPr>
      <w:r>
        <w:rPr>
          <w:rFonts w:hint="eastAsia"/>
        </w:rPr>
        <w:t>④科学合理用药,不使用国家禁用的药品；</w:t>
      </w:r>
    </w:p>
    <w:p w14:paraId="3B409300">
      <w:pPr>
        <w:ind w:firstLine="480" w:firstLineChars="200"/>
        <w:jc w:val="both"/>
      </w:pPr>
      <w:r>
        <w:rPr>
          <w:rFonts w:hint="eastAsia"/>
        </w:rPr>
        <w:t>⑤记录完善。</w:t>
      </w:r>
    </w:p>
    <w:p w14:paraId="37543BBF">
      <w:pPr>
        <w:ind w:firstLine="480" w:firstLineChars="200"/>
        <w:jc w:val="both"/>
      </w:pPr>
      <w:r>
        <w:rPr>
          <w:rFonts w:hint="eastAsia"/>
        </w:rPr>
        <w:t>（3）垃圾分类收集人员</w:t>
      </w:r>
    </w:p>
    <w:p w14:paraId="3584D293">
      <w:pPr>
        <w:ind w:firstLine="480" w:firstLineChars="200"/>
        <w:jc w:val="both"/>
      </w:pPr>
      <w:r>
        <w:rPr>
          <w:rFonts w:hint="eastAsia"/>
        </w:rPr>
        <w:t>①制定垃圾分类管理办法，明确管理责任，并严格落实；</w:t>
      </w:r>
    </w:p>
    <w:p w14:paraId="438F101E">
      <w:pPr>
        <w:ind w:firstLine="480" w:firstLineChars="200"/>
        <w:jc w:val="both"/>
      </w:pPr>
      <w:r>
        <w:rPr>
          <w:rFonts w:hint="eastAsia"/>
        </w:rPr>
        <w:t>②垃圾日产日清；</w:t>
      </w:r>
    </w:p>
    <w:p w14:paraId="626A2A02">
      <w:pPr>
        <w:ind w:firstLine="480" w:firstLineChars="200"/>
        <w:jc w:val="both"/>
      </w:pPr>
      <w:r>
        <w:rPr>
          <w:rFonts w:hint="eastAsia"/>
        </w:rPr>
        <w:t>③严格按照《西安市生活垃圾分类管理办法》对垃圾进行分类收集，垃圾分类准确率95%以上；</w:t>
      </w:r>
    </w:p>
    <w:p w14:paraId="1DDA8A23">
      <w:pPr>
        <w:ind w:firstLine="480" w:firstLineChars="200"/>
        <w:jc w:val="both"/>
        <w:rPr>
          <w:b/>
        </w:rPr>
      </w:pPr>
      <w:r>
        <w:rPr>
          <w:rFonts w:hint="eastAsia"/>
          <w:b/>
        </w:rPr>
        <w:t>（四）会议保障服务</w:t>
      </w:r>
    </w:p>
    <w:p w14:paraId="63F21A68">
      <w:pPr>
        <w:ind w:firstLine="480" w:firstLineChars="200"/>
        <w:jc w:val="both"/>
      </w:pPr>
      <w:r>
        <w:rPr>
          <w:rFonts w:hint="eastAsia"/>
        </w:rPr>
        <w:t>1、服务要求</w:t>
      </w:r>
    </w:p>
    <w:p w14:paraId="01390A11">
      <w:pPr>
        <w:ind w:firstLine="480" w:firstLineChars="200"/>
        <w:jc w:val="both"/>
      </w:pPr>
      <w:r>
        <w:rPr>
          <w:rFonts w:hint="eastAsia"/>
        </w:rPr>
        <w:t>（1）会议室服务。在采购人的统一调配安排下，负责会议室及接待室的卫生清理、会场布置以及会议茶水服务。驻场会服负责临时性的接待工作，随叫随到。</w:t>
      </w:r>
    </w:p>
    <w:p w14:paraId="4E31E945">
      <w:pPr>
        <w:ind w:firstLine="480" w:firstLineChars="200"/>
        <w:jc w:val="both"/>
      </w:pPr>
      <w:r>
        <w:rPr>
          <w:rFonts w:hint="eastAsia"/>
        </w:rPr>
        <w:t>（2）协助采购人完成各种迎送、接待、礼仪等，来电、来访接待并记录单位通知事项。</w:t>
      </w:r>
    </w:p>
    <w:p w14:paraId="6BCEE962">
      <w:pPr>
        <w:ind w:firstLine="480" w:firstLineChars="200"/>
        <w:jc w:val="both"/>
      </w:pPr>
      <w:r>
        <w:rPr>
          <w:rFonts w:hint="eastAsia"/>
        </w:rPr>
        <w:t>2、服务标准</w:t>
      </w:r>
    </w:p>
    <w:p w14:paraId="7BDC5553">
      <w:pPr>
        <w:ind w:firstLine="480" w:firstLineChars="200"/>
        <w:jc w:val="both"/>
      </w:pPr>
      <w:r>
        <w:rPr>
          <w:rFonts w:hint="eastAsia"/>
        </w:rPr>
        <w:t>（1）保证开水供应并定时续水，会前会后打扫室内卫生，并对毛巾、水杯进行清洗、消毒，保持室内干净整洁，物品摆放整齐有序，会场布置及时，做到周到、热情、细致、快捷、无差错；</w:t>
      </w:r>
    </w:p>
    <w:p w14:paraId="4EC253C0">
      <w:pPr>
        <w:ind w:firstLine="480" w:firstLineChars="200"/>
        <w:jc w:val="both"/>
      </w:pPr>
      <w:r>
        <w:rPr>
          <w:rFonts w:hint="eastAsia"/>
        </w:rPr>
        <w:t>（2）根据采购人需求，对各类报刊杂志、信件等（按楼层及房号）进行分类，做好分发；</w:t>
      </w:r>
    </w:p>
    <w:p w14:paraId="1013DDAC">
      <w:pPr>
        <w:ind w:firstLine="480" w:firstLineChars="200"/>
        <w:jc w:val="both"/>
      </w:pPr>
      <w:r>
        <w:rPr>
          <w:rFonts w:hint="eastAsia"/>
        </w:rPr>
        <w:t>（3）做好采购人沟通工作，了解采购人诉求，及时、耐心处理采购人对物业工作的建议或投诉；</w:t>
      </w:r>
    </w:p>
    <w:p w14:paraId="652BB8B1">
      <w:pPr>
        <w:ind w:firstLine="480" w:firstLineChars="200"/>
        <w:jc w:val="both"/>
      </w:pPr>
      <w:r>
        <w:rPr>
          <w:rFonts w:hint="eastAsia"/>
        </w:rPr>
        <w:t>（4）落实档案管理制度指定专人负责，分类、编目、妥善保管承接档案、物业服务档案、设施设备档案等档案资料，做好保密工作，不得私自外借、复制，不得丢失。</w:t>
      </w:r>
    </w:p>
    <w:p w14:paraId="59595AC1">
      <w:pPr>
        <w:ind w:firstLine="480" w:firstLineChars="200"/>
        <w:jc w:val="both"/>
        <w:rPr>
          <w:b/>
        </w:rPr>
      </w:pPr>
      <w:r>
        <w:rPr>
          <w:rFonts w:hint="eastAsia"/>
          <w:b/>
        </w:rPr>
        <w:t>（五）维修养护服务</w:t>
      </w:r>
    </w:p>
    <w:p w14:paraId="53FB9300">
      <w:pPr>
        <w:ind w:firstLine="480" w:firstLineChars="200"/>
        <w:jc w:val="both"/>
      </w:pPr>
      <w:r>
        <w:rPr>
          <w:rFonts w:hint="eastAsia"/>
        </w:rPr>
        <w:t>1、服务要求</w:t>
      </w:r>
    </w:p>
    <w:p w14:paraId="75434E9F">
      <w:pPr>
        <w:ind w:firstLine="480" w:firstLineChars="200"/>
        <w:jc w:val="both"/>
      </w:pPr>
      <w:r>
        <w:rPr>
          <w:rFonts w:hint="eastAsia"/>
        </w:rPr>
        <w:t>（1）成交供应商承担公共区域维修价值在1000元以下的物品采购费用（属于原资产方资产，应由资产方维修的除外）。</w:t>
      </w:r>
    </w:p>
    <w:p w14:paraId="322C31FC">
      <w:pPr>
        <w:ind w:firstLine="480" w:firstLineChars="200"/>
        <w:jc w:val="both"/>
      </w:pPr>
      <w:r>
        <w:rPr>
          <w:rFonts w:hint="eastAsia"/>
        </w:rPr>
        <w:t>（2）办公室内设备家具的维护、维修和搬移的人工服务，如供应商在采购人规定时间内无法及时搬移或无法维修、需要向采购人申请，由采购人指定专业公司保障，相关费用由采购人承担。</w:t>
      </w:r>
    </w:p>
    <w:p w14:paraId="64864CB6">
      <w:pPr>
        <w:ind w:firstLine="480" w:firstLineChars="200"/>
        <w:jc w:val="both"/>
      </w:pPr>
      <w:r>
        <w:rPr>
          <w:rFonts w:hint="eastAsia"/>
        </w:rPr>
        <w:t>（3）共用设施设备的维修、养护巡检、运行和管理。包括供配电系统、给排水系统、空调系统、消防系统、通风自控系统、监控系统、电梯系统、建筑物防雷设施、供暖设备及其他共用设施设备等（属于原资产方资产，应由资产方维修的除外）。</w:t>
      </w:r>
    </w:p>
    <w:p w14:paraId="3DBDACD2">
      <w:pPr>
        <w:ind w:firstLine="480" w:firstLineChars="200"/>
        <w:jc w:val="both"/>
      </w:pPr>
      <w:r>
        <w:rPr>
          <w:rFonts w:hint="eastAsia"/>
        </w:rPr>
        <w:t>（4）物业服务区域内的维修、养护和管理。包括楼外周界部分、楼顶、外墙、楼内门厅、楼梯间、走廊通道、地下室、门窗以及相关的行人道、行车道、垃圾房、公共卫生间、共用设施设备使用的房屋等其他公共部位的维护和管理。并对办公室、会议室、机房、档案室、机要室等场所的灯具、插座、锁具等进行维修更换。</w:t>
      </w:r>
    </w:p>
    <w:p w14:paraId="39DA5EE7">
      <w:pPr>
        <w:ind w:firstLine="480" w:firstLineChars="200"/>
        <w:jc w:val="both"/>
      </w:pPr>
      <w:r>
        <w:rPr>
          <w:rFonts w:hint="eastAsia"/>
        </w:rPr>
        <w:t>2、服务标准</w:t>
      </w:r>
    </w:p>
    <w:p w14:paraId="0977973E">
      <w:pPr>
        <w:ind w:firstLine="480" w:firstLineChars="200"/>
        <w:jc w:val="both"/>
      </w:pPr>
      <w:r>
        <w:rPr>
          <w:rFonts w:hint="eastAsia"/>
        </w:rPr>
        <w:t>（1）房屋的管理要求加强日常巡查工作。制定房屋使用管理规定，确保楼宇结构和附属设施设备的安全。</w:t>
      </w:r>
    </w:p>
    <w:p w14:paraId="4BF1D866">
      <w:pPr>
        <w:ind w:firstLine="480" w:firstLineChars="200"/>
        <w:jc w:val="both"/>
      </w:pPr>
      <w:r>
        <w:rPr>
          <w:rFonts w:hint="eastAsia"/>
        </w:rPr>
        <w:t>（2）公共设施设备的巡查和管理。具体标准：</w:t>
      </w:r>
    </w:p>
    <w:p w14:paraId="1807A7B6">
      <w:pPr>
        <w:ind w:firstLine="480" w:firstLineChars="200"/>
        <w:jc w:val="both"/>
      </w:pPr>
      <w:r>
        <w:rPr>
          <w:rFonts w:hint="eastAsia"/>
        </w:rPr>
        <w:t>①制定严格的设备巡查制度，做好设备设施的日常和计划性巡查工作。</w:t>
      </w:r>
    </w:p>
    <w:p w14:paraId="78B99EBF">
      <w:pPr>
        <w:ind w:firstLine="480" w:firstLineChars="200"/>
        <w:jc w:val="both"/>
      </w:pPr>
      <w:r>
        <w:rPr>
          <w:rFonts w:hint="eastAsia"/>
        </w:rPr>
        <w:t>②除不可抗拒因素外，在正常工作时间内，不能有人为停水、电、暖、空调的现象。发生故障，在非工作时间内以最短时间上报。</w:t>
      </w:r>
    </w:p>
    <w:p w14:paraId="040BF6FB">
      <w:pPr>
        <w:ind w:firstLine="480" w:firstLineChars="200"/>
        <w:jc w:val="both"/>
        <w:rPr>
          <w:b/>
        </w:rPr>
      </w:pPr>
      <w:r>
        <w:rPr>
          <w:rFonts w:hint="eastAsia"/>
          <w:b/>
        </w:rPr>
        <w:t>（六）绿化相关服务</w:t>
      </w:r>
    </w:p>
    <w:p w14:paraId="5A0EBCBF">
      <w:pPr>
        <w:ind w:firstLine="480" w:firstLineChars="200"/>
        <w:jc w:val="both"/>
      </w:pPr>
      <w:r>
        <w:rPr>
          <w:rFonts w:hint="eastAsia"/>
        </w:rPr>
        <w:t>美化绿化服务。提供大楼门厅、走廊通道、会议室等公用部位的花卉、绿色观赏植物等公共区域绿植的养护，公共区域和大楼外围绿化带及草坪的浇灌修剪，（冬春修剪不少于一次），及时给花木施肥、喷洒农药。</w:t>
      </w:r>
    </w:p>
    <w:p w14:paraId="026BC2C2">
      <w:pPr>
        <w:ind w:firstLine="480" w:firstLineChars="200"/>
        <w:jc w:val="both"/>
        <w:rPr>
          <w:b/>
        </w:rPr>
      </w:pPr>
      <w:r>
        <w:rPr>
          <w:rFonts w:hint="eastAsia"/>
          <w:b/>
        </w:rPr>
        <w:t>（七）其他服务</w:t>
      </w:r>
    </w:p>
    <w:p w14:paraId="7B1B3802">
      <w:pPr>
        <w:ind w:firstLine="480" w:firstLineChars="200"/>
        <w:jc w:val="both"/>
      </w:pPr>
      <w:r>
        <w:rPr>
          <w:rFonts w:hint="eastAsia"/>
        </w:rPr>
        <w:t>1、负责报纸、杂志、信件收发至每个办公室。</w:t>
      </w:r>
    </w:p>
    <w:p w14:paraId="5E409306">
      <w:pPr>
        <w:ind w:firstLine="480" w:firstLineChars="200"/>
        <w:jc w:val="both"/>
      </w:pPr>
      <w:r>
        <w:rPr>
          <w:rFonts w:hint="eastAsia"/>
        </w:rPr>
        <w:t>2、采购人在服务区域内举办大型活动时，供应商应根据采购人要求增加保障人员和提供必要设施设备。</w:t>
      </w:r>
    </w:p>
    <w:p w14:paraId="6E55261E">
      <w:pPr>
        <w:ind w:firstLine="480" w:firstLineChars="200"/>
        <w:jc w:val="both"/>
      </w:pPr>
      <w:r>
        <w:rPr>
          <w:rFonts w:hint="eastAsia"/>
        </w:rPr>
        <w:t>3、负责管理采购人交给的物业档案资料及工作中形成的其他资料。</w:t>
      </w:r>
    </w:p>
    <w:p w14:paraId="53A43E0A">
      <w:pPr>
        <w:ind w:firstLine="480" w:firstLineChars="200"/>
        <w:jc w:val="both"/>
      </w:pPr>
      <w:r>
        <w:rPr>
          <w:rFonts w:hint="eastAsia"/>
        </w:rPr>
        <w:t>4、配合采购人开展有关活动和临时性工作任务。</w:t>
      </w:r>
    </w:p>
    <w:p w14:paraId="5EECEA43">
      <w:pPr>
        <w:ind w:firstLine="480" w:firstLineChars="200"/>
        <w:jc w:val="both"/>
      </w:pPr>
      <w:r>
        <w:rPr>
          <w:rFonts w:hint="eastAsia"/>
        </w:rPr>
        <w:t>5、积极抓好机关节能工作。坚决把节能管理作为目标考核内容，纳入日常管理之中，经常性组织员工进行节能常识培训和演练。</w:t>
      </w:r>
    </w:p>
    <w:p w14:paraId="41E3E402">
      <w:pPr>
        <w:ind w:firstLine="480" w:firstLineChars="200"/>
        <w:jc w:val="both"/>
      </w:pPr>
      <w:r>
        <w:rPr>
          <w:rFonts w:hint="eastAsia"/>
        </w:rPr>
        <w:t>6、每季度清理核实人员花名册，确保人岗对应。</w:t>
      </w:r>
    </w:p>
    <w:p w14:paraId="5EAEE822">
      <w:pPr>
        <w:ind w:firstLine="480" w:firstLineChars="200"/>
        <w:jc w:val="both"/>
      </w:pPr>
      <w:r>
        <w:rPr>
          <w:rFonts w:hint="eastAsia"/>
        </w:rPr>
        <w:t>7、成交供应商接受采购人后勤管理部门的全程监督。成交供应商不按合同约定办理的，采购人可依照市场价格核扣服务经费。</w:t>
      </w:r>
    </w:p>
    <w:p w14:paraId="68B4ED16">
      <w:pPr>
        <w:ind w:firstLine="480" w:firstLineChars="200"/>
        <w:jc w:val="both"/>
      </w:pPr>
      <w:r>
        <w:rPr>
          <w:rFonts w:hint="eastAsia"/>
        </w:rPr>
        <w:t>8、交办的其他工作。</w:t>
      </w:r>
    </w:p>
    <w:p w14:paraId="1C8888A0">
      <w:pPr>
        <w:pStyle w:val="3"/>
        <w:jc w:val="both"/>
      </w:pPr>
      <w:r>
        <w:rPr>
          <w:rFonts w:hint="eastAsia"/>
        </w:rPr>
        <w:t>四、商务要求</w:t>
      </w:r>
    </w:p>
    <w:p w14:paraId="411AFC00">
      <w:pPr>
        <w:ind w:firstLine="480" w:firstLineChars="200"/>
      </w:pPr>
      <w:r>
        <w:rPr>
          <w:rFonts w:hint="eastAsia"/>
        </w:rPr>
        <w:t>服务期：16个月</w:t>
      </w:r>
    </w:p>
    <w:p w14:paraId="2A3BDD75">
      <w:pPr>
        <w:pStyle w:val="81"/>
        <w:ind w:firstLine="0" w:firstLineChars="0"/>
      </w:pPr>
    </w:p>
    <w:p w14:paraId="0E603386">
      <w:pPr>
        <w:pStyle w:val="81"/>
        <w:ind w:firstLine="0" w:firstLineChars="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2DA58542">
      <w:pPr>
        <w:pStyle w:val="2"/>
        <w:spacing w:before="230" w:after="230"/>
        <w:rPr>
          <w:color w:val="C00000"/>
        </w:rPr>
      </w:pPr>
      <w:bookmarkStart w:id="12" w:name="_Toc148453731"/>
      <w:bookmarkStart w:id="13" w:name="_Toc212455741"/>
      <w:r>
        <w:rPr>
          <w:rFonts w:hint="eastAsia"/>
        </w:rPr>
        <w:t>第四章　合同</w:t>
      </w:r>
      <w:bookmarkEnd w:id="12"/>
      <w:r>
        <w:rPr>
          <w:rFonts w:hint="eastAsia"/>
        </w:rPr>
        <w:t>草案条款</w:t>
      </w:r>
      <w:bookmarkEnd w:id="13"/>
    </w:p>
    <w:p w14:paraId="41F60992">
      <w:pPr>
        <w:jc w:val="center"/>
        <w:rPr>
          <w:color w:val="C00000"/>
        </w:rPr>
      </w:pPr>
      <w:r>
        <w:rPr>
          <w:color w:val="C00000"/>
        </w:rPr>
        <w:t>（本合同为中小企业预留合同）</w:t>
      </w:r>
    </w:p>
    <w:p w14:paraId="16DA02A7">
      <w:pPr>
        <w:spacing w:before="230" w:beforeLines="50"/>
        <w:ind w:firstLine="480" w:firstLineChars="200"/>
        <w:jc w:val="both"/>
        <w:rPr>
          <w:b/>
        </w:rPr>
      </w:pPr>
      <w:r>
        <w:rPr>
          <w:b/>
        </w:rPr>
        <w:t>甲方（采购人）：</w:t>
      </w:r>
      <w:r>
        <w:rPr>
          <w:rFonts w:hint="eastAsia"/>
          <w:b/>
          <w:color w:val="C00000"/>
          <w:u w:val="single"/>
        </w:rPr>
        <w:t>陕西西咸新区人民检察院</w:t>
      </w:r>
    </w:p>
    <w:p w14:paraId="44A487A0">
      <w:pPr>
        <w:ind w:firstLine="480" w:firstLineChars="200"/>
        <w:jc w:val="both"/>
        <w:rPr>
          <w:color w:val="C00000"/>
        </w:rPr>
      </w:pPr>
      <w:r>
        <w:rPr>
          <w:b/>
        </w:rPr>
        <w:t>乙方（成交供应商）：</w:t>
      </w:r>
      <w:r>
        <w:rPr>
          <w:color w:val="C00000"/>
        </w:rPr>
        <w:t>_________________</w:t>
      </w:r>
    </w:p>
    <w:p w14:paraId="20FB343F">
      <w:pPr>
        <w:ind w:firstLine="480" w:firstLineChars="200"/>
        <w:jc w:val="both"/>
      </w:pPr>
      <w:r>
        <w:rPr>
          <w:rFonts w:hint="eastAsia"/>
        </w:rPr>
        <w:t>甲方所需服务，按照采购程序，确定乙方为供应商。依据《中华人民共和国政府采购法》及实施条例、政府采购货物和服务招标投标管理办法、《中华人民共和国民法典》、乙方磋商文件正本、成交通知书，经甲、乙双方协商，达成如下条款：</w:t>
      </w:r>
    </w:p>
    <w:p w14:paraId="76F3DF7C">
      <w:pPr>
        <w:spacing w:before="230" w:beforeLines="50"/>
        <w:jc w:val="both"/>
        <w:rPr>
          <w:rFonts w:cs="Calibri Light"/>
          <w:b/>
        </w:rPr>
      </w:pPr>
      <w:r>
        <w:rPr>
          <w:rFonts w:cs="Calibri Light"/>
          <w:b/>
        </w:rPr>
        <w:t>一、服务条件：</w:t>
      </w:r>
    </w:p>
    <w:p w14:paraId="04D19A8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1FCF9FB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（二）服务期：</w:t>
      </w:r>
      <w:r>
        <w:rPr>
          <w:rFonts w:hint="eastAsia" w:asciiTheme="minorHAnsi" w:hAnsiTheme="minorHAnsi" w:eastAsiaTheme="minorEastAsia"/>
          <w:sz w:val="24"/>
          <w:szCs w:val="24"/>
        </w:rPr>
        <w:t>16个月，自</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年</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月</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日至</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年</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月</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日。</w:t>
      </w:r>
    </w:p>
    <w:p w14:paraId="7B2F04D2">
      <w:pPr>
        <w:spacing w:before="230" w:beforeLines="50"/>
        <w:jc w:val="both"/>
        <w:rPr>
          <w:rFonts w:cs="Calibri Light"/>
          <w:b/>
        </w:rPr>
      </w:pPr>
      <w:r>
        <w:rPr>
          <w:rFonts w:cs="Calibri Light"/>
          <w:b/>
        </w:rPr>
        <w:t>二、合同价款</w:t>
      </w:r>
    </w:p>
    <w:p w14:paraId="55D8E838">
      <w:pPr>
        <w:ind w:firstLine="480" w:firstLineChars="200"/>
        <w:jc w:val="both"/>
      </w:pPr>
      <w:r>
        <w:t>（一）本合同项下总价款为人民币_________元（小写，精确到小数点后两位），即__________（大写）。合同履行期间，合同总价固定不变，不受市场价格变化因素的影响。</w:t>
      </w:r>
    </w:p>
    <w:p w14:paraId="7D5196F7">
      <w:pPr>
        <w:ind w:firstLine="480" w:firstLineChars="200"/>
        <w:jc w:val="both"/>
      </w:pPr>
      <w:r>
        <w:t>（二）</w:t>
      </w:r>
      <w:r>
        <w:rPr>
          <w:rFonts w:hint="eastAsia"/>
        </w:rPr>
        <w:t>合同总价即成交价格，磋商文件所确定的磋商范围内的全部工作内容的价格体现，包括本项目其他相关伴随费用的全部费用。</w:t>
      </w:r>
    </w:p>
    <w:p w14:paraId="3E196DC7">
      <w:pPr>
        <w:spacing w:before="230" w:beforeLines="50"/>
        <w:jc w:val="both"/>
        <w:rPr>
          <w:rFonts w:cs="Calibri Light"/>
          <w:b/>
        </w:rPr>
      </w:pPr>
      <w:r>
        <w:rPr>
          <w:rFonts w:cs="Calibri Light"/>
          <w:b/>
        </w:rPr>
        <w:t>三、款项结算</w:t>
      </w:r>
    </w:p>
    <w:p w14:paraId="7095426F">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14:paraId="6A717EE4">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2026年3月综合考评合格，甲方自收到乙方发票之日起5个工作日内支付合同总价的16.67%；</w:t>
      </w:r>
    </w:p>
    <w:p w14:paraId="487823C2">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2、2026年6月综合考评合格，甲方自收到乙方发票之日起5个工作日内支付合同总价的16.67%；</w:t>
      </w:r>
    </w:p>
    <w:p w14:paraId="41EBC8B8">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3、2026年9月综合考评合格，甲方自收到乙方发票之日起5个工作日内支付合同总价的16.67%；</w:t>
      </w:r>
    </w:p>
    <w:p w14:paraId="247F8212">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4、2026年12月综合考评合格，甲方自收到乙方发票之日起5个工作日内支付合同总价的16.67%；</w:t>
      </w:r>
    </w:p>
    <w:p w14:paraId="1F58347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5、2027年3月综合考评合格，甲方自收到乙方发票之日起5个工作日内支付合同总价的16.67%；</w:t>
      </w:r>
    </w:p>
    <w:p w14:paraId="29C4C582">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6、</w:t>
      </w:r>
      <w:r>
        <w:rPr>
          <w:rFonts w:hint="eastAsia" w:asciiTheme="minorHAnsi" w:hAnsiTheme="minorHAnsi" w:eastAsiaTheme="minorEastAsia"/>
          <w:sz w:val="24"/>
          <w:szCs w:val="24"/>
        </w:rPr>
        <w:t>2027年5月综合考评合格，甲方自收到乙方发票之日起5个工作日内支付合同总价的16.65%。</w:t>
      </w:r>
    </w:p>
    <w:p w14:paraId="29227FAE">
      <w:pPr>
        <w:pStyle w:val="40"/>
        <w:ind w:firstLine="480" w:firstLineChars="200"/>
        <w:jc w:val="both"/>
        <w:rPr>
          <w:rFonts w:asciiTheme="minorHAnsi" w:hAnsiTheme="minorHAnsi" w:eastAsiaTheme="minorEastAsia"/>
        </w:rPr>
      </w:pPr>
      <w:r>
        <w:rPr>
          <w:rFonts w:hint="eastAsia" w:asciiTheme="minorHAnsi" w:hAnsiTheme="minorHAnsi" w:eastAsiaTheme="minorEastAsia"/>
          <w:sz w:val="24"/>
          <w:szCs w:val="24"/>
        </w:rPr>
        <w:t>考评为不合格的，甲方扣除乙方当季应付物业服务费的2%。</w:t>
      </w:r>
    </w:p>
    <w:p w14:paraId="2B890AA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14:paraId="5E2B1E65">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（三）结算方式：乙方持成交通知书、政府采购合同、发票、政府采购项目验收单，与甲方结算。</w:t>
      </w:r>
      <w:r>
        <w:rPr>
          <w:rFonts w:hint="eastAsia" w:asciiTheme="minorHAnsi" w:hAnsiTheme="minorHAnsi" w:eastAsiaTheme="minorEastAsia"/>
          <w:sz w:val="24"/>
          <w:szCs w:val="24"/>
        </w:rPr>
        <w:t>甲方在收到乙方开具的等额发票后支付款项，否则甲方可不支付且不因此承担相关违约责任。</w:t>
      </w:r>
    </w:p>
    <w:p w14:paraId="3A8A675B">
      <w:pPr>
        <w:spacing w:before="230" w:beforeLines="50"/>
        <w:jc w:val="both"/>
        <w:rPr>
          <w:rFonts w:cs="Calibri Light"/>
          <w:b/>
        </w:rPr>
      </w:pPr>
      <w:r>
        <w:rPr>
          <w:rFonts w:cs="Calibri Light"/>
          <w:b/>
        </w:rPr>
        <w:t>四、</w:t>
      </w:r>
      <w:r>
        <w:rPr>
          <w:rFonts w:hint="eastAsia" w:cs="Calibri Light"/>
          <w:b/>
        </w:rPr>
        <w:t>质量保证</w:t>
      </w:r>
    </w:p>
    <w:p w14:paraId="6AABD889">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（一）乙方应提供详细的服务标准和服务承诺，服务标准应当符合国家、行业和地方相关服务标准。</w:t>
      </w:r>
    </w:p>
    <w:p w14:paraId="5D9EEEBD">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（二）在服务期限内，乙方不得干扰或阻碍甲方对该办公区域和公共区域的正常使用。</w:t>
      </w:r>
    </w:p>
    <w:p w14:paraId="3539A2E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（三）乙方在提供服务时因管理不当或未尽义务，导致甲方或第三方人身损害或财产损失的，应承担全部责任和费用。</w:t>
      </w:r>
    </w:p>
    <w:p w14:paraId="7F2A3986">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（四）乙方须接受甲方的各类检查考核，甲方有权根据有关规定对质量考核标准及奖惩办法作相应的修改。</w:t>
      </w:r>
    </w:p>
    <w:p w14:paraId="51D4F36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（五）合同期内，因乙方管理不善且负主要责任，造成重大损失和影响，甲方有权终止合同，经济损失和法律责任由乙方承担。</w:t>
      </w:r>
    </w:p>
    <w:p w14:paraId="5B55C14C">
      <w:pPr>
        <w:spacing w:before="230" w:beforeLines="50"/>
        <w:jc w:val="both"/>
        <w:rPr>
          <w:rFonts w:cs="Calibri Light"/>
          <w:b/>
        </w:rPr>
      </w:pPr>
      <w:r>
        <w:rPr>
          <w:rFonts w:cs="Calibri Light"/>
          <w:b/>
        </w:rPr>
        <w:t>五、双方的权利和义务</w:t>
      </w:r>
    </w:p>
    <w:p w14:paraId="03E55EB9">
      <w:pPr>
        <w:wordWrap w:val="0"/>
        <w:ind w:firstLine="480" w:firstLineChars="200"/>
        <w:jc w:val="both"/>
      </w:pPr>
      <w:r>
        <w:t>（一）甲方的权利和义务</w:t>
      </w:r>
    </w:p>
    <w:p w14:paraId="6C2588C6">
      <w:pPr>
        <w:wordWrap w:val="0"/>
        <w:ind w:firstLine="480" w:firstLineChars="200"/>
        <w:jc w:val="both"/>
      </w:pPr>
      <w:r>
        <w:rPr>
          <w:rFonts w:hint="eastAsia"/>
        </w:rPr>
        <w:t>1、甲方有权对乙方人员的工作情况及纪律作风监督检查，明确员工职责范围，对工作中不负责任、违反管理规定的人员，有权提出辞退要求，情况属实，乙方应无条件予以执行。</w:t>
      </w:r>
    </w:p>
    <w:p w14:paraId="76FCF63C">
      <w:pPr>
        <w:wordWrap w:val="0"/>
        <w:ind w:firstLine="480" w:firstLineChars="200"/>
        <w:jc w:val="both"/>
      </w:pPr>
      <w:r>
        <w:rPr>
          <w:rFonts w:hint="eastAsia"/>
        </w:rPr>
        <w:t>2、甲方不得指派服务人员从事与物业服务无关的事情。</w:t>
      </w:r>
    </w:p>
    <w:p w14:paraId="5FA75F9E">
      <w:pPr>
        <w:wordWrap w:val="0"/>
        <w:ind w:firstLine="480" w:firstLineChars="200"/>
        <w:jc w:val="both"/>
      </w:pPr>
      <w:r>
        <w:rPr>
          <w:rFonts w:hint="eastAsia"/>
        </w:rPr>
        <w:t>3、甲方应按时付给乙方服务费用。</w:t>
      </w:r>
    </w:p>
    <w:p w14:paraId="330C169A">
      <w:pPr>
        <w:wordWrap w:val="0"/>
        <w:ind w:firstLine="480" w:firstLineChars="200"/>
        <w:jc w:val="both"/>
      </w:pPr>
      <w:r>
        <w:t>（二）乙方的权利和义务</w:t>
      </w:r>
    </w:p>
    <w:p w14:paraId="0C03397E">
      <w:pPr>
        <w:wordWrap w:val="0"/>
        <w:ind w:firstLine="480" w:firstLineChars="200"/>
        <w:jc w:val="both"/>
      </w:pPr>
      <w:r>
        <w:rPr>
          <w:rFonts w:hint="eastAsia"/>
        </w:rPr>
        <w:t>1、按合同要求给甲方派出合格的服务人员，依据岗位职责结合甲方交予的任务执行服务工作；遵守甲方制定的各项规章制度，为甲方提供保障服务。</w:t>
      </w:r>
    </w:p>
    <w:p w14:paraId="72C16093">
      <w:pPr>
        <w:wordWrap w:val="0"/>
        <w:ind w:firstLine="480" w:firstLineChars="200"/>
        <w:jc w:val="both"/>
      </w:pPr>
      <w:r>
        <w:rPr>
          <w:rFonts w:hint="eastAsia"/>
        </w:rPr>
        <w:t>2、乙方人员在上岗期间要着装整洁、仪表端庄，坚守岗位、遵守纪律、认真负责。</w:t>
      </w:r>
    </w:p>
    <w:p w14:paraId="7FA2E461">
      <w:pPr>
        <w:wordWrap w:val="0"/>
        <w:ind w:firstLine="480" w:firstLineChars="200"/>
        <w:jc w:val="both"/>
      </w:pPr>
      <w:r>
        <w:rPr>
          <w:rFonts w:hint="eastAsia"/>
        </w:rPr>
        <w:t>3、乙方定期征求甲方的意见，以便及时沟通并做好服务工作。</w:t>
      </w:r>
    </w:p>
    <w:p w14:paraId="27205C8B">
      <w:pPr>
        <w:wordWrap w:val="0"/>
        <w:ind w:firstLine="480" w:firstLineChars="200"/>
        <w:jc w:val="both"/>
      </w:pPr>
      <w:r>
        <w:rPr>
          <w:rFonts w:hint="eastAsia"/>
        </w:rPr>
        <w:t>4、乙方人员因工作失职或疏忽直接造成损失，由乙方处理并承担相关责任。</w:t>
      </w:r>
    </w:p>
    <w:p w14:paraId="1F8B0B5A">
      <w:pPr>
        <w:wordWrap w:val="0"/>
        <w:ind w:firstLine="480" w:firstLineChars="200"/>
        <w:jc w:val="both"/>
      </w:pPr>
      <w:r>
        <w:rPr>
          <w:rFonts w:hint="eastAsia"/>
        </w:rPr>
        <w:t>5、乙方负责现场人员的日常管理和业务培训。</w:t>
      </w:r>
    </w:p>
    <w:p w14:paraId="343F40C8">
      <w:pPr>
        <w:wordWrap w:val="0"/>
        <w:ind w:firstLine="480" w:firstLineChars="200"/>
        <w:jc w:val="both"/>
      </w:pPr>
      <w:r>
        <w:rPr>
          <w:rFonts w:hint="eastAsia"/>
        </w:rPr>
        <w:t>6、本项目所有的设备、耗材、清洁试剂全部由乙方提供。</w:t>
      </w:r>
    </w:p>
    <w:p w14:paraId="184C8B2C">
      <w:pPr>
        <w:wordWrap w:val="0"/>
        <w:ind w:firstLine="480" w:firstLineChars="200"/>
        <w:jc w:val="both"/>
      </w:pPr>
      <w:r>
        <w:rPr>
          <w:rFonts w:hint="eastAsia"/>
        </w:rPr>
        <w:t>7、设备须由正规厂家生产，不得存在安全风险、不得影响每日正常工作。</w:t>
      </w:r>
    </w:p>
    <w:p w14:paraId="4B83D0FA">
      <w:pPr>
        <w:spacing w:before="230" w:beforeLines="50"/>
        <w:jc w:val="both"/>
        <w:rPr>
          <w:rFonts w:cs="Calibri Light"/>
          <w:b/>
        </w:rPr>
      </w:pPr>
      <w:r>
        <w:rPr>
          <w:rFonts w:cs="Calibri Light"/>
          <w:b/>
        </w:rPr>
        <w:t>六、验收</w:t>
      </w:r>
    </w:p>
    <w:p w14:paraId="42BF9E03">
      <w:pPr>
        <w:wordWrap w:val="0"/>
        <w:ind w:firstLine="480" w:firstLineChars="200"/>
        <w:jc w:val="both"/>
      </w:pPr>
      <w:r>
        <w:t>（一）服务期满后，甲方根据磋商文件和响应文件及相关文件，进行验收，确认服务标准和服务方式是否达到采购要求。验收合格后，填写政府采购项目验收单（一式伍份）作为对项目的最终认可。</w:t>
      </w:r>
    </w:p>
    <w:p w14:paraId="4C1DA18C">
      <w:pPr>
        <w:wordWrap w:val="0"/>
        <w:ind w:firstLine="480" w:firstLineChars="200"/>
        <w:jc w:val="both"/>
      </w:pPr>
      <w:r>
        <w:t>（</w:t>
      </w:r>
      <w:r>
        <w:rPr>
          <w:rFonts w:hint="eastAsia"/>
        </w:rPr>
        <w:t>二</w:t>
      </w:r>
      <w:r>
        <w:t>）乙方向甲方提供服务过程中的所有资料，以便甲方日后管理。</w:t>
      </w:r>
    </w:p>
    <w:p w14:paraId="27CB4423">
      <w:pPr>
        <w:wordWrap w:val="0"/>
        <w:ind w:firstLine="480" w:firstLineChars="200"/>
        <w:jc w:val="both"/>
      </w:pPr>
      <w:r>
        <w:t>（</w:t>
      </w:r>
      <w:r>
        <w:rPr>
          <w:rFonts w:hint="eastAsia"/>
        </w:rPr>
        <w:t>三</w:t>
      </w:r>
      <w:r>
        <w:t>）验收依据：</w:t>
      </w:r>
    </w:p>
    <w:p w14:paraId="3C01C91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w:t>
      </w:r>
      <w:r>
        <w:rPr>
          <w:rFonts w:asciiTheme="minorHAnsi" w:hAnsiTheme="minorHAnsi" w:eastAsiaTheme="minorEastAsia"/>
          <w:sz w:val="24"/>
          <w:szCs w:val="24"/>
        </w:rPr>
        <w:t>磋商文件、响应文件、澄清表（函）；</w:t>
      </w:r>
    </w:p>
    <w:p w14:paraId="2B8CFB3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w:t>
      </w:r>
      <w:r>
        <w:rPr>
          <w:rFonts w:asciiTheme="minorHAnsi" w:hAnsiTheme="minorHAnsi" w:eastAsiaTheme="minorEastAsia"/>
          <w:sz w:val="24"/>
          <w:szCs w:val="24"/>
        </w:rPr>
        <w:t>本合同及附件文本；</w:t>
      </w:r>
    </w:p>
    <w:p w14:paraId="5A8DF76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w:t>
      </w:r>
      <w:r>
        <w:rPr>
          <w:rFonts w:hint="eastAsia" w:asciiTheme="minorHAnsi" w:hAnsiTheme="minorHAnsi" w:eastAsiaTheme="minorEastAsia"/>
          <w:sz w:val="24"/>
          <w:szCs w:val="24"/>
        </w:rPr>
        <w:t>、</w:t>
      </w:r>
      <w:r>
        <w:rPr>
          <w:rFonts w:asciiTheme="minorHAnsi" w:hAnsiTheme="minorHAnsi" w:eastAsiaTheme="minorEastAsia"/>
          <w:sz w:val="24"/>
          <w:szCs w:val="24"/>
        </w:rPr>
        <w:t>国家相应的标准、规范。</w:t>
      </w:r>
    </w:p>
    <w:p w14:paraId="1358C10D">
      <w:pPr>
        <w:spacing w:before="230" w:beforeLines="50"/>
        <w:jc w:val="both"/>
        <w:rPr>
          <w:rFonts w:cs="Calibri Light"/>
          <w:b/>
        </w:rPr>
      </w:pPr>
      <w:r>
        <w:rPr>
          <w:rFonts w:cs="Calibri Light"/>
          <w:b/>
        </w:rPr>
        <w:t>七、违约责任</w:t>
      </w:r>
    </w:p>
    <w:p w14:paraId="26450B13">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未按合同要求提供服务或服务质量不能满足合同要求，甲方应当将乙方违约的情况以及拟采取的措施以书面形式报政府采购监管部门，根据政府采购监管部门的处理意见，甲方有权依据《中华人民共和国民法典》有关条款及合同约定终止合同，并要求乙方承担违约责任。同时，政府采购监管部门有权依据《中华人民共和国政府采购法》及相关法律法规对乙方的违法行为进行相应的处罚。</w:t>
      </w:r>
    </w:p>
    <w:p w14:paraId="4E3EDB02">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（二）由双方按《中华人民共和国民法典》中的平等原则协商后补充。</w:t>
      </w:r>
    </w:p>
    <w:p w14:paraId="373B5981">
      <w:pPr>
        <w:spacing w:before="230" w:beforeLines="50"/>
        <w:jc w:val="both"/>
        <w:rPr>
          <w:rFonts w:cs="Calibri Light"/>
          <w:b/>
        </w:rPr>
      </w:pPr>
      <w:r>
        <w:rPr>
          <w:rFonts w:cs="Calibri Light"/>
          <w:b/>
        </w:rPr>
        <w:t>八、争议解决</w:t>
      </w:r>
    </w:p>
    <w:p w14:paraId="51EC36F2">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（一）本合同适用法律为中华人民共和国法律。</w:t>
      </w:r>
    </w:p>
    <w:p w14:paraId="20D0CFDA">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（二）凡与本合同有关的一切争议，双方应通过友好协商解决。如经协商后仍不能达成协议时，任何一方都有权向甲方所在地有管辖权的人民法院起诉。</w:t>
      </w:r>
    </w:p>
    <w:p w14:paraId="558B1EDB">
      <w:pPr>
        <w:spacing w:before="230" w:beforeLines="50"/>
        <w:jc w:val="both"/>
        <w:rPr>
          <w:rFonts w:cs="Calibri Light"/>
          <w:b/>
        </w:rPr>
      </w:pPr>
      <w:r>
        <w:rPr>
          <w:rFonts w:hint="eastAsia" w:cs="Calibri Light"/>
          <w:b/>
        </w:rPr>
        <w:t>九</w:t>
      </w:r>
      <w:r>
        <w:rPr>
          <w:rFonts w:cs="Calibri Light"/>
          <w:b/>
        </w:rPr>
        <w:t>、合同生效及其他</w:t>
      </w:r>
    </w:p>
    <w:p w14:paraId="552BA70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14:paraId="06B4825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hint="eastAsia" w:asciiTheme="minorHAnsi" w:hAnsiTheme="minorHAnsi" w:eastAsiaTheme="minorEastAsia"/>
          <w:sz w:val="24"/>
          <w:szCs w:val="24"/>
          <w:u w:val="single"/>
        </w:rPr>
        <w:t>陆</w:t>
      </w:r>
      <w:r>
        <w:rPr>
          <w:rFonts w:asciiTheme="minorHAnsi" w:hAnsiTheme="minorHAnsi" w:eastAsiaTheme="minorEastAsia"/>
          <w:sz w:val="24"/>
          <w:szCs w:val="24"/>
        </w:rPr>
        <w:t>份，甲方执</w:t>
      </w:r>
      <w:r>
        <w:rPr>
          <w:rFonts w:hint="eastAsia" w:asciiTheme="minorHAnsi" w:hAnsiTheme="minorHAnsi" w:eastAsiaTheme="minorEastAsia"/>
          <w:sz w:val="24"/>
          <w:szCs w:val="24"/>
          <w:u w:val="single"/>
        </w:rPr>
        <w:t>肆</w:t>
      </w:r>
      <w:r>
        <w:rPr>
          <w:rFonts w:asciiTheme="minorHAnsi" w:hAnsiTheme="minorHAnsi" w:eastAsiaTheme="minorEastAsia"/>
          <w:sz w:val="24"/>
          <w:szCs w:val="24"/>
        </w:rPr>
        <w:t>份，乙方执</w:t>
      </w:r>
      <w:r>
        <w:rPr>
          <w:rFonts w:hint="eastAsia" w:asciiTheme="minorHAnsi" w:hAnsiTheme="minorHAnsi" w:eastAsiaTheme="minorEastAsia"/>
          <w:sz w:val="24"/>
          <w:szCs w:val="24"/>
          <w:u w:val="single"/>
        </w:rPr>
        <w:t>贰</w:t>
      </w:r>
      <w:r>
        <w:rPr>
          <w:rFonts w:asciiTheme="minorHAnsi" w:hAnsiTheme="minorHAnsi" w:eastAsiaTheme="minorEastAsia"/>
          <w:sz w:val="24"/>
          <w:szCs w:val="24"/>
        </w:rPr>
        <w:t>份。</w:t>
      </w:r>
    </w:p>
    <w:p w14:paraId="43187513">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（三）未尽事宜由双方在签订合同时具体明确或签订补充合同。</w:t>
      </w:r>
    </w:p>
    <w:p w14:paraId="6FD31474"/>
    <w:p w14:paraId="0FC4A7EB">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14" w:name="_Toc212455742"/>
      <w:r>
        <w:rPr>
          <w:rFonts w:hint="eastAsia"/>
        </w:rPr>
        <w:t>第五章　响应文件构成及格式</w:t>
      </w:r>
      <w:bookmarkEnd w:id="14"/>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38C61182">
      <w:pPr>
        <w:jc w:val="center"/>
        <w:rPr>
          <w:rFonts w:cstheme="minorHAnsi"/>
          <w:b/>
          <w:color w:val="C00000"/>
          <w:sz w:val="44"/>
          <w:szCs w:val="44"/>
        </w:rPr>
      </w:pPr>
      <w:r>
        <w:rPr>
          <w:rFonts w:cstheme="minorHAnsi"/>
          <w:b/>
          <w:color w:val="C00000"/>
          <w:sz w:val="36"/>
          <w:szCs w:val="36"/>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14:paraId="5D6A6AE5">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第一次报价表</w:t>
      </w:r>
    </w:p>
    <w:p w14:paraId="3004DCD5">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磋商报价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rFonts w:hint="eastAsia"/>
                <w:b/>
              </w:rPr>
              <w:t>服务</w:t>
            </w:r>
            <w:r>
              <w:rPr>
                <w:b/>
              </w:rPr>
              <w:t>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〖注〗以下情况按无效响应处理：</w:t>
      </w:r>
    </w:p>
    <w:p w14:paraId="46A071C3">
      <w:pPr>
        <w:ind w:firstLine="480" w:firstLineChars="200"/>
        <w:jc w:val="both"/>
        <w:rPr>
          <w:kern w:val="24"/>
        </w:rPr>
      </w:pPr>
      <w:r>
        <w:rPr>
          <w:kern w:val="24"/>
        </w:rPr>
        <w:t>1．A栏未按阿拉伯小写金额样式填写，B栏未填写</w:t>
      </w:r>
      <w:r>
        <w:rPr>
          <w:rFonts w:hint="eastAsia"/>
          <w:kern w:val="24"/>
        </w:rPr>
        <w:t>服务</w:t>
      </w:r>
      <w:r>
        <w:rPr>
          <w:kern w:val="24"/>
        </w:rPr>
        <w:t>期。</w:t>
      </w:r>
    </w:p>
    <w:p w14:paraId="6F198107">
      <w:pPr>
        <w:ind w:firstLine="480" w:firstLineChars="200"/>
        <w:jc w:val="both"/>
        <w:rPr>
          <w:kern w:val="24"/>
        </w:rPr>
      </w:pPr>
      <w:r>
        <w:rPr>
          <w:kern w:val="24"/>
        </w:rPr>
        <w:t>2．本表A栏值与分项报价表中的“合计”值不一致的。</w:t>
      </w:r>
    </w:p>
    <w:p w14:paraId="4077CEB2">
      <w:pPr>
        <w:ind w:firstLine="480" w:firstLineChars="200"/>
        <w:jc w:val="both"/>
        <w:rPr>
          <w:kern w:val="24"/>
        </w:rPr>
      </w:pPr>
      <w:r>
        <w:rPr>
          <w:kern w:val="24"/>
        </w:rPr>
        <w:t>3．</w:t>
      </w:r>
      <w:r>
        <w:rPr>
          <w:rFonts w:hint="eastAsia"/>
          <w:kern w:val="24"/>
        </w:rPr>
        <w:t>磋商报价</w:t>
      </w:r>
      <w:r>
        <w:rPr>
          <w:kern w:val="24"/>
        </w:rPr>
        <w:t>超过本</w:t>
      </w:r>
      <w:r>
        <w:rPr>
          <w:rFonts w:hint="eastAsia"/>
          <w:kern w:val="24"/>
        </w:rPr>
        <w:t>采购包/项目</w:t>
      </w:r>
      <w:r>
        <w:rPr>
          <w:kern w:val="24"/>
        </w:rPr>
        <w:t>预算的。</w:t>
      </w:r>
    </w:p>
    <w:p w14:paraId="1FD46F10">
      <w:pPr>
        <w:pStyle w:val="40"/>
        <w:jc w:val="both"/>
        <w:rPr>
          <w:rFonts w:hAnsi="华文仿宋"/>
        </w:rPr>
      </w:pPr>
    </w:p>
    <w:p w14:paraId="60CE0BFD">
      <w:pPr>
        <w:pStyle w:val="40"/>
        <w:ind w:firstLine="560" w:firstLineChars="200"/>
        <w:jc w:val="both"/>
        <w:rPr>
          <w:rFonts w:hAnsi="华文仿宋"/>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w:t>
      </w:r>
      <w:r>
        <w:rPr>
          <w:rFonts w:ascii="黑体" w:hAnsi="黑体" w:eastAsia="黑体" w:cs="Calibri Light"/>
          <w:color w:val="1F4E79"/>
          <w:sz w:val="32"/>
          <w:szCs w:val="36"/>
        </w:rPr>
        <w:t>报价表</w:t>
      </w:r>
    </w:p>
    <w:p w14:paraId="5C1980AD">
      <w:pPr>
        <w:pStyle w:val="40"/>
        <w:tabs>
          <w:tab w:val="right" w:pos="13892"/>
        </w:tabs>
        <w:jc w:val="both"/>
        <w:rPr>
          <w:rFonts w:asciiTheme="minorHAnsi" w:hAnsiTheme="minorHAnsi" w:eastAsiaTheme="minorEastAsia"/>
          <w:vanish/>
          <w:color w:val="00B05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w:t>
      </w:r>
    </w:p>
    <w:p w14:paraId="0B69B6ED">
      <w:pPr>
        <w:tabs>
          <w:tab w:val="right" w:pos="9070"/>
        </w:tabs>
        <w:spacing w:line="440" w:lineRule="exact"/>
        <w:ind w:firstLine="720" w:firstLineChars="300"/>
      </w:pPr>
      <w:r>
        <w:t>2．表格空间不足时，可以自行扩展。</w:t>
      </w:r>
    </w:p>
    <w:p w14:paraId="68554F52">
      <w:r>
        <w:br w:type="page"/>
      </w: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2249DF91">
      <w:pPr>
        <w:widowControl w:val="0"/>
        <w:spacing w:before="120" w:after="60"/>
      </w:pPr>
      <w: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153C29E3">
      <w:pPr>
        <w:ind w:firstLine="480" w:firstLineChars="200"/>
        <w:jc w:val="both"/>
      </w:pPr>
      <w:r>
        <w:t>成交供应商的声明函\证明函将随成交结果一同公布，接受社会监督。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21E4CA65">
      <w:pPr>
        <w:tabs>
          <w:tab w:val="left" w:pos="5670"/>
        </w:tabs>
        <w:ind w:firstLine="480" w:firstLineChars="200"/>
        <w:jc w:val="both"/>
        <w:rPr>
          <w:rFonts w:asciiTheme="minorEastAsia" w:hAnsiTheme="minorEastAsia" w:cstheme="minorHAnsi"/>
          <w:b/>
          <w:color w:val="C00000"/>
        </w:rPr>
      </w:pPr>
    </w:p>
    <w:p w14:paraId="2D5C7ED3">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507A35F3">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7B74882F">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40997C45">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5B412D05">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6E68FD5E">
      <w:pPr>
        <w:ind w:firstLine="480" w:firstLineChars="200"/>
        <w:jc w:val="both"/>
      </w:pPr>
      <w:r>
        <w:t>以上企业，不属于大企业的分支机构，不存在控股股东为大企业的情形，也不存在与大企业的负责人为同一人的情形。</w:t>
      </w:r>
    </w:p>
    <w:p w14:paraId="4CCCF636">
      <w:pPr>
        <w:ind w:firstLine="480" w:firstLineChars="200"/>
        <w:jc w:val="both"/>
      </w:pPr>
      <w:r>
        <w:t>本企业对上述声明内容的真实性负责。如有虚假，将依法承担相应责任。</w:t>
      </w:r>
    </w:p>
    <w:p w14:paraId="6E0E4138">
      <w:pPr>
        <w:ind w:firstLine="480" w:firstLineChars="200"/>
        <w:jc w:val="both"/>
      </w:pPr>
    </w:p>
    <w:p w14:paraId="33E8E5C0">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08C2B984">
      <w:pPr>
        <w:tabs>
          <w:tab w:val="left" w:pos="5670"/>
        </w:tabs>
        <w:ind w:firstLine="480" w:firstLineChars="200"/>
        <w:jc w:val="both"/>
        <w:rPr>
          <w:rFonts w:cs="Calibri Light"/>
          <w:color w:val="000000"/>
        </w:rPr>
      </w:pPr>
      <w:r>
        <w:rPr>
          <w:rFonts w:cs="Calibri Light"/>
          <w:color w:val="000000"/>
        </w:rPr>
        <w:t>日　期：　　年　月　日</w:t>
      </w:r>
    </w:p>
    <w:p w14:paraId="3FF906A3">
      <w:pPr>
        <w:tabs>
          <w:tab w:val="left" w:pos="5670"/>
        </w:tabs>
        <w:ind w:firstLine="480" w:firstLineChars="200"/>
        <w:jc w:val="both"/>
        <w:rPr>
          <w:rFonts w:cs="Calibri Light"/>
          <w:color w:val="000000"/>
        </w:rPr>
      </w:pP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r>
        <w:rPr>
          <w:rFonts w:ascii="Calibri" w:hAnsi="Calibri" w:eastAsia="黑体"/>
          <w:kern w:val="28"/>
          <w:sz w:val="28"/>
        </w:rPr>
        <w:br w:type="page"/>
      </w:r>
    </w:p>
    <w:p w14:paraId="793BBEE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7C0D6F00">
      <w:pPr>
        <w:jc w:val="both"/>
        <w:rPr>
          <w:rFonts w:ascii="Calibri" w:hAnsi="Calibri" w:eastAsia="黑体"/>
          <w:kern w:val="28"/>
          <w:sz w:val="28"/>
        </w:rPr>
      </w:pPr>
    </w:p>
    <w:p w14:paraId="7E7DCCF2">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outlineLvl w:val="2"/>
        <w:rPr>
          <w:rFonts w:ascii="黑体" w:hAnsi="黑体" w:eastAsia="黑体"/>
          <w:sz w:val="28"/>
          <w:szCs w:val="28"/>
        </w:rPr>
      </w:pPr>
      <w:r>
        <w:rPr>
          <w:rFonts w:ascii="黑体" w:hAnsi="黑体" w:eastAsia="黑体"/>
          <w:sz w:val="28"/>
          <w:szCs w:val="28"/>
        </w:rPr>
        <w:t>（一）技术（服务）条款响应</w:t>
      </w:r>
    </w:p>
    <w:p w14:paraId="77EAE1D6">
      <w:pPr>
        <w:jc w:val="center"/>
        <w:rPr>
          <w:rFonts w:cstheme="minorHAnsi"/>
          <w:b/>
        </w:rPr>
      </w:pPr>
      <w:r>
        <w:rPr>
          <w:rFonts w:hint="eastAsia" w:cstheme="minorHAnsi"/>
          <w:b/>
        </w:rPr>
        <w:t>技术（服务）部分响应方案</w:t>
      </w:r>
    </w:p>
    <w:p w14:paraId="3309612C">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14:paraId="09E19919">
      <w:pPr>
        <w:rPr>
          <w:rFonts w:asciiTheme="minorEastAsia" w:hAnsiTheme="minorEastAsia"/>
        </w:rPr>
      </w:pPr>
      <w:r>
        <w:rPr>
          <w:rFonts w:hint="eastAsia" w:asciiTheme="minorEastAsia" w:hAnsiTheme="minorEastAsia"/>
        </w:rPr>
        <w:t>1．总体管理方案</w:t>
      </w:r>
    </w:p>
    <w:p w14:paraId="2EBB0BD4">
      <w:pPr>
        <w:rPr>
          <w:rFonts w:asciiTheme="minorEastAsia" w:hAnsiTheme="minorEastAsia"/>
        </w:rPr>
      </w:pPr>
    </w:p>
    <w:p w14:paraId="58C1A340">
      <w:pPr>
        <w:rPr>
          <w:rFonts w:asciiTheme="minorEastAsia" w:hAnsiTheme="minorEastAsia"/>
        </w:rPr>
      </w:pPr>
      <w:r>
        <w:rPr>
          <w:rFonts w:asciiTheme="minorEastAsia" w:hAnsiTheme="minorEastAsia"/>
        </w:rPr>
        <w:t>2</w:t>
      </w:r>
      <w:r>
        <w:rPr>
          <w:rFonts w:hint="eastAsia" w:asciiTheme="minorEastAsia" w:hAnsiTheme="minorEastAsia"/>
        </w:rPr>
        <w:t>．分项服务实施方案</w:t>
      </w:r>
    </w:p>
    <w:p w14:paraId="2386439C">
      <w:pPr>
        <w:rPr>
          <w:rFonts w:asciiTheme="minorEastAsia" w:hAnsiTheme="minorEastAsia"/>
        </w:rPr>
      </w:pPr>
    </w:p>
    <w:p w14:paraId="70DC7FC0">
      <w:pPr>
        <w:rPr>
          <w:rFonts w:asciiTheme="minorEastAsia" w:hAnsiTheme="minorEastAsia"/>
        </w:rPr>
      </w:pPr>
      <w:r>
        <w:rPr>
          <w:rFonts w:hint="eastAsia" w:asciiTheme="minorEastAsia" w:hAnsiTheme="minorEastAsia"/>
        </w:rPr>
        <w:t>3</w:t>
      </w:r>
      <w:r>
        <w:rPr>
          <w:rFonts w:asciiTheme="minorEastAsia" w:hAnsiTheme="minorEastAsia"/>
        </w:rPr>
        <w:t>. 应急预案</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sz w:val="21"/>
                <w:szCs w:val="21"/>
              </w:rPr>
              <w:t>磋商文件</w:t>
            </w:r>
          </w:p>
        </w:tc>
        <w:tc>
          <w:tcPr>
            <w:tcW w:w="3432" w:type="dxa"/>
            <w:shd w:val="clear" w:color="auto" w:fill="F1F1F1" w:themeFill="background1" w:themeFillShade="F2"/>
            <w:vAlign w:val="center"/>
          </w:tcPr>
          <w:p w14:paraId="75A1598A">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7CA100E9">
      <w:pPr>
        <w:rPr>
          <w:i/>
          <w:color w:val="C00000"/>
        </w:rPr>
      </w:pPr>
    </w:p>
    <w:p w14:paraId="47ACE9F3">
      <w:pPr>
        <w:jc w:val="center"/>
        <w:rPr>
          <w:rFonts w:cstheme="minorHAnsi"/>
          <w:b/>
        </w:rPr>
      </w:pPr>
      <w:r>
        <w:rPr>
          <w:rFonts w:cstheme="minorHAnsi"/>
          <w:b/>
        </w:rPr>
        <w:t>2</w:t>
      </w:r>
      <w:r>
        <w:rPr>
          <w:rFonts w:hint="eastAsia" w:cstheme="minorHAnsi"/>
          <w:b/>
        </w:rPr>
        <w:t>.商务评审部分方案</w:t>
      </w:r>
    </w:p>
    <w:p w14:paraId="32EFF2EE">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A475221">
      <w:pPr>
        <w:rPr>
          <w:rFonts w:asciiTheme="minorEastAsia" w:hAnsiTheme="minorEastAsia" w:cstheme="minorHAnsi"/>
          <w:b/>
          <w:color w:val="000000"/>
          <w:kern w:val="24"/>
        </w:rPr>
      </w:pPr>
    </w:p>
    <w:p w14:paraId="7B14BD4B">
      <w:pPr>
        <w:pStyle w:val="68"/>
        <w:numPr>
          <w:ilvl w:val="0"/>
          <w:numId w:val="4"/>
        </w:numPr>
        <w:rPr>
          <w:rFonts w:asciiTheme="minorEastAsia" w:hAnsiTheme="minorEastAsia" w:cstheme="minorHAnsi"/>
          <w:b/>
          <w:color w:val="000000"/>
          <w:kern w:val="24"/>
        </w:rPr>
      </w:pPr>
      <w:r>
        <w:rPr>
          <w:rFonts w:hint="eastAsia" w:asciiTheme="minorEastAsia" w:hAnsiTheme="minorEastAsia" w:cstheme="minorHAnsi"/>
          <w:b/>
          <w:color w:val="000000"/>
          <w:kern w:val="24"/>
        </w:rPr>
        <w:t>人员配备方案</w:t>
      </w:r>
    </w:p>
    <w:p w14:paraId="33042780">
      <w:pPr>
        <w:jc w:val="center"/>
        <w:rPr>
          <w:rFonts w:asciiTheme="minorEastAsia" w:hAnsiTheme="minorEastAsia" w:cstheme="minorHAnsi"/>
          <w:b/>
          <w:color w:val="000000"/>
          <w:kern w:val="24"/>
        </w:rPr>
      </w:pPr>
      <w:r>
        <w:rPr>
          <w:rFonts w:hint="eastAsia" w:asciiTheme="minorEastAsia" w:hAnsiTheme="minorEastAsia" w:cstheme="minorHAnsi"/>
          <w:b/>
          <w:color w:val="000000"/>
          <w:kern w:val="24"/>
        </w:rPr>
        <w:t>拟派项目团队及人员情况表</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7EAC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65AEE1A7">
            <w:pPr>
              <w:jc w:val="center"/>
              <w:rPr>
                <w:rFonts w:asciiTheme="minorEastAsia" w:hAnsiTheme="minorEastAsia" w:cstheme="minorHAnsi"/>
                <w:b/>
                <w:color w:val="000000"/>
                <w:sz w:val="21"/>
                <w:szCs w:val="21"/>
              </w:rPr>
            </w:pPr>
            <w:bookmarkStart w:id="15" w:name="OLE_LINK19"/>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0113A3C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697FCB08">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669CF0C2">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2DCD3BA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3575AB0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E2F7BC4">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3C03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86CAC38">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6C17A6B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263105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D77E35B">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B59E18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22E4FE9">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5BC833F">
            <w:pPr>
              <w:jc w:val="center"/>
              <w:rPr>
                <w:rFonts w:asciiTheme="minorEastAsia" w:hAnsiTheme="minorEastAsia" w:cstheme="minorHAnsi"/>
                <w:color w:val="000000"/>
                <w:sz w:val="21"/>
                <w:szCs w:val="21"/>
              </w:rPr>
            </w:pPr>
          </w:p>
        </w:tc>
      </w:tr>
      <w:tr w14:paraId="13A2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DB7DA10">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1135A0DC">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168D3F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D978AFC">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9BBB57E">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312E9BB5">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4184F2F">
            <w:pPr>
              <w:jc w:val="center"/>
              <w:rPr>
                <w:rFonts w:asciiTheme="minorEastAsia" w:hAnsiTheme="minorEastAsia" w:cstheme="minorHAnsi"/>
                <w:color w:val="000000"/>
                <w:sz w:val="21"/>
                <w:szCs w:val="21"/>
              </w:rPr>
            </w:pPr>
          </w:p>
        </w:tc>
      </w:tr>
      <w:tr w14:paraId="352A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41A2A98">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5AE0F86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3A6C34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F9DC97E">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347ACAE">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7FB87B1B">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357AA3A">
            <w:pPr>
              <w:jc w:val="center"/>
              <w:rPr>
                <w:rFonts w:asciiTheme="minorEastAsia" w:hAnsiTheme="minorEastAsia" w:cstheme="minorHAnsi"/>
                <w:color w:val="000000"/>
                <w:sz w:val="21"/>
                <w:szCs w:val="21"/>
              </w:rPr>
            </w:pPr>
          </w:p>
        </w:tc>
      </w:tr>
      <w:tr w14:paraId="7569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36AD198">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23F7772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7A20EB1">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F1A971C">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A23DBD9">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CB5E308">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8D38385">
            <w:pPr>
              <w:jc w:val="center"/>
              <w:rPr>
                <w:rFonts w:asciiTheme="minorEastAsia" w:hAnsiTheme="minorEastAsia" w:cstheme="minorHAnsi"/>
                <w:color w:val="000000"/>
                <w:sz w:val="21"/>
                <w:szCs w:val="21"/>
              </w:rPr>
            </w:pPr>
          </w:p>
        </w:tc>
      </w:tr>
      <w:tr w14:paraId="522E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7D8C32A">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1C415E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A87F04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C193BE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F1B8CD7">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3EF70D57">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26C79866">
            <w:pPr>
              <w:jc w:val="center"/>
              <w:rPr>
                <w:rFonts w:asciiTheme="minorEastAsia" w:hAnsiTheme="minorEastAsia" w:cstheme="minorHAnsi"/>
                <w:color w:val="000000"/>
                <w:sz w:val="21"/>
                <w:szCs w:val="21"/>
              </w:rPr>
            </w:pPr>
          </w:p>
        </w:tc>
      </w:tr>
      <w:tr w14:paraId="0282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7423649">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22296EE1">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A8F77D8">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CF56598">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D47670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748B6E9">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B9DDF09">
            <w:pPr>
              <w:jc w:val="center"/>
              <w:rPr>
                <w:rFonts w:asciiTheme="minorEastAsia" w:hAnsiTheme="minorEastAsia" w:cstheme="minorHAnsi"/>
                <w:color w:val="000000"/>
                <w:sz w:val="21"/>
                <w:szCs w:val="21"/>
              </w:rPr>
            </w:pPr>
          </w:p>
        </w:tc>
      </w:tr>
      <w:tr w14:paraId="6E29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ADDE543">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DB11EB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EF37DF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E342467">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1655BAE">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87B215D">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06BBD012">
            <w:pPr>
              <w:jc w:val="center"/>
              <w:rPr>
                <w:rFonts w:asciiTheme="minorEastAsia" w:hAnsiTheme="minorEastAsia" w:cstheme="minorHAnsi"/>
                <w:color w:val="000000"/>
                <w:sz w:val="21"/>
                <w:szCs w:val="21"/>
              </w:rPr>
            </w:pPr>
          </w:p>
        </w:tc>
      </w:tr>
      <w:tr w14:paraId="306B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8EFBEB9">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0074965A">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13B8B7B1">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bookmarkEnd w:id="15"/>
    </w:tbl>
    <w:p w14:paraId="2E2E5D0A">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14:paraId="0BB9A80A">
      <w:pPr>
        <w:rPr>
          <w:rFonts w:asciiTheme="minorEastAsia" w:hAnsiTheme="minorEastAsia" w:cstheme="minorHAnsi"/>
          <w:b/>
          <w:color w:val="000000"/>
          <w:kern w:val="24"/>
        </w:rPr>
      </w:pPr>
    </w:p>
    <w:p w14:paraId="6D6D09B5">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．物资装备</w:t>
      </w:r>
    </w:p>
    <w:tbl>
      <w:tblPr>
        <w:tblStyle w:val="24"/>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24E9E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F1F1F1" w:themeFill="background1" w:themeFillShade="F2"/>
            <w:vAlign w:val="center"/>
          </w:tcPr>
          <w:p w14:paraId="494FCA15">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1F1F1" w:themeFill="background1" w:themeFillShade="F2"/>
            <w:vAlign w:val="center"/>
          </w:tcPr>
          <w:p w14:paraId="150859E7">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1F1F1" w:themeFill="background1" w:themeFillShade="F2"/>
            <w:vAlign w:val="center"/>
          </w:tcPr>
          <w:p w14:paraId="7C6DB753">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1F1F1" w:themeFill="background1" w:themeFillShade="F2"/>
            <w:vAlign w:val="center"/>
          </w:tcPr>
          <w:p w14:paraId="181EE523">
            <w:pPr>
              <w:jc w:val="center"/>
              <w:rPr>
                <w:rFonts w:asciiTheme="minorEastAsia" w:hAnsiTheme="minorEastAsia"/>
                <w:b/>
                <w:sz w:val="21"/>
                <w:szCs w:val="21"/>
              </w:rPr>
            </w:pPr>
            <w:r>
              <w:rPr>
                <w:rFonts w:asciiTheme="minorEastAsia" w:hAnsiTheme="minorEastAsia"/>
                <w:b/>
                <w:sz w:val="21"/>
                <w:szCs w:val="21"/>
              </w:rPr>
              <w:t>生产厂家</w:t>
            </w:r>
          </w:p>
        </w:tc>
        <w:tc>
          <w:tcPr>
            <w:tcW w:w="1426" w:type="dxa"/>
            <w:shd w:val="clear" w:color="auto" w:fill="F1F1F1" w:themeFill="background1" w:themeFillShade="F2"/>
            <w:vAlign w:val="center"/>
          </w:tcPr>
          <w:p w14:paraId="74493E76">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1F1F1" w:themeFill="background1" w:themeFillShade="F2"/>
            <w:vAlign w:val="center"/>
          </w:tcPr>
          <w:p w14:paraId="38EE3166">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14:paraId="463AB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3D03FD1B">
            <w:pPr>
              <w:rPr>
                <w:rFonts w:asciiTheme="minorEastAsia" w:hAnsiTheme="minorEastAsia"/>
                <w:sz w:val="21"/>
                <w:szCs w:val="21"/>
              </w:rPr>
            </w:pPr>
          </w:p>
        </w:tc>
        <w:tc>
          <w:tcPr>
            <w:tcW w:w="1576" w:type="dxa"/>
            <w:shd w:val="clear" w:color="auto" w:fill="auto"/>
            <w:vAlign w:val="center"/>
          </w:tcPr>
          <w:p w14:paraId="5D11CECC">
            <w:pPr>
              <w:rPr>
                <w:rFonts w:asciiTheme="minorEastAsia" w:hAnsiTheme="minorEastAsia"/>
                <w:sz w:val="21"/>
                <w:szCs w:val="21"/>
              </w:rPr>
            </w:pPr>
          </w:p>
        </w:tc>
        <w:tc>
          <w:tcPr>
            <w:tcW w:w="1417" w:type="dxa"/>
            <w:shd w:val="clear" w:color="auto" w:fill="auto"/>
            <w:vAlign w:val="center"/>
          </w:tcPr>
          <w:p w14:paraId="0F3747B9">
            <w:pPr>
              <w:rPr>
                <w:rFonts w:asciiTheme="minorEastAsia" w:hAnsiTheme="minorEastAsia"/>
                <w:sz w:val="21"/>
                <w:szCs w:val="21"/>
              </w:rPr>
            </w:pPr>
          </w:p>
        </w:tc>
        <w:tc>
          <w:tcPr>
            <w:tcW w:w="1701" w:type="dxa"/>
            <w:shd w:val="clear" w:color="auto" w:fill="auto"/>
            <w:vAlign w:val="center"/>
          </w:tcPr>
          <w:p w14:paraId="56C72EFD">
            <w:pPr>
              <w:rPr>
                <w:rFonts w:asciiTheme="minorEastAsia" w:hAnsiTheme="minorEastAsia"/>
                <w:sz w:val="21"/>
                <w:szCs w:val="21"/>
              </w:rPr>
            </w:pPr>
          </w:p>
        </w:tc>
        <w:tc>
          <w:tcPr>
            <w:tcW w:w="1426" w:type="dxa"/>
            <w:shd w:val="clear" w:color="auto" w:fill="auto"/>
            <w:vAlign w:val="center"/>
          </w:tcPr>
          <w:p w14:paraId="32629540">
            <w:pPr>
              <w:rPr>
                <w:rFonts w:asciiTheme="minorEastAsia" w:hAnsiTheme="minorEastAsia"/>
                <w:sz w:val="21"/>
                <w:szCs w:val="21"/>
              </w:rPr>
            </w:pPr>
          </w:p>
        </w:tc>
        <w:tc>
          <w:tcPr>
            <w:tcW w:w="1792" w:type="dxa"/>
            <w:shd w:val="clear" w:color="auto" w:fill="auto"/>
            <w:vAlign w:val="center"/>
          </w:tcPr>
          <w:p w14:paraId="0B047CF6">
            <w:pPr>
              <w:rPr>
                <w:rFonts w:asciiTheme="minorEastAsia" w:hAnsiTheme="minorEastAsia"/>
                <w:sz w:val="21"/>
                <w:szCs w:val="21"/>
              </w:rPr>
            </w:pPr>
          </w:p>
        </w:tc>
      </w:tr>
      <w:tr w14:paraId="77243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54DE96C4">
            <w:pPr>
              <w:rPr>
                <w:rFonts w:asciiTheme="minorEastAsia" w:hAnsiTheme="minorEastAsia"/>
                <w:sz w:val="21"/>
                <w:szCs w:val="21"/>
              </w:rPr>
            </w:pPr>
          </w:p>
        </w:tc>
        <w:tc>
          <w:tcPr>
            <w:tcW w:w="1576" w:type="dxa"/>
            <w:shd w:val="clear" w:color="auto" w:fill="auto"/>
            <w:vAlign w:val="center"/>
          </w:tcPr>
          <w:p w14:paraId="7A4AB4DE">
            <w:pPr>
              <w:rPr>
                <w:rFonts w:asciiTheme="minorEastAsia" w:hAnsiTheme="minorEastAsia"/>
                <w:sz w:val="21"/>
                <w:szCs w:val="21"/>
              </w:rPr>
            </w:pPr>
          </w:p>
        </w:tc>
        <w:tc>
          <w:tcPr>
            <w:tcW w:w="1417" w:type="dxa"/>
            <w:shd w:val="clear" w:color="auto" w:fill="auto"/>
            <w:vAlign w:val="center"/>
          </w:tcPr>
          <w:p w14:paraId="1F09966C">
            <w:pPr>
              <w:rPr>
                <w:rFonts w:asciiTheme="minorEastAsia" w:hAnsiTheme="minorEastAsia"/>
                <w:sz w:val="21"/>
                <w:szCs w:val="21"/>
              </w:rPr>
            </w:pPr>
          </w:p>
        </w:tc>
        <w:tc>
          <w:tcPr>
            <w:tcW w:w="1701" w:type="dxa"/>
            <w:shd w:val="clear" w:color="auto" w:fill="auto"/>
            <w:vAlign w:val="center"/>
          </w:tcPr>
          <w:p w14:paraId="4DDC64C1">
            <w:pPr>
              <w:rPr>
                <w:rFonts w:asciiTheme="minorEastAsia" w:hAnsiTheme="minorEastAsia"/>
                <w:sz w:val="21"/>
                <w:szCs w:val="21"/>
              </w:rPr>
            </w:pPr>
          </w:p>
        </w:tc>
        <w:tc>
          <w:tcPr>
            <w:tcW w:w="1426" w:type="dxa"/>
            <w:shd w:val="clear" w:color="auto" w:fill="auto"/>
            <w:vAlign w:val="center"/>
          </w:tcPr>
          <w:p w14:paraId="1B1230CF">
            <w:pPr>
              <w:rPr>
                <w:rFonts w:asciiTheme="minorEastAsia" w:hAnsiTheme="minorEastAsia"/>
                <w:sz w:val="21"/>
                <w:szCs w:val="21"/>
              </w:rPr>
            </w:pPr>
          </w:p>
        </w:tc>
        <w:tc>
          <w:tcPr>
            <w:tcW w:w="1792" w:type="dxa"/>
            <w:shd w:val="clear" w:color="auto" w:fill="auto"/>
            <w:vAlign w:val="center"/>
          </w:tcPr>
          <w:p w14:paraId="23E72FDF">
            <w:pPr>
              <w:rPr>
                <w:rFonts w:asciiTheme="minorEastAsia" w:hAnsiTheme="minorEastAsia"/>
                <w:sz w:val="21"/>
                <w:szCs w:val="21"/>
              </w:rPr>
            </w:pPr>
          </w:p>
        </w:tc>
      </w:tr>
      <w:tr w14:paraId="2E573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43D5EB36">
            <w:pPr>
              <w:rPr>
                <w:rFonts w:asciiTheme="minorEastAsia" w:hAnsiTheme="minorEastAsia"/>
                <w:sz w:val="21"/>
                <w:szCs w:val="21"/>
              </w:rPr>
            </w:pPr>
          </w:p>
        </w:tc>
        <w:tc>
          <w:tcPr>
            <w:tcW w:w="1576" w:type="dxa"/>
            <w:shd w:val="clear" w:color="auto" w:fill="auto"/>
            <w:vAlign w:val="center"/>
          </w:tcPr>
          <w:p w14:paraId="00AD4286">
            <w:pPr>
              <w:rPr>
                <w:rFonts w:asciiTheme="minorEastAsia" w:hAnsiTheme="minorEastAsia"/>
                <w:sz w:val="21"/>
                <w:szCs w:val="21"/>
              </w:rPr>
            </w:pPr>
          </w:p>
        </w:tc>
        <w:tc>
          <w:tcPr>
            <w:tcW w:w="1417" w:type="dxa"/>
            <w:shd w:val="clear" w:color="auto" w:fill="auto"/>
            <w:vAlign w:val="center"/>
          </w:tcPr>
          <w:p w14:paraId="11DDC23C">
            <w:pPr>
              <w:rPr>
                <w:rFonts w:asciiTheme="minorEastAsia" w:hAnsiTheme="minorEastAsia"/>
                <w:sz w:val="21"/>
                <w:szCs w:val="21"/>
              </w:rPr>
            </w:pPr>
          </w:p>
        </w:tc>
        <w:tc>
          <w:tcPr>
            <w:tcW w:w="1701" w:type="dxa"/>
            <w:shd w:val="clear" w:color="auto" w:fill="auto"/>
            <w:vAlign w:val="center"/>
          </w:tcPr>
          <w:p w14:paraId="03712A14">
            <w:pPr>
              <w:rPr>
                <w:rFonts w:asciiTheme="minorEastAsia" w:hAnsiTheme="minorEastAsia"/>
                <w:sz w:val="21"/>
                <w:szCs w:val="21"/>
              </w:rPr>
            </w:pPr>
          </w:p>
        </w:tc>
        <w:tc>
          <w:tcPr>
            <w:tcW w:w="1426" w:type="dxa"/>
            <w:shd w:val="clear" w:color="auto" w:fill="auto"/>
            <w:vAlign w:val="center"/>
          </w:tcPr>
          <w:p w14:paraId="2767FBAD">
            <w:pPr>
              <w:rPr>
                <w:rFonts w:asciiTheme="minorEastAsia" w:hAnsiTheme="minorEastAsia"/>
                <w:sz w:val="21"/>
                <w:szCs w:val="21"/>
              </w:rPr>
            </w:pPr>
          </w:p>
        </w:tc>
        <w:tc>
          <w:tcPr>
            <w:tcW w:w="1792" w:type="dxa"/>
            <w:shd w:val="clear" w:color="auto" w:fill="auto"/>
            <w:vAlign w:val="center"/>
          </w:tcPr>
          <w:p w14:paraId="5B2ED2BB">
            <w:pPr>
              <w:rPr>
                <w:rFonts w:asciiTheme="minorEastAsia" w:hAnsiTheme="minorEastAsia"/>
                <w:sz w:val="21"/>
                <w:szCs w:val="21"/>
              </w:rPr>
            </w:pPr>
          </w:p>
        </w:tc>
      </w:tr>
      <w:tr w14:paraId="7D3CA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64166E07">
            <w:pPr>
              <w:rPr>
                <w:rFonts w:asciiTheme="minorEastAsia" w:hAnsiTheme="minorEastAsia"/>
                <w:sz w:val="21"/>
                <w:szCs w:val="21"/>
              </w:rPr>
            </w:pPr>
          </w:p>
        </w:tc>
        <w:tc>
          <w:tcPr>
            <w:tcW w:w="1576" w:type="dxa"/>
            <w:shd w:val="clear" w:color="auto" w:fill="auto"/>
            <w:vAlign w:val="center"/>
          </w:tcPr>
          <w:p w14:paraId="4B87F183">
            <w:pPr>
              <w:rPr>
                <w:rFonts w:asciiTheme="minorEastAsia" w:hAnsiTheme="minorEastAsia"/>
                <w:sz w:val="21"/>
                <w:szCs w:val="21"/>
              </w:rPr>
            </w:pPr>
          </w:p>
        </w:tc>
        <w:tc>
          <w:tcPr>
            <w:tcW w:w="1417" w:type="dxa"/>
            <w:shd w:val="clear" w:color="auto" w:fill="auto"/>
            <w:vAlign w:val="center"/>
          </w:tcPr>
          <w:p w14:paraId="394908CE">
            <w:pPr>
              <w:rPr>
                <w:rFonts w:asciiTheme="minorEastAsia" w:hAnsiTheme="minorEastAsia"/>
                <w:sz w:val="21"/>
                <w:szCs w:val="21"/>
              </w:rPr>
            </w:pPr>
          </w:p>
        </w:tc>
        <w:tc>
          <w:tcPr>
            <w:tcW w:w="1701" w:type="dxa"/>
            <w:shd w:val="clear" w:color="auto" w:fill="auto"/>
            <w:vAlign w:val="center"/>
          </w:tcPr>
          <w:p w14:paraId="41E394FD">
            <w:pPr>
              <w:rPr>
                <w:rFonts w:asciiTheme="minorEastAsia" w:hAnsiTheme="minorEastAsia"/>
                <w:sz w:val="21"/>
                <w:szCs w:val="21"/>
              </w:rPr>
            </w:pPr>
          </w:p>
        </w:tc>
        <w:tc>
          <w:tcPr>
            <w:tcW w:w="1426" w:type="dxa"/>
            <w:shd w:val="clear" w:color="auto" w:fill="auto"/>
            <w:vAlign w:val="center"/>
          </w:tcPr>
          <w:p w14:paraId="52D772B2">
            <w:pPr>
              <w:rPr>
                <w:rFonts w:asciiTheme="minorEastAsia" w:hAnsiTheme="minorEastAsia"/>
                <w:sz w:val="21"/>
                <w:szCs w:val="21"/>
              </w:rPr>
            </w:pPr>
          </w:p>
        </w:tc>
        <w:tc>
          <w:tcPr>
            <w:tcW w:w="1792" w:type="dxa"/>
            <w:shd w:val="clear" w:color="auto" w:fill="auto"/>
            <w:vAlign w:val="center"/>
          </w:tcPr>
          <w:p w14:paraId="2E57E6C4">
            <w:pPr>
              <w:rPr>
                <w:rFonts w:asciiTheme="minorEastAsia" w:hAnsiTheme="minorEastAsia"/>
                <w:sz w:val="21"/>
                <w:szCs w:val="21"/>
              </w:rPr>
            </w:pPr>
          </w:p>
        </w:tc>
      </w:tr>
      <w:tr w14:paraId="6B586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1AECD960">
            <w:pPr>
              <w:rPr>
                <w:rFonts w:asciiTheme="minorEastAsia" w:hAnsiTheme="minorEastAsia"/>
                <w:sz w:val="21"/>
                <w:szCs w:val="21"/>
              </w:rPr>
            </w:pPr>
          </w:p>
        </w:tc>
        <w:tc>
          <w:tcPr>
            <w:tcW w:w="1576" w:type="dxa"/>
            <w:shd w:val="clear" w:color="auto" w:fill="auto"/>
            <w:vAlign w:val="center"/>
          </w:tcPr>
          <w:p w14:paraId="0B5BFBD7">
            <w:pPr>
              <w:rPr>
                <w:rFonts w:asciiTheme="minorEastAsia" w:hAnsiTheme="minorEastAsia"/>
                <w:sz w:val="21"/>
                <w:szCs w:val="21"/>
              </w:rPr>
            </w:pPr>
          </w:p>
        </w:tc>
        <w:tc>
          <w:tcPr>
            <w:tcW w:w="1417" w:type="dxa"/>
            <w:shd w:val="clear" w:color="auto" w:fill="auto"/>
            <w:vAlign w:val="center"/>
          </w:tcPr>
          <w:p w14:paraId="62D910EA">
            <w:pPr>
              <w:rPr>
                <w:rFonts w:asciiTheme="minorEastAsia" w:hAnsiTheme="minorEastAsia"/>
                <w:sz w:val="21"/>
                <w:szCs w:val="21"/>
              </w:rPr>
            </w:pPr>
          </w:p>
        </w:tc>
        <w:tc>
          <w:tcPr>
            <w:tcW w:w="1701" w:type="dxa"/>
            <w:shd w:val="clear" w:color="auto" w:fill="auto"/>
            <w:vAlign w:val="center"/>
          </w:tcPr>
          <w:p w14:paraId="3C6AC87C">
            <w:pPr>
              <w:rPr>
                <w:rFonts w:asciiTheme="minorEastAsia" w:hAnsiTheme="minorEastAsia"/>
                <w:sz w:val="21"/>
                <w:szCs w:val="21"/>
              </w:rPr>
            </w:pPr>
          </w:p>
        </w:tc>
        <w:tc>
          <w:tcPr>
            <w:tcW w:w="1426" w:type="dxa"/>
            <w:shd w:val="clear" w:color="auto" w:fill="auto"/>
            <w:vAlign w:val="center"/>
          </w:tcPr>
          <w:p w14:paraId="679A10F7">
            <w:pPr>
              <w:rPr>
                <w:rFonts w:asciiTheme="minorEastAsia" w:hAnsiTheme="minorEastAsia"/>
                <w:sz w:val="21"/>
                <w:szCs w:val="21"/>
              </w:rPr>
            </w:pPr>
          </w:p>
        </w:tc>
        <w:tc>
          <w:tcPr>
            <w:tcW w:w="1792" w:type="dxa"/>
            <w:shd w:val="clear" w:color="auto" w:fill="auto"/>
            <w:vAlign w:val="center"/>
          </w:tcPr>
          <w:p w14:paraId="1C89BE5B">
            <w:pPr>
              <w:rPr>
                <w:rFonts w:asciiTheme="minorEastAsia" w:hAnsiTheme="minorEastAsia"/>
                <w:sz w:val="21"/>
                <w:szCs w:val="21"/>
              </w:rPr>
            </w:pPr>
          </w:p>
        </w:tc>
      </w:tr>
      <w:tr w14:paraId="2A857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3A9D4604">
            <w:pPr>
              <w:rPr>
                <w:rFonts w:asciiTheme="minorEastAsia" w:hAnsiTheme="minorEastAsia"/>
                <w:sz w:val="21"/>
                <w:szCs w:val="21"/>
              </w:rPr>
            </w:pPr>
          </w:p>
        </w:tc>
        <w:tc>
          <w:tcPr>
            <w:tcW w:w="1576" w:type="dxa"/>
            <w:shd w:val="clear" w:color="auto" w:fill="auto"/>
            <w:vAlign w:val="center"/>
          </w:tcPr>
          <w:p w14:paraId="3E93DCF2">
            <w:pPr>
              <w:rPr>
                <w:rFonts w:asciiTheme="minorEastAsia" w:hAnsiTheme="minorEastAsia"/>
                <w:sz w:val="21"/>
                <w:szCs w:val="21"/>
              </w:rPr>
            </w:pPr>
          </w:p>
        </w:tc>
        <w:tc>
          <w:tcPr>
            <w:tcW w:w="1417" w:type="dxa"/>
            <w:shd w:val="clear" w:color="auto" w:fill="auto"/>
            <w:vAlign w:val="center"/>
          </w:tcPr>
          <w:p w14:paraId="4990136B">
            <w:pPr>
              <w:rPr>
                <w:rFonts w:asciiTheme="minorEastAsia" w:hAnsiTheme="minorEastAsia"/>
                <w:sz w:val="21"/>
                <w:szCs w:val="21"/>
              </w:rPr>
            </w:pPr>
          </w:p>
        </w:tc>
        <w:tc>
          <w:tcPr>
            <w:tcW w:w="1701" w:type="dxa"/>
            <w:shd w:val="clear" w:color="auto" w:fill="auto"/>
            <w:vAlign w:val="center"/>
          </w:tcPr>
          <w:p w14:paraId="3745D21A">
            <w:pPr>
              <w:rPr>
                <w:rFonts w:asciiTheme="minorEastAsia" w:hAnsiTheme="minorEastAsia"/>
                <w:sz w:val="21"/>
                <w:szCs w:val="21"/>
              </w:rPr>
            </w:pPr>
          </w:p>
        </w:tc>
        <w:tc>
          <w:tcPr>
            <w:tcW w:w="1426" w:type="dxa"/>
            <w:shd w:val="clear" w:color="auto" w:fill="auto"/>
            <w:vAlign w:val="center"/>
          </w:tcPr>
          <w:p w14:paraId="0C9A0E4F">
            <w:pPr>
              <w:rPr>
                <w:rFonts w:asciiTheme="minorEastAsia" w:hAnsiTheme="minorEastAsia"/>
                <w:sz w:val="21"/>
                <w:szCs w:val="21"/>
              </w:rPr>
            </w:pPr>
          </w:p>
        </w:tc>
        <w:tc>
          <w:tcPr>
            <w:tcW w:w="1792" w:type="dxa"/>
            <w:shd w:val="clear" w:color="auto" w:fill="auto"/>
            <w:vAlign w:val="center"/>
          </w:tcPr>
          <w:p w14:paraId="0D239E88">
            <w:pPr>
              <w:rPr>
                <w:rFonts w:asciiTheme="minorEastAsia" w:hAnsiTheme="minorEastAsia"/>
                <w:sz w:val="21"/>
                <w:szCs w:val="21"/>
              </w:rPr>
            </w:pPr>
          </w:p>
        </w:tc>
      </w:tr>
      <w:tr w14:paraId="7229A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5C946F9C">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64234ED3">
            <w:pPr>
              <w:jc w:val="both"/>
              <w:rPr>
                <w:rFonts w:asciiTheme="minorEastAsia" w:hAnsiTheme="minorEastAsia"/>
                <w:sz w:val="21"/>
                <w:szCs w:val="21"/>
              </w:rPr>
            </w:pPr>
            <w:r>
              <w:rPr>
                <w:rFonts w:asciiTheme="minorEastAsia" w:hAnsiTheme="minorEastAsia"/>
                <w:sz w:val="21"/>
                <w:szCs w:val="21"/>
              </w:rPr>
              <w:t>① 表格行数不足时请自行扩展。</w:t>
            </w:r>
          </w:p>
          <w:p w14:paraId="458AA00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tc>
      </w:tr>
    </w:tbl>
    <w:p w14:paraId="72D6B5E7">
      <w:pPr>
        <w:rPr>
          <w:rFonts w:asciiTheme="minorEastAsia" w:hAnsiTheme="minorEastAsia" w:cstheme="minorHAnsi"/>
          <w:color w:val="C00000"/>
          <w:kern w:val="24"/>
        </w:rPr>
      </w:pPr>
      <w:r>
        <w:rPr>
          <w:rFonts w:asciiTheme="minorEastAsia" w:hAnsiTheme="minorEastAsia" w:cstheme="minorHAnsi"/>
          <w:color w:val="C00000"/>
          <w:kern w:val="24"/>
        </w:rPr>
        <w:t>附：</w:t>
      </w:r>
      <w:r>
        <w:rPr>
          <w:rFonts w:hint="eastAsia" w:asciiTheme="minorEastAsia" w:hAnsiTheme="minorEastAsia" w:cstheme="minorHAnsi"/>
          <w:color w:val="C00000"/>
          <w:kern w:val="24"/>
        </w:rPr>
        <w:t>设备购买发票或租赁证明</w:t>
      </w:r>
    </w:p>
    <w:p w14:paraId="3A9EA6E1">
      <w:pPr>
        <w:rPr>
          <w:rFonts w:asciiTheme="minorEastAsia" w:hAnsiTheme="minorEastAsia" w:cstheme="minorHAnsi"/>
          <w:b/>
          <w:color w:val="000000"/>
          <w:kern w:val="24"/>
        </w:rPr>
      </w:pPr>
    </w:p>
    <w:p w14:paraId="73E4F6CB">
      <w:pPr>
        <w:rPr>
          <w:rFonts w:asciiTheme="minorEastAsia" w:hAnsiTheme="minorEastAsia" w:cstheme="minorHAnsi"/>
          <w:b/>
          <w:color w:val="000000"/>
          <w:kern w:val="24"/>
        </w:rPr>
      </w:pPr>
      <w:r>
        <w:rPr>
          <w:rFonts w:asciiTheme="minorEastAsia" w:hAnsiTheme="minorEastAsia" w:cstheme="minorHAnsi"/>
          <w:b/>
          <w:color w:val="000000"/>
          <w:kern w:val="24"/>
        </w:rPr>
        <w:t>3．</w:t>
      </w:r>
      <w:r>
        <w:rPr>
          <w:rFonts w:hint="eastAsia" w:asciiTheme="minorEastAsia" w:hAnsiTheme="minorEastAsia" w:cstheme="minorHAnsi"/>
          <w:b/>
          <w:color w:val="000000"/>
          <w:kern w:val="24"/>
        </w:rPr>
        <w:t>认证证书</w:t>
      </w:r>
    </w:p>
    <w:p w14:paraId="0196E99F">
      <w:pPr>
        <w:rPr>
          <w:rFonts w:asciiTheme="minorEastAsia" w:hAnsiTheme="minorEastAsia" w:cstheme="minorHAnsi"/>
          <w:b/>
          <w:color w:val="000000"/>
          <w:kern w:val="24"/>
        </w:rPr>
      </w:pPr>
    </w:p>
    <w:p w14:paraId="158D2DDA">
      <w:pPr>
        <w:rPr>
          <w:rFonts w:asciiTheme="minorEastAsia" w:hAnsiTheme="minorEastAsia" w:cstheme="minorHAnsi"/>
          <w:b/>
          <w:color w:val="000000"/>
          <w:kern w:val="24"/>
        </w:rPr>
      </w:pPr>
      <w:r>
        <w:rPr>
          <w:rFonts w:asciiTheme="minorEastAsia" w:hAnsiTheme="minorEastAsia" w:cstheme="minorHAnsi"/>
          <w:b/>
          <w:color w:val="000000"/>
          <w:kern w:val="24"/>
        </w:rPr>
        <w:t>4</w:t>
      </w:r>
      <w:r>
        <w:rPr>
          <w:rFonts w:hint="eastAsia" w:asciiTheme="minorEastAsia" w:hAnsiTheme="minorEastAsia" w:cstheme="minorHAnsi"/>
          <w:b/>
          <w:color w:val="000000"/>
          <w:kern w:val="24"/>
        </w:rPr>
        <w:t>．业绩</w:t>
      </w:r>
    </w:p>
    <w:p w14:paraId="1C782DD1">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1C110">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EC46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458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EDD7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426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A4B5C">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AF2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F4FE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7804">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F773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4041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DBB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CBA4">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85369">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8D34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06A5">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A1F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417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7EA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625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陕西西咸新区人民检察院物业管理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陕西西咸新区人民检察院物业管理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陕西西咸新区人民检察院物业管理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F90692"/>
    <w:multiLevelType w:val="multilevel"/>
    <w:tmpl w:val="4DF906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37CC"/>
    <w:rsid w:val="000251DF"/>
    <w:rsid w:val="00025A12"/>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5A7B"/>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DA7"/>
    <w:rsid w:val="000A1F6A"/>
    <w:rsid w:val="000A2583"/>
    <w:rsid w:val="000A2B11"/>
    <w:rsid w:val="000A521E"/>
    <w:rsid w:val="000A642D"/>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2F73"/>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70"/>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4B52"/>
    <w:rsid w:val="00124EE7"/>
    <w:rsid w:val="001257D4"/>
    <w:rsid w:val="001267D2"/>
    <w:rsid w:val="0013005B"/>
    <w:rsid w:val="0013015E"/>
    <w:rsid w:val="0013081C"/>
    <w:rsid w:val="00130E19"/>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148"/>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70F"/>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49DD"/>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0AD"/>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D9"/>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87B53"/>
    <w:rsid w:val="00291777"/>
    <w:rsid w:val="00292519"/>
    <w:rsid w:val="0029384E"/>
    <w:rsid w:val="00294428"/>
    <w:rsid w:val="00296027"/>
    <w:rsid w:val="002961E2"/>
    <w:rsid w:val="00296372"/>
    <w:rsid w:val="002966F0"/>
    <w:rsid w:val="00296943"/>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1735"/>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4818"/>
    <w:rsid w:val="002D5205"/>
    <w:rsid w:val="002D65D4"/>
    <w:rsid w:val="002D679E"/>
    <w:rsid w:val="002D7418"/>
    <w:rsid w:val="002E1283"/>
    <w:rsid w:val="002E1660"/>
    <w:rsid w:val="002E1DC4"/>
    <w:rsid w:val="002E254C"/>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3AD"/>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4FD7"/>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B443B"/>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0D9"/>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6DB3"/>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6980"/>
    <w:rsid w:val="0047799A"/>
    <w:rsid w:val="00482B46"/>
    <w:rsid w:val="004846F1"/>
    <w:rsid w:val="00485A39"/>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0D5D"/>
    <w:rsid w:val="004E4CC4"/>
    <w:rsid w:val="004E4F56"/>
    <w:rsid w:val="004E5196"/>
    <w:rsid w:val="004E5DD1"/>
    <w:rsid w:val="004E63AF"/>
    <w:rsid w:val="004E6B7F"/>
    <w:rsid w:val="004E7520"/>
    <w:rsid w:val="004F01A5"/>
    <w:rsid w:val="004F04DD"/>
    <w:rsid w:val="004F08ED"/>
    <w:rsid w:val="004F1A27"/>
    <w:rsid w:val="004F2CC5"/>
    <w:rsid w:val="004F3096"/>
    <w:rsid w:val="004F3159"/>
    <w:rsid w:val="004F32CF"/>
    <w:rsid w:val="004F411F"/>
    <w:rsid w:val="004F60D3"/>
    <w:rsid w:val="004F6E7E"/>
    <w:rsid w:val="004F7234"/>
    <w:rsid w:val="004F7D8F"/>
    <w:rsid w:val="00500B15"/>
    <w:rsid w:val="0050182A"/>
    <w:rsid w:val="00501CED"/>
    <w:rsid w:val="00501E00"/>
    <w:rsid w:val="00501F56"/>
    <w:rsid w:val="0050264E"/>
    <w:rsid w:val="00502961"/>
    <w:rsid w:val="00502DB5"/>
    <w:rsid w:val="0050431E"/>
    <w:rsid w:val="005053C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66B8"/>
    <w:rsid w:val="00536FE0"/>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100"/>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10F1"/>
    <w:rsid w:val="005D24EB"/>
    <w:rsid w:val="005D2A79"/>
    <w:rsid w:val="005D3C04"/>
    <w:rsid w:val="005D5E30"/>
    <w:rsid w:val="005D62E5"/>
    <w:rsid w:val="005D6C3D"/>
    <w:rsid w:val="005D7216"/>
    <w:rsid w:val="005E02B2"/>
    <w:rsid w:val="005E032C"/>
    <w:rsid w:val="005E0A86"/>
    <w:rsid w:val="005E12F7"/>
    <w:rsid w:val="005E37E1"/>
    <w:rsid w:val="005E44CE"/>
    <w:rsid w:val="005E51CD"/>
    <w:rsid w:val="005E548A"/>
    <w:rsid w:val="005E5BCC"/>
    <w:rsid w:val="005E5CCE"/>
    <w:rsid w:val="005E6CCC"/>
    <w:rsid w:val="005F1247"/>
    <w:rsid w:val="005F19BB"/>
    <w:rsid w:val="005F328D"/>
    <w:rsid w:val="005F3B5B"/>
    <w:rsid w:val="005F4D98"/>
    <w:rsid w:val="005F6909"/>
    <w:rsid w:val="005F6A0B"/>
    <w:rsid w:val="005F6C88"/>
    <w:rsid w:val="005F7986"/>
    <w:rsid w:val="0060005D"/>
    <w:rsid w:val="00600637"/>
    <w:rsid w:val="006022C0"/>
    <w:rsid w:val="00602836"/>
    <w:rsid w:val="00602E42"/>
    <w:rsid w:val="00603657"/>
    <w:rsid w:val="00603BB4"/>
    <w:rsid w:val="00604448"/>
    <w:rsid w:val="00604603"/>
    <w:rsid w:val="0060479B"/>
    <w:rsid w:val="0060630E"/>
    <w:rsid w:val="00606561"/>
    <w:rsid w:val="00606A55"/>
    <w:rsid w:val="00607538"/>
    <w:rsid w:val="006075B5"/>
    <w:rsid w:val="0061018F"/>
    <w:rsid w:val="006109E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4F69"/>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1AA6"/>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DDD"/>
    <w:rsid w:val="006B5EA1"/>
    <w:rsid w:val="006B62C2"/>
    <w:rsid w:val="006B6316"/>
    <w:rsid w:val="006B6C2F"/>
    <w:rsid w:val="006B7F10"/>
    <w:rsid w:val="006C042B"/>
    <w:rsid w:val="006C2543"/>
    <w:rsid w:val="006C2A45"/>
    <w:rsid w:val="006C323A"/>
    <w:rsid w:val="006C37E8"/>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0CA"/>
    <w:rsid w:val="006E6241"/>
    <w:rsid w:val="006E6E8B"/>
    <w:rsid w:val="006E78C5"/>
    <w:rsid w:val="006E7C76"/>
    <w:rsid w:val="006F024F"/>
    <w:rsid w:val="006F04CD"/>
    <w:rsid w:val="006F0651"/>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2FC8"/>
    <w:rsid w:val="00723928"/>
    <w:rsid w:val="007240F9"/>
    <w:rsid w:val="00724763"/>
    <w:rsid w:val="00724E1B"/>
    <w:rsid w:val="007303C2"/>
    <w:rsid w:val="0073139F"/>
    <w:rsid w:val="007314D2"/>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3607"/>
    <w:rsid w:val="0078424E"/>
    <w:rsid w:val="0079003B"/>
    <w:rsid w:val="00791F35"/>
    <w:rsid w:val="0079398D"/>
    <w:rsid w:val="00797959"/>
    <w:rsid w:val="007A0298"/>
    <w:rsid w:val="007A07F3"/>
    <w:rsid w:val="007A0EED"/>
    <w:rsid w:val="007A18BC"/>
    <w:rsid w:val="007A1D8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63B"/>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B37"/>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5E9"/>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77B7D"/>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1BD3"/>
    <w:rsid w:val="008B25E6"/>
    <w:rsid w:val="008B2B1D"/>
    <w:rsid w:val="008B3358"/>
    <w:rsid w:val="008B5009"/>
    <w:rsid w:val="008B5D80"/>
    <w:rsid w:val="008B6C0C"/>
    <w:rsid w:val="008B7C8C"/>
    <w:rsid w:val="008B7E45"/>
    <w:rsid w:val="008C0552"/>
    <w:rsid w:val="008C1237"/>
    <w:rsid w:val="008C1D9E"/>
    <w:rsid w:val="008C2981"/>
    <w:rsid w:val="008C64FB"/>
    <w:rsid w:val="008C6CD9"/>
    <w:rsid w:val="008C7048"/>
    <w:rsid w:val="008C771B"/>
    <w:rsid w:val="008C77A4"/>
    <w:rsid w:val="008D0DB7"/>
    <w:rsid w:val="008D175E"/>
    <w:rsid w:val="008D2DAF"/>
    <w:rsid w:val="008D3E6F"/>
    <w:rsid w:val="008D4EEC"/>
    <w:rsid w:val="008D5B0C"/>
    <w:rsid w:val="008D5BFC"/>
    <w:rsid w:val="008E1C91"/>
    <w:rsid w:val="008E2EFF"/>
    <w:rsid w:val="008E3B9E"/>
    <w:rsid w:val="008E3E49"/>
    <w:rsid w:val="008E4AFF"/>
    <w:rsid w:val="008E4E0F"/>
    <w:rsid w:val="008E57A7"/>
    <w:rsid w:val="008E5935"/>
    <w:rsid w:val="008E5E49"/>
    <w:rsid w:val="008E725C"/>
    <w:rsid w:val="008E738E"/>
    <w:rsid w:val="008F0A84"/>
    <w:rsid w:val="008F0CC3"/>
    <w:rsid w:val="008F175B"/>
    <w:rsid w:val="008F44C7"/>
    <w:rsid w:val="008F46A2"/>
    <w:rsid w:val="008F48D3"/>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433E"/>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31C"/>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74368"/>
    <w:rsid w:val="0098096E"/>
    <w:rsid w:val="009817A0"/>
    <w:rsid w:val="00981D49"/>
    <w:rsid w:val="00981D62"/>
    <w:rsid w:val="00982089"/>
    <w:rsid w:val="0098281C"/>
    <w:rsid w:val="009833A0"/>
    <w:rsid w:val="0098397B"/>
    <w:rsid w:val="00983C0B"/>
    <w:rsid w:val="0098423D"/>
    <w:rsid w:val="00984871"/>
    <w:rsid w:val="009850E9"/>
    <w:rsid w:val="00985DFA"/>
    <w:rsid w:val="00985FC3"/>
    <w:rsid w:val="00986315"/>
    <w:rsid w:val="00986617"/>
    <w:rsid w:val="00990166"/>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CBC"/>
    <w:rsid w:val="009B039A"/>
    <w:rsid w:val="009B206F"/>
    <w:rsid w:val="009B32A8"/>
    <w:rsid w:val="009B3DF0"/>
    <w:rsid w:val="009B5C25"/>
    <w:rsid w:val="009B5F6F"/>
    <w:rsid w:val="009B65B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750B"/>
    <w:rsid w:val="009F7E8A"/>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32D"/>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490"/>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1B91"/>
    <w:rsid w:val="00A62089"/>
    <w:rsid w:val="00A63264"/>
    <w:rsid w:val="00A6386F"/>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1DC7"/>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B7AFB"/>
    <w:rsid w:val="00AC0409"/>
    <w:rsid w:val="00AC0C60"/>
    <w:rsid w:val="00AC1643"/>
    <w:rsid w:val="00AC178D"/>
    <w:rsid w:val="00AC1897"/>
    <w:rsid w:val="00AC1A52"/>
    <w:rsid w:val="00AC1F15"/>
    <w:rsid w:val="00AC2B81"/>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0F48"/>
    <w:rsid w:val="00B11872"/>
    <w:rsid w:val="00B13758"/>
    <w:rsid w:val="00B13979"/>
    <w:rsid w:val="00B14991"/>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4B79"/>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65E"/>
    <w:rsid w:val="00B72B4C"/>
    <w:rsid w:val="00B74539"/>
    <w:rsid w:val="00B74829"/>
    <w:rsid w:val="00B749EF"/>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D94"/>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61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34F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60AF"/>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4E08"/>
    <w:rsid w:val="00CE52BF"/>
    <w:rsid w:val="00CE698A"/>
    <w:rsid w:val="00CE6CDF"/>
    <w:rsid w:val="00CE70DB"/>
    <w:rsid w:val="00CE7D62"/>
    <w:rsid w:val="00CE7FEB"/>
    <w:rsid w:val="00CF001E"/>
    <w:rsid w:val="00CF1BF4"/>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4A0"/>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393"/>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476A3"/>
    <w:rsid w:val="00D51C08"/>
    <w:rsid w:val="00D51F3E"/>
    <w:rsid w:val="00D54BE4"/>
    <w:rsid w:val="00D55644"/>
    <w:rsid w:val="00D55D74"/>
    <w:rsid w:val="00D568D6"/>
    <w:rsid w:val="00D56A2E"/>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5CB"/>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6E4"/>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5738"/>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8AD"/>
    <w:rsid w:val="00EC0DD8"/>
    <w:rsid w:val="00EC1093"/>
    <w:rsid w:val="00EC1729"/>
    <w:rsid w:val="00EC2A66"/>
    <w:rsid w:val="00EC3672"/>
    <w:rsid w:val="00EC44FF"/>
    <w:rsid w:val="00EC53C5"/>
    <w:rsid w:val="00EC557C"/>
    <w:rsid w:val="00ED0960"/>
    <w:rsid w:val="00ED3632"/>
    <w:rsid w:val="00ED3782"/>
    <w:rsid w:val="00ED56C1"/>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63B"/>
    <w:rsid w:val="00EF1AA0"/>
    <w:rsid w:val="00EF271D"/>
    <w:rsid w:val="00EF3C83"/>
    <w:rsid w:val="00EF40CC"/>
    <w:rsid w:val="00EF4228"/>
    <w:rsid w:val="00EF473E"/>
    <w:rsid w:val="00EF4B77"/>
    <w:rsid w:val="00EF4DC8"/>
    <w:rsid w:val="00EF59D7"/>
    <w:rsid w:val="00EF5FF5"/>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291"/>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1E09"/>
    <w:rsid w:val="00F733F0"/>
    <w:rsid w:val="00F73D3E"/>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1E76"/>
    <w:rsid w:val="00FC3953"/>
    <w:rsid w:val="00FC39BA"/>
    <w:rsid w:val="00FC3DAC"/>
    <w:rsid w:val="00FC5864"/>
    <w:rsid w:val="00FC7208"/>
    <w:rsid w:val="00FD06E4"/>
    <w:rsid w:val="00FD1428"/>
    <w:rsid w:val="00FD20C5"/>
    <w:rsid w:val="00FD22E8"/>
    <w:rsid w:val="00FD2761"/>
    <w:rsid w:val="00FD2970"/>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 w:val="16FA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table" w:customStyle="1" w:styleId="99">
    <w:name w:val="网格型5"/>
    <w:basedOn w:val="24"/>
    <w:qFormat/>
    <w:uiPriority w:val="0"/>
    <w:rPr>
      <w:rFonts w:ascii="Times New Roman" w:hAnsi="Times New Roman" w:eastAsia="宋体"/>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0485-58D1-439C-B718-737E974A0751}">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56</Pages>
  <Words>223</Words>
  <Characters>241</Characters>
  <Lines>5225</Lines>
  <Paragraphs>8199</Paragraphs>
  <TotalTime>0</TotalTime>
  <ScaleCrop>false</ScaleCrop>
  <LinksUpToDate>false</LinksUpToDate>
  <CharactersWithSpaces>254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2026-01-12T03:02:00Z</dcterms:created>
  <dc:creator>admin</dc:creator>
  <cp:lastModifiedBy>常巧利</cp:lastModifiedBy>
  <cp:lastPrinted>2026-01-09T02:08:00Z</cp:lastPrinted>
  <dcterms:modified xsi:type="dcterms:W3CDTF">2026-01-27T06:44:09Z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7201E2E543174A85AFB2A5F60670D7EC_13</vt:lpwstr>
  </property>
</Properties>
</file>