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085"/>
        <w:gridCol w:w="6471"/>
      </w:tblGrid>
      <w:tr w14:paraId="33050C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 w14:paraId="3CDAD27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085" w:type="dxa"/>
          </w:tcPr>
          <w:p w14:paraId="65F9E559">
            <w:pPr>
              <w:pStyle w:val="4"/>
            </w:pPr>
            <w:bookmarkStart w:id="0" w:name="_GoBack"/>
            <w:bookmarkEnd w:id="0"/>
            <w:r>
              <w:rPr>
                <w:rFonts w:ascii="仿宋_GB2312" w:hAnsi="仿宋_GB2312" w:eastAsia="仿宋_GB2312" w:cs="仿宋_GB2312"/>
              </w:rPr>
              <w:t>参数性质</w:t>
            </w:r>
          </w:p>
        </w:tc>
        <w:tc>
          <w:tcPr>
            <w:tcW w:w="6471" w:type="dxa"/>
          </w:tcPr>
          <w:p w14:paraId="21D8A0F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43BF1D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 w14:paraId="09C3550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085" w:type="dxa"/>
          </w:tcPr>
          <w:p w14:paraId="0EACFEF9"/>
        </w:tc>
        <w:tc>
          <w:tcPr>
            <w:tcW w:w="6471" w:type="dxa"/>
          </w:tcPr>
          <w:p w14:paraId="31E8E28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</w:rPr>
              <w:t>一、矢量网络分析功能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 xml:space="preserve"> ★1.频率范围：10MHz~67GHz；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 xml:space="preserve"> 2.端口数：≥4；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 xml:space="preserve"> ▲3.最大输出功率：≥+13dBm；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 xml:space="preserve"> ▲4.在10kHz偏移，相位噪声≤-110dBc/Hz（1GHz载波）；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 xml:space="preserve"> ▲5.在10Hz中频带宽下，动态范围≥139dB；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 xml:space="preserve"> 6.具备快速扫描能力，数据采集速度≤4μs/点；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 xml:space="preserve"> 7.支持功率扫描，至少覆盖-80dBm到+15dBm；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 xml:space="preserve"> 8.具有高精度的校准功能，反射测量误差≤0.02dB；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 xml:space="preserve"> ▲9.支持多种调制格式的分析，包括S参数测量、噪声系数测量等；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 xml:space="preserve"> 10.支持远程控制与自动化测试，具备LAN、USB、GPIB等数据接口；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 xml:space="preserve"> ▲11.测量点数：≥200001；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 xml:space="preserve"> 12.至少提供Windows操作系统。</w:t>
            </w:r>
          </w:p>
        </w:tc>
      </w:tr>
      <w:tr w14:paraId="6F19AA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 w14:paraId="123E468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085" w:type="dxa"/>
          </w:tcPr>
          <w:p w14:paraId="1BAE66C9"/>
        </w:tc>
        <w:tc>
          <w:tcPr>
            <w:tcW w:w="6471" w:type="dxa"/>
          </w:tcPr>
          <w:p w14:paraId="6354CE4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</w:rPr>
              <w:t>二、光波元件分析功能：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 xml:space="preserve"> ★1.频率范围：10MHz~67GHz；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 xml:space="preserve"> 2.中心波长至少覆盖1530nm～1565nm；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 xml:space="preserve"> 3.输出光功率至少覆盖-20dBm～+10dBm；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 xml:space="preserve"> 4.光端口数：≥2；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 xml:space="preserve"> 5.支持外部光源注入；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 xml:space="preserve"> 6.平均光功率输出精度：±0.5dB；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 xml:space="preserve"> ▲7.具备光电测量校准模式及光路去嵌入功能，实现光链路误差移除。</w:t>
            </w:r>
          </w:p>
        </w:tc>
      </w:tr>
      <w:tr w14:paraId="232F51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 w14:paraId="5FE4EDA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1085" w:type="dxa"/>
          </w:tcPr>
          <w:p w14:paraId="00DC9D07"/>
        </w:tc>
        <w:tc>
          <w:tcPr>
            <w:tcW w:w="6471" w:type="dxa"/>
          </w:tcPr>
          <w:p w14:paraId="228EB43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</w:rPr>
              <w:t>三、时域测试功能：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 xml:space="preserve"> ★1.带宽：≥20GHz；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 xml:space="preserve"> ▲2.通道数：≥4；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 xml:space="preserve"> ▲3.有效位数：≥5.6bits；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 xml:space="preserve"> 4.采样率：≥50GSa/s；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 xml:space="preserve"> ▲5.存储深度：≥2Gpts（全通道）；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 xml:space="preserve"> 6.时基至少覆盖2ps/div～20s/div；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 xml:space="preserve"> 7.具备眼图分析功能；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 xml:space="preserve"> 8.具备fft频谱分析功能。</w:t>
            </w:r>
          </w:p>
        </w:tc>
      </w:tr>
      <w:tr w14:paraId="528539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 w14:paraId="57C51A1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1085" w:type="dxa"/>
          </w:tcPr>
          <w:p w14:paraId="50F1ADF6"/>
        </w:tc>
        <w:tc>
          <w:tcPr>
            <w:tcW w:w="6471" w:type="dxa"/>
          </w:tcPr>
          <w:p w14:paraId="7487D95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</w:rPr>
              <w:t>四、配置要求：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 xml:space="preserve"> 1、矢量网络分析模块，1套；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 xml:space="preserve"> 2、光学底座，1套；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 xml:space="preserve"> 3、宽带示波模块，1套；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 xml:space="preserve"> 4、配置网络分析模块原厂机械校准件，2套，分别是1.85mm和2.92mm接口，每套包含公、母接头的开路、短路、负载以及公-公直通，母-母直通）；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 xml:space="preserve"> 5、配备测试线缆，1.85mm母转公测试线缆4根，测试线缆必须符合国标要求。</w:t>
            </w:r>
          </w:p>
        </w:tc>
      </w:tr>
      <w:tr w14:paraId="7A943E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 w14:paraId="20AFD54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1085" w:type="dxa"/>
          </w:tcPr>
          <w:p w14:paraId="434F9AFD"/>
        </w:tc>
        <w:tc>
          <w:tcPr>
            <w:tcW w:w="6471" w:type="dxa"/>
          </w:tcPr>
          <w:p w14:paraId="089FDA0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</w:rPr>
              <w:t>五、其他要求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 xml:space="preserve"> 1.以本招标文件技术指标为准。投标人提供的设备需是近1年内生产的全新仪器。仪器内部无损坏，外表无磨损，外部包装无破损。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 xml:space="preserve"> 2.交货期：合同签订后45天安装调试完成保证可正常使用。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 xml:space="preserve"> 3.仪器设备运抵安装现场后，买方将与卖方共同开箱验收，如卖方届时不派人参加，则验收结果应以买方的验收报告为最终验收结果。验收时发现短缺、破损,买方有权要求卖方负责更换。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 xml:space="preserve"> 4.验收标准：以中标人提供的投标文件中所列的指标为准（该指标应不低于招标文件所要求的指标）。任何虚假指标响应一经发现，卖方必须承担由此给买方带来的一切经济损失和其它相关责任。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 xml:space="preserve"> 5.安装调试：仪器到达最终用户现场并完成场地准备，供货方在接到用户通知后一周内，安排有经验的工程技术人员到用户现场安装、调试。供货方和最终用户按投标的技术参数和性能描述为标准进行验收，仪器的安装调试需在接到用户通知后10日内完成，且包括设备挪动和安装服务2次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 xml:space="preserve"> 6.技术培训：安装验收期间，在用户所在地对用户进行仪器操作和日常维护的现场培训，培训人数不低于5人，次数不低于3次，确保使用人能熟悉产品货物和正确操作。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 xml:space="preserve"> 7.质量保证期：自交货验收完毕之日算起，所有产品质保3年，质保期内如因产品自身问题，原厂包换包退，提供双重保修保障服务。质保期内，提供免费调试、定期维护和免费升级软件等服务；质保期内发生产品技术升级时，应及时通知采购单位，如有相应需求须提供产品免费升级服务，须免费包调、包改、包测。质保期满后，须继续提供投标产品的终身技术支持服务。若产生额外费用，经双方协定后，可收取适当费用。具体服务条款及费用收取，由供需双方另行协商。在保修期内或保修期外，接到用户关于设备发生故障的通知后48小时内应答，应答后两个工作日内抵达现场维修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 xml:space="preserve"> 8.维修响应时间：设备保修期3年，在保修期内或保修期外，接到用户关于设备发生故障的通知后24小时内应答，应答后两个工作日内抵达现场维修。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 xml:space="preserve"> 9.技术支持：有专职维修工程师和技术支持工程师，保证仪器的正常使用和技术咨询。7×24小时响应。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 xml:space="preserve"> 10.需满足的标准：产品应满足相关国家标准及行业标准。</w:t>
            </w:r>
          </w:p>
        </w:tc>
      </w:tr>
    </w:tbl>
    <w:p w14:paraId="04D3A7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C27A2"/>
    <w:rsid w:val="0E2C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2026-01-30T12:39:00Z</dcterms:created>
  <dc:creator>白日梦</dc:creator>
  <cp:lastModifiedBy>白日梦</cp:lastModifiedBy>
  <dcterms:modified xsi:type="dcterms:W3CDTF">2026-01-30T12:39:55Z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BAF9201C9FA041B1BADA92B52A8D4551_11</vt:lpwstr>
  </property>
  <property fmtid="{D5CDD505-2E9C-101B-9397-08002B2CF9AE}" pid="4" name="KSOTemplateDocerSaveRecord">
    <vt:lpwstr>eyJoZGlkIjoiOTQyNjJhYWQ1Y2ZkMWY1OTgyN2E4ZDZkNGNkNDQwMjYiLCJ1c2VySWQiOiIzMTI3MDEwNzEifQ==</vt:lpwstr>
  </property>
</Properties>
</file>