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1E12E">
      <w:pPr>
        <w:outlineLvl w:val="9"/>
        <w:rPr>
          <w:rFonts w:hint="eastAsia" w:ascii="宋体" w:hAnsi="宋体" w:eastAsia="宋体" w:cs="宋体"/>
          <w:b w:val="0"/>
          <w:bCs w:val="0"/>
          <w:sz w:val="31"/>
          <w:szCs w:val="31"/>
          <w:lang w:val="en-US"/>
        </w:rPr>
      </w:pPr>
      <w:bookmarkStart w:id="0" w:name="_Toc12643"/>
      <w:r>
        <w:rPr>
          <w:rFonts w:hint="eastAsia" w:ascii="宋体" w:hAnsi="宋体" w:eastAsia="宋体" w:cs="宋体"/>
          <w:b w:val="0"/>
          <w:bCs w:val="0"/>
          <w:sz w:val="31"/>
          <w:szCs w:val="31"/>
        </w:rPr>
        <w:t>项目编号：</w:t>
      </w:r>
      <w:bookmarkEnd w:id="0"/>
      <w:r>
        <w:rPr>
          <w:rFonts w:hint="eastAsia" w:ascii="宋体" w:hAnsi="宋体" w:eastAsia="宋体" w:cs="宋体"/>
          <w:b w:val="0"/>
          <w:bCs w:val="0"/>
          <w:sz w:val="31"/>
          <w:szCs w:val="31"/>
          <w:lang w:eastAsia="zh-CN"/>
        </w:rPr>
        <w:t>TCZY-CG2026001</w:t>
      </w:r>
    </w:p>
    <w:p w14:paraId="79F7A361">
      <w:pPr>
        <w:outlineLvl w:val="9"/>
        <w:rPr>
          <w:rFonts w:hint="eastAsia" w:ascii="宋体" w:hAnsi="宋体" w:eastAsia="宋体" w:cs="宋体"/>
          <w:b w:val="0"/>
          <w:bCs w:val="0"/>
          <w:sz w:val="31"/>
          <w:szCs w:val="31"/>
        </w:rPr>
      </w:pPr>
    </w:p>
    <w:p w14:paraId="3CA1629A">
      <w:pPr>
        <w:outlineLvl w:val="9"/>
        <w:rPr>
          <w:rFonts w:hint="eastAsia" w:ascii="宋体" w:hAnsi="宋体" w:eastAsia="宋体" w:cs="宋体"/>
          <w:b w:val="0"/>
          <w:bCs w:val="0"/>
          <w:sz w:val="31"/>
          <w:szCs w:val="31"/>
        </w:rPr>
      </w:pPr>
    </w:p>
    <w:p w14:paraId="6CB55B6A">
      <w:pPr>
        <w:keepNext w:val="0"/>
        <w:keepLines w:val="0"/>
        <w:pageBreakBefore w:val="0"/>
        <w:widowControl/>
        <w:kinsoku w:val="0"/>
        <w:wordWrap/>
        <w:overflowPunct/>
        <w:topLinePunct w:val="0"/>
        <w:autoSpaceDE w:val="0"/>
        <w:autoSpaceDN w:val="0"/>
        <w:bidi w:val="0"/>
        <w:adjustRightInd w:val="0"/>
        <w:snapToGrid w:val="0"/>
        <w:spacing w:before="313" w:beforeLines="100" w:line="1000" w:lineRule="exact"/>
        <w:jc w:val="center"/>
        <w:textAlignment w:val="baseline"/>
        <w:outlineLvl w:val="9"/>
        <w:rPr>
          <w:rFonts w:hint="eastAsia" w:ascii="宋体" w:hAnsi="宋体" w:eastAsia="宋体" w:cs="宋体"/>
          <w:b w:val="0"/>
          <w:bCs w:val="0"/>
          <w:sz w:val="56"/>
          <w:szCs w:val="56"/>
          <w:lang w:eastAsia="zh-CN"/>
        </w:rPr>
      </w:pPr>
      <w:r>
        <w:rPr>
          <w:rFonts w:hint="eastAsia" w:ascii="宋体" w:hAnsi="宋体" w:eastAsia="宋体" w:cs="宋体"/>
          <w:b w:val="0"/>
          <w:bCs w:val="0"/>
          <w:sz w:val="52"/>
          <w:szCs w:val="52"/>
          <w:lang w:val="en-US" w:eastAsia="zh-CN"/>
        </w:rPr>
        <w:t>神木市麟州街道办事处麟州街道病媒生物防治服务</w:t>
      </w:r>
    </w:p>
    <w:p w14:paraId="114FB98D">
      <w:pPr>
        <w:pStyle w:val="11"/>
        <w:rPr>
          <w:rFonts w:hint="eastAsia"/>
          <w:b w:val="0"/>
          <w:bCs w:val="0"/>
          <w:lang w:eastAsia="zh-CN"/>
        </w:rPr>
      </w:pPr>
    </w:p>
    <w:p w14:paraId="597818D5">
      <w:pPr>
        <w:pStyle w:val="11"/>
        <w:rPr>
          <w:rFonts w:hint="eastAsia"/>
          <w:b w:val="0"/>
          <w:bCs w:val="0"/>
          <w:lang w:eastAsia="zh-CN"/>
        </w:rPr>
      </w:pPr>
    </w:p>
    <w:p w14:paraId="7839CF78">
      <w:pPr>
        <w:pStyle w:val="11"/>
        <w:rPr>
          <w:rFonts w:hint="eastAsia"/>
          <w:b w:val="0"/>
          <w:bCs w:val="0"/>
          <w:lang w:eastAsia="zh-CN"/>
        </w:rPr>
      </w:pPr>
    </w:p>
    <w:p w14:paraId="6CDA309E">
      <w:pPr>
        <w:outlineLvl w:val="9"/>
        <w:rPr>
          <w:rFonts w:hint="eastAsia" w:ascii="宋体" w:hAnsi="宋体" w:eastAsia="宋体" w:cs="宋体"/>
          <w:b w:val="0"/>
          <w:bCs w:val="0"/>
          <w:sz w:val="31"/>
          <w:szCs w:val="31"/>
        </w:rPr>
      </w:pPr>
    </w:p>
    <w:p w14:paraId="5E94F12E">
      <w:pPr>
        <w:jc w:val="center"/>
        <w:outlineLvl w:val="9"/>
        <w:rPr>
          <w:rFonts w:hint="eastAsia" w:ascii="宋体" w:hAnsi="宋体" w:eastAsia="宋体" w:cs="宋体"/>
          <w:b w:val="0"/>
          <w:bCs w:val="0"/>
          <w:sz w:val="28"/>
          <w:szCs w:val="28"/>
        </w:rPr>
      </w:pPr>
      <w:bookmarkStart w:id="1" w:name="_Toc21385"/>
      <w:r>
        <w:rPr>
          <w:rFonts w:hint="eastAsia" w:ascii="宋体" w:hAnsi="宋体" w:eastAsia="宋体" w:cs="宋体"/>
          <w:b w:val="0"/>
          <w:bCs w:val="0"/>
          <w:sz w:val="72"/>
          <w:szCs w:val="72"/>
          <w:lang w:eastAsia="zh-CN"/>
        </w:rPr>
        <w:t>竞争性磋商</w:t>
      </w:r>
      <w:r>
        <w:rPr>
          <w:rFonts w:hint="eastAsia" w:ascii="宋体" w:hAnsi="宋体" w:eastAsia="宋体" w:cs="宋体"/>
          <w:b w:val="0"/>
          <w:bCs w:val="0"/>
          <w:sz w:val="72"/>
          <w:szCs w:val="72"/>
        </w:rPr>
        <w:t>文件</w:t>
      </w:r>
      <w:bookmarkEnd w:id="1"/>
    </w:p>
    <w:p w14:paraId="162772D4">
      <w:pPr>
        <w:outlineLvl w:val="9"/>
        <w:rPr>
          <w:rFonts w:hint="eastAsia" w:ascii="宋体" w:hAnsi="宋体" w:eastAsia="宋体" w:cs="宋体"/>
          <w:b w:val="0"/>
          <w:bCs w:val="0"/>
          <w:sz w:val="31"/>
          <w:szCs w:val="31"/>
        </w:rPr>
      </w:pPr>
    </w:p>
    <w:p w14:paraId="5A433136">
      <w:pPr>
        <w:outlineLvl w:val="9"/>
        <w:rPr>
          <w:rFonts w:hint="eastAsia" w:ascii="宋体" w:hAnsi="宋体" w:eastAsia="宋体" w:cs="宋体"/>
          <w:b w:val="0"/>
          <w:bCs w:val="0"/>
          <w:sz w:val="31"/>
          <w:szCs w:val="31"/>
        </w:rPr>
      </w:pPr>
    </w:p>
    <w:p w14:paraId="275D568F">
      <w:pPr>
        <w:pStyle w:val="2"/>
        <w:rPr>
          <w:rFonts w:hint="eastAsia"/>
        </w:rPr>
      </w:pPr>
    </w:p>
    <w:p w14:paraId="7B762F96">
      <w:pPr>
        <w:outlineLvl w:val="9"/>
        <w:rPr>
          <w:rFonts w:hint="eastAsia" w:ascii="宋体" w:hAnsi="宋体" w:eastAsia="宋体" w:cs="宋体"/>
          <w:b w:val="0"/>
          <w:bCs w:val="0"/>
          <w:sz w:val="31"/>
          <w:szCs w:val="31"/>
        </w:rPr>
      </w:pPr>
    </w:p>
    <w:p w14:paraId="60C85EEB">
      <w:pPr>
        <w:outlineLvl w:val="9"/>
        <w:rPr>
          <w:rFonts w:hint="eastAsia" w:ascii="宋体" w:hAnsi="宋体" w:eastAsia="宋体" w:cs="宋体"/>
          <w:b w:val="0"/>
          <w:bCs w:val="0"/>
          <w:sz w:val="31"/>
          <w:szCs w:val="31"/>
        </w:rPr>
      </w:pPr>
    </w:p>
    <w:p w14:paraId="51A9A239">
      <w:pPr>
        <w:outlineLvl w:val="9"/>
        <w:rPr>
          <w:rFonts w:hint="eastAsia" w:ascii="宋体" w:hAnsi="宋体" w:eastAsia="宋体" w:cs="宋体"/>
          <w:b w:val="0"/>
          <w:bCs w:val="0"/>
          <w:sz w:val="31"/>
          <w:szCs w:val="31"/>
        </w:rPr>
      </w:pPr>
    </w:p>
    <w:p w14:paraId="292232D0">
      <w:pPr>
        <w:outlineLvl w:val="9"/>
        <w:rPr>
          <w:rFonts w:hint="eastAsia" w:ascii="宋体" w:hAnsi="宋体" w:eastAsia="宋体" w:cs="宋体"/>
          <w:b w:val="0"/>
          <w:bCs w:val="0"/>
          <w:sz w:val="31"/>
          <w:szCs w:val="31"/>
        </w:rPr>
      </w:pPr>
    </w:p>
    <w:p w14:paraId="3DD4FD5A">
      <w:pPr>
        <w:outlineLvl w:val="9"/>
        <w:rPr>
          <w:rFonts w:hint="eastAsia" w:ascii="宋体" w:hAnsi="宋体" w:eastAsia="宋体" w:cs="宋体"/>
          <w:b w:val="0"/>
          <w:bCs w:val="0"/>
          <w:sz w:val="31"/>
          <w:szCs w:val="31"/>
        </w:rPr>
      </w:pPr>
    </w:p>
    <w:p w14:paraId="11741588">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eastAsia" w:ascii="宋体" w:hAnsi="宋体" w:eastAsia="宋体" w:cs="宋体"/>
          <w:b w:val="0"/>
          <w:bCs w:val="0"/>
          <w:sz w:val="28"/>
          <w:szCs w:val="28"/>
        </w:rPr>
      </w:pPr>
      <w:bookmarkStart w:id="2" w:name="_Toc24177"/>
      <w:r>
        <w:rPr>
          <w:rFonts w:hint="eastAsia" w:ascii="宋体" w:hAnsi="宋体" w:eastAsia="宋体" w:cs="宋体"/>
          <w:b w:val="0"/>
          <w:bCs w:val="0"/>
          <w:spacing w:val="0"/>
          <w:sz w:val="28"/>
          <w:szCs w:val="28"/>
        </w:rPr>
        <w:t>项目名称</w:t>
      </w:r>
      <w:r>
        <w:rPr>
          <w:rFonts w:hint="eastAsia" w:ascii="宋体" w:hAnsi="宋体" w:eastAsia="宋体" w:cs="宋体"/>
          <w:b w:val="0"/>
          <w:bCs w:val="0"/>
          <w:sz w:val="28"/>
          <w:szCs w:val="28"/>
        </w:rPr>
        <w:t>：</w:t>
      </w:r>
      <w:bookmarkEnd w:id="2"/>
      <w:r>
        <w:rPr>
          <w:rFonts w:hint="eastAsia" w:ascii="宋体" w:hAnsi="宋体" w:eastAsia="宋体" w:cs="宋体"/>
          <w:b w:val="0"/>
          <w:bCs w:val="0"/>
          <w:sz w:val="28"/>
          <w:szCs w:val="28"/>
          <w:lang w:val="en-US" w:eastAsia="zh-CN"/>
        </w:rPr>
        <w:t>神木市麟州街道办事处麟州街道病媒生物防治服务</w:t>
      </w:r>
    </w:p>
    <w:p w14:paraId="0EB0ED5A">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default" w:ascii="宋体" w:hAnsi="宋体" w:eastAsia="宋体" w:cs="宋体"/>
          <w:b w:val="0"/>
          <w:bCs w:val="0"/>
          <w:sz w:val="28"/>
          <w:szCs w:val="28"/>
          <w:lang w:val="en-US" w:eastAsia="zh-CN"/>
        </w:rPr>
      </w:pPr>
      <w:bookmarkStart w:id="3" w:name="_Toc19650"/>
      <w:r>
        <w:rPr>
          <w:rFonts w:hint="eastAsia" w:ascii="宋体" w:hAnsi="宋体" w:eastAsia="宋体" w:cs="宋体"/>
          <w:b w:val="0"/>
          <w:bCs w:val="0"/>
          <w:spacing w:val="0"/>
          <w:sz w:val="28"/>
          <w:szCs w:val="28"/>
        </w:rPr>
        <w:t>采购</w:t>
      </w:r>
      <w:r>
        <w:rPr>
          <w:rFonts w:hint="eastAsia" w:ascii="宋体" w:hAnsi="宋体" w:eastAsia="宋体" w:cs="宋体"/>
          <w:b w:val="0"/>
          <w:bCs w:val="0"/>
          <w:sz w:val="28"/>
          <w:szCs w:val="28"/>
        </w:rPr>
        <w:t>人：</w:t>
      </w:r>
      <w:bookmarkEnd w:id="3"/>
      <w:r>
        <w:rPr>
          <w:rFonts w:hint="eastAsia" w:ascii="宋体" w:hAnsi="宋体" w:eastAsia="宋体" w:cs="宋体"/>
          <w:b w:val="0"/>
          <w:bCs w:val="0"/>
          <w:sz w:val="28"/>
          <w:szCs w:val="28"/>
          <w:lang w:val="en-US" w:eastAsia="zh-CN"/>
        </w:rPr>
        <w:t>神木市麟州街道办事处</w:t>
      </w:r>
    </w:p>
    <w:p w14:paraId="5398F4FA">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eastAsia" w:ascii="宋体" w:hAnsi="宋体" w:eastAsia="宋体" w:cs="宋体"/>
          <w:b w:val="0"/>
          <w:bCs w:val="0"/>
          <w:sz w:val="28"/>
          <w:szCs w:val="28"/>
          <w:lang w:eastAsia="zh-CN"/>
        </w:rPr>
      </w:pPr>
      <w:bookmarkStart w:id="4" w:name="_Toc11816"/>
      <w:r>
        <w:rPr>
          <w:rFonts w:hint="eastAsia" w:ascii="宋体" w:hAnsi="宋体" w:eastAsia="宋体" w:cs="宋体"/>
          <w:b w:val="0"/>
          <w:bCs w:val="0"/>
          <w:sz w:val="28"/>
          <w:szCs w:val="28"/>
        </w:rPr>
        <w:t>代理机构：</w:t>
      </w:r>
      <w:r>
        <w:rPr>
          <w:rFonts w:hint="eastAsia" w:ascii="宋体" w:hAnsi="宋体" w:eastAsia="宋体" w:cs="宋体"/>
          <w:b w:val="0"/>
          <w:bCs w:val="0"/>
          <w:sz w:val="28"/>
          <w:szCs w:val="28"/>
          <w:lang w:eastAsia="zh-CN"/>
        </w:rPr>
        <w:t>陕西天诚志业项目管理有限公司</w:t>
      </w:r>
      <w:bookmarkEnd w:id="4"/>
    </w:p>
    <w:p w14:paraId="77838A26">
      <w:pPr>
        <w:pStyle w:val="11"/>
        <w:keepNext w:val="0"/>
        <w:keepLines w:val="0"/>
        <w:pageBreakBefore w:val="0"/>
        <w:widowControl/>
        <w:kinsoku w:val="0"/>
        <w:wordWrap/>
        <w:overflowPunct/>
        <w:topLinePunct w:val="0"/>
        <w:autoSpaceDE w:val="0"/>
        <w:autoSpaceDN w:val="0"/>
        <w:bidi w:val="0"/>
        <w:adjustRightInd w:val="0"/>
        <w:snapToGrid w:val="0"/>
        <w:spacing w:after="0" w:line="600" w:lineRule="auto"/>
        <w:ind w:left="0" w:leftChars="0"/>
        <w:jc w:val="center"/>
        <w:textAlignment w:val="baseline"/>
        <w:outlineLvl w:val="9"/>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二〇二</w:t>
      </w:r>
      <w:r>
        <w:rPr>
          <w:rFonts w:hint="eastAsia" w:ascii="宋体" w:hAnsi="宋体" w:cs="宋体"/>
          <w:b w:val="0"/>
          <w:bCs w:val="0"/>
          <w:sz w:val="28"/>
          <w:szCs w:val="28"/>
          <w:lang w:val="en-US" w:eastAsia="zh-CN"/>
        </w:rPr>
        <w:t>六</w:t>
      </w:r>
      <w:r>
        <w:rPr>
          <w:rFonts w:hint="eastAsia" w:ascii="宋体" w:hAnsi="宋体" w:eastAsia="宋体" w:cs="宋体"/>
          <w:b w:val="0"/>
          <w:bCs w:val="0"/>
          <w:sz w:val="28"/>
          <w:szCs w:val="28"/>
          <w:lang w:eastAsia="zh-CN"/>
        </w:rPr>
        <w:t>年</w:t>
      </w:r>
      <w:r>
        <w:rPr>
          <w:rFonts w:hint="eastAsia" w:ascii="宋体" w:hAnsi="宋体" w:cs="宋体"/>
          <w:b w:val="0"/>
          <w:bCs w:val="0"/>
          <w:sz w:val="28"/>
          <w:szCs w:val="28"/>
          <w:lang w:val="en-US" w:eastAsia="zh-CN"/>
        </w:rPr>
        <w:t>一</w:t>
      </w:r>
      <w:r>
        <w:rPr>
          <w:rFonts w:hint="eastAsia" w:ascii="宋体" w:hAnsi="宋体" w:eastAsia="宋体" w:cs="宋体"/>
          <w:b w:val="0"/>
          <w:bCs w:val="0"/>
          <w:sz w:val="28"/>
          <w:szCs w:val="28"/>
          <w:lang w:eastAsia="zh-CN"/>
        </w:rPr>
        <w:t>月</w:t>
      </w:r>
    </w:p>
    <w:sdt>
      <w:sdtPr>
        <w:rPr>
          <w:rFonts w:hint="eastAsia" w:ascii="宋体" w:hAnsi="宋体" w:eastAsia="宋体" w:cs="宋体"/>
          <w:b/>
          <w:bCs/>
          <w:snapToGrid w:val="0"/>
          <w:color w:val="000000"/>
          <w:kern w:val="0"/>
          <w:sz w:val="36"/>
          <w:szCs w:val="36"/>
        </w:rPr>
        <w:id w:val="147472307"/>
        <w15:color w:val="DBDBDB"/>
        <w:docPartObj>
          <w:docPartGallery w:val="Table of Contents"/>
          <w:docPartUnique/>
        </w:docPartObj>
      </w:sdtPr>
      <w:sdtEndPr>
        <w:rPr>
          <w:rFonts w:hint="eastAsia" w:ascii="宋体" w:hAnsi="宋体" w:eastAsia="宋体" w:cs="宋体"/>
          <w:b/>
          <w:bCs/>
          <w:snapToGrid w:val="0"/>
          <w:color w:val="000000"/>
          <w:kern w:val="0"/>
          <w:sz w:val="24"/>
          <w:szCs w:val="31"/>
          <w:lang w:eastAsia="zh-CN"/>
        </w:rPr>
      </w:sdtEndPr>
      <w:sdtContent>
        <w:p w14:paraId="2A0F5455">
          <w:pPr>
            <w:keepNext w:val="0"/>
            <w:keepLines w:val="0"/>
            <w:pageBreakBefore w:val="0"/>
            <w:widowControl/>
            <w:wordWrap/>
            <w:overflowPunct/>
            <w:topLinePunct w:val="0"/>
            <w:bidi w:val="0"/>
            <w:spacing w:before="0" w:after="0" w:line="240" w:lineRule="auto"/>
            <w:ind w:left="0" w:leftChars="0" w:right="0" w:rightChars="0"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14:paraId="02635395">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TOC \o "1-2" \h \u </w:instrText>
          </w:r>
          <w:r>
            <w:rPr>
              <w:rFonts w:hint="eastAsia" w:ascii="宋体" w:hAnsi="宋体" w:eastAsia="宋体" w:cs="宋体"/>
              <w:b/>
              <w:bCs/>
              <w:sz w:val="28"/>
              <w:szCs w:val="28"/>
              <w:lang w:eastAsia="zh-CN"/>
            </w:rPr>
            <w:fldChar w:fldCharType="separate"/>
          </w: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_Toc14490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第一章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采购公告</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_Toc14490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3</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7A4DFBF">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_Toc19308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第二章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供应商须知</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_Toc19308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9</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1D6FF833">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_Toc29963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第三章</w:t>
          </w:r>
          <w:r>
            <w:rPr>
              <w:rFonts w:hint="eastAsia" w:ascii="宋体" w:hAnsi="宋体" w:eastAsia="宋体" w:cs="宋体"/>
              <w:b/>
              <w:sz w:val="28"/>
              <w:szCs w:val="28"/>
              <w:lang w:val="en-US" w:eastAsia="zh-CN"/>
            </w:rPr>
            <w:t xml:space="preserve"> 商务要求</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_Toc29963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41</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3D37BB0">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_Toc27267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第四章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合同条款</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_Toc27267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42</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576D53F5">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_Toc31327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第五章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采购内容及技术要求</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_Toc31327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42</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50AFDCCE">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_Toc17108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第六章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评审办法</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_Toc17108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51</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DAE050A">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_Toc2420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第七章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响应文件构成及格式</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_Toc2420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62</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76BFB5A1">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_Toc18886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第一部分 响应函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_Toc18886 \h </w:instrText>
          </w:r>
          <w:r>
            <w:rPr>
              <w:rFonts w:hint="eastAsia" w:ascii="宋体" w:hAnsi="宋体" w:eastAsia="宋体" w:cs="宋体"/>
              <w:sz w:val="28"/>
              <w:szCs w:val="28"/>
            </w:rPr>
            <w:fldChar w:fldCharType="separate"/>
          </w:r>
          <w:r>
            <w:rPr>
              <w:rFonts w:hint="eastAsia" w:ascii="宋体" w:hAnsi="宋体" w:eastAsia="宋体" w:cs="宋体"/>
              <w:sz w:val="28"/>
              <w:szCs w:val="28"/>
            </w:rPr>
            <w:t>64</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54E43522">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_Toc5572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第二部分 首次报价一览表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_Toc5572 \h </w:instrText>
          </w:r>
          <w:r>
            <w:rPr>
              <w:rFonts w:hint="eastAsia" w:ascii="宋体" w:hAnsi="宋体" w:eastAsia="宋体" w:cs="宋体"/>
              <w:sz w:val="28"/>
              <w:szCs w:val="28"/>
            </w:rPr>
            <w:fldChar w:fldCharType="separate"/>
          </w:r>
          <w:r>
            <w:rPr>
              <w:rFonts w:hint="eastAsia" w:ascii="宋体" w:hAnsi="宋体" w:eastAsia="宋体" w:cs="宋体"/>
              <w:sz w:val="28"/>
              <w:szCs w:val="28"/>
            </w:rPr>
            <w:t>65</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73870A21">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_Toc5057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第三部分 资格证明文件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_Toc5057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33DEF9A0">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_Toc9156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第四部分 供应商概况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_Toc9156 \h </w:instrText>
          </w:r>
          <w:r>
            <w:rPr>
              <w:rFonts w:hint="eastAsia" w:ascii="宋体" w:hAnsi="宋体" w:eastAsia="宋体" w:cs="宋体"/>
              <w:sz w:val="28"/>
              <w:szCs w:val="28"/>
            </w:rPr>
            <w:fldChar w:fldCharType="separate"/>
          </w:r>
          <w:r>
            <w:rPr>
              <w:rFonts w:hint="eastAsia" w:ascii="宋体" w:hAnsi="宋体" w:eastAsia="宋体" w:cs="宋体"/>
              <w:sz w:val="28"/>
              <w:szCs w:val="28"/>
            </w:rPr>
            <w:t>76</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031B3237">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_Toc27857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第五部分 供应商参加政府采购活动承诺书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_Toc27857 \h </w:instrText>
          </w:r>
          <w:r>
            <w:rPr>
              <w:rFonts w:hint="eastAsia" w:ascii="宋体" w:hAnsi="宋体" w:eastAsia="宋体" w:cs="宋体"/>
              <w:sz w:val="28"/>
              <w:szCs w:val="28"/>
            </w:rPr>
            <w:fldChar w:fldCharType="separate"/>
          </w:r>
          <w:r>
            <w:rPr>
              <w:rFonts w:hint="eastAsia" w:ascii="宋体" w:hAnsi="宋体" w:eastAsia="宋体" w:cs="宋体"/>
              <w:sz w:val="28"/>
              <w:szCs w:val="28"/>
            </w:rPr>
            <w:t>83</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1CF65B24">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b/>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_Toc20412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第六部分 响应方案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_Toc20412 \h </w:instrText>
          </w:r>
          <w:r>
            <w:rPr>
              <w:rFonts w:hint="eastAsia" w:ascii="宋体" w:hAnsi="宋体" w:eastAsia="宋体" w:cs="宋体"/>
              <w:sz w:val="28"/>
              <w:szCs w:val="28"/>
            </w:rPr>
            <w:fldChar w:fldCharType="separate"/>
          </w:r>
          <w:r>
            <w:rPr>
              <w:rFonts w:hint="eastAsia" w:ascii="宋体" w:hAnsi="宋体" w:eastAsia="宋体" w:cs="宋体"/>
              <w:sz w:val="28"/>
              <w:szCs w:val="28"/>
            </w:rPr>
            <w:t>87</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5D739DC7">
          <w:pPr>
            <w:pStyle w:val="11"/>
            <w:keepNext w:val="0"/>
            <w:keepLines w:val="0"/>
            <w:pageBreakBefore w:val="0"/>
            <w:widowControl/>
            <w:wordWrap/>
            <w:overflowPunct/>
            <w:topLinePunct w:val="0"/>
            <w:bidi w:val="0"/>
            <w:spacing w:line="240" w:lineRule="auto"/>
            <w:ind w:left="0" w:leftChars="0" w:firstLine="0" w:firstLineChars="0"/>
            <w:jc w:val="both"/>
            <w:rPr>
              <w:rFonts w:hint="eastAsia" w:ascii="宋体" w:hAnsi="宋体" w:eastAsia="宋体" w:cs="宋体"/>
              <w:b/>
              <w:bCs/>
              <w:sz w:val="31"/>
              <w:szCs w:val="31"/>
              <w:lang w:eastAsia="zh-CN"/>
            </w:rPr>
          </w:pPr>
          <w:r>
            <w:rPr>
              <w:rFonts w:hint="eastAsia" w:ascii="宋体" w:hAnsi="宋体" w:eastAsia="宋体" w:cs="宋体"/>
              <w:b/>
              <w:bCs/>
              <w:sz w:val="28"/>
              <w:szCs w:val="28"/>
              <w:lang w:eastAsia="zh-CN"/>
            </w:rPr>
            <w:fldChar w:fldCharType="end"/>
          </w:r>
        </w:p>
      </w:sdtContent>
    </w:sdt>
    <w:p w14:paraId="60483A52">
      <w:pPr>
        <w:pStyle w:val="11"/>
        <w:ind w:left="0" w:leftChars="0" w:firstLine="0" w:firstLineChars="0"/>
        <w:jc w:val="both"/>
        <w:rPr>
          <w:rFonts w:hint="eastAsia" w:ascii="宋体" w:hAnsi="宋体" w:eastAsia="宋体" w:cs="宋体"/>
          <w:b/>
          <w:bCs/>
          <w:sz w:val="31"/>
          <w:szCs w:val="31"/>
          <w:lang w:eastAsia="zh-CN"/>
        </w:rPr>
      </w:pPr>
    </w:p>
    <w:p w14:paraId="1131C64C">
      <w:pPr>
        <w:pStyle w:val="11"/>
        <w:ind w:left="0" w:leftChars="0" w:firstLine="0" w:firstLineChars="0"/>
        <w:jc w:val="both"/>
        <w:rPr>
          <w:rFonts w:hint="eastAsia" w:ascii="宋体" w:hAnsi="宋体" w:eastAsia="宋体" w:cs="宋体"/>
          <w:b/>
          <w:bCs/>
          <w:sz w:val="31"/>
          <w:szCs w:val="31"/>
          <w:lang w:eastAsia="zh-CN"/>
        </w:rPr>
      </w:pPr>
    </w:p>
    <w:p w14:paraId="42A46121">
      <w:pPr>
        <w:pStyle w:val="11"/>
        <w:ind w:left="0" w:leftChars="0" w:firstLine="0" w:firstLineChars="0"/>
        <w:jc w:val="both"/>
        <w:rPr>
          <w:rFonts w:hint="eastAsia" w:ascii="宋体" w:hAnsi="宋体" w:eastAsia="宋体" w:cs="宋体"/>
          <w:b/>
          <w:bCs/>
          <w:sz w:val="31"/>
          <w:szCs w:val="31"/>
          <w:lang w:eastAsia="zh-CN"/>
        </w:rPr>
      </w:pPr>
    </w:p>
    <w:p w14:paraId="33599DE7">
      <w:pPr>
        <w:pStyle w:val="11"/>
        <w:ind w:left="0" w:leftChars="0" w:firstLine="0" w:firstLineChars="0"/>
        <w:jc w:val="both"/>
        <w:rPr>
          <w:rFonts w:hint="eastAsia" w:ascii="宋体" w:hAnsi="宋体" w:eastAsia="宋体" w:cs="宋体"/>
          <w:b/>
          <w:bCs/>
          <w:sz w:val="31"/>
          <w:szCs w:val="31"/>
          <w:lang w:eastAsia="zh-CN"/>
        </w:rPr>
      </w:pPr>
    </w:p>
    <w:p w14:paraId="6DA043CF">
      <w:pPr>
        <w:pStyle w:val="2"/>
        <w:bidi w:val="0"/>
        <w:rPr>
          <w:rFonts w:hint="eastAsia"/>
          <w:lang w:eastAsia="zh-CN"/>
        </w:rPr>
        <w:sectPr>
          <w:headerReference r:id="rId5" w:type="default"/>
          <w:footerReference r:id="rId6"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1"/>
          <w:cols w:space="425" w:num="1"/>
          <w:docGrid w:type="lines" w:linePitch="312" w:charSpace="0"/>
        </w:sectPr>
      </w:pPr>
      <w:bookmarkStart w:id="5" w:name="_Toc14490"/>
    </w:p>
    <w:p w14:paraId="1E09B09F">
      <w:pPr>
        <w:pStyle w:val="2"/>
        <w:bidi w:val="0"/>
        <w:rPr>
          <w:rFonts w:hint="eastAsia" w:ascii="宋体" w:hAnsi="宋体" w:eastAsia="宋体" w:cs="宋体"/>
          <w:b/>
          <w:bCs/>
          <w:szCs w:val="35"/>
          <w:lang w:eastAsia="zh-CN"/>
        </w:rPr>
      </w:pPr>
      <w:r>
        <w:rPr>
          <w:rFonts w:hint="eastAsia"/>
          <w:lang w:eastAsia="zh-CN"/>
        </w:rPr>
        <w:t>第一章</w:t>
      </w:r>
      <w:r>
        <w:rPr>
          <w:rFonts w:hint="eastAsia"/>
          <w:lang w:val="en-US" w:eastAsia="zh-CN"/>
        </w:rPr>
        <w:t xml:space="preserve"> </w:t>
      </w:r>
      <w:r>
        <w:rPr>
          <w:rFonts w:hint="eastAsia"/>
          <w:lang w:eastAsia="zh-CN"/>
        </w:rPr>
        <w:t>采购公告</w:t>
      </w:r>
      <w:bookmarkEnd w:id="5"/>
    </w:p>
    <w:p w14:paraId="6BFAD63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1"/>
        <w:rPr>
          <w:rFonts w:hint="eastAsia" w:ascii="宋体" w:hAnsi="宋体" w:eastAsia="宋体" w:cs="宋体"/>
          <w:spacing w:val="0"/>
          <w:position w:val="0"/>
          <w:sz w:val="28"/>
          <w:szCs w:val="28"/>
        </w:rPr>
      </w:pPr>
      <w:bookmarkStart w:id="6" w:name="_Toc12869"/>
      <w:r>
        <w:rPr>
          <w:rFonts w:hint="eastAsia" w:ascii="宋体" w:hAnsi="宋体" w:eastAsia="宋体" w:cs="宋体"/>
          <w:spacing w:val="0"/>
          <w:position w:val="0"/>
          <w:sz w:val="28"/>
          <w:szCs w:val="28"/>
          <w:lang w:eastAsia="zh-CN"/>
          <w14:textOutline w14:w="3175" w14:cap="flat" w14:cmpd="sng">
            <w14:solidFill>
              <w14:srgbClr w14:val="000000"/>
            </w14:solidFill>
            <w14:prstDash w14:val="solid"/>
            <w14:miter w14:val="0"/>
          </w14:textOutline>
        </w:rPr>
        <w:t>神木市麟州街道办事处麟州街道病媒生物防治服务采购</w:t>
      </w:r>
      <w:r>
        <w:rPr>
          <w:rFonts w:hint="eastAsia" w:ascii="宋体" w:hAnsi="宋体" w:eastAsia="宋体" w:cs="宋体"/>
          <w:spacing w:val="0"/>
          <w:position w:val="0"/>
          <w:sz w:val="28"/>
          <w:szCs w:val="28"/>
          <w14:textOutline w14:w="3175" w14:cap="flat" w14:cmpd="sng">
            <w14:solidFill>
              <w14:srgbClr w14:val="000000"/>
            </w14:solidFill>
            <w14:prstDash w14:val="solid"/>
            <w14:miter w14:val="0"/>
          </w14:textOutline>
        </w:rPr>
        <w:t>公告</w:t>
      </w:r>
      <w:bookmarkEnd w:id="6"/>
    </w:p>
    <w:p w14:paraId="6ECCF699">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sz w:val="23"/>
          <w:szCs w:val="23"/>
        </w:rPr>
      </w:pPr>
      <w:r>
        <w:rPr>
          <w:rFonts w:hint="eastAsia" w:ascii="宋体" w:hAnsi="宋体" w:eastAsia="宋体" w:cs="宋体"/>
          <w:b/>
          <w:bCs/>
          <w:sz w:val="23"/>
          <w:szCs w:val="23"/>
        </w:rPr>
        <w:t>项目概况</w:t>
      </w:r>
    </w:p>
    <w:p w14:paraId="713EBA7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麟州街道病媒生物防治服务采购项目的潜在供应商应在登录陕西省公共资源交易平台（www.sxggzyjy.cn）报名后自行下载获取采购文件，并于202</w:t>
      </w:r>
      <w:bookmarkStart w:id="185" w:name="_GoBack"/>
      <w:bookmarkEnd w:id="185"/>
      <w:r>
        <w:rPr>
          <w:rFonts w:hint="eastAsia" w:ascii="宋体" w:hAnsi="宋体" w:eastAsia="宋体" w:cs="宋体"/>
          <w:sz w:val="23"/>
          <w:szCs w:val="23"/>
        </w:rPr>
        <w:t>6年02月06日13时30分（北京时间）前提交响应文件。</w:t>
      </w:r>
    </w:p>
    <w:p w14:paraId="278AE461">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一、项目基本情况</w:t>
      </w:r>
    </w:p>
    <w:p w14:paraId="2275E3A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项目编号：TCZY-CG2026001</w:t>
      </w:r>
    </w:p>
    <w:p w14:paraId="61EEE1C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项目名称：麟州街道病媒生物防治服务</w:t>
      </w:r>
    </w:p>
    <w:p w14:paraId="38D5D01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采购方式：竞争性磋商</w:t>
      </w:r>
    </w:p>
    <w:p w14:paraId="5BAC595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预算金额：1,900,000.00元</w:t>
      </w:r>
    </w:p>
    <w:p w14:paraId="4ACF7F3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采购需求：</w:t>
      </w:r>
    </w:p>
    <w:p w14:paraId="37B822E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合同包1(麟州街道病媒生物防治服务):</w:t>
      </w:r>
    </w:p>
    <w:p w14:paraId="0F60F14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合同包预算金额：1,900,000.00元</w:t>
      </w:r>
    </w:p>
    <w:p w14:paraId="29F989E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合同包最高限价：1,800,000.00元</w:t>
      </w:r>
    </w:p>
    <w:tbl>
      <w:tblPr>
        <w:tblStyle w:val="19"/>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596"/>
      </w:tblGrid>
      <w:tr w14:paraId="1152B3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384" w:type="dxa"/>
            <w:vAlign w:val="center"/>
          </w:tcPr>
          <w:p w14:paraId="697FCD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品目号</w:t>
            </w:r>
          </w:p>
        </w:tc>
        <w:tc>
          <w:tcPr>
            <w:tcW w:w="1384" w:type="dxa"/>
            <w:vAlign w:val="center"/>
          </w:tcPr>
          <w:p w14:paraId="462414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品目名称</w:t>
            </w:r>
          </w:p>
        </w:tc>
        <w:tc>
          <w:tcPr>
            <w:tcW w:w="1384" w:type="dxa"/>
            <w:vAlign w:val="center"/>
          </w:tcPr>
          <w:p w14:paraId="536310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采购标的</w:t>
            </w:r>
          </w:p>
        </w:tc>
        <w:tc>
          <w:tcPr>
            <w:tcW w:w="1384" w:type="dxa"/>
            <w:vAlign w:val="center"/>
          </w:tcPr>
          <w:p w14:paraId="2F2579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数量（单位）</w:t>
            </w:r>
          </w:p>
        </w:tc>
        <w:tc>
          <w:tcPr>
            <w:tcW w:w="1384" w:type="dxa"/>
            <w:vAlign w:val="center"/>
          </w:tcPr>
          <w:p w14:paraId="1B7088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技术规格、参数及要求</w:t>
            </w:r>
          </w:p>
        </w:tc>
        <w:tc>
          <w:tcPr>
            <w:tcW w:w="1384" w:type="dxa"/>
            <w:vAlign w:val="center"/>
          </w:tcPr>
          <w:p w14:paraId="143D5E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品目预算(元)</w:t>
            </w:r>
          </w:p>
        </w:tc>
      </w:tr>
      <w:tr w14:paraId="62E5CE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384" w:type="dxa"/>
            <w:vAlign w:val="center"/>
          </w:tcPr>
          <w:p w14:paraId="2A8993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1-1</w:t>
            </w:r>
          </w:p>
        </w:tc>
        <w:tc>
          <w:tcPr>
            <w:tcW w:w="1384" w:type="dxa"/>
            <w:vAlign w:val="center"/>
          </w:tcPr>
          <w:p w14:paraId="6D5FCD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其他服务</w:t>
            </w:r>
          </w:p>
        </w:tc>
        <w:tc>
          <w:tcPr>
            <w:tcW w:w="1384" w:type="dxa"/>
            <w:vAlign w:val="center"/>
          </w:tcPr>
          <w:p w14:paraId="68CA31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服务</w:t>
            </w:r>
          </w:p>
        </w:tc>
        <w:tc>
          <w:tcPr>
            <w:tcW w:w="1384" w:type="dxa"/>
            <w:vAlign w:val="center"/>
          </w:tcPr>
          <w:p w14:paraId="42717E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1(项)</w:t>
            </w:r>
          </w:p>
        </w:tc>
        <w:tc>
          <w:tcPr>
            <w:tcW w:w="1384" w:type="dxa"/>
            <w:vAlign w:val="center"/>
          </w:tcPr>
          <w:p w14:paraId="2BE1FA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详见采购文件</w:t>
            </w:r>
          </w:p>
        </w:tc>
        <w:tc>
          <w:tcPr>
            <w:tcW w:w="1384" w:type="dxa"/>
            <w:vAlign w:val="center"/>
          </w:tcPr>
          <w:p w14:paraId="434929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1,900,000.00</w:t>
            </w:r>
          </w:p>
        </w:tc>
      </w:tr>
    </w:tbl>
    <w:p w14:paraId="5D2B366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本合同包不接受联合体投标</w:t>
      </w:r>
    </w:p>
    <w:p w14:paraId="4D8CDF2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合同履行期限：一年</w:t>
      </w:r>
    </w:p>
    <w:p w14:paraId="0D4A6F4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二、申请人的资格要求：</w:t>
      </w:r>
    </w:p>
    <w:p w14:paraId="61F6466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1.满足《中华人民共和国政府采购法》第二十二条规定;</w:t>
      </w:r>
    </w:p>
    <w:p w14:paraId="3536161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2.落实政府采购政策需满足的资格要求：</w:t>
      </w:r>
    </w:p>
    <w:p w14:paraId="43AC048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合同包1(麟州街道病媒生物防治服务)落实政府采购政策需满足的资格要求如下:</w:t>
      </w:r>
    </w:p>
    <w:p w14:paraId="2EDF93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w:t>
      </w:r>
      <w:r>
        <w:rPr>
          <w:rFonts w:hint="eastAsia" w:ascii="宋体" w:hAnsi="宋体" w:eastAsia="宋体" w:cs="宋体"/>
          <w:sz w:val="23"/>
          <w:szCs w:val="23"/>
        </w:rPr>
        <w:t>《政府采购促进中小企业发展管理办法》(财库〔2020〕46号)；</w:t>
      </w:r>
    </w:p>
    <w:p w14:paraId="231CD9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w:t>
      </w:r>
      <w:r>
        <w:rPr>
          <w:rFonts w:hint="eastAsia" w:ascii="宋体" w:hAnsi="宋体" w:eastAsia="宋体" w:cs="宋体"/>
          <w:sz w:val="23"/>
          <w:szCs w:val="23"/>
        </w:rPr>
        <w:t>《关于进一步加大政府采购支持中小企业力度的通知》(财库〔2022〕19号)；</w:t>
      </w:r>
    </w:p>
    <w:p w14:paraId="1FA67A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（3）</w:t>
      </w:r>
      <w:r>
        <w:rPr>
          <w:rFonts w:hint="eastAsia" w:ascii="宋体" w:hAnsi="宋体" w:eastAsia="宋体" w:cs="宋体"/>
          <w:sz w:val="23"/>
          <w:szCs w:val="23"/>
        </w:rPr>
        <w:t>《陕西省财政厅关于进一步加大政府采购支持中小企业力度的通知》(陕财办采(2022)5号)；</w:t>
      </w:r>
    </w:p>
    <w:p w14:paraId="0D08B3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（4）</w:t>
      </w:r>
      <w:r>
        <w:rPr>
          <w:rFonts w:hint="eastAsia" w:ascii="宋体" w:hAnsi="宋体" w:eastAsia="宋体" w:cs="宋体"/>
          <w:sz w:val="23"/>
          <w:szCs w:val="23"/>
        </w:rPr>
        <w:t>《陕西省财政厅关于落实政府采购支持中小企业政策有关事项的通知》(陕财办采函〔2022〕10号)；</w:t>
      </w:r>
    </w:p>
    <w:p w14:paraId="1FDC4E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（5）</w:t>
      </w:r>
      <w:r>
        <w:rPr>
          <w:rFonts w:hint="eastAsia" w:ascii="宋体" w:hAnsi="宋体" w:eastAsia="宋体" w:cs="宋体"/>
          <w:sz w:val="23"/>
          <w:szCs w:val="23"/>
        </w:rPr>
        <w:t>《榆林市财政局关于进一步加大政府采购支持中小企业力度的通知》(榆政财采发(2022)10号)；</w:t>
      </w:r>
    </w:p>
    <w:p w14:paraId="12B932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（6）</w:t>
      </w:r>
      <w:r>
        <w:rPr>
          <w:rFonts w:hint="eastAsia" w:ascii="宋体" w:hAnsi="宋体" w:eastAsia="宋体" w:cs="宋体"/>
          <w:sz w:val="23"/>
          <w:szCs w:val="23"/>
        </w:rPr>
        <w:t>《财政部司法部关于政府采购支持监狱企业发展有关问题的通知》(财库〔2014〕68号)；</w:t>
      </w:r>
    </w:p>
    <w:p w14:paraId="1AA65A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（7）</w:t>
      </w:r>
      <w:r>
        <w:rPr>
          <w:rFonts w:hint="eastAsia" w:ascii="宋体" w:hAnsi="宋体" w:eastAsia="宋体" w:cs="宋体"/>
          <w:sz w:val="23"/>
          <w:szCs w:val="23"/>
        </w:rPr>
        <w:t>《关于促进残疾人就业政府采购政策的通知》(财库〔2017〕141号)；</w:t>
      </w:r>
    </w:p>
    <w:p w14:paraId="5153D2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（8）</w:t>
      </w:r>
      <w:r>
        <w:rPr>
          <w:rFonts w:hint="eastAsia" w:ascii="宋体" w:hAnsi="宋体" w:eastAsia="宋体" w:cs="宋体"/>
          <w:sz w:val="23"/>
          <w:szCs w:val="23"/>
        </w:rPr>
        <w:t>《关于进一步加强政府绿色采购有关问题的通知》(陕财办采〔2021〕29号)；</w:t>
      </w:r>
    </w:p>
    <w:p w14:paraId="5EA142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（9）</w:t>
      </w:r>
      <w:r>
        <w:rPr>
          <w:rFonts w:hint="eastAsia" w:ascii="宋体" w:hAnsi="宋体" w:eastAsia="宋体" w:cs="宋体"/>
          <w:sz w:val="23"/>
          <w:szCs w:val="23"/>
        </w:rPr>
        <w:t>《财政部国家发展改革委关于印发(节能产品政府采购实施意见)的通知》(财库(2004)185号)；</w:t>
      </w:r>
    </w:p>
    <w:p w14:paraId="5B61B4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（10）</w:t>
      </w:r>
      <w:r>
        <w:rPr>
          <w:rFonts w:hint="eastAsia" w:ascii="宋体" w:hAnsi="宋体" w:eastAsia="宋体" w:cs="宋体"/>
          <w:sz w:val="23"/>
          <w:szCs w:val="23"/>
        </w:rPr>
        <w:t>《国务院办公厅关于建立政府强制采购节能产品制度的通知》(国办发(2007)51号)；</w:t>
      </w:r>
    </w:p>
    <w:p w14:paraId="35C02C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（11）</w:t>
      </w:r>
      <w:r>
        <w:rPr>
          <w:rFonts w:hint="eastAsia" w:ascii="宋体" w:hAnsi="宋体" w:eastAsia="宋体" w:cs="宋体"/>
          <w:sz w:val="23"/>
          <w:szCs w:val="23"/>
        </w:rPr>
        <w:t>《关于印发节能产品政府采购品目清单的通知》(财库〔2019〕19号)；</w:t>
      </w:r>
    </w:p>
    <w:p w14:paraId="69E0A0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（12）</w:t>
      </w:r>
      <w:r>
        <w:rPr>
          <w:rFonts w:hint="eastAsia" w:ascii="宋体" w:hAnsi="宋体" w:eastAsia="宋体" w:cs="宋体"/>
          <w:sz w:val="23"/>
          <w:szCs w:val="23"/>
        </w:rPr>
        <w:t>《财政部发展改革委生态环境部市场监管总局关于调整优化节能产品、环境标志产品政府采购执行机制的通知》(财库〔2019〕9号)；</w:t>
      </w:r>
    </w:p>
    <w:p w14:paraId="0ADFEB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（13）</w:t>
      </w:r>
      <w:r>
        <w:rPr>
          <w:rFonts w:hint="eastAsia" w:ascii="宋体" w:hAnsi="宋体" w:eastAsia="宋体" w:cs="宋体"/>
          <w:sz w:val="23"/>
          <w:szCs w:val="23"/>
        </w:rPr>
        <w:t>《关于环境标志产品政府采购实施的意见》(财库(2006)90号)；</w:t>
      </w:r>
    </w:p>
    <w:p w14:paraId="082085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（14）</w:t>
      </w:r>
      <w:r>
        <w:rPr>
          <w:rFonts w:hint="eastAsia" w:ascii="宋体" w:hAnsi="宋体" w:eastAsia="宋体" w:cs="宋体"/>
          <w:sz w:val="23"/>
          <w:szCs w:val="23"/>
        </w:rPr>
        <w:t>《市场监管总局关于发布参与实施政府采购节能产品、环境标志产品认证机构名录的公告》(2019年第16号)；</w:t>
      </w:r>
    </w:p>
    <w:p w14:paraId="71380C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（15）</w:t>
      </w:r>
      <w:r>
        <w:rPr>
          <w:rFonts w:hint="eastAsia" w:ascii="宋体" w:hAnsi="宋体" w:eastAsia="宋体" w:cs="宋体"/>
          <w:sz w:val="23"/>
          <w:szCs w:val="23"/>
        </w:rPr>
        <w:t>《关于印发环境标志产品政府采购品目清单的通知》(财库〔2019〕18号)；</w:t>
      </w:r>
    </w:p>
    <w:p w14:paraId="13D0BF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（16）</w:t>
      </w:r>
      <w:r>
        <w:rPr>
          <w:rFonts w:hint="eastAsia" w:ascii="宋体" w:hAnsi="宋体" w:eastAsia="宋体" w:cs="宋体"/>
          <w:sz w:val="23"/>
          <w:szCs w:val="23"/>
        </w:rPr>
        <w:t>《陕西省中小企业政府采购信用融资办法》(陕财办采(2018)23号)；</w:t>
      </w:r>
    </w:p>
    <w:p w14:paraId="5A2AB8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（17）</w:t>
      </w:r>
      <w:r>
        <w:rPr>
          <w:rFonts w:hint="eastAsia" w:ascii="宋体" w:hAnsi="宋体" w:eastAsia="宋体" w:cs="宋体"/>
          <w:sz w:val="23"/>
          <w:szCs w:val="23"/>
        </w:rPr>
        <w:t>《陕西省财政厅关于加快推进我省中小企业政府采购信用融资工作的通知》(陕财办采〔2020〕15号)；</w:t>
      </w:r>
    </w:p>
    <w:p w14:paraId="05197D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（18）</w:t>
      </w:r>
      <w:r>
        <w:rPr>
          <w:rFonts w:hint="eastAsia" w:ascii="宋体" w:hAnsi="宋体" w:eastAsia="宋体" w:cs="宋体"/>
          <w:sz w:val="23"/>
          <w:szCs w:val="23"/>
        </w:rPr>
        <w:t>《财政部关于在政府采购活动中落实平等对待内外资企业有关政策的通知》(财库〔2021〕35号)；</w:t>
      </w:r>
    </w:p>
    <w:p w14:paraId="1B33D4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（19）</w:t>
      </w:r>
      <w:r>
        <w:rPr>
          <w:rFonts w:hint="eastAsia" w:ascii="宋体" w:hAnsi="宋体" w:eastAsia="宋体" w:cs="宋体"/>
          <w:sz w:val="23"/>
          <w:szCs w:val="23"/>
        </w:rPr>
        <w:t>《陕西省财政厅中国人民银行西安分行关于深入推进政府采购信用融资业务的通知》（陕财办采〔2023〕5号）；</w:t>
      </w:r>
    </w:p>
    <w:p w14:paraId="67CD4D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（20）</w:t>
      </w:r>
      <w:r>
        <w:rPr>
          <w:rFonts w:hint="eastAsia" w:ascii="宋体" w:hAnsi="宋体" w:eastAsia="宋体" w:cs="宋体"/>
          <w:sz w:val="23"/>
          <w:szCs w:val="23"/>
        </w:rPr>
        <w:t>《财政部农业农村部国家乡村振兴局关于运用政府采购政策支持乡村产业振兴的通知》(财库〔2021〕19号)；</w:t>
      </w:r>
    </w:p>
    <w:p w14:paraId="5AAB55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（21）</w:t>
      </w:r>
      <w:r>
        <w:rPr>
          <w:rFonts w:hint="eastAsia" w:ascii="宋体" w:hAnsi="宋体" w:eastAsia="宋体" w:cs="宋体"/>
          <w:sz w:val="23"/>
          <w:szCs w:val="23"/>
        </w:rPr>
        <w:t>《财政部关于在政府采购活动中查询及使用信用记录有关问题的通知》(财库〔2016〕125号)；</w:t>
      </w:r>
    </w:p>
    <w:p w14:paraId="377D12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（22）</w:t>
      </w:r>
      <w:r>
        <w:rPr>
          <w:rFonts w:hint="eastAsia" w:ascii="宋体" w:hAnsi="宋体" w:eastAsia="宋体" w:cs="宋体"/>
          <w:sz w:val="23"/>
          <w:szCs w:val="23"/>
        </w:rPr>
        <w:t>其他需要落实的政府采购政策。</w:t>
      </w:r>
    </w:p>
    <w:p w14:paraId="45F5D7D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3.本项目的特定资格要求：</w:t>
      </w:r>
    </w:p>
    <w:p w14:paraId="18490AB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合同包1(麟州街道病媒生物防治服务)特定资格要求如下:</w:t>
      </w:r>
    </w:p>
    <w:p w14:paraId="1DAA2E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w:t>
      </w:r>
      <w:r>
        <w:rPr>
          <w:rFonts w:hint="eastAsia" w:ascii="宋体" w:hAnsi="宋体" w:eastAsia="宋体" w:cs="宋体"/>
          <w:sz w:val="23"/>
          <w:szCs w:val="23"/>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6DFF4B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w:t>
      </w:r>
      <w:r>
        <w:rPr>
          <w:rFonts w:hint="eastAsia" w:ascii="宋体" w:hAnsi="宋体" w:eastAsia="宋体" w:cs="宋体"/>
          <w:sz w:val="23"/>
          <w:szCs w:val="23"/>
        </w:rPr>
        <w:t>提供2024年度的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321455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（3）</w:t>
      </w:r>
      <w:r>
        <w:rPr>
          <w:rFonts w:hint="eastAsia" w:ascii="宋体" w:hAnsi="宋体" w:eastAsia="宋体" w:cs="宋体"/>
          <w:sz w:val="23"/>
          <w:szCs w:val="23"/>
        </w:rPr>
        <w:t>税收缴纳证明：提供2025年1月至投标截止时间止至少一个月的纳税证明(银行缴费凭证)或完税证明，依法免税的单位应提供相关证明材料；</w:t>
      </w:r>
    </w:p>
    <w:p w14:paraId="3FB771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（4）</w:t>
      </w:r>
      <w:r>
        <w:rPr>
          <w:rFonts w:hint="eastAsia" w:ascii="宋体" w:hAnsi="宋体" w:eastAsia="宋体" w:cs="宋体"/>
          <w:sz w:val="23"/>
          <w:szCs w:val="23"/>
        </w:rPr>
        <w:t>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051371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（5）</w:t>
      </w:r>
      <w:r>
        <w:rPr>
          <w:rFonts w:hint="eastAsia" w:ascii="宋体" w:hAnsi="宋体" w:eastAsia="宋体" w:cs="宋体"/>
          <w:sz w:val="23"/>
          <w:szCs w:val="23"/>
        </w:rPr>
        <w:t>参加政府采购活动前三年内，在经营活动中没有重大违法记录的书面声明；</w:t>
      </w:r>
    </w:p>
    <w:p w14:paraId="30362F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（6）</w:t>
      </w:r>
      <w:r>
        <w:rPr>
          <w:rFonts w:hint="eastAsia" w:ascii="宋体" w:hAnsi="宋体" w:eastAsia="宋体" w:cs="宋体"/>
          <w:sz w:val="23"/>
          <w:szCs w:val="23"/>
        </w:rPr>
        <w:t>提供具有履行合同所必需的设备和专业技术能力的证明资料或承诺书；</w:t>
      </w:r>
    </w:p>
    <w:p w14:paraId="616478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（7）</w:t>
      </w:r>
      <w:r>
        <w:rPr>
          <w:rFonts w:hint="eastAsia" w:ascii="宋体" w:hAnsi="宋体" w:eastAsia="宋体" w:cs="宋体"/>
          <w:sz w:val="23"/>
          <w:szCs w:val="23"/>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72B5C5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（8）</w:t>
      </w:r>
      <w:r>
        <w:rPr>
          <w:rFonts w:hint="eastAsia" w:ascii="宋体" w:hAnsi="宋体" w:eastAsia="宋体" w:cs="宋体"/>
          <w:sz w:val="23"/>
          <w:szCs w:val="23"/>
        </w:rPr>
        <w:t>本项目采用“投标信用承诺书”代替投标保证金（在信用中国（陕西榆林）网站公示）；</w:t>
      </w:r>
    </w:p>
    <w:p w14:paraId="29F78E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（9）</w:t>
      </w:r>
      <w:r>
        <w:rPr>
          <w:rFonts w:hint="eastAsia" w:ascii="宋体" w:hAnsi="宋体" w:eastAsia="宋体" w:cs="宋体"/>
          <w:sz w:val="23"/>
          <w:szCs w:val="23"/>
        </w:rPr>
        <w:t>提供榆林市政府采购工程类/货物类/服务类项目供应商信用承诺书（在信用中国（陕西榆林）网站公示）；</w:t>
      </w:r>
    </w:p>
    <w:p w14:paraId="6745B7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（10）</w:t>
      </w:r>
      <w:r>
        <w:rPr>
          <w:rFonts w:hint="eastAsia" w:ascii="宋体" w:hAnsi="宋体" w:eastAsia="宋体" w:cs="宋体"/>
          <w:sz w:val="23"/>
          <w:szCs w:val="23"/>
        </w:rPr>
        <w:t>法定代表人参加开标的，提供本人身份证，法定代表人授权他人参加开标的，提供法定代表人授权委托书和投标人委托代理人员信用承诺书（在信用中国（陕西榆林）网站公示）。</w:t>
      </w:r>
    </w:p>
    <w:p w14:paraId="5BD7D2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sz w:val="23"/>
          <w:szCs w:val="23"/>
        </w:rPr>
      </w:pPr>
      <w:r>
        <w:rPr>
          <w:rFonts w:hint="eastAsia" w:ascii="宋体" w:hAnsi="宋体" w:eastAsia="宋体" w:cs="宋体"/>
          <w:b/>
          <w:bCs/>
          <w:sz w:val="23"/>
          <w:szCs w:val="23"/>
        </w:rPr>
        <w:t>备注：</w:t>
      </w:r>
      <w:r>
        <w:rPr>
          <w:rFonts w:hint="eastAsia" w:ascii="宋体" w:hAnsi="宋体" w:eastAsia="宋体" w:cs="宋体"/>
          <w:sz w:val="23"/>
          <w:szCs w:val="23"/>
        </w:rPr>
        <w:t>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390B314E">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三、获取采购文件</w:t>
      </w:r>
    </w:p>
    <w:p w14:paraId="503F759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时间：2026年01月27日至2026年02月02日，每天上午08:00:00至12:00:00，下午12:00:00至18:00:00（北京时间）</w:t>
      </w:r>
    </w:p>
    <w:p w14:paraId="728698D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途径：登录陕西省公共资源交易平台（www.sxggzyjy.cn）报名后自行下载</w:t>
      </w:r>
    </w:p>
    <w:p w14:paraId="2B01485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方式：在线获取</w:t>
      </w:r>
    </w:p>
    <w:p w14:paraId="16415AC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售价：免费获取</w:t>
      </w:r>
    </w:p>
    <w:p w14:paraId="41525191">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四、响应文件提交</w:t>
      </w:r>
    </w:p>
    <w:p w14:paraId="5A8762B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截止时间：2026年02月06日13时30分00秒（北京时间）</w:t>
      </w:r>
    </w:p>
    <w:p w14:paraId="6980F88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地点：通过陕西省公共资源交易平台（www.sxggzyjy.cn）网上提交</w:t>
      </w:r>
    </w:p>
    <w:p w14:paraId="2F707C48">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五、开启</w:t>
      </w:r>
    </w:p>
    <w:p w14:paraId="126B4EA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时间：2026年02月06日13时30分00秒（北京时间）</w:t>
      </w:r>
    </w:p>
    <w:p w14:paraId="49908D9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地点：榆林市公共资源交易中心</w:t>
      </w:r>
    </w:p>
    <w:p w14:paraId="52DA6F62">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六、公告期限</w:t>
      </w:r>
    </w:p>
    <w:p w14:paraId="71D48DE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自本公告发布之日起3个工作日。</w:t>
      </w:r>
    </w:p>
    <w:p w14:paraId="3DECAE3C">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七、其他补充事宜</w:t>
      </w:r>
    </w:p>
    <w:p w14:paraId="0ED0627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1.请供应商按照陕西省财政厅关于政府采购投标人注册登记有关事项的通知中的要求，通过陕西省政府采购网（http：//www.ccgp-shaanxi.gov.cn/）注册登记加入陕西省政府采购供应商库。</w:t>
      </w:r>
    </w:p>
    <w:p w14:paraId="1953B4B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供应商通过交易平台完成诚信入库登记后（入库操作流程详见全国公共资源交易平台（陕西省）网站首页“服务指南”下载专区中的《陕西省省级单位电子化政府采购项目投标指南》）可登录全国公共资源交易中心平台(陕西省)(http：//www.sxggzyjy.cn/),选择“电子交易平台-陕西政府采购交易系统-陕西省公共资源交易平台-投标人”进行登录，登录后选择“交易乙方”身份进入投标人界面进行报名并免费下载采购文件。特别提醒：本项目采用电子化不见面开标方式，供应商须在“全国公共资源交易中心平台(陕西省)(http：//www.sxggzyjy.cn/)”的“服务指南”栏目“下载专区”中，免费下载“陕西省公共资源交易平台政府采购电子标书制作工具”及“政府采购投标单位操作手册”，并使用该客户端制作电子响应文件，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投标文件制作软件技术支持热线：400-998-0000。CA锁购买：榆林市榆阳区文化南路市民大厦(3楼，E18、E19窗口，联系电话：0912-3452148)购买,或下载手机APP：陕公共资源交易服务，线上购买。</w:t>
      </w:r>
    </w:p>
    <w:p w14:paraId="147E87D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3.建议使用带有麦克风和摄像头的笔记本电脑。</w:t>
      </w:r>
    </w:p>
    <w:p w14:paraId="2B4EA93E">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八、对本次招标提出询问，请按以下方式联系</w:t>
      </w:r>
    </w:p>
    <w:p w14:paraId="26A1785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1.采购人信息</w:t>
      </w:r>
    </w:p>
    <w:p w14:paraId="2F01D23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名称：神木市麟州街道办事处</w:t>
      </w:r>
    </w:p>
    <w:p w14:paraId="1485BFB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地址：神木市东兴街中段100号</w:t>
      </w:r>
    </w:p>
    <w:p w14:paraId="24B3FDA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联系方式：15332621023</w:t>
      </w:r>
    </w:p>
    <w:p w14:paraId="514540E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2.采购代理机构信息</w:t>
      </w:r>
    </w:p>
    <w:p w14:paraId="1EDCB5C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名称：陕西天诚志业项目管理有限公司</w:t>
      </w:r>
    </w:p>
    <w:p w14:paraId="3E5AAD4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地址：陕西省榆林市神木市神木镇滨河新区鸳鸯塔1号商住楼</w:t>
      </w:r>
    </w:p>
    <w:p w14:paraId="0E0F93B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联系方式：15929395778</w:t>
      </w:r>
    </w:p>
    <w:p w14:paraId="4D8493D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3.项目联系方式</w:t>
      </w:r>
    </w:p>
    <w:p w14:paraId="1E5EE61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项目联系人：张强</w:t>
      </w:r>
    </w:p>
    <w:p w14:paraId="328E79F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电话：15929395778</w:t>
      </w:r>
    </w:p>
    <w:p w14:paraId="3D11512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671C898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BD3A33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FDDE6D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333F0D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21555F2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58E756D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1BF306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65F6F9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9AC958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71AD38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7291F9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7505F4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9CF262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7CCAD3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0EAB3CB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0F2E20D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EB3EEE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7A8C0C1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5763F2A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B119EA5">
      <w:pPr>
        <w:rPr>
          <w:rFonts w:hint="eastAsia"/>
          <w:lang w:eastAsia="zh-CN"/>
        </w:rPr>
      </w:pPr>
      <w:bookmarkStart w:id="7" w:name="_Toc19308"/>
      <w:r>
        <w:rPr>
          <w:rFonts w:hint="eastAsia"/>
          <w:lang w:eastAsia="zh-CN"/>
        </w:rPr>
        <w:br w:type="page"/>
      </w:r>
    </w:p>
    <w:p w14:paraId="608BDF1D">
      <w:pPr>
        <w:pStyle w:val="2"/>
        <w:bidi w:val="0"/>
        <w:rPr>
          <w:rFonts w:hint="eastAsia" w:ascii="宋体" w:hAnsi="宋体" w:cs="宋体"/>
          <w:b/>
          <w:bCs/>
          <w:szCs w:val="35"/>
          <w:lang w:eastAsia="zh-CN"/>
        </w:rPr>
      </w:pPr>
      <w:r>
        <w:rPr>
          <w:rFonts w:hint="eastAsia"/>
          <w:lang w:eastAsia="zh-CN"/>
        </w:rPr>
        <w:t>第二章</w:t>
      </w:r>
      <w:r>
        <w:rPr>
          <w:rFonts w:hint="eastAsia"/>
          <w:lang w:val="en-US" w:eastAsia="zh-CN"/>
        </w:rPr>
        <w:t xml:space="preserve"> </w:t>
      </w:r>
      <w:r>
        <w:rPr>
          <w:rFonts w:hint="eastAsia"/>
          <w:lang w:eastAsia="zh-CN"/>
        </w:rPr>
        <w:t>供应商须知</w:t>
      </w:r>
      <w:bookmarkEnd w:id="7"/>
    </w:p>
    <w:p w14:paraId="730CE8B3">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240" w:lineRule="auto"/>
        <w:ind w:leftChars="0"/>
        <w:jc w:val="both"/>
        <w:textAlignment w:val="baseline"/>
        <w:rPr>
          <w:rFonts w:hint="eastAsia" w:ascii="宋体" w:hAnsi="宋体" w:cs="宋体"/>
          <w:b/>
          <w:bCs/>
          <w:sz w:val="28"/>
          <w:szCs w:val="28"/>
          <w:lang w:eastAsia="zh-CN"/>
        </w:rPr>
      </w:pPr>
      <w:bookmarkStart w:id="8" w:name="_Toc2121_WPSOffice_Level2"/>
      <w:r>
        <w:rPr>
          <w:rFonts w:hint="eastAsia" w:ascii="宋体" w:hAnsi="宋体" w:cs="宋体"/>
          <w:b/>
          <w:bCs/>
          <w:sz w:val="28"/>
          <w:szCs w:val="28"/>
          <w:lang w:val="en-US" w:eastAsia="zh-CN"/>
        </w:rPr>
        <w:t>供应商须知前附表</w:t>
      </w:r>
      <w:bookmarkEnd w:id="8"/>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200"/>
        <w:gridCol w:w="338"/>
        <w:gridCol w:w="1950"/>
        <w:gridCol w:w="1380"/>
        <w:gridCol w:w="1470"/>
        <w:gridCol w:w="1305"/>
        <w:gridCol w:w="364"/>
      </w:tblGrid>
      <w:tr w14:paraId="2FA5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153B5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序号</w:t>
            </w:r>
          </w:p>
        </w:tc>
        <w:tc>
          <w:tcPr>
            <w:tcW w:w="1200" w:type="dxa"/>
            <w:vAlign w:val="center"/>
          </w:tcPr>
          <w:p w14:paraId="7632CB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条款号</w:t>
            </w:r>
          </w:p>
        </w:tc>
        <w:tc>
          <w:tcPr>
            <w:tcW w:w="6807" w:type="dxa"/>
            <w:gridSpan w:val="6"/>
            <w:vAlign w:val="center"/>
          </w:tcPr>
          <w:p w14:paraId="19BBFB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编列内容</w:t>
            </w:r>
          </w:p>
        </w:tc>
      </w:tr>
      <w:tr w14:paraId="0FAA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C155C2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200" w:type="dxa"/>
            <w:vAlign w:val="center"/>
          </w:tcPr>
          <w:p w14:paraId="7773E7C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6807" w:type="dxa"/>
            <w:gridSpan w:val="6"/>
            <w:vAlign w:val="center"/>
          </w:tcPr>
          <w:p w14:paraId="3FBE17E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170"/>
                <w:sz w:val="23"/>
                <w:szCs w:val="23"/>
                <w:vertAlign w:val="baseline"/>
                <w:lang w:eastAsia="zh-CN"/>
              </w:rPr>
              <w:t>采购</w:t>
            </w:r>
            <w:r>
              <w:rPr>
                <w:rFonts w:hint="eastAsia" w:ascii="宋体" w:hAnsi="宋体" w:cs="宋体"/>
                <w:b w:val="0"/>
                <w:bCs w:val="0"/>
                <w:sz w:val="23"/>
                <w:szCs w:val="23"/>
                <w:vertAlign w:val="baseline"/>
                <w:lang w:eastAsia="zh-CN"/>
              </w:rPr>
              <w:t>人</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神木市麟州街道办事处</w:t>
            </w:r>
          </w:p>
          <w:p w14:paraId="2B678C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w:t>
            </w:r>
            <w:r>
              <w:rPr>
                <w:rFonts w:hint="eastAsia" w:ascii="宋体" w:hAnsi="宋体" w:cs="宋体"/>
                <w:b w:val="0"/>
                <w:bCs w:val="0"/>
                <w:sz w:val="23"/>
                <w:szCs w:val="23"/>
                <w:vertAlign w:val="baseline"/>
                <w:lang w:eastAsia="zh-CN"/>
              </w:rPr>
              <w:t>神木市东兴街中段100号</w:t>
            </w:r>
          </w:p>
          <w:p w14:paraId="03A8F4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563ABF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pacing w:val="454"/>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w:t>
            </w:r>
            <w:r>
              <w:rPr>
                <w:rFonts w:hint="eastAsia" w:ascii="宋体" w:hAnsi="宋体" w:cs="宋体"/>
                <w:b w:val="0"/>
                <w:bCs w:val="0"/>
                <w:sz w:val="23"/>
                <w:szCs w:val="23"/>
                <w:vertAlign w:val="baseline"/>
                <w:lang w:val="en-US" w:eastAsia="zh-CN"/>
              </w:rPr>
              <w:t>15332621023</w:t>
            </w:r>
          </w:p>
        </w:tc>
      </w:tr>
      <w:tr w14:paraId="0805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85DB67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200" w:type="dxa"/>
            <w:vAlign w:val="center"/>
          </w:tcPr>
          <w:p w14:paraId="180D7A7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6807" w:type="dxa"/>
            <w:gridSpan w:val="6"/>
            <w:vAlign w:val="center"/>
          </w:tcPr>
          <w:p w14:paraId="759D737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采购代理机构：陕西天诚志业项目管理有限公司</w:t>
            </w:r>
          </w:p>
          <w:p w14:paraId="0417EF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址：陕西省榆林市神木市滨河新区鸳鸯塔1号商住楼</w:t>
            </w:r>
          </w:p>
          <w:p w14:paraId="27B6E5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532177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w:t>
            </w:r>
            <w:r>
              <w:rPr>
                <w:rFonts w:hint="eastAsia" w:ascii="宋体" w:hAnsi="宋体" w:cs="宋体"/>
                <w:b w:val="0"/>
                <w:bCs w:val="0"/>
                <w:sz w:val="23"/>
                <w:szCs w:val="23"/>
                <w:vertAlign w:val="baseline"/>
                <w:lang w:val="en-US" w:eastAsia="zh-CN"/>
              </w:rPr>
              <w:t>15929395778</w:t>
            </w:r>
          </w:p>
        </w:tc>
      </w:tr>
      <w:tr w14:paraId="1E68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E2C094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200" w:type="dxa"/>
            <w:vAlign w:val="center"/>
          </w:tcPr>
          <w:p w14:paraId="2B7209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c>
        <w:tc>
          <w:tcPr>
            <w:tcW w:w="6807" w:type="dxa"/>
            <w:gridSpan w:val="6"/>
            <w:vAlign w:val="center"/>
          </w:tcPr>
          <w:p w14:paraId="10EFB46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神木市麟州街道办事处麟州街道病媒生物防治服务</w:t>
            </w:r>
          </w:p>
        </w:tc>
      </w:tr>
      <w:tr w14:paraId="3BF2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48B46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200" w:type="dxa"/>
            <w:vAlign w:val="center"/>
          </w:tcPr>
          <w:p w14:paraId="7625204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服务地点</w:t>
            </w:r>
          </w:p>
        </w:tc>
        <w:tc>
          <w:tcPr>
            <w:tcW w:w="6807" w:type="dxa"/>
            <w:gridSpan w:val="6"/>
            <w:vAlign w:val="center"/>
          </w:tcPr>
          <w:p w14:paraId="1B3DBDA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采购人指定地点</w:t>
            </w:r>
          </w:p>
        </w:tc>
      </w:tr>
      <w:tr w14:paraId="36BE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F36262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p>
        </w:tc>
        <w:tc>
          <w:tcPr>
            <w:tcW w:w="1200" w:type="dxa"/>
            <w:vAlign w:val="center"/>
          </w:tcPr>
          <w:p w14:paraId="2C16C1F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服务期</w:t>
            </w:r>
          </w:p>
        </w:tc>
        <w:tc>
          <w:tcPr>
            <w:tcW w:w="6807" w:type="dxa"/>
            <w:gridSpan w:val="6"/>
            <w:vAlign w:val="center"/>
          </w:tcPr>
          <w:p w14:paraId="4FAF6E5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一年</w:t>
            </w:r>
          </w:p>
        </w:tc>
      </w:tr>
      <w:tr w14:paraId="4395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9B6038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p>
        </w:tc>
        <w:tc>
          <w:tcPr>
            <w:tcW w:w="1200" w:type="dxa"/>
            <w:vAlign w:val="center"/>
          </w:tcPr>
          <w:p w14:paraId="6E9B48C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是否接受联合体</w:t>
            </w:r>
          </w:p>
        </w:tc>
        <w:tc>
          <w:tcPr>
            <w:tcW w:w="6807" w:type="dxa"/>
            <w:gridSpan w:val="6"/>
            <w:vAlign w:val="center"/>
          </w:tcPr>
          <w:p w14:paraId="3E90E07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w:t>
            </w:r>
            <w:r>
              <w:rPr>
                <w:rFonts w:hint="eastAsia" w:ascii="宋体" w:hAnsi="宋体" w:cs="宋体"/>
                <w:b w:val="0"/>
                <w:bCs w:val="0"/>
                <w:sz w:val="23"/>
                <w:szCs w:val="23"/>
                <w:vertAlign w:val="baseline"/>
                <w:lang w:val="en-US" w:eastAsia="zh-CN"/>
              </w:rPr>
              <w:t>不</w:t>
            </w:r>
            <w:r>
              <w:rPr>
                <w:rFonts w:hint="eastAsia" w:ascii="宋体" w:hAnsi="宋体" w:eastAsia="宋体" w:cs="宋体"/>
                <w:b w:val="0"/>
                <w:bCs w:val="0"/>
                <w:sz w:val="23"/>
                <w:szCs w:val="23"/>
                <w:vertAlign w:val="baseline"/>
                <w:lang w:val="en-US" w:eastAsia="zh-CN"/>
              </w:rPr>
              <w:t>接受联合体投标</w:t>
            </w:r>
          </w:p>
        </w:tc>
      </w:tr>
      <w:tr w14:paraId="353E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AE7FBF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p>
        </w:tc>
        <w:tc>
          <w:tcPr>
            <w:tcW w:w="1200" w:type="dxa"/>
            <w:vAlign w:val="center"/>
          </w:tcPr>
          <w:p w14:paraId="7600060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6807" w:type="dxa"/>
            <w:gridSpan w:val="6"/>
            <w:vAlign w:val="center"/>
          </w:tcPr>
          <w:p w14:paraId="44938D4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资金来源：</w:t>
            </w:r>
            <w:r>
              <w:rPr>
                <w:rFonts w:hint="eastAsia" w:ascii="宋体" w:hAnsi="宋体" w:cs="宋体"/>
                <w:b w:val="0"/>
                <w:bCs w:val="0"/>
                <w:sz w:val="23"/>
                <w:szCs w:val="23"/>
                <w:vertAlign w:val="baseline"/>
                <w:lang w:val="en-US" w:eastAsia="zh-CN"/>
              </w:rPr>
              <w:t>财政资金</w:t>
            </w:r>
          </w:p>
        </w:tc>
      </w:tr>
      <w:tr w14:paraId="1715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FC964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p>
        </w:tc>
        <w:tc>
          <w:tcPr>
            <w:tcW w:w="1200" w:type="dxa"/>
            <w:vAlign w:val="center"/>
          </w:tcPr>
          <w:p w14:paraId="728AD90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p>
        </w:tc>
        <w:tc>
          <w:tcPr>
            <w:tcW w:w="6807" w:type="dxa"/>
            <w:gridSpan w:val="6"/>
            <w:vAlign w:val="center"/>
          </w:tcPr>
          <w:p w14:paraId="7206A71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不允许提供备选方案</w:t>
            </w:r>
          </w:p>
        </w:tc>
      </w:tr>
      <w:tr w14:paraId="2233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F6E950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p>
        </w:tc>
        <w:tc>
          <w:tcPr>
            <w:tcW w:w="1200" w:type="dxa"/>
            <w:vAlign w:val="center"/>
          </w:tcPr>
          <w:p w14:paraId="7283F8E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p>
        </w:tc>
        <w:tc>
          <w:tcPr>
            <w:tcW w:w="6807" w:type="dxa"/>
            <w:gridSpan w:val="6"/>
            <w:vAlign w:val="center"/>
          </w:tcPr>
          <w:p w14:paraId="5B18550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采购内容具体见</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文件中</w:t>
            </w:r>
            <w:r>
              <w:rPr>
                <w:rFonts w:hint="eastAsia" w:ascii="宋体" w:hAnsi="宋体" w:cs="宋体"/>
                <w:b w:val="0"/>
                <w:bCs w:val="0"/>
                <w:sz w:val="23"/>
                <w:szCs w:val="23"/>
                <w:vertAlign w:val="baseline"/>
                <w:lang w:eastAsia="zh-CN"/>
              </w:rPr>
              <w:t>“</w:t>
            </w:r>
            <w:r>
              <w:rPr>
                <w:rFonts w:hint="eastAsia" w:ascii="宋体" w:hAnsi="宋体" w:eastAsia="宋体" w:cs="宋体"/>
                <w:b w:val="0"/>
                <w:bCs w:val="0"/>
                <w:sz w:val="23"/>
                <w:szCs w:val="23"/>
                <w:vertAlign w:val="baseline"/>
                <w:lang w:eastAsia="zh-CN"/>
              </w:rPr>
              <w:t>采购内容及技术要求</w:t>
            </w:r>
            <w:r>
              <w:rPr>
                <w:rFonts w:hint="eastAsia" w:ascii="宋体" w:hAnsi="宋体" w:cs="宋体"/>
                <w:b w:val="0"/>
                <w:bCs w:val="0"/>
                <w:sz w:val="23"/>
                <w:szCs w:val="23"/>
                <w:vertAlign w:val="baseline"/>
                <w:lang w:eastAsia="zh-CN"/>
              </w:rPr>
              <w:t>”</w:t>
            </w:r>
            <w:r>
              <w:rPr>
                <w:rFonts w:hint="eastAsia" w:ascii="宋体" w:hAnsi="宋体" w:eastAsia="宋体" w:cs="宋体"/>
                <w:b w:val="0"/>
                <w:bCs w:val="0"/>
                <w:sz w:val="23"/>
                <w:szCs w:val="23"/>
                <w:vertAlign w:val="baseline"/>
                <w:lang w:eastAsia="zh-CN"/>
              </w:rPr>
              <w:t>本次采购、报价、</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、评审和合同授予均以“包”为单位，供应商必须就整个</w:t>
            </w:r>
          </w:p>
          <w:p w14:paraId="7CD420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“包”进行响应</w:t>
            </w:r>
          </w:p>
        </w:tc>
      </w:tr>
      <w:tr w14:paraId="0F9F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9953E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w:t>
            </w:r>
          </w:p>
        </w:tc>
        <w:tc>
          <w:tcPr>
            <w:tcW w:w="1200" w:type="dxa"/>
            <w:vAlign w:val="center"/>
          </w:tcPr>
          <w:p w14:paraId="2494909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付款方式</w:t>
            </w:r>
          </w:p>
        </w:tc>
        <w:tc>
          <w:tcPr>
            <w:tcW w:w="6807" w:type="dxa"/>
            <w:gridSpan w:val="6"/>
            <w:vAlign w:val="center"/>
          </w:tcPr>
          <w:p w14:paraId="6B28C8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合同签订后，预付款合同总价的40％，剩余60％尾款待签订合同三个月内一次性结清。</w:t>
            </w:r>
          </w:p>
          <w:p w14:paraId="285153B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注：1）成交供应商的开户银行、账户名称、银行账号以本合同提供的为准，如有变更，成交供应商应在合同规定的相关付款期限十天之前以书面方式通知采购人并加盖财务专用章。如未正确依照上述规定执行而影响相关款项的支付，则由此产生的责任由成交供应商自负；</w:t>
            </w:r>
          </w:p>
          <w:p w14:paraId="437986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2）履约情况：项目实施完成后，采购人组织相关部门及人员进行验收，验收不合格的，造成的后果由供货商承担，并负担采购人的一切损失。</w:t>
            </w:r>
          </w:p>
        </w:tc>
      </w:tr>
      <w:tr w14:paraId="7859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502B33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1200" w:type="dxa"/>
            <w:vAlign w:val="center"/>
          </w:tcPr>
          <w:p w14:paraId="25B7806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21DD34A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val="en-US" w:eastAsia="zh-CN"/>
              </w:rPr>
              <w:t>资格</w:t>
            </w:r>
            <w:r>
              <w:rPr>
                <w:rFonts w:hint="eastAsia" w:ascii="宋体" w:hAnsi="宋体" w:cs="宋体"/>
                <w:b/>
                <w:bCs/>
                <w:sz w:val="23"/>
                <w:szCs w:val="23"/>
                <w:vertAlign w:val="baseline"/>
                <w:lang w:val="en-US" w:eastAsia="zh-CN"/>
              </w:rPr>
              <w:t>要求</w:t>
            </w:r>
            <w:r>
              <w:rPr>
                <w:rFonts w:hint="eastAsia" w:ascii="宋体" w:hAnsi="宋体" w:eastAsia="宋体" w:cs="宋体"/>
                <w:b/>
                <w:bCs/>
                <w:sz w:val="23"/>
                <w:szCs w:val="23"/>
                <w:vertAlign w:val="baseline"/>
                <w:lang w:val="en-US" w:eastAsia="zh-CN"/>
              </w:rPr>
              <w:t>：</w:t>
            </w:r>
          </w:p>
          <w:p w14:paraId="55A0EA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cs="宋体"/>
                <w:b/>
                <w:bCs/>
                <w:sz w:val="23"/>
                <w:szCs w:val="23"/>
                <w:vertAlign w:val="baseline"/>
                <w:lang w:val="en-US" w:eastAsia="zh-CN"/>
              </w:rPr>
              <w:t>供应商</w:t>
            </w:r>
            <w:r>
              <w:rPr>
                <w:rFonts w:hint="eastAsia" w:ascii="宋体" w:hAnsi="宋体" w:eastAsia="宋体" w:cs="宋体"/>
                <w:b/>
                <w:bCs/>
                <w:sz w:val="23"/>
                <w:szCs w:val="23"/>
                <w:vertAlign w:val="baseline"/>
                <w:lang w:val="en-US" w:eastAsia="zh-CN"/>
              </w:rPr>
              <w:t>应具备《中华人民共和国政府采购法》第二十二条规定的条件</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并提供以下资格证明文件：</w:t>
            </w:r>
          </w:p>
          <w:p w14:paraId="048E78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0434464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2）提供2024年度的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017D67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（3）税收缴纳证明：提供2025年1月至投标截止时间止至少一个月的纳税证明(银行缴费凭证)或完税证明，依法免税的单位应提供相关证明材料；</w:t>
            </w:r>
          </w:p>
          <w:p w14:paraId="435D96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（4）社会保障资金缴纳证明：提供2025年1月至投标截止时间止至少一个月的社会保障资金银行缴费单据或社保机构开具的社会保险参保缴费情况证明，依法不需要缴纳社会保障资金的单位应提供相关证明材料；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3460A1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（5）参加政府采购活动前三年内，在经营活动中没有重大违法记录的书面声明；</w:t>
            </w:r>
          </w:p>
          <w:p w14:paraId="2BAFB9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（6）提供具有履行合同所必需的设备和专业技术能力的证明资料或承诺书；</w:t>
            </w:r>
          </w:p>
          <w:p w14:paraId="77C8F24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7）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5725BA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（8）本项目采用“投标信用承诺书”代替投标保证金（在信用中国（陕西榆林）网站公示）；</w:t>
            </w:r>
          </w:p>
          <w:p w14:paraId="151520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（9）提供榆林市政府采购工程类/货物类/服务类项目供应商信用承诺书（在信用中国（陕西榆林）网站公示）；</w:t>
            </w:r>
          </w:p>
          <w:p w14:paraId="333EE5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kern w:val="2"/>
                <w:sz w:val="23"/>
                <w:szCs w:val="23"/>
                <w:lang w:val="en-US" w:eastAsia="zh-CN" w:bidi="ar-SA"/>
              </w:rPr>
            </w:pPr>
            <w:r>
              <w:rPr>
                <w:rFonts w:hint="eastAsia" w:ascii="宋体" w:hAnsi="宋体" w:cs="宋体"/>
                <w:kern w:val="2"/>
                <w:sz w:val="23"/>
                <w:szCs w:val="23"/>
                <w:lang w:val="en-US" w:eastAsia="zh-CN" w:bidi="ar-SA"/>
              </w:rPr>
              <w:t>（10）法定代表人参加开标的，提供本人身份证，法定代表人授权他人参加开标的，提供法定代表人授权委托书和投标人委托代理人员信用承诺书（在信用中国（陕西榆林）网站公示）。</w:t>
            </w:r>
          </w:p>
          <w:p w14:paraId="3DCDE8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bCs/>
                <w:kern w:val="2"/>
                <w:sz w:val="23"/>
                <w:szCs w:val="23"/>
                <w:lang w:val="en-US" w:eastAsia="zh-CN" w:bidi="ar-SA"/>
              </w:rPr>
              <w:t>备注：</w:t>
            </w:r>
            <w:r>
              <w:rPr>
                <w:rFonts w:hint="eastAsia" w:ascii="宋体" w:hAnsi="宋体" w:cs="宋体"/>
                <w:kern w:val="2"/>
                <w:sz w:val="23"/>
                <w:szCs w:val="23"/>
                <w:lang w:val="en-US" w:eastAsia="zh-CN" w:bidi="ar-SA"/>
              </w:rPr>
              <w:t>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tc>
      </w:tr>
      <w:tr w14:paraId="536C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8B37E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1200" w:type="dxa"/>
            <w:vAlign w:val="center"/>
          </w:tcPr>
          <w:p w14:paraId="2723FA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p>
        </w:tc>
        <w:tc>
          <w:tcPr>
            <w:tcW w:w="6807" w:type="dxa"/>
            <w:gridSpan w:val="6"/>
            <w:vAlign w:val="center"/>
          </w:tcPr>
          <w:p w14:paraId="39BBCD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firstLine="0" w:firstLine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本项目采用“投标信用承诺书”代替投标保证金，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文件的同时按照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文件给定的格式在指定位置附“投标信用（保证金）承诺书”，并且将“投标信用（保证金）承诺”在“信用中国（陕西榆林）”进行公示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投标保证金的有效期与投标有效期一致。 </w:t>
            </w:r>
          </w:p>
        </w:tc>
      </w:tr>
      <w:tr w14:paraId="2727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BFFC4F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p>
        </w:tc>
        <w:tc>
          <w:tcPr>
            <w:tcW w:w="1200" w:type="dxa"/>
            <w:vAlign w:val="center"/>
          </w:tcPr>
          <w:p w14:paraId="4419765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14818EC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截止之日起90日历天</w:t>
            </w:r>
          </w:p>
        </w:tc>
      </w:tr>
      <w:tr w14:paraId="1E47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002B80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w:t>
            </w:r>
          </w:p>
        </w:tc>
        <w:tc>
          <w:tcPr>
            <w:tcW w:w="1200" w:type="dxa"/>
            <w:vAlign w:val="center"/>
          </w:tcPr>
          <w:p w14:paraId="73F3C3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6991F4BC">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文件正本份数：壹份；副本份数：贰份</w:t>
            </w:r>
            <w:r>
              <w:rPr>
                <w:rFonts w:hint="eastAsia" w:ascii="宋体" w:hAnsi="宋体" w:cs="宋体"/>
                <w:b w:val="0"/>
                <w:bCs w:val="0"/>
                <w:sz w:val="23"/>
                <w:szCs w:val="23"/>
                <w:vertAlign w:val="baseline"/>
                <w:lang w:val="en-US" w:eastAsia="zh-CN"/>
              </w:rPr>
              <w:t>；电子U盘</w:t>
            </w:r>
            <w:r>
              <w:rPr>
                <w:rFonts w:hint="eastAsia" w:ascii="宋体" w:hAnsi="宋体" w:eastAsia="宋体" w:cs="宋体"/>
                <w:b w:val="0"/>
                <w:bCs w:val="0"/>
                <w:sz w:val="23"/>
                <w:szCs w:val="23"/>
                <w:vertAlign w:val="baseline"/>
                <w:lang w:val="en-US" w:eastAsia="zh-CN"/>
              </w:rPr>
              <w:t xml:space="preserve">贰份。 </w:t>
            </w:r>
          </w:p>
          <w:p w14:paraId="4F6B37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文件装订要求：胶装</w:t>
            </w:r>
          </w:p>
          <w:p w14:paraId="2A776F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将一正两副纸质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递交给代理公司</w:t>
            </w:r>
            <w:r>
              <w:rPr>
                <w:rFonts w:hint="eastAsia" w:ascii="宋体" w:hAnsi="宋体" w:eastAsia="宋体" w:cs="宋体"/>
                <w:b w:val="0"/>
                <w:bCs w:val="0"/>
                <w:sz w:val="23"/>
                <w:szCs w:val="23"/>
                <w:vertAlign w:val="baseline"/>
                <w:lang w:val="en-US" w:eastAsia="zh-CN"/>
              </w:rPr>
              <w:t>（备案用）（地址：</w:t>
            </w:r>
            <w:r>
              <w:rPr>
                <w:rFonts w:hint="eastAsia" w:ascii="宋体" w:hAnsi="宋体" w:eastAsia="宋体" w:cs="宋体"/>
                <w:b w:val="0"/>
                <w:bCs w:val="0"/>
                <w:sz w:val="23"/>
                <w:szCs w:val="23"/>
                <w:vertAlign w:val="baseline"/>
                <w:lang w:eastAsia="zh-CN"/>
              </w:rPr>
              <w:t>陕西省榆林市神木市陕西省榆林市神木市神木镇滨河新区鸳鸯塔1号商住楼</w:t>
            </w:r>
            <w:r>
              <w:rPr>
                <w:rFonts w:hint="eastAsia" w:ascii="宋体" w:hAnsi="宋体" w:eastAsia="宋体" w:cs="宋体"/>
                <w:b w:val="0"/>
                <w:bCs w:val="0"/>
                <w:sz w:val="23"/>
                <w:szCs w:val="23"/>
                <w:vertAlign w:val="baseline"/>
                <w:lang w:val="en-US" w:eastAsia="zh-CN"/>
              </w:rPr>
              <w:t>，联系人：</w:t>
            </w:r>
            <w:r>
              <w:rPr>
                <w:rFonts w:hint="eastAsia" w:ascii="宋体" w:hAnsi="宋体" w:cs="宋体"/>
                <w:b w:val="0"/>
                <w:bCs w:val="0"/>
                <w:sz w:val="23"/>
                <w:szCs w:val="23"/>
                <w:vertAlign w:val="baseline"/>
                <w:lang w:val="en-US" w:eastAsia="zh-CN"/>
              </w:rPr>
              <w:t>张强</w:t>
            </w:r>
            <w:r>
              <w:rPr>
                <w:rFonts w:hint="eastAsia" w:ascii="宋体" w:hAnsi="宋体" w:eastAsia="宋体" w:cs="宋体"/>
                <w:b w:val="0"/>
                <w:bCs w:val="0"/>
                <w:sz w:val="23"/>
                <w:szCs w:val="23"/>
                <w:vertAlign w:val="baseline"/>
                <w:lang w:val="en-US" w:eastAsia="zh-CN"/>
              </w:rPr>
              <w:t xml:space="preserve"> 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w:t>
            </w:r>
          </w:p>
        </w:tc>
      </w:tr>
      <w:tr w14:paraId="5681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7013E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w:t>
            </w:r>
          </w:p>
        </w:tc>
        <w:tc>
          <w:tcPr>
            <w:tcW w:w="1200" w:type="dxa"/>
            <w:vAlign w:val="center"/>
          </w:tcPr>
          <w:p w14:paraId="179E5C3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17.1</w:t>
            </w:r>
          </w:p>
        </w:tc>
        <w:tc>
          <w:tcPr>
            <w:tcW w:w="6807" w:type="dxa"/>
            <w:gridSpan w:val="6"/>
            <w:vAlign w:val="center"/>
          </w:tcPr>
          <w:p w14:paraId="3AFBD6E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文件正本、所有的副本需密封装在封袋中（封袋不得有破损），且在封袋正面标明“正本、副本”字样。封袋应加贴封条，在封线处由法定代表人或授权委托人代表签字并加盖投标人</w:t>
            </w:r>
            <w:r>
              <w:rPr>
                <w:rFonts w:hint="eastAsia" w:ascii="宋体" w:hAnsi="宋体" w:cs="宋体"/>
                <w:b w:val="0"/>
                <w:bCs w:val="0"/>
                <w:sz w:val="23"/>
                <w:szCs w:val="23"/>
                <w:vertAlign w:val="baseline"/>
                <w:lang w:val="en-US" w:eastAsia="zh-CN"/>
              </w:rPr>
              <w:t>公</w:t>
            </w:r>
            <w:r>
              <w:rPr>
                <w:rFonts w:hint="eastAsia" w:ascii="宋体" w:hAnsi="宋体" w:eastAsia="宋体" w:cs="宋体"/>
                <w:b w:val="0"/>
                <w:bCs w:val="0"/>
                <w:sz w:val="23"/>
                <w:szCs w:val="23"/>
                <w:vertAlign w:val="baseline"/>
                <w:lang w:val="en-US" w:eastAsia="zh-CN"/>
              </w:rPr>
              <w:t>章，封袋正面要粘贴</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全称、项目名称、编号等标识。（详见总则</w:t>
            </w:r>
          </w:p>
          <w:p w14:paraId="38CCF4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投标文件的密封和标记）</w:t>
            </w:r>
          </w:p>
        </w:tc>
      </w:tr>
      <w:tr w14:paraId="33B2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5A7D7F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16</w:t>
            </w:r>
          </w:p>
        </w:tc>
        <w:tc>
          <w:tcPr>
            <w:tcW w:w="1200" w:type="dxa"/>
            <w:vAlign w:val="center"/>
          </w:tcPr>
          <w:p w14:paraId="4B7D7ED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18.1</w:t>
            </w:r>
          </w:p>
        </w:tc>
        <w:tc>
          <w:tcPr>
            <w:tcW w:w="6807" w:type="dxa"/>
            <w:gridSpan w:val="6"/>
            <w:vAlign w:val="center"/>
          </w:tcPr>
          <w:p w14:paraId="1E26AD2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文件递交截止时间：</w:t>
            </w:r>
            <w:r>
              <w:rPr>
                <w:rFonts w:hint="eastAsia" w:ascii="宋体" w:hAnsi="宋体" w:cs="宋体"/>
                <w:b w:val="0"/>
                <w:bCs w:val="0"/>
                <w:sz w:val="23"/>
                <w:szCs w:val="23"/>
                <w:vertAlign w:val="baseline"/>
                <w:lang w:val="en-US" w:eastAsia="zh-CN"/>
              </w:rPr>
              <w:t>2026年02月06日13时30分</w:t>
            </w:r>
            <w:r>
              <w:rPr>
                <w:rFonts w:hint="eastAsia" w:ascii="宋体" w:hAnsi="宋体" w:eastAsia="宋体" w:cs="宋体"/>
                <w:b w:val="0"/>
                <w:bCs w:val="0"/>
                <w:sz w:val="23"/>
                <w:szCs w:val="23"/>
                <w:vertAlign w:val="baseline"/>
                <w:lang w:val="en-US" w:eastAsia="zh-CN"/>
              </w:rPr>
              <w:t xml:space="preserve">；（北京时间） </w:t>
            </w:r>
          </w:p>
          <w:p w14:paraId="100511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文件递交地址：从陕西省公共资源交易平台（www</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cn）网上提交</w:t>
            </w:r>
          </w:p>
        </w:tc>
      </w:tr>
      <w:tr w14:paraId="7809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F597CA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w:t>
            </w:r>
          </w:p>
        </w:tc>
        <w:tc>
          <w:tcPr>
            <w:tcW w:w="1200" w:type="dxa"/>
            <w:vAlign w:val="center"/>
          </w:tcPr>
          <w:p w14:paraId="29579C6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21.1</w:t>
            </w:r>
          </w:p>
        </w:tc>
        <w:tc>
          <w:tcPr>
            <w:tcW w:w="6807" w:type="dxa"/>
            <w:gridSpan w:val="6"/>
            <w:vAlign w:val="center"/>
          </w:tcPr>
          <w:p w14:paraId="479D6CC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开标时间：</w:t>
            </w:r>
            <w:r>
              <w:rPr>
                <w:rFonts w:hint="eastAsia" w:ascii="宋体" w:hAnsi="宋体" w:cs="宋体"/>
                <w:b w:val="0"/>
                <w:bCs w:val="0"/>
                <w:sz w:val="23"/>
                <w:szCs w:val="23"/>
                <w:vertAlign w:val="baseline"/>
                <w:lang w:val="en-US" w:eastAsia="zh-CN"/>
              </w:rPr>
              <w:t>2026年02月06日13时30分</w:t>
            </w:r>
            <w:r>
              <w:rPr>
                <w:rFonts w:hint="eastAsia" w:ascii="宋体" w:hAnsi="宋体" w:eastAsia="宋体" w:cs="宋体"/>
                <w:b w:val="0"/>
                <w:bCs w:val="0"/>
                <w:sz w:val="23"/>
                <w:szCs w:val="23"/>
                <w:vertAlign w:val="baseline"/>
                <w:lang w:val="en-US" w:eastAsia="zh-CN"/>
              </w:rPr>
              <w:t xml:space="preserve">（北京时间） </w:t>
            </w:r>
          </w:p>
          <w:p w14:paraId="486A18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开标地点：榆林市公共资源交易中心</w:t>
            </w:r>
          </w:p>
        </w:tc>
      </w:tr>
      <w:tr w14:paraId="6EAA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15A3EF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w:t>
            </w:r>
          </w:p>
        </w:tc>
        <w:tc>
          <w:tcPr>
            <w:tcW w:w="1200" w:type="dxa"/>
            <w:vAlign w:val="center"/>
          </w:tcPr>
          <w:p w14:paraId="2490594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w:t>
            </w:r>
          </w:p>
        </w:tc>
        <w:tc>
          <w:tcPr>
            <w:tcW w:w="6807" w:type="dxa"/>
            <w:gridSpan w:val="6"/>
            <w:vAlign w:val="center"/>
          </w:tcPr>
          <w:p w14:paraId="73F1BB1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评标方法：</w:t>
            </w:r>
            <w:r>
              <w:rPr>
                <w:rFonts w:hint="eastAsia" w:ascii="宋体" w:hAnsi="宋体" w:cs="宋体"/>
                <w:b w:val="0"/>
                <w:bCs w:val="0"/>
                <w:sz w:val="23"/>
                <w:szCs w:val="23"/>
                <w:vertAlign w:val="baseline"/>
                <w:lang w:val="en-US" w:eastAsia="zh-CN"/>
              </w:rPr>
              <w:t>综合评标法</w:t>
            </w:r>
            <w:r>
              <w:rPr>
                <w:rFonts w:hint="eastAsia" w:ascii="宋体" w:hAnsi="宋体" w:eastAsia="宋体" w:cs="宋体"/>
                <w:b w:val="0"/>
                <w:bCs w:val="0"/>
                <w:sz w:val="23"/>
                <w:szCs w:val="23"/>
                <w:vertAlign w:val="baseline"/>
                <w:lang w:val="en-US" w:eastAsia="zh-CN"/>
              </w:rPr>
              <w:t>（详见第六章）</w:t>
            </w:r>
          </w:p>
        </w:tc>
      </w:tr>
      <w:tr w14:paraId="2970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37AE32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19</w:t>
            </w:r>
          </w:p>
        </w:tc>
        <w:tc>
          <w:tcPr>
            <w:tcW w:w="1200" w:type="dxa"/>
            <w:tcBorders>
              <w:bottom w:val="single" w:color="auto" w:sz="4" w:space="0"/>
            </w:tcBorders>
            <w:vAlign w:val="center"/>
          </w:tcPr>
          <w:p w14:paraId="4EF310B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现场踏勘</w:t>
            </w:r>
          </w:p>
        </w:tc>
        <w:tc>
          <w:tcPr>
            <w:tcW w:w="6807" w:type="dxa"/>
            <w:gridSpan w:val="6"/>
            <w:tcBorders>
              <w:bottom w:val="single" w:color="auto" w:sz="4" w:space="0"/>
            </w:tcBorders>
            <w:vAlign w:val="center"/>
          </w:tcPr>
          <w:p w14:paraId="5F056ED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可根据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内容对项目现场或周边环境自行踏勘，由此引发的费用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自行承担，</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不组织</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踏勘现场</w:t>
            </w:r>
          </w:p>
        </w:tc>
      </w:tr>
      <w:tr w14:paraId="13FA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restart"/>
            <w:vAlign w:val="center"/>
          </w:tcPr>
          <w:p w14:paraId="23C7FBA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w:t>
            </w:r>
          </w:p>
        </w:tc>
        <w:tc>
          <w:tcPr>
            <w:tcW w:w="1200" w:type="dxa"/>
            <w:vMerge w:val="restart"/>
            <w:tcBorders>
              <w:top w:val="single" w:color="auto" w:sz="4" w:space="0"/>
              <w:bottom w:val="single" w:color="auto" w:sz="4" w:space="0"/>
            </w:tcBorders>
            <w:vAlign w:val="center"/>
          </w:tcPr>
          <w:p w14:paraId="15E94D7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28.2</w:t>
            </w:r>
          </w:p>
        </w:tc>
        <w:tc>
          <w:tcPr>
            <w:tcW w:w="6807" w:type="dxa"/>
            <w:gridSpan w:val="6"/>
            <w:tcBorders>
              <w:top w:val="single" w:color="auto" w:sz="4" w:space="0"/>
              <w:bottom w:val="nil"/>
            </w:tcBorders>
            <w:vAlign w:val="center"/>
          </w:tcPr>
          <w:p w14:paraId="2350DC1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代理服务费：</w:t>
            </w:r>
          </w:p>
          <w:p w14:paraId="60357A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采购程序完成后成交供应商</w:t>
            </w:r>
            <w:r>
              <w:rPr>
                <w:rFonts w:hint="eastAsia" w:ascii="宋体" w:hAnsi="宋体" w:eastAsia="宋体" w:cs="宋体"/>
                <w:b w:val="0"/>
                <w:bCs w:val="0"/>
                <w:sz w:val="23"/>
                <w:szCs w:val="23"/>
                <w:vertAlign w:val="baseline"/>
                <w:lang w:val="en-US" w:eastAsia="zh-CN"/>
              </w:rPr>
              <w:t>向采购代理机构一次性支付代理服务费</w:t>
            </w:r>
          </w:p>
          <w:p w14:paraId="2921DE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代理服务费金额为：参考《国家计委关于印发&lt;招标代理服务收费管理暂行办法&gt;的通知》（计价格〔2002〕1980号）、国家发改办价格〔2003〕857号文和国家发改委发改价格〔2011〕534号文件规定的收费标准计算收取</w:t>
            </w:r>
          </w:p>
          <w:p w14:paraId="3FAF9A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招标代理服务收费标准(差额定率累进法)</w:t>
            </w:r>
          </w:p>
        </w:tc>
      </w:tr>
      <w:tr w14:paraId="4F9B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continue"/>
            <w:vAlign w:val="center"/>
          </w:tcPr>
          <w:p w14:paraId="268BBA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2FBB83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restart"/>
            <w:tcBorders>
              <w:top w:val="nil"/>
              <w:bottom w:val="nil"/>
            </w:tcBorders>
            <w:vAlign w:val="center"/>
          </w:tcPr>
          <w:p w14:paraId="0A9786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565758A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中</w:t>
            </w:r>
            <w:r>
              <w:rPr>
                <w:rFonts w:ascii="宋体" w:hAnsi="宋体" w:eastAsia="宋体" w:cs="宋体"/>
                <w:spacing w:val="4"/>
                <w:sz w:val="23"/>
                <w:szCs w:val="23"/>
              </w:rPr>
              <w:t>标金额(万元)</w:t>
            </w:r>
          </w:p>
        </w:tc>
        <w:tc>
          <w:tcPr>
            <w:tcW w:w="1380" w:type="dxa"/>
            <w:tcBorders>
              <w:top w:val="single" w:color="auto" w:sz="4" w:space="0"/>
              <w:bottom w:val="single" w:color="auto" w:sz="4" w:space="0"/>
            </w:tcBorders>
            <w:vAlign w:val="center"/>
          </w:tcPr>
          <w:p w14:paraId="53839F1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货物招标</w:t>
            </w:r>
          </w:p>
        </w:tc>
        <w:tc>
          <w:tcPr>
            <w:tcW w:w="1470" w:type="dxa"/>
            <w:tcBorders>
              <w:top w:val="single" w:color="auto" w:sz="4" w:space="0"/>
              <w:bottom w:val="single" w:color="auto" w:sz="4" w:space="0"/>
            </w:tcBorders>
            <w:vAlign w:val="center"/>
          </w:tcPr>
          <w:p w14:paraId="1679377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9"/>
                <w:sz w:val="23"/>
                <w:szCs w:val="23"/>
              </w:rPr>
              <w:t>服</w:t>
            </w:r>
            <w:r>
              <w:rPr>
                <w:rFonts w:ascii="宋体" w:hAnsi="宋体" w:eastAsia="宋体" w:cs="宋体"/>
                <w:spacing w:val="7"/>
                <w:sz w:val="23"/>
                <w:szCs w:val="23"/>
              </w:rPr>
              <w:t>务招标</w:t>
            </w:r>
          </w:p>
        </w:tc>
        <w:tc>
          <w:tcPr>
            <w:tcW w:w="1305" w:type="dxa"/>
            <w:tcBorders>
              <w:top w:val="single" w:color="auto" w:sz="4" w:space="0"/>
              <w:bottom w:val="single" w:color="auto" w:sz="4" w:space="0"/>
            </w:tcBorders>
            <w:vAlign w:val="center"/>
          </w:tcPr>
          <w:p w14:paraId="7AD05C6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7"/>
                <w:sz w:val="23"/>
                <w:szCs w:val="23"/>
              </w:rPr>
              <w:t>工程招</w:t>
            </w:r>
            <w:r>
              <w:rPr>
                <w:rFonts w:ascii="宋体" w:hAnsi="宋体" w:eastAsia="宋体" w:cs="宋体"/>
                <w:spacing w:val="6"/>
                <w:sz w:val="23"/>
                <w:szCs w:val="23"/>
              </w:rPr>
              <w:t>标</w:t>
            </w:r>
          </w:p>
        </w:tc>
        <w:tc>
          <w:tcPr>
            <w:tcW w:w="364" w:type="dxa"/>
            <w:vMerge w:val="restart"/>
            <w:tcBorders>
              <w:top w:val="nil"/>
              <w:bottom w:val="nil"/>
            </w:tcBorders>
            <w:vAlign w:val="center"/>
          </w:tcPr>
          <w:p w14:paraId="7D897B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30A9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6213CD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61D9E2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nil"/>
              <w:bottom w:val="single" w:color="auto" w:sz="4" w:space="0"/>
            </w:tcBorders>
            <w:vAlign w:val="center"/>
          </w:tcPr>
          <w:p w14:paraId="7BF4C7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031125B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8"/>
                <w:sz w:val="23"/>
                <w:szCs w:val="23"/>
              </w:rPr>
              <w:t>100 以下</w:t>
            </w:r>
          </w:p>
        </w:tc>
        <w:tc>
          <w:tcPr>
            <w:tcW w:w="1380" w:type="dxa"/>
            <w:tcBorders>
              <w:top w:val="single" w:color="auto" w:sz="4" w:space="0"/>
              <w:bottom w:val="single" w:color="auto" w:sz="4" w:space="0"/>
            </w:tcBorders>
            <w:vAlign w:val="center"/>
          </w:tcPr>
          <w:p w14:paraId="2D19521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470" w:type="dxa"/>
            <w:tcBorders>
              <w:top w:val="single" w:color="auto" w:sz="4" w:space="0"/>
              <w:bottom w:val="single" w:color="auto" w:sz="4" w:space="0"/>
            </w:tcBorders>
            <w:vAlign w:val="center"/>
          </w:tcPr>
          <w:p w14:paraId="2F1DC0D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305" w:type="dxa"/>
            <w:tcBorders>
              <w:top w:val="single" w:color="auto" w:sz="4" w:space="0"/>
              <w:bottom w:val="single" w:color="auto" w:sz="4" w:space="0"/>
            </w:tcBorders>
            <w:vAlign w:val="center"/>
          </w:tcPr>
          <w:p w14:paraId="1024E63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w:t>
            </w:r>
            <w:r>
              <w:rPr>
                <w:rFonts w:hint="eastAsia" w:ascii="宋体" w:hAnsi="宋体" w:eastAsia="宋体" w:cs="宋体"/>
                <w:spacing w:val="-2"/>
                <w:sz w:val="23"/>
                <w:szCs w:val="23"/>
                <w:lang w:eastAsia="zh-CN"/>
              </w:rPr>
              <w:t>.</w:t>
            </w:r>
            <w:r>
              <w:rPr>
                <w:rFonts w:ascii="宋体" w:hAnsi="宋体" w:eastAsia="宋体" w:cs="宋体"/>
                <w:spacing w:val="-2"/>
                <w:sz w:val="23"/>
                <w:szCs w:val="23"/>
              </w:rPr>
              <w:t>0%</w:t>
            </w:r>
          </w:p>
        </w:tc>
        <w:tc>
          <w:tcPr>
            <w:tcW w:w="364" w:type="dxa"/>
            <w:vMerge w:val="continue"/>
            <w:tcBorders>
              <w:top w:val="nil"/>
              <w:bottom w:val="single" w:color="auto" w:sz="4" w:space="0"/>
            </w:tcBorders>
            <w:vAlign w:val="center"/>
          </w:tcPr>
          <w:p w14:paraId="3CC53F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13C9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3E06F4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578636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374442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7739F45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100—50</w:t>
            </w:r>
            <w:r>
              <w:rPr>
                <w:rFonts w:ascii="宋体" w:hAnsi="宋体" w:eastAsia="宋体" w:cs="宋体"/>
                <w:sz w:val="23"/>
                <w:szCs w:val="23"/>
              </w:rPr>
              <w:t>0</w:t>
            </w:r>
          </w:p>
        </w:tc>
        <w:tc>
          <w:tcPr>
            <w:tcW w:w="1380" w:type="dxa"/>
            <w:tcBorders>
              <w:top w:val="single" w:color="auto" w:sz="4" w:space="0"/>
              <w:bottom w:val="single" w:color="auto" w:sz="4" w:space="0"/>
            </w:tcBorders>
            <w:vAlign w:val="center"/>
          </w:tcPr>
          <w:p w14:paraId="5BCB38D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1％</w:t>
            </w:r>
          </w:p>
        </w:tc>
        <w:tc>
          <w:tcPr>
            <w:tcW w:w="1470" w:type="dxa"/>
            <w:tcBorders>
              <w:top w:val="single" w:color="auto" w:sz="4" w:space="0"/>
              <w:bottom w:val="single" w:color="auto" w:sz="4" w:space="0"/>
            </w:tcBorders>
            <w:vAlign w:val="center"/>
          </w:tcPr>
          <w:p w14:paraId="604B1E7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305" w:type="dxa"/>
            <w:tcBorders>
              <w:top w:val="single" w:color="auto" w:sz="4" w:space="0"/>
              <w:bottom w:val="single" w:color="auto" w:sz="4" w:space="0"/>
            </w:tcBorders>
            <w:vAlign w:val="center"/>
          </w:tcPr>
          <w:p w14:paraId="6D5E116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7%</w:t>
            </w:r>
          </w:p>
        </w:tc>
        <w:tc>
          <w:tcPr>
            <w:tcW w:w="364" w:type="dxa"/>
            <w:vMerge w:val="continue"/>
            <w:tcBorders>
              <w:top w:val="single" w:color="auto" w:sz="4" w:space="0"/>
              <w:bottom w:val="single" w:color="auto" w:sz="4" w:space="0"/>
            </w:tcBorders>
            <w:vAlign w:val="center"/>
          </w:tcPr>
          <w:p w14:paraId="636C89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3DF6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617A20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1E4FA5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212466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271D046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3"/>
                <w:sz w:val="23"/>
                <w:szCs w:val="23"/>
              </w:rPr>
              <w:t>5</w:t>
            </w:r>
            <w:r>
              <w:rPr>
                <w:rFonts w:ascii="宋体" w:hAnsi="宋体" w:eastAsia="宋体" w:cs="宋体"/>
                <w:spacing w:val="-9"/>
                <w:sz w:val="23"/>
                <w:szCs w:val="23"/>
              </w:rPr>
              <w:t>00—1000</w:t>
            </w:r>
          </w:p>
        </w:tc>
        <w:tc>
          <w:tcPr>
            <w:tcW w:w="1380" w:type="dxa"/>
            <w:tcBorders>
              <w:top w:val="single" w:color="auto" w:sz="4" w:space="0"/>
              <w:bottom w:val="single" w:color="auto" w:sz="4" w:space="0"/>
            </w:tcBorders>
            <w:vAlign w:val="center"/>
          </w:tcPr>
          <w:p w14:paraId="72F425D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41B9F694">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4</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6EE23BD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55%</w:t>
            </w:r>
          </w:p>
        </w:tc>
        <w:tc>
          <w:tcPr>
            <w:tcW w:w="364" w:type="dxa"/>
            <w:vMerge w:val="continue"/>
            <w:tcBorders>
              <w:top w:val="single" w:color="auto" w:sz="4" w:space="0"/>
              <w:bottom w:val="single" w:color="auto" w:sz="4" w:space="0"/>
            </w:tcBorders>
            <w:vAlign w:val="center"/>
          </w:tcPr>
          <w:p w14:paraId="72409D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7B7C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025C45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65FDD5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774379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335FF76C">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10</w:t>
            </w:r>
            <w:r>
              <w:rPr>
                <w:rFonts w:ascii="宋体" w:hAnsi="宋体" w:eastAsia="宋体" w:cs="宋体"/>
                <w:spacing w:val="2"/>
                <w:sz w:val="23"/>
                <w:szCs w:val="23"/>
              </w:rPr>
              <w:t>00—5000</w:t>
            </w:r>
          </w:p>
        </w:tc>
        <w:tc>
          <w:tcPr>
            <w:tcW w:w="1380" w:type="dxa"/>
            <w:tcBorders>
              <w:top w:val="single" w:color="auto" w:sz="4" w:space="0"/>
              <w:bottom w:val="single" w:color="auto" w:sz="4" w:space="0"/>
            </w:tcBorders>
            <w:vAlign w:val="center"/>
          </w:tcPr>
          <w:p w14:paraId="26736CC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5</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03DD12E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2</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6541BC4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35%</w:t>
            </w:r>
          </w:p>
        </w:tc>
        <w:tc>
          <w:tcPr>
            <w:tcW w:w="364" w:type="dxa"/>
            <w:vMerge w:val="continue"/>
            <w:tcBorders>
              <w:top w:val="single" w:color="auto" w:sz="4" w:space="0"/>
              <w:bottom w:val="single" w:color="auto" w:sz="4" w:space="0"/>
            </w:tcBorders>
            <w:vAlign w:val="center"/>
          </w:tcPr>
          <w:p w14:paraId="1F7D03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0635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3873A3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1200" w:type="dxa"/>
            <w:tcBorders>
              <w:top w:val="single" w:color="auto" w:sz="4" w:space="0"/>
            </w:tcBorders>
            <w:vAlign w:val="center"/>
          </w:tcPr>
          <w:p w14:paraId="1D7DEAD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代理费接收账户</w:t>
            </w:r>
          </w:p>
        </w:tc>
        <w:tc>
          <w:tcPr>
            <w:tcW w:w="6807" w:type="dxa"/>
            <w:gridSpan w:val="6"/>
            <w:tcBorders>
              <w:top w:val="single" w:color="auto" w:sz="4" w:space="0"/>
            </w:tcBorders>
            <w:vAlign w:val="center"/>
          </w:tcPr>
          <w:p w14:paraId="269B5B5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开户名称：</w:t>
            </w:r>
            <w:r>
              <w:rPr>
                <w:rFonts w:hint="eastAsia" w:ascii="宋体" w:hAnsi="宋体" w:eastAsia="宋体" w:cs="宋体"/>
                <w:b w:val="0"/>
                <w:bCs w:val="0"/>
                <w:sz w:val="23"/>
                <w:szCs w:val="23"/>
                <w:vertAlign w:val="baseline"/>
                <w:lang w:val="en-US" w:eastAsia="zh-CN"/>
              </w:rPr>
              <w:t>陕西天诚志业项目管理有限公司</w:t>
            </w:r>
          </w:p>
          <w:p w14:paraId="126CA5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开户行：</w:t>
            </w:r>
            <w:r>
              <w:rPr>
                <w:rFonts w:hint="eastAsia" w:ascii="宋体" w:hAnsi="宋体" w:eastAsia="宋体" w:cs="宋体"/>
                <w:b w:val="0"/>
                <w:bCs w:val="0"/>
                <w:sz w:val="23"/>
                <w:szCs w:val="23"/>
                <w:vertAlign w:val="baseline"/>
                <w:lang w:val="en-US" w:eastAsia="zh-CN"/>
              </w:rPr>
              <w:t>兴业银行股份有限公司榆林神木支行</w:t>
            </w:r>
          </w:p>
          <w:p w14:paraId="62F62E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账 号：</w:t>
            </w:r>
            <w:r>
              <w:rPr>
                <w:rFonts w:hint="eastAsia" w:ascii="宋体" w:hAnsi="宋体" w:eastAsia="宋体" w:cs="宋体"/>
                <w:b w:val="0"/>
                <w:bCs w:val="0"/>
                <w:sz w:val="23"/>
                <w:szCs w:val="23"/>
                <w:vertAlign w:val="baseline"/>
                <w:lang w:val="en-US" w:eastAsia="zh-CN"/>
              </w:rPr>
              <w:t>457020100100042877</w:t>
            </w:r>
          </w:p>
          <w:p w14:paraId="18456BA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行 号：</w:t>
            </w:r>
            <w:r>
              <w:rPr>
                <w:rFonts w:hint="eastAsia" w:ascii="宋体" w:hAnsi="宋体" w:cs="宋体"/>
                <w:b w:val="0"/>
                <w:bCs w:val="0"/>
                <w:sz w:val="23"/>
                <w:szCs w:val="23"/>
                <w:vertAlign w:val="baseline"/>
                <w:lang w:val="en-US" w:eastAsia="zh-CN"/>
              </w:rPr>
              <w:t>309806207021</w:t>
            </w:r>
          </w:p>
        </w:tc>
      </w:tr>
      <w:tr w14:paraId="6369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51D888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p>
        </w:tc>
        <w:tc>
          <w:tcPr>
            <w:tcW w:w="1200" w:type="dxa"/>
            <w:vAlign w:val="center"/>
          </w:tcPr>
          <w:p w14:paraId="4C6605D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同义词语</w:t>
            </w:r>
          </w:p>
        </w:tc>
        <w:tc>
          <w:tcPr>
            <w:tcW w:w="6807" w:type="dxa"/>
            <w:gridSpan w:val="6"/>
            <w:vAlign w:val="center"/>
          </w:tcPr>
          <w:p w14:paraId="4C24E29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构成</w:t>
            </w:r>
            <w:r>
              <w:rPr>
                <w:rFonts w:hint="eastAsia" w:ascii="宋体" w:hAnsi="宋体" w:cs="宋体"/>
                <w:b w:val="0"/>
                <w:bCs w:val="0"/>
                <w:sz w:val="23"/>
                <w:szCs w:val="23"/>
                <w:vertAlign w:val="baseline"/>
                <w:lang w:val="en-US" w:eastAsia="zh-CN"/>
              </w:rPr>
              <w:t>采购文件</w:t>
            </w:r>
            <w:r>
              <w:rPr>
                <w:rFonts w:hint="eastAsia" w:ascii="宋体" w:hAnsi="宋体" w:eastAsia="宋体" w:cs="宋体"/>
                <w:b w:val="0"/>
                <w:bCs w:val="0"/>
                <w:sz w:val="23"/>
                <w:szCs w:val="23"/>
                <w:vertAlign w:val="baseline"/>
                <w:lang w:val="en-US" w:eastAsia="zh-CN"/>
              </w:rPr>
              <w:t>组成部分的各章节中出现的措辞“委托人”、“发包人”和“</w:t>
            </w:r>
            <w:r>
              <w:rPr>
                <w:rFonts w:hint="eastAsia" w:ascii="宋体" w:hAnsi="宋体" w:cs="宋体"/>
                <w:b w:val="0"/>
                <w:bCs w:val="0"/>
                <w:sz w:val="23"/>
                <w:szCs w:val="23"/>
                <w:vertAlign w:val="baseline"/>
                <w:lang w:val="en-US" w:eastAsia="zh-CN"/>
              </w:rPr>
              <w:t>投标人</w:t>
            </w:r>
            <w:r>
              <w:rPr>
                <w:rFonts w:hint="eastAsia" w:ascii="宋体" w:hAnsi="宋体" w:eastAsia="宋体" w:cs="宋体"/>
                <w:b w:val="0"/>
                <w:bCs w:val="0"/>
                <w:sz w:val="23"/>
                <w:szCs w:val="23"/>
                <w:vertAlign w:val="baseline"/>
                <w:lang w:val="en-US" w:eastAsia="zh-CN"/>
              </w:rPr>
              <w:t>”、“承包人”，在招标投标阶段应当分别按“采购人”和“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”进行理解。</w:t>
            </w:r>
          </w:p>
        </w:tc>
      </w:tr>
      <w:tr w14:paraId="4A9F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8611F2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w:t>
            </w:r>
          </w:p>
        </w:tc>
        <w:tc>
          <w:tcPr>
            <w:tcW w:w="1200" w:type="dxa"/>
            <w:vAlign w:val="center"/>
          </w:tcPr>
          <w:p w14:paraId="7837341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样品的退还</w:t>
            </w:r>
          </w:p>
        </w:tc>
        <w:tc>
          <w:tcPr>
            <w:tcW w:w="6807" w:type="dxa"/>
            <w:gridSpan w:val="6"/>
            <w:vAlign w:val="center"/>
          </w:tcPr>
          <w:p w14:paraId="3089218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若文件内要求提供样品的，须按照</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文件密封要求密封递交，标明项目名称、项目编号、</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名称、样品名称等标识并随</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文件一同递交，未中标人样品的退还时间同投标保证金退还时间，中标人的样品由采购人封样不予退还并作为本项目的验收依据</w:t>
            </w:r>
          </w:p>
        </w:tc>
      </w:tr>
      <w:tr w14:paraId="7771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63C2B9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w:t>
            </w:r>
          </w:p>
        </w:tc>
        <w:tc>
          <w:tcPr>
            <w:tcW w:w="1200" w:type="dxa"/>
            <w:vAlign w:val="center"/>
          </w:tcPr>
          <w:p w14:paraId="021D9D7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其他</w:t>
            </w:r>
          </w:p>
        </w:tc>
        <w:tc>
          <w:tcPr>
            <w:tcW w:w="6807" w:type="dxa"/>
            <w:gridSpan w:val="6"/>
            <w:vAlign w:val="center"/>
          </w:tcPr>
          <w:p w14:paraId="4A72BC8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榆林市“政采贷”业务办理银行联系表详见如下：</w:t>
            </w:r>
          </w:p>
        </w:tc>
      </w:tr>
      <w:tr w14:paraId="7D46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8522" w:type="dxa"/>
            <w:gridSpan w:val="8"/>
            <w:vAlign w:val="center"/>
          </w:tcPr>
          <w:tbl>
            <w:tblPr>
              <w:tblStyle w:val="20"/>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969"/>
              <w:gridCol w:w="1068"/>
              <w:gridCol w:w="1068"/>
              <w:gridCol w:w="1068"/>
              <w:gridCol w:w="1068"/>
              <w:gridCol w:w="1068"/>
              <w:gridCol w:w="1506"/>
            </w:tblGrid>
            <w:tr w14:paraId="6D2F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8"/>
                </w:tcPr>
                <w:p w14:paraId="0C1544C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榆林市“政采贷”业务办理银行联系表</w:t>
                  </w:r>
                </w:p>
              </w:tc>
            </w:tr>
            <w:tr w14:paraId="1D2F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1" w:type="dxa"/>
                  <w:vAlign w:val="center"/>
                </w:tcPr>
                <w:p w14:paraId="34A48390">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序号</w:t>
                  </w:r>
                </w:p>
              </w:tc>
              <w:tc>
                <w:tcPr>
                  <w:tcW w:w="969" w:type="dxa"/>
                  <w:vAlign w:val="center"/>
                </w:tcPr>
                <w:p w14:paraId="42E49D21">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银行名称</w:t>
                  </w:r>
                </w:p>
              </w:tc>
              <w:tc>
                <w:tcPr>
                  <w:tcW w:w="1068" w:type="dxa"/>
                  <w:vAlign w:val="center"/>
                </w:tcPr>
                <w:p w14:paraId="1DC1C5B0">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产品名称</w:t>
                  </w:r>
                </w:p>
              </w:tc>
              <w:tc>
                <w:tcPr>
                  <w:tcW w:w="1068" w:type="dxa"/>
                  <w:vAlign w:val="center"/>
                </w:tcPr>
                <w:p w14:paraId="7E2B4533">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贷款额度</w:t>
                  </w:r>
                </w:p>
              </w:tc>
              <w:tc>
                <w:tcPr>
                  <w:tcW w:w="1068" w:type="dxa"/>
                  <w:vAlign w:val="center"/>
                </w:tcPr>
                <w:p w14:paraId="2DB3D771">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贷款期限</w:t>
                  </w:r>
                </w:p>
              </w:tc>
              <w:tc>
                <w:tcPr>
                  <w:tcW w:w="1068" w:type="dxa"/>
                  <w:vAlign w:val="center"/>
                </w:tcPr>
                <w:p w14:paraId="6EBA579E">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贷款利率</w:t>
                  </w:r>
                </w:p>
              </w:tc>
              <w:tc>
                <w:tcPr>
                  <w:tcW w:w="1068" w:type="dxa"/>
                  <w:vAlign w:val="center"/>
                </w:tcPr>
                <w:p w14:paraId="7214E693">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办理时效</w:t>
                  </w:r>
                </w:p>
              </w:tc>
              <w:tc>
                <w:tcPr>
                  <w:tcW w:w="1506" w:type="dxa"/>
                  <w:vAlign w:val="center"/>
                </w:tcPr>
                <w:p w14:paraId="1A5D8B9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联系人</w:t>
                  </w:r>
                </w:p>
              </w:tc>
            </w:tr>
            <w:tr w14:paraId="4017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03335E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w:t>
                  </w:r>
                </w:p>
              </w:tc>
              <w:tc>
                <w:tcPr>
                  <w:tcW w:w="969" w:type="dxa"/>
                  <w:vAlign w:val="center"/>
                </w:tcPr>
                <w:p w14:paraId="7696194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长安银行</w:t>
                  </w:r>
                </w:p>
              </w:tc>
              <w:tc>
                <w:tcPr>
                  <w:tcW w:w="1068" w:type="dxa"/>
                  <w:vAlign w:val="center"/>
                </w:tcPr>
                <w:p w14:paraId="169302D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政采贷</w:t>
                  </w:r>
                </w:p>
              </w:tc>
              <w:tc>
                <w:tcPr>
                  <w:tcW w:w="1068" w:type="dxa"/>
                  <w:vAlign w:val="center"/>
                </w:tcPr>
                <w:p w14:paraId="24A0DD3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1FA6AC6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1-3年</w:t>
                  </w:r>
                </w:p>
              </w:tc>
              <w:tc>
                <w:tcPr>
                  <w:tcW w:w="1068" w:type="dxa"/>
                  <w:vAlign w:val="center"/>
                </w:tcPr>
                <w:p w14:paraId="317DF43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w:t>
                  </w:r>
                </w:p>
              </w:tc>
              <w:tc>
                <w:tcPr>
                  <w:tcW w:w="1068" w:type="dxa"/>
                  <w:vAlign w:val="center"/>
                </w:tcPr>
                <w:p w14:paraId="714CC4C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72小时</w:t>
                  </w:r>
                </w:p>
              </w:tc>
              <w:tc>
                <w:tcPr>
                  <w:tcW w:w="1506" w:type="dxa"/>
                  <w:vAlign w:val="center"/>
                </w:tcPr>
                <w:p w14:paraId="725A41B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魏  众15109123951</w:t>
                  </w:r>
                </w:p>
              </w:tc>
            </w:tr>
            <w:tr w14:paraId="6DFF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34C1E1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w:t>
                  </w:r>
                </w:p>
              </w:tc>
              <w:tc>
                <w:tcPr>
                  <w:tcW w:w="969" w:type="dxa"/>
                  <w:vAlign w:val="center"/>
                </w:tcPr>
                <w:p w14:paraId="4F775FC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中信银行</w:t>
                  </w:r>
                </w:p>
              </w:tc>
              <w:tc>
                <w:tcPr>
                  <w:tcW w:w="1068" w:type="dxa"/>
                  <w:vAlign w:val="center"/>
                </w:tcPr>
                <w:p w14:paraId="5738322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政采E贷</w:t>
                  </w:r>
                </w:p>
              </w:tc>
              <w:tc>
                <w:tcPr>
                  <w:tcW w:w="1068" w:type="dxa"/>
                  <w:vAlign w:val="center"/>
                </w:tcPr>
                <w:p w14:paraId="5084550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1A22622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1-3年</w:t>
                  </w:r>
                </w:p>
              </w:tc>
              <w:tc>
                <w:tcPr>
                  <w:tcW w:w="1068" w:type="dxa"/>
                  <w:vAlign w:val="center"/>
                </w:tcPr>
                <w:p w14:paraId="7A82A34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3.45%起</w:t>
                  </w:r>
                </w:p>
              </w:tc>
              <w:tc>
                <w:tcPr>
                  <w:tcW w:w="1068" w:type="dxa"/>
                  <w:vAlign w:val="center"/>
                </w:tcPr>
                <w:p w14:paraId="0BE6B0F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24小时</w:t>
                  </w:r>
                </w:p>
              </w:tc>
              <w:tc>
                <w:tcPr>
                  <w:tcW w:w="1506" w:type="dxa"/>
                  <w:vAlign w:val="center"/>
                </w:tcPr>
                <w:p w14:paraId="4ECFE94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高  明18992218795</w:t>
                  </w:r>
                </w:p>
              </w:tc>
            </w:tr>
            <w:tr w14:paraId="532D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4D32046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w:t>
                  </w:r>
                </w:p>
              </w:tc>
              <w:tc>
                <w:tcPr>
                  <w:tcW w:w="969" w:type="dxa"/>
                  <w:vAlign w:val="center"/>
                </w:tcPr>
                <w:p w14:paraId="4CA7659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光大银行</w:t>
                  </w:r>
                </w:p>
              </w:tc>
              <w:tc>
                <w:tcPr>
                  <w:tcW w:w="1068" w:type="dxa"/>
                  <w:vAlign w:val="center"/>
                </w:tcPr>
                <w:p w14:paraId="1846834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政采贷</w:t>
                  </w:r>
                </w:p>
              </w:tc>
              <w:tc>
                <w:tcPr>
                  <w:tcW w:w="1068" w:type="dxa"/>
                  <w:vAlign w:val="center"/>
                </w:tcPr>
                <w:p w14:paraId="7AC2436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7613F13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1-3年</w:t>
                  </w:r>
                </w:p>
              </w:tc>
              <w:tc>
                <w:tcPr>
                  <w:tcW w:w="1068" w:type="dxa"/>
                  <w:vAlign w:val="center"/>
                </w:tcPr>
                <w:p w14:paraId="27E53F0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3.3%</w:t>
                  </w:r>
                </w:p>
              </w:tc>
              <w:tc>
                <w:tcPr>
                  <w:tcW w:w="1068" w:type="dxa"/>
                  <w:vAlign w:val="center"/>
                </w:tcPr>
                <w:p w14:paraId="6576474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72小时</w:t>
                  </w:r>
                </w:p>
              </w:tc>
              <w:tc>
                <w:tcPr>
                  <w:tcW w:w="1506" w:type="dxa"/>
                  <w:vAlign w:val="center"/>
                </w:tcPr>
                <w:p w14:paraId="158790F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尹皓永18791214448</w:t>
                  </w:r>
                </w:p>
              </w:tc>
            </w:tr>
            <w:tr w14:paraId="03B7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EB28FD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4</w:t>
                  </w:r>
                </w:p>
              </w:tc>
              <w:tc>
                <w:tcPr>
                  <w:tcW w:w="969" w:type="dxa"/>
                  <w:vAlign w:val="center"/>
                </w:tcPr>
                <w:p w14:paraId="5CB41E6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中国银行</w:t>
                  </w:r>
                </w:p>
              </w:tc>
              <w:tc>
                <w:tcPr>
                  <w:tcW w:w="1068" w:type="dxa"/>
                  <w:vAlign w:val="center"/>
                </w:tcPr>
                <w:p w14:paraId="6E1E126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政采贷</w:t>
                  </w:r>
                </w:p>
              </w:tc>
              <w:tc>
                <w:tcPr>
                  <w:tcW w:w="1068" w:type="dxa"/>
                  <w:vAlign w:val="center"/>
                </w:tcPr>
                <w:p w14:paraId="7BC091F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683597F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1-3年</w:t>
                  </w:r>
                </w:p>
              </w:tc>
              <w:tc>
                <w:tcPr>
                  <w:tcW w:w="1068" w:type="dxa"/>
                  <w:vAlign w:val="center"/>
                </w:tcPr>
                <w:p w14:paraId="51B9A94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3.45%</w:t>
                  </w:r>
                </w:p>
              </w:tc>
              <w:tc>
                <w:tcPr>
                  <w:tcW w:w="1068" w:type="dxa"/>
                  <w:vAlign w:val="center"/>
                </w:tcPr>
                <w:p w14:paraId="22565E1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72小时</w:t>
                  </w:r>
                </w:p>
              </w:tc>
              <w:tc>
                <w:tcPr>
                  <w:tcW w:w="1506" w:type="dxa"/>
                  <w:vAlign w:val="center"/>
                </w:tcPr>
                <w:p w14:paraId="20C90CF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李  浩18691230007</w:t>
                  </w:r>
                </w:p>
              </w:tc>
            </w:tr>
            <w:tr w14:paraId="497F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04AAEE2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5</w:t>
                  </w:r>
                </w:p>
              </w:tc>
              <w:tc>
                <w:tcPr>
                  <w:tcW w:w="969" w:type="dxa"/>
                  <w:vAlign w:val="center"/>
                </w:tcPr>
                <w:p w14:paraId="74194DA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招商银行</w:t>
                  </w:r>
                </w:p>
              </w:tc>
              <w:tc>
                <w:tcPr>
                  <w:tcW w:w="1068" w:type="dxa"/>
                  <w:vAlign w:val="center"/>
                </w:tcPr>
                <w:p w14:paraId="65461B5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政采贷</w:t>
                  </w:r>
                </w:p>
              </w:tc>
              <w:tc>
                <w:tcPr>
                  <w:tcW w:w="1068" w:type="dxa"/>
                  <w:vAlign w:val="center"/>
                </w:tcPr>
                <w:p w14:paraId="16F726E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3000万元</w:t>
                  </w:r>
                </w:p>
              </w:tc>
              <w:tc>
                <w:tcPr>
                  <w:tcW w:w="1068" w:type="dxa"/>
                  <w:vAlign w:val="center"/>
                </w:tcPr>
                <w:p w14:paraId="0A45D59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1-3年</w:t>
                  </w:r>
                </w:p>
              </w:tc>
              <w:tc>
                <w:tcPr>
                  <w:tcW w:w="1068" w:type="dxa"/>
                  <w:vAlign w:val="center"/>
                </w:tcPr>
                <w:p w14:paraId="51980BF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3.45%起</w:t>
                  </w:r>
                </w:p>
              </w:tc>
              <w:tc>
                <w:tcPr>
                  <w:tcW w:w="1068" w:type="dxa"/>
                  <w:vAlign w:val="center"/>
                </w:tcPr>
                <w:p w14:paraId="5F797F4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24小时</w:t>
                  </w:r>
                </w:p>
              </w:tc>
              <w:tc>
                <w:tcPr>
                  <w:tcW w:w="1506" w:type="dxa"/>
                  <w:vAlign w:val="center"/>
                </w:tcPr>
                <w:p w14:paraId="3CA80A2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马  烨15596100007</w:t>
                  </w:r>
                </w:p>
              </w:tc>
            </w:tr>
            <w:tr w14:paraId="3196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344389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6</w:t>
                  </w:r>
                </w:p>
              </w:tc>
              <w:tc>
                <w:tcPr>
                  <w:tcW w:w="969" w:type="dxa"/>
                  <w:vAlign w:val="center"/>
                </w:tcPr>
                <w:p w14:paraId="6F82CF3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浦发银行</w:t>
                  </w:r>
                </w:p>
              </w:tc>
              <w:tc>
                <w:tcPr>
                  <w:tcW w:w="1068" w:type="dxa"/>
                  <w:vAlign w:val="center"/>
                </w:tcPr>
                <w:p w14:paraId="1497AEC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政采E贷</w:t>
                  </w:r>
                </w:p>
              </w:tc>
              <w:tc>
                <w:tcPr>
                  <w:tcW w:w="1068" w:type="dxa"/>
                  <w:vAlign w:val="center"/>
                </w:tcPr>
                <w:p w14:paraId="05BB860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454DFBC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1年</w:t>
                  </w:r>
                </w:p>
              </w:tc>
              <w:tc>
                <w:tcPr>
                  <w:tcW w:w="1068" w:type="dxa"/>
                  <w:vAlign w:val="center"/>
                </w:tcPr>
                <w:p w14:paraId="0BE77D6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3.45%起</w:t>
                  </w:r>
                </w:p>
              </w:tc>
              <w:tc>
                <w:tcPr>
                  <w:tcW w:w="1068" w:type="dxa"/>
                  <w:vAlign w:val="center"/>
                </w:tcPr>
                <w:p w14:paraId="4655592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72小时</w:t>
                  </w:r>
                </w:p>
              </w:tc>
              <w:tc>
                <w:tcPr>
                  <w:tcW w:w="1506" w:type="dxa"/>
                  <w:vAlign w:val="center"/>
                </w:tcPr>
                <w:p w14:paraId="0C0D228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朱  君15629169158</w:t>
                  </w:r>
                </w:p>
              </w:tc>
            </w:tr>
            <w:tr w14:paraId="7AA7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198CDEB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w:t>
                  </w:r>
                </w:p>
              </w:tc>
              <w:tc>
                <w:tcPr>
                  <w:tcW w:w="969" w:type="dxa"/>
                  <w:vAlign w:val="center"/>
                </w:tcPr>
                <w:p w14:paraId="582D161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农商银行</w:t>
                  </w:r>
                </w:p>
              </w:tc>
              <w:tc>
                <w:tcPr>
                  <w:tcW w:w="1068" w:type="dxa"/>
                  <w:vAlign w:val="center"/>
                </w:tcPr>
                <w:p w14:paraId="51FC13C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政采贷</w:t>
                  </w:r>
                </w:p>
              </w:tc>
              <w:tc>
                <w:tcPr>
                  <w:tcW w:w="1068" w:type="dxa"/>
                  <w:vAlign w:val="center"/>
                </w:tcPr>
                <w:p w14:paraId="114B0D8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7432C31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1-2年</w:t>
                  </w:r>
                </w:p>
              </w:tc>
              <w:tc>
                <w:tcPr>
                  <w:tcW w:w="1068" w:type="dxa"/>
                  <w:vAlign w:val="center"/>
                </w:tcPr>
                <w:p w14:paraId="29A482E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3.45%-5.8%</w:t>
                  </w:r>
                </w:p>
              </w:tc>
              <w:tc>
                <w:tcPr>
                  <w:tcW w:w="1068" w:type="dxa"/>
                  <w:vAlign w:val="center"/>
                </w:tcPr>
                <w:p w14:paraId="50163FA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24小时</w:t>
                  </w:r>
                </w:p>
              </w:tc>
              <w:tc>
                <w:tcPr>
                  <w:tcW w:w="1506" w:type="dxa"/>
                  <w:vAlign w:val="center"/>
                </w:tcPr>
                <w:p w14:paraId="5621329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王  璐15529875056</w:t>
                  </w:r>
                </w:p>
              </w:tc>
            </w:tr>
            <w:tr w14:paraId="5CB0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DEF0CD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8</w:t>
                  </w:r>
                </w:p>
              </w:tc>
              <w:tc>
                <w:tcPr>
                  <w:tcW w:w="969" w:type="dxa"/>
                  <w:vAlign w:val="center"/>
                </w:tcPr>
                <w:p w14:paraId="71672E8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农业银行</w:t>
                  </w:r>
                </w:p>
              </w:tc>
              <w:tc>
                <w:tcPr>
                  <w:tcW w:w="1068" w:type="dxa"/>
                  <w:vAlign w:val="center"/>
                </w:tcPr>
                <w:p w14:paraId="1D3C941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政采贷</w:t>
                  </w:r>
                </w:p>
              </w:tc>
              <w:tc>
                <w:tcPr>
                  <w:tcW w:w="1068" w:type="dxa"/>
                  <w:vAlign w:val="center"/>
                </w:tcPr>
                <w:p w14:paraId="391FC98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3398081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1年</w:t>
                  </w:r>
                </w:p>
              </w:tc>
              <w:tc>
                <w:tcPr>
                  <w:tcW w:w="1068" w:type="dxa"/>
                  <w:vAlign w:val="center"/>
                </w:tcPr>
                <w:p w14:paraId="13AC896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3.1%</w:t>
                  </w:r>
                </w:p>
              </w:tc>
              <w:tc>
                <w:tcPr>
                  <w:tcW w:w="1068" w:type="dxa"/>
                  <w:vAlign w:val="center"/>
                </w:tcPr>
                <w:p w14:paraId="1B8338D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24小时</w:t>
                  </w:r>
                </w:p>
              </w:tc>
              <w:tc>
                <w:tcPr>
                  <w:tcW w:w="1506" w:type="dxa"/>
                  <w:vAlign w:val="center"/>
                </w:tcPr>
                <w:p w14:paraId="00D2C68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王  真15009226862</w:t>
                  </w:r>
                </w:p>
              </w:tc>
            </w:tr>
            <w:tr w14:paraId="5850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30DE3FE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9</w:t>
                  </w:r>
                </w:p>
              </w:tc>
              <w:tc>
                <w:tcPr>
                  <w:tcW w:w="969" w:type="dxa"/>
                  <w:vAlign w:val="center"/>
                </w:tcPr>
                <w:p w14:paraId="7FA649E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民生银行</w:t>
                  </w:r>
                </w:p>
              </w:tc>
              <w:tc>
                <w:tcPr>
                  <w:tcW w:w="1068" w:type="dxa"/>
                  <w:vAlign w:val="center"/>
                </w:tcPr>
                <w:p w14:paraId="550D169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政采E贷</w:t>
                  </w:r>
                </w:p>
              </w:tc>
              <w:tc>
                <w:tcPr>
                  <w:tcW w:w="1068" w:type="dxa"/>
                  <w:vAlign w:val="center"/>
                </w:tcPr>
                <w:p w14:paraId="1C5382C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3000万元</w:t>
                  </w:r>
                </w:p>
              </w:tc>
              <w:tc>
                <w:tcPr>
                  <w:tcW w:w="1068" w:type="dxa"/>
                  <w:vAlign w:val="center"/>
                </w:tcPr>
                <w:p w14:paraId="6B867EF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1年</w:t>
                  </w:r>
                </w:p>
              </w:tc>
              <w:tc>
                <w:tcPr>
                  <w:tcW w:w="1068" w:type="dxa"/>
                  <w:vAlign w:val="center"/>
                </w:tcPr>
                <w:p w14:paraId="17E5548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3.45%起</w:t>
                  </w:r>
                </w:p>
              </w:tc>
              <w:tc>
                <w:tcPr>
                  <w:tcW w:w="1068" w:type="dxa"/>
                  <w:vAlign w:val="center"/>
                </w:tcPr>
                <w:p w14:paraId="094BC3A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24小时</w:t>
                  </w:r>
                </w:p>
              </w:tc>
              <w:tc>
                <w:tcPr>
                  <w:tcW w:w="1506" w:type="dxa"/>
                  <w:vAlign w:val="center"/>
                </w:tcPr>
                <w:p w14:paraId="419026E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郝双双15991225850</w:t>
                  </w:r>
                </w:p>
              </w:tc>
            </w:tr>
            <w:tr w14:paraId="2B9E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27D03B8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w:t>
                  </w:r>
                </w:p>
              </w:tc>
              <w:tc>
                <w:tcPr>
                  <w:tcW w:w="969" w:type="dxa"/>
                  <w:vAlign w:val="center"/>
                </w:tcPr>
                <w:p w14:paraId="0B58B93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兴业银行</w:t>
                  </w:r>
                </w:p>
              </w:tc>
              <w:tc>
                <w:tcPr>
                  <w:tcW w:w="1068" w:type="dxa"/>
                  <w:vAlign w:val="center"/>
                </w:tcPr>
                <w:p w14:paraId="1442359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政采贷</w:t>
                  </w:r>
                </w:p>
              </w:tc>
              <w:tc>
                <w:tcPr>
                  <w:tcW w:w="1068" w:type="dxa"/>
                  <w:vAlign w:val="center"/>
                </w:tcPr>
                <w:p w14:paraId="33BCF3F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60CD495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1年期</w:t>
                  </w:r>
                </w:p>
              </w:tc>
              <w:tc>
                <w:tcPr>
                  <w:tcW w:w="1068" w:type="dxa"/>
                  <w:vAlign w:val="center"/>
                </w:tcPr>
                <w:p w14:paraId="3F234FA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3.4%</w:t>
                  </w:r>
                </w:p>
              </w:tc>
              <w:tc>
                <w:tcPr>
                  <w:tcW w:w="1068" w:type="dxa"/>
                  <w:vAlign w:val="center"/>
                </w:tcPr>
                <w:p w14:paraId="0B9D1F8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72小时</w:t>
                  </w:r>
                </w:p>
              </w:tc>
              <w:tc>
                <w:tcPr>
                  <w:tcW w:w="1506" w:type="dxa"/>
                  <w:vAlign w:val="center"/>
                </w:tcPr>
                <w:p w14:paraId="580CC40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薛万隆18709258523</w:t>
                  </w:r>
                </w:p>
              </w:tc>
            </w:tr>
            <w:tr w14:paraId="3795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1536ABD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11</w:t>
                  </w:r>
                </w:p>
              </w:tc>
              <w:tc>
                <w:tcPr>
                  <w:tcW w:w="969" w:type="dxa"/>
                  <w:vAlign w:val="center"/>
                </w:tcPr>
                <w:p w14:paraId="4EE338E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广发银行</w:t>
                  </w:r>
                </w:p>
              </w:tc>
              <w:tc>
                <w:tcPr>
                  <w:tcW w:w="1068" w:type="dxa"/>
                  <w:vAlign w:val="center"/>
                </w:tcPr>
                <w:p w14:paraId="306FB0D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政采通</w:t>
                  </w:r>
                </w:p>
              </w:tc>
              <w:tc>
                <w:tcPr>
                  <w:tcW w:w="1068" w:type="dxa"/>
                  <w:vAlign w:val="center"/>
                </w:tcPr>
                <w:p w14:paraId="2618E8B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1AD118C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1年</w:t>
                  </w:r>
                </w:p>
              </w:tc>
              <w:tc>
                <w:tcPr>
                  <w:tcW w:w="1068" w:type="dxa"/>
                  <w:vAlign w:val="center"/>
                </w:tcPr>
                <w:p w14:paraId="3029A96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3.45%起</w:t>
                  </w:r>
                </w:p>
              </w:tc>
              <w:tc>
                <w:tcPr>
                  <w:tcW w:w="1068" w:type="dxa"/>
                  <w:vAlign w:val="center"/>
                </w:tcPr>
                <w:p w14:paraId="531B060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24小时</w:t>
                  </w:r>
                </w:p>
              </w:tc>
              <w:tc>
                <w:tcPr>
                  <w:tcW w:w="1506" w:type="dxa"/>
                  <w:vAlign w:val="center"/>
                </w:tcPr>
                <w:p w14:paraId="1B9C3A3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李思嘉15191820101</w:t>
                  </w:r>
                </w:p>
              </w:tc>
            </w:tr>
            <w:tr w14:paraId="6ADD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775944D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12</w:t>
                  </w:r>
                </w:p>
              </w:tc>
              <w:tc>
                <w:tcPr>
                  <w:tcW w:w="969" w:type="dxa"/>
                  <w:vAlign w:val="center"/>
                </w:tcPr>
                <w:p w14:paraId="0A00FB4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建设银行</w:t>
                  </w:r>
                </w:p>
              </w:tc>
              <w:tc>
                <w:tcPr>
                  <w:tcW w:w="1068" w:type="dxa"/>
                  <w:vAlign w:val="center"/>
                </w:tcPr>
                <w:p w14:paraId="61A20A0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E政通</w:t>
                  </w:r>
                </w:p>
              </w:tc>
              <w:tc>
                <w:tcPr>
                  <w:tcW w:w="1068" w:type="dxa"/>
                  <w:vAlign w:val="center"/>
                </w:tcPr>
                <w:p w14:paraId="614769A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1000万元</w:t>
                  </w:r>
                </w:p>
              </w:tc>
              <w:tc>
                <w:tcPr>
                  <w:tcW w:w="1068" w:type="dxa"/>
                  <w:vAlign w:val="center"/>
                </w:tcPr>
                <w:p w14:paraId="10D209E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1年</w:t>
                  </w:r>
                </w:p>
              </w:tc>
              <w:tc>
                <w:tcPr>
                  <w:tcW w:w="1068" w:type="dxa"/>
                  <w:vAlign w:val="center"/>
                </w:tcPr>
                <w:p w14:paraId="6E7BE23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3.2%</w:t>
                  </w:r>
                </w:p>
              </w:tc>
              <w:tc>
                <w:tcPr>
                  <w:tcW w:w="1068" w:type="dxa"/>
                  <w:vAlign w:val="center"/>
                </w:tcPr>
                <w:p w14:paraId="1CDF26F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72小时</w:t>
                  </w:r>
                </w:p>
              </w:tc>
              <w:tc>
                <w:tcPr>
                  <w:tcW w:w="1506" w:type="dxa"/>
                  <w:vAlign w:val="center"/>
                </w:tcPr>
                <w:p w14:paraId="7E2CB3A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张 宇 15929397838</w:t>
                  </w:r>
                </w:p>
              </w:tc>
            </w:tr>
          </w:tbl>
          <w:p w14:paraId="7AD750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备注：银行排名不分先后。如产品额度、期限、利率等内容发生改变，以银行解释为准。</w:t>
            </w:r>
          </w:p>
        </w:tc>
      </w:tr>
      <w:tr w14:paraId="4BC8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F9807F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w:t>
            </w:r>
          </w:p>
        </w:tc>
        <w:tc>
          <w:tcPr>
            <w:tcW w:w="1200" w:type="dxa"/>
            <w:vAlign w:val="center"/>
          </w:tcPr>
          <w:p w14:paraId="2113B46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版权或者所有权</w:t>
            </w:r>
          </w:p>
        </w:tc>
        <w:tc>
          <w:tcPr>
            <w:tcW w:w="6807" w:type="dxa"/>
            <w:gridSpan w:val="6"/>
            <w:vAlign w:val="center"/>
          </w:tcPr>
          <w:p w14:paraId="615182F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 xml:space="preserve">本项目涉及软件的版权或者所有权均归采购方所有。 </w:t>
            </w:r>
          </w:p>
          <w:p w14:paraId="700408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应保证，采购人在国内使用该软件的任何一部分时，免受第三方提出的知识产权等起诉。软件：系统自带控制软件，终生免费升级</w:t>
            </w:r>
          </w:p>
        </w:tc>
      </w:tr>
      <w:tr w14:paraId="5EBF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57DB4C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26</w:t>
            </w:r>
          </w:p>
        </w:tc>
        <w:tc>
          <w:tcPr>
            <w:tcW w:w="1200" w:type="dxa"/>
            <w:vAlign w:val="center"/>
          </w:tcPr>
          <w:p w14:paraId="2EB7B28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说明书</w:t>
            </w:r>
          </w:p>
        </w:tc>
        <w:tc>
          <w:tcPr>
            <w:tcW w:w="6807" w:type="dxa"/>
            <w:gridSpan w:val="6"/>
            <w:vAlign w:val="center"/>
          </w:tcPr>
          <w:p w14:paraId="1BB59F6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要求中文</w:t>
            </w:r>
          </w:p>
        </w:tc>
      </w:tr>
      <w:tr w14:paraId="27D0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881CCB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27</w:t>
            </w:r>
          </w:p>
        </w:tc>
        <w:tc>
          <w:tcPr>
            <w:tcW w:w="1200" w:type="dxa"/>
            <w:vAlign w:val="center"/>
          </w:tcPr>
          <w:p w14:paraId="20F70F3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响应文件制作上传</w:t>
            </w:r>
          </w:p>
        </w:tc>
        <w:tc>
          <w:tcPr>
            <w:tcW w:w="6807" w:type="dxa"/>
            <w:gridSpan w:val="6"/>
            <w:vAlign w:val="center"/>
          </w:tcPr>
          <w:p w14:paraId="5D8EF57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须使用数字认证证书对电子化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文件进行签章、加密、递交及开标时解密等相关</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事宜。现场时务必携带数字认证证书（主锁及生成上传文件所用的副锁），如因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自身原因未携带数字认证证书造成无法解密</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对待。 </w:t>
            </w:r>
          </w:p>
          <w:p w14:paraId="55AC95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须在“全国公共资源交易中心平台（陕西省）（http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//www</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cn/）”的“服务指南” 栏目“下载专区”中，免费下载“陕西省公共资源交易平台政府采购电子标书制作工具” 及“政府采购投标单位操作手册”，并使用该客户端制作电子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文件，制作扩展名为“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SXSTF”的电子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 </w:t>
            </w:r>
          </w:p>
          <w:p w14:paraId="06EDC1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3、递交电子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 登录陕西省公共资源交易中心平台（http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//xxxq</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cn/），选择“电子交易平台－陕西政府采购交易系统－陕西省公共资源交易平台－供应商”进行登录，登录后选择“交易乙方”身份进入，选择“上传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文件”菜单页面，上传加密的电子化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文件。上传成功后，电子化平台将予以记录。 </w:t>
            </w:r>
          </w:p>
          <w:p w14:paraId="70E937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文件中所有涉及签字、盖章的，各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须将所有签字盖章完成后上传。</w:t>
            </w:r>
          </w:p>
        </w:tc>
      </w:tr>
      <w:tr w14:paraId="3A4C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7380BB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28</w:t>
            </w:r>
          </w:p>
        </w:tc>
        <w:tc>
          <w:tcPr>
            <w:tcW w:w="1200" w:type="dxa"/>
            <w:vAlign w:val="center"/>
          </w:tcPr>
          <w:p w14:paraId="691795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信用承诺公示</w:t>
            </w:r>
            <w:r>
              <w:rPr>
                <w:rFonts w:hint="eastAsia" w:ascii="宋体" w:hAnsi="宋体" w:cs="宋体"/>
                <w:b w:val="0"/>
                <w:bCs w:val="0"/>
                <w:sz w:val="23"/>
                <w:szCs w:val="23"/>
                <w:vertAlign w:val="baseline"/>
                <w:lang w:eastAsia="zh-CN"/>
              </w:rPr>
              <w:t>要求</w:t>
            </w:r>
          </w:p>
        </w:tc>
        <w:tc>
          <w:tcPr>
            <w:tcW w:w="6807" w:type="dxa"/>
            <w:gridSpan w:val="6"/>
            <w:vAlign w:val="center"/>
          </w:tcPr>
          <w:p w14:paraId="3EA903A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为深入贯彻信用体系建设的有关精神，根据市发改委《关于在工程招投标活动中推行信用监管试点示范工作的通知》（榆政发改发〔2020〕329号）</w:t>
            </w:r>
            <w:r>
              <w:rPr>
                <w:rFonts w:hint="eastAsia" w:ascii="宋体" w:hAnsi="宋体" w:cs="宋体"/>
                <w:b w:val="0"/>
                <w:bCs w:val="0"/>
                <w:sz w:val="23"/>
                <w:szCs w:val="23"/>
                <w:vertAlign w:val="baseline"/>
                <w:lang w:val="en-US" w:eastAsia="zh-CN"/>
              </w:rPr>
              <w:t>、市财政局《关于进一步优化政府采购营商环境有关事项的通知》</w:t>
            </w:r>
            <w:r>
              <w:rPr>
                <w:rFonts w:hint="eastAsia" w:ascii="宋体" w:hAnsi="宋体" w:eastAsia="宋体" w:cs="宋体"/>
                <w:b w:val="0"/>
                <w:bCs w:val="0"/>
                <w:sz w:val="23"/>
                <w:szCs w:val="23"/>
                <w:vertAlign w:val="baseline"/>
                <w:lang w:val="en-US" w:eastAsia="zh-CN"/>
              </w:rPr>
              <w:t>（榆政财采</w:t>
            </w:r>
            <w:r>
              <w:rPr>
                <w:rFonts w:hint="eastAsia" w:ascii="宋体" w:hAnsi="宋体" w:cs="宋体"/>
                <w:b w:val="0"/>
                <w:bCs w:val="0"/>
                <w:sz w:val="23"/>
                <w:szCs w:val="23"/>
                <w:vertAlign w:val="baseline"/>
                <w:lang w:val="en-US" w:eastAsia="zh-CN"/>
              </w:rPr>
              <w:t>发</w:t>
            </w:r>
            <w:r>
              <w:rPr>
                <w:rFonts w:hint="eastAsia" w:ascii="宋体" w:hAnsi="宋体" w:eastAsia="宋体" w:cs="宋体"/>
                <w:b w:val="0"/>
                <w:bCs w:val="0"/>
                <w:sz w:val="23"/>
                <w:szCs w:val="23"/>
                <w:vertAlign w:val="baseline"/>
                <w:lang w:val="en-US" w:eastAsia="zh-CN"/>
              </w:rPr>
              <w:t>〔202</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号）和市财政局《关于在政府采购活动中使用信用记录和信用报告以及开展承诺工作的通知》（榆政财采函〔2020〕9号）在工程建设和政府采购领域全面推行信用公开承诺制，进入公共资源交易平台的各方交易主体（投标企业、授权代表），均应在“信用中国（陕西榆林）”网站进行注册、登陆，自主上报信用承诺书（网址：https</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//credit</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yl</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gov</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cn/），各相关交易主体注册、登陆后根据承诺事项选择相应的模板填写《信用承诺书》，并载明承诺事由，政府采购活动中，各方交易主体的承诺事由为“项目名称”。</w:t>
            </w:r>
            <w:r>
              <w:rPr>
                <w:rFonts w:hint="eastAsia" w:ascii="宋体" w:hAnsi="宋体" w:cs="宋体"/>
                <w:b w:val="0"/>
                <w:bCs w:val="0"/>
                <w:sz w:val="23"/>
                <w:szCs w:val="23"/>
                <w:vertAlign w:val="baseline"/>
                <w:lang w:val="en-US" w:eastAsia="zh-CN"/>
              </w:rPr>
              <w:t>具体操作见“</w:t>
            </w:r>
            <w:r>
              <w:rPr>
                <w:rFonts w:hint="eastAsia" w:ascii="宋体" w:hAnsi="宋体" w:cs="宋体"/>
                <w:b/>
                <w:bCs/>
                <w:sz w:val="23"/>
                <w:szCs w:val="23"/>
                <w:vertAlign w:val="baseline"/>
                <w:lang w:val="en-US" w:eastAsia="zh-CN"/>
              </w:rPr>
              <w:t>附件十一</w:t>
            </w:r>
            <w:r>
              <w:rPr>
                <w:rFonts w:hint="eastAsia" w:ascii="宋体" w:hAnsi="宋体" w:eastAsia="宋体" w:cs="宋体"/>
                <w:b/>
                <w:bCs/>
                <w:sz w:val="23"/>
                <w:szCs w:val="23"/>
                <w:vertAlign w:val="baseline"/>
                <w:lang w:val="en-US" w:eastAsia="zh-CN"/>
              </w:rPr>
              <w:t>：信用承诺上报操作指南</w:t>
            </w:r>
            <w:r>
              <w:rPr>
                <w:rFonts w:hint="eastAsia" w:ascii="宋体" w:hAnsi="宋体" w:cs="宋体"/>
                <w:b w:val="0"/>
                <w:bCs w:val="0"/>
                <w:sz w:val="23"/>
                <w:szCs w:val="23"/>
                <w:vertAlign w:val="baseline"/>
                <w:lang w:val="en-US" w:eastAsia="zh-CN"/>
              </w:rPr>
              <w:t>”</w:t>
            </w:r>
          </w:p>
        </w:tc>
      </w:tr>
      <w:tr w14:paraId="646D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13C748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p>
        </w:tc>
        <w:tc>
          <w:tcPr>
            <w:tcW w:w="1200" w:type="dxa"/>
            <w:vAlign w:val="center"/>
          </w:tcPr>
          <w:p w14:paraId="34F94D6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不见面开标</w:t>
            </w:r>
          </w:p>
        </w:tc>
        <w:tc>
          <w:tcPr>
            <w:tcW w:w="6807" w:type="dxa"/>
            <w:gridSpan w:val="6"/>
            <w:vAlign w:val="center"/>
          </w:tcPr>
          <w:p w14:paraId="367B39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本项目将采取“不见面”开标，供应商无须到达开标现场，即可在</w:t>
            </w:r>
          </w:p>
          <w:p w14:paraId="712302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网上直接参与开标活动。相关注意事项如下：</w:t>
            </w:r>
          </w:p>
          <w:p w14:paraId="365BD5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eastAsia="zh-CN"/>
              </w:rPr>
              <w:t>）开标当日，请各供应商在开标截止时间前至少提前半小时登录“不见面”开标系统登录方式有以下几种：</w:t>
            </w:r>
          </w:p>
          <w:p w14:paraId="76B0EF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z w:val="23"/>
                <w:szCs w:val="23"/>
                <w:vertAlign w:val="baseline"/>
                <w:lang w:eastAsia="zh-CN"/>
              </w:rPr>
              <w:t>1）IE浏览器输入网址：</w:t>
            </w:r>
            <w:r>
              <w:rPr>
                <w:rFonts w:hint="eastAsia" w:ascii="宋体" w:hAnsi="宋体" w:eastAsia="宋体" w:cs="宋体"/>
                <w:b w:val="0"/>
                <w:bCs w:val="0"/>
                <w:snapToGrid w:val="0"/>
                <w:color w:val="000000"/>
                <w:kern w:val="0"/>
                <w:sz w:val="23"/>
                <w:szCs w:val="23"/>
                <w:vertAlign w:val="baseline"/>
                <w:lang w:eastAsia="zh-CN"/>
              </w:rPr>
              <w:t>http：//111.20.184.126：8084/BidOpeningHall/bidhall/dqxianyang/login；</w:t>
            </w:r>
          </w:p>
          <w:p w14:paraId="776047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在【全国公共资源交易平台（陕西省·榆林市）】网站首页点击不见面开标模块进入；</w:t>
            </w:r>
          </w:p>
          <w:p w14:paraId="698B75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在【全国公共资源交易平台（陕西省）】网站首页点击不见面开标模块选择榆林市进入。</w:t>
            </w:r>
          </w:p>
          <w:p w14:paraId="4488C6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注：登录不见面开标系统请选择IE11浏览器。</w:t>
            </w:r>
          </w:p>
          <w:p w14:paraId="706AF0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）供应商应按要求及时签到（签到时间为</w:t>
            </w:r>
            <w:r>
              <w:rPr>
                <w:rFonts w:hint="eastAsia" w:ascii="宋体" w:hAnsi="宋体" w:cs="宋体"/>
                <w:b w:val="0"/>
                <w:bCs w:val="0"/>
                <w:sz w:val="23"/>
                <w:szCs w:val="23"/>
                <w:vertAlign w:val="baseline"/>
                <w:lang w:eastAsia="zh-CN"/>
              </w:rPr>
              <w:t>递交响应文件</w:t>
            </w:r>
            <w:r>
              <w:rPr>
                <w:rFonts w:hint="eastAsia" w:ascii="宋体" w:hAnsi="宋体" w:eastAsia="宋体" w:cs="宋体"/>
                <w:b w:val="0"/>
                <w:bCs w:val="0"/>
                <w:sz w:val="23"/>
                <w:szCs w:val="23"/>
                <w:vertAlign w:val="baseline"/>
                <w:lang w:eastAsia="zh-CN"/>
              </w:rPr>
              <w:t>截止时间前1小时内，如果未签到将视为放弃</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资格），评审过程中，</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小组可能会就某些问题要求供应商进行在线澄清，请供应商保持在线直到评审结束；</w:t>
            </w:r>
          </w:p>
          <w:p w14:paraId="73E477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）开标过程中，供应商在收到工作人员“开始解密”指令后，请及时使用CA锁对电子响应文件进行解密。解密时所用CA锁应与加密响应文件时所用CA锁一致；</w:t>
            </w:r>
          </w:p>
          <w:p w14:paraId="4D3256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注：解密时间为30分钟，在解密时间内供应商全部解密完成后，可提前进入开标下一阶段。</w:t>
            </w:r>
          </w:p>
          <w:p w14:paraId="7BFDF5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eastAsia="zh-CN"/>
              </w:rPr>
              <w:t>）榆林不见面开标系统操作手册下载方式：登录全国公共资源交易平台（陕西省·榆林市）〖首页〉服务指南〉下载专区〗中的《榆林市不见面开标大厅操作手册（投标人）》，供应商保持在线直到评审结束方可离开开标会。</w:t>
            </w:r>
          </w:p>
          <w:p w14:paraId="2B373AA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eastAsia="zh-CN"/>
              </w:rPr>
              <w:t>）技术支持热线：400-998-0000/400-928-0095。</w:t>
            </w:r>
          </w:p>
        </w:tc>
      </w:tr>
      <w:tr w14:paraId="5281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130BB4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w:t>
            </w:r>
          </w:p>
        </w:tc>
        <w:tc>
          <w:tcPr>
            <w:tcW w:w="1200" w:type="dxa"/>
            <w:vAlign w:val="center"/>
          </w:tcPr>
          <w:p w14:paraId="7849EC6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面向</w:t>
            </w:r>
            <w:r>
              <w:rPr>
                <w:rFonts w:hint="eastAsia" w:ascii="宋体" w:hAnsi="宋体" w:eastAsia="宋体" w:cs="宋体"/>
                <w:b w:val="0"/>
                <w:bCs w:val="0"/>
                <w:sz w:val="23"/>
                <w:szCs w:val="23"/>
                <w:vertAlign w:val="baseline"/>
                <w:lang w:val="en-US" w:eastAsia="zh-CN"/>
              </w:rPr>
              <w:t>中小企业</w:t>
            </w:r>
            <w:r>
              <w:rPr>
                <w:rFonts w:hint="eastAsia" w:ascii="宋体" w:hAnsi="宋体" w:cs="宋体"/>
                <w:b w:val="0"/>
                <w:bCs w:val="0"/>
                <w:sz w:val="23"/>
                <w:szCs w:val="23"/>
                <w:vertAlign w:val="baseline"/>
                <w:lang w:val="en-US" w:eastAsia="zh-CN"/>
              </w:rPr>
              <w:t>情况</w:t>
            </w:r>
          </w:p>
        </w:tc>
        <w:tc>
          <w:tcPr>
            <w:tcW w:w="6807" w:type="dxa"/>
            <w:gridSpan w:val="6"/>
            <w:vAlign w:val="center"/>
          </w:tcPr>
          <w:p w14:paraId="21F8534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（1）本项目专门面向中小企业采购项目</w:t>
            </w:r>
          </w:p>
          <w:p w14:paraId="2081640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（2）采购标的对应的中小企业划分标准所属行业：</w:t>
            </w:r>
            <w:r>
              <w:rPr>
                <w:rFonts w:hint="eastAsia" w:ascii="宋体" w:hAnsi="宋体" w:cs="宋体"/>
                <w:b w:val="0"/>
                <w:bCs w:val="0"/>
                <w:sz w:val="23"/>
                <w:szCs w:val="23"/>
                <w:vertAlign w:val="baseline"/>
                <w:lang w:val="en-US" w:eastAsia="zh-CN"/>
              </w:rPr>
              <w:t>其他未列明行业</w:t>
            </w:r>
          </w:p>
          <w:p w14:paraId="198F2F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（3）本项目属性：</w:t>
            </w:r>
            <w:r>
              <w:rPr>
                <w:rFonts w:hint="eastAsia" w:ascii="宋体" w:hAnsi="宋体" w:cs="宋体"/>
                <w:b w:val="0"/>
                <w:bCs w:val="0"/>
                <w:sz w:val="23"/>
                <w:szCs w:val="23"/>
                <w:vertAlign w:val="baseline"/>
                <w:lang w:val="en-US" w:eastAsia="zh-CN"/>
              </w:rPr>
              <w:t>服务</w:t>
            </w:r>
          </w:p>
        </w:tc>
      </w:tr>
      <w:tr w14:paraId="3DDC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46B2D5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31</w:t>
            </w:r>
          </w:p>
        </w:tc>
        <w:tc>
          <w:tcPr>
            <w:tcW w:w="1200" w:type="dxa"/>
            <w:vAlign w:val="center"/>
          </w:tcPr>
          <w:p w14:paraId="0F80C86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信用查询</w:t>
            </w:r>
          </w:p>
        </w:tc>
        <w:tc>
          <w:tcPr>
            <w:tcW w:w="6807" w:type="dxa"/>
            <w:gridSpan w:val="6"/>
            <w:vAlign w:val="center"/>
          </w:tcPr>
          <w:p w14:paraId="58CD128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根据《财政部关于在政府采购活动中查询及使用信用记录有关问题的通知》采购人、采购代理机构在资格审查时对供应商信用记录进行查询。对列入失信被执行人、重大税收违法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、政府采购严重违法失信行为记录名单及其他不符合《中华人民共和国政府采购法》第二十二条规定条件的供应商，应当拒绝其参与政府采购活动</w:t>
            </w:r>
          </w:p>
        </w:tc>
      </w:tr>
      <w:tr w14:paraId="42D0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CD44A0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32</w:t>
            </w:r>
          </w:p>
        </w:tc>
        <w:tc>
          <w:tcPr>
            <w:tcW w:w="1200" w:type="dxa"/>
            <w:vAlign w:val="center"/>
          </w:tcPr>
          <w:p w14:paraId="2BDC90D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最高限价</w:t>
            </w:r>
          </w:p>
        </w:tc>
        <w:tc>
          <w:tcPr>
            <w:tcW w:w="6807" w:type="dxa"/>
            <w:gridSpan w:val="6"/>
            <w:vAlign w:val="center"/>
          </w:tcPr>
          <w:p w14:paraId="2445EB5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bCs/>
                <w:sz w:val="23"/>
                <w:szCs w:val="23"/>
                <w:vertAlign w:val="baseline"/>
                <w:lang w:eastAsia="zh-CN"/>
              </w:rPr>
              <w:t>最高限价：</w:t>
            </w:r>
            <w:r>
              <w:rPr>
                <w:rFonts w:hint="eastAsia" w:ascii="宋体" w:hAnsi="宋体" w:cs="宋体"/>
                <w:b/>
                <w:bCs/>
                <w:sz w:val="23"/>
                <w:szCs w:val="23"/>
                <w:vertAlign w:val="baseline"/>
                <w:lang w:val="en-US" w:eastAsia="zh-CN"/>
              </w:rPr>
              <w:t>1800000元。</w:t>
            </w:r>
          </w:p>
        </w:tc>
      </w:tr>
      <w:tr w14:paraId="5F9E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ECD0F7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bookmarkStart w:id="9" w:name="_Toc5461_WPSOffice_Level2"/>
            <w:r>
              <w:rPr>
                <w:rFonts w:hint="eastAsia" w:ascii="宋体" w:hAnsi="宋体" w:cs="宋体"/>
                <w:b w:val="0"/>
                <w:bCs w:val="0"/>
                <w:sz w:val="23"/>
                <w:szCs w:val="23"/>
                <w:vertAlign w:val="baseline"/>
                <w:lang w:val="en-US" w:eastAsia="zh-CN"/>
              </w:rPr>
              <w:t>33</w:t>
            </w:r>
          </w:p>
        </w:tc>
        <w:tc>
          <w:tcPr>
            <w:tcW w:w="1200" w:type="dxa"/>
            <w:vAlign w:val="center"/>
          </w:tcPr>
          <w:p w14:paraId="53C4D4BA">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val="en-US" w:eastAsia="zh-CN"/>
              </w:rPr>
              <w:t>供应商对竞争性磋商文件提出质疑的时间</w:t>
            </w:r>
          </w:p>
        </w:tc>
        <w:tc>
          <w:tcPr>
            <w:tcW w:w="6807" w:type="dxa"/>
            <w:gridSpan w:val="6"/>
            <w:vAlign w:val="center"/>
          </w:tcPr>
          <w:p w14:paraId="781DED2A">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供应商认为竞争性磋商文件使自己的权益受到损害的，在收到竞争性磋商文件之日起7个工作日内，以书面形式向采购代理机构提出质疑，逾期提出的无效，因此带来的一切不利后果由供应商自负。</w:t>
            </w:r>
          </w:p>
        </w:tc>
      </w:tr>
      <w:tr w14:paraId="73F0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A0258C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34</w:t>
            </w:r>
          </w:p>
        </w:tc>
        <w:tc>
          <w:tcPr>
            <w:tcW w:w="1200" w:type="dxa"/>
            <w:vAlign w:val="center"/>
          </w:tcPr>
          <w:p w14:paraId="579469C6">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构成竞争性磋商</w:t>
            </w:r>
            <w:r>
              <w:rPr>
                <w:rFonts w:ascii="宋体" w:hAnsi="宋体" w:eastAsia="宋体" w:cs="宋体"/>
                <w:spacing w:val="11"/>
                <w:sz w:val="20"/>
                <w:szCs w:val="20"/>
              </w:rPr>
              <w:t>文</w:t>
            </w:r>
            <w:r>
              <w:rPr>
                <w:rFonts w:ascii="宋体" w:hAnsi="宋体" w:eastAsia="宋体" w:cs="宋体"/>
                <w:sz w:val="20"/>
                <w:szCs w:val="20"/>
              </w:rPr>
              <w:t xml:space="preserve"> </w:t>
            </w:r>
            <w:r>
              <w:rPr>
                <w:rFonts w:hint="eastAsia" w:ascii="宋体" w:hAnsi="宋体" w:eastAsia="宋体" w:cs="宋体"/>
                <w:b w:val="0"/>
                <w:bCs w:val="0"/>
                <w:snapToGrid w:val="0"/>
                <w:color w:val="000000"/>
                <w:kern w:val="0"/>
                <w:sz w:val="23"/>
                <w:szCs w:val="23"/>
                <w:vertAlign w:val="baseline"/>
                <w:lang w:val="en-US" w:eastAsia="zh-CN"/>
              </w:rPr>
              <w:t>件的其他文件</w:t>
            </w:r>
          </w:p>
        </w:tc>
        <w:tc>
          <w:tcPr>
            <w:tcW w:w="6807" w:type="dxa"/>
            <w:gridSpan w:val="6"/>
            <w:vAlign w:val="top"/>
          </w:tcPr>
          <w:p w14:paraId="170B30B6">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竞争性磋商文件的澄清、修改书及有关补充通知均为竞争性磋商文件的有效组成部分。</w:t>
            </w:r>
          </w:p>
          <w:p w14:paraId="67EF5A09">
            <w:pPr>
              <w:keepNext w:val="0"/>
              <w:keepLines w:val="0"/>
              <w:pageBreakBefore w:val="0"/>
              <w:widowControl w:val="0"/>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bCs/>
                <w:snapToGrid w:val="0"/>
                <w:color w:val="000000"/>
                <w:kern w:val="0"/>
                <w:sz w:val="23"/>
                <w:szCs w:val="23"/>
                <w:vertAlign w:val="baseline"/>
                <w:lang w:eastAsia="zh-CN"/>
              </w:rPr>
              <w:t>注意事项：</w:t>
            </w:r>
            <w:r>
              <w:rPr>
                <w:rFonts w:hint="eastAsia" w:ascii="宋体" w:hAnsi="宋体" w:eastAsia="宋体" w:cs="宋体"/>
                <w:b w:val="0"/>
                <w:bCs w:val="0"/>
                <w:snapToGrid w:val="0"/>
                <w:color w:val="000000"/>
                <w:kern w:val="0"/>
                <w:sz w:val="23"/>
                <w:szCs w:val="23"/>
                <w:vertAlign w:val="baseline"/>
                <w:lang w:eastAsia="zh-CN"/>
              </w:rPr>
              <w:t>供应商应随时留意可能发布的变更公告，当澄清或修改的内容影响响应文件编制时，将在交易平台上同步发布答疑文件，此时供应商应从“项目流程·〉答疑文件下载”下载最新发布的答疑文件后缀为(*.SXSCF)，并使用该文件重新编制电子响应文件后缀为(*.SXSTF)，使用旧版电子竞争性磋商文件或旧版答疑文件制作的电子响应文件，系统将拒绝接收。</w:t>
            </w:r>
          </w:p>
        </w:tc>
      </w:tr>
      <w:tr w14:paraId="12F0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515" w:type="dxa"/>
            <w:vAlign w:val="center"/>
          </w:tcPr>
          <w:p w14:paraId="27D5C2C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35</w:t>
            </w:r>
          </w:p>
        </w:tc>
        <w:tc>
          <w:tcPr>
            <w:tcW w:w="1200" w:type="dxa"/>
            <w:vAlign w:val="center"/>
          </w:tcPr>
          <w:p w14:paraId="54A6256D">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磋商报价</w:t>
            </w:r>
          </w:p>
        </w:tc>
        <w:tc>
          <w:tcPr>
            <w:tcW w:w="6807" w:type="dxa"/>
            <w:gridSpan w:val="6"/>
            <w:vAlign w:val="top"/>
          </w:tcPr>
          <w:p w14:paraId="6D07464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报价是供应商响应采购项目要求的全部工作内容的价格体现，包括完成采购项目所需的直接费、间接费、利润、税金及其它相关的一切费用。供应商在报价时应充分考虑所有可能发生的费用，竞争性</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文件未列明，而供应商认为应当计取的费用均应列入报价中。报价时不论是否计取，采购人均按已计取对待。</w:t>
            </w:r>
          </w:p>
          <w:p w14:paraId="42C540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eastAsia="zh-CN"/>
              </w:rPr>
              <w:t>）供应商应严格按照《响应文件构成及格式》中《开标一览表》中的相关要求填写分项报价及其他需要响应的内容。</w:t>
            </w:r>
          </w:p>
          <w:p w14:paraId="2BC249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报价货币：人民币；单位：</w:t>
            </w:r>
            <w:r>
              <w:rPr>
                <w:rFonts w:hint="eastAsia" w:ascii="宋体" w:hAnsi="宋体" w:cs="宋体"/>
                <w:b w:val="0"/>
                <w:bCs w:val="0"/>
                <w:sz w:val="23"/>
                <w:szCs w:val="23"/>
                <w:vertAlign w:val="baseline"/>
                <w:lang w:eastAsia="zh-CN"/>
              </w:rPr>
              <w:t>元</w:t>
            </w:r>
            <w:r>
              <w:rPr>
                <w:rFonts w:hint="eastAsia" w:ascii="宋体" w:hAnsi="宋体" w:eastAsia="宋体" w:cs="宋体"/>
                <w:b w:val="0"/>
                <w:bCs w:val="0"/>
                <w:sz w:val="23"/>
                <w:szCs w:val="23"/>
                <w:vertAlign w:val="baseline"/>
                <w:lang w:eastAsia="zh-CN"/>
              </w:rPr>
              <w:t>。</w:t>
            </w:r>
          </w:p>
          <w:p w14:paraId="60E099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报价只能提交唯一报价，并且在合同履行过程中是固定不变的，任何有选择的报价将不予接受，按无效响应处理。</w:t>
            </w:r>
          </w:p>
          <w:p w14:paraId="6C9AA9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报价应遵守《中华人民共和国价格法》，供应商不得以低于成本的报价参与</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w:t>
            </w:r>
          </w:p>
          <w:p w14:paraId="75C5EE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eastAsia="zh-CN"/>
              </w:rPr>
              <w:t>）自行在“全国公共资源交易中心平台（陕西省）”上进行二次报价。</w:t>
            </w:r>
          </w:p>
          <w:p w14:paraId="094346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eastAsia="zh-CN"/>
              </w:rPr>
              <w:t>）二次</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报价前</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小组须单独分别于各个供应商进行</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过程采用腾讯会议的方式进行，登录腾讯会议方法如下：</w:t>
            </w:r>
          </w:p>
          <w:p w14:paraId="5B0744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会议主题：</w:t>
            </w:r>
            <w:r>
              <w:rPr>
                <w:rFonts w:hint="eastAsia" w:ascii="宋体" w:hAnsi="宋体" w:cs="宋体"/>
                <w:b w:val="0"/>
                <w:bCs w:val="0"/>
                <w:sz w:val="23"/>
                <w:szCs w:val="23"/>
                <w:vertAlign w:val="baseline"/>
                <w:lang w:eastAsia="zh-CN"/>
              </w:rPr>
              <w:t>神木市麟州街道办事处麟州街道病媒生物防治服务</w:t>
            </w:r>
            <w:r>
              <w:rPr>
                <w:rFonts w:hint="eastAsia" w:ascii="宋体" w:hAnsi="宋体" w:eastAsia="宋体" w:cs="宋体"/>
                <w:b w:val="0"/>
                <w:bCs w:val="0"/>
                <w:sz w:val="23"/>
                <w:szCs w:val="23"/>
                <w:vertAlign w:val="baseline"/>
                <w:lang w:eastAsia="zh-CN"/>
              </w:rPr>
              <w:t>竞争性</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会议</w:t>
            </w:r>
          </w:p>
          <w:p w14:paraId="6E6277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会议时间：</w:t>
            </w:r>
            <w:r>
              <w:rPr>
                <w:rFonts w:hint="eastAsia" w:ascii="宋体" w:hAnsi="宋体" w:eastAsia="宋体" w:cs="宋体"/>
                <w:b w:val="0"/>
                <w:bCs w:val="0"/>
                <w:sz w:val="23"/>
                <w:szCs w:val="23"/>
                <w:vertAlign w:val="baseline"/>
                <w:lang w:eastAsia="zh-CN"/>
              </w:rPr>
              <w:t xml:space="preserve">2026/02/06 13:30-23:45 </w:t>
            </w:r>
          </w:p>
          <w:p w14:paraId="6B3338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点击链接入会，或添加至会议列表：</w:t>
            </w:r>
          </w:p>
          <w:p w14:paraId="7CEABC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https://meeting.tencent.com/dm/FvB75ZlKMfTp</w:t>
            </w:r>
          </w:p>
          <w:p w14:paraId="433713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腾讯会议</w:t>
            </w:r>
            <w:r>
              <w:rPr>
                <w:rFonts w:hint="eastAsia" w:ascii="宋体" w:hAnsi="宋体" w:cs="宋体"/>
                <w:b/>
                <w:bCs/>
                <w:sz w:val="23"/>
                <w:szCs w:val="23"/>
                <w:vertAlign w:val="baseline"/>
                <w:lang w:eastAsia="zh-CN"/>
              </w:rPr>
              <w:t>号</w:t>
            </w:r>
            <w:r>
              <w:rPr>
                <w:rFonts w:hint="eastAsia" w:ascii="宋体" w:hAnsi="宋体" w:eastAsia="宋体" w:cs="宋体"/>
                <w:b/>
                <w:bCs/>
                <w:sz w:val="23"/>
                <w:szCs w:val="23"/>
                <w:vertAlign w:val="baseline"/>
                <w:lang w:eastAsia="zh-CN"/>
              </w:rPr>
              <w:t>：</w:t>
            </w:r>
            <w:r>
              <w:rPr>
                <w:rFonts w:hint="eastAsia" w:ascii="宋体" w:hAnsi="宋体" w:eastAsia="宋体" w:cs="宋体"/>
                <w:b w:val="0"/>
                <w:bCs w:val="0"/>
                <w:sz w:val="23"/>
                <w:szCs w:val="23"/>
                <w:vertAlign w:val="baseline"/>
                <w:lang w:eastAsia="zh-CN"/>
              </w:rPr>
              <w:t>636-826-362</w:t>
            </w:r>
          </w:p>
          <w:p w14:paraId="3C3BFF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b w:val="0"/>
                <w:bCs w:val="0"/>
                <w:snapToGrid w:val="0"/>
                <w:color w:val="000000"/>
                <w:kern w:val="0"/>
                <w:sz w:val="23"/>
                <w:szCs w:val="23"/>
                <w:vertAlign w:val="baseline"/>
                <w:lang w:eastAsia="zh-CN"/>
              </w:rPr>
            </w:pPr>
            <w:r>
              <w:rPr>
                <w:rFonts w:hint="eastAsia" w:ascii="宋体" w:hAnsi="宋体" w:cs="宋体"/>
                <w:b/>
                <w:bCs/>
                <w:sz w:val="23"/>
                <w:szCs w:val="23"/>
                <w:vertAlign w:val="baseline"/>
                <w:lang w:eastAsia="zh-CN"/>
              </w:rPr>
              <w:t>注：</w:t>
            </w:r>
            <w:r>
              <w:rPr>
                <w:rFonts w:hint="eastAsia" w:ascii="宋体" w:hAnsi="宋体" w:eastAsia="宋体" w:cs="宋体"/>
                <w:b w:val="0"/>
                <w:bCs w:val="0"/>
                <w:sz w:val="23"/>
                <w:szCs w:val="23"/>
                <w:vertAlign w:val="baseline"/>
                <w:lang w:eastAsia="zh-CN"/>
              </w:rPr>
              <w:t>复制该信息，打开腾讯会议即可参与</w:t>
            </w:r>
            <w:r>
              <w:rPr>
                <w:rFonts w:hint="eastAsia" w:ascii="宋体" w:hAnsi="宋体" w:cs="宋体"/>
                <w:b w:val="0"/>
                <w:bCs w:val="0"/>
                <w:sz w:val="23"/>
                <w:szCs w:val="23"/>
                <w:vertAlign w:val="baseline"/>
                <w:lang w:eastAsia="zh-CN"/>
              </w:rPr>
              <w:t>，供应商进入会议时保持静音及关闭视频模式，磋商小组将单独与各个供应商进行磋商，未进行磋商的供应商须在腾讯会议“等候室”等待磋商小组准入会议，供应商不得擅自离开腾讯会议，若擅自离开腾讯会议，将默认该供应商同意整个磋商过程且无异议。</w:t>
            </w:r>
          </w:p>
        </w:tc>
      </w:tr>
      <w:tr w14:paraId="1BA8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Align w:val="center"/>
          </w:tcPr>
          <w:p w14:paraId="5BEDF6C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36</w:t>
            </w:r>
          </w:p>
        </w:tc>
        <w:tc>
          <w:tcPr>
            <w:tcW w:w="1200" w:type="dxa"/>
            <w:vAlign w:val="center"/>
          </w:tcPr>
          <w:p w14:paraId="289FE8EC">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其它事项</w:t>
            </w:r>
          </w:p>
        </w:tc>
        <w:tc>
          <w:tcPr>
            <w:tcW w:w="6807" w:type="dxa"/>
            <w:gridSpan w:val="6"/>
            <w:vAlign w:val="top"/>
          </w:tcPr>
          <w:p w14:paraId="708D241A">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本次采购项目、磋商报价、评审和合同授予均以项目为单位，供应商必须就一个完整项目进行响应。成交供应商与采购人在成交通知书发出10天内签订合同，不及时签订视为自动放弃。非经采购人同意，本项目不允许分包给具有相应资质条件的企业，不允许成交后另行转包。成交人无正当理由不得放弃成交。因自身原因拒绝签订政府采购合同的或者未按合同约定进行履约的成交人不得参加对该项目重新开展的采购活动。</w:t>
            </w:r>
          </w:p>
        </w:tc>
      </w:tr>
      <w:tr w14:paraId="29D8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restart"/>
            <w:vAlign w:val="center"/>
          </w:tcPr>
          <w:p w14:paraId="02335BB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bookmarkStart w:id="10" w:name="_Toc14832"/>
            <w:r>
              <w:rPr>
                <w:rFonts w:hint="eastAsia" w:ascii="宋体" w:hAnsi="宋体" w:cs="宋体"/>
                <w:b w:val="0"/>
                <w:bCs w:val="0"/>
                <w:sz w:val="23"/>
                <w:szCs w:val="23"/>
                <w:vertAlign w:val="baseline"/>
                <w:lang w:val="en-US" w:eastAsia="zh-CN"/>
              </w:rPr>
              <w:t>大中小微型企业划分标准</w:t>
            </w:r>
          </w:p>
        </w:tc>
        <w:tc>
          <w:tcPr>
            <w:tcW w:w="8007" w:type="dxa"/>
            <w:gridSpan w:val="7"/>
            <w:vAlign w:val="center"/>
          </w:tcPr>
          <w:p w14:paraId="244D12E2">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说明：</w:t>
            </w:r>
          </w:p>
          <w:p w14:paraId="5101763A">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1.大型、中型和小型企业须同时满足所列指标的下限，否则下划一档；微型企业只须满足所列指标中的一项即可。</w:t>
            </w:r>
          </w:p>
          <w:p w14:paraId="5D4071E6">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71E44B3">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val="en-US" w:eastAsia="zh-CN"/>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tc>
      </w:tr>
      <w:tr w14:paraId="4A75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continue"/>
            <w:vAlign w:val="center"/>
          </w:tcPr>
          <w:p w14:paraId="241A321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p>
        </w:tc>
        <w:tc>
          <w:tcPr>
            <w:tcW w:w="8007" w:type="dxa"/>
            <w:gridSpan w:val="7"/>
            <w:vAlign w:val="center"/>
          </w:tcPr>
          <w:p w14:paraId="41C214C6">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drawing>
                <wp:inline distT="0" distB="0" distL="114300" distR="114300">
                  <wp:extent cx="4943475" cy="6299200"/>
                  <wp:effectExtent l="0" t="0" r="9525" b="1016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4"/>
                          <a:stretch>
                            <a:fillRect/>
                          </a:stretch>
                        </pic:blipFill>
                        <pic:spPr>
                          <a:xfrm>
                            <a:off x="0" y="0"/>
                            <a:ext cx="4943475" cy="6299200"/>
                          </a:xfrm>
                          <a:prstGeom prst="rect">
                            <a:avLst/>
                          </a:prstGeom>
                          <a:noFill/>
                          <a:ln>
                            <a:noFill/>
                          </a:ln>
                        </pic:spPr>
                      </pic:pic>
                    </a:graphicData>
                  </a:graphic>
                </wp:inline>
              </w:drawing>
            </w:r>
          </w:p>
        </w:tc>
      </w:tr>
    </w:tbl>
    <w:p w14:paraId="262A4A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r>
        <w:rPr>
          <w:rFonts w:hint="eastAsia" w:ascii="宋体" w:hAnsi="宋体" w:cs="宋体"/>
          <w:b/>
          <w:bCs/>
          <w:sz w:val="28"/>
          <w:szCs w:val="28"/>
          <w:lang w:eastAsia="zh-CN"/>
        </w:rPr>
        <w:t>一.总则</w:t>
      </w:r>
      <w:bookmarkEnd w:id="9"/>
      <w:bookmarkEnd w:id="10"/>
    </w:p>
    <w:p w14:paraId="1303C1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1.采购人、</w:t>
      </w:r>
      <w:r>
        <w:rPr>
          <w:rFonts w:hint="eastAsia" w:ascii="宋体" w:hAnsi="宋体" w:eastAsia="宋体" w:cs="宋体"/>
          <w:b/>
          <w:bCs/>
          <w:sz w:val="23"/>
          <w:szCs w:val="23"/>
          <w:vertAlign w:val="baseline"/>
          <w:lang w:val="en-US" w:eastAsia="zh-CN"/>
        </w:rPr>
        <w:t>采购代理机构及合格的</w:t>
      </w:r>
      <w:r>
        <w:rPr>
          <w:rFonts w:hint="eastAsia" w:ascii="宋体" w:hAnsi="宋体" w:cs="宋体"/>
          <w:b/>
          <w:bCs/>
          <w:sz w:val="23"/>
          <w:szCs w:val="23"/>
          <w:vertAlign w:val="baseline"/>
          <w:lang w:val="en-US" w:eastAsia="zh-CN"/>
        </w:rPr>
        <w:t>供应商</w:t>
      </w:r>
    </w:p>
    <w:p w14:paraId="4C69FD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1.1采购人</w:t>
      </w:r>
    </w:p>
    <w:p w14:paraId="5E6469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实施本项目的采购单位为</w:t>
      </w:r>
      <w:r>
        <w:rPr>
          <w:rFonts w:hint="eastAsia" w:ascii="宋体" w:hAnsi="宋体" w:cs="宋体"/>
          <w:b/>
          <w:bCs/>
          <w:sz w:val="23"/>
          <w:szCs w:val="23"/>
          <w:vertAlign w:val="baseline"/>
          <w:lang w:val="en-US" w:eastAsia="zh-CN"/>
        </w:rPr>
        <w:t>神木市麟州街道办事处</w:t>
      </w:r>
      <w:r>
        <w:rPr>
          <w:rFonts w:hint="eastAsia" w:ascii="宋体" w:hAnsi="宋体" w:cs="宋体"/>
          <w:b w:val="0"/>
          <w:bCs w:val="0"/>
          <w:sz w:val="23"/>
          <w:szCs w:val="23"/>
          <w:vertAlign w:val="baseline"/>
          <w:lang w:val="en-US" w:eastAsia="zh-CN"/>
        </w:rPr>
        <w:t>。</w:t>
      </w:r>
    </w:p>
    <w:p w14:paraId="68E3DC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r>
        <w:rPr>
          <w:rFonts w:hint="eastAsia" w:ascii="宋体" w:hAnsi="宋体" w:eastAsia="宋体" w:cs="宋体"/>
          <w:b w:val="0"/>
          <w:bCs w:val="0"/>
          <w:sz w:val="23"/>
          <w:szCs w:val="23"/>
          <w:vertAlign w:val="baseline"/>
          <w:lang w:val="en-US" w:eastAsia="zh-CN"/>
        </w:rPr>
        <w:t>采购代理机构</w:t>
      </w:r>
    </w:p>
    <w:p w14:paraId="463242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实施本次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的采购代理机构为</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3D6EAD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合格的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6B0CA7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1具备</w:t>
      </w:r>
      <w:r>
        <w:rPr>
          <w:rFonts w:hint="eastAsia" w:ascii="宋体" w:hAnsi="宋体" w:cs="宋体"/>
          <w:b w:val="0"/>
          <w:bCs w:val="0"/>
          <w:sz w:val="23"/>
          <w:szCs w:val="23"/>
          <w:vertAlign w:val="baseline"/>
          <w:lang w:val="en-US" w:eastAsia="zh-CN"/>
        </w:rPr>
        <w:t>以下条件且满足</w:t>
      </w:r>
      <w:r>
        <w:rPr>
          <w:rFonts w:hint="eastAsia" w:ascii="宋体" w:hAnsi="宋体" w:eastAsia="宋体" w:cs="宋体"/>
          <w:b w:val="0"/>
          <w:bCs w:val="0"/>
          <w:sz w:val="23"/>
          <w:szCs w:val="23"/>
          <w:vertAlign w:val="baseline"/>
          <w:lang w:val="en-US" w:eastAsia="zh-CN"/>
        </w:rPr>
        <w:t>《中华人民共和国政府采购法》第二十二条的条件，方为合格的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77CF29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560349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提供2024年度的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093DA5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（3）税收缴纳证明：提供2025年1月至投标截止时间止至少一个月的纳税证明(银行缴费凭证)或完税证明，依法免税的单位应提供相关证明材料；</w:t>
      </w:r>
    </w:p>
    <w:p w14:paraId="421FEC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6050BC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（5）参加政府采购活动前三年内，在经营活动中没有重大违法记录的书面声明；</w:t>
      </w:r>
    </w:p>
    <w:p w14:paraId="5177E6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（6）提供具有履行合同所必需的设备和专业技术能力的证明资料或承诺书；</w:t>
      </w:r>
    </w:p>
    <w:p w14:paraId="29ED6E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25D730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（8）本项目采用“投标信用承诺书”代替投标保证金（在信用中国（陕西榆林）网站公示）；</w:t>
      </w:r>
    </w:p>
    <w:p w14:paraId="706A47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（9）提供榆林市政府采购工程类/货物类/服务类项目供应商信用承诺书（在信用中国（陕西榆林）网站公示）；</w:t>
      </w:r>
    </w:p>
    <w:p w14:paraId="38455F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（10）法定代表人参加开标的，提供本人身份证，法定代表人授权他人参加开标的，提供法定代表人授权委托书和投标人委托代理人员信用承诺书（在信用中国（陕西榆林）网站公示）。</w:t>
      </w:r>
    </w:p>
    <w:p w14:paraId="32B7D7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r>
        <w:rPr>
          <w:rFonts w:hint="eastAsia" w:ascii="宋体" w:hAnsi="宋体" w:eastAsia="宋体" w:cs="宋体"/>
          <w:b w:val="0"/>
          <w:bCs w:val="0"/>
          <w:sz w:val="23"/>
          <w:szCs w:val="23"/>
          <w:vertAlign w:val="baseline"/>
          <w:lang w:val="en-US" w:eastAsia="zh-CN"/>
        </w:rPr>
        <w:t>。</w:t>
      </w:r>
    </w:p>
    <w:p w14:paraId="02B5E5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2供应商应遵守《中华人民共和国政府采购法》及其它有关的中国法律和法规。</w:t>
      </w:r>
    </w:p>
    <w:p w14:paraId="5782251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3只有在法律上和财务上独立，合法运作，并独立于采购代理机构和采购人的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才能参加投标。</w:t>
      </w:r>
    </w:p>
    <w:p w14:paraId="4AE185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之间如果存在下列情形之一的，不得同时参加本项目投标：</w:t>
      </w:r>
    </w:p>
    <w:p w14:paraId="605068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1法定代表人为同一个人的两个及两个以上法人；</w:t>
      </w:r>
    </w:p>
    <w:p w14:paraId="486D3F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2母公司、全资子公司及其控股公司；</w:t>
      </w:r>
    </w:p>
    <w:p w14:paraId="5973C34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3参加投标的其他组织之间存在特殊的利害关系的；</w:t>
      </w:r>
    </w:p>
    <w:p w14:paraId="0573F6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4法律和行政法规规定的其他情形</w:t>
      </w:r>
      <w:r>
        <w:rPr>
          <w:rFonts w:hint="eastAsia" w:ascii="宋体" w:hAnsi="宋体" w:cs="宋体"/>
          <w:b w:val="0"/>
          <w:bCs w:val="0"/>
          <w:sz w:val="23"/>
          <w:szCs w:val="23"/>
          <w:vertAlign w:val="baseline"/>
          <w:lang w:val="en-US" w:eastAsia="zh-CN"/>
        </w:rPr>
        <w:t>。</w:t>
      </w:r>
    </w:p>
    <w:p w14:paraId="5E4771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.5供应商</w:t>
      </w:r>
      <w:r>
        <w:rPr>
          <w:rFonts w:hint="eastAsia" w:ascii="宋体" w:hAnsi="宋体" w:eastAsia="宋体" w:cs="宋体"/>
          <w:b w:val="0"/>
          <w:bCs w:val="0"/>
          <w:sz w:val="23"/>
          <w:szCs w:val="23"/>
          <w:vertAlign w:val="baseline"/>
          <w:lang w:val="en-US" w:eastAsia="zh-CN"/>
        </w:rPr>
        <w:t>不得直接或间接地与采购单位（包括</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及采购人）有任何关联，亦不得是采购单位的附属机构。如果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在投标中隐瞒了上述关系，一经证实，则该投标无效。</w:t>
      </w:r>
    </w:p>
    <w:p w14:paraId="6C5B29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1.3.6供应商</w:t>
      </w:r>
      <w:r>
        <w:rPr>
          <w:rFonts w:hint="eastAsia" w:ascii="宋体" w:hAnsi="宋体" w:eastAsia="宋体" w:cs="宋体"/>
          <w:b w:val="0"/>
          <w:bCs w:val="0"/>
          <w:sz w:val="23"/>
          <w:szCs w:val="23"/>
          <w:vertAlign w:val="baseline"/>
          <w:lang w:val="en-US" w:eastAsia="zh-CN"/>
        </w:rPr>
        <w:t>必须在陕西省公共资源交易平台获取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文件，方可参加投标。</w:t>
      </w:r>
    </w:p>
    <w:p w14:paraId="68C6CC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1.3.7</w:t>
      </w:r>
      <w:r>
        <w:rPr>
          <w:rFonts w:hint="eastAsia" w:ascii="宋体" w:hAnsi="宋体" w:eastAsia="宋体" w:cs="宋体"/>
          <w:b w:val="0"/>
          <w:bCs w:val="0"/>
          <w:sz w:val="23"/>
          <w:szCs w:val="23"/>
          <w:vertAlign w:val="baseline"/>
          <w:lang w:val="en-US" w:eastAsia="zh-CN"/>
        </w:rPr>
        <w:t>投标费用自理。不论投标的结果如何，</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均应自行承担所有与参加投标有关的费用。</w:t>
      </w:r>
    </w:p>
    <w:p w14:paraId="458519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w:t>
      </w:r>
      <w:r>
        <w:rPr>
          <w:rFonts w:hint="eastAsia" w:ascii="宋体" w:hAnsi="宋体" w:eastAsia="宋体" w:cs="宋体"/>
          <w:b/>
          <w:bCs/>
          <w:sz w:val="23"/>
          <w:szCs w:val="23"/>
          <w:vertAlign w:val="baseline"/>
          <w:lang w:val="en-US" w:eastAsia="zh-CN"/>
        </w:rPr>
        <w:t>资金来源</w:t>
      </w:r>
    </w:p>
    <w:p w14:paraId="55FE59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1本次招标采购所签合同使用财政资金支付，资金已落实到位。</w:t>
      </w:r>
    </w:p>
    <w:p w14:paraId="492BDE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3</w:t>
      </w:r>
      <w:r>
        <w:rPr>
          <w:rFonts w:hint="eastAsia" w:ascii="宋体" w:hAnsi="宋体" w:cs="宋体"/>
          <w:b/>
          <w:bCs/>
          <w:sz w:val="23"/>
          <w:szCs w:val="23"/>
          <w:vertAlign w:val="baseline"/>
          <w:lang w:val="en-US" w:eastAsia="zh-CN"/>
        </w:rPr>
        <w:t>.磋商工程</w:t>
      </w:r>
      <w:r>
        <w:rPr>
          <w:rFonts w:hint="eastAsia" w:ascii="宋体" w:hAnsi="宋体" w:eastAsia="宋体" w:cs="宋体"/>
          <w:b/>
          <w:bCs/>
          <w:sz w:val="23"/>
          <w:szCs w:val="23"/>
          <w:vertAlign w:val="baseline"/>
          <w:lang w:val="en-US" w:eastAsia="zh-CN"/>
        </w:rPr>
        <w:t>的合格性和合法性</w:t>
      </w:r>
    </w:p>
    <w:p w14:paraId="4BD4D1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的施工</w:t>
      </w:r>
      <w:r>
        <w:rPr>
          <w:rFonts w:hint="eastAsia" w:ascii="宋体" w:hAnsi="宋体" w:cs="宋体"/>
          <w:b w:val="0"/>
          <w:bCs w:val="0"/>
          <w:sz w:val="23"/>
          <w:szCs w:val="23"/>
          <w:vertAlign w:val="baseline"/>
          <w:lang w:val="en-US" w:eastAsia="zh-CN"/>
        </w:rPr>
        <w:t>或</w:t>
      </w:r>
      <w:r>
        <w:rPr>
          <w:rFonts w:hint="eastAsia" w:ascii="宋体" w:hAnsi="宋体" w:eastAsia="宋体" w:cs="宋体"/>
          <w:b w:val="0"/>
          <w:bCs w:val="0"/>
          <w:sz w:val="23"/>
          <w:szCs w:val="23"/>
          <w:vertAlign w:val="baseline"/>
          <w:lang w:val="en-US" w:eastAsia="zh-CN"/>
        </w:rPr>
        <w:t>服务质量应满足竞争性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文件的要求并应符合国家法律法规、行业管理部门要求的其他强制性标准。</w:t>
      </w:r>
    </w:p>
    <w:p w14:paraId="16AE1E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4</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文件内容的真实性</w:t>
      </w:r>
    </w:p>
    <w:p w14:paraId="1209CD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文件中所提供的所有资料、信息是真实、有效的，并且来源于合法的渠道。因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文件中所提供的资料、信息不真实或者其来源不合法而导致的所有法律责任，由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自行承担。 </w:t>
      </w:r>
    </w:p>
    <w:p w14:paraId="49D616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5</w:t>
      </w:r>
      <w:r>
        <w:rPr>
          <w:rFonts w:hint="eastAsia" w:ascii="宋体" w:hAnsi="宋体" w:cs="宋体"/>
          <w:b/>
          <w:bCs/>
          <w:sz w:val="23"/>
          <w:szCs w:val="23"/>
          <w:vertAlign w:val="baseline"/>
          <w:lang w:val="en-US" w:eastAsia="zh-CN"/>
        </w:rPr>
        <w:t>.采购</w:t>
      </w:r>
      <w:r>
        <w:rPr>
          <w:rFonts w:hint="eastAsia" w:ascii="宋体" w:hAnsi="宋体" w:eastAsia="宋体" w:cs="宋体"/>
          <w:b/>
          <w:bCs/>
          <w:sz w:val="23"/>
          <w:szCs w:val="23"/>
          <w:vertAlign w:val="baseline"/>
          <w:lang w:val="en-US" w:eastAsia="zh-CN"/>
        </w:rPr>
        <w:t>过程的监督和管理</w:t>
      </w:r>
      <w:r>
        <w:rPr>
          <w:rFonts w:hint="eastAsia" w:ascii="宋体" w:hAnsi="宋体" w:eastAsia="宋体" w:cs="宋体"/>
          <w:b w:val="0"/>
          <w:bCs w:val="0"/>
          <w:sz w:val="23"/>
          <w:szCs w:val="23"/>
          <w:vertAlign w:val="baseline"/>
          <w:lang w:val="en-US" w:eastAsia="zh-CN"/>
        </w:rPr>
        <w:t xml:space="preserve"> </w:t>
      </w:r>
    </w:p>
    <w:p w14:paraId="1FD920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1同级人民政府财政部门及有关部门依法履行对竞争性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过程的监督管理职责。</w:t>
      </w:r>
    </w:p>
    <w:p w14:paraId="06ACA7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1" w:name="_Toc3828_WPSOffice_Level2"/>
      <w:bookmarkStart w:id="12" w:name="_Toc6959"/>
      <w:r>
        <w:rPr>
          <w:rFonts w:hint="eastAsia" w:ascii="宋体" w:hAnsi="宋体" w:cs="宋体"/>
          <w:b/>
          <w:bCs/>
          <w:sz w:val="28"/>
          <w:szCs w:val="28"/>
          <w:lang w:eastAsia="zh-CN"/>
        </w:rPr>
        <w:t>二.</w:t>
      </w:r>
      <w:bookmarkEnd w:id="11"/>
      <w:r>
        <w:rPr>
          <w:rFonts w:hint="eastAsia" w:ascii="宋体" w:hAnsi="宋体" w:cs="宋体"/>
          <w:b/>
          <w:bCs/>
          <w:sz w:val="28"/>
          <w:szCs w:val="28"/>
          <w:lang w:eastAsia="zh-CN"/>
        </w:rPr>
        <w:t>竞争性磋商文件</w:t>
      </w:r>
      <w:bookmarkEnd w:id="12"/>
    </w:p>
    <w:p w14:paraId="79BD1A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6</w:t>
      </w:r>
      <w:r>
        <w:rPr>
          <w:rFonts w:hint="eastAsia" w:ascii="宋体" w:hAnsi="宋体" w:cs="宋体"/>
          <w:b/>
          <w:bCs/>
          <w:sz w:val="23"/>
          <w:szCs w:val="23"/>
          <w:vertAlign w:val="baseline"/>
          <w:lang w:val="en-US" w:eastAsia="zh-CN"/>
        </w:rPr>
        <w:t>.竞争性磋商</w:t>
      </w:r>
      <w:r>
        <w:rPr>
          <w:rFonts w:hint="eastAsia" w:ascii="宋体" w:hAnsi="宋体" w:eastAsia="宋体" w:cs="宋体"/>
          <w:b/>
          <w:bCs/>
          <w:sz w:val="23"/>
          <w:szCs w:val="23"/>
          <w:vertAlign w:val="baseline"/>
          <w:lang w:val="en-US" w:eastAsia="zh-CN"/>
        </w:rPr>
        <w:t>文件构成</w:t>
      </w:r>
      <w:r>
        <w:rPr>
          <w:rFonts w:hint="eastAsia" w:ascii="宋体" w:hAnsi="宋体" w:eastAsia="宋体" w:cs="宋体"/>
          <w:b w:val="0"/>
          <w:bCs w:val="0"/>
          <w:sz w:val="23"/>
          <w:szCs w:val="23"/>
          <w:vertAlign w:val="baseline"/>
          <w:lang w:val="en-US" w:eastAsia="zh-CN"/>
        </w:rPr>
        <w:t xml:space="preserve"> </w:t>
      </w:r>
    </w:p>
    <w:p w14:paraId="336733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文件要求提供的</w:t>
      </w:r>
      <w:r>
        <w:rPr>
          <w:rFonts w:hint="eastAsia" w:ascii="宋体" w:hAnsi="宋体" w:cs="宋体"/>
          <w:b w:val="0"/>
          <w:bCs w:val="0"/>
          <w:sz w:val="23"/>
          <w:szCs w:val="23"/>
          <w:vertAlign w:val="baseline"/>
          <w:lang w:val="en-US" w:eastAsia="zh-CN"/>
        </w:rPr>
        <w:t>施工</w:t>
      </w:r>
      <w:r>
        <w:rPr>
          <w:rFonts w:hint="eastAsia" w:ascii="宋体" w:hAnsi="宋体" w:eastAsia="宋体" w:cs="宋体"/>
          <w:b w:val="0"/>
          <w:bCs w:val="0"/>
          <w:sz w:val="23"/>
          <w:szCs w:val="23"/>
          <w:vertAlign w:val="baseline"/>
          <w:lang w:val="en-US" w:eastAsia="zh-CN"/>
        </w:rPr>
        <w:t>、服务，竞争性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程序和合同条件在竞争性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文件中均有说明。竞争性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文件共</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章，内容如下：</w:t>
      </w:r>
    </w:p>
    <w:p w14:paraId="39E92B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第一章</w:t>
      </w:r>
      <w:r>
        <w:rPr>
          <w:rFonts w:hint="eastAsia" w:ascii="宋体" w:hAnsi="宋体" w:cs="宋体"/>
          <w:b w:val="0"/>
          <w:bCs w:val="0"/>
          <w:sz w:val="23"/>
          <w:szCs w:val="23"/>
          <w:vertAlign w:val="baseline"/>
          <w:lang w:val="en-US" w:eastAsia="zh-CN"/>
        </w:rPr>
        <w:t xml:space="preserve"> 采购</w:t>
      </w:r>
      <w:r>
        <w:rPr>
          <w:rFonts w:hint="eastAsia" w:ascii="宋体" w:hAnsi="宋体" w:eastAsia="宋体" w:cs="宋体"/>
          <w:b w:val="0"/>
          <w:bCs w:val="0"/>
          <w:sz w:val="23"/>
          <w:szCs w:val="23"/>
          <w:vertAlign w:val="baseline"/>
          <w:lang w:val="en-US" w:eastAsia="zh-CN"/>
        </w:rPr>
        <w:t>公告</w:t>
      </w:r>
    </w:p>
    <w:p w14:paraId="5BF5FE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第二章</w:t>
      </w:r>
      <w:r>
        <w:rPr>
          <w:rFonts w:hint="eastAsia" w:ascii="宋体" w:hAnsi="宋体" w:cs="宋体"/>
          <w:b w:val="0"/>
          <w:bCs w:val="0"/>
          <w:sz w:val="23"/>
          <w:szCs w:val="23"/>
          <w:vertAlign w:val="baseline"/>
          <w:lang w:val="en-US" w:eastAsia="zh-CN"/>
        </w:rPr>
        <w:t xml:space="preserve"> 供应商</w:t>
      </w:r>
      <w:r>
        <w:rPr>
          <w:rFonts w:hint="eastAsia" w:ascii="宋体" w:hAnsi="宋体" w:eastAsia="宋体" w:cs="宋体"/>
          <w:b w:val="0"/>
          <w:bCs w:val="0"/>
          <w:sz w:val="23"/>
          <w:szCs w:val="23"/>
          <w:vertAlign w:val="baseline"/>
          <w:lang w:val="en-US" w:eastAsia="zh-CN"/>
        </w:rPr>
        <w:t>须知</w:t>
      </w:r>
    </w:p>
    <w:p w14:paraId="386255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第三章</w:t>
      </w:r>
      <w:r>
        <w:rPr>
          <w:rFonts w:hint="eastAsia" w:ascii="宋体" w:hAnsi="宋体" w:cs="宋体"/>
          <w:b w:val="0"/>
          <w:bCs w:val="0"/>
          <w:sz w:val="23"/>
          <w:szCs w:val="23"/>
          <w:vertAlign w:val="baseline"/>
          <w:lang w:val="en-US" w:eastAsia="zh-CN"/>
        </w:rPr>
        <w:t xml:space="preserve"> 商务要求</w:t>
      </w:r>
    </w:p>
    <w:p w14:paraId="5B94B0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四</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政府采购合同</w:t>
      </w:r>
    </w:p>
    <w:p w14:paraId="18BC5C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五</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采购</w:t>
      </w:r>
      <w:r>
        <w:rPr>
          <w:rFonts w:hint="eastAsia" w:ascii="宋体" w:hAnsi="宋体" w:eastAsia="宋体" w:cs="宋体"/>
          <w:b w:val="0"/>
          <w:bCs w:val="0"/>
          <w:sz w:val="23"/>
          <w:szCs w:val="23"/>
          <w:vertAlign w:val="baseline"/>
          <w:lang w:val="en-US" w:eastAsia="zh-CN"/>
        </w:rPr>
        <w:t>内容及技术要求</w:t>
      </w:r>
    </w:p>
    <w:p w14:paraId="4D6C0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评审</w:t>
      </w:r>
      <w:r>
        <w:rPr>
          <w:rFonts w:hint="eastAsia" w:ascii="宋体" w:hAnsi="宋体" w:eastAsia="宋体" w:cs="宋体"/>
          <w:b w:val="0"/>
          <w:bCs w:val="0"/>
          <w:sz w:val="23"/>
          <w:szCs w:val="23"/>
          <w:vertAlign w:val="baseline"/>
          <w:lang w:val="en-US" w:eastAsia="zh-CN"/>
        </w:rPr>
        <w:t>方法</w:t>
      </w:r>
    </w:p>
    <w:p w14:paraId="51A530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七</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响应</w:t>
      </w:r>
      <w:r>
        <w:rPr>
          <w:rFonts w:hint="eastAsia" w:ascii="宋体" w:hAnsi="宋体" w:eastAsia="宋体" w:cs="宋体"/>
          <w:b w:val="0"/>
          <w:bCs w:val="0"/>
          <w:sz w:val="23"/>
          <w:szCs w:val="23"/>
          <w:vertAlign w:val="baseline"/>
          <w:lang w:val="en-US" w:eastAsia="zh-CN"/>
        </w:rPr>
        <w:t>文件构成及格式</w:t>
      </w:r>
    </w:p>
    <w:p w14:paraId="251612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应认真阅读竞争性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文件中所有的事项、格式、条款和规范等要求。如果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没有按照竞争性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文件要求递交全部资料，或者</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文件没有对竞争性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文件在各方面都做出实质性响应，由此带来不利于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的评标结果，其风险由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w:t>
      </w:r>
    </w:p>
    <w:p w14:paraId="050C4E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3本竞争性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文件的解释权归</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3F7866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napToGrid w:val="0"/>
          <w:color w:val="000000"/>
          <w:kern w:val="0"/>
          <w:sz w:val="23"/>
          <w:szCs w:val="23"/>
          <w:vertAlign w:val="baseline"/>
          <w:lang w:val="en-US" w:eastAsia="zh-CN"/>
        </w:rPr>
        <w:t>7.</w:t>
      </w:r>
      <w:r>
        <w:rPr>
          <w:rFonts w:hint="eastAsia" w:ascii="宋体" w:hAnsi="宋体" w:cs="宋体"/>
          <w:b/>
          <w:bCs/>
          <w:sz w:val="23"/>
          <w:szCs w:val="23"/>
          <w:vertAlign w:val="baseline"/>
          <w:lang w:val="en-US" w:eastAsia="zh-CN"/>
        </w:rPr>
        <w:t>竞争性磋商</w:t>
      </w:r>
      <w:r>
        <w:rPr>
          <w:rFonts w:hint="eastAsia" w:ascii="宋体" w:hAnsi="宋体" w:eastAsia="宋体" w:cs="宋体"/>
          <w:b/>
          <w:bCs/>
          <w:sz w:val="23"/>
          <w:szCs w:val="23"/>
          <w:vertAlign w:val="baseline"/>
          <w:lang w:val="en-US" w:eastAsia="zh-CN"/>
        </w:rPr>
        <w:t>文件的修改和澄清</w:t>
      </w:r>
    </w:p>
    <w:p w14:paraId="0F61F6F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7.1在响应截止时间前，采购代理机构可以视采购具体情况，延长响应截止时间和开标时间并在财政部门指定的媒体上发布变更公告，同时将变更时间书面通知所有竞争性磋商文件收受人。</w:t>
      </w:r>
    </w:p>
    <w:p w14:paraId="3DE1F4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2采购代理机构如果对已发出的竞争性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文件进行澄清或修改，澄清或者修改的内容可能影响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文件编制的，将在竞争性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日前，不足</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日的，应当顺延递交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文件的截止时间。在发布</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公告的财政部门指定媒体上发布更正公告，并以书面形式通知所有竞争性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文件收受人。该澄清或者修改的内容为竞争性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文件的组成部分。</w:t>
      </w:r>
    </w:p>
    <w:p w14:paraId="73F130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3已经获取竞争性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文件有疑问的，均应在谈 判截止日期2日前以书面形式向采购代理机构提出。采购代理机构视情况必要时将书面答复传送给所有竞争性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文件收受人。</w:t>
      </w:r>
    </w:p>
    <w:p w14:paraId="334DCF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在收到上述通知后，应立即向采购代理机构回函确认。</w:t>
      </w:r>
    </w:p>
    <w:p w14:paraId="75C6CF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3" w:name="_Toc16385_WPSOffice_Level2"/>
      <w:bookmarkStart w:id="14" w:name="_Toc8447"/>
      <w:r>
        <w:rPr>
          <w:rFonts w:hint="eastAsia" w:ascii="宋体" w:hAnsi="宋体" w:cs="宋体"/>
          <w:b/>
          <w:bCs/>
          <w:sz w:val="28"/>
          <w:szCs w:val="28"/>
          <w:lang w:eastAsia="zh-CN"/>
        </w:rPr>
        <w:t>三.响应文件的编制</w:t>
      </w:r>
      <w:bookmarkEnd w:id="13"/>
      <w:bookmarkEnd w:id="14"/>
    </w:p>
    <w:p w14:paraId="122B91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8</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语言和</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货币</w:t>
      </w:r>
    </w:p>
    <w:p w14:paraId="459685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文件以及</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与采购代理机构就有关</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的所有来往函电均应使用中文。</w:t>
      </w:r>
    </w:p>
    <w:p w14:paraId="4D859B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磋商响</w:t>
      </w:r>
      <w:r>
        <w:rPr>
          <w:rFonts w:hint="eastAsia" w:ascii="宋体" w:hAnsi="宋体" w:eastAsia="宋体" w:cs="宋体"/>
          <w:b w:val="0"/>
          <w:bCs w:val="0"/>
          <w:sz w:val="23"/>
          <w:szCs w:val="23"/>
          <w:vertAlign w:val="baseline"/>
          <w:lang w:val="en-US" w:eastAsia="zh-CN"/>
        </w:rPr>
        <w:t>应以人民币报价。任何包含非人民币报价的</w:t>
      </w:r>
      <w:r>
        <w:rPr>
          <w:rFonts w:hint="eastAsia" w:ascii="宋体" w:hAnsi="宋体" w:cs="宋体"/>
          <w:b w:val="0"/>
          <w:bCs w:val="0"/>
          <w:sz w:val="23"/>
          <w:szCs w:val="23"/>
          <w:vertAlign w:val="baseline"/>
          <w:lang w:val="en-US" w:eastAsia="zh-CN"/>
        </w:rPr>
        <w:t>磋商响应</w:t>
      </w:r>
      <w:r>
        <w:rPr>
          <w:rFonts w:hint="eastAsia" w:ascii="宋体" w:hAnsi="宋体" w:eastAsia="宋体" w:cs="宋体"/>
          <w:b w:val="0"/>
          <w:bCs w:val="0"/>
          <w:sz w:val="23"/>
          <w:szCs w:val="23"/>
          <w:vertAlign w:val="baseline"/>
          <w:lang w:val="en-US" w:eastAsia="zh-CN"/>
        </w:rPr>
        <w:t>将按无效处理。</w:t>
      </w:r>
    </w:p>
    <w:p w14:paraId="4D887C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9</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文件的构成</w:t>
      </w:r>
    </w:p>
    <w:p w14:paraId="4BEF78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文件应包括下列部分的内容：</w:t>
      </w:r>
    </w:p>
    <w:p w14:paraId="545236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1）按照</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须知的要求和</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文件规定的格式填写的</w:t>
      </w:r>
      <w:r>
        <w:rPr>
          <w:rFonts w:hint="eastAsia" w:ascii="宋体" w:hAnsi="宋体" w:cs="宋体"/>
          <w:b w:val="0"/>
          <w:bCs w:val="0"/>
          <w:color w:val="auto"/>
          <w:sz w:val="23"/>
          <w:szCs w:val="23"/>
          <w:vertAlign w:val="baseline"/>
          <w:lang w:val="en-US" w:eastAsia="zh-CN"/>
        </w:rPr>
        <w:t>响应函</w:t>
      </w:r>
      <w:r>
        <w:rPr>
          <w:rFonts w:hint="eastAsia" w:ascii="宋体" w:hAnsi="宋体" w:eastAsia="宋体" w:cs="宋体"/>
          <w:b w:val="0"/>
          <w:bCs w:val="0"/>
          <w:color w:val="auto"/>
          <w:sz w:val="23"/>
          <w:szCs w:val="23"/>
          <w:vertAlign w:val="baseline"/>
          <w:lang w:val="en-US" w:eastAsia="zh-CN"/>
        </w:rPr>
        <w:t>、</w:t>
      </w:r>
      <w:r>
        <w:rPr>
          <w:rFonts w:hint="eastAsia" w:ascii="宋体" w:hAnsi="宋体" w:cs="宋体"/>
          <w:b w:val="0"/>
          <w:bCs w:val="0"/>
          <w:color w:val="auto"/>
          <w:sz w:val="23"/>
          <w:szCs w:val="23"/>
          <w:vertAlign w:val="baseline"/>
          <w:lang w:val="en-US" w:eastAsia="zh-CN"/>
        </w:rPr>
        <w:t>第一次磋商</w:t>
      </w:r>
      <w:r>
        <w:rPr>
          <w:rFonts w:hint="eastAsia" w:ascii="宋体" w:hAnsi="宋体" w:eastAsia="宋体" w:cs="宋体"/>
          <w:b w:val="0"/>
          <w:bCs w:val="0"/>
          <w:color w:val="auto"/>
          <w:sz w:val="23"/>
          <w:szCs w:val="23"/>
          <w:vertAlign w:val="baseline"/>
          <w:lang w:val="en-US" w:eastAsia="zh-CN"/>
        </w:rPr>
        <w:t>报价表、法定代表人授权书；</w:t>
      </w:r>
    </w:p>
    <w:p w14:paraId="3560B8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2）按照</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文件的要求编制的</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方案；</w:t>
      </w:r>
    </w:p>
    <w:p w14:paraId="2ABE9B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3）按照</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须知前附表的要求递交的资格证明文件；</w:t>
      </w:r>
    </w:p>
    <w:p w14:paraId="695C15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4）按照本须知第14条要求递交的投标保证金；</w:t>
      </w:r>
    </w:p>
    <w:p w14:paraId="43A40C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5）按照</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须知要求出具的</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服务符合</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文件规定的证明文件及</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认为需加以说明的其他内容；</w:t>
      </w:r>
    </w:p>
    <w:p w14:paraId="401215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6）</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文件中要求的其他证明文件。</w:t>
      </w:r>
    </w:p>
    <w:p w14:paraId="154E0D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2如果在</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文件中没有允许提供备选方案，则每个</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只允许递交一个</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方案，否则，其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将按照无效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38A954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3采购内容具体见</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文件中“采购内容及技术要求”本次采购、报价、</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、评审和合同授予均以“包”为单位，供应商必须就整个“包”进行响应。</w:t>
      </w:r>
    </w:p>
    <w:p w14:paraId="7B5F72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10</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文件格式</w:t>
      </w:r>
    </w:p>
    <w:p w14:paraId="411409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文件中第七章所提供的格式和要求制作</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文件，明确表达投标意愿，详细说明</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方案、承诺及价格。</w:t>
      </w:r>
    </w:p>
    <w:p w14:paraId="1511D1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2按</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文件第9条的内容及要求和第七章提供的格式和要求编写其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不得缺少或留空任何</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文件要求填写的表格或提交的资料。</w:t>
      </w:r>
    </w:p>
    <w:p w14:paraId="4CBB4F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11</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报价</w:t>
      </w:r>
      <w:r>
        <w:rPr>
          <w:rFonts w:hint="eastAsia" w:ascii="宋体" w:hAnsi="宋体" w:eastAsia="宋体" w:cs="宋体"/>
          <w:b w:val="0"/>
          <w:bCs w:val="0"/>
          <w:sz w:val="23"/>
          <w:szCs w:val="23"/>
          <w:vertAlign w:val="baseline"/>
          <w:lang w:val="en-US" w:eastAsia="zh-CN"/>
        </w:rPr>
        <w:t xml:space="preserve"> </w:t>
      </w:r>
    </w:p>
    <w:p w14:paraId="1FF7B1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报价汇总表中的价格均包括完成该工程项目的直接费、间接费、利润、税金、保险费和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必须的其他费用以及合同明示或暗示的所有风险、责任和义务等全部费用。任何有选择的报价将不予接受，按无效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4F6F4F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应根据</w:t>
      </w:r>
      <w:r>
        <w:rPr>
          <w:rFonts w:hint="eastAsia" w:ascii="宋体" w:hAnsi="宋体" w:cs="宋体"/>
          <w:b w:val="0"/>
          <w:bCs w:val="0"/>
          <w:sz w:val="23"/>
          <w:szCs w:val="23"/>
          <w:vertAlign w:val="baseline"/>
          <w:lang w:val="en-US" w:eastAsia="zh-CN"/>
        </w:rPr>
        <w:t>相关</w:t>
      </w:r>
      <w:r>
        <w:rPr>
          <w:rFonts w:hint="eastAsia" w:ascii="宋体" w:hAnsi="宋体" w:eastAsia="宋体" w:cs="宋体"/>
          <w:b w:val="0"/>
          <w:bCs w:val="0"/>
          <w:sz w:val="23"/>
          <w:szCs w:val="23"/>
          <w:vertAlign w:val="baseline"/>
          <w:lang w:val="en-US" w:eastAsia="zh-CN"/>
        </w:rPr>
        <w:t>规定和</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文件要求格式计价，其中人工费、材料费、机械费，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应根据</w:t>
      </w:r>
      <w:r>
        <w:rPr>
          <w:rFonts w:hint="eastAsia" w:ascii="宋体" w:hAnsi="宋体" w:cs="宋体"/>
          <w:b w:val="0"/>
          <w:bCs w:val="0"/>
          <w:sz w:val="23"/>
          <w:szCs w:val="23"/>
          <w:vertAlign w:val="baseline"/>
          <w:lang w:val="en-US" w:eastAsia="zh-CN"/>
        </w:rPr>
        <w:t>响应方案</w:t>
      </w:r>
      <w:r>
        <w:rPr>
          <w:rFonts w:hint="eastAsia" w:ascii="宋体" w:hAnsi="宋体" w:eastAsia="宋体" w:cs="宋体"/>
          <w:b w:val="0"/>
          <w:bCs w:val="0"/>
          <w:sz w:val="23"/>
          <w:szCs w:val="23"/>
          <w:vertAlign w:val="baseline"/>
          <w:lang w:val="en-US" w:eastAsia="zh-CN"/>
        </w:rPr>
        <w:t>、企业实际情况、市场信息价自主报价。</w:t>
      </w:r>
      <w:r>
        <w:rPr>
          <w:rFonts w:hint="eastAsia" w:ascii="宋体" w:hAnsi="宋体" w:cs="宋体"/>
          <w:b w:val="0"/>
          <w:bCs w:val="0"/>
          <w:sz w:val="23"/>
          <w:szCs w:val="23"/>
          <w:vertAlign w:val="baseline"/>
          <w:lang w:val="en-US" w:eastAsia="zh-CN"/>
        </w:rPr>
        <w:t>报价</w:t>
      </w:r>
      <w:r>
        <w:rPr>
          <w:rFonts w:hint="eastAsia" w:ascii="宋体" w:hAnsi="宋体" w:eastAsia="宋体" w:cs="宋体"/>
          <w:b w:val="0"/>
          <w:bCs w:val="0"/>
          <w:sz w:val="23"/>
          <w:szCs w:val="23"/>
          <w:vertAlign w:val="baseline"/>
          <w:lang w:val="en-US" w:eastAsia="zh-CN"/>
        </w:rPr>
        <w:t>时应考虑以下因素：人工费、材料费、机械费社会价格浮动因素，自然灾害及停水、停电、停窝工损失等风险费用。</w:t>
      </w:r>
    </w:p>
    <w:p w14:paraId="0429E1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3磋商</w:t>
      </w:r>
      <w:r>
        <w:rPr>
          <w:rFonts w:hint="eastAsia" w:ascii="宋体" w:hAnsi="宋体" w:eastAsia="宋体" w:cs="宋体"/>
          <w:b w:val="0"/>
          <w:bCs w:val="0"/>
          <w:sz w:val="23"/>
          <w:szCs w:val="23"/>
          <w:vertAlign w:val="baseline"/>
          <w:lang w:val="en-US" w:eastAsia="zh-CN"/>
        </w:rPr>
        <w:t>小组认为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人的报价明显低于其他通过符合性审查</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人的报价， 有可能影响产品质量或者不能诚信履约的，应当要求其在评标现场合理的时间内  提供书面说明，必要时提交相关证明材料；</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人不能证明其报价合理性的，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小组应当将其作为无效投标处理。</w:t>
      </w:r>
    </w:p>
    <w:p w14:paraId="770146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报价中如果总价与分项价有出入，以分项价为准；如果分项价与单价有出入，以单价为准；如果出现文字和数字表示的金额有矛盾时，以文字表示的为准</w:t>
      </w:r>
      <w:r>
        <w:rPr>
          <w:rFonts w:hint="eastAsia" w:ascii="宋体" w:hAnsi="宋体" w:cs="宋体"/>
          <w:b w:val="0"/>
          <w:bCs w:val="0"/>
          <w:sz w:val="23"/>
          <w:szCs w:val="23"/>
          <w:vertAlign w:val="baseline"/>
          <w:lang w:val="en-US" w:eastAsia="zh-CN"/>
        </w:rPr>
        <w:t>。</w:t>
      </w:r>
    </w:p>
    <w:p w14:paraId="626E46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.5响应</w:t>
      </w:r>
      <w:r>
        <w:rPr>
          <w:rFonts w:hint="eastAsia" w:ascii="宋体" w:hAnsi="宋体" w:eastAsia="宋体" w:cs="宋体"/>
          <w:b w:val="0"/>
          <w:bCs w:val="0"/>
          <w:sz w:val="23"/>
          <w:szCs w:val="23"/>
          <w:vertAlign w:val="baseline"/>
          <w:lang w:val="en-US" w:eastAsia="zh-CN"/>
        </w:rPr>
        <w:t>报价：总包交钥匙价（精确到小数点后二位）。</w:t>
      </w:r>
    </w:p>
    <w:p w14:paraId="2201AC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12</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w:t>
      </w:r>
      <w:r>
        <w:rPr>
          <w:rFonts w:hint="eastAsia" w:ascii="宋体" w:hAnsi="宋体" w:cs="宋体"/>
          <w:b/>
          <w:bCs/>
          <w:sz w:val="23"/>
          <w:szCs w:val="23"/>
          <w:vertAlign w:val="baseline"/>
          <w:lang w:val="en-US" w:eastAsia="zh-CN"/>
        </w:rPr>
        <w:t>供应商</w:t>
      </w:r>
      <w:r>
        <w:rPr>
          <w:rFonts w:hint="eastAsia" w:ascii="宋体" w:hAnsi="宋体" w:eastAsia="宋体" w:cs="宋体"/>
          <w:b/>
          <w:bCs/>
          <w:sz w:val="23"/>
          <w:szCs w:val="23"/>
          <w:vertAlign w:val="baseline"/>
          <w:lang w:val="en-US" w:eastAsia="zh-CN"/>
        </w:rPr>
        <w:t>合格</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资格文件</w:t>
      </w:r>
    </w:p>
    <w:p w14:paraId="3C2529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文件的要求，在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文件中递交合格的资格证明文件。如果资格证明文件不全或不合格的，其</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将按无效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40527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必须按要求递交证明文件，以证明其有资格参加投标和中标后有履行合同的能力，并作为其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文件的一部分。</w:t>
      </w:r>
    </w:p>
    <w:p w14:paraId="0115DA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应具有履行合同所需的财务、技术和人员配置能力；</w:t>
      </w:r>
    </w:p>
    <w:p w14:paraId="558A64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应有能力履行</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文件所规定的由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在服务地点提供技术支持和服务。</w:t>
      </w:r>
    </w:p>
    <w:p w14:paraId="6A4B27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认为能够证明提供优质供货能力的其他文件。</w:t>
      </w:r>
    </w:p>
    <w:p w14:paraId="66D80E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12.2.4落实的政府采购政策</w:t>
      </w:r>
    </w:p>
    <w:p w14:paraId="2DA83D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default" w:ascii="宋体" w:hAnsi="宋体" w:cs="宋体"/>
          <w:b w:val="0"/>
          <w:bCs w:val="0"/>
          <w:sz w:val="23"/>
          <w:szCs w:val="23"/>
          <w:vertAlign w:val="baseline"/>
          <w:lang w:val="en-US" w:eastAsia="zh-CN"/>
        </w:rPr>
        <w:t>对于中小微企业(含中型、小型、微型企业)、监狱企业、残疾人福利性单位参与本次</w:t>
      </w:r>
      <w:r>
        <w:rPr>
          <w:rFonts w:hint="eastAsia" w:ascii="宋体" w:hAnsi="宋体" w:cs="宋体"/>
          <w:b w:val="0"/>
          <w:bCs w:val="0"/>
          <w:sz w:val="23"/>
          <w:szCs w:val="23"/>
          <w:vertAlign w:val="baseline"/>
          <w:lang w:val="en-US" w:eastAsia="zh-CN"/>
        </w:rPr>
        <w:t>磋商</w:t>
      </w:r>
      <w:r>
        <w:rPr>
          <w:rFonts w:hint="default" w:ascii="宋体" w:hAnsi="宋体" w:cs="宋体"/>
          <w:b w:val="0"/>
          <w:bCs w:val="0"/>
          <w:sz w:val="23"/>
          <w:szCs w:val="23"/>
          <w:vertAlign w:val="baseline"/>
          <w:lang w:val="en-US" w:eastAsia="zh-CN"/>
        </w:rPr>
        <w:t>，以及节能产品、环保产品的采购，执行国务院办公厅以及国家部委有关文件。</w:t>
      </w:r>
    </w:p>
    <w:p w14:paraId="4B6F61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（1）《政府采购促进中小企业发展管理办法》(财库〔2020〕46号)；</w:t>
      </w:r>
    </w:p>
    <w:p w14:paraId="4AC401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（2）《关于进一步加大政府采购支持中小企业力度的通知》(财库〔2022〕19号)；</w:t>
      </w:r>
    </w:p>
    <w:p w14:paraId="08E11C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（3）《陕西省财政厅关于进一步加大政府采购支持中小企业力度的通知》(陕财办采(2022)5号)；</w:t>
      </w:r>
    </w:p>
    <w:p w14:paraId="2EB2CD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（4）陕西省财政厅关于落实政府采购支持中小企业政策有关事项的通知》(陕财办采函〔2022〕10号)；</w:t>
      </w:r>
    </w:p>
    <w:p w14:paraId="2B3D657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（5）《榆林市财政局关于进一步加大政府采购支持中小企业力度的通知》(榆政财采发(2022)10号)；</w:t>
      </w:r>
    </w:p>
    <w:p w14:paraId="30A596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（6）《财政部司法部关于政府采购支持监狱企业发展有关问题的通知》(财库〔2014〕68号)；</w:t>
      </w:r>
    </w:p>
    <w:p w14:paraId="2FB64D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（7）《关于促进残疾人就业政府采购政策的通知》(财库〔2017〕141号)；</w:t>
      </w:r>
    </w:p>
    <w:p w14:paraId="5B2833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（8）《关于进一步加强政府绿色采购有关问题的通知》(陕财办采〔2021〕29号)；</w:t>
      </w:r>
    </w:p>
    <w:p w14:paraId="1EE93F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（9）《财政部国家发展改革委关于印发(节能产品政府采购实施意见)的通知》(财库(2004)185号)；</w:t>
      </w:r>
    </w:p>
    <w:p w14:paraId="45203E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（10）《国务院办公厅关于建立政府强制采购节能产品制度的通知》(国办发(2007)51号)；</w:t>
      </w:r>
    </w:p>
    <w:p w14:paraId="5E41EA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（11）《关于印发节能产品政府采购品目清单的通知》(财库〔2019〕19号)；</w:t>
      </w:r>
    </w:p>
    <w:p w14:paraId="01770F4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（12）《财政部发展改革委生态环境部市场监管总局关于调整优化节能产品、环境标志产品政府采购执行机制的通知》(财库〔2019〕9号)；</w:t>
      </w:r>
    </w:p>
    <w:p w14:paraId="46E5B1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（13）《关于环境标志产品政府采购实施的意见》(财库(2006)90号)；</w:t>
      </w:r>
    </w:p>
    <w:p w14:paraId="6A3440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（14）《市场监管总局关于发布参与实施政府采购节能产品、环境标志产品认证机构名录的公告》(2019年第16号)；</w:t>
      </w:r>
    </w:p>
    <w:p w14:paraId="03CE6D6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（15）《关于印发环境标志产品政府采购品目清单的通知》(财库〔2019〕18号)；</w:t>
      </w:r>
    </w:p>
    <w:p w14:paraId="6B07AB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（16）《陕西省中小企业政府采购信用融资办法》(陕财办采(2018)23号)；</w:t>
      </w:r>
    </w:p>
    <w:p w14:paraId="6F252E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（17）《陕西省财政厅关于加快推进我省中小企业政府采购信用融资工作的通知》(陕财办采〔2020〕15号)；</w:t>
      </w:r>
    </w:p>
    <w:p w14:paraId="697838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（18）《财政部关于在政府采购活动中落实平等对待内外资企业有关政策的通知》(财库〔2021〕35号)；</w:t>
      </w:r>
    </w:p>
    <w:p w14:paraId="016603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（19）《陕西省财政厅中国人民银行西安分行关于深入推进政府采购信用融资业务的通知》（陕财办采〔2023〕5号）；</w:t>
      </w:r>
    </w:p>
    <w:p w14:paraId="37AE1B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（20）《财政部农业农村部国家乡村振兴局关于运用政府采购政策支持乡村产业振兴的通知》(财库〔2021〕19号)；</w:t>
      </w:r>
    </w:p>
    <w:p w14:paraId="100D6C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（21）《财政部关于在政府采购活动中查询及使用信用记录有关问题的通知》(财库〔2016〕125号)；</w:t>
      </w:r>
    </w:p>
    <w:p w14:paraId="11BF64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（22）其他需要落实的政府采购政策。</w:t>
      </w:r>
    </w:p>
    <w:p w14:paraId="51932C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13</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证明服务及货物的合格性和符合竞争性</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文件规定的文件</w:t>
      </w:r>
    </w:p>
    <w:p w14:paraId="56FB5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文件中提交货物和服务满足竞争性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文件要求并符合国家法律法规、行业管理部门要求的其他强制性标准的证明文件。缺少证明文件或证明文件不合格的投标，与竞争性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文件要求有重大偏离的投标，不符合国家法律法规、行业管理部门要求的其他强制性标准的投标将按无效投标处理。</w:t>
      </w:r>
    </w:p>
    <w:p w14:paraId="3798479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2上述证明文件可以是文字资料、图片和数据等，它包括：</w:t>
      </w:r>
    </w:p>
    <w:p w14:paraId="7B6545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1)逐条对竞争性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文件提出的技术要求和商务要求进行应答，说明所提供的货物和服务对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的技术和商务要求是否做出了实质性响应并提供支持文件；</w:t>
      </w:r>
    </w:p>
    <w:p w14:paraId="157A38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2）供货内容的详细说明。</w:t>
      </w:r>
    </w:p>
    <w:p w14:paraId="465B21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14</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保证金</w:t>
      </w:r>
    </w:p>
    <w:p w14:paraId="462466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在投标时应向</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递交“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规定数额的投标保证金，并作为其投标的一部分。</w:t>
      </w:r>
    </w:p>
    <w:p w14:paraId="1217C6E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2投标保证金是为了保护采购人和采购代理机构免遭因投标人的行为而蒙受损失。招标采购单位在因投标人的行为受到损害时可根据本须知的规定14</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没收投标人的投标保证金。</w:t>
      </w:r>
    </w:p>
    <w:p w14:paraId="7D8A1C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3投标保证金可采取转账、银行保函或电汇任何一种非现金形式</w:t>
      </w:r>
      <w:r>
        <w:rPr>
          <w:rFonts w:hint="eastAsia" w:ascii="宋体" w:hAnsi="宋体" w:cs="宋体"/>
          <w:b w:val="0"/>
          <w:bCs w:val="0"/>
          <w:sz w:val="23"/>
          <w:szCs w:val="23"/>
          <w:vertAlign w:val="baseline"/>
          <w:lang w:val="en-US" w:eastAsia="zh-CN"/>
        </w:rPr>
        <w:t>。</w:t>
      </w:r>
    </w:p>
    <w:p w14:paraId="31965E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4投标保证金必须按照竞争性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文件“投标人须知前附表”中规定的缴纳金额及方式办理。</w:t>
      </w:r>
    </w:p>
    <w:p w14:paraId="254E41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5开标后经审查，未递交投标保证金、未按时间递交投标保证金、投标保证金金额不足或投标保证金打款</w:t>
      </w:r>
      <w:r>
        <w:rPr>
          <w:rFonts w:hint="eastAsia" w:ascii="宋体" w:hAnsi="宋体" w:cs="宋体"/>
          <w:b w:val="0"/>
          <w:bCs w:val="0"/>
          <w:sz w:val="23"/>
          <w:szCs w:val="23"/>
          <w:vertAlign w:val="baseline"/>
          <w:lang w:val="en-US" w:eastAsia="zh-CN"/>
        </w:rPr>
        <w:t>回单</w:t>
      </w:r>
      <w:r>
        <w:rPr>
          <w:rFonts w:hint="eastAsia" w:ascii="宋体" w:hAnsi="宋体" w:eastAsia="宋体" w:cs="宋体"/>
          <w:b w:val="0"/>
          <w:bCs w:val="0"/>
          <w:sz w:val="23"/>
          <w:szCs w:val="23"/>
          <w:vertAlign w:val="baseline"/>
          <w:lang w:val="en-US" w:eastAsia="zh-CN"/>
        </w:rPr>
        <w:t>复印件未附在投标文件内的投标将按无效投标处理。</w:t>
      </w:r>
    </w:p>
    <w:p w14:paraId="0636C43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6未中标人的投标保证金，将在中标通知书发出后五个工作日内退还</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中标人的投标保证金在签订合同之后退还。</w:t>
      </w:r>
    </w:p>
    <w:p w14:paraId="2D7629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7未中标人的投标保证金收款收据有效期至中标通知书发出之日起五个工作日，五个工作日后自动作废。</w:t>
      </w:r>
    </w:p>
    <w:p w14:paraId="1C401D6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8下列任何情况发生时，视为投标人违约，其投标保证金将被没收：</w:t>
      </w:r>
    </w:p>
    <w:p w14:paraId="5322BE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文件截止时间后，撤回</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文件的或者擅自退出</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活动的；</w:t>
      </w:r>
    </w:p>
    <w:p w14:paraId="65318D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中标后放弃中标或未能按规定签订合同、无正当理由不与采购人签订合同的或由于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原因导致中标无效的。</w:t>
      </w:r>
    </w:p>
    <w:p w14:paraId="488F9A3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3）将中标项目转让给他人，或者在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文件中未说明，且未经采购机构同意，将中标项目分包给他人的</w:t>
      </w:r>
      <w:r>
        <w:rPr>
          <w:rFonts w:hint="eastAsia" w:ascii="宋体" w:hAnsi="宋体" w:cs="宋体"/>
          <w:b w:val="0"/>
          <w:bCs w:val="0"/>
          <w:sz w:val="23"/>
          <w:szCs w:val="23"/>
          <w:vertAlign w:val="baseline"/>
          <w:lang w:val="en-US" w:eastAsia="zh-CN"/>
        </w:rPr>
        <w:t>（采购文件要求可以分包的除外）</w:t>
      </w:r>
      <w:r>
        <w:rPr>
          <w:rFonts w:hint="eastAsia" w:ascii="宋体" w:hAnsi="宋体" w:eastAsia="宋体" w:cs="宋体"/>
          <w:b w:val="0"/>
          <w:bCs w:val="0"/>
          <w:sz w:val="23"/>
          <w:szCs w:val="23"/>
          <w:vertAlign w:val="baseline"/>
          <w:lang w:val="en-US" w:eastAsia="zh-CN"/>
        </w:rPr>
        <w:t>。</w:t>
      </w:r>
    </w:p>
    <w:p w14:paraId="0CDDC7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文件中提供伪造、套改、虚假资料参加</w:t>
      </w:r>
      <w:r>
        <w:rPr>
          <w:rFonts w:hint="eastAsia" w:ascii="宋体" w:hAnsi="宋体" w:cs="宋体"/>
          <w:b w:val="0"/>
          <w:bCs w:val="0"/>
          <w:sz w:val="23"/>
          <w:szCs w:val="23"/>
          <w:vertAlign w:val="baseline"/>
          <w:lang w:val="en-US" w:eastAsia="zh-CN"/>
        </w:rPr>
        <w:t>采购活动</w:t>
      </w:r>
      <w:r>
        <w:rPr>
          <w:rFonts w:hint="eastAsia" w:ascii="宋体" w:hAnsi="宋体" w:eastAsia="宋体" w:cs="宋体"/>
          <w:b w:val="0"/>
          <w:bCs w:val="0"/>
          <w:sz w:val="23"/>
          <w:szCs w:val="23"/>
          <w:vertAlign w:val="baseline"/>
          <w:lang w:val="en-US" w:eastAsia="zh-CN"/>
        </w:rPr>
        <w:t>的。</w:t>
      </w:r>
    </w:p>
    <w:p w14:paraId="3DDA88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不按法定程序进行质疑和投诉，捏造事实，查无实据，造成恶劣影响</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导致采购活动无法正常进行的。</w:t>
      </w:r>
    </w:p>
    <w:p w14:paraId="5DDFF1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与采购人、其他</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或采购代理机构恶意串通的。</w:t>
      </w:r>
    </w:p>
    <w:p w14:paraId="4D2CF1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投标保证金的有效期与投标有效期一致。投标保函的有效期为投标有效期延长一个月。</w:t>
      </w:r>
    </w:p>
    <w:p w14:paraId="778D63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15</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有效期</w:t>
      </w:r>
    </w:p>
    <w:p w14:paraId="5DFE29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有效期从递交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文件的截止之日起</w:t>
      </w:r>
      <w:r>
        <w:rPr>
          <w:rFonts w:hint="eastAsia" w:ascii="宋体" w:hAnsi="宋体" w:cs="宋体"/>
          <w:b w:val="0"/>
          <w:bCs w:val="0"/>
          <w:sz w:val="23"/>
          <w:szCs w:val="23"/>
          <w:vertAlign w:val="baseline"/>
          <w:lang w:val="en-US" w:eastAsia="zh-CN"/>
        </w:rPr>
        <w:t>九十</w:t>
      </w:r>
      <w:r>
        <w:rPr>
          <w:rFonts w:hint="eastAsia" w:ascii="宋体" w:hAnsi="宋体" w:eastAsia="宋体" w:cs="宋体"/>
          <w:b w:val="0"/>
          <w:bCs w:val="0"/>
          <w:sz w:val="23"/>
          <w:szCs w:val="23"/>
          <w:vertAlign w:val="baseline"/>
          <w:lang w:val="en-US" w:eastAsia="zh-CN"/>
        </w:rPr>
        <w:t>天。</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文件应在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有效期内保持有效，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的磋商</w:t>
      </w:r>
      <w:r>
        <w:rPr>
          <w:rFonts w:hint="eastAsia" w:ascii="宋体" w:hAnsi="宋体" w:eastAsia="宋体" w:cs="宋体"/>
          <w:b w:val="0"/>
          <w:bCs w:val="0"/>
          <w:sz w:val="23"/>
          <w:szCs w:val="23"/>
          <w:vertAlign w:val="baseline"/>
          <w:lang w:val="en-US" w:eastAsia="zh-CN"/>
        </w:rPr>
        <w:t>有效期不满足规定的将被视为无效</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w:t>
      </w:r>
    </w:p>
    <w:p w14:paraId="4810E7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2在特殊情况下，在原</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有效期期满之前，采购代理机构可向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提出延长</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有效期的要求。这种要求与答复均应以书面的形式。</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可以拒绝采购代理机构的这种要求，其投标保证金也不被没收。同意延长的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既不能要求也不允许修改其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文件，但要相应延长其投标保证金的有效期。在这种情况下，本须知第14条有关投标保证金的退还和没收的规定将在延长了的有效期内继续有效。</w:t>
      </w:r>
    </w:p>
    <w:p w14:paraId="5E479E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color w:val="auto"/>
          <w:sz w:val="23"/>
          <w:szCs w:val="23"/>
          <w:vertAlign w:val="baseline"/>
          <w:lang w:val="en-US" w:eastAsia="zh-CN"/>
        </w:rPr>
      </w:pPr>
      <w:r>
        <w:rPr>
          <w:rFonts w:hint="eastAsia" w:ascii="宋体" w:hAnsi="宋体" w:eastAsia="宋体" w:cs="宋体"/>
          <w:b/>
          <w:bCs/>
          <w:color w:val="auto"/>
          <w:sz w:val="23"/>
          <w:szCs w:val="23"/>
          <w:vertAlign w:val="baseline"/>
          <w:lang w:val="en-US" w:eastAsia="zh-CN"/>
        </w:rPr>
        <w:t>16</w:t>
      </w:r>
      <w:r>
        <w:rPr>
          <w:rFonts w:hint="eastAsia" w:ascii="宋体" w:hAnsi="宋体" w:cs="宋体"/>
          <w:b/>
          <w:bCs/>
          <w:color w:val="auto"/>
          <w:sz w:val="23"/>
          <w:szCs w:val="23"/>
          <w:vertAlign w:val="baseline"/>
          <w:lang w:val="en-US" w:eastAsia="zh-CN"/>
        </w:rPr>
        <w:t>.响应</w:t>
      </w:r>
      <w:r>
        <w:rPr>
          <w:rFonts w:hint="eastAsia" w:ascii="宋体" w:hAnsi="宋体" w:eastAsia="宋体" w:cs="宋体"/>
          <w:b/>
          <w:bCs/>
          <w:color w:val="auto"/>
          <w:sz w:val="23"/>
          <w:szCs w:val="23"/>
          <w:vertAlign w:val="baseline"/>
          <w:lang w:val="en-US" w:eastAsia="zh-CN"/>
        </w:rPr>
        <w:t>文件的式样和签署</w:t>
      </w:r>
    </w:p>
    <w:p w14:paraId="0E5752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应按照本章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须知的要求，递交壹份</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须知前附表”中规定数量的副本。</w:t>
      </w:r>
    </w:p>
    <w:p w14:paraId="3570E7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2任何行间插字、涂改和增删，必须由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的法定代表人或其授权代表在旁边签字才有效。</w:t>
      </w:r>
    </w:p>
    <w:p w14:paraId="2BDA38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名称应填写全称。</w:t>
      </w:r>
    </w:p>
    <w:p w14:paraId="319068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4因字迹潦草、表述不清或不按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文件格式编制的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文件，所引起的对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不利的后果，由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自行负责。</w:t>
      </w:r>
    </w:p>
    <w:p w14:paraId="2392A9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5本项目采用电子化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须使用数字认证证书对电子化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文件进行签章、加密、递交及开标时解密等相关事宜。</w:t>
      </w:r>
    </w:p>
    <w:p w14:paraId="7619D6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1电子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下载。供应商登录全国公共资源交易平台（陕西省）网站〖首页·〉电子交易平台·〉企业端〗后，在〖招标公告/出让公告〗模块中选择项目点击“我要投标”，参与投标活动。然后即可在〖我的项目〗中点击“项目流程交易文件下载”下载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w:t>
      </w:r>
    </w:p>
    <w:p w14:paraId="610622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2电子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文件需要使用专用软件打开、浏览。供应商可在全国公共资源交易平台（陕西省）网站〖首页·〉服务指南·〉下载专区〗免费下载“陕西省公共资源交易平台政府采购电子标书制作工具（V8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0</w:t>
      </w:r>
      <w:r>
        <w:rPr>
          <w:rFonts w:hint="eastAsia" w:ascii="宋体" w:hAnsi="宋体" w:cs="宋体"/>
          <w:b w:val="0"/>
          <w:bCs w:val="0"/>
          <w:sz w:val="23"/>
          <w:szCs w:val="23"/>
          <w:vertAlign w:val="baseline"/>
          <w:lang w:val="en-US" w:eastAsia="zh-CN"/>
        </w:rPr>
        <w:t>.53</w:t>
      </w:r>
      <w:r>
        <w:rPr>
          <w:rFonts w:hint="eastAsia" w:ascii="宋体" w:hAnsi="宋体" w:eastAsia="宋体" w:cs="宋体"/>
          <w:b w:val="0"/>
          <w:bCs w:val="0"/>
          <w:sz w:val="23"/>
          <w:szCs w:val="23"/>
          <w:vertAlign w:val="baseline"/>
          <w:lang w:val="en-US" w:eastAsia="zh-CN"/>
        </w:rPr>
        <w:t>)”，并升级至最新版本，使用该客户端可以打开电子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文件。软件操作手册详见全国公共资源交易平台（陕西省）网站〖首页·〉服务指南·〉下载专区〗中的《陕西省公共资源交易（政府采购类）投标文件制作软件操作手册》。</w:t>
      </w:r>
    </w:p>
    <w:p w14:paraId="55ECD9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3制作电子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文件同样需要使用上述软件进行编制。在编制过程中，如有技术性问题，请先翻阅操作手册，或致电软件开发商。</w:t>
      </w:r>
    </w:p>
    <w:p w14:paraId="507DBB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技术支持热线：4009280095、4009980000 </w:t>
      </w:r>
    </w:p>
    <w:p w14:paraId="69D39F8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CA 锁购买：榆林市市民大厦</w:t>
      </w:r>
      <w:r>
        <w:rPr>
          <w:rFonts w:hint="eastAsia" w:ascii="宋体" w:hAnsi="宋体" w:cs="宋体"/>
          <w:b w:val="0"/>
          <w:bCs w:val="0"/>
          <w:sz w:val="23"/>
          <w:szCs w:val="23"/>
          <w:vertAlign w:val="baseline"/>
          <w:lang w:val="en-US" w:eastAsia="zh-CN"/>
        </w:rPr>
        <w:t>三</w:t>
      </w:r>
      <w:r>
        <w:rPr>
          <w:rFonts w:hint="eastAsia" w:ascii="宋体" w:hAnsi="宋体" w:eastAsia="宋体" w:cs="宋体"/>
          <w:b w:val="0"/>
          <w:bCs w:val="0"/>
          <w:sz w:val="23"/>
          <w:szCs w:val="23"/>
          <w:vertAlign w:val="baseline"/>
          <w:lang w:val="en-US" w:eastAsia="zh-CN"/>
        </w:rPr>
        <w:t>楼</w:t>
      </w:r>
      <w:r>
        <w:rPr>
          <w:rFonts w:hint="eastAsia" w:ascii="宋体" w:hAnsi="宋体" w:cs="宋体"/>
          <w:b w:val="0"/>
          <w:bCs w:val="0"/>
          <w:sz w:val="23"/>
          <w:szCs w:val="23"/>
          <w:vertAlign w:val="baseline"/>
          <w:lang w:val="en-US" w:eastAsia="zh-CN"/>
        </w:rPr>
        <w:t>E18、E19</w:t>
      </w:r>
      <w:r>
        <w:rPr>
          <w:rFonts w:hint="eastAsia" w:ascii="宋体" w:hAnsi="宋体" w:eastAsia="宋体" w:cs="宋体"/>
          <w:b w:val="0"/>
          <w:bCs w:val="0"/>
          <w:sz w:val="23"/>
          <w:szCs w:val="23"/>
          <w:vertAlign w:val="baseline"/>
          <w:lang w:val="en-US" w:eastAsia="zh-CN"/>
        </w:rPr>
        <w:t>窗口，电话：</w:t>
      </w:r>
      <w:r>
        <w:rPr>
          <w:rFonts w:hint="eastAsia" w:ascii="宋体" w:hAnsi="宋体" w:cs="宋体"/>
          <w:b w:val="0"/>
          <w:bCs w:val="0"/>
          <w:sz w:val="23"/>
          <w:szCs w:val="23"/>
          <w:vertAlign w:val="baseline"/>
          <w:lang w:val="en-US" w:eastAsia="zh-CN"/>
        </w:rPr>
        <w:t>0912-3452148</w:t>
      </w:r>
    </w:p>
    <w:p w14:paraId="1FE530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5" w:name="_Toc17173"/>
      <w:bookmarkStart w:id="16" w:name="_Toc4751_WPSOffice_Level2"/>
      <w:r>
        <w:rPr>
          <w:rFonts w:hint="eastAsia" w:ascii="宋体" w:hAnsi="宋体" w:cs="宋体"/>
          <w:b/>
          <w:bCs/>
          <w:sz w:val="28"/>
          <w:szCs w:val="28"/>
          <w:lang w:eastAsia="zh-CN"/>
        </w:rPr>
        <w:t>四.响应文件的递交</w:t>
      </w:r>
      <w:bookmarkEnd w:id="15"/>
      <w:bookmarkEnd w:id="16"/>
    </w:p>
    <w:p w14:paraId="1FFC56F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17</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纸质版</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文件的密封和递交</w:t>
      </w:r>
    </w:p>
    <w:p w14:paraId="01EA1A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应将</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文件正本、所有的副本密封装在同一密封袋中（封袋不得有破损）递交</w:t>
      </w:r>
      <w:r>
        <w:rPr>
          <w:rFonts w:hint="eastAsia" w:ascii="宋体" w:hAnsi="宋体" w:cs="宋体"/>
          <w:b w:val="0"/>
          <w:bCs w:val="0"/>
          <w:sz w:val="23"/>
          <w:szCs w:val="23"/>
          <w:vertAlign w:val="baseline"/>
          <w:lang w:val="en-US" w:eastAsia="zh-CN"/>
        </w:rPr>
        <w:t>（备案用）</w:t>
      </w:r>
      <w:r>
        <w:rPr>
          <w:rFonts w:hint="eastAsia" w:ascii="宋体" w:hAnsi="宋体" w:eastAsia="宋体" w:cs="宋体"/>
          <w:b w:val="0"/>
          <w:bCs w:val="0"/>
          <w:sz w:val="23"/>
          <w:szCs w:val="23"/>
          <w:vertAlign w:val="baseline"/>
          <w:lang w:val="en-US" w:eastAsia="zh-CN"/>
        </w:rPr>
        <w:t>。</w:t>
      </w:r>
    </w:p>
    <w:p w14:paraId="62A8B8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18</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文件的递交</w:t>
      </w:r>
    </w:p>
    <w:p w14:paraId="6459F2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w:t>
      </w:r>
    </w:p>
    <w:p w14:paraId="0D18A5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文件的递交：</w:t>
      </w:r>
    </w:p>
    <w:p w14:paraId="4F2E9A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文件可于提交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前任意时段登录全国公共资源交易平台（陕西省）网站“电子交易平台〉企业端”进行提交，逾期系统将拒绝接收。提交时，供应商应登录全国公共资源交易中心平台（陕西省），选择“首页〉电子交易平台〉企业端〉我的项目”，点击“项目流程”，在打开的“项目管理”对话框中选择“上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文件”，上传加密的电子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文件。上传成功后，电子化平台将予以记录。</w:t>
      </w:r>
    </w:p>
    <w:p w14:paraId="1D8913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2纸质版递交</w:t>
      </w:r>
    </w:p>
    <w:p w14:paraId="0157AB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将一正两副纸质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递交给代理公司</w:t>
      </w:r>
      <w:r>
        <w:rPr>
          <w:rFonts w:hint="eastAsia" w:ascii="宋体" w:hAnsi="宋体" w:eastAsia="宋体" w:cs="宋体"/>
          <w:b w:val="0"/>
          <w:bCs w:val="0"/>
          <w:sz w:val="23"/>
          <w:szCs w:val="23"/>
          <w:vertAlign w:val="baseline"/>
          <w:lang w:val="en-US" w:eastAsia="zh-CN"/>
        </w:rPr>
        <w:t>（备案用）（地址：</w:t>
      </w:r>
      <w:r>
        <w:rPr>
          <w:rFonts w:hint="eastAsia" w:ascii="宋体" w:hAnsi="宋体" w:eastAsia="宋体" w:cs="宋体"/>
          <w:b w:val="0"/>
          <w:bCs w:val="0"/>
          <w:sz w:val="23"/>
          <w:szCs w:val="23"/>
          <w:vertAlign w:val="baseline"/>
          <w:lang w:eastAsia="zh-CN"/>
        </w:rPr>
        <w:t>陕西省榆林市神木市陕西省榆林市神木市神木镇滨河新区鸳鸯塔1号商住楼</w:t>
      </w:r>
      <w:r>
        <w:rPr>
          <w:rFonts w:hint="eastAsia" w:ascii="宋体" w:hAnsi="宋体" w:eastAsia="宋体" w:cs="宋体"/>
          <w:b w:val="0"/>
          <w:bCs w:val="0"/>
          <w:sz w:val="23"/>
          <w:szCs w:val="23"/>
          <w:vertAlign w:val="baseline"/>
          <w:lang w:val="en-US" w:eastAsia="zh-CN"/>
        </w:rPr>
        <w:t>，联系人：</w:t>
      </w:r>
      <w:r>
        <w:rPr>
          <w:rFonts w:hint="eastAsia" w:ascii="宋体" w:hAnsi="宋体" w:cs="宋体"/>
          <w:b w:val="0"/>
          <w:bCs w:val="0"/>
          <w:sz w:val="23"/>
          <w:szCs w:val="23"/>
          <w:vertAlign w:val="baseline"/>
          <w:lang w:val="en-US" w:eastAsia="zh-CN"/>
        </w:rPr>
        <w:t>张强</w:t>
      </w:r>
      <w:r>
        <w:rPr>
          <w:rFonts w:hint="eastAsia" w:ascii="宋体" w:hAnsi="宋体" w:eastAsia="宋体" w:cs="宋体"/>
          <w:b w:val="0"/>
          <w:bCs w:val="0"/>
          <w:sz w:val="23"/>
          <w:szCs w:val="23"/>
          <w:vertAlign w:val="baseline"/>
          <w:lang w:val="en-US" w:eastAsia="zh-CN"/>
        </w:rPr>
        <w:t xml:space="preserve"> 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w:t>
      </w:r>
    </w:p>
    <w:p w14:paraId="78B5A3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19</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迟交的</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w:t>
      </w:r>
    </w:p>
    <w:p w14:paraId="6C03F5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须知的规定，采购代理机构将拒绝接受在规定的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截止时间后递交的任何</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p>
    <w:p w14:paraId="46014FD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20</w:t>
      </w:r>
      <w:r>
        <w:rPr>
          <w:rFonts w:hint="eastAsia" w:ascii="宋体" w:hAnsi="宋体" w:cs="宋体"/>
          <w:b/>
          <w:bCs/>
          <w:sz w:val="23"/>
          <w:szCs w:val="23"/>
          <w:vertAlign w:val="baseline"/>
          <w:lang w:val="en-US" w:eastAsia="zh-CN"/>
        </w:rPr>
        <w:t>.响应文件</w:t>
      </w:r>
      <w:r>
        <w:rPr>
          <w:rFonts w:hint="eastAsia" w:ascii="宋体" w:hAnsi="宋体" w:eastAsia="宋体" w:cs="宋体"/>
          <w:b/>
          <w:bCs/>
          <w:sz w:val="23"/>
          <w:szCs w:val="23"/>
          <w:vertAlign w:val="baseline"/>
          <w:lang w:val="en-US" w:eastAsia="zh-CN"/>
        </w:rPr>
        <w:t>的修改与撤回</w:t>
      </w:r>
    </w:p>
    <w:p w14:paraId="1EC764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文件后，可以修改或撤回其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文件，也可以提出价格变动声明，但</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或变动价格的书面通知文件递交到采购代理机构。</w:t>
      </w:r>
    </w:p>
    <w:p w14:paraId="321C01A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的修改或撤回或变动价格的通知应按本须知第17条的规定编制、密封、标记和递交。 </w:t>
      </w:r>
    </w:p>
    <w:p w14:paraId="01199C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截止时间之后，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不得对其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做任何修改或撤回。</w:t>
      </w:r>
    </w:p>
    <w:p w14:paraId="5649CD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7" w:name="_Toc27509_WPSOffice_Level2"/>
      <w:bookmarkStart w:id="18" w:name="_Toc29106"/>
      <w:r>
        <w:rPr>
          <w:rFonts w:hint="eastAsia" w:ascii="宋体" w:hAnsi="宋体" w:cs="宋体"/>
          <w:b/>
          <w:bCs/>
          <w:sz w:val="28"/>
          <w:szCs w:val="28"/>
          <w:lang w:eastAsia="zh-CN"/>
        </w:rPr>
        <w:t>五.开标与</w:t>
      </w:r>
      <w:bookmarkEnd w:id="17"/>
      <w:r>
        <w:rPr>
          <w:rFonts w:hint="eastAsia" w:ascii="宋体" w:hAnsi="宋体" w:cs="宋体"/>
          <w:b/>
          <w:bCs/>
          <w:sz w:val="28"/>
          <w:szCs w:val="28"/>
          <w:lang w:eastAsia="zh-CN"/>
        </w:rPr>
        <w:t>评审</w:t>
      </w:r>
      <w:bookmarkEnd w:id="18"/>
    </w:p>
    <w:p w14:paraId="3C47503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21</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开标</w:t>
      </w:r>
    </w:p>
    <w:p w14:paraId="3FA8BA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1采购代理机构在规定的时间和地点组织开标。开标时所有</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代表自愿参加，不参加的视为认同开标结果，参加开标的代表应在开标截止时间前一小时内</w:t>
      </w:r>
      <w:r>
        <w:rPr>
          <w:rFonts w:hint="eastAsia" w:ascii="宋体" w:hAnsi="宋体" w:cs="宋体"/>
          <w:b w:val="0"/>
          <w:bCs w:val="0"/>
          <w:sz w:val="23"/>
          <w:szCs w:val="23"/>
          <w:vertAlign w:val="baseline"/>
          <w:lang w:val="en-US" w:eastAsia="zh-CN"/>
        </w:rPr>
        <w:t>在</w:t>
      </w:r>
      <w:r>
        <w:rPr>
          <w:rFonts w:hint="eastAsia" w:ascii="宋体" w:hAnsi="宋体" w:eastAsia="宋体" w:cs="宋体"/>
          <w:b w:val="0"/>
          <w:bCs w:val="0"/>
          <w:sz w:val="23"/>
          <w:szCs w:val="23"/>
          <w:vertAlign w:val="baseline"/>
          <w:lang w:val="en-US" w:eastAsia="zh-CN"/>
        </w:rPr>
        <w:t>榆林市不见面开标大厅系统进行电子签到以证明其出席。</w:t>
      </w:r>
    </w:p>
    <w:p w14:paraId="60A5A3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2开标时，由供应商</w:t>
      </w:r>
      <w:r>
        <w:rPr>
          <w:rFonts w:hint="eastAsia" w:ascii="宋体" w:hAnsi="宋体" w:cs="宋体"/>
          <w:b w:val="0"/>
          <w:bCs w:val="0"/>
          <w:sz w:val="23"/>
          <w:szCs w:val="23"/>
          <w:vertAlign w:val="baseline"/>
          <w:lang w:val="en-US" w:eastAsia="zh-CN"/>
        </w:rPr>
        <w:t>在</w:t>
      </w:r>
      <w:r>
        <w:rPr>
          <w:rFonts w:hint="eastAsia" w:ascii="宋体" w:hAnsi="宋体" w:eastAsia="宋体" w:cs="宋体"/>
          <w:b w:val="0"/>
          <w:bCs w:val="0"/>
          <w:sz w:val="23"/>
          <w:szCs w:val="23"/>
          <w:vertAlign w:val="baseline"/>
          <w:lang w:val="en-US" w:eastAsia="zh-CN"/>
        </w:rPr>
        <w:t>榆林市不见面开标大厅系统将电子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文件解密后，由采购代理机构工作人员宣布供应商名称、</w:t>
      </w:r>
      <w:r>
        <w:rPr>
          <w:rFonts w:hint="eastAsia" w:ascii="宋体" w:hAnsi="宋体" w:cs="宋体"/>
          <w:b w:val="0"/>
          <w:bCs w:val="0"/>
          <w:sz w:val="23"/>
          <w:szCs w:val="23"/>
          <w:vertAlign w:val="baseline"/>
          <w:lang w:val="en-US" w:eastAsia="zh-CN"/>
        </w:rPr>
        <w:t>服务期、项目负责人</w:t>
      </w:r>
      <w:r>
        <w:rPr>
          <w:rFonts w:hint="eastAsia" w:ascii="宋体" w:hAnsi="宋体" w:eastAsia="宋体" w:cs="宋体"/>
          <w:b w:val="0"/>
          <w:bCs w:val="0"/>
          <w:sz w:val="23"/>
          <w:szCs w:val="23"/>
          <w:vertAlign w:val="baseline"/>
          <w:lang w:val="en-US" w:eastAsia="zh-CN"/>
        </w:rPr>
        <w:t>，以及采购代理机构认为合适的其他内容。各供应商的每轮</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报价不予公布。</w:t>
      </w:r>
    </w:p>
    <w:p w14:paraId="121477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.3采购代理机构组织开标、评审工作，整个过程受政府采购监管机构的监督管理，参加开标的监督人、采购人及采购代理机构工作人员签到，所有资料随竞争性磋商文件一并存档</w:t>
      </w:r>
      <w:r>
        <w:rPr>
          <w:rFonts w:hint="eastAsia" w:ascii="宋体" w:hAnsi="宋体" w:eastAsia="宋体" w:cs="宋体"/>
          <w:b w:val="0"/>
          <w:bCs w:val="0"/>
          <w:sz w:val="23"/>
          <w:szCs w:val="23"/>
          <w:vertAlign w:val="baseline"/>
          <w:lang w:val="en-US" w:eastAsia="zh-CN"/>
        </w:rPr>
        <w:t>。</w:t>
      </w:r>
    </w:p>
    <w:p w14:paraId="20535D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.4供应商对开标过程和开标记录有疑义，以及认为采购人、采购代理机构相关工作人员有需要回避情形的，应在榆林市不见面开标大厅系统提出询问或回避申请，采购人、采购代理机构应当及时处理</w:t>
      </w:r>
      <w:r>
        <w:rPr>
          <w:rFonts w:hint="eastAsia" w:ascii="宋体" w:hAnsi="宋体" w:eastAsia="宋体" w:cs="宋体"/>
          <w:b w:val="0"/>
          <w:bCs w:val="0"/>
          <w:sz w:val="23"/>
          <w:szCs w:val="23"/>
          <w:vertAlign w:val="baseline"/>
          <w:lang w:val="en-US" w:eastAsia="zh-CN"/>
        </w:rPr>
        <w:t>。供应商未参加开标的，视同认可开标结果</w:t>
      </w:r>
      <w:r>
        <w:rPr>
          <w:rFonts w:hint="eastAsia" w:ascii="宋体" w:hAnsi="宋体" w:cs="宋体"/>
          <w:b w:val="0"/>
          <w:bCs w:val="0"/>
          <w:sz w:val="23"/>
          <w:szCs w:val="23"/>
          <w:vertAlign w:val="baseline"/>
          <w:lang w:val="en-US" w:eastAsia="zh-CN"/>
        </w:rPr>
        <w:t>。</w:t>
      </w:r>
    </w:p>
    <w:p w14:paraId="0AC315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供应商不足3家的，不得开标。</w:t>
      </w:r>
    </w:p>
    <w:p w14:paraId="79606C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22</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组织及</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原则</w:t>
      </w:r>
    </w:p>
    <w:p w14:paraId="5D2042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1按照《中华人民共和国政府采购法》、《中华人民共和国政府采购法实施条例》和《政府采购非招标采购方式管理办法》的规定，依法组建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小组专家成员在陕西省政府采购网专家抽取管理系统中随机抽取</w:t>
      </w:r>
      <w:r>
        <w:rPr>
          <w:rFonts w:hint="eastAsia" w:ascii="宋体" w:hAnsi="宋体" w:cs="宋体"/>
          <w:b w:val="0"/>
          <w:bCs w:val="0"/>
          <w:sz w:val="23"/>
          <w:szCs w:val="23"/>
          <w:vertAlign w:val="baseline"/>
          <w:lang w:val="en-US" w:eastAsia="zh-CN"/>
        </w:rPr>
        <w:t>，磋商小组成员由采购人代表和评审专家3人以上单数组成，评审专家人数应占总人数的2/3以上</w:t>
      </w:r>
      <w:r>
        <w:rPr>
          <w:rFonts w:hint="eastAsia" w:ascii="宋体" w:hAnsi="宋体" w:eastAsia="宋体" w:cs="宋体"/>
          <w:b w:val="0"/>
          <w:bCs w:val="0"/>
          <w:sz w:val="23"/>
          <w:szCs w:val="23"/>
          <w:vertAlign w:val="baseline"/>
          <w:lang w:val="en-US" w:eastAsia="zh-CN"/>
        </w:rPr>
        <w:t>。</w:t>
      </w:r>
    </w:p>
    <w:p w14:paraId="411E6E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的依据。在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中，不得改变</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文件中规定的</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标准、方法和</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条件。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不得在开标后使用任何方式对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文件的实质性内容做任何更改。</w:t>
      </w:r>
    </w:p>
    <w:p w14:paraId="1ED406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期间，对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文件中含义不明确、同类问题表述不一致或者有明显文字和计算错误的内容，</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可以书面形式（由</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小组专家签字）要求</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作出必要的澄清、说明或者纠正。</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的澄清、说明或者补正应当采用书面形式，由其授权的代表签字，并不得超出</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文件的范围或者改变</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文件的实质性内容。</w:t>
      </w:r>
    </w:p>
    <w:p w14:paraId="20BCA1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在澄清规定期限内，未能答复或拒绝答复</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提出的澄清要求，将由</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根据其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文件按最大风险进行</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w:t>
      </w:r>
    </w:p>
    <w:p w14:paraId="4A3437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的资格审查</w:t>
      </w:r>
    </w:p>
    <w:p w14:paraId="37FDED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1开标结束后，</w:t>
      </w:r>
      <w:r>
        <w:rPr>
          <w:rFonts w:hint="eastAsia" w:ascii="宋体" w:hAnsi="宋体" w:cs="宋体"/>
          <w:b w:val="0"/>
          <w:bCs w:val="0"/>
          <w:color w:val="auto"/>
          <w:sz w:val="23"/>
          <w:szCs w:val="23"/>
          <w:vertAlign w:val="baseline"/>
          <w:lang w:val="en-US" w:eastAsia="zh-CN"/>
        </w:rPr>
        <w:t>由磋商小组</w:t>
      </w:r>
      <w:r>
        <w:rPr>
          <w:rFonts w:hint="eastAsia" w:ascii="宋体" w:hAnsi="宋体" w:eastAsia="宋体" w:cs="宋体"/>
          <w:b w:val="0"/>
          <w:bCs w:val="0"/>
          <w:color w:val="auto"/>
          <w:sz w:val="23"/>
          <w:szCs w:val="23"/>
          <w:vertAlign w:val="baseline"/>
          <w:lang w:val="en-US" w:eastAsia="zh-CN"/>
        </w:rPr>
        <w:t>依法对</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的资格进行审查，合格</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不足3家的，不得</w:t>
      </w:r>
      <w:r>
        <w:rPr>
          <w:rFonts w:hint="eastAsia" w:ascii="宋体" w:hAnsi="宋体" w:cs="宋体"/>
          <w:b w:val="0"/>
          <w:bCs w:val="0"/>
          <w:color w:val="auto"/>
          <w:sz w:val="23"/>
          <w:szCs w:val="23"/>
          <w:vertAlign w:val="baseline"/>
          <w:lang w:val="en-US" w:eastAsia="zh-CN"/>
        </w:rPr>
        <w:t>评审</w:t>
      </w:r>
      <w:r>
        <w:rPr>
          <w:rFonts w:hint="eastAsia" w:ascii="宋体" w:hAnsi="宋体" w:eastAsia="宋体" w:cs="宋体"/>
          <w:b w:val="0"/>
          <w:bCs w:val="0"/>
          <w:color w:val="auto"/>
          <w:sz w:val="23"/>
          <w:szCs w:val="23"/>
          <w:vertAlign w:val="baseline"/>
          <w:lang w:val="en-US" w:eastAsia="zh-CN"/>
        </w:rPr>
        <w:t>。</w:t>
      </w:r>
    </w:p>
    <w:p w14:paraId="7D4E36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文件的符合性审查。</w:t>
      </w:r>
    </w:p>
    <w:p w14:paraId="37C7CC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小组将审查</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文件是否完整、商务技术是否完全响应</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文件规定等。</w:t>
      </w:r>
    </w:p>
    <w:p w14:paraId="3137F8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2计算错误将按以下方法更正：</w:t>
      </w:r>
    </w:p>
    <w:p w14:paraId="31956D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22.6.2.1</w:t>
      </w:r>
      <w:r>
        <w:rPr>
          <w:rFonts w:hint="eastAsia" w:ascii="宋体" w:hAnsi="宋体" w:eastAsia="宋体" w:cs="宋体"/>
          <w:b w:val="0"/>
          <w:bCs w:val="0"/>
          <w:sz w:val="23"/>
          <w:szCs w:val="23"/>
          <w:vertAlign w:val="baseline"/>
          <w:lang w:val="en-US" w:eastAsia="zh-CN"/>
        </w:rPr>
        <w:t>响应文件的大写金额和小写金额不一致的，以大写金额为准；</w:t>
      </w:r>
    </w:p>
    <w:p w14:paraId="542292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22.6.2.2开标记录表报价与响应文件中报价不一致的，以开标记录表为准；</w:t>
      </w:r>
    </w:p>
    <w:p w14:paraId="5C2F7F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2.6.2.3</w:t>
      </w:r>
      <w:r>
        <w:rPr>
          <w:rFonts w:hint="eastAsia" w:ascii="宋体" w:hAnsi="宋体" w:eastAsia="宋体" w:cs="宋体"/>
          <w:b w:val="0"/>
          <w:bCs w:val="0"/>
          <w:sz w:val="23"/>
          <w:szCs w:val="23"/>
          <w:vertAlign w:val="baseline"/>
          <w:lang w:val="en-US" w:eastAsia="zh-CN"/>
        </w:rPr>
        <w:t>总价金额与按单价汇总金额不一致的，以单价金额计算结果为准；</w:t>
      </w:r>
    </w:p>
    <w:p w14:paraId="3ACFA1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单价金额小数点有明显错位的，应当以总价为准，并修改单价；</w:t>
      </w:r>
    </w:p>
    <w:p w14:paraId="668E71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对不同文字文本响应文件的解释发生异议的，以中文文本为准；</w:t>
      </w:r>
    </w:p>
    <w:p w14:paraId="58885E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对于供应商不接受对其错误的更改，其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属于无效</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情形。</w:t>
      </w:r>
    </w:p>
    <w:p w14:paraId="37ADA9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3符合性审查：在详细量化评审之前，根据本须知第22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4条的规定，</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要审查每份</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文件是否实质上响应了</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文件的要求。实质上响应的投标应该是与</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文件要求的全部条款、条件和规格参数相符，没有重大偏离的投标。对关键条文的偏离、保留或反对将被认为是实质上的偏离。</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决定投标的响应性质根据</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文件本身的内容，而不寻求外部的证据。</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小组对供应商提供的报价、响应</w:t>
      </w:r>
      <w:r>
        <w:rPr>
          <w:rFonts w:hint="eastAsia" w:ascii="宋体" w:hAnsi="宋体" w:cs="宋体"/>
          <w:b w:val="0"/>
          <w:bCs w:val="0"/>
          <w:sz w:val="23"/>
          <w:szCs w:val="23"/>
          <w:vertAlign w:val="baseline"/>
          <w:lang w:val="en-US" w:eastAsia="zh-CN"/>
        </w:rPr>
        <w:t>方案</w:t>
      </w:r>
      <w:r>
        <w:rPr>
          <w:rFonts w:hint="eastAsia" w:ascii="宋体" w:hAnsi="宋体" w:eastAsia="宋体" w:cs="宋体"/>
          <w:b w:val="0"/>
          <w:bCs w:val="0"/>
          <w:sz w:val="23"/>
          <w:szCs w:val="23"/>
          <w:vertAlign w:val="baseline"/>
          <w:lang w:val="en-US" w:eastAsia="zh-CN"/>
        </w:rPr>
        <w:t>、人员配置、售后服务承诺，能满足采购人要求的，则可进行</w:t>
      </w:r>
      <w:r>
        <w:rPr>
          <w:rFonts w:hint="eastAsia" w:ascii="宋体" w:hAnsi="宋体" w:cs="宋体"/>
          <w:b w:val="0"/>
          <w:bCs w:val="0"/>
          <w:sz w:val="23"/>
          <w:szCs w:val="23"/>
          <w:vertAlign w:val="baseline"/>
          <w:lang w:val="en-US" w:eastAsia="zh-CN"/>
        </w:rPr>
        <w:t>第二轮（或多轮）</w:t>
      </w:r>
      <w:r>
        <w:rPr>
          <w:rFonts w:hint="eastAsia" w:ascii="宋体" w:hAnsi="宋体" w:eastAsia="宋体" w:cs="宋体"/>
          <w:b w:val="0"/>
          <w:bCs w:val="0"/>
          <w:sz w:val="23"/>
          <w:szCs w:val="23"/>
          <w:vertAlign w:val="baseline"/>
          <w:lang w:val="en-US" w:eastAsia="zh-CN"/>
        </w:rPr>
        <w:t>报价</w:t>
      </w:r>
      <w:r>
        <w:rPr>
          <w:rFonts w:hint="eastAsia" w:ascii="宋体" w:hAnsi="宋体" w:cs="宋体"/>
          <w:b w:val="0"/>
          <w:bCs w:val="0"/>
          <w:sz w:val="23"/>
          <w:szCs w:val="23"/>
          <w:vertAlign w:val="baseline"/>
          <w:lang w:val="en-US" w:eastAsia="zh-CN"/>
        </w:rPr>
        <w:t>。</w:t>
      </w:r>
    </w:p>
    <w:p w14:paraId="7A3C7E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4实质上没有响应</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文件要求的投标将按无效投标处理。</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不得通过修正或撤销不合要求的偏离从而使其投标成为实质性响应的投标。如发现下列情况之一的，其投标将构成非实质性响应，按无效投标处理：</w:t>
      </w:r>
    </w:p>
    <w:p w14:paraId="7064D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的报价超过采购预算或者最高限价的；</w:t>
      </w:r>
    </w:p>
    <w:p w14:paraId="164DB4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文件未按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文件要求签署、盖章的；</w:t>
      </w:r>
    </w:p>
    <w:p w14:paraId="71FC3A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3）不具备</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文件中规定的资格要求的，或不符合国家规定的；</w:t>
      </w:r>
    </w:p>
    <w:p w14:paraId="689B70B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响应文件中</w:t>
      </w:r>
      <w:r>
        <w:rPr>
          <w:rFonts w:hint="eastAsia" w:ascii="宋体" w:hAnsi="宋体" w:eastAsia="宋体" w:cs="宋体"/>
          <w:b w:val="0"/>
          <w:bCs w:val="0"/>
          <w:sz w:val="23"/>
          <w:szCs w:val="23"/>
          <w:vertAlign w:val="baseline"/>
          <w:lang w:val="en-US" w:eastAsia="zh-CN"/>
        </w:rPr>
        <w:t>无</w:t>
      </w:r>
      <w:r>
        <w:rPr>
          <w:rFonts w:hint="eastAsia" w:ascii="宋体" w:hAnsi="宋体" w:cs="宋体"/>
          <w:b w:val="0"/>
          <w:bCs w:val="0"/>
          <w:sz w:val="23"/>
          <w:szCs w:val="23"/>
          <w:vertAlign w:val="baseline"/>
          <w:lang w:val="en-US" w:eastAsia="zh-CN"/>
        </w:rPr>
        <w:t>供应商公章</w:t>
      </w:r>
      <w:r>
        <w:rPr>
          <w:rFonts w:hint="eastAsia" w:ascii="宋体" w:hAnsi="宋体" w:eastAsia="宋体" w:cs="宋体"/>
          <w:b w:val="0"/>
          <w:bCs w:val="0"/>
          <w:sz w:val="23"/>
          <w:szCs w:val="23"/>
          <w:vertAlign w:val="baseline"/>
          <w:lang w:val="en-US" w:eastAsia="zh-CN"/>
        </w:rPr>
        <w:t>、无法定代表人或授权人签章或签章人无法定代表人有效委托书的；</w:t>
      </w:r>
    </w:p>
    <w:p w14:paraId="5A584C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文件未按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文件的要求编写；</w:t>
      </w:r>
    </w:p>
    <w:p w14:paraId="49CF10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6）无投标有效期或有效期达不到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w:t>
      </w:r>
    </w:p>
    <w:p w14:paraId="12ED8E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针对同一项目递交两份或多份内容不同的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文件，未书面声明哪一份是有效的或出现选择性报价的； </w:t>
      </w:r>
    </w:p>
    <w:p w14:paraId="293967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文件存在有重大缺漏项或投标内容存在重大技术偏离的；</w:t>
      </w:r>
    </w:p>
    <w:p w14:paraId="6AEF41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有串通投标、以他人名义投标、弄虚作假、行贿等违法行为的；</w:t>
      </w:r>
    </w:p>
    <w:p w14:paraId="09C295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文件实质性内容不满足或未响应的（包括但不限于：</w:t>
      </w:r>
      <w:r>
        <w:rPr>
          <w:rFonts w:hint="eastAsia" w:ascii="宋体" w:hAnsi="宋体" w:cs="宋体"/>
          <w:b w:val="0"/>
          <w:bCs w:val="0"/>
          <w:sz w:val="23"/>
          <w:szCs w:val="23"/>
          <w:vertAlign w:val="baseline"/>
          <w:lang w:val="en-US" w:eastAsia="zh-CN"/>
        </w:rPr>
        <w:t>服务期</w:t>
      </w:r>
      <w:r>
        <w:rPr>
          <w:rFonts w:hint="eastAsia" w:ascii="宋体" w:hAnsi="宋体" w:eastAsia="宋体" w:cs="宋体"/>
          <w:b w:val="0"/>
          <w:bCs w:val="0"/>
          <w:sz w:val="23"/>
          <w:szCs w:val="23"/>
          <w:vertAlign w:val="baseline"/>
          <w:lang w:val="en-US" w:eastAsia="zh-CN"/>
        </w:rPr>
        <w:t>、付款方式等）；</w:t>
      </w:r>
    </w:p>
    <w:p w14:paraId="4860D2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未经过正常渠道获取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文件，或</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名称与获取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文件时登记的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名称不符的；</w:t>
      </w:r>
    </w:p>
    <w:p w14:paraId="0DCB00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12）存在单位负责人为同一人或者存在直接控股、管理关系的不同供应商，参加本项目同一包号的政府采购活动；</w:t>
      </w:r>
    </w:p>
    <w:p w14:paraId="6A4954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文件含有采购人不能接受的附加条件的；</w:t>
      </w:r>
    </w:p>
    <w:p w14:paraId="0072A7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14）逾期提交电子响应文件；</w:t>
      </w:r>
    </w:p>
    <w:p w14:paraId="374BB33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15）提交的响应文件与本项目不相符；</w:t>
      </w:r>
    </w:p>
    <w:p w14:paraId="6201D5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16）供应商拒绝对电子响应文件进行解密；</w:t>
      </w:r>
    </w:p>
    <w:p w14:paraId="40A8836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17）因供应商自身原因（如未带CA锁或所带CA锁与制作电子响应文件使用的CA锁不一致或用旧版编制投标文件等情形），导致在规定时间内无法解密响应文件；</w:t>
      </w:r>
    </w:p>
    <w:p w14:paraId="58F10B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18）上传的电子响应文件无法打开；</w:t>
      </w:r>
    </w:p>
    <w:p w14:paraId="25CED5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19）法律、法规和</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文件规定的其他情形；</w:t>
      </w:r>
    </w:p>
    <w:p w14:paraId="50859D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认为</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的报价明显低于其他通过符合性审查</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或者其报价有可能影响产品质量或者不能诚信履约的，应当要求其在评标现场合理的时间内提供书面说明，必要时递交相关证明材料；</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不能证明其报价合理性的，</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应当将其作为无效投标处理。</w:t>
      </w:r>
    </w:p>
    <w:p w14:paraId="637284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5有下列情形之一的，视为投标人串通投标，其投标无效：</w:t>
      </w:r>
    </w:p>
    <w:p w14:paraId="10731B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文件由同一单位或者个人编制；</w:t>
      </w:r>
    </w:p>
    <w:p w14:paraId="70D2ED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委托同一单位或者个人办理投标事宜；</w:t>
      </w:r>
    </w:p>
    <w:p w14:paraId="3DADBF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文件载明的项目管理成员或者联系人员为同一人；</w:t>
      </w:r>
    </w:p>
    <w:p w14:paraId="5547B3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文件异常一致或者投标报价呈规律性差异；</w:t>
      </w:r>
    </w:p>
    <w:p w14:paraId="3F7EAA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文件相互混装；</w:t>
      </w:r>
    </w:p>
    <w:p w14:paraId="4DDC1D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的投标保证金从同一单位或者个人的账户转出</w:t>
      </w:r>
      <w:r>
        <w:rPr>
          <w:rFonts w:hint="eastAsia" w:ascii="宋体" w:hAnsi="宋体" w:cs="宋体"/>
          <w:b w:val="0"/>
          <w:bCs w:val="0"/>
          <w:sz w:val="23"/>
          <w:szCs w:val="23"/>
          <w:vertAlign w:val="baseline"/>
          <w:lang w:val="en-US" w:eastAsia="zh-CN"/>
        </w:rPr>
        <w:t>。</w:t>
      </w:r>
    </w:p>
    <w:p w14:paraId="1E1DA8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磋商程序</w:t>
      </w:r>
    </w:p>
    <w:p w14:paraId="2DC10C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分步评审，每一步评审不符合磋商文件要求者，不得进入下一步评审，全部评审合格的供应商，进入最后的打分，最后按得分由高向低排序，推荐成交候选供应商。</w:t>
      </w:r>
    </w:p>
    <w:p w14:paraId="509C01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22.7.1</w:t>
      </w:r>
      <w:r>
        <w:rPr>
          <w:rFonts w:hint="eastAsia" w:ascii="宋体" w:hAnsi="宋体" w:eastAsia="宋体" w:cs="宋体"/>
          <w:b w:val="0"/>
          <w:bCs w:val="0"/>
          <w:sz w:val="23"/>
          <w:szCs w:val="23"/>
          <w:vertAlign w:val="baseline"/>
          <w:lang w:val="en-US" w:eastAsia="zh-CN"/>
        </w:rPr>
        <w:t>第一次磋商报价。</w:t>
      </w:r>
    </w:p>
    <w:p w14:paraId="4EB25B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w:t>
      </w:r>
      <w:r>
        <w:rPr>
          <w:rFonts w:hint="eastAsia" w:ascii="宋体" w:hAnsi="宋体" w:eastAsia="宋体" w:cs="宋体"/>
          <w:b w:val="0"/>
          <w:bCs w:val="0"/>
          <w:sz w:val="23"/>
          <w:szCs w:val="23"/>
          <w:vertAlign w:val="baseline"/>
          <w:lang w:val="en-US" w:eastAsia="zh-CN"/>
        </w:rPr>
        <w:t>磋商响应文件的符合性审查</w:t>
      </w:r>
    </w:p>
    <w:p w14:paraId="785769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22.7.2.1</w:t>
      </w:r>
      <w:r>
        <w:rPr>
          <w:rFonts w:hint="eastAsia" w:ascii="宋体" w:hAnsi="宋体" w:eastAsia="宋体" w:cs="宋体"/>
          <w:b w:val="0"/>
          <w:bCs w:val="0"/>
          <w:sz w:val="23"/>
          <w:szCs w:val="23"/>
          <w:vertAlign w:val="baseline"/>
          <w:lang w:val="en-US" w:eastAsia="zh-CN"/>
        </w:rPr>
        <w:t>磋商小组依据磋商文件的规定，对磋商响应文件的有效性、完整性和对磋商文件的响应程度进行审查，以确定是否对磋商文件的全部实质性要求做出响应。</w:t>
      </w:r>
    </w:p>
    <w:p w14:paraId="3000A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22.7.2.2</w:t>
      </w:r>
      <w:r>
        <w:rPr>
          <w:rFonts w:hint="eastAsia" w:ascii="宋体" w:hAnsi="宋体" w:eastAsia="宋体" w:cs="宋体"/>
          <w:b w:val="0"/>
          <w:bCs w:val="0"/>
          <w:sz w:val="23"/>
          <w:szCs w:val="23"/>
          <w:vertAlign w:val="baseline"/>
          <w:lang w:val="en-US" w:eastAsia="zh-CN"/>
        </w:rPr>
        <w:t>磋商小组要审查每份磋商响应文件是否实质上响应了磋商文件的要求。实质上没有响应磋商文件要求的投标作无效投标处理。磋商小组应告知有关供应商未通过审查的原因，供应商不得通过修正或撤销不符之处而使其成为实质上响应。</w:t>
      </w:r>
    </w:p>
    <w:p w14:paraId="3C8E7E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w:t>
      </w:r>
      <w:r>
        <w:rPr>
          <w:rFonts w:hint="eastAsia" w:ascii="宋体" w:hAnsi="宋体" w:eastAsia="宋体" w:cs="宋体"/>
          <w:b w:val="0"/>
          <w:bCs w:val="0"/>
          <w:sz w:val="23"/>
          <w:szCs w:val="23"/>
          <w:vertAlign w:val="baseline"/>
          <w:lang w:val="en-US" w:eastAsia="zh-CN"/>
        </w:rPr>
        <w:t>磋商响应文件的澄清</w:t>
      </w:r>
    </w:p>
    <w:p w14:paraId="236B8D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22.7.3.1</w:t>
      </w:r>
      <w:r>
        <w:rPr>
          <w:rFonts w:hint="eastAsia" w:ascii="宋体" w:hAnsi="宋体" w:eastAsia="宋体" w:cs="宋体"/>
          <w:b w:val="0"/>
          <w:bCs w:val="0"/>
          <w:sz w:val="23"/>
          <w:szCs w:val="23"/>
          <w:vertAlign w:val="baseline"/>
          <w:lang w:val="en-US" w:eastAsia="zh-CN"/>
        </w:rPr>
        <w:t>磋商小组在对磋商响应文件的有效性、完整性和响应程度进行审查时，可以要求供应商对磋商响应文件中含义不明确、同类问题表述不一致或者有明显文字和计算错误的内容等做出必要的澄清、说明或者补正。</w:t>
      </w:r>
    </w:p>
    <w:p w14:paraId="28B3D4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22.7.3.2</w:t>
      </w:r>
      <w:r>
        <w:rPr>
          <w:rFonts w:hint="eastAsia" w:ascii="宋体" w:hAnsi="宋体" w:eastAsia="宋体" w:cs="宋体"/>
          <w:b w:val="0"/>
          <w:bCs w:val="0"/>
          <w:sz w:val="23"/>
          <w:szCs w:val="23"/>
          <w:vertAlign w:val="baseline"/>
          <w:lang w:val="en-US" w:eastAsia="zh-CN"/>
        </w:rPr>
        <w:t>依照民法中的过失责任原则，澄清、说明或补正前磋商小组将按最不利于投标供应商的原则对磋商响应文件做出评判。</w:t>
      </w:r>
    </w:p>
    <w:p w14:paraId="2EBBB1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22.7.3.3</w:t>
      </w:r>
      <w:r>
        <w:rPr>
          <w:rFonts w:hint="eastAsia" w:ascii="宋体" w:hAnsi="宋体" w:eastAsia="宋体" w:cs="宋体"/>
          <w:b w:val="0"/>
          <w:bCs w:val="0"/>
          <w:sz w:val="23"/>
          <w:szCs w:val="23"/>
          <w:vertAlign w:val="baseline"/>
          <w:lang w:val="en-US" w:eastAsia="zh-CN"/>
        </w:rPr>
        <w:t>磋商小组要求供应商澄清、说明或者补正磋商响应文件应通过不见面电子询标。</w:t>
      </w:r>
    </w:p>
    <w:p w14:paraId="5E3E72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22.7.3.4</w:t>
      </w:r>
      <w:r>
        <w:rPr>
          <w:rFonts w:hint="eastAsia" w:ascii="宋体" w:hAnsi="宋体" w:eastAsia="宋体" w:cs="宋体"/>
          <w:b w:val="0"/>
          <w:bCs w:val="0"/>
          <w:sz w:val="23"/>
          <w:szCs w:val="23"/>
          <w:vertAlign w:val="baseline"/>
          <w:lang w:val="en-US" w:eastAsia="zh-CN"/>
        </w:rPr>
        <w:t>供应商的澄清、说明或者补正不得超出磋商响应文件的范围或者改变磋商响应文件的实质性内容。澄清、说明或者补正的内容将作为合同履行的重要依据。</w:t>
      </w:r>
    </w:p>
    <w:p w14:paraId="24020E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22.7.4</w:t>
      </w:r>
      <w:r>
        <w:rPr>
          <w:rFonts w:hint="eastAsia" w:ascii="宋体" w:hAnsi="宋体" w:eastAsia="宋体" w:cs="宋体"/>
          <w:b w:val="0"/>
          <w:bCs w:val="0"/>
          <w:sz w:val="23"/>
          <w:szCs w:val="23"/>
          <w:vertAlign w:val="baseline"/>
          <w:lang w:val="en-US" w:eastAsia="zh-CN"/>
        </w:rPr>
        <w:t>磋商过程</w:t>
      </w:r>
    </w:p>
    <w:p w14:paraId="308BB7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磋商小组应在符合性评审的基础上对各供应商的响应文件认真阅读，磋商小组必须对响应文件的采购内容等有关要求进行一对一磋商。</w:t>
      </w:r>
    </w:p>
    <w:p w14:paraId="1A84D8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w:t>
      </w:r>
      <w:r>
        <w:rPr>
          <w:rFonts w:hint="eastAsia" w:ascii="宋体" w:hAnsi="宋体" w:eastAsia="宋体" w:cs="宋体"/>
          <w:b w:val="0"/>
          <w:bCs w:val="0"/>
          <w:sz w:val="23"/>
          <w:szCs w:val="23"/>
          <w:vertAlign w:val="baseline"/>
          <w:lang w:val="en-US" w:eastAsia="zh-CN"/>
        </w:rPr>
        <w:t>最终报价</w:t>
      </w:r>
    </w:p>
    <w:p w14:paraId="067334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22.7.5.1</w:t>
      </w:r>
      <w:r>
        <w:rPr>
          <w:rFonts w:hint="eastAsia" w:ascii="宋体" w:hAnsi="宋体" w:eastAsia="宋体" w:cs="宋体"/>
          <w:b w:val="0"/>
          <w:bCs w:val="0"/>
          <w:sz w:val="23"/>
          <w:szCs w:val="23"/>
          <w:vertAlign w:val="baseline"/>
          <w:lang w:val="en-US" w:eastAsia="zh-CN"/>
        </w:rPr>
        <w:t>资格性审查和符合性审查通过的供应商进入最终报价阶段。最终报价是供应商响应文件的有效组成部分。（最后报价相同时，可进行多次报价）</w:t>
      </w:r>
    </w:p>
    <w:p w14:paraId="20F9614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22.7.5.2</w:t>
      </w:r>
      <w:r>
        <w:rPr>
          <w:rFonts w:hint="eastAsia" w:ascii="宋体" w:hAnsi="宋体" w:eastAsia="宋体" w:cs="宋体"/>
          <w:b w:val="0"/>
          <w:bCs w:val="0"/>
          <w:sz w:val="23"/>
          <w:szCs w:val="23"/>
          <w:vertAlign w:val="baseline"/>
          <w:lang w:val="en-US" w:eastAsia="zh-CN"/>
        </w:rPr>
        <w:t>供应商使用CA锁，自行在电脑上进行最终报价。对成交供应商的最终报价出现明显低于或高于同业同期市场平均价的情形时，磋商小组应当在评审意见中详细说明理由。</w:t>
      </w:r>
    </w:p>
    <w:p w14:paraId="28064E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22.7.5.3</w:t>
      </w:r>
      <w:r>
        <w:rPr>
          <w:rFonts w:hint="eastAsia" w:ascii="宋体" w:hAnsi="宋体" w:eastAsia="宋体" w:cs="宋体"/>
          <w:b w:val="0"/>
          <w:bCs w:val="0"/>
          <w:sz w:val="23"/>
          <w:szCs w:val="23"/>
          <w:vertAlign w:val="baseline"/>
          <w:lang w:val="en-US" w:eastAsia="zh-CN"/>
        </w:rPr>
        <w:t>对中小企业、监狱企业、残疾人福利性单位（参照第二章《供应商须知》落实的政府采购政策）提供的投标报价给予20%的价格扣除，用扣除后的价格参与评审排序，除此之外的其他情形均不适用本款规定。</w:t>
      </w:r>
    </w:p>
    <w:p w14:paraId="2BF29A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22.7.5.4</w:t>
      </w:r>
      <w:r>
        <w:rPr>
          <w:rFonts w:hint="eastAsia" w:ascii="宋体" w:hAnsi="宋体" w:eastAsia="宋体" w:cs="宋体"/>
          <w:b w:val="0"/>
          <w:bCs w:val="0"/>
          <w:sz w:val="23"/>
          <w:szCs w:val="23"/>
          <w:vertAlign w:val="baseline"/>
          <w:lang w:val="en-US" w:eastAsia="zh-CN"/>
        </w:rPr>
        <w:t>磋商小组应审查供应商是否具备“落实政府采购政策”的资格，如不符合相关文件要求或供应商未提供相关声明或证明材料，供应商不可以享受价格折扣优惠政策。</w:t>
      </w:r>
    </w:p>
    <w:p w14:paraId="3CBE9F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22.7.5.5</w:t>
      </w:r>
      <w:r>
        <w:rPr>
          <w:rFonts w:hint="eastAsia" w:ascii="宋体" w:hAnsi="宋体" w:eastAsia="宋体" w:cs="宋体"/>
          <w:b w:val="0"/>
          <w:bCs w:val="0"/>
          <w:sz w:val="23"/>
          <w:szCs w:val="23"/>
          <w:vertAlign w:val="baseline"/>
          <w:lang w:val="en-US" w:eastAsia="zh-CN"/>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7C3A39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22.7.6</w:t>
      </w:r>
      <w:r>
        <w:rPr>
          <w:rFonts w:hint="eastAsia" w:ascii="宋体" w:hAnsi="宋体" w:eastAsia="宋体" w:cs="宋体"/>
          <w:b w:val="0"/>
          <w:bCs w:val="0"/>
          <w:sz w:val="23"/>
          <w:szCs w:val="23"/>
          <w:vertAlign w:val="baseline"/>
          <w:lang w:val="en-US" w:eastAsia="zh-CN"/>
        </w:rPr>
        <w:t>综合比较与评价</w:t>
      </w:r>
    </w:p>
    <w:p w14:paraId="6FD5E0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磋商小组应按“评审要素及分值一览表”中规定的评标标准，对通过符合性和响应性审查的响应文件进行商务和技术评估，综合比较与评价。</w:t>
      </w:r>
    </w:p>
    <w:p w14:paraId="1EA8AD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22.7.7</w:t>
      </w:r>
      <w:r>
        <w:rPr>
          <w:rFonts w:hint="eastAsia" w:ascii="宋体" w:hAnsi="宋体" w:eastAsia="宋体" w:cs="宋体"/>
          <w:b w:val="0"/>
          <w:bCs w:val="0"/>
          <w:sz w:val="23"/>
          <w:szCs w:val="23"/>
          <w:vertAlign w:val="baseline"/>
          <w:lang w:val="en-US" w:eastAsia="zh-CN"/>
        </w:rPr>
        <w:t>推荐成交候选人</w:t>
      </w:r>
    </w:p>
    <w:p w14:paraId="6A6612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标结果按评审后得分由高到低顺序排列。得分相同的，按投标报价由低到高顺序排列。得分且投标报价相同的并列。响应文件满足磋商文件全部实质性要求，且按照评审因素的量化指标评审得分最高的供应商为排名第一的成交候选人。</w:t>
      </w:r>
    </w:p>
    <w:p w14:paraId="6423EB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w:t>
      </w:r>
      <w:r>
        <w:rPr>
          <w:rFonts w:hint="eastAsia" w:ascii="宋体" w:hAnsi="宋体" w:eastAsia="宋体" w:cs="宋体"/>
          <w:b w:val="0"/>
          <w:bCs w:val="0"/>
          <w:sz w:val="23"/>
          <w:szCs w:val="23"/>
          <w:vertAlign w:val="baseline"/>
          <w:lang w:val="en-US" w:eastAsia="zh-CN"/>
        </w:rPr>
        <w:t>编写评标报告</w:t>
      </w:r>
    </w:p>
    <w:p w14:paraId="0B00494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22.7.8.1</w:t>
      </w:r>
      <w:r>
        <w:rPr>
          <w:rFonts w:hint="eastAsia" w:ascii="宋体" w:hAnsi="宋体" w:eastAsia="宋体" w:cs="宋体"/>
          <w:b w:val="0"/>
          <w:bCs w:val="0"/>
          <w:sz w:val="23"/>
          <w:szCs w:val="23"/>
          <w:vertAlign w:val="baseline"/>
          <w:lang w:val="en-US" w:eastAsia="zh-CN"/>
        </w:rPr>
        <w:t>磋商小组应根据全体评标成员签字的原始评标记录和评标结果编写评标报告。评标报告应包括：磋商公告刊登的媒体名称、开标日期和地点；供应商名单和磋商小组成员名单；评标方法和标准；开标记录和评标情况及说明，包括无效供应商名单及原因；评标结果，确定的成交候选人名单或者经采购人委托直接确定的成交人；其他需要说明的情况，包括评标过程中供应商根据磋商小组要求进行的澄清、说明或者补正，磋商小组成员的更换等。</w:t>
      </w:r>
    </w:p>
    <w:p w14:paraId="27AF93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22.7.8.2</w:t>
      </w:r>
      <w:r>
        <w:rPr>
          <w:rFonts w:hint="eastAsia" w:ascii="宋体" w:hAnsi="宋体" w:eastAsia="宋体" w:cs="宋体"/>
          <w:b w:val="0"/>
          <w:bCs w:val="0"/>
          <w:sz w:val="23"/>
          <w:szCs w:val="23"/>
          <w:vertAlign w:val="baseline"/>
          <w:lang w:val="en-US" w:eastAsia="zh-CN"/>
        </w:rPr>
        <w:t>磋商小组成员对需要共同认定的事项存在争议的，应当按照少数服从多数的原则做出结论。持不同意见的磋商小组成员应当在评标报告上签署不同意见及理由，否则视为同意评标报告。对拒绝说明理由的，报市财政局处理，并将其评审情况如实计入考核表。</w:t>
      </w:r>
    </w:p>
    <w:p w14:paraId="648D30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候选人的确定</w:t>
      </w:r>
    </w:p>
    <w:p w14:paraId="1BB0B8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完成</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后，向采购人提出书面</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报告，并推荐三名</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标明排列顺序。</w:t>
      </w:r>
    </w:p>
    <w:p w14:paraId="7C2EB5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23</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过程的保密</w:t>
      </w:r>
    </w:p>
    <w:p w14:paraId="2B3B17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成员和与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活动有关的工作人员不得泄露有关</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文件的评审和比较、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候选人的推荐以及与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有关的其他情况。</w:t>
      </w:r>
    </w:p>
    <w:p w14:paraId="6A8039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过程中，如果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试图在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文件的评审和比较、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候选人的推荐以及与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有关的其他方面，向</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人、采购人和采购代理机构施加任何影响，应予废标。</w:t>
      </w:r>
    </w:p>
    <w:p w14:paraId="10E149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24</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方法</w:t>
      </w:r>
    </w:p>
    <w:p w14:paraId="670C87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24.1依据</w:t>
      </w:r>
      <w:r>
        <w:rPr>
          <w:rFonts w:hint="eastAsia" w:ascii="宋体" w:hAnsi="宋体" w:eastAsia="宋体" w:cs="宋体"/>
          <w:b w:val="0"/>
          <w:bCs w:val="0"/>
          <w:sz w:val="23"/>
          <w:szCs w:val="23"/>
          <w:vertAlign w:val="baseline"/>
          <w:lang w:val="en-US" w:eastAsia="zh-CN"/>
        </w:rPr>
        <w:t>《中华人民共和国政府采购法》、《中华人民共和国政府采购法实施条例》和《政府采购非招标采购方式管理办法》的规定，本次评审采用综合评分法，是指即响应文件满足磋商文件全部实质性要求，且按照评审因素的量化指标评审得分最高的供应商为成交候选人的评标方法。</w:t>
      </w:r>
    </w:p>
    <w:p w14:paraId="783AF8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9" w:name="_Toc10749_WPSOffice_Level2"/>
      <w:bookmarkStart w:id="20" w:name="_Toc22761"/>
      <w:r>
        <w:rPr>
          <w:rFonts w:hint="eastAsia" w:ascii="宋体" w:hAnsi="宋体" w:cs="宋体"/>
          <w:b/>
          <w:bCs/>
          <w:sz w:val="28"/>
          <w:szCs w:val="28"/>
          <w:lang w:eastAsia="zh-CN"/>
        </w:rPr>
        <w:t>六.成交、成交通知与签约</w:t>
      </w:r>
      <w:bookmarkEnd w:id="19"/>
      <w:bookmarkEnd w:id="20"/>
    </w:p>
    <w:p w14:paraId="0927C1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5.</w:t>
      </w:r>
      <w:r>
        <w:rPr>
          <w:rFonts w:hint="eastAsia" w:ascii="宋体" w:hAnsi="宋体" w:eastAsia="宋体" w:cs="宋体"/>
          <w:b/>
          <w:bCs/>
          <w:sz w:val="23"/>
          <w:szCs w:val="23"/>
          <w:vertAlign w:val="baseline"/>
          <w:lang w:val="en-US" w:eastAsia="zh-CN"/>
        </w:rPr>
        <w:t>定标程序</w:t>
      </w:r>
    </w:p>
    <w:p w14:paraId="31CA9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根据评标方法的规定对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进行评审排序，推荐三名</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候选人，作为</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结果由</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成员签字确认。</w:t>
      </w:r>
    </w:p>
    <w:p w14:paraId="22C84B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.2采购人根据</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报告中推荐的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候选人排列顺序，确定排名第一的为</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w:t>
      </w:r>
    </w:p>
    <w:p w14:paraId="4D9532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.3排名第一的</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放弃中标、在规定期限内未能签订合同、因不可抗力不能履行合同、不按照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文件要求递交履约保证金，或者被查实存在影响中标结果的违法行为等情形，不符合中标条件的，采购人</w:t>
      </w:r>
      <w:r>
        <w:rPr>
          <w:rFonts w:hint="eastAsia" w:ascii="宋体" w:hAnsi="宋体" w:cs="宋体"/>
          <w:b w:val="0"/>
          <w:bCs w:val="0"/>
          <w:sz w:val="23"/>
          <w:szCs w:val="23"/>
          <w:vertAlign w:val="baseline"/>
          <w:lang w:val="en-US" w:eastAsia="zh-CN"/>
        </w:rPr>
        <w:t>根据相关规定执行</w:t>
      </w:r>
      <w:r>
        <w:rPr>
          <w:rFonts w:hint="eastAsia" w:ascii="宋体" w:hAnsi="宋体" w:eastAsia="宋体" w:cs="宋体"/>
          <w:b w:val="0"/>
          <w:bCs w:val="0"/>
          <w:sz w:val="23"/>
          <w:szCs w:val="23"/>
          <w:vertAlign w:val="baseline"/>
          <w:lang w:val="en-US" w:eastAsia="zh-CN"/>
        </w:rPr>
        <w:t>。</w:t>
      </w:r>
    </w:p>
    <w:p w14:paraId="087AD4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采购人也可以授权</w:t>
      </w:r>
      <w:r>
        <w:rPr>
          <w:rFonts w:hint="eastAsia" w:ascii="宋体" w:hAnsi="宋体" w:cs="宋体"/>
          <w:b w:val="0"/>
          <w:bCs w:val="0"/>
          <w:sz w:val="23"/>
          <w:szCs w:val="23"/>
          <w:vertAlign w:val="baseline"/>
          <w:lang w:val="en-US" w:eastAsia="zh-CN"/>
        </w:rPr>
        <w:t>磋商小组评审</w:t>
      </w:r>
      <w:r>
        <w:rPr>
          <w:rFonts w:hint="eastAsia" w:ascii="宋体" w:hAnsi="宋体" w:eastAsia="宋体" w:cs="宋体"/>
          <w:b w:val="0"/>
          <w:bCs w:val="0"/>
          <w:sz w:val="23"/>
          <w:szCs w:val="23"/>
          <w:vertAlign w:val="baseline"/>
          <w:lang w:val="en-US" w:eastAsia="zh-CN"/>
        </w:rPr>
        <w:t>后直接确定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w:t>
      </w:r>
    </w:p>
    <w:p w14:paraId="4FF484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5成交供应商</w:t>
      </w:r>
      <w:r>
        <w:rPr>
          <w:rFonts w:hint="eastAsia" w:ascii="宋体" w:hAnsi="宋体" w:eastAsia="宋体" w:cs="宋体"/>
          <w:b w:val="0"/>
          <w:bCs w:val="0"/>
          <w:sz w:val="23"/>
          <w:szCs w:val="23"/>
          <w:vertAlign w:val="baseline"/>
          <w:lang w:val="en-US" w:eastAsia="zh-CN"/>
        </w:rPr>
        <w:t>确定之后，中标结果将在财政部门指定的政府采购信息发布媒体上公告。</w:t>
      </w:r>
    </w:p>
    <w:p w14:paraId="1E3252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6供应商</w:t>
      </w:r>
      <w:r>
        <w:rPr>
          <w:rFonts w:hint="eastAsia" w:ascii="宋体" w:hAnsi="宋体" w:eastAsia="宋体" w:cs="宋体"/>
          <w:b w:val="0"/>
          <w:bCs w:val="0"/>
          <w:sz w:val="23"/>
          <w:szCs w:val="23"/>
          <w:vertAlign w:val="baseline"/>
          <w:lang w:val="en-US" w:eastAsia="zh-CN"/>
        </w:rPr>
        <w:t>或者其他利害关系人对</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结果有异议的，应当在公示期间提出。</w:t>
      </w:r>
    </w:p>
    <w:p w14:paraId="3A4EC7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6.</w:t>
      </w:r>
      <w:r>
        <w:rPr>
          <w:rFonts w:hint="eastAsia" w:ascii="宋体" w:hAnsi="宋体" w:eastAsia="宋体" w:cs="宋体"/>
          <w:b/>
          <w:bCs/>
          <w:sz w:val="23"/>
          <w:szCs w:val="23"/>
          <w:vertAlign w:val="baseline"/>
          <w:lang w:val="en-US" w:eastAsia="zh-CN"/>
        </w:rPr>
        <w:t>中标与落标通知</w:t>
      </w:r>
    </w:p>
    <w:p w14:paraId="26AD1B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.1采购代理机构向</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发出《</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w:t>
      </w:r>
    </w:p>
    <w:p w14:paraId="53BF43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通知书对采购人和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具有同等法律效力。</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通知书发出之后，采购人改变中标结果，或者</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放弃中标，应当承担相应的法律责任。</w:t>
      </w:r>
    </w:p>
    <w:p w14:paraId="476F0B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通知书发出后五个工作日内，采购代理机构将通知未中标的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，退还投标保证金，不计利息。</w:t>
      </w:r>
    </w:p>
    <w:p w14:paraId="3C001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7</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成交</w:t>
      </w:r>
      <w:r>
        <w:rPr>
          <w:rFonts w:hint="eastAsia" w:ascii="宋体" w:hAnsi="宋体" w:eastAsia="宋体" w:cs="宋体"/>
          <w:b/>
          <w:bCs/>
          <w:sz w:val="23"/>
          <w:szCs w:val="23"/>
          <w:vertAlign w:val="baseline"/>
          <w:lang w:val="en-US" w:eastAsia="zh-CN"/>
        </w:rPr>
        <w:t>合同的签订</w:t>
      </w:r>
    </w:p>
    <w:p w14:paraId="1588FD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.1采购人应当自</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通知书发出之日起十日内，按照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供应商响应</w:t>
      </w:r>
      <w:r>
        <w:rPr>
          <w:rFonts w:hint="eastAsia" w:ascii="宋体" w:hAnsi="宋体" w:eastAsia="宋体" w:cs="宋体"/>
          <w:b w:val="0"/>
          <w:bCs w:val="0"/>
          <w:sz w:val="23"/>
          <w:szCs w:val="23"/>
          <w:vertAlign w:val="baseline"/>
          <w:lang w:val="en-US" w:eastAsia="zh-CN"/>
        </w:rPr>
        <w:t>文件（包括</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中形成的澄清文件）的约定，与中标人签订书面合同。所签订的合同不得对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文件（包括</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中形成的澄清文件）作实质性修改。</w:t>
      </w:r>
    </w:p>
    <w:p w14:paraId="1F6B8E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.2采购人自采购合同签订之日起二个工作日内将采购合同副本报同级人民政府财政部门备案。</w:t>
      </w:r>
    </w:p>
    <w:p w14:paraId="6D3620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8.</w:t>
      </w:r>
      <w:r>
        <w:rPr>
          <w:rFonts w:hint="eastAsia" w:ascii="宋体" w:hAnsi="宋体" w:eastAsia="宋体" w:cs="宋体"/>
          <w:b/>
          <w:bCs/>
          <w:sz w:val="23"/>
          <w:szCs w:val="23"/>
          <w:vertAlign w:val="baseline"/>
          <w:lang w:val="en-US" w:eastAsia="zh-CN"/>
        </w:rPr>
        <w:t>招标代理服务费</w:t>
      </w:r>
    </w:p>
    <w:p w14:paraId="12F653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采购程序完成后</w:t>
      </w:r>
      <w:r>
        <w:rPr>
          <w:rFonts w:hint="eastAsia" w:ascii="宋体" w:hAnsi="宋体" w:eastAsia="宋体" w:cs="宋体"/>
          <w:b w:val="0"/>
          <w:bCs w:val="0"/>
          <w:sz w:val="23"/>
          <w:szCs w:val="23"/>
          <w:vertAlign w:val="baseline"/>
          <w:lang w:val="en-US" w:eastAsia="zh-CN"/>
        </w:rPr>
        <w:t>须向采购代理机构一次性支付招标代理服务费。</w:t>
      </w:r>
    </w:p>
    <w:p w14:paraId="441EBAF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.2招标代理服务费金额为：参考国家计委计价格〔2002〕1980号文、国家发改办价格〔2003〕857号文和国家发改委发改价格〔2011〕534号文件规定的收费标准计算收取。</w:t>
      </w:r>
    </w:p>
    <w:p w14:paraId="6C22D3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开户名称：陕西天诚志业项目管理有限公司</w:t>
      </w:r>
    </w:p>
    <w:p w14:paraId="0C708F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开户行：兴业银行股份有限公司榆林神木支行</w:t>
      </w:r>
    </w:p>
    <w:p w14:paraId="1580E76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账号：457020100100042877</w:t>
      </w:r>
    </w:p>
    <w:p w14:paraId="1A0C70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行号：309806207021</w:t>
      </w:r>
    </w:p>
    <w:p w14:paraId="479594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29</w:t>
      </w:r>
      <w:r>
        <w:rPr>
          <w:rFonts w:hint="eastAsia" w:ascii="宋体" w:hAnsi="宋体" w:eastAsia="宋体" w:cs="宋体"/>
          <w:b/>
          <w:bCs/>
          <w:sz w:val="23"/>
          <w:szCs w:val="23"/>
          <w:vertAlign w:val="baseline"/>
          <w:lang w:val="en-US" w:eastAsia="zh-CN"/>
        </w:rPr>
        <w:t>.其他</w:t>
      </w:r>
    </w:p>
    <w:p w14:paraId="5B43E2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29.1</w:t>
      </w:r>
      <w:r>
        <w:rPr>
          <w:rFonts w:hint="eastAsia" w:ascii="宋体" w:hAnsi="宋体" w:eastAsia="宋体" w:cs="宋体"/>
          <w:b w:val="0"/>
          <w:bCs w:val="0"/>
          <w:sz w:val="23"/>
          <w:szCs w:val="23"/>
          <w:vertAlign w:val="baseline"/>
          <w:lang w:val="en-US" w:eastAsia="zh-CN"/>
        </w:rPr>
        <w:t>经过公开发布</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信息后，有效</w:t>
      </w:r>
      <w:r>
        <w:rPr>
          <w:rFonts w:hint="eastAsia" w:ascii="宋体" w:hAnsi="宋体" w:cs="宋体"/>
          <w:b w:val="0"/>
          <w:bCs w:val="0"/>
          <w:sz w:val="23"/>
          <w:szCs w:val="23"/>
          <w:vertAlign w:val="baseline"/>
          <w:lang w:val="en-US" w:eastAsia="zh-CN"/>
        </w:rPr>
        <w:t>磋商供应商</w:t>
      </w:r>
      <w:r>
        <w:rPr>
          <w:rFonts w:hint="eastAsia" w:ascii="宋体" w:hAnsi="宋体" w:eastAsia="宋体" w:cs="宋体"/>
          <w:b w:val="0"/>
          <w:bCs w:val="0"/>
          <w:sz w:val="23"/>
          <w:szCs w:val="23"/>
          <w:vertAlign w:val="baseline"/>
          <w:lang w:val="en-US" w:eastAsia="zh-CN"/>
        </w:rPr>
        <w:t>不足三家时，按相关法律执行</w:t>
      </w:r>
      <w:r>
        <w:rPr>
          <w:rFonts w:hint="eastAsia" w:ascii="宋体" w:hAnsi="宋体" w:cs="宋体"/>
          <w:b w:val="0"/>
          <w:bCs w:val="0"/>
          <w:sz w:val="23"/>
          <w:szCs w:val="23"/>
          <w:vertAlign w:val="baseline"/>
          <w:lang w:val="en-US" w:eastAsia="zh-CN"/>
        </w:rPr>
        <w:t>。</w:t>
      </w:r>
    </w:p>
    <w:p w14:paraId="71CB37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29.2</w:t>
      </w:r>
      <w:r>
        <w:rPr>
          <w:rFonts w:hint="eastAsia" w:ascii="宋体" w:hAnsi="宋体" w:eastAsia="宋体" w:cs="宋体"/>
          <w:b w:val="0"/>
          <w:bCs w:val="0"/>
          <w:sz w:val="23"/>
          <w:szCs w:val="23"/>
          <w:vertAlign w:val="baseline"/>
          <w:lang w:val="en-US" w:eastAsia="zh-CN"/>
        </w:rPr>
        <w:t>当第二次报价全部超过财政预算限额或均低于公认的制作成本时，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小组有权决定是否</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失败或进行第三次报价。当第三次报价</w:t>
      </w:r>
      <w:r>
        <w:rPr>
          <w:rFonts w:hint="eastAsia" w:ascii="宋体" w:hAnsi="宋体" w:cs="宋体"/>
          <w:b w:val="0"/>
          <w:bCs w:val="0"/>
          <w:sz w:val="23"/>
          <w:szCs w:val="23"/>
          <w:vertAlign w:val="baseline"/>
          <w:lang w:val="en-US" w:eastAsia="zh-CN"/>
        </w:rPr>
        <w:t>均</w:t>
      </w:r>
      <w:r>
        <w:rPr>
          <w:rFonts w:hint="eastAsia" w:ascii="宋体" w:hAnsi="宋体" w:eastAsia="宋体" w:cs="宋体"/>
          <w:b w:val="0"/>
          <w:bCs w:val="0"/>
          <w:sz w:val="23"/>
          <w:szCs w:val="23"/>
          <w:vertAlign w:val="baseline"/>
          <w:lang w:val="en-US" w:eastAsia="zh-CN"/>
        </w:rPr>
        <w:t>超出财政预算，且采购人又无力支付，</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小组有权决定</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失败。</w:t>
      </w:r>
    </w:p>
    <w:p w14:paraId="438263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29.3</w:t>
      </w:r>
      <w:r>
        <w:rPr>
          <w:rFonts w:hint="eastAsia" w:ascii="宋体" w:hAnsi="宋体" w:eastAsia="宋体" w:cs="宋体"/>
          <w:b w:val="0"/>
          <w:bCs w:val="0"/>
          <w:sz w:val="23"/>
          <w:szCs w:val="23"/>
          <w:vertAlign w:val="baseline"/>
          <w:lang w:val="en-US" w:eastAsia="zh-CN"/>
        </w:rPr>
        <w:t>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确定后，成交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无正当理由拖延或拒签合同的，或未能按照规定的时间提供履约担保，采购人有权取消其成交资格，并按评审顺序重新确定成交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。同时报请监督机构予以通报，禁止其进入政府采购市场，并</w:t>
      </w:r>
      <w:r>
        <w:rPr>
          <w:rFonts w:hint="eastAsia" w:ascii="宋体" w:hAnsi="宋体" w:cs="宋体"/>
          <w:b w:val="0"/>
          <w:bCs w:val="0"/>
          <w:sz w:val="23"/>
          <w:szCs w:val="23"/>
          <w:vertAlign w:val="baseline"/>
          <w:lang w:val="en-US" w:eastAsia="zh-CN"/>
        </w:rPr>
        <w:t>根据投标（保证金）信用承诺承担相应的法律责任</w:t>
      </w:r>
      <w:r>
        <w:rPr>
          <w:rFonts w:hint="eastAsia" w:ascii="宋体" w:hAnsi="宋体" w:eastAsia="宋体" w:cs="宋体"/>
          <w:b w:val="0"/>
          <w:bCs w:val="0"/>
          <w:sz w:val="23"/>
          <w:szCs w:val="23"/>
          <w:vertAlign w:val="baseline"/>
          <w:lang w:val="en-US" w:eastAsia="zh-CN"/>
        </w:rPr>
        <w:t>。</w:t>
      </w:r>
    </w:p>
    <w:p w14:paraId="2A1C0C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.4质疑</w:t>
      </w:r>
      <w:r>
        <w:rPr>
          <w:rFonts w:hint="eastAsia" w:ascii="宋体" w:hAnsi="宋体" w:cs="宋体"/>
          <w:b w:val="0"/>
          <w:bCs w:val="0"/>
          <w:sz w:val="23"/>
          <w:szCs w:val="23"/>
          <w:vertAlign w:val="baseline"/>
          <w:lang w:val="en-US" w:eastAsia="zh-CN"/>
        </w:rPr>
        <w:t>和投诉</w:t>
      </w:r>
    </w:p>
    <w:p w14:paraId="5191F2B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认为</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文件、采购过程、中标结果使自己的权益受到损害的，可以在知道或者应知其权益受到损害之日起7个工作日内，以书面形式向采购人、采购代理机构提出质疑。</w:t>
      </w:r>
    </w:p>
    <w:p w14:paraId="328E2A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必须在法定质疑期内一次性提出针对同一采购程序环节的质疑。</w:t>
      </w:r>
    </w:p>
    <w:p w14:paraId="71DD77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可以委托代理人进行质疑。代理人提出质疑的，应当递交授权委托书。授权委托书应当载明代理人的姓名或者名称、代理事项、具体权限、期限和相关事项。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为自然人的，应当由本人签字；</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为法人或者其他组织的</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应当由法定代表人、主要负责人签字或者盖章，并加盖公章。</w:t>
      </w:r>
    </w:p>
    <w:p w14:paraId="69F3951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.4.4以联合体形式参加政府采购活动的，其质疑应当由组成联合体的所有</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共同提出。</w:t>
      </w:r>
    </w:p>
    <w:p w14:paraId="0151AA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供应商提出质疑应当提交质疑函和必要的证明材料，并按财政部《质疑函范本》给定的格式进行填写，范本下载详见【财政部国库司（gks.mof.gov.cn）】网站〖首页•〉政府采购管理〗栏目中的《政府采购供应商质疑函范本》。</w:t>
      </w:r>
    </w:p>
    <w:p w14:paraId="3DCBEA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《政府采购供应商质疑函范本》链接地址：</w:t>
      </w:r>
    </w:p>
    <w:p w14:paraId="7D0973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//gks.mof.gov.cn/ztztz/zhengfucaigouguanli/201802/t20180201_2804589.htm。质疑函应当包括下列内容：</w:t>
      </w:r>
    </w:p>
    <w:p w14:paraId="3197D3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的姓名或者名称、地址、邮编、联系人及联系电话；</w:t>
      </w:r>
    </w:p>
    <w:p w14:paraId="5FADA3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.4.5.2质疑项目的名称、编号；</w:t>
      </w:r>
    </w:p>
    <w:p w14:paraId="62BF43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.4.5.3具体、明确的质疑事项和与质疑事项相关的请求；</w:t>
      </w:r>
    </w:p>
    <w:p w14:paraId="0C8E50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.4.5.4事实依据；</w:t>
      </w:r>
    </w:p>
    <w:p w14:paraId="3B3883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.4.5.5必要的法律依据；</w:t>
      </w:r>
    </w:p>
    <w:p w14:paraId="547DFA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.4.5.6提出质疑的日期。</w:t>
      </w:r>
    </w:p>
    <w:p w14:paraId="15C2BF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.4.6有下列情形之一的，属于无效质疑，采购代理机构和采购人不予受理：</w:t>
      </w:r>
    </w:p>
    <w:p w14:paraId="02477A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.4.6.1质疑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不是参与本次政府采购项目的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6B4C43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.4.6.2质疑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与质疑事项不存在利害关系的；</w:t>
      </w:r>
    </w:p>
    <w:p w14:paraId="7B9D87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.4.6.3未在法定期限内提出质疑的；</w:t>
      </w:r>
    </w:p>
    <w:p w14:paraId="3D4108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.4.6.4质疑未以书面形式提出，或质疑函主要内容构成不完整的；</w:t>
      </w:r>
    </w:p>
    <w:p w14:paraId="3B3A8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.4.6.5应当提交授权书而未提交的；</w:t>
      </w:r>
    </w:p>
    <w:p w14:paraId="3DF71A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.4.6.6以非法手段取得证据、材料的；</w:t>
      </w:r>
    </w:p>
    <w:p w14:paraId="0C821F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.4.6.7质疑答复后，同一质疑人就同一事项或同一采购程序环节再次提出质疑的；</w:t>
      </w:r>
    </w:p>
    <w:p w14:paraId="4AFCF2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.4.6.8不符合法律、法规、规章和政府采购监管机构规定的其他条件的。</w:t>
      </w:r>
    </w:p>
    <w:p w14:paraId="4F4757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.4.7质疑答复</w:t>
      </w:r>
    </w:p>
    <w:p w14:paraId="228390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.4.7.1采购人或采购代理机构在收到质疑函后7个工作日内作出答复，并以书面形式通知质疑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和其他有关</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43429F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.4.7.2质疑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对采购人、采购代理机构的答复不满意，或者采购人、采购代理机构未在规定时间内作出答复的，可以在答复期满后15个工作日内向项目所在地财政局提起投诉。</w:t>
      </w:r>
    </w:p>
    <w:p w14:paraId="558D10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29.4.8供应商和其他利害关系人认为本次采购活动违反法律、法规和规章规定的，有权向当地财政局提出投诉，质疑是投诉的前置条件，供应商投诉的事项不得超出已质疑事项的范围。</w:t>
      </w:r>
    </w:p>
    <w:p w14:paraId="7059A57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29.4.8.1对捏造事实、提供虚假材料进行质疑、投诉的行为予以严肃处理。</w:t>
      </w:r>
    </w:p>
    <w:p w14:paraId="6D283B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2B93CE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②投诉人在全国范围内十二个月内三次以上投诉查无实据的，由财政部门列入不良行为记录名单。</w:t>
      </w:r>
    </w:p>
    <w:p w14:paraId="1C9169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③捏造事实、提供虚假材料或者以非法手段取得证明材料的投诉将被驳回，并将提出投诉的供应商列入不良行为记录名单，禁止其一至三年内参加政府采购活动。</w:t>
      </w:r>
    </w:p>
    <w:p w14:paraId="120D75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29.4.8.2依法严惩捏造事实诬告陷害、诽谤他人的行为。</w:t>
      </w:r>
    </w:p>
    <w:p w14:paraId="36D5B1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①《中华人民共和国刑法》第243条【诬告陷害罪】捏造事实诬告陷害他人，意图使他人受刑事追究，情节严重的，处三年以下有期徒刑、拘役或者管制；造成严重后果的，处三年以上十年以下有期徒刑。</w:t>
      </w:r>
    </w:p>
    <w:p w14:paraId="104DEE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②《中华人民共和国刑法》第246条【侮辱罪、诽谤罪】以暴力或者其他方法公然侮辱他人或者捏造事实诽谤他人，情节严重的，处三年以下有期徒刑、拘役、管制或者剥夺政治权利。</w:t>
      </w:r>
    </w:p>
    <w:p w14:paraId="52CCA2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其他需要说明的事项</w:t>
      </w:r>
    </w:p>
    <w:p w14:paraId="42DA8E8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.1接收质疑函的方式：书面形式</w:t>
      </w:r>
    </w:p>
    <w:p w14:paraId="40A8AC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采购人：</w:t>
      </w:r>
      <w:r>
        <w:rPr>
          <w:rFonts w:hint="eastAsia" w:ascii="宋体" w:hAnsi="宋体" w:cs="宋体"/>
          <w:b w:val="0"/>
          <w:bCs w:val="0"/>
          <w:sz w:val="23"/>
          <w:szCs w:val="23"/>
          <w:vertAlign w:val="baseline"/>
          <w:lang w:val="en-US" w:eastAsia="zh-CN"/>
        </w:rPr>
        <w:t>神木市麟州街道办事处</w:t>
      </w:r>
    </w:p>
    <w:p w14:paraId="070D8D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联系电话：15332621023</w:t>
      </w:r>
    </w:p>
    <w:p w14:paraId="28A1A8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地址：神木市东兴街中段100号</w:t>
      </w:r>
    </w:p>
    <w:p w14:paraId="06900D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代理机构：陕西天诚志业项目管理有限公司   </w:t>
      </w:r>
      <w:r>
        <w:rPr>
          <w:rFonts w:hint="eastAsia" w:ascii="宋体" w:hAnsi="宋体" w:eastAsia="宋体" w:cs="宋体"/>
          <w:b w:val="0"/>
          <w:bCs w:val="0"/>
          <w:sz w:val="23"/>
          <w:szCs w:val="23"/>
          <w:vertAlign w:val="baseline"/>
          <w:lang w:val="en-US" w:eastAsia="zh-CN"/>
        </w:rPr>
        <w:t xml:space="preserve"> </w:t>
      </w:r>
    </w:p>
    <w:p w14:paraId="043AFC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地    址：陕西省榆林市神木市神木镇滨河新区鸳鸯塔1号商住楼</w:t>
      </w:r>
    </w:p>
    <w:p w14:paraId="428869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 xml:space="preserve">   质疑递交（邮箱）：3174476760@qq.com</w:t>
      </w:r>
    </w:p>
    <w:p w14:paraId="7F033D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.4.9.2投诉书递交地址：</w:t>
      </w:r>
    </w:p>
    <w:p w14:paraId="5CA9E9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神木市财政局采购管理办公室   联系电话：0912-8330666</w:t>
      </w:r>
    </w:p>
    <w:p w14:paraId="4F4F5B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88AE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C041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396D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8267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0526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0587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10A4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E005A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F5BB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363A2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518D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732B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10A0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C42E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F4FA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761170">
      <w:pPr>
        <w:rPr>
          <w:rFonts w:hint="eastAsia"/>
          <w:lang w:eastAsia="zh-CN"/>
        </w:rPr>
      </w:pPr>
      <w:bookmarkStart w:id="21" w:name="_Toc29963"/>
      <w:r>
        <w:rPr>
          <w:rFonts w:hint="eastAsia"/>
          <w:lang w:eastAsia="zh-CN"/>
        </w:rPr>
        <w:br w:type="page"/>
      </w:r>
    </w:p>
    <w:p w14:paraId="5111457C">
      <w:pPr>
        <w:pStyle w:val="2"/>
        <w:bidi w:val="0"/>
        <w:rPr>
          <w:rFonts w:hint="eastAsia" w:ascii="宋体" w:hAnsi="宋体" w:eastAsia="宋体" w:cs="宋体"/>
          <w:b w:val="0"/>
          <w:bCs w:val="0"/>
          <w:sz w:val="23"/>
          <w:szCs w:val="23"/>
          <w:vertAlign w:val="baseline"/>
          <w:lang w:val="en-US" w:eastAsia="zh-CN"/>
        </w:rPr>
      </w:pPr>
      <w:r>
        <w:rPr>
          <w:rFonts w:hint="eastAsia"/>
          <w:lang w:eastAsia="zh-CN"/>
        </w:rPr>
        <w:t>第三章</w:t>
      </w:r>
      <w:r>
        <w:rPr>
          <w:rFonts w:hint="eastAsia"/>
          <w:lang w:val="en-US" w:eastAsia="zh-CN"/>
        </w:rPr>
        <w:t xml:space="preserve"> 商务要求</w:t>
      </w:r>
      <w:bookmarkEnd w:id="21"/>
    </w:p>
    <w:tbl>
      <w:tblPr>
        <w:tblStyle w:val="34"/>
        <w:tblW w:w="82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7361"/>
      </w:tblGrid>
      <w:tr w14:paraId="11C1C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84" w:type="dxa"/>
            <w:vAlign w:val="center"/>
          </w:tcPr>
          <w:p w14:paraId="2B18092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5"/>
                <w:sz w:val="23"/>
                <w:szCs w:val="23"/>
              </w:rPr>
              <w:t>条款号</w:t>
            </w:r>
          </w:p>
        </w:tc>
        <w:tc>
          <w:tcPr>
            <w:tcW w:w="7361" w:type="dxa"/>
            <w:vAlign w:val="center"/>
          </w:tcPr>
          <w:p w14:paraId="4279386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21"/>
                <w:sz w:val="23"/>
                <w:szCs w:val="23"/>
              </w:rPr>
              <w:t>内</w:t>
            </w:r>
            <w:r>
              <w:rPr>
                <w:rFonts w:hint="eastAsia" w:ascii="宋体" w:hAnsi="宋体" w:eastAsia="宋体" w:cs="宋体"/>
                <w:b/>
                <w:bCs/>
                <w:spacing w:val="6"/>
                <w:sz w:val="23"/>
                <w:szCs w:val="23"/>
              </w:rPr>
              <w:t xml:space="preserve">       </w:t>
            </w:r>
            <w:r>
              <w:rPr>
                <w:rFonts w:hint="eastAsia" w:ascii="宋体" w:hAnsi="宋体" w:eastAsia="宋体" w:cs="宋体"/>
                <w:b/>
                <w:bCs/>
                <w:spacing w:val="-21"/>
                <w:sz w:val="23"/>
                <w:szCs w:val="23"/>
              </w:rPr>
              <w:t>容</w:t>
            </w:r>
          </w:p>
        </w:tc>
      </w:tr>
      <w:tr w14:paraId="6B0DD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8" w:hRule="atLeast"/>
          <w:jc w:val="center"/>
        </w:trPr>
        <w:tc>
          <w:tcPr>
            <w:tcW w:w="884" w:type="dxa"/>
            <w:vAlign w:val="center"/>
          </w:tcPr>
          <w:p w14:paraId="393C652B">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1</w:t>
            </w:r>
          </w:p>
        </w:tc>
        <w:tc>
          <w:tcPr>
            <w:tcW w:w="7361" w:type="dxa"/>
            <w:vAlign w:val="center"/>
          </w:tcPr>
          <w:p w14:paraId="089E3C3F">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1"/>
                <w:sz w:val="23"/>
                <w:szCs w:val="23"/>
                <w:lang w:val="en-US" w:eastAsia="zh-CN"/>
              </w:rPr>
            </w:pPr>
            <w:r>
              <w:rPr>
                <w:rFonts w:hint="eastAsia" w:ascii="宋体" w:hAnsi="宋体" w:eastAsia="宋体" w:cs="宋体"/>
                <w:b w:val="0"/>
                <w:bCs w:val="0"/>
                <w:spacing w:val="1"/>
                <w:sz w:val="23"/>
                <w:szCs w:val="23"/>
              </w:rPr>
              <w:t>采</w:t>
            </w:r>
            <w:r>
              <w:rPr>
                <w:rFonts w:hint="eastAsia" w:ascii="宋体" w:hAnsi="宋体" w:eastAsia="宋体" w:cs="宋体"/>
                <w:b w:val="0"/>
                <w:bCs w:val="0"/>
                <w:spacing w:val="1"/>
                <w:sz w:val="23"/>
                <w:szCs w:val="23"/>
                <w:lang w:val="en-US" w:eastAsia="zh-CN"/>
              </w:rPr>
              <w:t>购人名称：神木市麟州街道办事处</w:t>
            </w:r>
          </w:p>
          <w:p w14:paraId="44F24408">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1"/>
                <w:sz w:val="23"/>
                <w:szCs w:val="23"/>
                <w:lang w:val="en-US" w:eastAsia="zh-CN"/>
              </w:rPr>
            </w:pPr>
            <w:r>
              <w:rPr>
                <w:rFonts w:hint="eastAsia" w:ascii="宋体" w:hAnsi="宋体" w:eastAsia="宋体" w:cs="宋体"/>
                <w:b w:val="0"/>
                <w:bCs w:val="0"/>
                <w:spacing w:val="1"/>
                <w:sz w:val="23"/>
                <w:szCs w:val="23"/>
                <w:lang w:val="en-US" w:eastAsia="zh-CN"/>
              </w:rPr>
              <w:t>地址 ：神木市东兴街中段100号</w:t>
            </w:r>
          </w:p>
          <w:p w14:paraId="56058303">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lang w:val="en-US" w:eastAsia="zh-CN"/>
              </w:rPr>
              <w:t>项目名称：神木市麟州街道办事处麟州街道病媒生物防治服务</w:t>
            </w:r>
          </w:p>
          <w:p w14:paraId="0002BD7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资金来源：</w:t>
            </w:r>
            <w:r>
              <w:rPr>
                <w:rFonts w:hint="eastAsia" w:ascii="宋体" w:hAnsi="宋体" w:eastAsia="宋体" w:cs="宋体"/>
                <w:b w:val="0"/>
                <w:bCs w:val="0"/>
                <w:spacing w:val="1"/>
                <w:sz w:val="23"/>
                <w:szCs w:val="23"/>
                <w:lang w:eastAsia="zh-CN"/>
              </w:rPr>
              <w:t>财政资金</w:t>
            </w:r>
            <w:r>
              <w:rPr>
                <w:rFonts w:hint="eastAsia" w:ascii="宋体" w:hAnsi="宋体" w:eastAsia="宋体" w:cs="宋体"/>
                <w:b w:val="0"/>
                <w:bCs w:val="0"/>
                <w:spacing w:val="1"/>
                <w:sz w:val="23"/>
                <w:szCs w:val="23"/>
              </w:rPr>
              <w:t>，资金已落实</w:t>
            </w:r>
          </w:p>
        </w:tc>
      </w:tr>
      <w:tr w14:paraId="2A43F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4" w:type="dxa"/>
            <w:vAlign w:val="center"/>
          </w:tcPr>
          <w:p w14:paraId="1B853F67">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2</w:t>
            </w:r>
          </w:p>
        </w:tc>
        <w:tc>
          <w:tcPr>
            <w:tcW w:w="7361" w:type="dxa"/>
            <w:vAlign w:val="center"/>
          </w:tcPr>
          <w:p w14:paraId="62FAE0A8">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6"/>
                <w:sz w:val="23"/>
                <w:szCs w:val="23"/>
              </w:rPr>
              <w:t>项目实施地点：采购人指定地点</w:t>
            </w:r>
          </w:p>
        </w:tc>
      </w:tr>
      <w:tr w14:paraId="43D9D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center"/>
          </w:tcPr>
          <w:p w14:paraId="3FAF5B3B">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3</w:t>
            </w:r>
          </w:p>
        </w:tc>
        <w:tc>
          <w:tcPr>
            <w:tcW w:w="7361" w:type="dxa"/>
            <w:vAlign w:val="center"/>
          </w:tcPr>
          <w:p w14:paraId="4AFBFEDA">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default" w:ascii="宋体" w:hAnsi="宋体" w:eastAsia="宋体" w:cs="宋体"/>
                <w:b w:val="0"/>
                <w:bCs w:val="0"/>
                <w:sz w:val="23"/>
                <w:szCs w:val="23"/>
                <w:lang w:val="en-US"/>
              </w:rPr>
            </w:pPr>
            <w:r>
              <w:rPr>
                <w:rFonts w:hint="eastAsia" w:ascii="宋体" w:hAnsi="宋体" w:eastAsia="宋体" w:cs="宋体"/>
                <w:b w:val="0"/>
                <w:bCs w:val="0"/>
                <w:sz w:val="23"/>
                <w:szCs w:val="23"/>
                <w:lang w:val="en-US" w:eastAsia="zh-CN"/>
              </w:rPr>
              <w:t>服务期：一年</w:t>
            </w:r>
          </w:p>
        </w:tc>
      </w:tr>
      <w:tr w14:paraId="24BCE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9" w:hRule="atLeast"/>
          <w:jc w:val="center"/>
        </w:trPr>
        <w:tc>
          <w:tcPr>
            <w:tcW w:w="884" w:type="dxa"/>
            <w:vAlign w:val="center"/>
          </w:tcPr>
          <w:p w14:paraId="3518F377">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4</w:t>
            </w:r>
          </w:p>
        </w:tc>
        <w:tc>
          <w:tcPr>
            <w:tcW w:w="7361" w:type="dxa"/>
            <w:vAlign w:val="center"/>
          </w:tcPr>
          <w:p w14:paraId="2D235FCF">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磋商价格：磋商报价是供应商响应采购项目要求的全部工作内容的价格体现，包括完成采购项目所需的直接费、间接费、利润、税金及其它相关的一切费用。供应商在报价时应充分考虑所有可能发生的费用，竞争性磋商文件未列明，而供应商认为应当计取的费用均应列入报价中。报价时不论是否计取，采购人均按已计取对待。</w:t>
            </w:r>
          </w:p>
          <w:p w14:paraId="5994DC7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1</w:t>
            </w:r>
            <w:r>
              <w:rPr>
                <w:rFonts w:hint="eastAsia" w:ascii="宋体" w:hAnsi="宋体" w:eastAsia="宋体" w:cs="宋体"/>
                <w:b w:val="0"/>
                <w:bCs w:val="0"/>
                <w:spacing w:val="-4"/>
                <w:sz w:val="23"/>
                <w:szCs w:val="23"/>
                <w:lang w:eastAsia="zh-CN"/>
              </w:rPr>
              <w:t>）供应商应严格按照《响应文件构成及格式》中《开标一览表》中的相关要求填写分项报价及其他需要响应的内容。</w:t>
            </w:r>
          </w:p>
          <w:p w14:paraId="2C43483F">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2</w:t>
            </w:r>
            <w:r>
              <w:rPr>
                <w:rFonts w:hint="eastAsia" w:ascii="宋体" w:hAnsi="宋体" w:eastAsia="宋体" w:cs="宋体"/>
                <w:b w:val="0"/>
                <w:bCs w:val="0"/>
                <w:spacing w:val="-4"/>
                <w:sz w:val="23"/>
                <w:szCs w:val="23"/>
                <w:lang w:eastAsia="zh-CN"/>
              </w:rPr>
              <w:t>）磋商报价货币：人民币；单位：元。</w:t>
            </w:r>
          </w:p>
          <w:p w14:paraId="0328F80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3</w:t>
            </w:r>
            <w:r>
              <w:rPr>
                <w:rFonts w:hint="eastAsia" w:ascii="宋体" w:hAnsi="宋体" w:eastAsia="宋体" w:cs="宋体"/>
                <w:b w:val="0"/>
                <w:bCs w:val="0"/>
                <w:spacing w:val="-4"/>
                <w:sz w:val="23"/>
                <w:szCs w:val="23"/>
                <w:lang w:eastAsia="zh-CN"/>
              </w:rPr>
              <w:t>）磋商报价只能提交唯一报价，并且在合同履行过程中是固定不变的，任何有选择的报价将不予接受，按无效响应处理。</w:t>
            </w:r>
          </w:p>
          <w:p w14:paraId="0790EAF2">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4</w:t>
            </w:r>
            <w:r>
              <w:rPr>
                <w:rFonts w:hint="eastAsia" w:ascii="宋体" w:hAnsi="宋体" w:eastAsia="宋体" w:cs="宋体"/>
                <w:b w:val="0"/>
                <w:bCs w:val="0"/>
                <w:spacing w:val="-4"/>
                <w:sz w:val="23"/>
                <w:szCs w:val="23"/>
                <w:lang w:eastAsia="zh-CN"/>
              </w:rPr>
              <w:t>）磋商报价应遵守《中华人民共和国价格法》，供应商不得以低于成本的报价参与磋商。</w:t>
            </w:r>
          </w:p>
        </w:tc>
      </w:tr>
      <w:tr w14:paraId="52697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884" w:type="dxa"/>
            <w:vAlign w:val="center"/>
          </w:tcPr>
          <w:p w14:paraId="6BD32A20">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5</w:t>
            </w:r>
          </w:p>
        </w:tc>
        <w:tc>
          <w:tcPr>
            <w:tcW w:w="7361" w:type="dxa"/>
            <w:vAlign w:val="center"/>
          </w:tcPr>
          <w:p w14:paraId="54168AF6">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付款方式：合同签订后，预付款合同总价的40％，剩余60％尾款待签订合同三个月内一次性结清。</w:t>
            </w:r>
          </w:p>
          <w:p w14:paraId="295F2542">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注：1）成交供应商的开户银行、账户名称、银行账号以本合同提供的为准，如有变更，成交供应商应在合同规定的相关付款期限十天之前以书面方式通知采购人并加盖财务专用章。如未正确依照上述规定执行而影响相关款项的支付，则由此产生的责任由成交供应商自负；</w:t>
            </w:r>
          </w:p>
          <w:p w14:paraId="5DEEEBC7">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lang w:val="en-US" w:eastAsia="zh-CN"/>
              </w:rPr>
              <w:t>2）履约情况：项目实施完成后，采购人组织相关部门及人员进行验收，验收不合格的，造成的后果由供货商承担，并负担采购人的一切损失。</w:t>
            </w:r>
          </w:p>
        </w:tc>
      </w:tr>
    </w:tbl>
    <w:p w14:paraId="1AF01698">
      <w:pPr>
        <w:rPr>
          <w:rFonts w:hint="eastAsia"/>
          <w:lang w:eastAsia="zh-CN"/>
        </w:rPr>
      </w:pPr>
      <w:bookmarkStart w:id="22" w:name="_Toc27267"/>
      <w:r>
        <w:rPr>
          <w:rFonts w:hint="eastAsia"/>
          <w:lang w:eastAsia="zh-CN"/>
        </w:rPr>
        <w:br w:type="page"/>
      </w:r>
    </w:p>
    <w:p w14:paraId="03FE0643">
      <w:pPr>
        <w:pStyle w:val="2"/>
        <w:bidi w:val="0"/>
        <w:rPr>
          <w:rFonts w:hint="eastAsia" w:ascii="宋体" w:hAnsi="宋体" w:eastAsia="宋体" w:cs="宋体"/>
          <w:b w:val="0"/>
          <w:bCs w:val="0"/>
          <w:szCs w:val="23"/>
          <w:vertAlign w:val="baseline"/>
          <w:lang w:val="en-US" w:eastAsia="zh-CN"/>
        </w:rPr>
      </w:pPr>
      <w:r>
        <w:rPr>
          <w:rFonts w:hint="eastAsia"/>
          <w:lang w:eastAsia="zh-CN"/>
        </w:rPr>
        <w:t>第四章</w:t>
      </w:r>
      <w:r>
        <w:rPr>
          <w:rFonts w:hint="eastAsia"/>
          <w:lang w:val="en-US" w:eastAsia="zh-CN"/>
        </w:rPr>
        <w:t xml:space="preserve"> </w:t>
      </w:r>
      <w:r>
        <w:rPr>
          <w:rFonts w:hint="eastAsia"/>
          <w:lang w:eastAsia="zh-CN"/>
        </w:rPr>
        <w:t>合同条款</w:t>
      </w:r>
      <w:bookmarkEnd w:id="22"/>
    </w:p>
    <w:p w14:paraId="45D8C3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23" w:name="_Toc31327"/>
    </w:p>
    <w:p w14:paraId="154E90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1800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24" w:name="_Toc8679_WPSOffice_Level2"/>
      <w:r>
        <w:rPr>
          <w:rFonts w:hint="eastAsia" w:ascii="宋体" w:hAnsi="宋体" w:eastAsia="宋体" w:cs="宋体"/>
          <w:b/>
          <w:bCs/>
          <w:sz w:val="72"/>
          <w:szCs w:val="72"/>
          <w:vertAlign w:val="baseline"/>
          <w:lang w:val="en-US" w:eastAsia="zh-CN"/>
        </w:rPr>
        <w:t>政 府 采 购 合 同</w:t>
      </w:r>
      <w:bookmarkEnd w:id="24"/>
    </w:p>
    <w:p w14:paraId="22681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0AD0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0FE59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EF32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1EA4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1606" w:firstLineChars="500"/>
        <w:jc w:val="both"/>
        <w:textAlignment w:val="baseline"/>
        <w:rPr>
          <w:rFonts w:hint="eastAsia" w:ascii="宋体" w:hAnsi="宋体" w:eastAsia="宋体" w:cs="宋体"/>
          <w:b/>
          <w:bCs/>
          <w:sz w:val="32"/>
          <w:szCs w:val="32"/>
          <w:u w:val="single"/>
          <w:vertAlign w:val="baseline"/>
          <w:lang w:val="en-US" w:eastAsia="zh-CN"/>
        </w:rPr>
      </w:pPr>
      <w:bookmarkStart w:id="25" w:name="_Toc12819_WPSOffice_Level2"/>
      <w:r>
        <w:rPr>
          <w:rFonts w:hint="eastAsia" w:ascii="宋体" w:hAnsi="宋体" w:eastAsia="宋体" w:cs="宋体"/>
          <w:b/>
          <w:bCs/>
          <w:sz w:val="32"/>
          <w:szCs w:val="32"/>
          <w:vertAlign w:val="baseline"/>
          <w:lang w:val="en-US" w:eastAsia="zh-CN"/>
        </w:rPr>
        <w:t>合同编号：</w:t>
      </w:r>
      <w:bookmarkEnd w:id="25"/>
      <w:r>
        <w:rPr>
          <w:rFonts w:hint="eastAsia" w:ascii="宋体" w:hAnsi="宋体" w:eastAsia="宋体" w:cs="宋体"/>
          <w:b/>
          <w:bCs/>
          <w:sz w:val="32"/>
          <w:szCs w:val="32"/>
          <w:u w:val="single"/>
          <w:vertAlign w:val="baseline"/>
          <w:lang w:val="en-US" w:eastAsia="zh-CN"/>
        </w:rPr>
        <w:t xml:space="preserve">                     </w:t>
      </w:r>
    </w:p>
    <w:p w14:paraId="3BAC3D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A989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2D23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4C5F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4B70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3B4E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3956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D9DA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24DE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A5ACA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jc w:val="both"/>
        <w:textAlignment w:val="baseline"/>
        <w:rPr>
          <w:rFonts w:hint="eastAsia" w:ascii="宋体" w:hAnsi="宋体" w:eastAsia="宋体" w:cs="宋体"/>
          <w:b/>
          <w:bCs/>
          <w:sz w:val="28"/>
          <w:szCs w:val="28"/>
          <w:vertAlign w:val="baseline"/>
          <w:lang w:val="en-US" w:eastAsia="zh-CN"/>
        </w:rPr>
      </w:pPr>
      <w:bookmarkStart w:id="26" w:name="_Toc8833_WPSOffice_Level2"/>
      <w:r>
        <w:rPr>
          <w:rFonts w:hint="eastAsia" w:ascii="宋体" w:hAnsi="宋体" w:eastAsia="宋体" w:cs="宋体"/>
          <w:b/>
          <w:bCs/>
          <w:sz w:val="28"/>
          <w:szCs w:val="28"/>
          <w:vertAlign w:val="baseline"/>
          <w:lang w:val="en-US" w:eastAsia="zh-CN"/>
        </w:rPr>
        <w:t>项目名称：</w:t>
      </w:r>
      <w:bookmarkEnd w:id="26"/>
      <w:r>
        <w:rPr>
          <w:rFonts w:hint="eastAsia" w:ascii="宋体" w:hAnsi="宋体" w:cs="宋体"/>
          <w:b/>
          <w:bCs/>
          <w:sz w:val="28"/>
          <w:szCs w:val="28"/>
          <w:vertAlign w:val="baseline"/>
          <w:lang w:val="en-US" w:eastAsia="zh-CN"/>
        </w:rPr>
        <w:t>神木市麟州街道办事处麟州街道病媒生物防治服务</w:t>
      </w:r>
    </w:p>
    <w:p w14:paraId="603738FF">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jc w:val="both"/>
        <w:textAlignment w:val="baseline"/>
        <w:rPr>
          <w:rFonts w:hint="eastAsia" w:ascii="宋体" w:hAnsi="宋体" w:eastAsia="宋体" w:cs="宋体"/>
          <w:b/>
          <w:bCs/>
          <w:sz w:val="28"/>
          <w:szCs w:val="28"/>
          <w:vertAlign w:val="baseline"/>
          <w:lang w:val="en-US" w:eastAsia="zh-CN"/>
        </w:rPr>
      </w:pPr>
      <w:bookmarkStart w:id="27" w:name="_Toc5206_WPSOffice_Level2"/>
      <w:r>
        <w:rPr>
          <w:rFonts w:hint="eastAsia" w:ascii="宋体" w:hAnsi="宋体" w:eastAsia="宋体" w:cs="宋体"/>
          <w:b/>
          <w:bCs/>
          <w:sz w:val="28"/>
          <w:szCs w:val="28"/>
          <w:vertAlign w:val="baseline"/>
          <w:lang w:val="en-US" w:eastAsia="zh-CN"/>
        </w:rPr>
        <w:t>采购人：</w:t>
      </w:r>
      <w:bookmarkEnd w:id="27"/>
      <w:r>
        <w:rPr>
          <w:rFonts w:hint="eastAsia" w:ascii="宋体" w:hAnsi="宋体" w:cs="宋体"/>
          <w:b/>
          <w:bCs/>
          <w:sz w:val="28"/>
          <w:szCs w:val="28"/>
          <w:vertAlign w:val="baseline"/>
          <w:lang w:val="en-US" w:eastAsia="zh-CN"/>
        </w:rPr>
        <w:t>神木市麟州街道办事处</w:t>
      </w:r>
    </w:p>
    <w:p w14:paraId="24C7C62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jc w:val="both"/>
        <w:textAlignment w:val="baseline"/>
        <w:rPr>
          <w:rFonts w:hint="eastAsia" w:ascii="宋体" w:hAnsi="宋体" w:eastAsia="宋体" w:cs="宋体"/>
          <w:b/>
          <w:bCs/>
          <w:sz w:val="28"/>
          <w:szCs w:val="28"/>
          <w:u w:val="single"/>
          <w:vertAlign w:val="baseline"/>
          <w:lang w:val="en-US" w:eastAsia="zh-CN"/>
        </w:rPr>
      </w:pPr>
      <w:bookmarkStart w:id="28" w:name="_Toc17326_WPSOffice_Level2"/>
      <w:r>
        <w:rPr>
          <w:rFonts w:hint="eastAsia" w:ascii="宋体" w:hAnsi="宋体" w:eastAsia="宋体" w:cs="宋体"/>
          <w:b/>
          <w:bCs/>
          <w:sz w:val="28"/>
          <w:szCs w:val="28"/>
          <w:vertAlign w:val="baseline"/>
          <w:lang w:val="en-US" w:eastAsia="zh-CN"/>
        </w:rPr>
        <w:t>供应商：</w:t>
      </w:r>
      <w:bookmarkEnd w:id="28"/>
      <w:r>
        <w:rPr>
          <w:rFonts w:hint="eastAsia" w:ascii="宋体" w:hAnsi="宋体" w:eastAsia="宋体" w:cs="宋体"/>
          <w:b/>
          <w:bCs/>
          <w:sz w:val="28"/>
          <w:szCs w:val="28"/>
          <w:u w:val="single"/>
          <w:vertAlign w:val="baseline"/>
          <w:lang w:val="en-US" w:eastAsia="zh-CN"/>
        </w:rPr>
        <w:t xml:space="preserve">                      </w:t>
      </w:r>
    </w:p>
    <w:p w14:paraId="7B1B95F8">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jc w:val="both"/>
        <w:textAlignment w:val="baseline"/>
        <w:rPr>
          <w:rFonts w:hint="eastAsia" w:ascii="宋体" w:hAnsi="宋体" w:eastAsia="宋体" w:cs="宋体"/>
          <w:b/>
          <w:bCs/>
          <w:sz w:val="28"/>
          <w:szCs w:val="28"/>
          <w:u w:val="single"/>
          <w:vertAlign w:val="baseline"/>
          <w:lang w:val="en-US" w:eastAsia="zh-CN"/>
        </w:rPr>
      </w:pPr>
      <w:bookmarkStart w:id="29" w:name="_Toc31889_WPSOffice_Level2"/>
      <w:r>
        <w:rPr>
          <w:rFonts w:hint="eastAsia" w:ascii="宋体" w:hAnsi="宋体" w:eastAsia="宋体" w:cs="宋体"/>
          <w:b/>
          <w:bCs/>
          <w:sz w:val="28"/>
          <w:szCs w:val="28"/>
          <w:vertAlign w:val="baseline"/>
          <w:lang w:val="en-US" w:eastAsia="zh-CN"/>
        </w:rPr>
        <w:t>签署日期：</w:t>
      </w:r>
      <w:bookmarkEnd w:id="29"/>
      <w:r>
        <w:rPr>
          <w:rFonts w:hint="eastAsia" w:ascii="宋体" w:hAnsi="宋体" w:eastAsia="宋体" w:cs="宋体"/>
          <w:b/>
          <w:bCs/>
          <w:sz w:val="28"/>
          <w:szCs w:val="28"/>
          <w:u w:val="single"/>
          <w:vertAlign w:val="baseline"/>
          <w:lang w:val="en-US" w:eastAsia="zh-CN"/>
        </w:rPr>
        <w:t xml:space="preserve">                    </w:t>
      </w:r>
    </w:p>
    <w:p w14:paraId="67E64F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65C1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0579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79B6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32"/>
          <w:szCs w:val="32"/>
          <w:vertAlign w:val="baseline"/>
          <w:lang w:val="en-US" w:eastAsia="zh-CN"/>
        </w:rPr>
      </w:pPr>
      <w:bookmarkStart w:id="30" w:name="_Toc15573_WPSOffice_Level2"/>
      <w:r>
        <w:rPr>
          <w:rFonts w:hint="eastAsia" w:ascii="宋体" w:hAnsi="宋体" w:cs="宋体"/>
          <w:b/>
          <w:bCs/>
          <w:sz w:val="32"/>
          <w:szCs w:val="32"/>
          <w:vertAlign w:val="baseline"/>
          <w:lang w:val="en-US" w:eastAsia="zh-CN"/>
        </w:rPr>
        <w:t>合同协议书</w:t>
      </w:r>
      <w:bookmarkEnd w:id="30"/>
    </w:p>
    <w:p w14:paraId="07D2C298">
      <w:pPr>
        <w:keepNext w:val="0"/>
        <w:keepLines w:val="0"/>
        <w:pageBreakBefore w:val="0"/>
        <w:widowControl w:val="0"/>
        <w:kinsoku/>
        <w:wordWrap/>
        <w:overflowPunct/>
        <w:topLinePunct w:val="0"/>
        <w:autoSpaceDE/>
        <w:autoSpaceDN/>
        <w:bidi w:val="0"/>
        <w:adjustRightInd/>
        <w:snapToGrid/>
        <w:spacing w:line="360" w:lineRule="auto"/>
        <w:ind w:firstLine="460" w:firstLineChars="200"/>
        <w:jc w:val="left"/>
        <w:textAlignment w:val="auto"/>
        <w:rPr>
          <w:rFonts w:hint="eastAsia" w:ascii="宋体" w:hAnsi="宋体" w:eastAsia="宋体" w:cs="宋体"/>
          <w:b w:val="0"/>
          <w:bCs w:val="0"/>
          <w:sz w:val="23"/>
          <w:szCs w:val="23"/>
          <w:u w:val="single"/>
          <w:lang w:val="en-US" w:eastAsia="zh-CN"/>
        </w:rPr>
      </w:pPr>
      <w:r>
        <w:rPr>
          <w:rFonts w:hint="eastAsia" w:ascii="宋体" w:hAnsi="宋体" w:cs="宋体"/>
          <w:b w:val="0"/>
          <w:bCs w:val="0"/>
          <w:sz w:val="23"/>
          <w:szCs w:val="23"/>
          <w:lang w:eastAsia="zh-CN"/>
        </w:rPr>
        <w:t>甲方</w:t>
      </w:r>
      <w:r>
        <w:rPr>
          <w:rFonts w:hint="eastAsia" w:ascii="宋体" w:hAnsi="宋体" w:eastAsia="宋体" w:cs="宋体"/>
          <w:b w:val="0"/>
          <w:bCs w:val="0"/>
          <w:sz w:val="23"/>
          <w:szCs w:val="23"/>
          <w:u w:val="none"/>
          <w:lang w:val="en-US" w:eastAsia="zh-CN"/>
        </w:rPr>
        <w:t>：</w:t>
      </w:r>
      <w:r>
        <w:rPr>
          <w:rFonts w:hint="eastAsia" w:ascii="宋体" w:hAnsi="宋体" w:cs="宋体"/>
          <w:b w:val="0"/>
          <w:bCs w:val="0"/>
          <w:sz w:val="23"/>
          <w:szCs w:val="23"/>
          <w:u w:val="single"/>
          <w:lang w:val="en-US" w:eastAsia="zh-CN"/>
        </w:rPr>
        <w:t>神木市麟州街道办事处</w:t>
      </w:r>
    </w:p>
    <w:p w14:paraId="2B77065E">
      <w:pPr>
        <w:keepNext w:val="0"/>
        <w:keepLines w:val="0"/>
        <w:pageBreakBefore w:val="0"/>
        <w:widowControl w:val="0"/>
        <w:kinsoku/>
        <w:wordWrap/>
        <w:overflowPunct/>
        <w:topLinePunct w:val="0"/>
        <w:autoSpaceDE/>
        <w:autoSpaceDN/>
        <w:bidi w:val="0"/>
        <w:adjustRightInd/>
        <w:snapToGrid/>
        <w:spacing w:line="360" w:lineRule="auto"/>
        <w:ind w:firstLine="460" w:firstLineChars="200"/>
        <w:jc w:val="left"/>
        <w:textAlignment w:val="auto"/>
        <w:rPr>
          <w:rFonts w:hint="default" w:ascii="宋体" w:hAnsi="宋体" w:cs="宋体"/>
          <w:b w:val="0"/>
          <w:bCs w:val="0"/>
          <w:sz w:val="23"/>
          <w:szCs w:val="23"/>
          <w:lang w:val="en-US" w:eastAsia="zh-CN"/>
        </w:rPr>
      </w:pPr>
      <w:r>
        <w:rPr>
          <w:rFonts w:hint="eastAsia" w:ascii="宋体" w:hAnsi="宋体" w:cs="宋体"/>
          <w:b w:val="0"/>
          <w:bCs w:val="0"/>
          <w:sz w:val="23"/>
          <w:szCs w:val="23"/>
          <w:lang w:val="en-US" w:eastAsia="zh-CN"/>
        </w:rPr>
        <w:t>联系人:</w:t>
      </w:r>
      <w:r>
        <w:rPr>
          <w:rFonts w:hint="eastAsia" w:ascii="宋体" w:hAnsi="宋体" w:cs="宋体"/>
          <w:b w:val="0"/>
          <w:bCs w:val="0"/>
          <w:sz w:val="23"/>
          <w:szCs w:val="23"/>
          <w:u w:val="single"/>
          <w:lang w:val="en-US" w:eastAsia="zh-CN"/>
        </w:rPr>
        <w:t xml:space="preserve">                   </w:t>
      </w:r>
    </w:p>
    <w:p w14:paraId="5CC4B893">
      <w:pPr>
        <w:keepNext w:val="0"/>
        <w:keepLines w:val="0"/>
        <w:pageBreakBefore w:val="0"/>
        <w:widowControl w:val="0"/>
        <w:kinsoku/>
        <w:wordWrap/>
        <w:overflowPunct/>
        <w:topLinePunct w:val="0"/>
        <w:autoSpaceDE/>
        <w:autoSpaceDN/>
        <w:bidi w:val="0"/>
        <w:adjustRightInd/>
        <w:snapToGrid/>
        <w:spacing w:line="360" w:lineRule="auto"/>
        <w:ind w:firstLine="460" w:firstLineChars="200"/>
        <w:jc w:val="left"/>
        <w:textAlignment w:val="auto"/>
        <w:rPr>
          <w:rFonts w:hint="eastAsia" w:ascii="宋体" w:hAnsi="宋体" w:cs="宋体"/>
          <w:b w:val="0"/>
          <w:bCs w:val="0"/>
          <w:sz w:val="23"/>
          <w:szCs w:val="23"/>
          <w:u w:val="single"/>
          <w:lang w:val="en-US" w:eastAsia="zh-CN"/>
        </w:rPr>
      </w:pPr>
      <w:r>
        <w:rPr>
          <w:rFonts w:hint="eastAsia" w:ascii="宋体" w:hAnsi="宋体" w:cs="宋体"/>
          <w:b w:val="0"/>
          <w:bCs w:val="0"/>
          <w:sz w:val="23"/>
          <w:szCs w:val="23"/>
          <w:lang w:val="en-US" w:eastAsia="zh-CN"/>
        </w:rPr>
        <w:t>联系电话：</w:t>
      </w:r>
      <w:r>
        <w:rPr>
          <w:rFonts w:hint="eastAsia" w:ascii="宋体" w:hAnsi="宋体" w:cs="宋体"/>
          <w:b w:val="0"/>
          <w:bCs w:val="0"/>
          <w:sz w:val="23"/>
          <w:szCs w:val="23"/>
          <w:u w:val="single"/>
          <w:lang w:val="en-US" w:eastAsia="zh-CN"/>
        </w:rPr>
        <w:t xml:space="preserve">                </w:t>
      </w:r>
    </w:p>
    <w:p w14:paraId="28CB0A89">
      <w:pPr>
        <w:keepNext w:val="0"/>
        <w:keepLines w:val="0"/>
        <w:pageBreakBefore w:val="0"/>
        <w:widowControl w:val="0"/>
        <w:kinsoku/>
        <w:wordWrap/>
        <w:overflowPunct/>
        <w:topLinePunct w:val="0"/>
        <w:autoSpaceDE/>
        <w:autoSpaceDN/>
        <w:bidi w:val="0"/>
        <w:adjustRightInd/>
        <w:snapToGrid/>
        <w:spacing w:line="360" w:lineRule="auto"/>
        <w:ind w:firstLine="460" w:firstLineChars="200"/>
        <w:jc w:val="left"/>
        <w:textAlignment w:val="auto"/>
        <w:rPr>
          <w:rFonts w:hint="eastAsia" w:ascii="宋体" w:hAnsi="宋体" w:eastAsia="宋体" w:cs="宋体"/>
          <w:b w:val="0"/>
          <w:bCs w:val="0"/>
          <w:sz w:val="23"/>
          <w:szCs w:val="23"/>
          <w:u w:val="none"/>
          <w:lang w:val="en-US" w:eastAsia="zh-CN"/>
        </w:rPr>
      </w:pPr>
      <w:r>
        <w:rPr>
          <w:rFonts w:hint="eastAsia" w:ascii="宋体" w:hAnsi="宋体" w:cs="宋体"/>
          <w:b w:val="0"/>
          <w:bCs w:val="0"/>
          <w:sz w:val="23"/>
          <w:szCs w:val="23"/>
          <w:lang w:val="en-US" w:eastAsia="zh-CN"/>
        </w:rPr>
        <w:t>乙方</w:t>
      </w:r>
      <w:r>
        <w:rPr>
          <w:rFonts w:hint="eastAsia" w:ascii="宋体" w:hAnsi="宋体" w:eastAsia="宋体" w:cs="宋体"/>
          <w:b w:val="0"/>
          <w:bCs w:val="0"/>
          <w:sz w:val="23"/>
          <w:szCs w:val="23"/>
          <w:u w:val="none"/>
          <w:lang w:val="en-US" w:eastAsia="zh-CN"/>
        </w:rPr>
        <w:t>：</w:t>
      </w:r>
      <w:r>
        <w:rPr>
          <w:rFonts w:hint="eastAsia" w:ascii="宋体" w:hAnsi="宋体" w:cs="宋体"/>
          <w:b w:val="0"/>
          <w:bCs w:val="0"/>
          <w:sz w:val="23"/>
          <w:szCs w:val="23"/>
          <w:u w:val="single"/>
          <w:lang w:val="en-US" w:eastAsia="zh-CN"/>
        </w:rPr>
        <w:t xml:space="preserve">                    </w:t>
      </w:r>
    </w:p>
    <w:p w14:paraId="20F8A002">
      <w:pPr>
        <w:keepNext w:val="0"/>
        <w:keepLines w:val="0"/>
        <w:pageBreakBefore w:val="0"/>
        <w:widowControl w:val="0"/>
        <w:kinsoku/>
        <w:wordWrap/>
        <w:overflowPunct/>
        <w:topLinePunct w:val="0"/>
        <w:autoSpaceDE/>
        <w:autoSpaceDN/>
        <w:bidi w:val="0"/>
        <w:adjustRightInd/>
        <w:snapToGrid/>
        <w:spacing w:line="360" w:lineRule="auto"/>
        <w:ind w:firstLine="460" w:firstLineChars="200"/>
        <w:jc w:val="left"/>
        <w:textAlignment w:val="auto"/>
        <w:rPr>
          <w:rFonts w:hint="eastAsia" w:ascii="宋体" w:hAnsi="宋体" w:cs="宋体"/>
          <w:b w:val="0"/>
          <w:bCs w:val="0"/>
          <w:sz w:val="23"/>
          <w:szCs w:val="23"/>
          <w:u w:val="single"/>
          <w:lang w:val="en-US" w:eastAsia="zh-CN"/>
        </w:rPr>
      </w:pPr>
      <w:r>
        <w:rPr>
          <w:rFonts w:hint="eastAsia" w:ascii="宋体" w:hAnsi="宋体" w:eastAsia="宋体" w:cs="宋体"/>
          <w:b w:val="0"/>
          <w:bCs w:val="0"/>
          <w:sz w:val="23"/>
          <w:szCs w:val="23"/>
          <w:u w:val="none"/>
          <w:lang w:val="en-US" w:eastAsia="zh-CN"/>
        </w:rPr>
        <w:t>联系人</w:t>
      </w:r>
      <w:r>
        <w:rPr>
          <w:rFonts w:hint="eastAsia" w:ascii="宋体" w:hAnsi="宋体" w:cs="宋体"/>
          <w:b w:val="0"/>
          <w:bCs w:val="0"/>
          <w:sz w:val="23"/>
          <w:szCs w:val="23"/>
          <w:u w:val="none"/>
          <w:lang w:val="en-US" w:eastAsia="zh-CN"/>
        </w:rPr>
        <w:t>：</w:t>
      </w:r>
      <w:r>
        <w:rPr>
          <w:rFonts w:hint="eastAsia" w:ascii="宋体" w:hAnsi="宋体" w:cs="宋体"/>
          <w:b w:val="0"/>
          <w:bCs w:val="0"/>
          <w:sz w:val="23"/>
          <w:szCs w:val="23"/>
          <w:u w:val="single"/>
          <w:lang w:val="en-US" w:eastAsia="zh-CN"/>
        </w:rPr>
        <w:t xml:space="preserve">                  </w:t>
      </w:r>
    </w:p>
    <w:p w14:paraId="59E4F679">
      <w:pPr>
        <w:keepNext w:val="0"/>
        <w:keepLines w:val="0"/>
        <w:pageBreakBefore w:val="0"/>
        <w:widowControl w:val="0"/>
        <w:kinsoku/>
        <w:wordWrap/>
        <w:overflowPunct/>
        <w:topLinePunct w:val="0"/>
        <w:autoSpaceDE/>
        <w:autoSpaceDN/>
        <w:bidi w:val="0"/>
        <w:adjustRightInd/>
        <w:snapToGrid/>
        <w:spacing w:line="360" w:lineRule="auto"/>
        <w:ind w:firstLine="460" w:firstLineChars="200"/>
        <w:jc w:val="left"/>
        <w:textAlignment w:val="auto"/>
        <w:rPr>
          <w:rFonts w:hint="eastAsia" w:ascii="宋体" w:hAnsi="宋体" w:eastAsia="宋体"/>
          <w:sz w:val="23"/>
          <w:szCs w:val="23"/>
          <w:lang w:eastAsia="zh-CN"/>
        </w:rPr>
      </w:pPr>
      <w:r>
        <w:rPr>
          <w:rFonts w:hint="eastAsia" w:ascii="宋体" w:hAnsi="宋体" w:cs="宋体"/>
          <w:b w:val="0"/>
          <w:bCs w:val="0"/>
          <w:sz w:val="23"/>
          <w:szCs w:val="23"/>
          <w:u w:val="none"/>
          <w:lang w:val="en-US" w:eastAsia="zh-CN"/>
        </w:rPr>
        <w:t>联系电话</w:t>
      </w:r>
      <w:r>
        <w:rPr>
          <w:rFonts w:hint="eastAsia" w:ascii="宋体" w:hAnsi="宋体" w:eastAsia="宋体" w:cs="宋体"/>
          <w:b w:val="0"/>
          <w:bCs w:val="0"/>
          <w:sz w:val="23"/>
          <w:szCs w:val="23"/>
          <w:u w:val="none"/>
          <w:lang w:val="en-US" w:eastAsia="zh-CN"/>
        </w:rPr>
        <w:t>：</w:t>
      </w:r>
      <w:r>
        <w:rPr>
          <w:rFonts w:hint="eastAsia" w:ascii="宋体" w:hAnsi="宋体" w:eastAsia="宋体" w:cs="宋体"/>
          <w:b w:val="0"/>
          <w:bCs w:val="0"/>
          <w:sz w:val="23"/>
          <w:szCs w:val="23"/>
          <w:u w:val="single"/>
          <w:lang w:val="en-US" w:eastAsia="zh-CN"/>
        </w:rPr>
        <w:t xml:space="preserve"> </w:t>
      </w:r>
      <w:r>
        <w:rPr>
          <w:rFonts w:hint="eastAsia" w:ascii="宋体" w:hAnsi="宋体" w:cs="宋体"/>
          <w:b w:val="0"/>
          <w:bCs w:val="0"/>
          <w:sz w:val="23"/>
          <w:szCs w:val="23"/>
          <w:u w:val="single"/>
          <w:lang w:val="en-US" w:eastAsia="zh-CN"/>
        </w:rPr>
        <w:t xml:space="preserve">               </w:t>
      </w:r>
    </w:p>
    <w:p w14:paraId="496348F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u w:val="single"/>
        </w:rPr>
      </w:pPr>
      <w:r>
        <w:rPr>
          <w:rFonts w:hint="eastAsia" w:ascii="宋体" w:hAnsi="宋体"/>
          <w:sz w:val="23"/>
          <w:szCs w:val="23"/>
        </w:rPr>
        <w:t>根据《中国人民共和国</w:t>
      </w:r>
      <w:r>
        <w:rPr>
          <w:rFonts w:hint="eastAsia" w:ascii="宋体" w:hAnsi="宋体"/>
          <w:sz w:val="23"/>
          <w:szCs w:val="23"/>
          <w:lang w:val="en-US" w:eastAsia="zh-CN"/>
        </w:rPr>
        <w:t>民法典</w:t>
      </w:r>
      <w:r>
        <w:rPr>
          <w:rFonts w:hint="eastAsia" w:ascii="宋体" w:hAnsi="宋体"/>
          <w:sz w:val="23"/>
          <w:szCs w:val="23"/>
        </w:rPr>
        <w:t>》</w:t>
      </w:r>
      <w:r>
        <w:rPr>
          <w:rFonts w:hint="eastAsia" w:ascii="宋体" w:hAnsi="宋体"/>
          <w:sz w:val="23"/>
          <w:szCs w:val="23"/>
          <w:lang w:eastAsia="zh-CN"/>
        </w:rPr>
        <w:t>、</w:t>
      </w:r>
      <w:r>
        <w:rPr>
          <w:rFonts w:hint="eastAsia" w:ascii="宋体" w:hAnsi="宋体"/>
          <w:sz w:val="23"/>
          <w:szCs w:val="23"/>
        </w:rPr>
        <w:t>《有害生物防治管理办法》规定</w:t>
      </w:r>
      <w:r>
        <w:rPr>
          <w:rFonts w:hint="eastAsia" w:ascii="宋体" w:hAnsi="宋体"/>
          <w:sz w:val="23"/>
          <w:szCs w:val="23"/>
          <w:lang w:eastAsia="zh-CN"/>
        </w:rPr>
        <w:t>及神木市人民政府《关于进一步加强新时期爱国卫生工作的实施意见》(神政发(2017)33号)文件精神</w:t>
      </w:r>
      <w:r>
        <w:rPr>
          <w:rFonts w:hint="eastAsia" w:ascii="宋体" w:hAnsi="宋体"/>
          <w:sz w:val="23"/>
          <w:szCs w:val="23"/>
        </w:rPr>
        <w:t>，双方一致认为，必须做好有害生物防治及日常的巩固工作，为确保质量，经双方协商签订如下合同。</w:t>
      </w:r>
    </w:p>
    <w:p w14:paraId="0910365F">
      <w:pPr>
        <w:keepNext w:val="0"/>
        <w:keepLines w:val="0"/>
        <w:pageBreakBefore w:val="0"/>
        <w:widowControl w:val="0"/>
        <w:kinsoku/>
        <w:wordWrap/>
        <w:overflowPunct/>
        <w:topLinePunct w:val="0"/>
        <w:autoSpaceDE/>
        <w:autoSpaceDN/>
        <w:bidi w:val="0"/>
        <w:adjustRightInd/>
        <w:snapToGrid/>
        <w:spacing w:line="360" w:lineRule="auto"/>
        <w:ind w:firstLine="460" w:firstLineChars="200"/>
        <w:jc w:val="left"/>
        <w:textAlignment w:val="auto"/>
        <w:rPr>
          <w:rFonts w:hint="default" w:ascii="宋体" w:hAnsi="宋体" w:eastAsia="宋体"/>
          <w:b w:val="0"/>
          <w:bCs w:val="0"/>
          <w:i w:val="0"/>
          <w:iCs w:val="0"/>
          <w:sz w:val="23"/>
          <w:szCs w:val="23"/>
          <w:u w:val="none"/>
          <w:lang w:val="en-US" w:eastAsia="zh-CN"/>
        </w:rPr>
      </w:pPr>
      <w:r>
        <w:rPr>
          <w:rFonts w:hint="eastAsia" w:ascii="宋体" w:hAnsi="宋体"/>
          <w:b w:val="0"/>
          <w:bCs w:val="0"/>
          <w:i w:val="0"/>
          <w:iCs w:val="0"/>
          <w:sz w:val="23"/>
          <w:szCs w:val="23"/>
          <w:u w:val="none"/>
          <w:lang w:eastAsia="zh-CN"/>
        </w:rPr>
        <w:t>一、服务项目</w:t>
      </w:r>
      <w:r>
        <w:rPr>
          <w:rFonts w:hint="eastAsia" w:ascii="宋体" w:hAnsi="宋体"/>
          <w:b w:val="0"/>
          <w:bCs w:val="0"/>
          <w:i w:val="0"/>
          <w:iCs w:val="0"/>
          <w:sz w:val="23"/>
          <w:szCs w:val="23"/>
          <w:u w:val="none"/>
          <w:lang w:val="en-US" w:eastAsia="zh-CN"/>
        </w:rPr>
        <w:t xml:space="preserve">  </w:t>
      </w:r>
    </w:p>
    <w:p w14:paraId="4DB0145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sz w:val="23"/>
          <w:szCs w:val="23"/>
          <w:lang w:val="en-US" w:eastAsia="zh-CN"/>
        </w:rPr>
      </w:pPr>
      <w:r>
        <w:rPr>
          <w:rFonts w:hint="eastAsia" w:ascii="宋体" w:hAnsi="宋体"/>
          <w:sz w:val="23"/>
          <w:szCs w:val="23"/>
          <w:lang w:val="en-US" w:eastAsia="zh-CN"/>
        </w:rPr>
        <w:t>1、内容：病媒生物防治服务（灭鼠、灭蟑、灭蝇、灭蚊）</w:t>
      </w:r>
    </w:p>
    <w:p w14:paraId="6BA5117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default" w:ascii="宋体" w:hAnsi="宋体"/>
          <w:sz w:val="23"/>
          <w:szCs w:val="23"/>
          <w:u w:val="single"/>
          <w:lang w:val="en-US" w:eastAsia="zh-CN"/>
        </w:rPr>
      </w:pPr>
      <w:r>
        <w:rPr>
          <w:rFonts w:hint="eastAsia" w:ascii="宋体" w:hAnsi="宋体"/>
          <w:sz w:val="23"/>
          <w:szCs w:val="23"/>
          <w:lang w:val="en-US" w:eastAsia="zh-CN"/>
        </w:rPr>
        <w:t xml:space="preserve">2、场所: </w:t>
      </w:r>
      <w:r>
        <w:rPr>
          <w:rFonts w:hint="eastAsia" w:ascii="宋体" w:hAnsi="宋体"/>
          <w:sz w:val="23"/>
          <w:szCs w:val="23"/>
          <w:u w:val="none"/>
          <w:lang w:val="en-US" w:eastAsia="zh-CN"/>
        </w:rPr>
        <w:t>详见采购内容及技术要求</w:t>
      </w:r>
    </w:p>
    <w:p w14:paraId="389535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60" w:firstLineChars="200"/>
        <w:textAlignment w:val="auto"/>
        <w:rPr>
          <w:rFonts w:ascii="宋体" w:hAnsi="宋体"/>
          <w:sz w:val="23"/>
          <w:szCs w:val="23"/>
        </w:rPr>
      </w:pPr>
      <w:r>
        <w:rPr>
          <w:rFonts w:hint="eastAsia" w:ascii="宋体" w:hAnsi="宋体"/>
          <w:sz w:val="23"/>
          <w:szCs w:val="23"/>
        </w:rPr>
        <w:t>二、</w:t>
      </w:r>
      <w:r>
        <w:rPr>
          <w:rFonts w:hint="eastAsia" w:ascii="宋体" w:hAnsi="宋体"/>
          <w:sz w:val="23"/>
          <w:szCs w:val="23"/>
          <w:lang w:eastAsia="zh-CN"/>
        </w:rPr>
        <w:t>服务</w:t>
      </w:r>
      <w:r>
        <w:rPr>
          <w:rFonts w:hint="eastAsia" w:ascii="宋体" w:hAnsi="宋体"/>
          <w:sz w:val="23"/>
          <w:szCs w:val="23"/>
        </w:rPr>
        <w:t>期限</w:t>
      </w:r>
      <w:r>
        <w:rPr>
          <w:rFonts w:hint="eastAsia" w:ascii="宋体" w:hAnsi="宋体"/>
          <w:sz w:val="23"/>
          <w:szCs w:val="23"/>
          <w:lang w:eastAsia="zh-CN"/>
        </w:rPr>
        <w:t>：</w:t>
      </w:r>
      <w:r>
        <w:rPr>
          <w:rFonts w:hint="eastAsia" w:ascii="宋体" w:hAnsi="宋体"/>
          <w:sz w:val="23"/>
          <w:szCs w:val="23"/>
          <w:lang w:val="en-US" w:eastAsia="zh-CN"/>
        </w:rPr>
        <w:t>一年，</w:t>
      </w:r>
      <w:r>
        <w:rPr>
          <w:rFonts w:hint="eastAsia" w:ascii="宋体" w:hAnsi="宋体"/>
          <w:sz w:val="23"/>
          <w:szCs w:val="23"/>
          <w:u w:val="single"/>
          <w:lang w:val="en-US" w:eastAsia="zh-CN"/>
        </w:rPr>
        <w:t xml:space="preserve">    </w:t>
      </w:r>
      <w:r>
        <w:rPr>
          <w:rFonts w:hint="eastAsia" w:ascii="宋体" w:hAnsi="宋体"/>
          <w:sz w:val="23"/>
          <w:szCs w:val="23"/>
        </w:rPr>
        <w:t>年</w:t>
      </w:r>
      <w:r>
        <w:rPr>
          <w:rFonts w:hint="eastAsia" w:ascii="宋体" w:hAnsi="宋体"/>
          <w:sz w:val="23"/>
          <w:szCs w:val="23"/>
          <w:u w:val="single"/>
        </w:rPr>
        <w:t xml:space="preserve"> </w:t>
      </w:r>
      <w:r>
        <w:rPr>
          <w:rFonts w:hint="eastAsia" w:ascii="宋体" w:hAnsi="宋体"/>
          <w:sz w:val="23"/>
          <w:szCs w:val="23"/>
          <w:u w:val="single"/>
          <w:lang w:val="en-US" w:eastAsia="zh-CN"/>
        </w:rPr>
        <w:t xml:space="preserve">   </w:t>
      </w:r>
      <w:r>
        <w:rPr>
          <w:rFonts w:hint="eastAsia" w:ascii="宋体" w:hAnsi="宋体"/>
          <w:sz w:val="23"/>
          <w:szCs w:val="23"/>
        </w:rPr>
        <w:t>月</w:t>
      </w:r>
      <w:r>
        <w:rPr>
          <w:rFonts w:hint="eastAsia" w:ascii="宋体" w:hAnsi="宋体"/>
          <w:sz w:val="23"/>
          <w:szCs w:val="23"/>
          <w:u w:val="single"/>
          <w:lang w:val="en-US" w:eastAsia="zh-CN"/>
        </w:rPr>
        <w:t xml:space="preserve">   </w:t>
      </w:r>
      <w:r>
        <w:rPr>
          <w:rFonts w:hint="eastAsia" w:ascii="宋体" w:hAnsi="宋体"/>
          <w:sz w:val="23"/>
          <w:szCs w:val="23"/>
        </w:rPr>
        <w:t>日</w:t>
      </w:r>
      <w:r>
        <w:rPr>
          <w:rFonts w:hint="eastAsia" w:ascii="宋体" w:hAnsi="宋体"/>
          <w:sz w:val="23"/>
          <w:szCs w:val="23"/>
          <w:lang w:eastAsia="zh-CN"/>
        </w:rPr>
        <w:t>至</w:t>
      </w:r>
      <w:r>
        <w:rPr>
          <w:rFonts w:hint="eastAsia" w:ascii="宋体" w:hAnsi="宋体"/>
          <w:sz w:val="23"/>
          <w:szCs w:val="23"/>
          <w:u w:val="single"/>
          <w:lang w:val="en-US" w:eastAsia="zh-CN"/>
        </w:rPr>
        <w:t xml:space="preserve">    </w:t>
      </w:r>
      <w:r>
        <w:rPr>
          <w:rFonts w:hint="eastAsia" w:ascii="宋体" w:hAnsi="宋体"/>
          <w:sz w:val="23"/>
          <w:szCs w:val="23"/>
        </w:rPr>
        <w:t>年</w:t>
      </w:r>
      <w:r>
        <w:rPr>
          <w:rFonts w:hint="eastAsia" w:ascii="宋体" w:hAnsi="宋体"/>
          <w:sz w:val="23"/>
          <w:szCs w:val="23"/>
          <w:u w:val="single"/>
        </w:rPr>
        <w:t xml:space="preserve"> </w:t>
      </w:r>
      <w:r>
        <w:rPr>
          <w:rFonts w:hint="eastAsia" w:ascii="宋体" w:hAnsi="宋体"/>
          <w:sz w:val="23"/>
          <w:szCs w:val="23"/>
          <w:u w:val="single"/>
          <w:lang w:val="en-US" w:eastAsia="zh-CN"/>
        </w:rPr>
        <w:t xml:space="preserve"> </w:t>
      </w:r>
      <w:r>
        <w:rPr>
          <w:rFonts w:hint="eastAsia" w:ascii="宋体" w:hAnsi="宋体"/>
          <w:sz w:val="23"/>
          <w:szCs w:val="23"/>
        </w:rPr>
        <w:t>月</w:t>
      </w:r>
      <w:r>
        <w:rPr>
          <w:rFonts w:hint="eastAsia" w:ascii="宋体" w:hAnsi="宋体"/>
          <w:sz w:val="23"/>
          <w:szCs w:val="23"/>
          <w:u w:val="single"/>
          <w:lang w:val="en-US" w:eastAsia="zh-CN"/>
        </w:rPr>
        <w:t xml:space="preserve">    </w:t>
      </w:r>
      <w:r>
        <w:rPr>
          <w:rFonts w:hint="eastAsia" w:ascii="宋体" w:hAnsi="宋体"/>
          <w:sz w:val="23"/>
          <w:szCs w:val="23"/>
        </w:rPr>
        <w:t>日</w:t>
      </w:r>
      <w:r>
        <w:rPr>
          <w:rFonts w:hint="eastAsia" w:ascii="宋体" w:hAnsi="宋体"/>
          <w:sz w:val="23"/>
          <w:szCs w:val="23"/>
          <w:lang w:eastAsia="zh-CN"/>
        </w:rPr>
        <w:t>，双方在合约到期前</w:t>
      </w:r>
      <w:r>
        <w:rPr>
          <w:rFonts w:hint="eastAsia" w:ascii="宋体" w:hAnsi="宋体"/>
          <w:sz w:val="23"/>
          <w:szCs w:val="23"/>
          <w:lang w:val="en-US" w:eastAsia="zh-CN"/>
        </w:rPr>
        <w:t>30</w:t>
      </w:r>
      <w:r>
        <w:rPr>
          <w:rFonts w:hint="eastAsia" w:ascii="宋体" w:hAnsi="宋体"/>
          <w:sz w:val="23"/>
          <w:szCs w:val="23"/>
          <w:lang w:eastAsia="zh-CN"/>
        </w:rPr>
        <w:t>日另行书</w:t>
      </w:r>
      <w:r>
        <w:rPr>
          <w:rFonts w:hint="eastAsia" w:ascii="宋体" w:hAnsi="宋体"/>
          <w:sz w:val="23"/>
          <w:szCs w:val="23"/>
          <w:lang w:val="en-US" w:eastAsia="zh-CN"/>
        </w:rPr>
        <w:t>面</w:t>
      </w:r>
      <w:r>
        <w:rPr>
          <w:rFonts w:hint="eastAsia" w:ascii="宋体" w:hAnsi="宋体"/>
          <w:sz w:val="23"/>
          <w:szCs w:val="23"/>
          <w:lang w:eastAsia="zh-CN"/>
        </w:rPr>
        <w:t>通知，未书面通知的视为自动延续，延续合同期限与本合同一致。</w:t>
      </w:r>
    </w:p>
    <w:p w14:paraId="1F72F1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sz w:val="23"/>
          <w:szCs w:val="23"/>
          <w:u w:val="none"/>
          <w:lang w:val="en-US" w:eastAsia="zh-CN"/>
        </w:rPr>
      </w:pPr>
      <w:r>
        <w:rPr>
          <w:rFonts w:hint="eastAsia" w:ascii="宋体" w:hAnsi="宋体" w:eastAsia="宋体" w:cs="Times New Roman"/>
          <w:kern w:val="2"/>
          <w:sz w:val="23"/>
          <w:szCs w:val="23"/>
          <w:lang w:val="en-US" w:eastAsia="zh-CN" w:bidi="ar-SA"/>
        </w:rPr>
        <w:t>三、</w:t>
      </w:r>
      <w:r>
        <w:rPr>
          <w:rFonts w:hint="eastAsia" w:ascii="宋体" w:hAnsi="宋体"/>
          <w:sz w:val="23"/>
          <w:szCs w:val="23"/>
        </w:rPr>
        <w:t>承包服务费(大写）</w:t>
      </w:r>
      <w:r>
        <w:rPr>
          <w:rFonts w:hint="eastAsia" w:ascii="宋体" w:hAnsi="宋体"/>
          <w:sz w:val="23"/>
          <w:szCs w:val="23"/>
          <w:u w:val="single"/>
          <w:lang w:val="en-US" w:eastAsia="zh-CN"/>
        </w:rPr>
        <w:t xml:space="preserve">       </w:t>
      </w:r>
      <w:r>
        <w:rPr>
          <w:rFonts w:hint="eastAsia" w:ascii="宋体" w:hAnsi="宋体"/>
          <w:sz w:val="23"/>
          <w:szCs w:val="23"/>
        </w:rPr>
        <w:t>；（</w:t>
      </w:r>
      <w:r>
        <w:rPr>
          <w:rFonts w:hint="eastAsia" w:ascii="宋体" w:hAnsi="宋体"/>
          <w:sz w:val="23"/>
          <w:szCs w:val="23"/>
          <w:lang w:eastAsia="zh-CN"/>
        </w:rPr>
        <w:t>小写）</w:t>
      </w:r>
      <w:r>
        <w:rPr>
          <w:rFonts w:hint="eastAsia" w:ascii="宋体" w:hAnsi="宋体"/>
          <w:sz w:val="23"/>
          <w:szCs w:val="23"/>
        </w:rPr>
        <w:t>￥</w:t>
      </w:r>
      <w:r>
        <w:rPr>
          <w:rFonts w:hint="eastAsia" w:ascii="宋体" w:hAnsi="宋体"/>
          <w:sz w:val="23"/>
          <w:szCs w:val="23"/>
          <w:u w:val="single"/>
          <w:lang w:val="en-US" w:eastAsia="zh-CN"/>
        </w:rPr>
        <w:t xml:space="preserve">          </w:t>
      </w:r>
      <w:r>
        <w:rPr>
          <w:rFonts w:hint="eastAsia" w:ascii="宋体" w:hAnsi="宋体"/>
          <w:sz w:val="23"/>
          <w:szCs w:val="23"/>
          <w:u w:val="none"/>
          <w:lang w:val="en-US" w:eastAsia="zh-CN"/>
        </w:rPr>
        <w:t>元。</w:t>
      </w:r>
    </w:p>
    <w:p w14:paraId="5B5D2E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sz w:val="23"/>
          <w:szCs w:val="23"/>
          <w:lang w:eastAsia="zh-CN"/>
        </w:rPr>
      </w:pPr>
      <w:r>
        <w:rPr>
          <w:rFonts w:hint="eastAsia" w:ascii="宋体" w:hAnsi="宋体" w:eastAsia="宋体" w:cs="Times New Roman"/>
          <w:kern w:val="2"/>
          <w:sz w:val="23"/>
          <w:szCs w:val="23"/>
          <w:lang w:val="en-US" w:eastAsia="zh-CN" w:bidi="ar-SA"/>
        </w:rPr>
        <w:t>四、</w:t>
      </w:r>
      <w:r>
        <w:rPr>
          <w:rFonts w:hint="eastAsia" w:ascii="宋体" w:hAnsi="宋体"/>
          <w:sz w:val="23"/>
          <w:szCs w:val="23"/>
          <w:lang w:eastAsia="zh-CN"/>
        </w:rPr>
        <w:t>付款方式、结算方式及发票开具</w:t>
      </w:r>
    </w:p>
    <w:p w14:paraId="28CAC7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sz w:val="23"/>
          <w:szCs w:val="23"/>
          <w:lang w:val="en-US" w:eastAsia="zh-CN"/>
        </w:rPr>
      </w:pPr>
      <w:r>
        <w:rPr>
          <w:rFonts w:hint="eastAsia" w:ascii="宋体" w:hAnsi="宋体" w:eastAsia="宋体" w:cs="Times New Roman"/>
          <w:kern w:val="2"/>
          <w:sz w:val="23"/>
          <w:szCs w:val="23"/>
          <w:lang w:val="en-US" w:eastAsia="zh-CN" w:bidi="ar-SA"/>
        </w:rPr>
        <w:t>1、</w:t>
      </w:r>
      <w:r>
        <w:rPr>
          <w:rFonts w:hint="eastAsia" w:ascii="宋体" w:hAnsi="宋体"/>
          <w:sz w:val="23"/>
          <w:szCs w:val="23"/>
          <w:lang w:val="en-US" w:eastAsia="zh-CN"/>
        </w:rPr>
        <w:t>付款方式：</w:t>
      </w:r>
      <w:r>
        <w:rPr>
          <w:rFonts w:hint="eastAsia" w:ascii="宋体" w:hAnsi="宋体"/>
          <w:sz w:val="23"/>
          <w:szCs w:val="23"/>
          <w:u w:val="single"/>
          <w:lang w:val="en-US" w:eastAsia="zh-CN"/>
        </w:rPr>
        <w:t xml:space="preserve">                                    </w:t>
      </w:r>
    </w:p>
    <w:p w14:paraId="5976AF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60" w:firstLineChars="200"/>
        <w:textAlignment w:val="auto"/>
        <w:rPr>
          <w:rFonts w:hint="default" w:ascii="宋体" w:hAnsi="宋体"/>
          <w:sz w:val="23"/>
          <w:szCs w:val="23"/>
          <w:lang w:val="en-US" w:eastAsia="zh-CN"/>
        </w:rPr>
      </w:pPr>
      <w:r>
        <w:rPr>
          <w:rFonts w:hint="default" w:ascii="宋体" w:hAnsi="宋体" w:eastAsia="宋体" w:cs="Times New Roman"/>
          <w:kern w:val="2"/>
          <w:sz w:val="23"/>
          <w:szCs w:val="23"/>
          <w:lang w:val="en-US" w:eastAsia="zh-CN" w:bidi="ar-SA"/>
        </w:rPr>
        <w:t>2、</w:t>
      </w:r>
      <w:r>
        <w:rPr>
          <w:rFonts w:hint="eastAsia" w:ascii="宋体" w:hAnsi="宋体"/>
          <w:sz w:val="23"/>
          <w:szCs w:val="23"/>
          <w:lang w:val="en-US" w:eastAsia="zh-CN"/>
        </w:rPr>
        <w:t>结算方式：</w:t>
      </w:r>
      <w:r>
        <w:rPr>
          <w:rFonts w:hint="eastAsia" w:ascii="宋体" w:hAnsi="宋体"/>
          <w:sz w:val="23"/>
          <w:szCs w:val="23"/>
          <w:u w:val="single"/>
          <w:lang w:val="en-US" w:eastAsia="zh-CN"/>
        </w:rPr>
        <w:t xml:space="preserve">     </w:t>
      </w:r>
      <w:r>
        <w:rPr>
          <w:rFonts w:hint="eastAsia" w:ascii="宋体" w:hAnsi="宋体"/>
          <w:sz w:val="23"/>
          <w:szCs w:val="23"/>
          <w:u w:val="none"/>
          <w:lang w:val="en-US" w:eastAsia="zh-CN"/>
        </w:rPr>
        <w:t>（</w:t>
      </w:r>
      <w:r>
        <w:rPr>
          <w:rFonts w:hint="eastAsia" w:ascii="宋体" w:hAnsi="宋体"/>
          <w:sz w:val="23"/>
          <w:szCs w:val="23"/>
          <w:lang w:val="en-US" w:eastAsia="zh-CN"/>
        </w:rPr>
        <w:t>现金/转账/其他</w:t>
      </w:r>
      <w:r>
        <w:rPr>
          <w:rFonts w:hint="eastAsia" w:ascii="宋体" w:hAnsi="宋体"/>
          <w:sz w:val="23"/>
          <w:szCs w:val="23"/>
          <w:u w:val="none"/>
          <w:lang w:val="en-US" w:eastAsia="zh-CN"/>
        </w:rPr>
        <w:t>）</w:t>
      </w:r>
    </w:p>
    <w:p w14:paraId="2C4A32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60" w:firstLineChars="200"/>
        <w:textAlignment w:val="auto"/>
        <w:rPr>
          <w:rFonts w:hint="default" w:ascii="宋体" w:hAnsi="宋体"/>
          <w:sz w:val="23"/>
          <w:szCs w:val="23"/>
          <w:u w:val="none"/>
          <w:lang w:val="en-US" w:eastAsia="zh-CN"/>
        </w:rPr>
      </w:pPr>
      <w:r>
        <w:rPr>
          <w:rFonts w:hint="eastAsia" w:ascii="宋体" w:hAnsi="宋体" w:eastAsia="宋体" w:cs="Times New Roman"/>
          <w:kern w:val="2"/>
          <w:sz w:val="23"/>
          <w:szCs w:val="23"/>
          <w:lang w:val="en-US" w:eastAsia="zh-CN" w:bidi="ar-SA"/>
        </w:rPr>
        <w:t>3、</w:t>
      </w:r>
      <w:r>
        <w:rPr>
          <w:rFonts w:hint="eastAsia" w:ascii="宋体" w:hAnsi="宋体"/>
          <w:sz w:val="23"/>
          <w:szCs w:val="23"/>
          <w:lang w:val="en-US" w:eastAsia="zh-CN"/>
        </w:rPr>
        <w:t>票据类型：</w:t>
      </w:r>
      <w:r>
        <w:rPr>
          <w:rFonts w:hint="eastAsia" w:ascii="宋体" w:hAnsi="宋体"/>
          <w:sz w:val="23"/>
          <w:szCs w:val="23"/>
          <w:u w:val="single"/>
          <w:lang w:val="en-US" w:eastAsia="zh-CN"/>
        </w:rPr>
        <w:t xml:space="preserve">    </w:t>
      </w:r>
      <w:r>
        <w:rPr>
          <w:rFonts w:hint="eastAsia" w:ascii="宋体" w:hAnsi="宋体"/>
          <w:sz w:val="23"/>
          <w:szCs w:val="23"/>
          <w:u w:val="none"/>
          <w:lang w:val="en-US" w:eastAsia="zh-CN"/>
        </w:rPr>
        <w:t>（</w:t>
      </w:r>
      <w:r>
        <w:rPr>
          <w:rFonts w:hint="eastAsia" w:ascii="宋体" w:hAnsi="宋体"/>
          <w:sz w:val="23"/>
          <w:szCs w:val="23"/>
          <w:lang w:val="en-US" w:eastAsia="zh-CN"/>
        </w:rPr>
        <w:t>收据/普通发票</w:t>
      </w:r>
      <w:r>
        <w:rPr>
          <w:rFonts w:hint="eastAsia" w:ascii="宋体" w:hAnsi="宋体"/>
          <w:sz w:val="23"/>
          <w:szCs w:val="23"/>
          <w:u w:val="none"/>
          <w:lang w:val="en-US" w:eastAsia="zh-CN"/>
        </w:rPr>
        <w:t>）</w:t>
      </w:r>
    </w:p>
    <w:p w14:paraId="23086AF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sz w:val="23"/>
          <w:szCs w:val="23"/>
          <w:lang w:eastAsia="zh-CN"/>
        </w:rPr>
      </w:pPr>
      <w:r>
        <w:rPr>
          <w:rFonts w:hint="eastAsia" w:ascii="宋体" w:hAnsi="宋体"/>
          <w:sz w:val="23"/>
          <w:szCs w:val="23"/>
        </w:rPr>
        <w:t>五、甲方责任</w:t>
      </w:r>
    </w:p>
    <w:p w14:paraId="74EA25C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rPr>
      </w:pPr>
      <w:r>
        <w:rPr>
          <w:rFonts w:hint="eastAsia" w:ascii="宋体" w:hAnsi="宋体"/>
          <w:sz w:val="23"/>
          <w:szCs w:val="23"/>
        </w:rPr>
        <w:t>1、</w:t>
      </w:r>
      <w:r>
        <w:rPr>
          <w:rFonts w:hint="eastAsia" w:ascii="宋体" w:hAnsi="宋体"/>
          <w:sz w:val="23"/>
          <w:szCs w:val="23"/>
          <w:lang w:eastAsia="zh-CN"/>
        </w:rPr>
        <w:t>甲方</w:t>
      </w:r>
      <w:r>
        <w:rPr>
          <w:rFonts w:hint="eastAsia" w:ascii="宋体" w:hAnsi="宋体"/>
          <w:sz w:val="23"/>
          <w:szCs w:val="23"/>
        </w:rPr>
        <w:t>在承包期内应配合乙方工作</w:t>
      </w:r>
      <w:r>
        <w:rPr>
          <w:rFonts w:hint="eastAsia" w:ascii="宋体" w:hAnsi="宋体"/>
          <w:sz w:val="23"/>
          <w:szCs w:val="23"/>
          <w:lang w:eastAsia="zh-CN"/>
        </w:rPr>
        <w:t>，为乙方提供工作便利</w:t>
      </w:r>
      <w:r>
        <w:rPr>
          <w:rFonts w:hint="eastAsia" w:ascii="宋体" w:hAnsi="宋体"/>
          <w:sz w:val="23"/>
          <w:szCs w:val="23"/>
        </w:rPr>
        <w:t>。</w:t>
      </w:r>
    </w:p>
    <w:p w14:paraId="0700832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rPr>
      </w:pPr>
      <w:r>
        <w:rPr>
          <w:rFonts w:hint="eastAsia" w:ascii="宋体" w:hAnsi="宋体"/>
          <w:sz w:val="23"/>
          <w:szCs w:val="23"/>
        </w:rPr>
        <w:t>2、负责本单位范围内的环境卫生，及防治害虫设施维护保养。</w:t>
      </w:r>
    </w:p>
    <w:p w14:paraId="7EB9992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rPr>
      </w:pPr>
      <w:r>
        <w:rPr>
          <w:rFonts w:hint="eastAsia" w:ascii="宋体" w:hAnsi="宋体"/>
          <w:sz w:val="23"/>
          <w:szCs w:val="23"/>
        </w:rPr>
        <w:t>3、</w:t>
      </w:r>
      <w:r>
        <w:rPr>
          <w:rFonts w:hint="eastAsia" w:ascii="宋体" w:hAnsi="宋体"/>
          <w:sz w:val="23"/>
          <w:szCs w:val="23"/>
          <w:lang w:eastAsia="zh-CN"/>
        </w:rPr>
        <w:t>有权</w:t>
      </w:r>
      <w:r>
        <w:rPr>
          <w:rFonts w:hint="eastAsia" w:ascii="宋体" w:hAnsi="宋体"/>
          <w:sz w:val="23"/>
          <w:szCs w:val="23"/>
        </w:rPr>
        <w:t>对乙方服务质量</w:t>
      </w:r>
      <w:r>
        <w:rPr>
          <w:rFonts w:hint="eastAsia" w:ascii="宋体" w:hAnsi="宋体"/>
          <w:sz w:val="23"/>
          <w:szCs w:val="23"/>
          <w:lang w:eastAsia="zh-CN"/>
        </w:rPr>
        <w:t>进行监督考核，不</w:t>
      </w:r>
      <w:r>
        <w:rPr>
          <w:rFonts w:hint="eastAsia" w:ascii="宋体" w:hAnsi="宋体"/>
          <w:sz w:val="23"/>
          <w:szCs w:val="23"/>
        </w:rPr>
        <w:t>满意</w:t>
      </w:r>
      <w:r>
        <w:rPr>
          <w:rFonts w:hint="eastAsia" w:ascii="宋体" w:hAnsi="宋体"/>
          <w:sz w:val="23"/>
          <w:szCs w:val="23"/>
          <w:lang w:eastAsia="zh-CN"/>
        </w:rPr>
        <w:t>时</w:t>
      </w:r>
      <w:r>
        <w:rPr>
          <w:rFonts w:hint="eastAsia" w:ascii="宋体" w:hAnsi="宋体"/>
          <w:sz w:val="23"/>
          <w:szCs w:val="23"/>
        </w:rPr>
        <w:t>，应</w:t>
      </w:r>
      <w:r>
        <w:rPr>
          <w:rFonts w:hint="eastAsia" w:ascii="宋体" w:hAnsi="宋体"/>
          <w:sz w:val="23"/>
          <w:szCs w:val="23"/>
          <w:lang w:eastAsia="zh-CN"/>
        </w:rPr>
        <w:t>及时</w:t>
      </w:r>
      <w:r>
        <w:rPr>
          <w:rFonts w:hint="eastAsia" w:ascii="宋体" w:hAnsi="宋体"/>
          <w:sz w:val="23"/>
          <w:szCs w:val="23"/>
        </w:rPr>
        <w:t>主动</w:t>
      </w:r>
      <w:r>
        <w:rPr>
          <w:rFonts w:hint="eastAsia" w:ascii="宋体" w:hAnsi="宋体"/>
          <w:sz w:val="23"/>
          <w:szCs w:val="23"/>
          <w:lang w:eastAsia="zh-CN"/>
        </w:rPr>
        <w:t>提出，</w:t>
      </w:r>
      <w:r>
        <w:rPr>
          <w:rFonts w:hint="eastAsia" w:ascii="宋体" w:hAnsi="宋体"/>
          <w:sz w:val="23"/>
          <w:szCs w:val="23"/>
          <w:lang w:val="en-US" w:eastAsia="zh-CN"/>
        </w:rPr>
        <w:t>乙方未做整改，甲方有权提出终止合同</w:t>
      </w:r>
      <w:r>
        <w:rPr>
          <w:rFonts w:hint="eastAsia" w:ascii="宋体" w:hAnsi="宋体"/>
          <w:sz w:val="23"/>
          <w:szCs w:val="23"/>
        </w:rPr>
        <w:t>。</w:t>
      </w:r>
    </w:p>
    <w:p w14:paraId="76F311B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rPr>
      </w:pPr>
      <w:r>
        <w:rPr>
          <w:rFonts w:hint="eastAsia" w:ascii="宋体" w:hAnsi="宋体"/>
          <w:sz w:val="23"/>
          <w:szCs w:val="23"/>
        </w:rPr>
        <w:t>六、乙方责任</w:t>
      </w:r>
    </w:p>
    <w:p w14:paraId="006F09E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rPr>
      </w:pPr>
      <w:r>
        <w:rPr>
          <w:rFonts w:hint="eastAsia" w:ascii="宋体" w:hAnsi="宋体"/>
          <w:sz w:val="23"/>
          <w:szCs w:val="23"/>
        </w:rPr>
        <w:t>1、按《有害生物防治管理办法》的有关要求，确保在承包期内服务的项目控制在达标范围内。</w:t>
      </w:r>
    </w:p>
    <w:p w14:paraId="63FE511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sz w:val="23"/>
          <w:szCs w:val="23"/>
          <w:lang w:eastAsia="zh-CN"/>
        </w:rPr>
      </w:pPr>
      <w:r>
        <w:rPr>
          <w:rFonts w:hint="eastAsia" w:ascii="宋体" w:hAnsi="宋体"/>
          <w:sz w:val="23"/>
          <w:szCs w:val="23"/>
        </w:rPr>
        <w:t>2、</w:t>
      </w:r>
      <w:r>
        <w:rPr>
          <w:rFonts w:hint="eastAsia" w:ascii="宋体" w:hAnsi="宋体"/>
          <w:sz w:val="23"/>
          <w:szCs w:val="23"/>
          <w:lang w:eastAsia="zh-CN"/>
        </w:rPr>
        <w:t>现场服务时，要遵守甲方有关规章制度，做到安全操作。</w:t>
      </w:r>
    </w:p>
    <w:p w14:paraId="3A926B2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sz w:val="23"/>
          <w:szCs w:val="23"/>
        </w:rPr>
      </w:pPr>
      <w:r>
        <w:rPr>
          <w:rFonts w:hint="eastAsia" w:ascii="宋体" w:hAnsi="宋体"/>
          <w:sz w:val="23"/>
          <w:szCs w:val="23"/>
        </w:rPr>
        <w:t>3、上岗服务人员要严格遵守灭蟑螂、灭鼠、杀虫技术流程，文明作业。并填写灭蟑螂、灭鼠、杀虫服务记录卡作为当次的服务凭证，着统一工作服和佩戴上岗证。</w:t>
      </w:r>
    </w:p>
    <w:p w14:paraId="1F13465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rPr>
      </w:pPr>
      <w:r>
        <w:rPr>
          <w:rFonts w:hint="eastAsia" w:ascii="宋体" w:hAnsi="宋体"/>
          <w:sz w:val="23"/>
          <w:szCs w:val="23"/>
          <w:lang w:val="en-US" w:eastAsia="zh-CN"/>
        </w:rPr>
        <w:t>4</w:t>
      </w:r>
      <w:r>
        <w:rPr>
          <w:rFonts w:hint="eastAsia" w:ascii="宋体" w:hAnsi="宋体"/>
          <w:sz w:val="23"/>
          <w:szCs w:val="23"/>
        </w:rPr>
        <w:t>、有责任建议和指导甲方</w:t>
      </w:r>
      <w:r>
        <w:rPr>
          <w:rFonts w:hint="eastAsia" w:ascii="宋体" w:hAnsi="宋体"/>
          <w:sz w:val="23"/>
          <w:szCs w:val="23"/>
          <w:lang w:val="en-US" w:eastAsia="zh-CN"/>
        </w:rPr>
        <w:t>做好</w:t>
      </w:r>
      <w:r>
        <w:rPr>
          <w:rFonts w:hint="eastAsia" w:ascii="宋体" w:hAnsi="宋体"/>
          <w:sz w:val="23"/>
          <w:szCs w:val="23"/>
        </w:rPr>
        <w:t>防鼠、防蟑螂的</w:t>
      </w:r>
      <w:r>
        <w:rPr>
          <w:rFonts w:hint="eastAsia" w:ascii="宋体" w:hAnsi="宋体"/>
          <w:sz w:val="23"/>
          <w:szCs w:val="23"/>
          <w:lang w:val="en-US" w:eastAsia="zh-CN"/>
        </w:rPr>
        <w:t>硬件</w:t>
      </w:r>
      <w:r>
        <w:rPr>
          <w:rFonts w:hint="eastAsia" w:ascii="宋体" w:hAnsi="宋体"/>
          <w:sz w:val="23"/>
          <w:szCs w:val="23"/>
        </w:rPr>
        <w:t>设施</w:t>
      </w:r>
      <w:r>
        <w:rPr>
          <w:rFonts w:hint="eastAsia" w:ascii="宋体" w:hAnsi="宋体"/>
          <w:sz w:val="23"/>
          <w:szCs w:val="23"/>
          <w:lang w:val="en-US" w:eastAsia="zh-CN"/>
        </w:rPr>
        <w:t>的</w:t>
      </w:r>
      <w:r>
        <w:rPr>
          <w:rFonts w:hint="eastAsia" w:ascii="宋体" w:hAnsi="宋体"/>
          <w:sz w:val="23"/>
          <w:szCs w:val="23"/>
        </w:rPr>
        <w:t>安装</w:t>
      </w:r>
      <w:r>
        <w:rPr>
          <w:rFonts w:hint="eastAsia" w:ascii="宋体" w:hAnsi="宋体"/>
          <w:sz w:val="23"/>
          <w:szCs w:val="23"/>
          <w:lang w:eastAsia="zh-CN"/>
        </w:rPr>
        <w:t>（</w:t>
      </w:r>
      <w:r>
        <w:rPr>
          <w:rFonts w:hint="eastAsia" w:ascii="宋体" w:hAnsi="宋体"/>
          <w:sz w:val="23"/>
          <w:szCs w:val="23"/>
          <w:lang w:val="en-US" w:eastAsia="zh-CN"/>
        </w:rPr>
        <w:t>如：下水箅子、纱窗、消毒灯、挡鼠板等</w:t>
      </w:r>
      <w:r>
        <w:rPr>
          <w:rFonts w:hint="eastAsia" w:ascii="宋体" w:hAnsi="宋体"/>
          <w:sz w:val="23"/>
          <w:szCs w:val="23"/>
          <w:lang w:eastAsia="zh-CN"/>
        </w:rPr>
        <w:t>）</w:t>
      </w:r>
      <w:r>
        <w:rPr>
          <w:rFonts w:hint="eastAsia" w:ascii="宋体" w:hAnsi="宋体"/>
          <w:sz w:val="23"/>
          <w:szCs w:val="23"/>
          <w:lang w:val="en-US" w:eastAsia="zh-CN"/>
        </w:rPr>
        <w:t>；</w:t>
      </w:r>
      <w:r>
        <w:rPr>
          <w:rFonts w:hint="eastAsia" w:ascii="宋体" w:hAnsi="宋体"/>
          <w:sz w:val="23"/>
          <w:szCs w:val="23"/>
        </w:rPr>
        <w:t>做好日常的鼠虫害防治的巩固工作。</w:t>
      </w:r>
    </w:p>
    <w:p w14:paraId="6B94B01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rPr>
      </w:pPr>
      <w:r>
        <w:rPr>
          <w:rFonts w:hint="eastAsia" w:ascii="宋体" w:hAnsi="宋体"/>
          <w:sz w:val="23"/>
          <w:szCs w:val="23"/>
          <w:lang w:val="en-US" w:eastAsia="zh-CN"/>
        </w:rPr>
        <w:t>5</w:t>
      </w:r>
      <w:r>
        <w:rPr>
          <w:rFonts w:hint="eastAsia" w:ascii="宋体" w:hAnsi="宋体"/>
          <w:sz w:val="23"/>
          <w:szCs w:val="23"/>
        </w:rPr>
        <w:t>、注意药物的使用安全，投(施)药时需要防护的部分，应向甲方提出</w:t>
      </w:r>
      <w:r>
        <w:rPr>
          <w:rFonts w:hint="eastAsia" w:ascii="宋体" w:hAnsi="宋体"/>
          <w:sz w:val="23"/>
          <w:szCs w:val="23"/>
          <w:lang w:eastAsia="zh-CN"/>
        </w:rPr>
        <w:t>，</w:t>
      </w:r>
      <w:r>
        <w:rPr>
          <w:rFonts w:hint="eastAsia" w:ascii="宋体" w:hAnsi="宋体"/>
          <w:sz w:val="23"/>
          <w:szCs w:val="23"/>
        </w:rPr>
        <w:t>并采取有效的措施保护。</w:t>
      </w:r>
    </w:p>
    <w:p w14:paraId="4DC599D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sz w:val="23"/>
          <w:szCs w:val="23"/>
        </w:rPr>
      </w:pPr>
      <w:r>
        <w:rPr>
          <w:rFonts w:hint="eastAsia" w:ascii="宋体" w:hAnsi="宋体"/>
          <w:sz w:val="23"/>
          <w:szCs w:val="23"/>
          <w:lang w:val="en-US" w:eastAsia="zh-CN"/>
        </w:rPr>
        <w:t>6</w:t>
      </w:r>
      <w:r>
        <w:rPr>
          <w:rFonts w:hint="eastAsia" w:ascii="宋体" w:hAnsi="宋体"/>
          <w:sz w:val="23"/>
          <w:szCs w:val="23"/>
        </w:rPr>
        <w:t>、</w:t>
      </w:r>
      <w:r>
        <w:rPr>
          <w:rFonts w:hint="eastAsia" w:ascii="宋体" w:hAnsi="宋体"/>
          <w:sz w:val="23"/>
          <w:szCs w:val="23"/>
          <w:lang w:val="en-US" w:eastAsia="zh-CN"/>
        </w:rPr>
        <w:t>按照国家要求，</w:t>
      </w:r>
      <w:r>
        <w:rPr>
          <w:rFonts w:hint="eastAsia" w:ascii="宋体" w:hAnsi="宋体"/>
          <w:sz w:val="23"/>
          <w:szCs w:val="23"/>
        </w:rPr>
        <w:t>使用的杀鼠杀虫药物要有“三证”或使用全国或爱卫会专家委员会推荐和认定的药物，严禁使用急性灭鼠药或明文禁用药物，如药物使用不当引起人畜或其他责任事故的，经有关部门检验和验证应承担责任。</w:t>
      </w:r>
    </w:p>
    <w:p w14:paraId="46469CA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default" w:ascii="宋体" w:hAnsi="宋体"/>
          <w:sz w:val="23"/>
          <w:szCs w:val="23"/>
          <w:lang w:val="en-US" w:eastAsia="zh-CN"/>
        </w:rPr>
      </w:pPr>
      <w:r>
        <w:rPr>
          <w:rFonts w:hint="eastAsia" w:ascii="宋体" w:hAnsi="宋体"/>
          <w:sz w:val="23"/>
          <w:szCs w:val="23"/>
          <w:lang w:val="en-US" w:eastAsia="zh-CN"/>
        </w:rPr>
        <w:t>7、接收甲方提出的合理建议和意见，并及时改正。</w:t>
      </w:r>
    </w:p>
    <w:p w14:paraId="6ACA739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ascii="宋体" w:hAnsi="宋体"/>
          <w:sz w:val="23"/>
          <w:szCs w:val="23"/>
        </w:rPr>
      </w:pPr>
      <w:r>
        <w:rPr>
          <w:rFonts w:hint="eastAsia" w:ascii="宋体" w:hAnsi="宋体"/>
          <w:sz w:val="23"/>
          <w:szCs w:val="23"/>
          <w:lang w:eastAsia="zh-CN"/>
        </w:rPr>
        <w:t>七、</w:t>
      </w:r>
      <w:r>
        <w:rPr>
          <w:rFonts w:hint="eastAsia" w:ascii="宋体" w:hAnsi="宋体"/>
          <w:sz w:val="23"/>
          <w:szCs w:val="23"/>
        </w:rPr>
        <w:t>、本合同经双方</w:t>
      </w:r>
      <w:r>
        <w:rPr>
          <w:rFonts w:hint="eastAsia" w:ascii="宋体" w:hAnsi="宋体"/>
          <w:sz w:val="23"/>
          <w:szCs w:val="23"/>
          <w:lang w:eastAsia="zh-CN"/>
        </w:rPr>
        <w:t>法人或经办人</w:t>
      </w:r>
      <w:r>
        <w:rPr>
          <w:rFonts w:hint="eastAsia" w:ascii="宋体" w:hAnsi="宋体"/>
          <w:sz w:val="23"/>
          <w:szCs w:val="23"/>
        </w:rPr>
        <w:t>签字</w:t>
      </w:r>
      <w:r>
        <w:rPr>
          <w:rFonts w:hint="eastAsia" w:ascii="宋体" w:hAnsi="宋体"/>
          <w:sz w:val="23"/>
          <w:szCs w:val="23"/>
          <w:lang w:eastAsia="zh-CN"/>
        </w:rPr>
        <w:t>、</w:t>
      </w:r>
      <w:r>
        <w:rPr>
          <w:rFonts w:hint="eastAsia" w:ascii="宋体" w:hAnsi="宋体"/>
          <w:sz w:val="23"/>
          <w:szCs w:val="23"/>
        </w:rPr>
        <w:t>盖章后</w:t>
      </w:r>
      <w:r>
        <w:rPr>
          <w:rFonts w:hint="eastAsia" w:ascii="宋体" w:hAnsi="宋体"/>
          <w:sz w:val="23"/>
          <w:szCs w:val="23"/>
          <w:lang w:eastAsia="zh-CN"/>
        </w:rPr>
        <w:t>生效</w:t>
      </w:r>
      <w:r>
        <w:rPr>
          <w:rFonts w:hint="eastAsia" w:ascii="宋体" w:hAnsi="宋体"/>
          <w:sz w:val="23"/>
          <w:szCs w:val="23"/>
        </w:rPr>
        <w:t>，合同</w:t>
      </w:r>
      <w:r>
        <w:rPr>
          <w:rFonts w:hint="eastAsia" w:ascii="宋体" w:hAnsi="宋体"/>
          <w:sz w:val="23"/>
          <w:szCs w:val="23"/>
          <w:lang w:eastAsia="zh-CN"/>
        </w:rPr>
        <w:t>期间如甲方或乙方不满意，可提前一个月内提出终止合同</w:t>
      </w:r>
      <w:r>
        <w:rPr>
          <w:rFonts w:hint="eastAsia" w:ascii="宋体" w:hAnsi="宋体"/>
          <w:sz w:val="23"/>
          <w:szCs w:val="23"/>
        </w:rPr>
        <w:t>。</w:t>
      </w:r>
    </w:p>
    <w:p w14:paraId="25ED0CD2">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sz w:val="23"/>
          <w:szCs w:val="23"/>
          <w:lang w:val="en-US" w:eastAsia="zh-CN"/>
        </w:rPr>
      </w:pPr>
      <w:r>
        <w:rPr>
          <w:rFonts w:hint="eastAsia" w:ascii="宋体" w:hAnsi="宋体"/>
          <w:sz w:val="23"/>
          <w:szCs w:val="23"/>
          <w:lang w:eastAsia="zh-CN"/>
        </w:rPr>
        <w:t>八</w:t>
      </w:r>
      <w:r>
        <w:rPr>
          <w:rFonts w:hint="eastAsia" w:ascii="宋体" w:hAnsi="宋体"/>
          <w:sz w:val="23"/>
          <w:szCs w:val="23"/>
        </w:rPr>
        <w:t>、本合同一式两份，甲乙双方各执一份</w:t>
      </w:r>
      <w:r>
        <w:rPr>
          <w:rFonts w:hint="eastAsia" w:ascii="宋体" w:hAnsi="宋体" w:eastAsia="宋体" w:cs="宋体"/>
          <w:sz w:val="23"/>
          <w:szCs w:val="23"/>
        </w:rPr>
        <w:t>。</w:t>
      </w:r>
    </w:p>
    <w:p w14:paraId="365481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tbl>
      <w:tblPr>
        <w:tblStyle w:val="2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21CB8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3939C10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0"/>
                <w:sz w:val="23"/>
                <w:szCs w:val="23"/>
              </w:rPr>
              <w:t>采</w:t>
            </w:r>
            <w:r>
              <w:rPr>
                <w:rFonts w:hint="eastAsia" w:ascii="宋体" w:hAnsi="宋体" w:eastAsia="宋体" w:cs="宋体"/>
                <w:spacing w:val="5"/>
                <w:sz w:val="23"/>
                <w:szCs w:val="23"/>
              </w:rPr>
              <w:t>购人：</w:t>
            </w:r>
            <w:r>
              <w:rPr>
                <w:rFonts w:hint="eastAsia"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hint="eastAsia" w:ascii="宋体" w:hAnsi="宋体" w:eastAsia="宋体" w:cs="宋体"/>
                <w:spacing w:val="5"/>
                <w:sz w:val="23"/>
                <w:szCs w:val="23"/>
                <w:u w:val="single" w:color="auto"/>
              </w:rPr>
              <w:t>(盖章)</w:t>
            </w:r>
            <w:r>
              <w:rPr>
                <w:rFonts w:hint="eastAsia" w:ascii="宋体" w:hAnsi="宋体" w:eastAsia="宋体" w:cs="宋体"/>
                <w:sz w:val="23"/>
                <w:szCs w:val="23"/>
                <w:u w:val="single" w:color="auto"/>
              </w:rPr>
              <w:t xml:space="preserve">          </w:t>
            </w:r>
          </w:p>
        </w:tc>
        <w:tc>
          <w:tcPr>
            <w:tcW w:w="4261" w:type="dxa"/>
            <w:tcBorders>
              <w:tl2br w:val="nil"/>
              <w:tr2bl w:val="nil"/>
            </w:tcBorders>
            <w:vAlign w:val="top"/>
          </w:tcPr>
          <w:p w14:paraId="76B466BF">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lang w:eastAsia="zh-CN"/>
              </w:rPr>
              <w:t>供应商</w:t>
            </w:r>
            <w:r>
              <w:rPr>
                <w:rFonts w:hint="eastAsia" w:ascii="宋体" w:hAnsi="宋体" w:eastAsia="宋体" w:cs="宋体"/>
                <w:spacing w:val="5"/>
                <w:sz w:val="23"/>
                <w:szCs w:val="23"/>
              </w:rPr>
              <w:t>：</w:t>
            </w:r>
            <w:r>
              <w:rPr>
                <w:rFonts w:hint="eastAsia"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hint="eastAsia" w:ascii="宋体" w:hAnsi="宋体" w:eastAsia="宋体" w:cs="宋体"/>
                <w:spacing w:val="5"/>
                <w:sz w:val="23"/>
                <w:szCs w:val="23"/>
                <w:u w:val="single" w:color="auto"/>
              </w:rPr>
              <w:t>(盖章)</w:t>
            </w:r>
            <w:r>
              <w:rPr>
                <w:rFonts w:hint="eastAsia" w:ascii="宋体" w:hAnsi="宋体" w:eastAsia="宋体" w:cs="宋体"/>
                <w:sz w:val="23"/>
                <w:szCs w:val="23"/>
                <w:u w:val="single" w:color="auto"/>
              </w:rPr>
              <w:t xml:space="preserve">          </w:t>
            </w:r>
          </w:p>
        </w:tc>
      </w:tr>
      <w:tr w14:paraId="164D1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101839B1">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地</w:t>
            </w:r>
            <w:r>
              <w:rPr>
                <w:rFonts w:hint="eastAsia" w:ascii="宋体" w:hAnsi="宋体" w:eastAsia="宋体" w:cs="宋体"/>
                <w:spacing w:val="3"/>
                <w:sz w:val="23"/>
                <w:szCs w:val="23"/>
              </w:rPr>
              <w:t>址：</w:t>
            </w:r>
          </w:p>
        </w:tc>
        <w:tc>
          <w:tcPr>
            <w:tcW w:w="4261" w:type="dxa"/>
            <w:tcBorders>
              <w:tl2br w:val="nil"/>
              <w:tr2bl w:val="nil"/>
            </w:tcBorders>
            <w:vAlign w:val="top"/>
          </w:tcPr>
          <w:p w14:paraId="368AE0E7">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地</w:t>
            </w:r>
            <w:r>
              <w:rPr>
                <w:rFonts w:hint="eastAsia" w:ascii="宋体" w:hAnsi="宋体" w:eastAsia="宋体" w:cs="宋体"/>
                <w:spacing w:val="3"/>
                <w:sz w:val="23"/>
                <w:szCs w:val="23"/>
              </w:rPr>
              <w:t>址：</w:t>
            </w:r>
          </w:p>
        </w:tc>
      </w:tr>
      <w:tr w14:paraId="25421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245AB1A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邮</w:t>
            </w:r>
            <w:r>
              <w:rPr>
                <w:rFonts w:hint="eastAsia" w:ascii="宋体" w:hAnsi="宋体" w:eastAsia="宋体" w:cs="宋体"/>
                <w:spacing w:val="2"/>
                <w:sz w:val="23"/>
                <w:szCs w:val="23"/>
              </w:rPr>
              <w:t>政编码：</w:t>
            </w:r>
          </w:p>
        </w:tc>
        <w:tc>
          <w:tcPr>
            <w:tcW w:w="4261" w:type="dxa"/>
            <w:tcBorders>
              <w:tl2br w:val="nil"/>
              <w:tr2bl w:val="nil"/>
            </w:tcBorders>
            <w:vAlign w:val="top"/>
          </w:tcPr>
          <w:p w14:paraId="70AE023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邮</w:t>
            </w:r>
            <w:r>
              <w:rPr>
                <w:rFonts w:hint="eastAsia" w:ascii="宋体" w:hAnsi="宋体" w:eastAsia="宋体" w:cs="宋体"/>
                <w:spacing w:val="2"/>
                <w:sz w:val="23"/>
                <w:szCs w:val="23"/>
              </w:rPr>
              <w:t>政编码：</w:t>
            </w:r>
          </w:p>
        </w:tc>
      </w:tr>
      <w:tr w14:paraId="7F391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60806DF8">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9"/>
                <w:sz w:val="23"/>
                <w:szCs w:val="23"/>
              </w:rPr>
              <w:t>法定代表人或其授</w:t>
            </w:r>
            <w:r>
              <w:rPr>
                <w:rFonts w:hint="eastAsia" w:ascii="宋体" w:hAnsi="宋体" w:eastAsia="宋体" w:cs="宋体"/>
                <w:spacing w:val="7"/>
                <w:sz w:val="23"/>
                <w:szCs w:val="23"/>
              </w:rPr>
              <w:t>权</w:t>
            </w:r>
          </w:p>
        </w:tc>
        <w:tc>
          <w:tcPr>
            <w:tcW w:w="4261" w:type="dxa"/>
            <w:tcBorders>
              <w:tl2br w:val="nil"/>
              <w:tr2bl w:val="nil"/>
            </w:tcBorders>
            <w:vAlign w:val="top"/>
          </w:tcPr>
          <w:p w14:paraId="46E62B56">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9"/>
                <w:sz w:val="23"/>
                <w:szCs w:val="23"/>
              </w:rPr>
              <w:t>法定代表人或其授</w:t>
            </w:r>
            <w:r>
              <w:rPr>
                <w:rFonts w:hint="eastAsia" w:ascii="宋体" w:hAnsi="宋体" w:eastAsia="宋体" w:cs="宋体"/>
                <w:spacing w:val="7"/>
                <w:sz w:val="23"/>
                <w:szCs w:val="23"/>
              </w:rPr>
              <w:t>权</w:t>
            </w:r>
          </w:p>
        </w:tc>
      </w:tr>
      <w:tr w14:paraId="14C3F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19B1A03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的代理人：</w:t>
            </w:r>
            <w:r>
              <w:rPr>
                <w:rFonts w:hint="eastAsia" w:ascii="宋体" w:hAnsi="宋体" w:eastAsia="宋体" w:cs="宋体"/>
                <w:spacing w:val="4"/>
                <w:sz w:val="23"/>
                <w:szCs w:val="23"/>
                <w:u w:val="single" w:color="auto"/>
              </w:rPr>
              <w:t xml:space="preserve"> </w:t>
            </w:r>
            <w:r>
              <w:rPr>
                <w:rFonts w:hint="eastAsia" w:ascii="宋体" w:hAnsi="宋体" w:eastAsia="宋体" w:cs="宋体"/>
                <w:sz w:val="23"/>
                <w:szCs w:val="23"/>
                <w:u w:val="single" w:color="auto"/>
              </w:rPr>
              <w:t xml:space="preserve">     </w:t>
            </w:r>
            <w:r>
              <w:rPr>
                <w:rFonts w:hint="eastAsia" w:ascii="宋体" w:hAnsi="宋体" w:eastAsia="宋体" w:cs="宋体"/>
                <w:spacing w:val="4"/>
                <w:sz w:val="23"/>
                <w:szCs w:val="23"/>
                <w:u w:val="single" w:color="auto"/>
              </w:rPr>
              <w:t>(签字)</w:t>
            </w:r>
            <w:r>
              <w:rPr>
                <w:rFonts w:hint="eastAsia" w:ascii="宋体" w:hAnsi="宋体" w:eastAsia="宋体" w:cs="宋体"/>
                <w:sz w:val="23"/>
                <w:szCs w:val="23"/>
                <w:u w:val="single" w:color="auto"/>
              </w:rPr>
              <w:t xml:space="preserve">      </w:t>
            </w:r>
          </w:p>
        </w:tc>
        <w:tc>
          <w:tcPr>
            <w:tcW w:w="4261" w:type="dxa"/>
            <w:tcBorders>
              <w:tl2br w:val="nil"/>
              <w:tr2bl w:val="nil"/>
            </w:tcBorders>
            <w:vAlign w:val="top"/>
          </w:tcPr>
          <w:p w14:paraId="1AE19AA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的代理人：</w:t>
            </w:r>
            <w:r>
              <w:rPr>
                <w:rFonts w:hint="eastAsia" w:ascii="宋体" w:hAnsi="宋体" w:eastAsia="宋体" w:cs="宋体"/>
                <w:spacing w:val="4"/>
                <w:sz w:val="23"/>
                <w:szCs w:val="23"/>
                <w:u w:val="single" w:color="auto"/>
              </w:rPr>
              <w:t xml:space="preserve"> </w:t>
            </w:r>
            <w:r>
              <w:rPr>
                <w:rFonts w:hint="eastAsia" w:ascii="宋体" w:hAnsi="宋体" w:eastAsia="宋体" w:cs="宋体"/>
                <w:sz w:val="23"/>
                <w:szCs w:val="23"/>
                <w:u w:val="single" w:color="auto"/>
              </w:rPr>
              <w:t xml:space="preserve">     </w:t>
            </w:r>
            <w:r>
              <w:rPr>
                <w:rFonts w:hint="eastAsia" w:ascii="宋体" w:hAnsi="宋体" w:eastAsia="宋体" w:cs="宋体"/>
                <w:spacing w:val="4"/>
                <w:sz w:val="23"/>
                <w:szCs w:val="23"/>
                <w:u w:val="single" w:color="auto"/>
              </w:rPr>
              <w:t>(签字)</w:t>
            </w:r>
            <w:r>
              <w:rPr>
                <w:rFonts w:hint="eastAsia" w:ascii="宋体" w:hAnsi="宋体" w:eastAsia="宋体" w:cs="宋体"/>
                <w:sz w:val="23"/>
                <w:szCs w:val="23"/>
                <w:u w:val="single" w:color="auto"/>
              </w:rPr>
              <w:t xml:space="preserve">      </w:t>
            </w:r>
          </w:p>
        </w:tc>
      </w:tr>
      <w:tr w14:paraId="6BC3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7681C129">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开户银行</w:t>
            </w:r>
            <w:r>
              <w:rPr>
                <w:rFonts w:hint="eastAsia" w:ascii="宋体" w:hAnsi="宋体" w:eastAsia="宋体" w:cs="宋体"/>
                <w:spacing w:val="5"/>
                <w:sz w:val="23"/>
                <w:szCs w:val="23"/>
              </w:rPr>
              <w:t>：</w:t>
            </w:r>
          </w:p>
        </w:tc>
        <w:tc>
          <w:tcPr>
            <w:tcW w:w="4261" w:type="dxa"/>
            <w:tcBorders>
              <w:tl2br w:val="nil"/>
              <w:tr2bl w:val="nil"/>
            </w:tcBorders>
            <w:vAlign w:val="top"/>
          </w:tcPr>
          <w:p w14:paraId="1226E8AA">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开户银行</w:t>
            </w:r>
            <w:r>
              <w:rPr>
                <w:rFonts w:hint="eastAsia" w:ascii="宋体" w:hAnsi="宋体" w:eastAsia="宋体" w:cs="宋体"/>
                <w:spacing w:val="5"/>
                <w:sz w:val="23"/>
                <w:szCs w:val="23"/>
              </w:rPr>
              <w:t>：</w:t>
            </w:r>
          </w:p>
        </w:tc>
      </w:tr>
      <w:tr w14:paraId="5D878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5BDD88F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2"/>
                <w:sz w:val="23"/>
                <w:szCs w:val="23"/>
              </w:rPr>
              <w:t>账号：</w:t>
            </w:r>
          </w:p>
        </w:tc>
        <w:tc>
          <w:tcPr>
            <w:tcW w:w="4261" w:type="dxa"/>
            <w:tcBorders>
              <w:tl2br w:val="nil"/>
              <w:tr2bl w:val="nil"/>
            </w:tcBorders>
            <w:vAlign w:val="top"/>
          </w:tcPr>
          <w:p w14:paraId="0F04A03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2"/>
                <w:sz w:val="23"/>
                <w:szCs w:val="23"/>
              </w:rPr>
              <w:t>账号：</w:t>
            </w:r>
          </w:p>
        </w:tc>
      </w:tr>
      <w:tr w14:paraId="2C83F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24C7B436">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电话：</w:t>
            </w:r>
          </w:p>
        </w:tc>
        <w:tc>
          <w:tcPr>
            <w:tcW w:w="4261" w:type="dxa"/>
            <w:tcBorders>
              <w:tl2br w:val="nil"/>
              <w:tr2bl w:val="nil"/>
            </w:tcBorders>
            <w:vAlign w:val="top"/>
          </w:tcPr>
          <w:p w14:paraId="281E6971">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电话：</w:t>
            </w:r>
          </w:p>
        </w:tc>
      </w:tr>
      <w:tr w14:paraId="7D3D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5D4F346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传真：</w:t>
            </w:r>
          </w:p>
        </w:tc>
        <w:tc>
          <w:tcPr>
            <w:tcW w:w="4261" w:type="dxa"/>
            <w:tcBorders>
              <w:tl2br w:val="nil"/>
              <w:tr2bl w:val="nil"/>
            </w:tcBorders>
            <w:vAlign w:val="top"/>
          </w:tcPr>
          <w:p w14:paraId="28A033B5">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传真：</w:t>
            </w:r>
          </w:p>
        </w:tc>
      </w:tr>
      <w:tr w14:paraId="09BB7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33B220E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
                <w:sz w:val="23"/>
                <w:szCs w:val="23"/>
              </w:rPr>
              <w:t>电子</w:t>
            </w:r>
            <w:r>
              <w:rPr>
                <w:rFonts w:hint="eastAsia" w:ascii="宋体" w:hAnsi="宋体" w:eastAsia="宋体" w:cs="宋体"/>
                <w:sz w:val="23"/>
                <w:szCs w:val="23"/>
              </w:rPr>
              <w:t>邮箱：</w:t>
            </w:r>
          </w:p>
        </w:tc>
        <w:tc>
          <w:tcPr>
            <w:tcW w:w="4261" w:type="dxa"/>
            <w:tcBorders>
              <w:tl2br w:val="nil"/>
              <w:tr2bl w:val="nil"/>
            </w:tcBorders>
            <w:vAlign w:val="top"/>
          </w:tcPr>
          <w:p w14:paraId="545E976A">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
                <w:sz w:val="23"/>
                <w:szCs w:val="23"/>
              </w:rPr>
              <w:t>电子</w:t>
            </w:r>
            <w:r>
              <w:rPr>
                <w:rFonts w:hint="eastAsia" w:ascii="宋体" w:hAnsi="宋体" w:eastAsia="宋体" w:cs="宋体"/>
                <w:sz w:val="23"/>
                <w:szCs w:val="23"/>
              </w:rPr>
              <w:t>邮箱：</w:t>
            </w:r>
          </w:p>
        </w:tc>
      </w:tr>
    </w:tbl>
    <w:p w14:paraId="34F9895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val="en-US" w:eastAsia="zh-CN"/>
        </w:rPr>
      </w:pPr>
    </w:p>
    <w:p w14:paraId="0B92AD9F">
      <w:pPr>
        <w:pStyle w:val="6"/>
        <w:rPr>
          <w:rFonts w:hint="eastAsia" w:ascii="宋体" w:hAnsi="宋体" w:eastAsia="宋体" w:cs="宋体"/>
          <w:sz w:val="23"/>
          <w:szCs w:val="23"/>
          <w:lang w:val="en-US" w:eastAsia="zh-CN"/>
        </w:rPr>
      </w:pPr>
    </w:p>
    <w:p w14:paraId="375D8D88">
      <w:pPr>
        <w:pStyle w:val="2"/>
        <w:bidi w:val="0"/>
        <w:rPr>
          <w:rFonts w:hint="eastAsia" w:ascii="宋体" w:hAnsi="宋体" w:eastAsia="宋体" w:cs="宋体"/>
          <w:b w:val="0"/>
          <w:bCs w:val="0"/>
          <w:szCs w:val="23"/>
          <w:vertAlign w:val="baseline"/>
          <w:lang w:val="en-US" w:eastAsia="zh-CN"/>
        </w:rPr>
      </w:pPr>
      <w:r>
        <w:rPr>
          <w:rFonts w:hint="eastAsia"/>
          <w:lang w:eastAsia="zh-CN"/>
        </w:rPr>
        <w:t>第五章</w:t>
      </w:r>
      <w:r>
        <w:rPr>
          <w:rFonts w:hint="eastAsia"/>
          <w:lang w:val="en-US" w:eastAsia="zh-CN"/>
        </w:rPr>
        <w:t xml:space="preserve"> </w:t>
      </w:r>
      <w:r>
        <w:rPr>
          <w:rFonts w:hint="eastAsia"/>
          <w:lang w:eastAsia="zh-CN"/>
        </w:rPr>
        <w:t>采购内容及技术要求</w:t>
      </w:r>
      <w:bookmarkEnd w:id="23"/>
    </w:p>
    <w:p w14:paraId="2737A805">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default"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一、项目概况</w:t>
      </w:r>
    </w:p>
    <w:p w14:paraId="462EF7CD">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default"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1、项目名称</w:t>
      </w:r>
    </w:p>
    <w:p w14:paraId="7444B3DF">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神木市麟州街道病媒生物防治服务。</w:t>
      </w:r>
    </w:p>
    <w:p w14:paraId="01004A59">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default"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2、服务范围</w:t>
      </w:r>
    </w:p>
    <w:p w14:paraId="55FA2BE7">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麟州街道位于主城区，下辖16个社区，人口众多，老旧小区密集、餐饮商铺集中。当前正值病媒孳生高发期，为全面落实爱国卫生运动要求，切实防病媒传染风险，我街道需对辖区背街小巷、居民小区、居民四合院、居民旱厕、街道和社区办公场所等公共区域实施消杀、防治设施维护及第三方专业服务全覆盖等系统性病媒生物防治工作，具体服务内容后附清单，标“</w:t>
      </w:r>
      <w:r>
        <w:rPr>
          <w:rFonts w:hint="eastAsia" w:ascii="宋体" w:hAnsi="宋体" w:eastAsia="宋体" w:cs="宋体"/>
          <w:b/>
          <w:bCs/>
          <w:color w:val="000000"/>
          <w:sz w:val="23"/>
          <w:szCs w:val="23"/>
          <w:lang w:val="en-US" w:eastAsia="zh-CN"/>
        </w:rPr>
        <w:t>※</w:t>
      </w:r>
      <w:r>
        <w:rPr>
          <w:rFonts w:hint="eastAsia" w:ascii="宋体" w:hAnsi="宋体" w:eastAsia="宋体" w:cs="宋体"/>
          <w:color w:val="000000"/>
          <w:sz w:val="23"/>
          <w:szCs w:val="23"/>
          <w:lang w:val="en-US" w:eastAsia="zh-CN"/>
        </w:rPr>
        <w:t>”部分不在本次采购范围内。</w:t>
      </w:r>
    </w:p>
    <w:p w14:paraId="685816C1">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default"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3、服务期限：自合同签订之日起一年</w:t>
      </w:r>
    </w:p>
    <w:p w14:paraId="51C48CAD">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default"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4、项目预算：1800000元</w:t>
      </w:r>
    </w:p>
    <w:p w14:paraId="37C3DF0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default"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二、服务内容及要求</w:t>
      </w:r>
    </w:p>
    <w:p w14:paraId="38F7D65C">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1、防治目标：通过全面开展病媒生物消杀服务，确保鼠、蚊、蝇、蟑螂密度各项指标达到国家病媒生物密度控制水平标准C级及以上要求。</w:t>
      </w:r>
    </w:p>
    <w:p w14:paraId="1167A0AB">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防治措施：病媒生物防治是一个发现问题、解决问题，完善各方面体系的过程，对此，供应商应根据实际情况，采取预防为主，治理为辅的原则，对易引起虫害问题的环境进行分析并给予相关专业意见及处理方法。 </w:t>
      </w:r>
    </w:p>
    <w:p w14:paraId="5C06123F">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（1）鼠类综合防治</w:t>
      </w:r>
    </w:p>
    <w:p w14:paraId="22B8154E">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依据国家GB/T27770-2025鼠类控制标准，每次开展工作前对服务范围内建筑物外围、路面、下水道、绿化带等地域环境进行鼠情勘查，查清鼠类栖息、繁殖活动场所、老鼠种类及数量、危害程度、建立档案。根据各地的现场特点，科学合理的采用环境治理、生物防治、化学防治和其它防治方法的综合防治措施。</w:t>
      </w:r>
    </w:p>
    <w:p w14:paraId="2E2AF104">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1）灭鼠筹备工作</w:t>
      </w:r>
    </w:p>
    <w:p w14:paraId="4E059415">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①认真做好灭鼠前的安全宣传工作:在投药前认真开展灭鼠的宣传工作，注明投放灭鼠毒饵种类、警告色和有关注意事项，杜绝误食灭鼠毒饵的中毒事件发生。</w:t>
      </w:r>
    </w:p>
    <w:p w14:paraId="139B3AC1">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②做好灭鼠前后密度监测:在大面积开展灭鼠工作前后，采用鼠饵盗食法在防治区域进行鼠密度监测，对监测数据进行分析、归档。</w:t>
      </w:r>
    </w:p>
    <w:p w14:paraId="6E991EC9">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③灭鼠药剂的选定：选择国家推荐灭鼠使用的药剂。</w:t>
      </w:r>
    </w:p>
    <w:p w14:paraId="6172D25C">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2）灭鼠毒饵投放标准</w:t>
      </w:r>
    </w:p>
    <w:p w14:paraId="798D973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①在企事业单位、学校、医院、汽车站、商场、超市、宾馆、饭店、小餐饮门店、农贸市场、公厕等建筑物外围及公共区域，沿建筑物靠墙脚处5-19米的隐蔽处投放1堆毒饵，每堆10-15克，在有毒饵站的位置，毒饵投放于毒饵站内，毒饵站外不投放，做到毒饵投放隐蔽、安全。</w:t>
      </w:r>
    </w:p>
    <w:p w14:paraId="095F36AB">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②在全面投药后的第二天开始检查灭鼠毒饵窃食情况，连续3天，对窃食的毒饵及时补充，吃多少补多少，吃完加倍补投，直到不吃为止。</w:t>
      </w:r>
    </w:p>
    <w:p w14:paraId="2B27BE73">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3）鼠类防治</w:t>
      </w:r>
    </w:p>
    <w:p w14:paraId="4D20A09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①采用环境综合治理方法</w:t>
      </w:r>
    </w:p>
    <w:p w14:paraId="7E29D40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a.环境治理：开展灭鼠宣传</w:t>
      </w:r>
    </w:p>
    <w:p w14:paraId="6F0FBA6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b.做好“查、堵鼠洞工作”</w:t>
      </w:r>
    </w:p>
    <w:p w14:paraId="1C7DF0F1">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②化学灭鼠措施</w:t>
      </w:r>
    </w:p>
    <w:p w14:paraId="2B0C8ED5">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a.定期维护鼠饵站</w:t>
      </w:r>
    </w:p>
    <w:p w14:paraId="6AB675E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b.用药安全标识：在灭鼠工作期间，每个投药点均张贴明显不干胶警示标签，警示标识纸内容包括药物名称、警示提示、有效解药、应急联系方式等内容。</w:t>
      </w:r>
    </w:p>
    <w:p w14:paraId="51D7B0C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③清理鼠迹</w:t>
      </w:r>
    </w:p>
    <w:p w14:paraId="2418A913">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在灭鼠工作过程中，供应商技术人员负责清扫死鼠等工作，死鼠清理要做到集中回收、集中焚烧，深处填埋，不允许乱扔到垃圾桶内，避免产生二次污染。</w:t>
      </w:r>
    </w:p>
    <w:p w14:paraId="21AC8B4F">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（2）蚊类综合防治</w:t>
      </w:r>
    </w:p>
    <w:p w14:paraId="39721EDE">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依据国家GB/T27771-2025蚊类控制标准，在开展工作前，做一次全面的孳生地调查，把清除孳生地作为主要手段，辅以生物或化学防治方法杀灭蚊子幼虫，以控制蚊类的孳生。成虫密度高的场所用化学方法进行成蚊防治。</w:t>
      </w:r>
    </w:p>
    <w:p w14:paraId="686075B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1）对蚊幼虫的控制措施</w:t>
      </w:r>
    </w:p>
    <w:p w14:paraId="4F6F4ED7">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①幼蚊孳生地调查及处理</w:t>
      </w:r>
    </w:p>
    <w:p w14:paraId="2C6A4715">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按照工作常规，对服务范围内开展蚊幼孳生地调查，检查各种水体(如下水道、地下室、绿植花盆等)。</w:t>
      </w:r>
    </w:p>
    <w:p w14:paraId="6A08DD91">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②环境治理</w:t>
      </w:r>
    </w:p>
    <w:p w14:paraId="0170D5B7">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定期检查、清理外环境容器性积水和其它小型积水，控制蚊虫孳生。</w:t>
      </w:r>
    </w:p>
    <w:p w14:paraId="057DB8E9">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③小型积水的蚊幼控制</w:t>
      </w:r>
    </w:p>
    <w:p w14:paraId="62556544">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a.技术人员在工作中主动宣传，主动及时清理可以清理的地点。对不能清除的水体，定期检查，发现后及时使用杀虫剂处理。</w:t>
      </w:r>
    </w:p>
    <w:p w14:paraId="14BB9636">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b.使用药物控制</w:t>
      </w:r>
    </w:p>
    <w:p w14:paraId="4BD4D814">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2）对成蚊控制的方法</w:t>
      </w:r>
    </w:p>
    <w:p w14:paraId="034EBDCF">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采用滞留喷洒方法处理室内、室外活动区等场所，控制成蚊数量。</w:t>
      </w:r>
    </w:p>
    <w:p w14:paraId="6B79DAA1">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（3）蝇类综合防治</w:t>
      </w:r>
    </w:p>
    <w:p w14:paraId="3F2CE4BE">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依据国家GB/T27772－2025蝇类控制标准，对服务区域内蝇类孳生地进行科学合理防治。</w:t>
      </w:r>
    </w:p>
    <w:p w14:paraId="304E60CE">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1）开展蝇密度监测</w:t>
      </w:r>
    </w:p>
    <w:p w14:paraId="520EB69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定期对防治区域苍蝇密度进行监测，以孳生地阳性率与垃圾堆放点周边成蝇作为监测数据，及时掌握苍蝇密度。</w:t>
      </w:r>
    </w:p>
    <w:p w14:paraId="7179865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2）环境治理</w:t>
      </w:r>
    </w:p>
    <w:p w14:paraId="4EDE94F6">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①工作人员认真做好环境治理工作，积极配合开展灭蝇知识宣传活动，切实做好生活垃圾袋装收集、及时清扫绿化带内散在垃圾，避免蝇蛆孳生。</w:t>
      </w:r>
    </w:p>
    <w:p w14:paraId="648976B7">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②协助指导防治区域内各活动场所认真做到生活垃圾日产日清，纱门纱窗等防蝇设施齐全，做好保洁，垃圾箱内垃圾每天彻底清运，做到底洁角净，并能做到定期冲洗，减少蝇蛆孳生。</w:t>
      </w:r>
    </w:p>
    <w:p w14:paraId="6115AAF9">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③灭蝇蛆和成蝇的化学防治方法</w:t>
      </w:r>
    </w:p>
    <w:p w14:paraId="4F1FB5A6">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a.常量滞留喷洒防治：采用化学杀虫剂进行常量喷洒，杀灭孳生场所的蝇蛆及成蝇。选用化学药物轮换喷洒垃圾箱、果壳箱及污水管道等蝇类孳生物质及其附近苍蝇停留场所。</w:t>
      </w:r>
    </w:p>
    <w:p w14:paraId="7C3A6FBE">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b.绿篱技术防治：绿化带环境中苍蝇，其他飞虫的防治采用绿篱技术持续控制至低密度，用专业的低容量喷雾器。</w:t>
      </w:r>
    </w:p>
    <w:p w14:paraId="0B127C15">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c.空间喷洒防治：采用空间喷洒方法杀灭成蝇。厨房餐厅周边、垃圾箱（房）、卫生间等多蝇场所，对成蝇活动空间进行喷洒，空间喷洒灭成蝇选在蚊蝇高峰期无雨的日出或黄昏时进行。</w:t>
      </w:r>
    </w:p>
    <w:p w14:paraId="5BEDF95E">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d.灭蝇毒饵防治：在苍蝇密度较高的场所如厨房餐厅周边、垃圾箱（房）、卫生间等处附近进行悬挂灭蝇袋。</w:t>
      </w:r>
    </w:p>
    <w:p w14:paraId="609F7B9D">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3）成蝇的物理方法控制</w:t>
      </w:r>
    </w:p>
    <w:p w14:paraId="2A45FAC5">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垃圾箱房等周边环境及绿化带设置诱蝇袋捕成蝇，诱捕成蝇的诱饵根据季节、蝇种变化及时调整，一般为鱼腥、豆渣及糖醋混合物，诱饵保持新鲜，也可参照笼捕法苍蝇密度测定的诱饵选择，另根据具体情况可适时采用粘虫纸、粘虫带等物理措施进行防治。</w:t>
      </w:r>
    </w:p>
    <w:p w14:paraId="00D4C6F1">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4）蝇密度监测</w:t>
      </w:r>
    </w:p>
    <w:p w14:paraId="6A6BB657">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定期对苍蝇密度进行监测，以孳生地阳性率与垃圾堆放点周边成蝇作为监测数据，及时掌握苍蝇密度。</w:t>
      </w:r>
    </w:p>
    <w:p w14:paraId="3E3B4595">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（4）蟑螂综合防治</w:t>
      </w:r>
    </w:p>
    <w:p w14:paraId="3457E5C0">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依据国家GB/T27773－2025蟑类控制标准进行科学合理防治。</w:t>
      </w:r>
    </w:p>
    <w:p w14:paraId="5BFDF6F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1）实施物理防治</w:t>
      </w:r>
    </w:p>
    <w:p w14:paraId="1A654300">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2）蟑螂的控制技术</w:t>
      </w:r>
    </w:p>
    <w:p w14:paraId="0748E520">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①环境整治：以治理环境卫生为基本措施，对蟑螂栖息的暗角，清除杂物、堆积物、垃圾，必要的情况下对室内的缝隙指导堵塞，减少外界蟑螂的主动迁移。</w:t>
      </w:r>
    </w:p>
    <w:p w14:paraId="4995C38E">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②合理使用化学药物防治：在认真做好环境治理的基础上，根据防治环境的不同选择使用不同的具有高效、低毒、滞效时间较长的化学药物进行滞留喷洒，迅速降低蟑螂密度。</w:t>
      </w:r>
    </w:p>
    <w:p w14:paraId="0E24DFEC">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3）灭蟑成果的巩固防治</w:t>
      </w:r>
    </w:p>
    <w:p w14:paraId="2DD37D7B">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color w:val="000000"/>
          <w:sz w:val="23"/>
          <w:szCs w:val="23"/>
          <w:lang w:val="en-US" w:eastAsia="zh-CN"/>
        </w:rPr>
        <w:sectPr>
          <w:footerReference r:id="rId7"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3"/>
          <w:cols w:space="425" w:num="1"/>
          <w:docGrid w:type="lines" w:linePitch="312" w:charSpace="0"/>
        </w:sectPr>
      </w:pPr>
      <w:r>
        <w:rPr>
          <w:rFonts w:hint="eastAsia" w:ascii="宋体" w:hAnsi="宋体" w:eastAsia="宋体" w:cs="宋体"/>
          <w:color w:val="000000"/>
          <w:sz w:val="23"/>
          <w:szCs w:val="23"/>
          <w:lang w:val="en-US" w:eastAsia="zh-CN"/>
        </w:rPr>
        <w:t>大面积灭蟑后，做好成果巩固工作。</w:t>
      </w:r>
    </w:p>
    <w:tbl>
      <w:tblPr>
        <w:tblStyle w:val="19"/>
        <w:tblW w:w="145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5"/>
        <w:gridCol w:w="2100"/>
        <w:gridCol w:w="917"/>
        <w:gridCol w:w="600"/>
        <w:gridCol w:w="1233"/>
        <w:gridCol w:w="1533"/>
        <w:gridCol w:w="1217"/>
        <w:gridCol w:w="1506"/>
        <w:gridCol w:w="1330"/>
        <w:gridCol w:w="1505"/>
        <w:gridCol w:w="1217"/>
        <w:gridCol w:w="845"/>
      </w:tblGrid>
      <w:tr w14:paraId="4CAA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75" w:type="dxa"/>
            <w:vMerge w:val="restart"/>
            <w:tcBorders>
              <w:top w:val="single" w:color="000000" w:sz="4" w:space="0"/>
              <w:left w:val="single" w:color="000000" w:sz="4" w:space="0"/>
              <w:bottom w:val="single" w:color="000000" w:sz="4" w:space="0"/>
              <w:right w:val="single" w:color="000000" w:sz="4" w:space="0"/>
            </w:tcBorders>
            <w:noWrap/>
            <w:vAlign w:val="center"/>
          </w:tcPr>
          <w:p w14:paraId="30364B6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序号</w:t>
            </w:r>
          </w:p>
        </w:tc>
        <w:tc>
          <w:tcPr>
            <w:tcW w:w="2100" w:type="dxa"/>
            <w:vMerge w:val="restart"/>
            <w:tcBorders>
              <w:top w:val="single" w:color="000000" w:sz="4" w:space="0"/>
              <w:left w:val="single" w:color="000000" w:sz="4" w:space="0"/>
              <w:bottom w:val="single" w:color="000000" w:sz="4" w:space="0"/>
              <w:right w:val="single" w:color="000000" w:sz="4" w:space="0"/>
            </w:tcBorders>
            <w:noWrap/>
            <w:vAlign w:val="center"/>
          </w:tcPr>
          <w:p w14:paraId="12859516">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区域</w:t>
            </w:r>
          </w:p>
        </w:tc>
        <w:tc>
          <w:tcPr>
            <w:tcW w:w="917" w:type="dxa"/>
            <w:vMerge w:val="restart"/>
            <w:tcBorders>
              <w:top w:val="single" w:color="000000" w:sz="4" w:space="0"/>
              <w:left w:val="single" w:color="000000" w:sz="4" w:space="0"/>
              <w:bottom w:val="single" w:color="000000" w:sz="4" w:space="0"/>
              <w:right w:val="single" w:color="000000" w:sz="4" w:space="0"/>
            </w:tcBorders>
            <w:noWrap/>
            <w:vAlign w:val="center"/>
          </w:tcPr>
          <w:p w14:paraId="1A12465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数量</w:t>
            </w:r>
          </w:p>
        </w:tc>
        <w:tc>
          <w:tcPr>
            <w:tcW w:w="600" w:type="dxa"/>
            <w:vMerge w:val="restart"/>
            <w:tcBorders>
              <w:top w:val="single" w:color="000000" w:sz="4" w:space="0"/>
              <w:left w:val="single" w:color="000000" w:sz="4" w:space="0"/>
              <w:bottom w:val="single" w:color="000000" w:sz="4" w:space="0"/>
              <w:right w:val="single" w:color="000000" w:sz="4" w:space="0"/>
            </w:tcBorders>
            <w:noWrap/>
            <w:vAlign w:val="center"/>
          </w:tcPr>
          <w:p w14:paraId="3729C1D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单位</w:t>
            </w:r>
          </w:p>
        </w:tc>
        <w:tc>
          <w:tcPr>
            <w:tcW w:w="1233" w:type="dxa"/>
            <w:vMerge w:val="restart"/>
            <w:tcBorders>
              <w:top w:val="single" w:color="000000" w:sz="4" w:space="0"/>
              <w:left w:val="single" w:color="000000" w:sz="4" w:space="0"/>
              <w:bottom w:val="single" w:color="000000" w:sz="4" w:space="0"/>
              <w:right w:val="single" w:color="000000" w:sz="4" w:space="0"/>
            </w:tcBorders>
            <w:noWrap w:val="0"/>
            <w:vAlign w:val="center"/>
          </w:tcPr>
          <w:p w14:paraId="4DDF0302">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平均面积(㎡)</w:t>
            </w:r>
          </w:p>
        </w:tc>
        <w:tc>
          <w:tcPr>
            <w:tcW w:w="2750" w:type="dxa"/>
            <w:gridSpan w:val="2"/>
            <w:vMerge w:val="restart"/>
            <w:tcBorders>
              <w:top w:val="single" w:color="000000" w:sz="4" w:space="0"/>
              <w:left w:val="single" w:color="000000" w:sz="4" w:space="0"/>
              <w:bottom w:val="single" w:color="000000" w:sz="4" w:space="0"/>
              <w:right w:val="single" w:color="000000" w:sz="4" w:space="0"/>
            </w:tcBorders>
            <w:noWrap/>
            <w:vAlign w:val="center"/>
          </w:tcPr>
          <w:p w14:paraId="74B8170C">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灭鼠</w:t>
            </w:r>
          </w:p>
        </w:tc>
        <w:tc>
          <w:tcPr>
            <w:tcW w:w="2836" w:type="dxa"/>
            <w:gridSpan w:val="2"/>
            <w:vMerge w:val="restart"/>
            <w:tcBorders>
              <w:top w:val="single" w:color="000000" w:sz="4" w:space="0"/>
              <w:left w:val="single" w:color="000000" w:sz="4" w:space="0"/>
              <w:bottom w:val="single" w:color="000000" w:sz="4" w:space="0"/>
              <w:right w:val="single" w:color="000000" w:sz="4" w:space="0"/>
            </w:tcBorders>
            <w:noWrap/>
            <w:vAlign w:val="center"/>
          </w:tcPr>
          <w:p w14:paraId="30E400F6">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灭蚊蝇</w:t>
            </w:r>
          </w:p>
        </w:tc>
        <w:tc>
          <w:tcPr>
            <w:tcW w:w="2722" w:type="dxa"/>
            <w:gridSpan w:val="2"/>
            <w:vMerge w:val="restart"/>
            <w:tcBorders>
              <w:top w:val="single" w:color="000000" w:sz="4" w:space="0"/>
              <w:left w:val="single" w:color="000000" w:sz="4" w:space="0"/>
              <w:bottom w:val="single" w:color="000000" w:sz="4" w:space="0"/>
              <w:right w:val="single" w:color="000000" w:sz="4" w:space="0"/>
            </w:tcBorders>
            <w:noWrap/>
            <w:vAlign w:val="center"/>
          </w:tcPr>
          <w:p w14:paraId="50E07A4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灭蟑</w:t>
            </w:r>
          </w:p>
        </w:tc>
        <w:tc>
          <w:tcPr>
            <w:tcW w:w="845" w:type="dxa"/>
            <w:vMerge w:val="restart"/>
            <w:tcBorders>
              <w:top w:val="single" w:color="000000" w:sz="4" w:space="0"/>
              <w:left w:val="single" w:color="000000" w:sz="4" w:space="0"/>
              <w:bottom w:val="single" w:color="000000" w:sz="4" w:space="0"/>
              <w:right w:val="single" w:color="000000" w:sz="4" w:space="0"/>
            </w:tcBorders>
            <w:noWrap/>
            <w:vAlign w:val="center"/>
          </w:tcPr>
          <w:p w14:paraId="2CBEEFBB">
            <w:pPr>
              <w:bidi w:val="0"/>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合计</w:t>
            </w:r>
          </w:p>
          <w:p w14:paraId="4E93B60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(元)</w:t>
            </w:r>
          </w:p>
        </w:tc>
      </w:tr>
      <w:tr w14:paraId="68EF5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noWrap/>
            <w:vAlign w:val="center"/>
          </w:tcPr>
          <w:p w14:paraId="30BFFC12">
            <w:pPr>
              <w:bidi w:val="0"/>
              <w:jc w:val="center"/>
              <w:rPr>
                <w:rFonts w:hint="eastAsia" w:ascii="宋体" w:hAnsi="宋体" w:eastAsia="宋体" w:cs="宋体"/>
                <w:sz w:val="23"/>
                <w:szCs w:val="23"/>
              </w:rPr>
            </w:pPr>
          </w:p>
        </w:tc>
        <w:tc>
          <w:tcPr>
            <w:tcW w:w="2100" w:type="dxa"/>
            <w:vMerge w:val="continue"/>
            <w:tcBorders>
              <w:top w:val="single" w:color="000000" w:sz="4" w:space="0"/>
              <w:left w:val="single" w:color="000000" w:sz="4" w:space="0"/>
              <w:bottom w:val="single" w:color="000000" w:sz="4" w:space="0"/>
              <w:right w:val="single" w:color="000000" w:sz="4" w:space="0"/>
            </w:tcBorders>
            <w:noWrap/>
            <w:vAlign w:val="center"/>
          </w:tcPr>
          <w:p w14:paraId="7E371253">
            <w:pPr>
              <w:bidi w:val="0"/>
              <w:jc w:val="center"/>
              <w:rPr>
                <w:rFonts w:hint="eastAsia" w:ascii="宋体" w:hAnsi="宋体" w:eastAsia="宋体" w:cs="宋体"/>
                <w:sz w:val="23"/>
                <w:szCs w:val="23"/>
              </w:rPr>
            </w:pPr>
          </w:p>
        </w:tc>
        <w:tc>
          <w:tcPr>
            <w:tcW w:w="917" w:type="dxa"/>
            <w:vMerge w:val="continue"/>
            <w:tcBorders>
              <w:top w:val="single" w:color="000000" w:sz="4" w:space="0"/>
              <w:left w:val="single" w:color="000000" w:sz="4" w:space="0"/>
              <w:bottom w:val="single" w:color="000000" w:sz="4" w:space="0"/>
              <w:right w:val="single" w:color="000000" w:sz="4" w:space="0"/>
            </w:tcBorders>
            <w:noWrap/>
            <w:vAlign w:val="center"/>
          </w:tcPr>
          <w:p w14:paraId="0F68670C">
            <w:pPr>
              <w:bidi w:val="0"/>
              <w:jc w:val="center"/>
              <w:rPr>
                <w:rFonts w:hint="eastAsia" w:ascii="宋体" w:hAnsi="宋体" w:eastAsia="宋体" w:cs="宋体"/>
                <w:sz w:val="23"/>
                <w:szCs w:val="23"/>
              </w:rPr>
            </w:pPr>
          </w:p>
        </w:tc>
        <w:tc>
          <w:tcPr>
            <w:tcW w:w="600" w:type="dxa"/>
            <w:vMerge w:val="continue"/>
            <w:tcBorders>
              <w:top w:val="single" w:color="000000" w:sz="4" w:space="0"/>
              <w:left w:val="single" w:color="000000" w:sz="4" w:space="0"/>
              <w:bottom w:val="single" w:color="000000" w:sz="4" w:space="0"/>
              <w:right w:val="single" w:color="000000" w:sz="4" w:space="0"/>
            </w:tcBorders>
            <w:noWrap/>
            <w:vAlign w:val="center"/>
          </w:tcPr>
          <w:p w14:paraId="0836591F">
            <w:pPr>
              <w:bidi w:val="0"/>
              <w:jc w:val="center"/>
              <w:rPr>
                <w:rFonts w:hint="eastAsia" w:ascii="宋体" w:hAnsi="宋体" w:eastAsia="宋体" w:cs="宋体"/>
                <w:sz w:val="23"/>
                <w:szCs w:val="23"/>
              </w:rPr>
            </w:pP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2DE908">
            <w:pPr>
              <w:bidi w:val="0"/>
              <w:jc w:val="center"/>
              <w:rPr>
                <w:rFonts w:hint="eastAsia" w:ascii="宋体" w:hAnsi="宋体" w:eastAsia="宋体" w:cs="宋体"/>
                <w:sz w:val="23"/>
                <w:szCs w:val="23"/>
              </w:rPr>
            </w:pPr>
          </w:p>
        </w:tc>
        <w:tc>
          <w:tcPr>
            <w:tcW w:w="2750"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013C8BA2">
            <w:pPr>
              <w:bidi w:val="0"/>
              <w:jc w:val="center"/>
              <w:rPr>
                <w:rFonts w:hint="eastAsia" w:ascii="宋体" w:hAnsi="宋体" w:eastAsia="宋体" w:cs="宋体"/>
                <w:sz w:val="23"/>
                <w:szCs w:val="23"/>
              </w:rPr>
            </w:pPr>
          </w:p>
        </w:tc>
        <w:tc>
          <w:tcPr>
            <w:tcW w:w="2836"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3AB644C7">
            <w:pPr>
              <w:bidi w:val="0"/>
              <w:jc w:val="center"/>
              <w:rPr>
                <w:rFonts w:hint="eastAsia" w:ascii="宋体" w:hAnsi="宋体" w:eastAsia="宋体" w:cs="宋体"/>
                <w:sz w:val="23"/>
                <w:szCs w:val="23"/>
              </w:rPr>
            </w:pPr>
          </w:p>
        </w:tc>
        <w:tc>
          <w:tcPr>
            <w:tcW w:w="272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371984CB">
            <w:pPr>
              <w:bidi w:val="0"/>
              <w:jc w:val="center"/>
              <w:rPr>
                <w:rFonts w:hint="eastAsia" w:ascii="宋体" w:hAnsi="宋体" w:eastAsia="宋体" w:cs="宋体"/>
                <w:sz w:val="23"/>
                <w:szCs w:val="23"/>
              </w:rPr>
            </w:pPr>
          </w:p>
        </w:tc>
        <w:tc>
          <w:tcPr>
            <w:tcW w:w="845" w:type="dxa"/>
            <w:vMerge w:val="continue"/>
            <w:tcBorders>
              <w:top w:val="single" w:color="000000" w:sz="4" w:space="0"/>
              <w:left w:val="single" w:color="000000" w:sz="4" w:space="0"/>
              <w:bottom w:val="single" w:color="000000" w:sz="4" w:space="0"/>
              <w:right w:val="single" w:color="000000" w:sz="4" w:space="0"/>
            </w:tcBorders>
            <w:noWrap/>
            <w:vAlign w:val="center"/>
          </w:tcPr>
          <w:p w14:paraId="1F972F87">
            <w:pPr>
              <w:bidi w:val="0"/>
              <w:jc w:val="center"/>
              <w:rPr>
                <w:rFonts w:hint="eastAsia" w:ascii="宋体" w:hAnsi="宋体" w:eastAsia="宋体" w:cs="宋体"/>
                <w:sz w:val="23"/>
                <w:szCs w:val="23"/>
              </w:rPr>
            </w:pPr>
          </w:p>
        </w:tc>
      </w:tr>
      <w:tr w14:paraId="46257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noWrap/>
            <w:vAlign w:val="center"/>
          </w:tcPr>
          <w:p w14:paraId="2ACED8AF">
            <w:pPr>
              <w:bidi w:val="0"/>
              <w:jc w:val="center"/>
              <w:rPr>
                <w:rFonts w:hint="eastAsia" w:ascii="宋体" w:hAnsi="宋体" w:eastAsia="宋体" w:cs="宋体"/>
                <w:sz w:val="23"/>
                <w:szCs w:val="23"/>
              </w:rPr>
            </w:pPr>
          </w:p>
        </w:tc>
        <w:tc>
          <w:tcPr>
            <w:tcW w:w="2100" w:type="dxa"/>
            <w:vMerge w:val="continue"/>
            <w:tcBorders>
              <w:top w:val="single" w:color="000000" w:sz="4" w:space="0"/>
              <w:left w:val="single" w:color="000000" w:sz="4" w:space="0"/>
              <w:bottom w:val="single" w:color="000000" w:sz="4" w:space="0"/>
              <w:right w:val="single" w:color="000000" w:sz="4" w:space="0"/>
            </w:tcBorders>
            <w:noWrap/>
            <w:vAlign w:val="center"/>
          </w:tcPr>
          <w:p w14:paraId="67F8858A">
            <w:pPr>
              <w:bidi w:val="0"/>
              <w:jc w:val="center"/>
              <w:rPr>
                <w:rFonts w:hint="eastAsia" w:ascii="宋体" w:hAnsi="宋体" w:eastAsia="宋体" w:cs="宋体"/>
                <w:sz w:val="23"/>
                <w:szCs w:val="23"/>
              </w:rPr>
            </w:pPr>
          </w:p>
        </w:tc>
        <w:tc>
          <w:tcPr>
            <w:tcW w:w="917" w:type="dxa"/>
            <w:vMerge w:val="continue"/>
            <w:tcBorders>
              <w:top w:val="single" w:color="000000" w:sz="4" w:space="0"/>
              <w:left w:val="single" w:color="000000" w:sz="4" w:space="0"/>
              <w:bottom w:val="single" w:color="000000" w:sz="4" w:space="0"/>
              <w:right w:val="single" w:color="000000" w:sz="4" w:space="0"/>
            </w:tcBorders>
            <w:noWrap/>
            <w:vAlign w:val="center"/>
          </w:tcPr>
          <w:p w14:paraId="7655108A">
            <w:pPr>
              <w:bidi w:val="0"/>
              <w:jc w:val="center"/>
              <w:rPr>
                <w:rFonts w:hint="eastAsia" w:ascii="宋体" w:hAnsi="宋体" w:eastAsia="宋体" w:cs="宋体"/>
                <w:sz w:val="23"/>
                <w:szCs w:val="23"/>
              </w:rPr>
            </w:pPr>
          </w:p>
        </w:tc>
        <w:tc>
          <w:tcPr>
            <w:tcW w:w="600" w:type="dxa"/>
            <w:vMerge w:val="continue"/>
            <w:tcBorders>
              <w:top w:val="single" w:color="000000" w:sz="4" w:space="0"/>
              <w:left w:val="single" w:color="000000" w:sz="4" w:space="0"/>
              <w:bottom w:val="single" w:color="000000" w:sz="4" w:space="0"/>
              <w:right w:val="single" w:color="000000" w:sz="4" w:space="0"/>
            </w:tcBorders>
            <w:noWrap/>
            <w:vAlign w:val="center"/>
          </w:tcPr>
          <w:p w14:paraId="01229A58">
            <w:pPr>
              <w:bidi w:val="0"/>
              <w:jc w:val="center"/>
              <w:rPr>
                <w:rFonts w:hint="eastAsia" w:ascii="宋体" w:hAnsi="宋体" w:eastAsia="宋体" w:cs="宋体"/>
                <w:sz w:val="23"/>
                <w:szCs w:val="23"/>
              </w:rPr>
            </w:pPr>
          </w:p>
        </w:tc>
        <w:tc>
          <w:tcPr>
            <w:tcW w:w="12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31B2D0">
            <w:pPr>
              <w:bidi w:val="0"/>
              <w:jc w:val="center"/>
              <w:rPr>
                <w:rFonts w:hint="eastAsia" w:ascii="宋体" w:hAnsi="宋体" w:eastAsia="宋体" w:cs="宋体"/>
                <w:sz w:val="23"/>
                <w:szCs w:val="23"/>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1F03265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单价(元/㎡)</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5A08FC3">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小计(元)</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274DA4EB">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单价(元/㎡)</w:t>
            </w: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5350DBB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小计(元)</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0B27B640">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单价(元/㎡)</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7E39C9A3">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小计(元)</w:t>
            </w:r>
          </w:p>
        </w:tc>
        <w:tc>
          <w:tcPr>
            <w:tcW w:w="845" w:type="dxa"/>
            <w:vMerge w:val="continue"/>
            <w:tcBorders>
              <w:top w:val="single" w:color="000000" w:sz="4" w:space="0"/>
              <w:left w:val="single" w:color="000000" w:sz="4" w:space="0"/>
              <w:bottom w:val="single" w:color="000000" w:sz="4" w:space="0"/>
              <w:right w:val="single" w:color="000000" w:sz="4" w:space="0"/>
            </w:tcBorders>
            <w:noWrap/>
            <w:vAlign w:val="center"/>
          </w:tcPr>
          <w:p w14:paraId="7CE7F4DE">
            <w:pPr>
              <w:bidi w:val="0"/>
              <w:jc w:val="center"/>
              <w:rPr>
                <w:rFonts w:hint="eastAsia" w:ascii="宋体" w:hAnsi="宋体" w:eastAsia="宋体" w:cs="宋体"/>
                <w:sz w:val="23"/>
                <w:szCs w:val="23"/>
              </w:rPr>
            </w:pPr>
          </w:p>
        </w:tc>
      </w:tr>
      <w:tr w14:paraId="15E94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3FC8B5D3">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2DB9160">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居民小区</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363D701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111</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29117AD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4207F25E">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28842.81</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1653838F">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995EDA3">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606554B">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0C9E4DE1">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4CC9279B">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45542A4">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77DB18E1">
            <w:pPr>
              <w:bidi w:val="0"/>
              <w:jc w:val="center"/>
              <w:rPr>
                <w:rFonts w:hint="eastAsia" w:ascii="宋体" w:hAnsi="宋体" w:eastAsia="宋体" w:cs="宋体"/>
                <w:sz w:val="23"/>
                <w:szCs w:val="23"/>
              </w:rPr>
            </w:pPr>
          </w:p>
        </w:tc>
      </w:tr>
      <w:tr w14:paraId="2565D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1E1B6DD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482F147">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居民住户</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12FCE1C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39785</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7290B732">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户</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1B78B9F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60</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256687A5">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A3325DF">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363128AB">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71C415A6">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7C9BC59D">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76AB1DB4">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09CCBD73">
            <w:pPr>
              <w:bidi w:val="0"/>
              <w:jc w:val="center"/>
              <w:rPr>
                <w:rFonts w:hint="eastAsia" w:ascii="宋体" w:hAnsi="宋体" w:eastAsia="宋体" w:cs="宋体"/>
                <w:sz w:val="23"/>
                <w:szCs w:val="23"/>
              </w:rPr>
            </w:pPr>
          </w:p>
        </w:tc>
      </w:tr>
      <w:tr w14:paraId="64143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511B0A6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3</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D6373E2">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井盖</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2A7589A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400</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1E4147F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63E7BD2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313B50B1">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2BCCD4A8">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62384B07">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391E50FC">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45DAB31F">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5AC643C9">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1A222F32">
            <w:pPr>
              <w:bidi w:val="0"/>
              <w:jc w:val="center"/>
              <w:rPr>
                <w:rFonts w:hint="eastAsia" w:ascii="宋体" w:hAnsi="宋体" w:eastAsia="宋体" w:cs="宋体"/>
                <w:sz w:val="23"/>
                <w:szCs w:val="23"/>
              </w:rPr>
            </w:pPr>
          </w:p>
        </w:tc>
      </w:tr>
      <w:tr w14:paraId="1B5A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7D5BDE56">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4</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74C2B5C">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裸露空地</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6D1B9166">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52</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32ED4384">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5B871A2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2587.04</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45A08367">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5140A493">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1211F326">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7261CB9D">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1FBD67DA">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5B2E2044">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712C6BC8">
            <w:pPr>
              <w:bidi w:val="0"/>
              <w:jc w:val="center"/>
              <w:rPr>
                <w:rFonts w:hint="eastAsia" w:ascii="宋体" w:hAnsi="宋体" w:eastAsia="宋体" w:cs="宋体"/>
                <w:sz w:val="23"/>
                <w:szCs w:val="23"/>
              </w:rPr>
            </w:pPr>
          </w:p>
        </w:tc>
      </w:tr>
      <w:tr w14:paraId="02B35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3931EF46">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5</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EE2D67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沟渠</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1CB89E7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9</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06E6FA8E">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条</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187A667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3534.44</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7354342A">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BA2B6B2">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6B80AB2">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0559E47A">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04144173">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6B7FFA3F">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124CB64B">
            <w:pPr>
              <w:bidi w:val="0"/>
              <w:jc w:val="center"/>
              <w:rPr>
                <w:rFonts w:hint="eastAsia" w:ascii="宋体" w:hAnsi="宋体" w:eastAsia="宋体" w:cs="宋体"/>
                <w:sz w:val="23"/>
                <w:szCs w:val="23"/>
              </w:rPr>
            </w:pPr>
          </w:p>
        </w:tc>
      </w:tr>
      <w:tr w14:paraId="7D39D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1A3C54B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6</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66C836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河提</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276E0EBA">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7E4160FC">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73A36AC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70000</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3BCA7EC1">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AC62DCB">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2AF28F9F">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5F454332">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2DA57569">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BF5BD5A">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5F13A341">
            <w:pPr>
              <w:bidi w:val="0"/>
              <w:jc w:val="center"/>
              <w:rPr>
                <w:rFonts w:hint="eastAsia" w:ascii="宋体" w:hAnsi="宋体" w:eastAsia="宋体" w:cs="宋体"/>
                <w:sz w:val="23"/>
                <w:szCs w:val="23"/>
              </w:rPr>
            </w:pPr>
          </w:p>
        </w:tc>
      </w:tr>
      <w:tr w14:paraId="2AC62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6366D8E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7</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2F9169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旱厕</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3BC1F967">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100</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7255FF8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3E91906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6</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6906B9F4">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9D23075">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5CC5BDB">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7168509B">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746A788E">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E1C7795">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1D2D66BA">
            <w:pPr>
              <w:bidi w:val="0"/>
              <w:jc w:val="center"/>
              <w:rPr>
                <w:rFonts w:hint="eastAsia" w:ascii="宋体" w:hAnsi="宋体" w:eastAsia="宋体" w:cs="宋体"/>
                <w:sz w:val="23"/>
                <w:szCs w:val="23"/>
              </w:rPr>
            </w:pPr>
          </w:p>
        </w:tc>
      </w:tr>
      <w:tr w14:paraId="7DD14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439879D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8</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B0D1247">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垃圾中转站</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13B0F0D0">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746A510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处</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0909A3F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94</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5985C7F3">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01FD2C4C">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1BDDB7F3">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3D250C38">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2F4E7C2C">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643DA114">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50E08719">
            <w:pPr>
              <w:bidi w:val="0"/>
              <w:jc w:val="center"/>
              <w:rPr>
                <w:rFonts w:hint="eastAsia" w:ascii="宋体" w:hAnsi="宋体" w:eastAsia="宋体" w:cs="宋体"/>
                <w:sz w:val="23"/>
                <w:szCs w:val="23"/>
              </w:rPr>
            </w:pPr>
          </w:p>
        </w:tc>
      </w:tr>
      <w:tr w14:paraId="54FD0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00A02C9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9</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CD5C104">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建材市场</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7145D2E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4D51CA4C">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394CC1C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6583.5</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286318B1">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CF7122C">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44834CFD">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4FCBC5B8">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24DD7D20">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2833AC2F">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0EB02807">
            <w:pPr>
              <w:bidi w:val="0"/>
              <w:jc w:val="center"/>
              <w:rPr>
                <w:rFonts w:hint="eastAsia" w:ascii="宋体" w:hAnsi="宋体" w:eastAsia="宋体" w:cs="宋体"/>
                <w:sz w:val="23"/>
                <w:szCs w:val="23"/>
              </w:rPr>
            </w:pPr>
          </w:p>
        </w:tc>
      </w:tr>
      <w:tr w14:paraId="2BF16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7FAA4AA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10</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61D76F0">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机电市场</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4A15421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65DC5704">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7E8806F7">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12000</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293C501F">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02F6556A">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15AEE494">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1A65C6D3">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63B713E5">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65CC3798">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507E515D">
            <w:pPr>
              <w:bidi w:val="0"/>
              <w:jc w:val="center"/>
              <w:rPr>
                <w:rFonts w:hint="eastAsia" w:ascii="宋体" w:hAnsi="宋体" w:eastAsia="宋体" w:cs="宋体"/>
                <w:sz w:val="23"/>
                <w:szCs w:val="23"/>
              </w:rPr>
            </w:pPr>
          </w:p>
        </w:tc>
      </w:tr>
      <w:tr w14:paraId="7D149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5B64E104">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DBF395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农贸市场</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66FE9B0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3</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4F55807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714A9B5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1766.67</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75A07498">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0CDDFAD">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2E90F00">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513D0D26">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037B6267">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EDDA62D">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042EB373">
            <w:pPr>
              <w:bidi w:val="0"/>
              <w:jc w:val="center"/>
              <w:rPr>
                <w:rFonts w:hint="eastAsia" w:ascii="宋体" w:hAnsi="宋体" w:eastAsia="宋体" w:cs="宋体"/>
                <w:sz w:val="23"/>
                <w:szCs w:val="23"/>
              </w:rPr>
            </w:pPr>
          </w:p>
        </w:tc>
      </w:tr>
      <w:tr w14:paraId="6E867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490641F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12</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1F87863">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修理厂</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4F552D1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9</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551B2D0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7291A44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477.78</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105365BD">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836BF5F">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61DC8E40">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72515F08">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7B78EAB3">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09400D3F">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63F88095">
            <w:pPr>
              <w:bidi w:val="0"/>
              <w:jc w:val="center"/>
              <w:rPr>
                <w:rFonts w:hint="eastAsia" w:ascii="宋体" w:hAnsi="宋体" w:eastAsia="宋体" w:cs="宋体"/>
                <w:sz w:val="23"/>
                <w:szCs w:val="23"/>
              </w:rPr>
            </w:pPr>
          </w:p>
        </w:tc>
      </w:tr>
      <w:tr w14:paraId="5B5BD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3C37DA2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13</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4BE3AC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夜市</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3D92207E">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35CE36D0">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5C79F51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1000</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0EE9348A">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7FC7A861">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360614D4">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114C58A4">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4060623E">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30BDC442">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434CBD12">
            <w:pPr>
              <w:bidi w:val="0"/>
              <w:jc w:val="center"/>
              <w:rPr>
                <w:rFonts w:hint="eastAsia" w:ascii="宋体" w:hAnsi="宋体" w:eastAsia="宋体" w:cs="宋体"/>
                <w:sz w:val="23"/>
                <w:szCs w:val="23"/>
              </w:rPr>
            </w:pPr>
          </w:p>
        </w:tc>
      </w:tr>
      <w:tr w14:paraId="6BF8E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1D60E0E6">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14</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66B56D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主二道</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127C71D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46</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2EA391E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条</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1D6ED4DB">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1300</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64054CE0">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2B1FE185">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35FF7B39">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35513EFC">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458848CF">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AFBAAE6">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34710A87">
            <w:pPr>
              <w:bidi w:val="0"/>
              <w:jc w:val="center"/>
              <w:rPr>
                <w:rFonts w:hint="eastAsia" w:ascii="宋体" w:hAnsi="宋体" w:eastAsia="宋体" w:cs="宋体"/>
                <w:sz w:val="23"/>
                <w:szCs w:val="23"/>
              </w:rPr>
            </w:pPr>
          </w:p>
        </w:tc>
      </w:tr>
      <w:tr w14:paraId="0093C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14A7101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15</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08B557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背街小巷</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7A53538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664</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60BCE66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巷</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76C3562C">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299.76</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78FB8604">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057712D">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4FCA11B8">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7ECA05BB">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0C296C23">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2BD55CA0">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42B68F34">
            <w:pPr>
              <w:bidi w:val="0"/>
              <w:jc w:val="center"/>
              <w:rPr>
                <w:rFonts w:hint="eastAsia" w:ascii="宋体" w:hAnsi="宋体" w:eastAsia="宋体" w:cs="宋体"/>
                <w:sz w:val="23"/>
                <w:szCs w:val="23"/>
              </w:rPr>
            </w:pPr>
          </w:p>
        </w:tc>
      </w:tr>
      <w:tr w14:paraId="2A890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6536872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16</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A22203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社区办公楼</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282E645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16</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10B6EE1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169E11C0">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1464.47</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33887E63">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53B48933">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4DB85970">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6F6B70AD">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6483D07E">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813AE88">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2B147AAA">
            <w:pPr>
              <w:bidi w:val="0"/>
              <w:jc w:val="center"/>
              <w:rPr>
                <w:rFonts w:hint="eastAsia" w:ascii="宋体" w:hAnsi="宋体" w:eastAsia="宋体" w:cs="宋体"/>
                <w:sz w:val="23"/>
                <w:szCs w:val="23"/>
              </w:rPr>
            </w:pPr>
          </w:p>
        </w:tc>
      </w:tr>
      <w:tr w14:paraId="1E414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vMerge w:val="restart"/>
            <w:tcBorders>
              <w:top w:val="single" w:color="000000" w:sz="4" w:space="0"/>
              <w:left w:val="single" w:color="000000" w:sz="4" w:space="0"/>
              <w:bottom w:val="single" w:color="000000" w:sz="4" w:space="0"/>
              <w:right w:val="single" w:color="000000" w:sz="4" w:space="0"/>
            </w:tcBorders>
            <w:noWrap/>
            <w:vAlign w:val="center"/>
          </w:tcPr>
          <w:p w14:paraId="439131C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17</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393A0FB">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社区日间照料中心</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50F1D537">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10</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2899D5DC">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67D9E4B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864.8</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37853EB8">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007FB3F1">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7FC5C324">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3F2F8B87">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135A2A5B">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74BECBDE">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3451B6C1">
            <w:pPr>
              <w:bidi w:val="0"/>
              <w:jc w:val="center"/>
              <w:rPr>
                <w:rFonts w:hint="eastAsia" w:ascii="宋体" w:hAnsi="宋体" w:eastAsia="宋体" w:cs="宋体"/>
                <w:sz w:val="23"/>
                <w:szCs w:val="23"/>
              </w:rPr>
            </w:pPr>
          </w:p>
        </w:tc>
      </w:tr>
      <w:tr w14:paraId="5A737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vMerge w:val="continue"/>
            <w:tcBorders>
              <w:top w:val="single" w:color="000000" w:sz="4" w:space="0"/>
              <w:left w:val="single" w:color="000000" w:sz="4" w:space="0"/>
              <w:bottom w:val="single" w:color="000000" w:sz="4" w:space="0"/>
              <w:right w:val="single" w:color="000000" w:sz="4" w:space="0"/>
            </w:tcBorders>
            <w:noWrap/>
            <w:vAlign w:val="center"/>
          </w:tcPr>
          <w:p w14:paraId="58AF02E4">
            <w:pPr>
              <w:bidi w:val="0"/>
              <w:jc w:val="center"/>
              <w:rPr>
                <w:rFonts w:hint="eastAsia" w:ascii="宋体" w:hAnsi="宋体" w:eastAsia="宋体" w:cs="宋体"/>
                <w:sz w:val="23"/>
                <w:szCs w:val="23"/>
              </w:rPr>
            </w:pP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F12D5E8">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互助幸福院</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071D8DA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6</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367EEEC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34C32333">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804.17</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595C44BD">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8AD9D18">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2BBC6589">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17DB1964">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5C048F3F">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0464A9B5">
            <w:pPr>
              <w:bidi w:val="0"/>
              <w:jc w:val="center"/>
              <w:rPr>
                <w:rFonts w:hint="eastAsia" w:ascii="宋体" w:hAnsi="宋体" w:eastAsia="宋体" w:cs="宋体"/>
                <w:sz w:val="23"/>
                <w:szCs w:val="23"/>
              </w:rPr>
            </w:pPr>
            <w:r>
              <w:rPr>
                <w:rFonts w:hint="eastAsia" w:ascii="宋体" w:hAnsi="宋体" w:eastAsia="宋体" w:cs="宋体"/>
                <w:color w:val="000000"/>
                <w:sz w:val="23"/>
                <w:szCs w:val="23"/>
                <w:lang w:val="en-US" w:eastAsia="zh-CN"/>
              </w:rPr>
              <w:t>※</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2AF4EE2A">
            <w:pPr>
              <w:bidi w:val="0"/>
              <w:jc w:val="center"/>
              <w:rPr>
                <w:rFonts w:hint="eastAsia" w:ascii="宋体" w:hAnsi="宋体" w:eastAsia="宋体" w:cs="宋体"/>
                <w:sz w:val="23"/>
                <w:szCs w:val="23"/>
              </w:rPr>
            </w:pPr>
          </w:p>
        </w:tc>
      </w:tr>
      <w:tr w14:paraId="06F11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vMerge w:val="restart"/>
            <w:tcBorders>
              <w:top w:val="single" w:color="000000" w:sz="4" w:space="0"/>
              <w:left w:val="single" w:color="000000" w:sz="4" w:space="0"/>
              <w:bottom w:val="single" w:color="000000" w:sz="4" w:space="0"/>
              <w:right w:val="single" w:color="000000" w:sz="4" w:space="0"/>
            </w:tcBorders>
            <w:noWrap/>
            <w:vAlign w:val="center"/>
          </w:tcPr>
          <w:p w14:paraId="2453F1E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18</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57986EC">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社区职工餐厅</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068CE3F6">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10</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05E34B25">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484BDFE2">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231.04</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5F69DE7B">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648317A">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3D4B5B39">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1FC9F257">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4EF4C8D4">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2D94E55">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37EA63C3">
            <w:pPr>
              <w:bidi w:val="0"/>
              <w:jc w:val="center"/>
              <w:rPr>
                <w:rFonts w:hint="eastAsia" w:ascii="宋体" w:hAnsi="宋体" w:eastAsia="宋体" w:cs="宋体"/>
                <w:sz w:val="23"/>
                <w:szCs w:val="23"/>
              </w:rPr>
            </w:pPr>
          </w:p>
        </w:tc>
      </w:tr>
      <w:tr w14:paraId="7DA62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vMerge w:val="continue"/>
            <w:tcBorders>
              <w:top w:val="single" w:color="000000" w:sz="4" w:space="0"/>
              <w:left w:val="single" w:color="000000" w:sz="4" w:space="0"/>
              <w:bottom w:val="single" w:color="000000" w:sz="4" w:space="0"/>
              <w:right w:val="single" w:color="000000" w:sz="4" w:space="0"/>
            </w:tcBorders>
            <w:noWrap/>
            <w:vAlign w:val="center"/>
          </w:tcPr>
          <w:p w14:paraId="42960A74">
            <w:pPr>
              <w:bidi w:val="0"/>
              <w:jc w:val="center"/>
              <w:rPr>
                <w:rFonts w:hint="eastAsia" w:ascii="宋体" w:hAnsi="宋体" w:eastAsia="宋体" w:cs="宋体"/>
                <w:sz w:val="23"/>
                <w:szCs w:val="23"/>
              </w:rPr>
            </w:pP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683CBC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村组阵地</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2384F3A7">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5</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6AFBD690">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576B7F2A">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634</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78BACDA8">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285096A">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0E4AAE71">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189FD486">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2EC17CC5">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49059B79">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6FF734F2">
            <w:pPr>
              <w:bidi w:val="0"/>
              <w:jc w:val="center"/>
              <w:rPr>
                <w:rFonts w:hint="eastAsia" w:ascii="宋体" w:hAnsi="宋体" w:eastAsia="宋体" w:cs="宋体"/>
                <w:sz w:val="23"/>
                <w:szCs w:val="23"/>
              </w:rPr>
            </w:pPr>
          </w:p>
        </w:tc>
      </w:tr>
      <w:tr w14:paraId="2D4ED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6F754451">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19</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112C30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文化站</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1B6B803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01374B40">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1A810F0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627.55</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28FC2CC4">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7FDD02C7">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38D1150E">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24B4CECE">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0BB3659B">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7CA9766F">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5F73B10C">
            <w:pPr>
              <w:bidi w:val="0"/>
              <w:jc w:val="center"/>
              <w:rPr>
                <w:rFonts w:hint="eastAsia" w:ascii="宋体" w:hAnsi="宋体" w:eastAsia="宋体" w:cs="宋体"/>
                <w:sz w:val="23"/>
                <w:szCs w:val="23"/>
              </w:rPr>
            </w:pPr>
          </w:p>
        </w:tc>
      </w:tr>
    </w:tbl>
    <w:p w14:paraId="1523E640">
      <w:pPr>
        <w:bidi w:val="0"/>
        <w:jc w:val="center"/>
        <w:rPr>
          <w:rFonts w:hint="eastAsia" w:ascii="宋体" w:hAnsi="宋体" w:eastAsia="宋体" w:cs="宋体"/>
          <w:sz w:val="23"/>
          <w:szCs w:val="23"/>
          <w:lang w:val="en-US" w:eastAsia="zh-CN"/>
        </w:rPr>
        <w:sectPr>
          <w:headerReference r:id="rId8" w:type="default"/>
          <w:footerReference r:id="rId9" w:type="default"/>
          <w:pgSz w:w="16838" w:h="11906" w:orient="landscape"/>
          <w:pgMar w:top="1800" w:right="1440" w:bottom="1800" w:left="1440" w:header="1134" w:footer="1417" w:gutter="0"/>
          <w:pgBorders>
            <w:top w:val="none" w:sz="0" w:space="0"/>
            <w:left w:val="none" w:sz="0" w:space="0"/>
            <w:bottom w:val="none" w:sz="0" w:space="0"/>
            <w:right w:val="none" w:sz="0" w:space="0"/>
          </w:pgBorders>
          <w:pgNumType w:fmt="decimal" w:start="3"/>
          <w:cols w:space="425" w:num="1"/>
          <w:docGrid w:type="lines" w:linePitch="312" w:charSpace="0"/>
        </w:sectPr>
      </w:pPr>
    </w:p>
    <w:tbl>
      <w:tblPr>
        <w:tblStyle w:val="19"/>
        <w:tblW w:w="145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5"/>
        <w:gridCol w:w="2100"/>
        <w:gridCol w:w="917"/>
        <w:gridCol w:w="600"/>
        <w:gridCol w:w="1233"/>
        <w:gridCol w:w="1533"/>
        <w:gridCol w:w="1217"/>
        <w:gridCol w:w="1506"/>
        <w:gridCol w:w="1330"/>
        <w:gridCol w:w="1505"/>
        <w:gridCol w:w="1217"/>
        <w:gridCol w:w="845"/>
      </w:tblGrid>
      <w:tr w14:paraId="0E32C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75" w:type="dxa"/>
            <w:tcBorders>
              <w:top w:val="single" w:color="000000" w:sz="4" w:space="0"/>
              <w:left w:val="single" w:color="000000" w:sz="4" w:space="0"/>
              <w:bottom w:val="single" w:color="000000" w:sz="4" w:space="0"/>
              <w:right w:val="single" w:color="000000" w:sz="4" w:space="0"/>
            </w:tcBorders>
            <w:noWrap/>
            <w:vAlign w:val="center"/>
          </w:tcPr>
          <w:p w14:paraId="20B24CD9">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20</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A85C0EB">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街道办公楼</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444EBB6D">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1</w:t>
            </w: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4C693E6F">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个</w:t>
            </w: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6B839B4B">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5500</w:t>
            </w: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75848735">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E42004A">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E79C110">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7173DEBB">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18190E9C">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55A12758">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61341070">
            <w:pPr>
              <w:bidi w:val="0"/>
              <w:jc w:val="center"/>
              <w:rPr>
                <w:rFonts w:hint="eastAsia" w:ascii="宋体" w:hAnsi="宋体" w:eastAsia="宋体" w:cs="宋体"/>
                <w:sz w:val="23"/>
                <w:szCs w:val="23"/>
              </w:rPr>
            </w:pPr>
          </w:p>
        </w:tc>
      </w:tr>
      <w:tr w14:paraId="19F7A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2675" w:type="dxa"/>
            <w:gridSpan w:val="2"/>
            <w:tcBorders>
              <w:top w:val="single" w:color="000000" w:sz="4" w:space="0"/>
              <w:left w:val="single" w:color="000000" w:sz="4" w:space="0"/>
              <w:bottom w:val="single" w:color="000000" w:sz="4" w:space="0"/>
              <w:right w:val="single" w:color="000000" w:sz="4" w:space="0"/>
            </w:tcBorders>
            <w:noWrap/>
            <w:vAlign w:val="center"/>
          </w:tcPr>
          <w:p w14:paraId="5E3EB003">
            <w:pPr>
              <w:bidi w:val="0"/>
              <w:jc w:val="center"/>
              <w:rPr>
                <w:rFonts w:hint="eastAsia" w:ascii="宋体" w:hAnsi="宋体" w:eastAsia="宋体" w:cs="宋体"/>
                <w:sz w:val="23"/>
                <w:szCs w:val="23"/>
              </w:rPr>
            </w:pPr>
            <w:r>
              <w:rPr>
                <w:rFonts w:hint="eastAsia" w:ascii="宋体" w:hAnsi="宋体" w:eastAsia="宋体" w:cs="宋体"/>
                <w:sz w:val="23"/>
                <w:szCs w:val="23"/>
                <w:lang w:val="en-US" w:eastAsia="zh-CN"/>
              </w:rPr>
              <w:t>合计（元）</w:t>
            </w:r>
          </w:p>
        </w:tc>
        <w:tc>
          <w:tcPr>
            <w:tcW w:w="917" w:type="dxa"/>
            <w:tcBorders>
              <w:top w:val="single" w:color="000000" w:sz="4" w:space="0"/>
              <w:left w:val="single" w:color="000000" w:sz="4" w:space="0"/>
              <w:bottom w:val="single" w:color="000000" w:sz="4" w:space="0"/>
              <w:right w:val="single" w:color="000000" w:sz="4" w:space="0"/>
            </w:tcBorders>
            <w:noWrap/>
            <w:vAlign w:val="center"/>
          </w:tcPr>
          <w:p w14:paraId="111E70A3">
            <w:pPr>
              <w:bidi w:val="0"/>
              <w:jc w:val="center"/>
              <w:rPr>
                <w:rFonts w:hint="eastAsia" w:ascii="宋体" w:hAnsi="宋体" w:eastAsia="宋体" w:cs="宋体"/>
                <w:sz w:val="23"/>
                <w:szCs w:val="23"/>
              </w:rPr>
            </w:pPr>
          </w:p>
        </w:tc>
        <w:tc>
          <w:tcPr>
            <w:tcW w:w="600" w:type="dxa"/>
            <w:tcBorders>
              <w:top w:val="single" w:color="000000" w:sz="4" w:space="0"/>
              <w:left w:val="single" w:color="000000" w:sz="4" w:space="0"/>
              <w:bottom w:val="single" w:color="000000" w:sz="4" w:space="0"/>
              <w:right w:val="single" w:color="000000" w:sz="4" w:space="0"/>
            </w:tcBorders>
            <w:noWrap/>
            <w:vAlign w:val="center"/>
          </w:tcPr>
          <w:p w14:paraId="4DD8C4EE">
            <w:pPr>
              <w:bidi w:val="0"/>
              <w:jc w:val="center"/>
              <w:rPr>
                <w:rFonts w:hint="eastAsia" w:ascii="宋体" w:hAnsi="宋体" w:eastAsia="宋体" w:cs="宋体"/>
                <w:sz w:val="23"/>
                <w:szCs w:val="23"/>
              </w:rPr>
            </w:pPr>
          </w:p>
        </w:tc>
        <w:tc>
          <w:tcPr>
            <w:tcW w:w="1233" w:type="dxa"/>
            <w:tcBorders>
              <w:top w:val="single" w:color="000000" w:sz="4" w:space="0"/>
              <w:left w:val="single" w:color="000000" w:sz="4" w:space="0"/>
              <w:bottom w:val="single" w:color="000000" w:sz="4" w:space="0"/>
              <w:right w:val="single" w:color="000000" w:sz="4" w:space="0"/>
            </w:tcBorders>
            <w:noWrap/>
            <w:vAlign w:val="center"/>
          </w:tcPr>
          <w:p w14:paraId="58CFEFA4">
            <w:pPr>
              <w:bidi w:val="0"/>
              <w:jc w:val="center"/>
              <w:rPr>
                <w:rFonts w:hint="eastAsia" w:ascii="宋体" w:hAnsi="宋体" w:eastAsia="宋体" w:cs="宋体"/>
                <w:sz w:val="23"/>
                <w:szCs w:val="23"/>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14:paraId="43494D23">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1F1C8923">
            <w:pPr>
              <w:bidi w:val="0"/>
              <w:jc w:val="center"/>
              <w:rPr>
                <w:rFonts w:hint="eastAsia" w:ascii="宋体" w:hAnsi="宋体" w:eastAsia="宋体" w:cs="宋体"/>
                <w:sz w:val="23"/>
                <w:szCs w:val="23"/>
              </w:rPr>
            </w:pP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0E3D5A58">
            <w:pPr>
              <w:bidi w:val="0"/>
              <w:jc w:val="center"/>
              <w:rPr>
                <w:rFonts w:hint="eastAsia" w:ascii="宋体" w:hAnsi="宋体" w:eastAsia="宋体" w:cs="宋体"/>
                <w:sz w:val="23"/>
                <w:szCs w:val="23"/>
              </w:rPr>
            </w:pPr>
          </w:p>
        </w:tc>
        <w:tc>
          <w:tcPr>
            <w:tcW w:w="1330" w:type="dxa"/>
            <w:tcBorders>
              <w:top w:val="single" w:color="000000" w:sz="4" w:space="0"/>
              <w:left w:val="single" w:color="000000" w:sz="4" w:space="0"/>
              <w:bottom w:val="single" w:color="000000" w:sz="4" w:space="0"/>
              <w:right w:val="single" w:color="000000" w:sz="4" w:space="0"/>
            </w:tcBorders>
            <w:noWrap/>
            <w:vAlign w:val="center"/>
          </w:tcPr>
          <w:p w14:paraId="08D2CA9C">
            <w:pPr>
              <w:bidi w:val="0"/>
              <w:jc w:val="center"/>
              <w:rPr>
                <w:rFonts w:hint="eastAsia" w:ascii="宋体" w:hAnsi="宋体" w:eastAsia="宋体" w:cs="宋体"/>
                <w:sz w:val="23"/>
                <w:szCs w:val="23"/>
              </w:rPr>
            </w:pP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5B3A8BEB">
            <w:pPr>
              <w:bidi w:val="0"/>
              <w:jc w:val="center"/>
              <w:rPr>
                <w:rFonts w:hint="eastAsia" w:ascii="宋体" w:hAnsi="宋体" w:eastAsia="宋体" w:cs="宋体"/>
                <w:sz w:val="23"/>
                <w:szCs w:val="23"/>
              </w:rPr>
            </w:pPr>
          </w:p>
        </w:tc>
        <w:tc>
          <w:tcPr>
            <w:tcW w:w="1217" w:type="dxa"/>
            <w:tcBorders>
              <w:top w:val="single" w:color="000000" w:sz="4" w:space="0"/>
              <w:left w:val="single" w:color="000000" w:sz="4" w:space="0"/>
              <w:bottom w:val="single" w:color="000000" w:sz="4" w:space="0"/>
              <w:right w:val="single" w:color="000000" w:sz="4" w:space="0"/>
            </w:tcBorders>
            <w:noWrap/>
            <w:vAlign w:val="center"/>
          </w:tcPr>
          <w:p w14:paraId="063B8E62">
            <w:pPr>
              <w:bidi w:val="0"/>
              <w:jc w:val="center"/>
              <w:rPr>
                <w:rFonts w:hint="eastAsia" w:ascii="宋体" w:hAnsi="宋体" w:eastAsia="宋体" w:cs="宋体"/>
                <w:sz w:val="23"/>
                <w:szCs w:val="23"/>
              </w:rPr>
            </w:pP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70ED6B87">
            <w:pPr>
              <w:bidi w:val="0"/>
              <w:jc w:val="center"/>
              <w:rPr>
                <w:rFonts w:hint="eastAsia" w:ascii="宋体" w:hAnsi="宋体" w:eastAsia="宋体" w:cs="宋体"/>
                <w:sz w:val="23"/>
                <w:szCs w:val="23"/>
              </w:rPr>
            </w:pPr>
          </w:p>
        </w:tc>
      </w:tr>
    </w:tbl>
    <w:p w14:paraId="0D98877C">
      <w:pPr>
        <w:keepNext w:val="0"/>
        <w:keepLines w:val="0"/>
        <w:pageBreakBefore w:val="0"/>
        <w:widowControl/>
        <w:kinsoku w:val="0"/>
        <w:wordWrap/>
        <w:overflowPunct/>
        <w:topLinePunct w:val="0"/>
        <w:autoSpaceDE w:val="0"/>
        <w:autoSpaceDN w:val="0"/>
        <w:bidi w:val="0"/>
        <w:adjustRightInd w:val="0"/>
        <w:snapToGrid w:val="0"/>
        <w:spacing w:line="360" w:lineRule="auto"/>
        <w:ind w:firstLine="462" w:firstLineChars="200"/>
        <w:textAlignment w:val="baseline"/>
        <w:rPr>
          <w:rFonts w:hint="default" w:ascii="宋体" w:hAnsi="宋体" w:eastAsia="宋体" w:cs="宋体"/>
          <w:color w:val="000000"/>
          <w:sz w:val="23"/>
          <w:szCs w:val="23"/>
          <w:lang w:val="en-US" w:eastAsia="zh-CN"/>
        </w:rPr>
        <w:sectPr>
          <w:footerReference r:id="rId10" w:type="default"/>
          <w:pgSz w:w="16838" w:h="11906" w:orient="landscape"/>
          <w:pgMar w:top="1800" w:right="1440" w:bottom="1800" w:left="1440" w:header="1134" w:footer="1417"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color w:val="000000"/>
          <w:sz w:val="23"/>
          <w:szCs w:val="23"/>
          <w:lang w:val="en-US" w:eastAsia="zh-CN"/>
        </w:rPr>
        <w:t>注：标“※”部分不在本次采购范围内</w:t>
      </w:r>
    </w:p>
    <w:p w14:paraId="0E862469">
      <w:pPr>
        <w:pStyle w:val="2"/>
        <w:bidi w:val="0"/>
        <w:rPr>
          <w:rFonts w:hint="eastAsia" w:ascii="宋体" w:hAnsi="宋体" w:eastAsia="宋体" w:cs="宋体"/>
          <w:b w:val="0"/>
          <w:bCs w:val="0"/>
          <w:szCs w:val="23"/>
          <w:vertAlign w:val="baseline"/>
          <w:lang w:val="en-US" w:eastAsia="zh-CN"/>
        </w:rPr>
      </w:pPr>
      <w:bookmarkStart w:id="31" w:name="_Toc17108"/>
      <w:r>
        <w:rPr>
          <w:rFonts w:hint="eastAsia"/>
          <w:lang w:eastAsia="zh-CN"/>
        </w:rPr>
        <w:t>第六章</w:t>
      </w:r>
      <w:r>
        <w:rPr>
          <w:rFonts w:hint="eastAsia"/>
          <w:lang w:val="en-US" w:eastAsia="zh-CN"/>
        </w:rPr>
        <w:t xml:space="preserve"> </w:t>
      </w:r>
      <w:r>
        <w:rPr>
          <w:rFonts w:hint="eastAsia"/>
          <w:lang w:eastAsia="zh-CN"/>
        </w:rPr>
        <w:t>评审办法</w:t>
      </w:r>
      <w:bookmarkEnd w:id="31"/>
    </w:p>
    <w:p w14:paraId="51AA6E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2" w:name="_Toc18747"/>
      <w:bookmarkStart w:id="33" w:name="_Toc28934_WPSOffice_Level2"/>
      <w:r>
        <w:rPr>
          <w:rFonts w:hint="eastAsia" w:ascii="宋体" w:hAnsi="宋体" w:cs="宋体"/>
          <w:b/>
          <w:bCs/>
          <w:sz w:val="28"/>
          <w:szCs w:val="28"/>
          <w:vertAlign w:val="baseline"/>
          <w:lang w:val="en-US" w:eastAsia="zh-CN"/>
        </w:rPr>
        <w:t>一、评审办法</w:t>
      </w:r>
      <w:bookmarkEnd w:id="32"/>
      <w:bookmarkEnd w:id="33"/>
    </w:p>
    <w:p w14:paraId="68BD38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按照中华人民共和国财政部令第74号--《政府采购非招标采购方式管理办法》的规定，本次评审采用综合评标法，是指即响应文件满足磋商文件全部实质性要求，且按照评审因素的量化指标评审得分由高到低推荐成交候选人</w:t>
      </w:r>
      <w:r>
        <w:rPr>
          <w:rFonts w:hint="eastAsia" w:ascii="宋体" w:hAnsi="宋体" w:eastAsia="宋体" w:cs="宋体"/>
          <w:b w:val="0"/>
          <w:bCs w:val="0"/>
          <w:sz w:val="23"/>
          <w:szCs w:val="23"/>
          <w:vertAlign w:val="baseline"/>
          <w:lang w:val="en-US" w:eastAsia="zh-CN"/>
        </w:rPr>
        <w:t>。</w:t>
      </w:r>
    </w:p>
    <w:p w14:paraId="2994E1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34" w:name="_Toc3713_WPSOffice_Level2"/>
      <w:bookmarkStart w:id="35" w:name="_Toc14049"/>
      <w:r>
        <w:rPr>
          <w:rFonts w:hint="eastAsia" w:ascii="宋体" w:hAnsi="宋体" w:cs="宋体"/>
          <w:b/>
          <w:bCs/>
          <w:sz w:val="28"/>
          <w:szCs w:val="28"/>
          <w:vertAlign w:val="baseline"/>
          <w:lang w:val="en-US" w:eastAsia="zh-CN"/>
        </w:rPr>
        <w:t>二、评审程序</w:t>
      </w:r>
      <w:bookmarkEnd w:id="34"/>
      <w:bookmarkEnd w:id="35"/>
    </w:p>
    <w:p w14:paraId="611746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w:t>
      </w:r>
      <w:r>
        <w:rPr>
          <w:rFonts w:hint="eastAsia" w:ascii="宋体" w:hAnsi="宋体" w:cs="宋体"/>
          <w:b w:val="0"/>
          <w:bCs w:val="0"/>
          <w:sz w:val="23"/>
          <w:szCs w:val="23"/>
          <w:vertAlign w:val="baseline"/>
          <w:lang w:val="en-US" w:eastAsia="zh-CN"/>
        </w:rPr>
        <w:t>资格审查</w:t>
      </w:r>
      <w:r>
        <w:rPr>
          <w:rFonts w:hint="eastAsia" w:ascii="宋体" w:hAnsi="宋体" w:eastAsia="宋体" w:cs="宋体"/>
          <w:b w:val="0"/>
          <w:bCs w:val="0"/>
          <w:sz w:val="23"/>
          <w:szCs w:val="23"/>
          <w:vertAlign w:val="baseline"/>
          <w:lang w:val="en-US" w:eastAsia="zh-CN"/>
        </w:rPr>
        <w:t>、符合性审查、</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、最终报价</w:t>
      </w:r>
      <w:r>
        <w:rPr>
          <w:rFonts w:hint="eastAsia" w:ascii="宋体" w:hAnsi="宋体" w:cs="宋体"/>
          <w:b w:val="0"/>
          <w:bCs w:val="0"/>
          <w:sz w:val="23"/>
          <w:szCs w:val="23"/>
          <w:vertAlign w:val="baseline"/>
          <w:lang w:val="en-US" w:eastAsia="zh-CN"/>
        </w:rPr>
        <w:t>、综合比较与评价</w:t>
      </w:r>
      <w:r>
        <w:rPr>
          <w:rFonts w:hint="eastAsia" w:ascii="宋体" w:hAnsi="宋体" w:eastAsia="宋体" w:cs="宋体"/>
          <w:b w:val="0"/>
          <w:bCs w:val="0"/>
          <w:sz w:val="23"/>
          <w:szCs w:val="23"/>
          <w:vertAlign w:val="baseline"/>
          <w:lang w:val="en-US" w:eastAsia="zh-CN"/>
        </w:rPr>
        <w:t>推荐成交候选单位等步骤进行评审，资格性审查</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符合性审查</w:t>
      </w:r>
      <w:r>
        <w:rPr>
          <w:rFonts w:hint="eastAsia" w:ascii="宋体" w:hAnsi="宋体" w:cs="宋体"/>
          <w:b w:val="0"/>
          <w:bCs w:val="0"/>
          <w:sz w:val="23"/>
          <w:szCs w:val="23"/>
          <w:vertAlign w:val="baseline"/>
          <w:lang w:val="en-US" w:eastAsia="zh-CN"/>
        </w:rPr>
        <w:t>均</w:t>
      </w:r>
      <w:r>
        <w:rPr>
          <w:rFonts w:hint="eastAsia" w:ascii="宋体" w:hAnsi="宋体" w:eastAsia="宋体" w:cs="宋体"/>
          <w:b w:val="0"/>
          <w:bCs w:val="0"/>
          <w:sz w:val="23"/>
          <w:szCs w:val="23"/>
          <w:vertAlign w:val="baseline"/>
          <w:lang w:val="en-US" w:eastAsia="zh-CN"/>
        </w:rPr>
        <w:t>由</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小组审查。在上一步评审中被废标者，不进入下一步的评审。</w:t>
      </w:r>
    </w:p>
    <w:p w14:paraId="5F7C22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r>
        <w:rPr>
          <w:rFonts w:hint="eastAsia" w:ascii="宋体" w:hAnsi="宋体" w:eastAsia="宋体" w:cs="宋体"/>
          <w:b/>
          <w:bCs/>
          <w:snapToGrid w:val="0"/>
          <w:color w:val="000000"/>
          <w:kern w:val="0"/>
          <w:sz w:val="28"/>
          <w:szCs w:val="28"/>
          <w:lang w:val="en-US" w:eastAsia="zh-CN"/>
        </w:rPr>
        <w:t>1、资格审查。分别按照以下内容对响应文件进行检查，一项不合格即按照无效响应处理。</w:t>
      </w:r>
    </w:p>
    <w:p w14:paraId="786E56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附表一 资格性审查表</w:t>
      </w:r>
    </w:p>
    <w:tbl>
      <w:tblPr>
        <w:tblStyle w:val="20"/>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89"/>
      </w:tblGrid>
      <w:tr w14:paraId="1868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6" w:type="dxa"/>
            <w:vAlign w:val="center"/>
          </w:tcPr>
          <w:p w14:paraId="4F32357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6429CCB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89" w:type="dxa"/>
            <w:vAlign w:val="center"/>
          </w:tcPr>
          <w:p w14:paraId="3E9C75D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2125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696" w:type="dxa"/>
            <w:vAlign w:val="center"/>
          </w:tcPr>
          <w:p w14:paraId="5239AD2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w:t>
            </w:r>
          </w:p>
        </w:tc>
        <w:tc>
          <w:tcPr>
            <w:tcW w:w="1680" w:type="dxa"/>
            <w:vAlign w:val="center"/>
          </w:tcPr>
          <w:p w14:paraId="6F81ED7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有效的主体资格证明</w:t>
            </w:r>
          </w:p>
        </w:tc>
        <w:tc>
          <w:tcPr>
            <w:tcW w:w="6189" w:type="dxa"/>
            <w:vAlign w:val="center"/>
          </w:tcPr>
          <w:p w14:paraId="001980A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r>
      <w:tr w14:paraId="613E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696" w:type="dxa"/>
            <w:vAlign w:val="center"/>
          </w:tcPr>
          <w:p w14:paraId="24F61BB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w:t>
            </w:r>
          </w:p>
        </w:tc>
        <w:tc>
          <w:tcPr>
            <w:tcW w:w="1680" w:type="dxa"/>
            <w:vAlign w:val="center"/>
          </w:tcPr>
          <w:p w14:paraId="233B370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财务状况</w:t>
            </w:r>
          </w:p>
        </w:tc>
        <w:tc>
          <w:tcPr>
            <w:tcW w:w="6189" w:type="dxa"/>
            <w:vAlign w:val="center"/>
          </w:tcPr>
          <w:p w14:paraId="182AD45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eastAsia="zh-CN"/>
              </w:rPr>
              <w:t>提供2024年度的财务审计报告（财务审计报告需在注册会计师行业统一监管平台（http：//acc.mof.gov.cn/）报备可查询）</w:t>
            </w:r>
            <w:r>
              <w:rPr>
                <w:rFonts w:hint="eastAsia" w:ascii="宋体" w:hAnsi="宋体" w:eastAsia="宋体" w:cs="宋体"/>
                <w:sz w:val="23"/>
                <w:szCs w:val="23"/>
              </w:rPr>
              <w:t>，成立时间至投标文件递交截止时间不足一年的，须提供其基本存款账户开户银行近三个月内出具的银行资信证明及自成立以来的财务报表；其他组织和自然人须提供银行出具的近三个月内资信证明或财务报表</w:t>
            </w:r>
          </w:p>
        </w:tc>
      </w:tr>
      <w:tr w14:paraId="5203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693C57D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w:t>
            </w:r>
          </w:p>
        </w:tc>
        <w:tc>
          <w:tcPr>
            <w:tcW w:w="1680" w:type="dxa"/>
            <w:vAlign w:val="center"/>
          </w:tcPr>
          <w:p w14:paraId="3F9B0E6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税收缴纳证明</w:t>
            </w:r>
          </w:p>
        </w:tc>
        <w:tc>
          <w:tcPr>
            <w:tcW w:w="6189" w:type="dxa"/>
            <w:vAlign w:val="center"/>
          </w:tcPr>
          <w:p w14:paraId="4F04BAB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rPr>
              <w:t>提供2025年1月至投标截止时间止至少一个月的纳税证明(银行缴费凭证)或完税证明，依法免税的单位应提供相关证明材料</w:t>
            </w:r>
          </w:p>
        </w:tc>
      </w:tr>
      <w:tr w14:paraId="3CCE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00CBC3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4</w:t>
            </w:r>
          </w:p>
        </w:tc>
        <w:tc>
          <w:tcPr>
            <w:tcW w:w="1680" w:type="dxa"/>
            <w:vAlign w:val="center"/>
          </w:tcPr>
          <w:p w14:paraId="0B0E99A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社保缴纳证明</w:t>
            </w:r>
          </w:p>
        </w:tc>
        <w:tc>
          <w:tcPr>
            <w:tcW w:w="6189" w:type="dxa"/>
            <w:vAlign w:val="center"/>
          </w:tcPr>
          <w:p w14:paraId="7AA0B67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rPr>
              <w:t>提供2025年1月至投标截止时间止至少一个月的社会保障资金银行缴费单据或社保机构开具的社会保险参保缴费情况证明，依法不需要缴纳社会保障资金的单位应提供相关证明材料</w:t>
            </w:r>
          </w:p>
        </w:tc>
      </w:tr>
      <w:tr w14:paraId="2841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8AF6AD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5</w:t>
            </w:r>
          </w:p>
        </w:tc>
        <w:tc>
          <w:tcPr>
            <w:tcW w:w="1680" w:type="dxa"/>
            <w:vAlign w:val="center"/>
          </w:tcPr>
          <w:p w14:paraId="5BA7B8C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法定代表人委托授权书</w:t>
            </w:r>
          </w:p>
        </w:tc>
        <w:tc>
          <w:tcPr>
            <w:tcW w:w="6189" w:type="dxa"/>
            <w:vAlign w:val="center"/>
          </w:tcPr>
          <w:p w14:paraId="0EA6753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rPr>
              <w:t>法定代表人参加开标的，提供本人身份证，法定代表人授权他人参加开标的，提供法定代表人授权委托书和投标人委托代理人员信用承诺书（在信用中国（陕西榆林）网站公示）</w:t>
            </w:r>
          </w:p>
        </w:tc>
      </w:tr>
      <w:tr w14:paraId="1009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2B64D1C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6</w:t>
            </w:r>
          </w:p>
        </w:tc>
        <w:tc>
          <w:tcPr>
            <w:tcW w:w="1680" w:type="dxa"/>
            <w:vAlign w:val="center"/>
          </w:tcPr>
          <w:p w14:paraId="4B46271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信用情况</w:t>
            </w:r>
          </w:p>
        </w:tc>
        <w:tc>
          <w:tcPr>
            <w:tcW w:w="6189" w:type="dxa"/>
            <w:vAlign w:val="center"/>
          </w:tcPr>
          <w:p w14:paraId="1D97EC2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tc>
      </w:tr>
      <w:tr w14:paraId="68FA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729E225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w:t>
            </w:r>
          </w:p>
        </w:tc>
        <w:tc>
          <w:tcPr>
            <w:tcW w:w="1680" w:type="dxa"/>
            <w:vAlign w:val="center"/>
          </w:tcPr>
          <w:p w14:paraId="30353A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无重大违法记录声明</w:t>
            </w:r>
          </w:p>
        </w:tc>
        <w:tc>
          <w:tcPr>
            <w:tcW w:w="6189" w:type="dxa"/>
            <w:vAlign w:val="center"/>
          </w:tcPr>
          <w:p w14:paraId="357B392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参加政府采购活动前三年内，在经营活动中没有重大违法记录的书面声明</w:t>
            </w:r>
          </w:p>
        </w:tc>
      </w:tr>
      <w:tr w14:paraId="7A8D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E0CA76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8</w:t>
            </w:r>
          </w:p>
        </w:tc>
        <w:tc>
          <w:tcPr>
            <w:tcW w:w="1680" w:type="dxa"/>
            <w:vAlign w:val="center"/>
          </w:tcPr>
          <w:p w14:paraId="44E4E25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履行合同所必需的设备和专业技术能力的证明资料或承诺书</w:t>
            </w:r>
          </w:p>
        </w:tc>
        <w:tc>
          <w:tcPr>
            <w:tcW w:w="6189" w:type="dxa"/>
            <w:vAlign w:val="center"/>
          </w:tcPr>
          <w:p w14:paraId="6881268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提供具有履行合同所必需的设备和专业技术能力的证明资料或承诺书</w:t>
            </w:r>
          </w:p>
        </w:tc>
      </w:tr>
      <w:tr w14:paraId="22B3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4EE2B15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9</w:t>
            </w:r>
          </w:p>
        </w:tc>
        <w:tc>
          <w:tcPr>
            <w:tcW w:w="1680" w:type="dxa"/>
            <w:vAlign w:val="center"/>
          </w:tcPr>
          <w:p w14:paraId="225EB0D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信用承诺书</w:t>
            </w:r>
          </w:p>
        </w:tc>
        <w:tc>
          <w:tcPr>
            <w:tcW w:w="6189" w:type="dxa"/>
            <w:vAlign w:val="center"/>
          </w:tcPr>
          <w:p w14:paraId="267401F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提供榆林市政府采购工程类/货物类/服务类项目供应商信用承诺书（在信用中国（陕西榆林）网站公示）</w:t>
            </w:r>
          </w:p>
        </w:tc>
      </w:tr>
      <w:tr w14:paraId="011D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06F835C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w:t>
            </w:r>
          </w:p>
        </w:tc>
        <w:tc>
          <w:tcPr>
            <w:tcW w:w="1680" w:type="dxa"/>
            <w:vAlign w:val="center"/>
          </w:tcPr>
          <w:p w14:paraId="79EE82E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保证金</w:t>
            </w:r>
          </w:p>
        </w:tc>
        <w:tc>
          <w:tcPr>
            <w:tcW w:w="6189" w:type="dxa"/>
            <w:vAlign w:val="center"/>
          </w:tcPr>
          <w:p w14:paraId="550D9DF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本项目采用“投标信用承诺书”代替投标保证金（在信用中国（陕西榆林）网站公示）</w:t>
            </w:r>
          </w:p>
        </w:tc>
      </w:tr>
      <w:tr w14:paraId="5691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4A4D876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11</w:t>
            </w:r>
          </w:p>
        </w:tc>
        <w:tc>
          <w:tcPr>
            <w:tcW w:w="1680" w:type="dxa"/>
            <w:vAlign w:val="center"/>
          </w:tcPr>
          <w:p w14:paraId="5E63F24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企业性质</w:t>
            </w:r>
          </w:p>
        </w:tc>
        <w:tc>
          <w:tcPr>
            <w:tcW w:w="6189" w:type="dxa"/>
            <w:vAlign w:val="center"/>
          </w:tcPr>
          <w:p w14:paraId="4AE8C24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本项目专门面向中小企业采购，预留份额为整体预留，供应商须填写《中小企业声明函》</w:t>
            </w:r>
          </w:p>
        </w:tc>
      </w:tr>
    </w:tbl>
    <w:p w14:paraId="63C766AB">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eastAsia="宋体" w:cs="宋体"/>
          <w:b/>
          <w:bCs/>
          <w:snapToGrid w:val="0"/>
          <w:color w:val="000000"/>
          <w:kern w:val="0"/>
          <w:sz w:val="28"/>
          <w:szCs w:val="28"/>
          <w:lang w:val="en-US" w:eastAsia="zh-CN"/>
        </w:rPr>
        <w:t>2、供应商符合性检查。分别按照以下内容对响应文件进行检查，一项不合格即按照无效响应处理。</w:t>
      </w:r>
    </w:p>
    <w:p w14:paraId="2898A515">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562" w:firstLineChars="20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附表二 符合性审查表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46"/>
      </w:tblGrid>
      <w:tr w14:paraId="5057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D2B115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0865538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46" w:type="dxa"/>
            <w:vAlign w:val="center"/>
          </w:tcPr>
          <w:p w14:paraId="66B32A6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2DED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27B5FE1">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p>
        </w:tc>
        <w:tc>
          <w:tcPr>
            <w:tcW w:w="1680" w:type="dxa"/>
            <w:vAlign w:val="center"/>
          </w:tcPr>
          <w:p w14:paraId="0D5FB8C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响应文件封面、响应函、授权委托书三处的项目名称、项目编号、标段</w:t>
            </w:r>
          </w:p>
        </w:tc>
        <w:tc>
          <w:tcPr>
            <w:tcW w:w="6146" w:type="dxa"/>
            <w:vAlign w:val="center"/>
          </w:tcPr>
          <w:p w14:paraId="466FE8F1">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三处均无遗漏，且与所投项目名称、项目编号、标段一致。</w:t>
            </w:r>
          </w:p>
        </w:tc>
      </w:tr>
      <w:tr w14:paraId="7758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2980E9C">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p>
        </w:tc>
        <w:tc>
          <w:tcPr>
            <w:tcW w:w="1680" w:type="dxa"/>
            <w:vAlign w:val="center"/>
          </w:tcPr>
          <w:p w14:paraId="1AFA8D8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响应文件签署、盖章</w:t>
            </w:r>
          </w:p>
        </w:tc>
        <w:tc>
          <w:tcPr>
            <w:tcW w:w="6146" w:type="dxa"/>
            <w:vAlign w:val="center"/>
          </w:tcPr>
          <w:p w14:paraId="7AE534F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签署、盖章均符合采购文件要求，且无遗漏。</w:t>
            </w:r>
          </w:p>
        </w:tc>
      </w:tr>
      <w:tr w14:paraId="690D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1CEAAB1">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p>
        </w:tc>
        <w:tc>
          <w:tcPr>
            <w:tcW w:w="1680" w:type="dxa"/>
            <w:vAlign w:val="center"/>
          </w:tcPr>
          <w:p w14:paraId="3A0FA12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响应文件组成</w:t>
            </w:r>
          </w:p>
        </w:tc>
        <w:tc>
          <w:tcPr>
            <w:tcW w:w="6146" w:type="dxa"/>
            <w:vAlign w:val="center"/>
          </w:tcPr>
          <w:p w14:paraId="76330495">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响应文件应包含以下内容：</w:t>
            </w:r>
          </w:p>
          <w:p w14:paraId="0EC1272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（1）响应函；</w:t>
            </w:r>
          </w:p>
          <w:p w14:paraId="62F103C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（2）第一次磋商报价表；</w:t>
            </w:r>
          </w:p>
          <w:p w14:paraId="50CAD357">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（3）资格证明文件；</w:t>
            </w:r>
          </w:p>
          <w:p w14:paraId="38FB24C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（4）供应商概况；</w:t>
            </w:r>
          </w:p>
          <w:p w14:paraId="7AC2566E">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（5）供应商参加政府采购活动承诺书；</w:t>
            </w:r>
          </w:p>
          <w:p w14:paraId="4F88263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（6）响应方案。</w:t>
            </w:r>
          </w:p>
        </w:tc>
      </w:tr>
      <w:tr w14:paraId="7A38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20912F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p>
        </w:tc>
        <w:tc>
          <w:tcPr>
            <w:tcW w:w="1680" w:type="dxa"/>
            <w:vAlign w:val="center"/>
          </w:tcPr>
          <w:p w14:paraId="71BD9FD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响应有效期</w:t>
            </w:r>
          </w:p>
        </w:tc>
        <w:tc>
          <w:tcPr>
            <w:tcW w:w="6146" w:type="dxa"/>
            <w:vAlign w:val="center"/>
          </w:tcPr>
          <w:p w14:paraId="5B8A886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响应文件有效期符合采购文件要求</w:t>
            </w:r>
          </w:p>
        </w:tc>
      </w:tr>
      <w:tr w14:paraId="0AB9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CD363D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p>
        </w:tc>
        <w:tc>
          <w:tcPr>
            <w:tcW w:w="1680" w:type="dxa"/>
            <w:vAlign w:val="center"/>
          </w:tcPr>
          <w:p w14:paraId="7B2899A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响应文件的语言及计量单位</w:t>
            </w:r>
          </w:p>
        </w:tc>
        <w:tc>
          <w:tcPr>
            <w:tcW w:w="6146" w:type="dxa"/>
            <w:vAlign w:val="center"/>
          </w:tcPr>
          <w:p w14:paraId="29E288D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均符合采购文件要求</w:t>
            </w:r>
          </w:p>
        </w:tc>
      </w:tr>
      <w:tr w14:paraId="1153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C5B94DB">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p>
        </w:tc>
        <w:tc>
          <w:tcPr>
            <w:tcW w:w="1680" w:type="dxa"/>
            <w:vAlign w:val="center"/>
          </w:tcPr>
          <w:p w14:paraId="2994C54E">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报价</w:t>
            </w:r>
          </w:p>
        </w:tc>
        <w:tc>
          <w:tcPr>
            <w:tcW w:w="6146" w:type="dxa"/>
            <w:vAlign w:val="center"/>
          </w:tcPr>
          <w:p w14:paraId="32E659B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同时满足以下条款：</w:t>
            </w:r>
          </w:p>
          <w:p w14:paraId="4893AC74">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(1)磋商报价符合唯一性要求；</w:t>
            </w:r>
          </w:p>
          <w:p w14:paraId="6A2709C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(2)第一次磋商报价表填写符合要求；</w:t>
            </w:r>
          </w:p>
          <w:p w14:paraId="514C15F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(3)报价货币符合采购文件要求；</w:t>
            </w:r>
          </w:p>
          <w:p w14:paraId="37B853E8">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(4)未超出采购预算或采购文件规定的最高限价。</w:t>
            </w:r>
          </w:p>
        </w:tc>
      </w:tr>
      <w:tr w14:paraId="468A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3D5B2AD">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p>
        </w:tc>
        <w:tc>
          <w:tcPr>
            <w:tcW w:w="1680" w:type="dxa"/>
            <w:vAlign w:val="center"/>
          </w:tcPr>
          <w:p w14:paraId="58BC0A5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技术要求</w:t>
            </w:r>
          </w:p>
        </w:tc>
        <w:tc>
          <w:tcPr>
            <w:tcW w:w="6146" w:type="dxa"/>
            <w:vAlign w:val="center"/>
          </w:tcPr>
          <w:p w14:paraId="5BE82D6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对采购文件做出了实质性响应没有重大缺项漏项,无明显不符合技术规格、技术标准的要求的</w:t>
            </w:r>
          </w:p>
        </w:tc>
      </w:tr>
      <w:tr w14:paraId="6576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0133DFA">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8</w:t>
            </w:r>
          </w:p>
        </w:tc>
        <w:tc>
          <w:tcPr>
            <w:tcW w:w="1680" w:type="dxa"/>
            <w:vAlign w:val="center"/>
          </w:tcPr>
          <w:p w14:paraId="0C6CD87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商务要求</w:t>
            </w:r>
          </w:p>
        </w:tc>
        <w:tc>
          <w:tcPr>
            <w:tcW w:w="6146" w:type="dxa"/>
            <w:vAlign w:val="center"/>
          </w:tcPr>
          <w:p w14:paraId="5638195F">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完全响应采购文件要求的各项商务实质性条款</w:t>
            </w:r>
          </w:p>
        </w:tc>
      </w:tr>
      <w:tr w14:paraId="565E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9B8E640">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9</w:t>
            </w:r>
          </w:p>
        </w:tc>
        <w:tc>
          <w:tcPr>
            <w:tcW w:w="1680" w:type="dxa"/>
            <w:vAlign w:val="center"/>
          </w:tcPr>
          <w:p w14:paraId="50CDCEB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无采购文件或法律法规明确规定响应无效的事项</w:t>
            </w:r>
          </w:p>
        </w:tc>
        <w:tc>
          <w:tcPr>
            <w:tcW w:w="6146" w:type="dxa"/>
            <w:vAlign w:val="center"/>
          </w:tcPr>
          <w:p w14:paraId="488FBB9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完全理解并接受法律法规和采购文件对供应商的各项须知、规约要求和责任义务，没有出现法律法规或采购文件明确规定的其他被视为无效响应的情形</w:t>
            </w:r>
          </w:p>
        </w:tc>
      </w:tr>
      <w:tr w14:paraId="3294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B5E023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10</w:t>
            </w:r>
          </w:p>
        </w:tc>
        <w:tc>
          <w:tcPr>
            <w:tcW w:w="1680" w:type="dxa"/>
            <w:vAlign w:val="center"/>
          </w:tcPr>
          <w:p w14:paraId="5395D75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合同条款响应</w:t>
            </w:r>
          </w:p>
        </w:tc>
        <w:tc>
          <w:tcPr>
            <w:tcW w:w="6146" w:type="dxa"/>
            <w:vAlign w:val="center"/>
          </w:tcPr>
          <w:p w14:paraId="7DE4B6BA">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有完全理解并接受采购文件合同基本条款要求的描述</w:t>
            </w:r>
          </w:p>
        </w:tc>
      </w:tr>
      <w:tr w14:paraId="798A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A3040C3">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11</w:t>
            </w:r>
          </w:p>
        </w:tc>
        <w:tc>
          <w:tcPr>
            <w:tcW w:w="1680" w:type="dxa"/>
            <w:vAlign w:val="center"/>
          </w:tcPr>
          <w:p w14:paraId="05DAEB29">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不接受联合体投标</w:t>
            </w:r>
          </w:p>
        </w:tc>
        <w:tc>
          <w:tcPr>
            <w:tcW w:w="6146" w:type="dxa"/>
            <w:vAlign w:val="center"/>
          </w:tcPr>
          <w:p w14:paraId="6B7FC64A">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符合采购文件要求</w:t>
            </w:r>
          </w:p>
        </w:tc>
      </w:tr>
    </w:tbl>
    <w:p w14:paraId="26264187">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eastAsia="zh-CN"/>
        </w:rPr>
        <w:t>、综合比较与评价</w:t>
      </w:r>
    </w:p>
    <w:p w14:paraId="4B0F74D9">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b/>
          <w:bCs/>
          <w:sz w:val="28"/>
          <w:szCs w:val="28"/>
          <w:lang w:eastAsia="zh-CN"/>
        </w:rPr>
      </w:pPr>
      <w:bookmarkStart w:id="36" w:name="评审要素及分值一览表"/>
      <w:bookmarkEnd w:id="36"/>
      <w:r>
        <w:rPr>
          <w:rFonts w:hint="eastAsia" w:ascii="宋体" w:hAnsi="宋体" w:cs="宋体"/>
          <w:b/>
          <w:bCs/>
          <w:sz w:val="28"/>
          <w:szCs w:val="28"/>
          <w:vertAlign w:val="baseline"/>
          <w:lang w:val="en-US" w:eastAsia="zh-CN"/>
        </w:rPr>
        <w:t xml:space="preserve">附表三 </w:t>
      </w:r>
      <w:r>
        <w:rPr>
          <w:rFonts w:hint="eastAsia" w:ascii="宋体" w:hAnsi="宋体" w:eastAsia="宋体" w:cs="宋体"/>
          <w:b/>
          <w:bCs/>
          <w:sz w:val="28"/>
          <w:szCs w:val="28"/>
          <w:lang w:eastAsia="zh-CN"/>
        </w:rPr>
        <w:t>评审要素及分值一览表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6217"/>
        <w:gridCol w:w="883"/>
      </w:tblGrid>
      <w:tr w14:paraId="6552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422" w:type="dxa"/>
            <w:vAlign w:val="center"/>
          </w:tcPr>
          <w:p w14:paraId="2B826EF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评标因素</w:t>
            </w:r>
          </w:p>
        </w:tc>
        <w:tc>
          <w:tcPr>
            <w:tcW w:w="6217" w:type="dxa"/>
            <w:vAlign w:val="center"/>
          </w:tcPr>
          <w:p w14:paraId="55572B4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评审内容</w:t>
            </w:r>
          </w:p>
        </w:tc>
        <w:tc>
          <w:tcPr>
            <w:tcW w:w="883" w:type="dxa"/>
            <w:vAlign w:val="center"/>
          </w:tcPr>
          <w:p w14:paraId="4227DDF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分值</w:t>
            </w:r>
          </w:p>
        </w:tc>
      </w:tr>
      <w:tr w14:paraId="2E3E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0B4101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价格部分</w:t>
            </w:r>
          </w:p>
        </w:tc>
        <w:tc>
          <w:tcPr>
            <w:tcW w:w="6217" w:type="dxa"/>
            <w:vAlign w:val="center"/>
          </w:tcPr>
          <w:p w14:paraId="76420EE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价格评分满分为10分，以实质性满足招标文件商务和技术要求的最低投标价格为基准值。</w:t>
            </w:r>
          </w:p>
          <w:p w14:paraId="47FC23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投标报价得分=（评标基准价/投标报价）×10</w:t>
            </w:r>
          </w:p>
          <w:p w14:paraId="42ECBD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eastAsia="宋体" w:cs="宋体"/>
                <w:b w:val="0"/>
                <w:bCs w:val="0"/>
                <w:sz w:val="23"/>
                <w:szCs w:val="23"/>
                <w:vertAlign w:val="baseline"/>
                <w:lang w:val="en-US" w:eastAsia="zh-CN"/>
              </w:rPr>
              <w:t>计算分数时四舍五入取小数点后两位。</w:t>
            </w:r>
          </w:p>
          <w:p w14:paraId="02058B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标委员会认为投标人的报价明显低于其他通过符合性审查投标人的报价，有可能影响服务质量或者不能诚信履约的，应当要求其在评标现场合理的时间内提供书面说明，必要时递交相关证明材料；投标人不能证明其报价合理性的，评标委员会应当将其作为无效投标处理。</w:t>
            </w:r>
          </w:p>
        </w:tc>
        <w:tc>
          <w:tcPr>
            <w:tcW w:w="883" w:type="dxa"/>
            <w:vAlign w:val="center"/>
          </w:tcPr>
          <w:p w14:paraId="7385B7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r w14:paraId="6BFB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499CBC6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防治技术方案</w:t>
            </w:r>
          </w:p>
        </w:tc>
        <w:tc>
          <w:tcPr>
            <w:tcW w:w="6217" w:type="dxa"/>
            <w:vAlign w:val="center"/>
          </w:tcPr>
          <w:p w14:paraId="0FEF802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投标人针对鼠、蚊、蟑、蝇四类病媒生物的综合防治措施，结合内外环境特点、季节消长规律，是否符合2025版《GB/T27770-27773病媒生物密度控制水平》等国家标准，从方案科学性、针对性、可行性及细节完善度综合评审：</w:t>
            </w:r>
          </w:p>
          <w:p w14:paraId="10A364B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1、方案完整科学、措施精准、适配各类场所，能有效解决重点难点问题，包含详细消杀流程、药械选用依据及鼠饵站建设方案的，得18-20分；</w:t>
            </w:r>
          </w:p>
          <w:p w14:paraId="277573C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2、方案较完整，措施可行，基本适配项目需求，细节略有不足的，得15-18分；</w:t>
            </w:r>
          </w:p>
          <w:p w14:paraId="280A10C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3、方案内容一般，针对性不强，存在明显疏漏的，得10-15分；</w:t>
            </w:r>
          </w:p>
          <w:p w14:paraId="0517E05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4、方案简陋、缺乏可行性或未提供的，得0-10分。</w:t>
            </w:r>
          </w:p>
        </w:tc>
        <w:tc>
          <w:tcPr>
            <w:tcW w:w="883" w:type="dxa"/>
            <w:vAlign w:val="center"/>
          </w:tcPr>
          <w:p w14:paraId="4CE45D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w:t>
            </w:r>
            <w:r>
              <w:rPr>
                <w:rFonts w:hint="eastAsia" w:ascii="宋体" w:hAnsi="宋体" w:eastAsia="宋体" w:cs="宋体"/>
                <w:b w:val="0"/>
                <w:bCs w:val="0"/>
                <w:sz w:val="23"/>
                <w:szCs w:val="23"/>
                <w:vertAlign w:val="baseline"/>
                <w:lang w:val="en-US" w:eastAsia="zh-CN"/>
              </w:rPr>
              <w:t>分</w:t>
            </w:r>
          </w:p>
        </w:tc>
      </w:tr>
      <w:tr w14:paraId="2733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5DF863F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项目实施方案</w:t>
            </w:r>
          </w:p>
        </w:tc>
        <w:tc>
          <w:tcPr>
            <w:tcW w:w="6217" w:type="dxa"/>
            <w:vAlign w:val="center"/>
          </w:tcPr>
          <w:p w14:paraId="4801941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服务范围与底数排查（5分）</w:t>
            </w:r>
          </w:p>
          <w:p w14:paraId="5FA177A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①范围明确细化、底数清晰，与招标文件要求无偏差，排查方案科学的，得4-5分；</w:t>
            </w:r>
          </w:p>
          <w:p w14:paraId="56A949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②基本符合要求的，得2-4分；</w:t>
            </w:r>
          </w:p>
          <w:p w14:paraId="5284377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③不符合或未提供的，得0分。</w:t>
            </w:r>
          </w:p>
          <w:p w14:paraId="12BA97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时间安排与质量监督（5分）</w:t>
            </w:r>
          </w:p>
          <w:p w14:paraId="208A7BB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①结合病媒生物消长季节制定合理工作时序，质量监督措施具体可操作的，得4-5分；</w:t>
            </w:r>
          </w:p>
          <w:p w14:paraId="1E207A9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②安排基本合理、措施一般的，得2-4分；</w:t>
            </w:r>
          </w:p>
          <w:p w14:paraId="5206034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③不符合或未提供的，得0分。</w:t>
            </w:r>
          </w:p>
          <w:p w14:paraId="3951020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资料收集与分析（5分）</w:t>
            </w:r>
          </w:p>
          <w:p w14:paraId="7641D9B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①建立完善的服务档案，资料收集、数据统计及分析方案完善的，得4-5分；</w:t>
            </w:r>
          </w:p>
          <w:p w14:paraId="302CD2F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②方案基本可行的，得2-4分；</w:t>
            </w:r>
          </w:p>
          <w:p w14:paraId="0481383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③不符合或未提供的，得0分。</w:t>
            </w:r>
          </w:p>
        </w:tc>
        <w:tc>
          <w:tcPr>
            <w:tcW w:w="883" w:type="dxa"/>
            <w:vAlign w:val="center"/>
          </w:tcPr>
          <w:p w14:paraId="198CF9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分</w:t>
            </w:r>
          </w:p>
        </w:tc>
      </w:tr>
      <w:tr w14:paraId="5F5D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3D04F8C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巡检与进度保障措施</w:t>
            </w:r>
          </w:p>
        </w:tc>
        <w:tc>
          <w:tcPr>
            <w:tcW w:w="6217" w:type="dxa"/>
            <w:vAlign w:val="center"/>
          </w:tcPr>
          <w:p w14:paraId="1AFE579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根据巡检方案、进度计划、设施部署及保障措施的合理性、科学性、可操作性综合评审：</w:t>
            </w:r>
          </w:p>
          <w:p w14:paraId="1C6E271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1、巡检频次合理、进度节点清晰，保障措施全面，能确保服务按时按质完成的，得12-15分；</w:t>
            </w:r>
          </w:p>
          <w:p w14:paraId="78BAE5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2、方案较完善，进度安排基本合理，保障措施可行的，得10-12分；</w:t>
            </w:r>
          </w:p>
          <w:p w14:paraId="676AF61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3、方案简陋，进度与保障措施不足的，得0-10分。</w:t>
            </w:r>
          </w:p>
        </w:tc>
        <w:tc>
          <w:tcPr>
            <w:tcW w:w="883" w:type="dxa"/>
            <w:vAlign w:val="center"/>
          </w:tcPr>
          <w:p w14:paraId="4128EA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分</w:t>
            </w:r>
          </w:p>
        </w:tc>
      </w:tr>
      <w:tr w14:paraId="0819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60F86B0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应急处置方案</w:t>
            </w:r>
          </w:p>
        </w:tc>
        <w:tc>
          <w:tcPr>
            <w:tcW w:w="6217" w:type="dxa"/>
            <w:vAlign w:val="center"/>
          </w:tcPr>
          <w:p w14:paraId="4725717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针对重大活动保障、病媒疫情暴发、极端天气等特殊情况，根据应急方案的科学性、完整性及响应效率综合评审：</w:t>
            </w:r>
          </w:p>
          <w:p w14:paraId="3822C8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①方案包含人员、器械、药物应急储备，响应流程清晰，处置措施得当的，得8-10分；</w:t>
            </w:r>
          </w:p>
          <w:p w14:paraId="4942B0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②方案基本完整，应急措施可行但细节不足的，得5-8分；</w:t>
            </w:r>
          </w:p>
          <w:p w14:paraId="4A39FAA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③方案简陋或未提供的，得0-5分。</w:t>
            </w:r>
          </w:p>
        </w:tc>
        <w:tc>
          <w:tcPr>
            <w:tcW w:w="883" w:type="dxa"/>
            <w:vAlign w:val="center"/>
          </w:tcPr>
          <w:p w14:paraId="13097A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w:t>
            </w:r>
            <w:r>
              <w:rPr>
                <w:rFonts w:hint="eastAsia" w:ascii="宋体" w:hAnsi="宋体" w:eastAsia="宋体" w:cs="宋体"/>
                <w:b w:val="0"/>
                <w:bCs w:val="0"/>
                <w:sz w:val="23"/>
                <w:szCs w:val="23"/>
                <w:vertAlign w:val="baseline"/>
                <w:lang w:val="en-US" w:eastAsia="zh-CN"/>
              </w:rPr>
              <w:t>分</w:t>
            </w:r>
          </w:p>
        </w:tc>
      </w:tr>
      <w:tr w14:paraId="6A08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4A6A5D1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人员配置</w:t>
            </w:r>
          </w:p>
        </w:tc>
        <w:tc>
          <w:tcPr>
            <w:tcW w:w="6217" w:type="dxa"/>
            <w:vAlign w:val="center"/>
          </w:tcPr>
          <w:p w14:paraId="337D5306">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拟派技术人员具备相关部门颁发的《有害生物防制员》职业资格证书，高级（三级）及以上每人得3分，中级（四级）及以下每人得1分，最多得10分。</w:t>
            </w:r>
          </w:p>
        </w:tc>
        <w:tc>
          <w:tcPr>
            <w:tcW w:w="883" w:type="dxa"/>
            <w:vAlign w:val="center"/>
          </w:tcPr>
          <w:p w14:paraId="1813D951">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r w14:paraId="4017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1CE8554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售后服务方案</w:t>
            </w:r>
          </w:p>
        </w:tc>
        <w:tc>
          <w:tcPr>
            <w:tcW w:w="6217" w:type="dxa"/>
            <w:vAlign w:val="center"/>
          </w:tcPr>
          <w:p w14:paraId="5CC4FB85">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一、评审内容</w:t>
            </w:r>
          </w:p>
          <w:p w14:paraId="2696CD3A">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根据项目实际需求，提供针对本项目的售后服务方案，方案评审内容包含：</w:t>
            </w:r>
          </w:p>
          <w:p w14:paraId="2FE5B805">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①售后服务承诺；</w:t>
            </w:r>
          </w:p>
          <w:p w14:paraId="3A194AE1">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②售后服务内容；</w:t>
            </w:r>
          </w:p>
          <w:p w14:paraId="5A34FDBA">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③响应速度及响应方式。</w:t>
            </w:r>
          </w:p>
          <w:p w14:paraId="44D2D1C2">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二、评审标准</w:t>
            </w:r>
          </w:p>
          <w:p w14:paraId="22E0A7BF">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1、完整性：内容是否全面，各项要求是否有详细描述；</w:t>
            </w:r>
          </w:p>
          <w:p w14:paraId="6881E415">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2、实施性：切合项目实际情况，是否提出步骤清晰、科学合理及高效的方案；</w:t>
            </w:r>
          </w:p>
          <w:p w14:paraId="383813CF">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3、针对性：内容是否能紧扣项目实际情况，是否科学合理。</w:t>
            </w:r>
          </w:p>
          <w:p w14:paraId="1985FD09">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三、赋分标准（满分15分）</w:t>
            </w:r>
          </w:p>
          <w:p w14:paraId="590589FB">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①售后服务承诺：每一个评审标准最高得1分，满分3分；</w:t>
            </w:r>
          </w:p>
          <w:p w14:paraId="0EBB5B83">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②售后服务内容：每一个评审标准最高得2分，满分6分；</w:t>
            </w:r>
          </w:p>
          <w:p w14:paraId="4D9C7271">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③响应速度及响应方式：每一个评审标准最高2分，满分6分。</w:t>
            </w:r>
          </w:p>
        </w:tc>
        <w:tc>
          <w:tcPr>
            <w:tcW w:w="883" w:type="dxa"/>
            <w:vAlign w:val="center"/>
          </w:tcPr>
          <w:p w14:paraId="3B3E5EA0">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15分</w:t>
            </w:r>
          </w:p>
        </w:tc>
      </w:tr>
      <w:tr w14:paraId="2864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7DB7EFD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业绩</w:t>
            </w:r>
          </w:p>
        </w:tc>
        <w:tc>
          <w:tcPr>
            <w:tcW w:w="6217" w:type="dxa"/>
            <w:vAlign w:val="center"/>
          </w:tcPr>
          <w:p w14:paraId="1B0EF6CC">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提供近三年（2023年1月1日及以后）类似项目业绩每提供一项得2.5分，最高得5分。（以合同为准）。</w:t>
            </w:r>
          </w:p>
        </w:tc>
        <w:tc>
          <w:tcPr>
            <w:tcW w:w="883" w:type="dxa"/>
            <w:vAlign w:val="center"/>
          </w:tcPr>
          <w:p w14:paraId="7C053662">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分</w:t>
            </w:r>
          </w:p>
        </w:tc>
      </w:tr>
    </w:tbl>
    <w:p w14:paraId="2065E9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eastAsia="宋体" w:cs="宋体"/>
          <w:b/>
          <w:bCs/>
          <w:snapToGrid w:val="0"/>
          <w:color w:val="000000"/>
          <w:kern w:val="0"/>
          <w:sz w:val="28"/>
          <w:szCs w:val="28"/>
          <w:lang w:val="en-US" w:eastAsia="zh-CN"/>
        </w:rPr>
        <w:t>4、澄清有关问题：</w:t>
      </w:r>
    </w:p>
    <w:p w14:paraId="1D6F8E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对</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响应文件中含义不明确、同类问题表述不一致或者有明显文字和计算错误的内容，</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小组可以要求供应商作出必要的澄清、说明或者纠正。供应商的澄清、说明或者补正应当采用书面形式，由其授权代表签字。并不得超出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响应文件的范围或者改变</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响应文件的实质性内容。供应商在规定的澄清时限（期限）内，未能答复或者拒绝答复澄清、说明或者补正内容的，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小组将根据其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响应文件，按最大采购风险进行评审。</w:t>
      </w:r>
    </w:p>
    <w:p w14:paraId="529E07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5</w:t>
      </w:r>
      <w:r>
        <w:rPr>
          <w:rFonts w:hint="eastAsia" w:ascii="宋体" w:hAnsi="宋体" w:eastAsia="宋体" w:cs="宋体"/>
          <w:b/>
          <w:bCs/>
          <w:snapToGrid w:val="0"/>
          <w:color w:val="000000"/>
          <w:kern w:val="0"/>
          <w:sz w:val="28"/>
          <w:szCs w:val="28"/>
          <w:lang w:val="en-US" w:eastAsia="zh-CN"/>
        </w:rPr>
        <w:t>、磋商小组集中与初审合格的供应商单一进行磋商。</w:t>
      </w:r>
    </w:p>
    <w:p w14:paraId="5ECE2F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6</w:t>
      </w:r>
      <w:r>
        <w:rPr>
          <w:rFonts w:hint="eastAsia" w:ascii="宋体" w:hAnsi="宋体" w:eastAsia="宋体" w:cs="宋体"/>
          <w:b/>
          <w:bCs/>
          <w:snapToGrid w:val="0"/>
          <w:color w:val="000000"/>
          <w:kern w:val="0"/>
          <w:sz w:val="28"/>
          <w:szCs w:val="28"/>
          <w:lang w:val="en-US" w:eastAsia="zh-CN"/>
        </w:rPr>
        <w:t>、供应商根据磋商小组提供的竞争性磋商文件变动内容及要求提供承诺与澄清说明。</w:t>
      </w:r>
    </w:p>
    <w:p w14:paraId="182090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7</w:t>
      </w:r>
      <w:r>
        <w:rPr>
          <w:rFonts w:hint="eastAsia" w:ascii="宋体" w:hAnsi="宋体" w:eastAsia="宋体" w:cs="宋体"/>
          <w:b/>
          <w:bCs/>
          <w:snapToGrid w:val="0"/>
          <w:color w:val="000000"/>
          <w:kern w:val="0"/>
          <w:sz w:val="28"/>
          <w:szCs w:val="28"/>
          <w:lang w:val="en-US" w:eastAsia="zh-CN"/>
        </w:rPr>
        <w:t>、最终报价</w:t>
      </w:r>
    </w:p>
    <w:p w14:paraId="143E0D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7.1</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文件能够详细列明采购标的技术、服务要求的，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结束后，所有通过资格性审查和符合性审查供应商进入最终报价阶段。在规定时间内提交最终报价，最终报价是供应商</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响应文件的有效组成部分。（最终报价相同时，可进行多次报价）</w:t>
      </w:r>
    </w:p>
    <w:p w14:paraId="7DACA2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7.2</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文件不能详细列明采购标的技术、服务要求，需经</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由供应商提供最终实施方案或解决方案的，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结束后，</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小组应当按照少数服从多数的原则投票推荐3家以上供应商的实施方案或者解决方案，并要求其在规定时间内提交最终报价。</w:t>
      </w:r>
    </w:p>
    <w:p w14:paraId="66E9F3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37" w:name="_Toc11774_WPSOffice_Level2"/>
      <w:r>
        <w:rPr>
          <w:rFonts w:hint="eastAsia" w:ascii="宋体" w:hAnsi="宋体" w:cs="宋体"/>
          <w:b w:val="0"/>
          <w:bCs w:val="0"/>
          <w:sz w:val="23"/>
          <w:szCs w:val="23"/>
          <w:vertAlign w:val="baseline"/>
          <w:lang w:val="en-US" w:eastAsia="zh-CN"/>
        </w:rPr>
        <w:t>7.3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小组一致认为最终报价明显不合理或者低于成本，无法保证质量和不能诚信履约时，可按无效</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处理。</w:t>
      </w:r>
    </w:p>
    <w:p w14:paraId="4BCC40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8" w:name="_Toc29389"/>
      <w:r>
        <w:rPr>
          <w:rFonts w:hint="eastAsia" w:ascii="宋体" w:hAnsi="宋体" w:eastAsia="宋体" w:cs="宋体"/>
          <w:b/>
          <w:bCs/>
          <w:sz w:val="28"/>
          <w:szCs w:val="28"/>
          <w:vertAlign w:val="baseline"/>
          <w:lang w:val="en-US" w:eastAsia="zh-CN"/>
        </w:rPr>
        <w:t>三、享受的政府采购政策</w:t>
      </w:r>
      <w:bookmarkEnd w:id="37"/>
      <w:bookmarkEnd w:id="38"/>
    </w:p>
    <w:p w14:paraId="19AECA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1、中小企业落实政府采购政策：落实促进支持中小企业、监狱企业、残疾人福利性单位发展、脱贫攻坚工作的政策（如为专门面向中小企业的采购项目（或采购包），不执行以下条款。) </w:t>
      </w:r>
    </w:p>
    <w:p w14:paraId="3851FE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1.1《政府采购促进中小企业发展管理办法》（财库〔2020〕46号）</w:t>
      </w:r>
    </w:p>
    <w:p w14:paraId="39EA52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在政府采购活动中，供应商提供的货物、工程或者服务符合下列情形的，享受《办法》规定的中小企业扶持政策：</w:t>
      </w:r>
    </w:p>
    <w:p w14:paraId="60CE5D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1.1.1</w:t>
      </w:r>
      <w:r>
        <w:rPr>
          <w:rFonts w:hint="eastAsia" w:ascii="宋体" w:hAnsi="宋体" w:eastAsia="宋体" w:cs="宋体"/>
          <w:b w:val="0"/>
          <w:bCs w:val="0"/>
          <w:sz w:val="23"/>
          <w:szCs w:val="23"/>
          <w:vertAlign w:val="baseline"/>
          <w:lang w:val="en-US" w:eastAsia="zh-CN"/>
        </w:rPr>
        <w:t>在货物采购项目中，货物由中小企业制造，即货物由中小企业生产且使用该中小企业商号或者注册商标；</w:t>
      </w:r>
    </w:p>
    <w:p w14:paraId="708F09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1.1.2</w:t>
      </w:r>
      <w:r>
        <w:rPr>
          <w:rFonts w:hint="eastAsia" w:ascii="宋体" w:hAnsi="宋体" w:eastAsia="宋体" w:cs="宋体"/>
          <w:b w:val="0"/>
          <w:bCs w:val="0"/>
          <w:sz w:val="23"/>
          <w:szCs w:val="23"/>
          <w:vertAlign w:val="baseline"/>
          <w:lang w:val="en-US" w:eastAsia="zh-CN"/>
        </w:rPr>
        <w:t>在工程采购项目中，工程由中小企业承建，即工程施工单位为中小企业；</w:t>
      </w:r>
    </w:p>
    <w:p w14:paraId="5C33F0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1.1.3</w:t>
      </w:r>
      <w:r>
        <w:rPr>
          <w:rFonts w:hint="eastAsia" w:ascii="宋体" w:hAnsi="宋体" w:eastAsia="宋体" w:cs="宋体"/>
          <w:b w:val="0"/>
          <w:bCs w:val="0"/>
          <w:sz w:val="23"/>
          <w:szCs w:val="23"/>
          <w:vertAlign w:val="baseline"/>
          <w:lang w:val="en-US" w:eastAsia="zh-CN"/>
        </w:rPr>
        <w:t>在服务采购项目中，服务由中小企业承接，即提供服务的人员为中小企业依照《中华人民共和国民法典》订立劳动合同的从业人员。</w:t>
      </w:r>
    </w:p>
    <w:p w14:paraId="35AAB3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1.1.4</w:t>
      </w:r>
      <w:r>
        <w:rPr>
          <w:rFonts w:hint="eastAsia" w:ascii="宋体" w:hAnsi="宋体" w:eastAsia="宋体" w:cs="宋体"/>
          <w:b w:val="0"/>
          <w:bCs w:val="0"/>
          <w:sz w:val="23"/>
          <w:szCs w:val="23"/>
          <w:vertAlign w:val="baseline"/>
          <w:lang w:val="en-US" w:eastAsia="zh-CN"/>
        </w:rPr>
        <w:t>在货物采购项目中，供应商提供的货物既有中小企业制造货物，也有大型企业制造货物的，不享受《办法》规定的中小企业扶持政策。</w:t>
      </w:r>
    </w:p>
    <w:p w14:paraId="1E7442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以联合体形式参加政府采购活动，联合体各方均为中小企业的，联合体视同中小企业。其中，联合体各方均为小微企业的，联合体视同小微企业。</w:t>
      </w:r>
    </w:p>
    <w:p w14:paraId="196180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依据《办法》规定享受扶持政策获得政府采购合同的，小微企业不得将合同分包给大中型企业，中型企业不得将合同分包给大型企业。</w:t>
      </w:r>
    </w:p>
    <w:p w14:paraId="71ABBD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通知（财库〔2020〕46号）规定，参加政府采购活动的中小企业应当提供《中小企业声明函》。供应商提供的《中小企业声明函》原件必须真实，否则，按照有关规定予以处理。</w:t>
      </w:r>
    </w:p>
    <w:p w14:paraId="5F3F4C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相关规定，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0202B5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78B5A1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财政部司法部关于政府采购支持监狱企业发展有关问题的通知》（财库〔2014〕68号）监狱企业参加政府采购活动时，应当提供由省级以上监狱管理局、戒毒管理局（含新疆生产建设兵团）出具的属于监狱企业的证明文件。在政府采购活动中，监狱企业视同小型、微型企业。</w:t>
      </w:r>
    </w:p>
    <w:p w14:paraId="74A60E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1.3《三部门联合发布关于促进残疾人就业政府采购政策的通知》（财库〔2017〕141号）；</w:t>
      </w:r>
    </w:p>
    <w:p w14:paraId="34E31B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17B4D0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2、落实优先采购节能、环保产品的政策所投产品满足以下文件要求中任意一条（及以上），其价格给予3%的扣除，用扣除后价格参与评审。</w:t>
      </w:r>
    </w:p>
    <w:p w14:paraId="1994DD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2.1根据《财政部国家发展改革委关于印发〈节能产品政府采购实施意见〉的通知》（财库〔2004〕185号）规定属于“</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的，在技术、服务等指标同等条件下，应当优先采购</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的节能产品。”</w:t>
      </w:r>
    </w:p>
    <w:p w14:paraId="2D2E85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根据《财政部环保总局关于环境标志产品政府采购实施的意见》（财库〔2006〕90号）规定属于“环境标志产品政府采购品目清单的，在性能、技术、服务等指标同等条件下，应当优先采购环境标志产品政府采购品目清单的的</w:t>
      </w:r>
      <w:r>
        <w:rPr>
          <w:rFonts w:hint="eastAsia" w:ascii="宋体" w:hAnsi="宋体" w:cs="宋体"/>
          <w:b w:val="0"/>
          <w:bCs w:val="0"/>
          <w:sz w:val="23"/>
          <w:szCs w:val="23"/>
          <w:vertAlign w:val="baseline"/>
          <w:lang w:val="en-US" w:eastAsia="zh-CN"/>
        </w:rPr>
        <w:t>节能</w:t>
      </w:r>
      <w:r>
        <w:rPr>
          <w:rFonts w:hint="eastAsia" w:ascii="宋体" w:hAnsi="宋体" w:eastAsia="宋体" w:cs="宋体"/>
          <w:b w:val="0"/>
          <w:bCs w:val="0"/>
          <w:sz w:val="23"/>
          <w:szCs w:val="23"/>
          <w:vertAlign w:val="baseline"/>
          <w:lang w:val="en-US" w:eastAsia="zh-CN"/>
        </w:rPr>
        <w:t>产品”。</w:t>
      </w:r>
    </w:p>
    <w:p w14:paraId="2EEF49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1DD05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2.4根据《财政部发展改革委生态环境部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609F8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2.5所有投标产品进入“节能产品政府采购品目清单”的，应提供相关证书复印件，相关证书的颁发机构应来自《参与实施政府采购节能产品认证机构名录》。</w:t>
      </w:r>
    </w:p>
    <w:p w14:paraId="42A4EF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2.6所有投标产品进入“环境标志产品政府采购品目清单”的，应提供相关证书复印件，相关证书的颁发机构应来自《参与实施政府采购环境标志产品认证机构名录》。</w:t>
      </w:r>
    </w:p>
    <w:p w14:paraId="35DB98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2.7对于已列入品目清单的产品类别，采购人可在采购需求中提出更高的节约资源和保护环境要求，对符合条件的获证产品给予优先待遇。</w:t>
      </w:r>
    </w:p>
    <w:p w14:paraId="320C41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2.8投标供应商在投标文件中对所投标产品为节能、环保、环境标志产品清单中的产品，在投标报价时必须对此类产品单独分项报价，计算出小计金额。未提供节能、环保、环境标志产品计分明细表的不给予计分。</w:t>
      </w:r>
    </w:p>
    <w:p w14:paraId="4B4AD8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2.9若节能、环保、环境标志清单内的产品仅是构成投标产品的部件、组件或零件的，则该投标产品不享受鼓励优惠政策。</w:t>
      </w:r>
    </w:p>
    <w:p w14:paraId="203B9D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2.10同一包号的节能、环保、环境标志产品部分计分只对属于清单内的非强制类产品进行计分，强制类产品不给予计分。</w:t>
      </w:r>
    </w:p>
    <w:p w14:paraId="11AF7A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2.11节能、环保、环境标志产品不重复计分；同时列入国家级清单和省级清单的产品不重复计分</w:t>
      </w:r>
      <w:r>
        <w:rPr>
          <w:rFonts w:hint="eastAsia" w:ascii="宋体" w:hAnsi="宋体" w:cs="宋体"/>
          <w:b w:val="0"/>
          <w:bCs w:val="0"/>
          <w:sz w:val="23"/>
          <w:szCs w:val="23"/>
          <w:vertAlign w:val="baseline"/>
          <w:lang w:val="en-US" w:eastAsia="zh-CN"/>
        </w:rPr>
        <w:t>。</w:t>
      </w:r>
    </w:p>
    <w:p w14:paraId="630709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9" w:name="_Toc23071"/>
      <w:bookmarkStart w:id="40" w:name="_Toc6105_WPSOffice_Level2"/>
      <w:r>
        <w:rPr>
          <w:rFonts w:hint="eastAsia" w:ascii="宋体" w:hAnsi="宋体" w:cs="宋体"/>
          <w:b/>
          <w:bCs/>
          <w:sz w:val="28"/>
          <w:szCs w:val="28"/>
          <w:vertAlign w:val="baseline"/>
          <w:lang w:val="en-US" w:eastAsia="zh-CN"/>
        </w:rPr>
        <w:t>四</w:t>
      </w:r>
      <w:r>
        <w:rPr>
          <w:rFonts w:hint="eastAsia" w:ascii="宋体" w:hAnsi="宋体" w:eastAsia="宋体" w:cs="宋体"/>
          <w:b/>
          <w:bCs/>
          <w:sz w:val="28"/>
          <w:szCs w:val="28"/>
          <w:vertAlign w:val="baseline"/>
          <w:lang w:val="en-US" w:eastAsia="zh-CN"/>
        </w:rPr>
        <w:t>、推荐</w:t>
      </w:r>
      <w:r>
        <w:rPr>
          <w:rFonts w:hint="eastAsia" w:ascii="宋体" w:hAnsi="宋体" w:cs="宋体"/>
          <w:b/>
          <w:bCs/>
          <w:sz w:val="28"/>
          <w:szCs w:val="28"/>
          <w:vertAlign w:val="baseline"/>
          <w:lang w:val="en-US" w:eastAsia="zh-CN"/>
        </w:rPr>
        <w:t>成交</w:t>
      </w:r>
      <w:r>
        <w:rPr>
          <w:rFonts w:hint="eastAsia" w:ascii="宋体" w:hAnsi="宋体" w:eastAsia="宋体" w:cs="宋体"/>
          <w:b/>
          <w:bCs/>
          <w:sz w:val="28"/>
          <w:szCs w:val="28"/>
          <w:vertAlign w:val="baseline"/>
          <w:lang w:val="en-US" w:eastAsia="zh-CN"/>
        </w:rPr>
        <w:t>候选人名单</w:t>
      </w:r>
      <w:bookmarkEnd w:id="39"/>
      <w:bookmarkEnd w:id="40"/>
    </w:p>
    <w:p w14:paraId="5C5D52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经过最后报价，</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小组按上述规则对最后报价做必要的价格扣除，</w:t>
      </w:r>
      <w:r>
        <w:rPr>
          <w:rFonts w:hint="eastAsia" w:ascii="宋体" w:hAnsi="宋体" w:cs="宋体"/>
          <w:b w:val="0"/>
          <w:bCs w:val="0"/>
          <w:sz w:val="23"/>
          <w:szCs w:val="23"/>
          <w:vertAlign w:val="baseline"/>
          <w:lang w:val="en-US" w:eastAsia="zh-CN"/>
        </w:rPr>
        <w:t>再进行</w:t>
      </w:r>
      <w:r>
        <w:rPr>
          <w:rFonts w:hint="eastAsia" w:ascii="宋体" w:hAnsi="宋体" w:eastAsia="宋体" w:cs="宋体"/>
          <w:b w:val="0"/>
          <w:bCs w:val="0"/>
          <w:sz w:val="23"/>
          <w:szCs w:val="23"/>
          <w:vertAlign w:val="baseline"/>
          <w:lang w:val="en-US" w:eastAsia="zh-CN"/>
        </w:rPr>
        <w:t>综合比较与评价</w:t>
      </w:r>
      <w:r>
        <w:rPr>
          <w:rFonts w:hint="eastAsia" w:ascii="宋体" w:hAnsi="宋体" w:cs="宋体"/>
          <w:b w:val="0"/>
          <w:bCs w:val="0"/>
          <w:sz w:val="23"/>
          <w:szCs w:val="23"/>
          <w:vertAlign w:val="baseline"/>
          <w:lang w:val="en-US" w:eastAsia="zh-CN"/>
        </w:rPr>
        <w:t>，最后按综合比较与评价得分又高到低的</w:t>
      </w:r>
      <w:r>
        <w:rPr>
          <w:rFonts w:hint="eastAsia" w:ascii="宋体" w:hAnsi="宋体" w:eastAsia="宋体" w:cs="宋体"/>
          <w:b w:val="0"/>
          <w:bCs w:val="0"/>
          <w:sz w:val="23"/>
          <w:szCs w:val="23"/>
          <w:vertAlign w:val="baseline"/>
          <w:lang w:val="en-US" w:eastAsia="zh-CN"/>
        </w:rPr>
        <w:t>顺序推荐</w:t>
      </w:r>
      <w:bookmarkStart w:id="41" w:name="■Finalists_CH2_A■"/>
      <w:r>
        <w:rPr>
          <w:rFonts w:hint="eastAsia" w:ascii="宋体" w:hAnsi="宋体" w:eastAsia="宋体" w:cs="宋体"/>
          <w:b w:val="0"/>
          <w:bCs w:val="0"/>
          <w:sz w:val="23"/>
          <w:szCs w:val="23"/>
          <w:vertAlign w:val="baseline"/>
          <w:lang w:val="en-US" w:eastAsia="zh-CN"/>
        </w:rPr>
        <w:t>三名</w:t>
      </w:r>
      <w:bookmarkEnd w:id="41"/>
      <w:r>
        <w:rPr>
          <w:rFonts w:hint="eastAsia" w:ascii="宋体" w:hAnsi="宋体" w:eastAsia="宋体" w:cs="宋体"/>
          <w:b w:val="0"/>
          <w:bCs w:val="0"/>
          <w:sz w:val="23"/>
          <w:szCs w:val="23"/>
          <w:vertAlign w:val="baseline"/>
          <w:lang w:val="en-US" w:eastAsia="zh-CN"/>
        </w:rPr>
        <w:t>成交候选人。</w:t>
      </w:r>
    </w:p>
    <w:p w14:paraId="103514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42" w:name="_Toc5597"/>
      <w:r>
        <w:rPr>
          <w:rFonts w:hint="eastAsia" w:ascii="宋体" w:hAnsi="宋体" w:cs="宋体"/>
          <w:b/>
          <w:bCs/>
          <w:sz w:val="28"/>
          <w:szCs w:val="28"/>
          <w:vertAlign w:val="baseline"/>
          <w:lang w:val="en-US" w:eastAsia="zh-CN"/>
        </w:rPr>
        <w:t>五</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编写评审报告</w:t>
      </w:r>
      <w:bookmarkEnd w:id="42"/>
    </w:p>
    <w:p w14:paraId="7DE1D8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1、磋商小组</w:t>
      </w:r>
      <w:r>
        <w:rPr>
          <w:rFonts w:hint="eastAsia" w:ascii="宋体" w:hAnsi="宋体" w:eastAsia="宋体" w:cs="宋体"/>
          <w:b w:val="0"/>
          <w:bCs w:val="0"/>
          <w:sz w:val="23"/>
          <w:szCs w:val="23"/>
          <w:vertAlign w:val="baseline"/>
          <w:lang w:val="en-US" w:eastAsia="zh-CN"/>
        </w:rPr>
        <w:t>应根据全体</w:t>
      </w:r>
      <w:r>
        <w:rPr>
          <w:rFonts w:hint="eastAsia" w:ascii="宋体" w:hAnsi="宋体" w:cs="宋体"/>
          <w:b w:val="0"/>
          <w:bCs w:val="0"/>
          <w:sz w:val="23"/>
          <w:szCs w:val="23"/>
          <w:vertAlign w:val="baseline"/>
          <w:lang w:val="en-US" w:eastAsia="zh-CN"/>
        </w:rPr>
        <w:t>磋商小组成员</w:t>
      </w:r>
      <w:r>
        <w:rPr>
          <w:rFonts w:hint="eastAsia" w:ascii="宋体" w:hAnsi="宋体" w:eastAsia="宋体" w:cs="宋体"/>
          <w:b w:val="0"/>
          <w:bCs w:val="0"/>
          <w:sz w:val="23"/>
          <w:szCs w:val="23"/>
          <w:vertAlign w:val="baseline"/>
          <w:lang w:val="en-US" w:eastAsia="zh-CN"/>
        </w:rPr>
        <w:t>签字的原始</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记录和</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结果编写</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w:t>
      </w:r>
    </w:p>
    <w:p w14:paraId="7F2CF7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2、评审报告应包括：</w:t>
      </w:r>
    </w:p>
    <w:p w14:paraId="4D573A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2.1采购公告发布的媒体名称、磋商日期和地点；</w:t>
      </w:r>
    </w:p>
    <w:p w14:paraId="7709C2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2.2供应商名单和磋商小组成员名单；</w:t>
      </w:r>
    </w:p>
    <w:p w14:paraId="2145F2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2.3评审方法和标准；</w:t>
      </w:r>
    </w:p>
    <w:p w14:paraId="4C3CF2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2.4开标记录和评审情况及说明，包括无效供应商名单及原因；</w:t>
      </w:r>
    </w:p>
    <w:p w14:paraId="1F825A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2.5评审结果，确定的成交候选人名单或者经采购人委托直接确定的成交人；</w:t>
      </w:r>
    </w:p>
    <w:p w14:paraId="51BBAFA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2.6其他需要说明的情况，包括评审过程中供应商根据磋商小组要求进行的澄清、说明或者补正，磋商小组成员的更换等。 </w:t>
      </w:r>
    </w:p>
    <w:p w14:paraId="6032765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w:t>
      </w:r>
      <w:r>
        <w:rPr>
          <w:rFonts w:hint="eastAsia" w:ascii="宋体" w:hAnsi="宋体" w:eastAsia="宋体" w:cs="宋体"/>
          <w:b w:val="0"/>
          <w:bCs w:val="0"/>
          <w:sz w:val="23"/>
          <w:szCs w:val="23"/>
          <w:vertAlign w:val="baseline"/>
          <w:lang w:val="en-US" w:eastAsia="zh-CN"/>
        </w:rPr>
        <w:t>否则视为同意</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w:t>
      </w:r>
    </w:p>
    <w:p w14:paraId="39EB0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4、磋商小组向采购人提出评审报告，并推荐一至三名成交候选人，标明排列顺序</w:t>
      </w:r>
      <w:r>
        <w:rPr>
          <w:rFonts w:hint="eastAsia" w:ascii="宋体" w:hAnsi="宋体" w:eastAsia="宋体" w:cs="宋体"/>
          <w:b w:val="0"/>
          <w:bCs w:val="0"/>
          <w:sz w:val="23"/>
          <w:szCs w:val="23"/>
          <w:vertAlign w:val="baseline"/>
          <w:lang w:val="en-US" w:eastAsia="zh-CN"/>
        </w:rPr>
        <w:t>。</w:t>
      </w:r>
    </w:p>
    <w:p w14:paraId="5E964D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43" w:name="_Toc1206"/>
      <w:bookmarkStart w:id="44" w:name="_Toc27081_WPSOffice_Level2"/>
      <w:r>
        <w:rPr>
          <w:rFonts w:hint="eastAsia" w:ascii="宋体" w:hAnsi="宋体" w:cs="宋体"/>
          <w:b/>
          <w:bCs/>
          <w:sz w:val="28"/>
          <w:szCs w:val="28"/>
          <w:vertAlign w:val="baseline"/>
          <w:lang w:val="en-US" w:eastAsia="zh-CN"/>
        </w:rPr>
        <w:t>六</w:t>
      </w:r>
      <w:r>
        <w:rPr>
          <w:rFonts w:hint="eastAsia" w:ascii="宋体" w:hAnsi="宋体" w:eastAsia="宋体" w:cs="宋体"/>
          <w:b/>
          <w:bCs/>
          <w:sz w:val="28"/>
          <w:szCs w:val="28"/>
          <w:vertAlign w:val="baseline"/>
          <w:lang w:val="en-US" w:eastAsia="zh-CN"/>
        </w:rPr>
        <w:t>、定标</w:t>
      </w:r>
      <w:bookmarkEnd w:id="43"/>
      <w:bookmarkEnd w:id="44"/>
    </w:p>
    <w:p w14:paraId="180544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采购代理机构在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工作结束后2个工作日内将</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报告送采购人。</w:t>
      </w:r>
    </w:p>
    <w:p w14:paraId="2AF1F6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采购人在收到</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报告之日起5个工作日内，在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报告确定的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候选人名单中按顺序确定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。(采购人在收到</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报告5个工作日内未按</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报告推荐的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，又不能说明合法理由的，视同按</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报告推荐的顺序确定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，采购代理机构将发布</w:t>
      </w:r>
      <w:r>
        <w:rPr>
          <w:rFonts w:hint="eastAsia" w:ascii="宋体" w:hAnsi="宋体" w:cs="宋体"/>
          <w:b w:val="0"/>
          <w:bCs w:val="0"/>
          <w:sz w:val="23"/>
          <w:szCs w:val="23"/>
          <w:vertAlign w:val="baseline"/>
          <w:lang w:val="en-US" w:eastAsia="zh-CN"/>
        </w:rPr>
        <w:t>成交结果</w:t>
      </w:r>
      <w:r>
        <w:rPr>
          <w:rFonts w:hint="eastAsia" w:ascii="宋体" w:hAnsi="宋体" w:eastAsia="宋体" w:cs="宋体"/>
          <w:b w:val="0"/>
          <w:bCs w:val="0"/>
          <w:sz w:val="23"/>
          <w:szCs w:val="23"/>
          <w:vertAlign w:val="baseline"/>
          <w:lang w:val="en-US" w:eastAsia="zh-CN"/>
        </w:rPr>
        <w:t>公告。)</w:t>
      </w:r>
    </w:p>
    <w:p w14:paraId="7AA5F1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采购代理机构将在</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确定之日起2个工作日内，发布媒体为【</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"http://www.ccgp-shaanxi.gov.cn"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陕西省政</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府采购网(www.ccgp-shaanxi.gov.cn)】、【全国公共资源交易平台(陕西省)(</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"http://www.sxggzyjy.cn/"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//www.sxggzyjy.cn/</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)】上公告</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公告期限为1个工作日。</w:t>
      </w:r>
    </w:p>
    <w:p w14:paraId="4AA634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在公告</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结果的同时，采购代理机构向</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发出</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w:t>
      </w:r>
    </w:p>
    <w:p w14:paraId="6085B25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5、成交</w:t>
      </w:r>
      <w:r>
        <w:rPr>
          <w:rFonts w:hint="eastAsia" w:ascii="宋体" w:hAnsi="宋体" w:eastAsia="宋体" w:cs="宋体"/>
          <w:b w:val="0"/>
          <w:bCs w:val="0"/>
          <w:sz w:val="23"/>
          <w:szCs w:val="23"/>
          <w:vertAlign w:val="baseline"/>
          <w:lang w:val="en-US" w:eastAsia="zh-CN"/>
        </w:rPr>
        <w:t>通知书发出后，采购人不得违法改变</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无正当理由不得放弃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w:t>
      </w:r>
    </w:p>
    <w:p w14:paraId="0EBB05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45" w:name="_Toc11360"/>
      <w:r>
        <w:rPr>
          <w:rFonts w:hint="eastAsia" w:ascii="宋体" w:hAnsi="宋体" w:cs="宋体"/>
          <w:b/>
          <w:bCs/>
          <w:sz w:val="28"/>
          <w:szCs w:val="28"/>
          <w:vertAlign w:val="baseline"/>
          <w:lang w:val="en-US" w:eastAsia="zh-CN"/>
        </w:rPr>
        <w:t>七</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废标情形</w:t>
      </w:r>
      <w:bookmarkEnd w:id="45"/>
    </w:p>
    <w:p w14:paraId="124D96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1、磋商小组</w:t>
      </w:r>
      <w:r>
        <w:rPr>
          <w:rFonts w:hint="eastAsia" w:ascii="宋体" w:hAnsi="宋体" w:eastAsia="宋体" w:cs="宋体"/>
          <w:b w:val="0"/>
          <w:bCs w:val="0"/>
          <w:sz w:val="23"/>
          <w:szCs w:val="23"/>
          <w:vertAlign w:val="baseline"/>
          <w:lang w:val="en-US" w:eastAsia="zh-CN"/>
        </w:rPr>
        <w:t>发现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文件存在歧义、重大缺陷导致</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工作无法进行，或者</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文件内容违反国家有关强制性规定的，应当停止</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工作，与采购人或者市采购代理机构沟通并作书面记录。采购人或者采购代理机构确认后，应当修改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文件，重新组织采购活动。</w:t>
      </w:r>
    </w:p>
    <w:p w14:paraId="0F7B60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根据《政府采购法》第三十六条规定，在招标采购中，出现下列情形之一的，本项目按废标处理：</w:t>
      </w:r>
    </w:p>
    <w:p w14:paraId="2758D9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r>
        <w:rPr>
          <w:rFonts w:hint="eastAsia" w:ascii="宋体" w:hAnsi="宋体" w:eastAsia="宋体" w:cs="宋体"/>
          <w:b w:val="0"/>
          <w:bCs w:val="0"/>
          <w:sz w:val="23"/>
          <w:szCs w:val="23"/>
          <w:vertAlign w:val="baseline"/>
          <w:lang w:val="en-US" w:eastAsia="zh-CN"/>
        </w:rPr>
        <w:t>符合专业条件的供应商或者对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文件作实质响应的供应商不足三家的；</w:t>
      </w:r>
    </w:p>
    <w:p w14:paraId="178F48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r>
        <w:rPr>
          <w:rFonts w:hint="eastAsia" w:ascii="宋体" w:hAnsi="宋体" w:eastAsia="宋体" w:cs="宋体"/>
          <w:b w:val="0"/>
          <w:bCs w:val="0"/>
          <w:sz w:val="23"/>
          <w:szCs w:val="23"/>
          <w:vertAlign w:val="baseline"/>
          <w:lang w:val="en-US" w:eastAsia="zh-CN"/>
        </w:rPr>
        <w:t>出现影响采购公正的违法、违规行为的；</w:t>
      </w:r>
    </w:p>
    <w:p w14:paraId="5DCF0DE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2.3供应商</w:t>
      </w:r>
      <w:r>
        <w:rPr>
          <w:rFonts w:hint="eastAsia" w:ascii="宋体" w:hAnsi="宋体" w:eastAsia="宋体" w:cs="宋体"/>
          <w:b w:val="0"/>
          <w:bCs w:val="0"/>
          <w:sz w:val="23"/>
          <w:szCs w:val="23"/>
          <w:vertAlign w:val="baseline"/>
          <w:lang w:val="en-US" w:eastAsia="zh-CN"/>
        </w:rPr>
        <w:t>的报价均超过了采购预算，采购人不能支付的；</w:t>
      </w:r>
    </w:p>
    <w:p w14:paraId="5A5F40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w:t>
      </w:r>
      <w:r>
        <w:rPr>
          <w:rFonts w:hint="eastAsia" w:ascii="宋体" w:hAnsi="宋体" w:eastAsia="宋体" w:cs="宋体"/>
          <w:b w:val="0"/>
          <w:bCs w:val="0"/>
          <w:sz w:val="23"/>
          <w:szCs w:val="23"/>
          <w:vertAlign w:val="baseline"/>
          <w:lang w:val="en-US" w:eastAsia="zh-CN"/>
        </w:rPr>
        <w:t>因重大变故，采购任务取消的。</w:t>
      </w:r>
    </w:p>
    <w:p w14:paraId="064968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i/>
          <w:iCs/>
          <w:sz w:val="23"/>
          <w:szCs w:val="23"/>
          <w:vertAlign w:val="baseline"/>
          <w:lang w:val="en-US" w:eastAsia="zh-CN"/>
        </w:rPr>
      </w:pPr>
      <w:r>
        <w:rPr>
          <w:rFonts w:hint="eastAsia" w:ascii="宋体" w:hAnsi="宋体" w:eastAsia="宋体" w:cs="宋体"/>
          <w:b w:val="0"/>
          <w:bCs w:val="0"/>
          <w:sz w:val="23"/>
          <w:szCs w:val="23"/>
          <w:vertAlign w:val="baseline"/>
          <w:lang w:val="en-US" w:eastAsia="zh-CN"/>
        </w:rPr>
        <w:t>废标后，由采购代理机构将废标理由通知所有投标人</w:t>
      </w:r>
      <w:r>
        <w:rPr>
          <w:rFonts w:hint="eastAsia" w:ascii="宋体" w:hAnsi="宋体" w:cs="宋体"/>
          <w:b w:val="0"/>
          <w:bCs w:val="0"/>
          <w:sz w:val="23"/>
          <w:szCs w:val="23"/>
          <w:vertAlign w:val="baseline"/>
          <w:lang w:val="en-US" w:eastAsia="zh-CN"/>
        </w:rPr>
        <w:t>并</w:t>
      </w:r>
      <w:r>
        <w:rPr>
          <w:rFonts w:hint="eastAsia" w:ascii="宋体" w:hAnsi="宋体" w:eastAsia="宋体" w:cs="宋体"/>
          <w:b w:val="0"/>
          <w:bCs w:val="0"/>
          <w:sz w:val="23"/>
          <w:szCs w:val="23"/>
          <w:vertAlign w:val="baseline"/>
          <w:lang w:val="en-US" w:eastAsia="zh-CN"/>
        </w:rPr>
        <w:t>发布废标公告。</w:t>
      </w:r>
    </w:p>
    <w:p w14:paraId="6DA430F5">
      <w:pPr>
        <w:rPr>
          <w:rFonts w:hint="eastAsia"/>
          <w:lang w:eastAsia="zh-CN"/>
        </w:rPr>
      </w:pPr>
      <w:bookmarkStart w:id="46" w:name="_Toc2420"/>
      <w:r>
        <w:rPr>
          <w:rFonts w:hint="eastAsia"/>
          <w:lang w:eastAsia="zh-CN"/>
        </w:rPr>
        <w:br w:type="page"/>
      </w:r>
    </w:p>
    <w:p w14:paraId="721C02F6">
      <w:pPr>
        <w:pStyle w:val="2"/>
        <w:bidi w:val="0"/>
        <w:rPr>
          <w:rFonts w:hint="eastAsia"/>
          <w:lang w:val="en-US" w:eastAsia="zh-CN"/>
        </w:rPr>
      </w:pPr>
      <w:r>
        <w:rPr>
          <w:rFonts w:hint="eastAsia"/>
          <w:lang w:eastAsia="zh-CN"/>
        </w:rPr>
        <w:t>第七章</w:t>
      </w:r>
      <w:r>
        <w:rPr>
          <w:rFonts w:hint="eastAsia"/>
          <w:lang w:val="en-US" w:eastAsia="zh-CN"/>
        </w:rPr>
        <w:t xml:space="preserve"> </w:t>
      </w:r>
      <w:r>
        <w:rPr>
          <w:rFonts w:hint="eastAsia"/>
          <w:lang w:eastAsia="zh-CN"/>
        </w:rPr>
        <w:t>响应文件构成及格式</w:t>
      </w:r>
      <w:bookmarkEnd w:id="46"/>
    </w:p>
    <w:p w14:paraId="3CB5C1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right"/>
        <w:textAlignment w:val="baseline"/>
        <w:rPr>
          <w:rFonts w:hint="eastAsia" w:ascii="宋体" w:hAnsi="宋体" w:eastAsia="宋体" w:cs="宋体"/>
          <w:b w:val="0"/>
          <w:bCs w:val="0"/>
          <w:sz w:val="23"/>
          <w:szCs w:val="23"/>
          <w:vertAlign w:val="baseline"/>
          <w:lang w:val="en-US" w:eastAsia="zh-CN"/>
        </w:rPr>
      </w:pPr>
      <w:bookmarkStart w:id="47" w:name="_Toc27509_WPSOffice_Level1"/>
      <w:r>
        <w:rPr>
          <w:rFonts w:hint="eastAsia" w:ascii="宋体" w:hAnsi="宋体" w:cs="宋体"/>
          <w:b w:val="0"/>
          <w:bCs w:val="0"/>
          <w:sz w:val="36"/>
          <w:szCs w:val="36"/>
          <w:vertAlign w:val="baseline"/>
          <w:lang w:val="en-US" w:eastAsia="zh-CN"/>
        </w:rPr>
        <w:t>正/副本</w:t>
      </w:r>
      <w:bookmarkEnd w:id="47"/>
    </w:p>
    <w:p w14:paraId="08F08DAE">
      <w:pPr>
        <w:rPr>
          <w:rFonts w:hint="eastAsia" w:ascii="宋体" w:hAnsi="宋体" w:eastAsia="宋体" w:cs="宋体"/>
          <w:b w:val="0"/>
          <w:bCs w:val="0"/>
          <w:sz w:val="31"/>
          <w:szCs w:val="31"/>
        </w:rPr>
      </w:pPr>
    </w:p>
    <w:p w14:paraId="0FB47C39">
      <w:pPr>
        <w:rPr>
          <w:rFonts w:hint="eastAsia" w:ascii="宋体" w:hAnsi="宋体" w:eastAsia="宋体" w:cs="宋体"/>
          <w:b w:val="0"/>
          <w:bCs w:val="0"/>
          <w:sz w:val="31"/>
          <w:szCs w:val="31"/>
        </w:rPr>
      </w:pPr>
    </w:p>
    <w:p w14:paraId="044684E4">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outlineLvl w:val="0"/>
        <w:rPr>
          <w:rFonts w:hint="eastAsia" w:ascii="宋体" w:hAnsi="宋体" w:eastAsia="宋体" w:cs="宋体"/>
          <w:b w:val="0"/>
          <w:bCs w:val="0"/>
          <w:sz w:val="48"/>
          <w:szCs w:val="48"/>
          <w:lang w:val="en-US" w:eastAsia="zh-CN"/>
        </w:rPr>
      </w:pPr>
      <w:r>
        <w:rPr>
          <w:rFonts w:hint="eastAsia" w:ascii="宋体" w:hAnsi="宋体" w:eastAsia="宋体" w:cs="宋体"/>
          <w:b w:val="0"/>
          <w:bCs w:val="0"/>
          <w:sz w:val="48"/>
          <w:szCs w:val="48"/>
          <w:lang w:val="en-US" w:eastAsia="zh-CN"/>
        </w:rPr>
        <w:t>神木市麟州街道办事处麟州街道</w:t>
      </w:r>
    </w:p>
    <w:p w14:paraId="061D99E5">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outlineLvl w:val="0"/>
        <w:rPr>
          <w:rFonts w:hint="eastAsia" w:ascii="宋体" w:hAnsi="宋体" w:eastAsia="宋体" w:cs="宋体"/>
          <w:b w:val="0"/>
          <w:bCs w:val="0"/>
          <w:sz w:val="52"/>
          <w:szCs w:val="52"/>
          <w:lang w:eastAsia="zh-CN"/>
        </w:rPr>
      </w:pPr>
      <w:r>
        <w:rPr>
          <w:rFonts w:hint="eastAsia" w:ascii="宋体" w:hAnsi="宋体" w:eastAsia="宋体" w:cs="宋体"/>
          <w:b w:val="0"/>
          <w:bCs w:val="0"/>
          <w:sz w:val="48"/>
          <w:szCs w:val="48"/>
          <w:lang w:val="en-US" w:eastAsia="zh-CN"/>
        </w:rPr>
        <w:t>病媒生物防治服务</w:t>
      </w:r>
    </w:p>
    <w:p w14:paraId="7C49839D">
      <w:pPr>
        <w:pStyle w:val="11"/>
        <w:rPr>
          <w:rFonts w:hint="eastAsia"/>
          <w:b w:val="0"/>
          <w:bCs w:val="0"/>
        </w:rPr>
      </w:pPr>
    </w:p>
    <w:p w14:paraId="0E4630BB">
      <w:pPr>
        <w:pStyle w:val="11"/>
        <w:rPr>
          <w:rFonts w:hint="eastAsia"/>
          <w:b w:val="0"/>
          <w:bCs w:val="0"/>
        </w:rPr>
      </w:pPr>
    </w:p>
    <w:p w14:paraId="586AA9CF">
      <w:pPr>
        <w:pStyle w:val="11"/>
        <w:rPr>
          <w:rFonts w:hint="eastAsia"/>
          <w:b w:val="0"/>
          <w:bCs w:val="0"/>
        </w:rPr>
      </w:pPr>
    </w:p>
    <w:p w14:paraId="65AAC2DA">
      <w:pPr>
        <w:rPr>
          <w:rFonts w:hint="eastAsia" w:ascii="宋体" w:hAnsi="宋体" w:eastAsia="宋体" w:cs="宋体"/>
          <w:b w:val="0"/>
          <w:bCs w:val="0"/>
          <w:sz w:val="31"/>
          <w:szCs w:val="31"/>
        </w:rPr>
      </w:pPr>
    </w:p>
    <w:p w14:paraId="74CFB2AC">
      <w:pPr>
        <w:jc w:val="center"/>
        <w:rPr>
          <w:rFonts w:hint="eastAsia" w:ascii="宋体" w:hAnsi="宋体" w:eastAsia="宋体" w:cs="宋体"/>
          <w:b w:val="0"/>
          <w:bCs w:val="0"/>
          <w:sz w:val="72"/>
          <w:szCs w:val="72"/>
        </w:rPr>
      </w:pPr>
      <w:bookmarkStart w:id="48" w:name="_Toc23325_WPSOffice_Level1"/>
      <w:r>
        <w:rPr>
          <w:rFonts w:hint="eastAsia" w:ascii="宋体" w:hAnsi="宋体" w:eastAsia="宋体" w:cs="宋体"/>
          <w:b w:val="0"/>
          <w:bCs w:val="0"/>
          <w:sz w:val="72"/>
          <w:szCs w:val="72"/>
          <w:lang w:eastAsia="zh-CN"/>
        </w:rPr>
        <w:t>磋商响应</w:t>
      </w:r>
      <w:r>
        <w:rPr>
          <w:rFonts w:hint="eastAsia" w:ascii="宋体" w:hAnsi="宋体" w:eastAsia="宋体" w:cs="宋体"/>
          <w:b w:val="0"/>
          <w:bCs w:val="0"/>
          <w:sz w:val="72"/>
          <w:szCs w:val="72"/>
        </w:rPr>
        <w:t>文件</w:t>
      </w:r>
      <w:bookmarkEnd w:id="48"/>
    </w:p>
    <w:p w14:paraId="1BB252F8">
      <w:pPr>
        <w:rPr>
          <w:rFonts w:hint="eastAsia" w:ascii="宋体" w:hAnsi="宋体" w:eastAsia="宋体" w:cs="宋体"/>
          <w:b w:val="0"/>
          <w:bCs w:val="0"/>
          <w:sz w:val="31"/>
          <w:szCs w:val="31"/>
        </w:rPr>
      </w:pPr>
    </w:p>
    <w:p w14:paraId="3FF3E291">
      <w:pPr>
        <w:jc w:val="center"/>
        <w:rPr>
          <w:rFonts w:hint="eastAsia" w:ascii="宋体" w:hAnsi="宋体" w:eastAsia="宋体" w:cs="宋体"/>
          <w:b w:val="0"/>
          <w:bCs w:val="0"/>
          <w:sz w:val="31"/>
          <w:szCs w:val="31"/>
          <w:lang w:val="en-US"/>
        </w:rPr>
      </w:pPr>
      <w:bookmarkStart w:id="49" w:name="_Toc27891_WPSOffice_Level1"/>
      <w:r>
        <w:rPr>
          <w:rFonts w:hint="eastAsia" w:ascii="宋体" w:hAnsi="宋体" w:eastAsia="宋体" w:cs="宋体"/>
          <w:b w:val="0"/>
          <w:bCs w:val="0"/>
          <w:sz w:val="31"/>
          <w:szCs w:val="31"/>
          <w:lang w:val="en-US" w:eastAsia="zh-CN"/>
        </w:rPr>
        <w:t>（</w:t>
      </w:r>
      <w:r>
        <w:rPr>
          <w:rFonts w:hint="eastAsia" w:ascii="宋体" w:hAnsi="宋体" w:eastAsia="宋体" w:cs="宋体"/>
          <w:b w:val="0"/>
          <w:bCs w:val="0"/>
          <w:sz w:val="31"/>
          <w:szCs w:val="31"/>
        </w:rPr>
        <w:t>项目编号：</w:t>
      </w:r>
      <w:r>
        <w:rPr>
          <w:rFonts w:hint="eastAsia" w:ascii="宋体" w:hAnsi="宋体" w:eastAsia="宋体" w:cs="宋体"/>
          <w:b w:val="0"/>
          <w:bCs w:val="0"/>
          <w:sz w:val="31"/>
          <w:szCs w:val="31"/>
          <w:lang w:eastAsia="zh-CN"/>
        </w:rPr>
        <w:t>TCZY-CG2026001</w:t>
      </w:r>
      <w:r>
        <w:rPr>
          <w:rFonts w:hint="eastAsia" w:ascii="宋体" w:hAnsi="宋体" w:eastAsia="宋体" w:cs="宋体"/>
          <w:b w:val="0"/>
          <w:bCs w:val="0"/>
          <w:sz w:val="31"/>
          <w:szCs w:val="31"/>
          <w:lang w:val="en-US" w:eastAsia="zh-CN"/>
        </w:rPr>
        <w:t>）</w:t>
      </w:r>
      <w:bookmarkEnd w:id="49"/>
    </w:p>
    <w:p w14:paraId="4CB104ED">
      <w:pPr>
        <w:rPr>
          <w:rFonts w:hint="eastAsia" w:ascii="宋体" w:hAnsi="宋体" w:eastAsia="宋体" w:cs="宋体"/>
          <w:b w:val="0"/>
          <w:bCs w:val="0"/>
          <w:sz w:val="31"/>
          <w:szCs w:val="31"/>
        </w:rPr>
      </w:pPr>
    </w:p>
    <w:p w14:paraId="3AC98E46">
      <w:pPr>
        <w:rPr>
          <w:rFonts w:hint="eastAsia" w:ascii="宋体" w:hAnsi="宋体" w:eastAsia="宋体" w:cs="宋体"/>
          <w:b w:val="0"/>
          <w:bCs w:val="0"/>
          <w:sz w:val="31"/>
          <w:szCs w:val="31"/>
        </w:rPr>
      </w:pPr>
    </w:p>
    <w:p w14:paraId="2D5D3503">
      <w:pPr>
        <w:rPr>
          <w:rFonts w:hint="eastAsia" w:ascii="宋体" w:hAnsi="宋体" w:eastAsia="宋体" w:cs="宋体"/>
          <w:b w:val="0"/>
          <w:bCs w:val="0"/>
          <w:sz w:val="31"/>
          <w:szCs w:val="31"/>
        </w:rPr>
      </w:pPr>
    </w:p>
    <w:p w14:paraId="397C4E1E">
      <w:pPr>
        <w:pStyle w:val="11"/>
        <w:rPr>
          <w:rFonts w:hint="eastAsia"/>
          <w:b w:val="0"/>
          <w:bCs w:val="0"/>
        </w:rPr>
      </w:pPr>
    </w:p>
    <w:p w14:paraId="581CD471">
      <w:pPr>
        <w:pStyle w:val="7"/>
        <w:rPr>
          <w:rFonts w:hint="eastAsia"/>
          <w:b w:val="0"/>
          <w:bCs w:val="0"/>
        </w:rPr>
      </w:pPr>
    </w:p>
    <w:p w14:paraId="5077840E">
      <w:pPr>
        <w:pStyle w:val="7"/>
        <w:rPr>
          <w:rFonts w:hint="eastAsia"/>
          <w:b w:val="0"/>
          <w:bCs w:val="0"/>
        </w:rPr>
      </w:pPr>
    </w:p>
    <w:p w14:paraId="759F7EAD">
      <w:pPr>
        <w:rPr>
          <w:rFonts w:hint="eastAsia" w:ascii="宋体" w:hAnsi="宋体" w:eastAsia="宋体" w:cs="宋体"/>
          <w:b w:val="0"/>
          <w:bCs w:val="0"/>
          <w:sz w:val="31"/>
          <w:szCs w:val="31"/>
        </w:rPr>
      </w:pPr>
    </w:p>
    <w:p w14:paraId="35652E4F">
      <w:pPr>
        <w:rPr>
          <w:rFonts w:hint="eastAsia" w:ascii="宋体" w:hAnsi="宋体" w:eastAsia="宋体" w:cs="宋体"/>
          <w:b w:val="0"/>
          <w:bCs w:val="0"/>
          <w:sz w:val="31"/>
          <w:szCs w:val="31"/>
        </w:rPr>
      </w:pPr>
    </w:p>
    <w:p w14:paraId="00A6ABAC">
      <w:pPr>
        <w:keepNext w:val="0"/>
        <w:keepLines w:val="0"/>
        <w:pageBreakBefore w:val="0"/>
        <w:widowControl/>
        <w:kinsoku w:val="0"/>
        <w:wordWrap/>
        <w:overflowPunct/>
        <w:topLinePunct w:val="0"/>
        <w:autoSpaceDE w:val="0"/>
        <w:autoSpaceDN w:val="0"/>
        <w:bidi w:val="0"/>
        <w:adjustRightInd w:val="0"/>
        <w:snapToGrid w:val="0"/>
        <w:spacing w:line="480" w:lineRule="auto"/>
        <w:ind w:firstLine="1240" w:firstLineChars="400"/>
        <w:jc w:val="both"/>
        <w:textAlignment w:val="baseline"/>
        <w:rPr>
          <w:rFonts w:hint="default" w:ascii="宋体" w:hAnsi="宋体" w:eastAsia="宋体" w:cs="宋体"/>
          <w:b w:val="0"/>
          <w:bCs w:val="0"/>
          <w:sz w:val="31"/>
          <w:szCs w:val="31"/>
          <w:u w:val="single"/>
          <w:lang w:val="en-US" w:eastAsia="zh-CN"/>
        </w:rPr>
      </w:pPr>
      <w:bookmarkStart w:id="50" w:name="_Toc12870_WPSOffice_Level2"/>
      <w:r>
        <w:rPr>
          <w:rFonts w:hint="eastAsia" w:ascii="宋体" w:hAnsi="宋体" w:eastAsia="宋体" w:cs="宋体"/>
          <w:b w:val="0"/>
          <w:bCs w:val="0"/>
          <w:spacing w:val="0"/>
          <w:sz w:val="31"/>
          <w:szCs w:val="31"/>
        </w:rPr>
        <w:t>项目名称：</w:t>
      </w:r>
      <w:bookmarkEnd w:id="50"/>
      <w:r>
        <w:rPr>
          <w:rFonts w:hint="eastAsia" w:ascii="宋体" w:hAnsi="宋体" w:eastAsia="宋体" w:cs="宋体"/>
          <w:b w:val="0"/>
          <w:bCs w:val="0"/>
          <w:spacing w:val="0"/>
          <w:sz w:val="31"/>
          <w:szCs w:val="31"/>
          <w:u w:val="single"/>
          <w:lang w:val="en-US" w:eastAsia="zh-CN"/>
        </w:rPr>
        <w:t xml:space="preserve">                       </w:t>
      </w:r>
    </w:p>
    <w:p w14:paraId="60F8E3C7">
      <w:pPr>
        <w:keepNext w:val="0"/>
        <w:keepLines w:val="0"/>
        <w:pageBreakBefore w:val="0"/>
        <w:widowControl/>
        <w:kinsoku w:val="0"/>
        <w:wordWrap/>
        <w:overflowPunct/>
        <w:topLinePunct w:val="0"/>
        <w:autoSpaceDE w:val="0"/>
        <w:autoSpaceDN w:val="0"/>
        <w:bidi w:val="0"/>
        <w:adjustRightInd w:val="0"/>
        <w:snapToGrid w:val="0"/>
        <w:spacing w:line="480" w:lineRule="auto"/>
        <w:ind w:firstLine="1240" w:firstLineChars="400"/>
        <w:jc w:val="both"/>
        <w:textAlignment w:val="baseline"/>
        <w:rPr>
          <w:rFonts w:hint="default" w:ascii="宋体" w:hAnsi="宋体" w:eastAsia="宋体" w:cs="宋体"/>
          <w:b w:val="0"/>
          <w:bCs w:val="0"/>
          <w:sz w:val="31"/>
          <w:szCs w:val="31"/>
          <w:u w:val="single"/>
          <w:lang w:val="en-US" w:eastAsia="zh-CN"/>
        </w:rPr>
      </w:pPr>
      <w:bookmarkStart w:id="51" w:name="_Toc23325_WPSOffice_Level2"/>
      <w:r>
        <w:rPr>
          <w:rFonts w:hint="eastAsia" w:ascii="宋体" w:hAnsi="宋体" w:eastAsia="宋体" w:cs="宋体"/>
          <w:b w:val="0"/>
          <w:bCs w:val="0"/>
          <w:spacing w:val="0"/>
          <w:sz w:val="31"/>
          <w:szCs w:val="31"/>
          <w:lang w:eastAsia="zh-CN"/>
        </w:rPr>
        <w:t>供应商</w:t>
      </w:r>
      <w:r>
        <w:rPr>
          <w:rFonts w:hint="eastAsia" w:ascii="宋体" w:hAnsi="宋体" w:eastAsia="宋体" w:cs="宋体"/>
          <w:b w:val="0"/>
          <w:bCs w:val="0"/>
          <w:sz w:val="31"/>
          <w:szCs w:val="31"/>
        </w:rPr>
        <w:t>：</w:t>
      </w:r>
      <w:r>
        <w:rPr>
          <w:rFonts w:hint="eastAsia" w:ascii="宋体" w:hAnsi="宋体" w:eastAsia="宋体" w:cs="宋体"/>
          <w:b w:val="0"/>
          <w:bCs w:val="0"/>
          <w:sz w:val="31"/>
          <w:szCs w:val="31"/>
          <w:u w:val="single"/>
          <w:lang w:val="en-US" w:eastAsia="zh-CN"/>
        </w:rPr>
        <w:t xml:space="preserve">      </w:t>
      </w:r>
      <w:r>
        <w:rPr>
          <w:rFonts w:hint="eastAsia" w:ascii="宋体" w:hAnsi="宋体" w:eastAsia="宋体" w:cs="宋体"/>
          <w:b w:val="0"/>
          <w:bCs w:val="0"/>
          <w:spacing w:val="0"/>
          <w:sz w:val="31"/>
          <w:szCs w:val="31"/>
          <w:u w:val="single"/>
          <w:lang w:val="en-US" w:eastAsia="zh-CN"/>
        </w:rPr>
        <w:t>（加盖公章）</w:t>
      </w:r>
      <w:bookmarkEnd w:id="51"/>
      <w:r>
        <w:rPr>
          <w:rFonts w:hint="eastAsia" w:ascii="宋体" w:hAnsi="宋体" w:eastAsia="宋体" w:cs="宋体"/>
          <w:b w:val="0"/>
          <w:bCs w:val="0"/>
          <w:sz w:val="31"/>
          <w:szCs w:val="31"/>
          <w:u w:val="single"/>
          <w:lang w:val="en-US" w:eastAsia="zh-CN"/>
        </w:rPr>
        <w:t xml:space="preserve">       </w:t>
      </w:r>
    </w:p>
    <w:p w14:paraId="1BBEDB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52" w:name="_Toc26699_WPSOffice_Level1"/>
      <w:r>
        <w:rPr>
          <w:rFonts w:hint="eastAsia" w:ascii="宋体" w:hAnsi="宋体" w:eastAsia="宋体" w:cs="宋体"/>
          <w:b w:val="0"/>
          <w:bCs w:val="0"/>
          <w:sz w:val="31"/>
          <w:szCs w:val="31"/>
          <w:lang w:eastAsia="zh-CN"/>
        </w:rPr>
        <w:t>二〇二</w:t>
      </w:r>
      <w:r>
        <w:rPr>
          <w:rFonts w:hint="eastAsia" w:ascii="宋体" w:hAnsi="宋体" w:cs="宋体"/>
          <w:b w:val="0"/>
          <w:bCs w:val="0"/>
          <w:sz w:val="31"/>
          <w:szCs w:val="31"/>
          <w:lang w:val="en-US" w:eastAsia="zh-CN"/>
        </w:rPr>
        <w:t>六</w:t>
      </w:r>
      <w:r>
        <w:rPr>
          <w:rFonts w:hint="eastAsia" w:ascii="宋体" w:hAnsi="宋体" w:eastAsia="宋体" w:cs="宋体"/>
          <w:b w:val="0"/>
          <w:bCs w:val="0"/>
          <w:sz w:val="31"/>
          <w:szCs w:val="31"/>
          <w:lang w:eastAsia="zh-CN"/>
        </w:rPr>
        <w:t>年</w:t>
      </w:r>
      <w:r>
        <w:rPr>
          <w:rFonts w:hint="eastAsia" w:ascii="宋体" w:hAnsi="宋体" w:cs="宋体"/>
          <w:b w:val="0"/>
          <w:bCs w:val="0"/>
          <w:sz w:val="31"/>
          <w:szCs w:val="31"/>
          <w:lang w:val="en-US" w:eastAsia="zh-CN"/>
        </w:rPr>
        <w:t xml:space="preserve">  </w:t>
      </w:r>
      <w:r>
        <w:rPr>
          <w:rFonts w:hint="eastAsia" w:ascii="宋体" w:hAnsi="宋体" w:eastAsia="宋体" w:cs="宋体"/>
          <w:b w:val="0"/>
          <w:bCs w:val="0"/>
          <w:sz w:val="31"/>
          <w:szCs w:val="31"/>
          <w:lang w:eastAsia="zh-CN"/>
        </w:rPr>
        <w:t>月</w:t>
      </w:r>
      <w:r>
        <w:rPr>
          <w:rFonts w:hint="eastAsia" w:ascii="宋体" w:hAnsi="宋体" w:cs="宋体"/>
          <w:b w:val="0"/>
          <w:bCs w:val="0"/>
          <w:sz w:val="31"/>
          <w:szCs w:val="31"/>
          <w:lang w:val="en-US" w:eastAsia="zh-CN"/>
        </w:rPr>
        <w:t xml:space="preserve">  </w:t>
      </w:r>
      <w:r>
        <w:rPr>
          <w:rFonts w:hint="eastAsia" w:ascii="宋体" w:hAnsi="宋体" w:cs="宋体"/>
          <w:b w:val="0"/>
          <w:bCs w:val="0"/>
          <w:sz w:val="31"/>
          <w:szCs w:val="31"/>
          <w:lang w:eastAsia="zh-CN"/>
        </w:rPr>
        <w:t>日</w:t>
      </w:r>
      <w:bookmarkEnd w:id="52"/>
    </w:p>
    <w:p w14:paraId="723DCDBA">
      <w:pPr>
        <w:pStyle w:val="14"/>
        <w:tabs>
          <w:tab w:val="right" w:leader="hyphen" w:pos="9030"/>
        </w:tabs>
        <w:jc w:val="center"/>
        <w:rPr>
          <w:rFonts w:hint="eastAsia" w:ascii="宋体" w:hAnsi="宋体" w:eastAsia="宋体" w:cs="宋体"/>
          <w:b/>
          <w:bCs/>
          <w:sz w:val="32"/>
          <w:szCs w:val="32"/>
          <w:lang w:eastAsia="zh-CN"/>
        </w:rPr>
      </w:pPr>
      <w:r>
        <w:rPr>
          <w:rFonts w:hint="eastAsia" w:ascii="宋体" w:hAnsi="宋体" w:eastAsia="宋体" w:cs="宋体"/>
          <w:b/>
          <w:bCs/>
          <w:sz w:val="28"/>
          <w:szCs w:val="28"/>
          <w:lang w:eastAsia="zh-CN"/>
        </w:rPr>
        <w:t>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eastAsia="zh-CN"/>
        </w:rPr>
        <w:t>录</w:t>
      </w:r>
    </w:p>
    <w:p w14:paraId="3D70FC87">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_Toc24743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第一部分</w:t>
      </w:r>
      <w:r>
        <w:rPr>
          <w:rFonts w:hint="eastAsia" w:ascii="宋体" w:hAnsi="宋体" w:eastAsia="宋体" w:cs="宋体"/>
          <w:sz w:val="28"/>
          <w:szCs w:val="28"/>
          <w:lang w:val="en-US" w:eastAsia="zh-CN"/>
        </w:rPr>
        <w:t xml:space="preserve"> 响应函</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0594EA0">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_Toc20788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第二部分</w:t>
      </w:r>
      <w:r>
        <w:rPr>
          <w:rFonts w:hint="eastAsia" w:ascii="宋体" w:hAnsi="宋体" w:eastAsia="宋体" w:cs="宋体"/>
          <w:sz w:val="28"/>
          <w:szCs w:val="28"/>
          <w:lang w:val="en-US" w:eastAsia="zh-CN"/>
        </w:rPr>
        <w:t xml:space="preserve"> 首次报价一览表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6A58F8C">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_Toc23073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一、开标一览表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BC152F4">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_Toc14608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二、分项报价表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E1EA6FB">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第三部分</w:t>
      </w:r>
      <w:r>
        <w:rPr>
          <w:rFonts w:hint="eastAsia" w:ascii="宋体" w:hAnsi="宋体" w:eastAsia="宋体" w:cs="宋体"/>
          <w:sz w:val="28"/>
          <w:szCs w:val="28"/>
          <w:lang w:val="en-US" w:eastAsia="zh-CN"/>
        </w:rPr>
        <w:t xml:space="preserve"> 资格证明文件</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F489D11">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3" w:name="_Toc30089"/>
      <w:r>
        <w:rPr>
          <w:rFonts w:hint="eastAsia" w:ascii="宋体" w:hAnsi="宋体" w:eastAsia="宋体" w:cs="宋体"/>
          <w:sz w:val="28"/>
          <w:szCs w:val="28"/>
          <w:lang w:val="en-US" w:eastAsia="zh-CN"/>
        </w:rPr>
        <w:t>一、营业执照等主体资格证明文件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3"/>
    </w:p>
    <w:p w14:paraId="44E9A6D6">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二、财务报告或资信证明文件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F0E2EB7">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三、社保缴纳证明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2CD6B82">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四、税收缴纳证明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10A5D1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4" w:name="_Toc15120"/>
      <w:r>
        <w:rPr>
          <w:rFonts w:hint="eastAsia" w:ascii="宋体" w:hAnsi="宋体" w:eastAsia="宋体" w:cs="宋体"/>
          <w:sz w:val="28"/>
          <w:szCs w:val="28"/>
          <w:lang w:val="en-US" w:eastAsia="zh-CN"/>
        </w:rPr>
        <w:t>五、法定代表人证明书或法定代表人授权委托书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4"/>
    </w:p>
    <w:p w14:paraId="04B9270E">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六、信用记录查询结果截图</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7B0AF499">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七、书面声明函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E88F0F2">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八、榆林市政府采购工程类/货物类/服务类项目供应商信用承诺书、投标人委托代理人员信用承诺书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D199B61">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九、投标信用承诺书（代替投标保证金）</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978AC7E">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十、中小企业声明函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71BA64C">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5" w:name="_Toc9000"/>
      <w:r>
        <w:rPr>
          <w:rFonts w:hint="eastAsia" w:ascii="宋体" w:hAnsi="宋体" w:eastAsia="宋体" w:cs="宋体"/>
          <w:sz w:val="28"/>
          <w:szCs w:val="28"/>
          <w:lang w:val="en-US" w:eastAsia="zh-CN"/>
        </w:rPr>
        <w:t>十一、非联合体不分包投标声明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4097513">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十二、履行合同所需的设备和专业技术能力的承诺</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C556AA3">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十三、其他需提供的资格证明文件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5"/>
    </w:p>
    <w:p w14:paraId="4953D86A">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_Toc22203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第四部分</w:t>
      </w:r>
      <w:r>
        <w:rPr>
          <w:rFonts w:hint="eastAsia" w:ascii="宋体" w:hAnsi="宋体" w:eastAsia="宋体" w:cs="宋体"/>
          <w:sz w:val="28"/>
          <w:szCs w:val="28"/>
          <w:lang w:val="en-US" w:eastAsia="zh-CN"/>
        </w:rPr>
        <w:t xml:space="preserve"> 供应商概况</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600C86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_Toc3160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供应商基本信息</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FC626E6">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_Toc1894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w:t>
      </w:r>
      <w:r>
        <w:rPr>
          <w:rFonts w:hint="eastAsia" w:ascii="宋体" w:hAnsi="宋体" w:eastAsia="宋体" w:cs="宋体"/>
          <w:sz w:val="28"/>
          <w:szCs w:val="28"/>
          <w:lang w:val="en-US" w:eastAsia="zh-CN"/>
        </w:rPr>
        <w:t>供应商</w:t>
      </w:r>
      <w:r>
        <w:rPr>
          <w:rFonts w:hint="eastAsia" w:ascii="宋体" w:hAnsi="宋体" w:eastAsia="宋体" w:cs="宋体"/>
          <w:sz w:val="28"/>
          <w:szCs w:val="28"/>
        </w:rPr>
        <w:t>性质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A586BB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_Toc12475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三、其他</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473F05B">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_Toc23217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第五部分</w:t>
      </w:r>
      <w:r>
        <w:rPr>
          <w:rFonts w:hint="eastAsia" w:ascii="宋体" w:hAnsi="宋体" w:eastAsia="宋体" w:cs="宋体"/>
          <w:sz w:val="28"/>
          <w:szCs w:val="28"/>
          <w:lang w:val="en-US" w:eastAsia="zh-CN"/>
        </w:rPr>
        <w:t xml:space="preserve"> 供应商参加政府采购活动承诺书</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7623B38A">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_Toc19106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第六部分</w:t>
      </w:r>
      <w:r>
        <w:rPr>
          <w:rFonts w:hint="eastAsia" w:ascii="宋体" w:hAnsi="宋体" w:eastAsia="宋体" w:cs="宋体"/>
          <w:sz w:val="28"/>
          <w:szCs w:val="28"/>
          <w:lang w:val="en-US" w:eastAsia="zh-CN"/>
        </w:rPr>
        <w:t xml:space="preserve"> 响应方案</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63F21A4">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商务偏离表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E1A44BD">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二</w:t>
      </w:r>
      <w:r>
        <w:rPr>
          <w:rFonts w:hint="eastAsia" w:ascii="宋体" w:hAnsi="宋体" w:eastAsia="宋体" w:cs="宋体"/>
          <w:sz w:val="28"/>
          <w:szCs w:val="28"/>
        </w:rPr>
        <w:t>、</w:t>
      </w:r>
      <w:r>
        <w:rPr>
          <w:rFonts w:hint="eastAsia" w:ascii="宋体" w:hAnsi="宋体" w:eastAsia="宋体" w:cs="宋体"/>
          <w:sz w:val="28"/>
          <w:szCs w:val="28"/>
          <w:lang w:val="en-US" w:eastAsia="zh-CN"/>
        </w:rPr>
        <w:t>技术偏离表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5C0F3D7">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rPr>
        <w:t>三</w:t>
      </w:r>
      <w:r>
        <w:rPr>
          <w:rFonts w:hint="eastAsia" w:ascii="宋体" w:hAnsi="宋体" w:eastAsia="宋体" w:cs="宋体"/>
          <w:sz w:val="28"/>
          <w:szCs w:val="28"/>
        </w:rPr>
        <w:t>、</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val="en-US" w:eastAsia="zh-CN"/>
        </w:rPr>
        <w:t>合同条款响应</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76FC8AB">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_Toc4655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rPr>
        <w:t>四、</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eastAsia="zh-CN"/>
        </w:rPr>
        <w:t>响应方案</w:t>
      </w:r>
      <w:r>
        <w:rPr>
          <w:rFonts w:hint="eastAsia" w:ascii="宋体" w:hAnsi="宋体" w:eastAsia="宋体" w:cs="宋体"/>
          <w:spacing w:val="0"/>
          <w:sz w:val="28"/>
          <w:szCs w:val="28"/>
          <w:lang w:val="en-US" w:eastAsia="zh-CN"/>
        </w:rPr>
        <w:t>------------------------------------------X</w:t>
      </w:r>
    </w:p>
    <w:p w14:paraId="4C7C48C8">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_Toc30319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lang w:eastAsia="zh-CN"/>
        </w:rPr>
        <w:t>五</w:t>
      </w:r>
      <w:r>
        <w:rPr>
          <w:rFonts w:hint="eastAsia" w:ascii="宋体" w:hAnsi="宋体" w:eastAsia="宋体" w:cs="宋体"/>
          <w:spacing w:val="0"/>
          <w:sz w:val="28"/>
          <w:szCs w:val="28"/>
        </w:rPr>
        <w:t>、供应商认为有利于成交的其他情况说明</w:t>
      </w:r>
      <w:r>
        <w:rPr>
          <w:rFonts w:hint="eastAsia" w:ascii="宋体" w:hAnsi="宋体" w:eastAsia="宋体" w:cs="宋体"/>
          <w:spacing w:val="0"/>
          <w:sz w:val="28"/>
          <w:szCs w:val="28"/>
          <w:lang w:val="en-US" w:eastAsia="zh-CN"/>
        </w:rPr>
        <w:t>----------------X</w:t>
      </w:r>
      <w:r>
        <w:rPr>
          <w:rFonts w:hint="eastAsia" w:ascii="宋体" w:hAnsi="宋体" w:eastAsia="宋体" w:cs="宋体"/>
          <w:spacing w:val="0"/>
          <w:sz w:val="28"/>
          <w:szCs w:val="28"/>
        </w:rPr>
        <w:fldChar w:fldCharType="end"/>
      </w:r>
    </w:p>
    <w:p w14:paraId="7E14D297">
      <w:pPr>
        <w:pStyle w:val="3"/>
        <w:bidi w:val="0"/>
        <w:rPr>
          <w:rFonts w:hint="default" w:ascii="宋体" w:hAnsi="宋体" w:eastAsia="宋体" w:cs="宋体"/>
          <w:b w:val="0"/>
          <w:bCs w:val="0"/>
          <w:szCs w:val="23"/>
          <w:vertAlign w:val="baseline"/>
          <w:lang w:val="en-US" w:eastAsia="zh-CN"/>
        </w:rPr>
      </w:pPr>
      <w:bookmarkStart w:id="56" w:name="_Toc22536_WPSOffice_Level1"/>
      <w:bookmarkStart w:id="57" w:name="_Toc25045_WPSOffice_Level1"/>
      <w:bookmarkStart w:id="58" w:name="_Toc18886"/>
      <w:r>
        <w:rPr>
          <w:rFonts w:hint="eastAsia"/>
          <w:lang w:val="en-US" w:eastAsia="zh-CN"/>
        </w:rPr>
        <w:t>第一部分 响应函</w:t>
      </w:r>
      <w:bookmarkEnd w:id="56"/>
      <w:bookmarkEnd w:id="57"/>
      <w:bookmarkEnd w:id="58"/>
    </w:p>
    <w:p w14:paraId="72FC95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BDCF0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致：</w:t>
      </w:r>
      <w:r>
        <w:rPr>
          <w:rFonts w:hint="eastAsia" w:ascii="宋体" w:hAnsi="宋体" w:cs="宋体"/>
          <w:b w:val="0"/>
          <w:bCs w:val="0"/>
          <w:sz w:val="23"/>
          <w:szCs w:val="23"/>
          <w:u w:val="single"/>
          <w:vertAlign w:val="baseline"/>
          <w:lang w:val="en-US" w:eastAsia="zh-CN"/>
        </w:rPr>
        <w:t xml:space="preserve">  （采购人） </w:t>
      </w:r>
    </w:p>
    <w:p w14:paraId="28DE2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我方收到贵公司发布的《项目名称</w:t>
      </w:r>
      <w:r>
        <w:rPr>
          <w:rFonts w:hint="eastAsia" w:ascii="宋体" w:hAnsi="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文件，经详细研究，我方决定参加该项目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活动。为此，我方郑重声明以下诸点，并负法律责任。</w:t>
      </w:r>
    </w:p>
    <w:p w14:paraId="4FEC61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一、我方已详细阅读了竞争性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文件，完全理解并同意竞争性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文件的所有事项及内容。</w:t>
      </w:r>
    </w:p>
    <w:p w14:paraId="06E29E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二、我方已悉知并关注了贵方在政府采购信息发布媒体（详见竞争性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文件第二章第二项第</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条中的“竞争性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文件的修改和澄清”）上发布的关于本项目的有关变更公告（包括但不限于对竞争性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 xml:space="preserve">文件做出的修改或澄清、答疑纪要，以及项目暂停、重启、延期、终止等）。 </w:t>
      </w:r>
    </w:p>
    <w:p w14:paraId="5E1764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三、我方同意向贵方提供与本</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有关的任何证明材料，保证所提交的证明材料真实、合法、有效，并尊重</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小组的评审结果。</w:t>
      </w:r>
    </w:p>
    <w:p w14:paraId="31F462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四、我方愿意按照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文件中的一切要求，完成本项目合同责任和义务</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p>
    <w:p w14:paraId="14D0CE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bookmarkStart w:id="59" w:name="_Toc24166"/>
      <w:r>
        <w:rPr>
          <w:rFonts w:hint="eastAsia" w:ascii="宋体" w:hAnsi="宋体" w:eastAsia="宋体" w:cs="宋体"/>
          <w:b w:val="0"/>
          <w:bCs w:val="0"/>
          <w:sz w:val="23"/>
          <w:szCs w:val="23"/>
          <w:vertAlign w:val="baseline"/>
          <w:lang w:val="en-US" w:eastAsia="zh-CN"/>
        </w:rPr>
        <w:t>五、我方提交上传电子</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响应文件一份。</w:t>
      </w:r>
      <w:bookmarkEnd w:id="59"/>
      <w:r>
        <w:rPr>
          <w:rFonts w:hint="eastAsia" w:ascii="宋体" w:hAnsi="宋体" w:eastAsia="宋体" w:cs="宋体"/>
          <w:b w:val="0"/>
          <w:bCs w:val="0"/>
          <w:sz w:val="23"/>
          <w:szCs w:val="23"/>
          <w:vertAlign w:val="baseline"/>
          <w:lang w:val="en-US" w:eastAsia="zh-CN"/>
        </w:rPr>
        <w:t xml:space="preserve"> </w:t>
      </w:r>
    </w:p>
    <w:p w14:paraId="08904A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六、开标后在规定的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有效期内撤回</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 xml:space="preserve">，我们愿接受政府采购的有关处罚决定。 </w:t>
      </w:r>
    </w:p>
    <w:p w14:paraId="7A1EFE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七、我方的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响应文件在开标之日起</w:t>
      </w:r>
      <w:r>
        <w:rPr>
          <w:rFonts w:hint="eastAsia" w:ascii="宋体" w:hAnsi="宋体" w:cs="宋体"/>
          <w:b w:val="0"/>
          <w:bCs w:val="0"/>
          <w:sz w:val="23"/>
          <w:szCs w:val="23"/>
          <w:vertAlign w:val="baseline"/>
          <w:lang w:val="en-US" w:eastAsia="zh-CN"/>
        </w:rPr>
        <w:t>90</w:t>
      </w:r>
      <w:r>
        <w:rPr>
          <w:rFonts w:hint="eastAsia" w:ascii="宋体" w:hAnsi="宋体" w:eastAsia="宋体" w:cs="宋体"/>
          <w:b w:val="0"/>
          <w:bCs w:val="0"/>
          <w:sz w:val="23"/>
          <w:szCs w:val="23"/>
          <w:vertAlign w:val="baseline"/>
          <w:lang w:val="en-US" w:eastAsia="zh-CN"/>
        </w:rPr>
        <w:t xml:space="preserve">个日历日内有效，如成交，延长至合同执行完毕时止。 </w:t>
      </w:r>
    </w:p>
    <w:p w14:paraId="03FBC2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bookmarkStart w:id="60" w:name="_Toc22410"/>
      <w:r>
        <w:rPr>
          <w:rFonts w:hint="eastAsia" w:ascii="宋体" w:hAnsi="宋体" w:eastAsia="宋体" w:cs="宋体"/>
          <w:b w:val="0"/>
          <w:bCs w:val="0"/>
          <w:sz w:val="23"/>
          <w:szCs w:val="23"/>
          <w:vertAlign w:val="baseline"/>
          <w:lang w:val="en-US" w:eastAsia="zh-CN"/>
        </w:rPr>
        <w:t>八、所有关于此次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活动的函电，请按下列地址联系：</w:t>
      </w:r>
      <w:bookmarkEnd w:id="60"/>
    </w:p>
    <w:p w14:paraId="195962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联系地址：</w:t>
      </w:r>
      <w:r>
        <w:rPr>
          <w:rFonts w:hint="eastAsia" w:ascii="宋体" w:hAnsi="宋体" w:cs="宋体"/>
          <w:b w:val="0"/>
          <w:bCs w:val="0"/>
          <w:sz w:val="23"/>
          <w:szCs w:val="23"/>
          <w:u w:val="single"/>
          <w:vertAlign w:val="baseline"/>
          <w:lang w:val="en-US" w:eastAsia="zh-CN"/>
        </w:rPr>
        <w:t xml:space="preserve">                    </w:t>
      </w:r>
    </w:p>
    <w:p w14:paraId="728B59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邮政编码：</w:t>
      </w:r>
      <w:r>
        <w:rPr>
          <w:rFonts w:hint="eastAsia" w:ascii="宋体" w:hAnsi="宋体" w:cs="宋体"/>
          <w:b w:val="0"/>
          <w:bCs w:val="0"/>
          <w:sz w:val="23"/>
          <w:szCs w:val="23"/>
          <w:u w:val="single"/>
          <w:vertAlign w:val="baseline"/>
          <w:lang w:val="en-US" w:eastAsia="zh-CN"/>
        </w:rPr>
        <w:t xml:space="preserve">                    </w:t>
      </w:r>
    </w:p>
    <w:p w14:paraId="503F5D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电话：</w:t>
      </w:r>
      <w:r>
        <w:rPr>
          <w:rFonts w:hint="eastAsia" w:ascii="宋体" w:hAnsi="宋体" w:cs="宋体"/>
          <w:b w:val="0"/>
          <w:bCs w:val="0"/>
          <w:sz w:val="23"/>
          <w:szCs w:val="23"/>
          <w:u w:val="single"/>
          <w:vertAlign w:val="baseline"/>
          <w:lang w:val="en-US" w:eastAsia="zh-CN"/>
        </w:rPr>
        <w:t xml:space="preserve">                    </w:t>
      </w:r>
    </w:p>
    <w:p w14:paraId="402539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传真：</w:t>
      </w:r>
      <w:r>
        <w:rPr>
          <w:rFonts w:hint="eastAsia" w:ascii="宋体" w:hAnsi="宋体" w:cs="宋体"/>
          <w:b w:val="0"/>
          <w:bCs w:val="0"/>
          <w:sz w:val="23"/>
          <w:szCs w:val="23"/>
          <w:u w:val="single"/>
          <w:vertAlign w:val="baseline"/>
          <w:lang w:val="en-US" w:eastAsia="zh-CN"/>
        </w:rPr>
        <w:t xml:space="preserve">                    </w:t>
      </w:r>
    </w:p>
    <w:p w14:paraId="708E08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r>
        <w:rPr>
          <w:rFonts w:hint="eastAsia" w:ascii="宋体" w:hAnsi="宋体" w:cs="宋体"/>
          <w:b w:val="0"/>
          <w:bCs w:val="0"/>
          <w:sz w:val="23"/>
          <w:szCs w:val="23"/>
          <w:u w:val="single"/>
          <w:vertAlign w:val="baseline"/>
          <w:lang w:val="en-US" w:eastAsia="zh-CN"/>
        </w:rPr>
        <w:t xml:space="preserve">   </w:t>
      </w:r>
    </w:p>
    <w:p w14:paraId="275EAC3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 xml:space="preserve">  </w:t>
      </w:r>
    </w:p>
    <w:p w14:paraId="28205B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FA44C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注：除可填报</w:t>
      </w:r>
      <w:r>
        <w:rPr>
          <w:rFonts w:hint="eastAsia" w:ascii="宋体" w:hAnsi="宋体" w:cs="宋体"/>
          <w:b/>
          <w:bCs/>
          <w:sz w:val="23"/>
          <w:szCs w:val="23"/>
          <w:vertAlign w:val="baseline"/>
          <w:lang w:val="en-US" w:eastAsia="zh-CN"/>
        </w:rPr>
        <w:t>内容</w:t>
      </w:r>
      <w:r>
        <w:rPr>
          <w:rFonts w:hint="eastAsia" w:ascii="宋体" w:hAnsi="宋体" w:eastAsia="宋体" w:cs="宋体"/>
          <w:b/>
          <w:bCs/>
          <w:sz w:val="23"/>
          <w:szCs w:val="23"/>
          <w:vertAlign w:val="baseline"/>
          <w:lang w:val="en-US" w:eastAsia="zh-CN"/>
        </w:rPr>
        <w:t>外，对本</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函的任何实质性内容修改将被视为非实质性响应，在评审时将视其为无效</w:t>
      </w:r>
      <w:r>
        <w:rPr>
          <w:rFonts w:hint="eastAsia" w:ascii="宋体" w:hAnsi="宋体" w:cs="宋体"/>
          <w:b/>
          <w:bCs/>
          <w:sz w:val="23"/>
          <w:szCs w:val="23"/>
          <w:vertAlign w:val="baseline"/>
          <w:lang w:val="en-US" w:eastAsia="zh-CN"/>
        </w:rPr>
        <w:t>响应。</w:t>
      </w:r>
    </w:p>
    <w:p w14:paraId="79C576EA">
      <w:pPr>
        <w:pStyle w:val="3"/>
        <w:bidi w:val="0"/>
        <w:rPr>
          <w:rFonts w:hint="eastAsia" w:ascii="宋体" w:hAnsi="宋体" w:eastAsia="宋体" w:cs="宋体"/>
          <w:b w:val="0"/>
          <w:bCs w:val="0"/>
          <w:szCs w:val="23"/>
          <w:vertAlign w:val="baseline"/>
          <w:lang w:val="en-US" w:eastAsia="zh-CN"/>
        </w:rPr>
      </w:pPr>
      <w:bookmarkStart w:id="61" w:name="_Toc12306_WPSOffice_Level1"/>
      <w:bookmarkStart w:id="62" w:name="_Toc5572"/>
      <w:bookmarkStart w:id="63" w:name="_Toc28345_WPSOffice_Level1"/>
      <w:r>
        <w:rPr>
          <w:rFonts w:hint="eastAsia"/>
          <w:lang w:val="en-US" w:eastAsia="zh-CN"/>
        </w:rPr>
        <w:t>第二部分 首次报价一览表</w:t>
      </w:r>
      <w:bookmarkEnd w:id="61"/>
      <w:bookmarkEnd w:id="62"/>
      <w:bookmarkEnd w:id="63"/>
    </w:p>
    <w:p w14:paraId="776F3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72F9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64" w:name="_Toc28345_WPSOffice_Level2"/>
      <w:bookmarkStart w:id="65" w:name="_Toc12306_WPSOffice_Level2"/>
      <w:bookmarkStart w:id="66" w:name="_Toc27891_WPSOffice_Level2"/>
      <w:bookmarkStart w:id="67" w:name="_Toc12824"/>
      <w:r>
        <w:rPr>
          <w:rFonts w:hint="eastAsia" w:ascii="宋体" w:hAnsi="宋体" w:cs="宋体"/>
          <w:b/>
          <w:bCs/>
          <w:sz w:val="28"/>
          <w:szCs w:val="28"/>
          <w:vertAlign w:val="baseline"/>
          <w:lang w:val="en-US" w:eastAsia="zh-CN"/>
        </w:rPr>
        <w:t>一、开标一览表</w:t>
      </w:r>
      <w:bookmarkEnd w:id="64"/>
      <w:bookmarkEnd w:id="65"/>
      <w:bookmarkEnd w:id="66"/>
      <w:bookmarkEnd w:id="67"/>
    </w:p>
    <w:p w14:paraId="0BF3CB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项目编号： </w:t>
      </w:r>
    </w:p>
    <w:p w14:paraId="140BB3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bl>
      <w:tblPr>
        <w:tblStyle w:val="20"/>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270"/>
        <w:gridCol w:w="1756"/>
        <w:gridCol w:w="1407"/>
        <w:gridCol w:w="1389"/>
      </w:tblGrid>
      <w:tr w14:paraId="47A7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vAlign w:val="center"/>
          </w:tcPr>
          <w:p w14:paraId="7386C4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供应商名称</w:t>
            </w:r>
          </w:p>
        </w:tc>
        <w:tc>
          <w:tcPr>
            <w:tcW w:w="2270" w:type="dxa"/>
            <w:vAlign w:val="center"/>
          </w:tcPr>
          <w:p w14:paraId="4717AE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磋商报价（元）</w:t>
            </w:r>
          </w:p>
        </w:tc>
        <w:tc>
          <w:tcPr>
            <w:tcW w:w="1756" w:type="dxa"/>
            <w:vAlign w:val="center"/>
          </w:tcPr>
          <w:p w14:paraId="520C68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服务期（年）</w:t>
            </w:r>
          </w:p>
        </w:tc>
        <w:tc>
          <w:tcPr>
            <w:tcW w:w="1407" w:type="dxa"/>
            <w:vAlign w:val="center"/>
          </w:tcPr>
          <w:p w14:paraId="36700F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响应有效期（天）</w:t>
            </w:r>
          </w:p>
        </w:tc>
        <w:tc>
          <w:tcPr>
            <w:tcW w:w="1389" w:type="dxa"/>
            <w:vAlign w:val="center"/>
          </w:tcPr>
          <w:p w14:paraId="194752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项目负责人</w:t>
            </w:r>
          </w:p>
        </w:tc>
      </w:tr>
      <w:tr w14:paraId="1DAD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786" w:type="dxa"/>
            <w:vAlign w:val="center"/>
          </w:tcPr>
          <w:p w14:paraId="30120B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2270" w:type="dxa"/>
            <w:vAlign w:val="center"/>
          </w:tcPr>
          <w:p w14:paraId="29490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小写：</w:t>
            </w:r>
          </w:p>
          <w:p w14:paraId="6F7B52B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大写：</w:t>
            </w:r>
          </w:p>
        </w:tc>
        <w:tc>
          <w:tcPr>
            <w:tcW w:w="1756" w:type="dxa"/>
            <w:vAlign w:val="center"/>
          </w:tcPr>
          <w:p w14:paraId="3BAEE8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407" w:type="dxa"/>
            <w:vAlign w:val="center"/>
          </w:tcPr>
          <w:p w14:paraId="622405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89" w:type="dxa"/>
            <w:vAlign w:val="center"/>
          </w:tcPr>
          <w:p w14:paraId="7AB8CB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4FF687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4B9F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9F10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6143ED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77CC14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008FB9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F065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4816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B2FA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6376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BB9D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C7AA9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C1C1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712C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F1AC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w:t>
      </w:r>
      <w:r>
        <w:rPr>
          <w:rFonts w:hint="eastAsia" w:ascii="宋体" w:hAnsi="宋体" w:cs="宋体"/>
          <w:b/>
          <w:bCs/>
          <w:sz w:val="23"/>
          <w:szCs w:val="23"/>
          <w:vertAlign w:val="baseline"/>
          <w:lang w:val="en-US" w:eastAsia="zh-CN"/>
        </w:rPr>
        <w:t>：</w:t>
      </w:r>
      <w:bookmarkStart w:id="68" w:name="_Toc28345_WPSOffice_Level3"/>
      <w:r>
        <w:rPr>
          <w:rFonts w:hint="eastAsia" w:ascii="宋体" w:hAnsi="宋体" w:cs="宋体"/>
          <w:b/>
          <w:bCs/>
          <w:sz w:val="23"/>
          <w:szCs w:val="23"/>
          <w:vertAlign w:val="baseline"/>
          <w:lang w:val="en-US" w:eastAsia="zh-CN"/>
        </w:rPr>
        <w:t xml:space="preserve">1、“磋商报价”为单价报价，小数点后保留两位小数。磋商报价必须包括：完成采购内容所需的直接费、间接费、利润、税金及其它相关的一切费用，以及合同实施过程中的应预见及不可预见费用等完成合同规定责任和义务、达到合同目的的一切费用。 </w:t>
      </w:r>
    </w:p>
    <w:p w14:paraId="7CDEBD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2、以上费用均为含税价格。</w:t>
      </w:r>
      <w:bookmarkEnd w:id="68"/>
    </w:p>
    <w:p w14:paraId="5BDA34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69" w:name="_Toc26407_WPSOffice_Level2"/>
      <w:bookmarkStart w:id="70" w:name="_Toc7234"/>
      <w:bookmarkStart w:id="71" w:name="_Toc26699_WPSOffice_Level2"/>
      <w:bookmarkStart w:id="72" w:name="_Toc4663_WPSOffice_Level2"/>
    </w:p>
    <w:p w14:paraId="784402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r>
        <w:rPr>
          <w:rFonts w:hint="eastAsia" w:ascii="宋体" w:hAnsi="宋体" w:cs="宋体"/>
          <w:b/>
          <w:bCs/>
          <w:sz w:val="28"/>
          <w:szCs w:val="28"/>
          <w:vertAlign w:val="baseline"/>
          <w:lang w:val="en-US" w:eastAsia="zh-CN"/>
        </w:rPr>
        <w:t xml:space="preserve">二、分项报价 </w:t>
      </w:r>
      <w:bookmarkEnd w:id="69"/>
      <w:bookmarkEnd w:id="70"/>
      <w:bookmarkEnd w:id="71"/>
      <w:bookmarkEnd w:id="72"/>
    </w:p>
    <w:p w14:paraId="527C75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center"/>
        <w:textAlignment w:val="baseline"/>
        <w:rPr>
          <w:rFonts w:hint="eastAsia" w:ascii="宋体" w:hAnsi="宋体" w:cs="宋体"/>
          <w:b w:val="0"/>
          <w:bCs w:val="0"/>
          <w:sz w:val="23"/>
          <w:szCs w:val="23"/>
          <w:vertAlign w:val="baseline"/>
          <w:lang w:val="en-US" w:eastAsia="zh-CN"/>
        </w:rPr>
      </w:pPr>
    </w:p>
    <w:p w14:paraId="7F9AB0B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（根据采购需求自拟）</w:t>
      </w:r>
    </w:p>
    <w:p w14:paraId="505948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A5D80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77BBD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D0E97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0E78AE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01300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B6DAE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60F018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3A7AB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CD5FD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75F021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0C390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40F8AD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69D475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92AA5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76EF7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48926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4F39B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86E93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0604D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7D1DCB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4DE00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33B8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注：1.本分项报价</w:t>
      </w:r>
      <w:r>
        <w:rPr>
          <w:rFonts w:hint="eastAsia" w:ascii="宋体" w:hAnsi="宋体" w:cs="宋体"/>
          <w:b/>
          <w:bCs/>
          <w:sz w:val="23"/>
          <w:szCs w:val="23"/>
          <w:vertAlign w:val="baseline"/>
          <w:lang w:val="en-US" w:eastAsia="zh-CN"/>
        </w:rPr>
        <w:t>“总报价”</w:t>
      </w:r>
      <w:r>
        <w:rPr>
          <w:rFonts w:hint="eastAsia" w:ascii="宋体" w:hAnsi="宋体" w:eastAsia="宋体" w:cs="宋体"/>
          <w:b/>
          <w:bCs/>
          <w:sz w:val="23"/>
          <w:szCs w:val="23"/>
          <w:vertAlign w:val="baseline"/>
          <w:lang w:val="en-US" w:eastAsia="zh-CN"/>
        </w:rPr>
        <w:t>金额应与“开标一览表”中的“</w:t>
      </w:r>
      <w:r>
        <w:rPr>
          <w:rFonts w:hint="eastAsia" w:ascii="宋体" w:hAnsi="宋体" w:cs="宋体"/>
          <w:b/>
          <w:bCs/>
          <w:sz w:val="23"/>
          <w:szCs w:val="23"/>
          <w:vertAlign w:val="baseline"/>
          <w:lang w:val="en-US" w:eastAsia="zh-CN"/>
        </w:rPr>
        <w:t>磋商报价</w:t>
      </w:r>
      <w:r>
        <w:rPr>
          <w:rFonts w:hint="eastAsia" w:ascii="宋体" w:hAnsi="宋体" w:eastAsia="宋体" w:cs="宋体"/>
          <w:b/>
          <w:bCs/>
          <w:sz w:val="23"/>
          <w:szCs w:val="23"/>
          <w:vertAlign w:val="baseline"/>
          <w:lang w:val="en-US" w:eastAsia="zh-CN"/>
        </w:rPr>
        <w:t>”一致</w:t>
      </w:r>
      <w:r>
        <w:rPr>
          <w:rFonts w:hint="eastAsia" w:ascii="宋体" w:hAnsi="宋体" w:cs="宋体"/>
          <w:b/>
          <w:bCs/>
          <w:sz w:val="23"/>
          <w:szCs w:val="23"/>
          <w:vertAlign w:val="baseline"/>
          <w:lang w:val="en-US" w:eastAsia="zh-CN"/>
        </w:rPr>
        <w:t>，如果按单价计算的结果与总价不一致，以单价为准修正总价。</w:t>
      </w:r>
    </w:p>
    <w:p w14:paraId="101B52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352D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A489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54138E">
      <w:pPr>
        <w:pStyle w:val="3"/>
        <w:bidi w:val="0"/>
        <w:rPr>
          <w:rFonts w:hint="eastAsia" w:ascii="宋体" w:hAnsi="宋体" w:eastAsia="宋体" w:cs="宋体"/>
          <w:b w:val="0"/>
          <w:bCs w:val="0"/>
          <w:szCs w:val="23"/>
          <w:vertAlign w:val="baseline"/>
          <w:lang w:val="en-US" w:eastAsia="zh-CN"/>
        </w:rPr>
      </w:pPr>
      <w:bookmarkStart w:id="73" w:name="_Toc26407_WPSOffice_Level1"/>
      <w:bookmarkStart w:id="74" w:name="_Toc5057"/>
      <w:bookmarkStart w:id="75" w:name="_Toc4663_WPSOffice_Level1"/>
      <w:r>
        <w:rPr>
          <w:rFonts w:hint="eastAsia"/>
          <w:lang w:val="en-US" w:eastAsia="zh-CN"/>
        </w:rPr>
        <w:t>第三部分 资格证明文件</w:t>
      </w:r>
      <w:bookmarkEnd w:id="73"/>
      <w:bookmarkEnd w:id="74"/>
      <w:bookmarkEnd w:id="75"/>
    </w:p>
    <w:p w14:paraId="01E21C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按“第二章 </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w:t>
      </w:r>
      <w:r>
        <w:rPr>
          <w:rFonts w:hint="eastAsia" w:ascii="宋体" w:hAnsi="宋体" w:cs="宋体"/>
          <w:b w:val="0"/>
          <w:bCs w:val="0"/>
          <w:sz w:val="23"/>
          <w:szCs w:val="23"/>
          <w:vertAlign w:val="baseline"/>
          <w:lang w:val="en-US" w:eastAsia="zh-CN"/>
        </w:rPr>
        <w:t>12.1</w:t>
      </w:r>
      <w:r>
        <w:rPr>
          <w:rFonts w:hint="eastAsia" w:ascii="宋体" w:hAnsi="宋体" w:eastAsia="宋体" w:cs="宋体"/>
          <w:b w:val="0"/>
          <w:bCs w:val="0"/>
          <w:sz w:val="23"/>
          <w:szCs w:val="23"/>
          <w:vertAlign w:val="baseline"/>
          <w:lang w:val="en-US" w:eastAsia="zh-CN"/>
        </w:rPr>
        <w:t>条</w:t>
      </w:r>
      <w:r>
        <w:rPr>
          <w:rFonts w:hint="eastAsia" w:ascii="宋体" w:hAnsi="宋体" w:cs="宋体"/>
          <w:b w:val="0"/>
          <w:bCs w:val="0"/>
          <w:sz w:val="23"/>
          <w:szCs w:val="23"/>
          <w:vertAlign w:val="baseline"/>
          <w:lang w:val="en-US" w:eastAsia="zh-CN"/>
        </w:rPr>
        <w:t>款</w:t>
      </w:r>
      <w:r>
        <w:rPr>
          <w:rFonts w:hint="eastAsia" w:ascii="宋体" w:hAnsi="宋体" w:eastAsia="宋体" w:cs="宋体"/>
          <w:b w:val="0"/>
          <w:bCs w:val="0"/>
          <w:sz w:val="23"/>
          <w:szCs w:val="23"/>
          <w:vertAlign w:val="baseline"/>
          <w:lang w:val="en-US" w:eastAsia="zh-CN"/>
        </w:rPr>
        <w:t>”逐一提供全部资料，缺少其中 任何一项，将被视为</w:t>
      </w:r>
      <w:r>
        <w:rPr>
          <w:rFonts w:hint="eastAsia" w:ascii="宋体" w:hAnsi="宋体" w:cs="宋体"/>
          <w:b w:val="0"/>
          <w:bCs w:val="0"/>
          <w:sz w:val="23"/>
          <w:szCs w:val="23"/>
          <w:vertAlign w:val="baseline"/>
          <w:lang w:val="en-US" w:eastAsia="zh-CN"/>
        </w:rPr>
        <w:t>供应商资格不符合</w:t>
      </w:r>
      <w:r>
        <w:rPr>
          <w:rFonts w:hint="eastAsia" w:ascii="宋体" w:hAnsi="宋体" w:eastAsia="宋体" w:cs="宋体"/>
          <w:b w:val="0"/>
          <w:bCs w:val="0"/>
          <w:sz w:val="23"/>
          <w:szCs w:val="23"/>
          <w:vertAlign w:val="baseline"/>
          <w:lang w:val="en-US" w:eastAsia="zh-CN"/>
        </w:rPr>
        <w:t>。其中，《法定代表人证明书》、《法定代表人授权委托书》、《书面声明函》、《榆林市政府采购工程类/货物类/服务类项目供应商信用承诺书》、《投标人委托代理人员信用承诺书》</w:t>
      </w:r>
      <w:r>
        <w:rPr>
          <w:rFonts w:hint="eastAsia" w:ascii="宋体" w:hAnsi="宋体" w:cs="宋体"/>
          <w:b w:val="0"/>
          <w:bCs w:val="0"/>
          <w:sz w:val="23"/>
          <w:szCs w:val="23"/>
          <w:vertAlign w:val="baseline"/>
          <w:lang w:val="en-US" w:eastAsia="zh-CN"/>
        </w:rPr>
        <w:t>、投标信用（保证金）承诺书、《中小企业声明函》、《非联合体不分包投标声明》</w:t>
      </w:r>
      <w:r>
        <w:rPr>
          <w:rFonts w:hint="eastAsia" w:ascii="宋体" w:hAnsi="宋体" w:eastAsia="宋体" w:cs="宋体"/>
          <w:b w:val="0"/>
          <w:bCs w:val="0"/>
          <w:sz w:val="23"/>
          <w:szCs w:val="23"/>
          <w:vertAlign w:val="baseline"/>
          <w:lang w:val="en-US" w:eastAsia="zh-CN"/>
        </w:rPr>
        <w:t>应按下文给定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格式填写，否则按无效处理</w:t>
      </w:r>
      <w:r>
        <w:rPr>
          <w:rFonts w:hint="eastAsia" w:ascii="宋体" w:hAnsi="宋体" w:cs="宋体"/>
          <w:b w:val="0"/>
          <w:bCs w:val="0"/>
          <w:sz w:val="23"/>
          <w:szCs w:val="23"/>
          <w:vertAlign w:val="baseline"/>
          <w:lang w:val="en-US" w:eastAsia="zh-CN"/>
        </w:rPr>
        <w:t>。</w:t>
      </w:r>
    </w:p>
    <w:p w14:paraId="216C4EB8">
      <w:pPr>
        <w:pStyle w:val="4"/>
        <w:bidi w:val="0"/>
        <w:outlineLvl w:val="1"/>
        <w:rPr>
          <w:rFonts w:hint="eastAsia"/>
          <w:lang w:val="en-US" w:eastAsia="zh-CN"/>
        </w:rPr>
      </w:pPr>
      <w:bookmarkStart w:id="76" w:name="_Toc28923"/>
      <w:r>
        <w:rPr>
          <w:rFonts w:hint="eastAsia"/>
          <w:lang w:val="en-US" w:eastAsia="zh-CN"/>
        </w:rPr>
        <w:t>一、营业执照等主体资格证明文件</w:t>
      </w:r>
      <w:bookmarkEnd w:id="76"/>
    </w:p>
    <w:p w14:paraId="01DCE2D8">
      <w:pPr>
        <w:pStyle w:val="4"/>
        <w:bidi w:val="0"/>
        <w:outlineLvl w:val="1"/>
        <w:rPr>
          <w:rFonts w:hint="eastAsia"/>
          <w:lang w:val="en-US" w:eastAsia="zh-CN"/>
        </w:rPr>
      </w:pPr>
      <w:bookmarkStart w:id="77" w:name="_Toc7449"/>
      <w:r>
        <w:rPr>
          <w:rFonts w:hint="eastAsia"/>
          <w:lang w:val="en-US" w:eastAsia="zh-CN"/>
        </w:rPr>
        <w:t>二、</w:t>
      </w:r>
      <w:bookmarkEnd w:id="77"/>
      <w:bookmarkStart w:id="78" w:name="_Toc24717"/>
      <w:r>
        <w:rPr>
          <w:rFonts w:hint="eastAsia"/>
          <w:lang w:val="en-US" w:eastAsia="zh-CN"/>
        </w:rPr>
        <w:t>财务报告或资信证明文件</w:t>
      </w:r>
      <w:bookmarkEnd w:id="78"/>
    </w:p>
    <w:p w14:paraId="0928AFC7">
      <w:pPr>
        <w:pStyle w:val="4"/>
        <w:bidi w:val="0"/>
        <w:outlineLvl w:val="1"/>
        <w:rPr>
          <w:rFonts w:hint="eastAsia"/>
          <w:lang w:val="en-US" w:eastAsia="zh-CN"/>
        </w:rPr>
      </w:pPr>
      <w:bookmarkStart w:id="79" w:name="_Toc17718"/>
      <w:r>
        <w:rPr>
          <w:rFonts w:hint="eastAsia"/>
          <w:lang w:val="en-US" w:eastAsia="zh-CN"/>
        </w:rPr>
        <w:t>三、社保缴纳证明</w:t>
      </w:r>
      <w:bookmarkEnd w:id="79"/>
    </w:p>
    <w:p w14:paraId="50FAD957">
      <w:pPr>
        <w:pStyle w:val="4"/>
        <w:bidi w:val="0"/>
        <w:outlineLvl w:val="1"/>
        <w:rPr>
          <w:rFonts w:hint="eastAsia"/>
          <w:lang w:val="en-US" w:eastAsia="zh-CN"/>
        </w:rPr>
      </w:pPr>
      <w:bookmarkStart w:id="80" w:name="_Toc14047"/>
      <w:r>
        <w:rPr>
          <w:rFonts w:hint="eastAsia"/>
          <w:lang w:val="en-US" w:eastAsia="zh-CN"/>
        </w:rPr>
        <w:t>四、税收缴纳证明</w:t>
      </w:r>
      <w:bookmarkEnd w:id="80"/>
    </w:p>
    <w:p w14:paraId="72A03454">
      <w:pPr>
        <w:pStyle w:val="4"/>
        <w:bidi w:val="0"/>
        <w:outlineLvl w:val="1"/>
        <w:rPr>
          <w:rFonts w:hint="eastAsia"/>
          <w:lang w:val="en-US" w:eastAsia="zh-CN"/>
        </w:rPr>
      </w:pPr>
      <w:bookmarkStart w:id="81" w:name="_Toc15589"/>
      <w:r>
        <w:rPr>
          <w:rFonts w:hint="eastAsia"/>
          <w:lang w:val="en-US" w:eastAsia="zh-CN"/>
        </w:rPr>
        <w:t>五、法定代表人证明书或法定代表人授权委托书</w:t>
      </w:r>
      <w:bookmarkEnd w:id="81"/>
    </w:p>
    <w:p w14:paraId="37A78A71">
      <w:pPr>
        <w:pStyle w:val="4"/>
        <w:bidi w:val="0"/>
        <w:outlineLvl w:val="1"/>
        <w:rPr>
          <w:rFonts w:hint="eastAsia"/>
          <w:lang w:val="en-US" w:eastAsia="zh-CN"/>
        </w:rPr>
      </w:pPr>
      <w:bookmarkStart w:id="82" w:name="_Toc25720"/>
      <w:r>
        <w:rPr>
          <w:rFonts w:hint="eastAsia"/>
          <w:lang w:val="en-US" w:eastAsia="zh-CN"/>
        </w:rPr>
        <w:t>六、信用记录查询结果截图</w:t>
      </w:r>
      <w:bookmarkEnd w:id="82"/>
    </w:p>
    <w:p w14:paraId="0F3B4D4E">
      <w:pPr>
        <w:pStyle w:val="4"/>
        <w:bidi w:val="0"/>
        <w:outlineLvl w:val="1"/>
        <w:rPr>
          <w:rFonts w:hint="eastAsia"/>
          <w:lang w:val="en-US" w:eastAsia="zh-CN"/>
        </w:rPr>
      </w:pPr>
      <w:bookmarkStart w:id="83" w:name="_Toc19796"/>
      <w:r>
        <w:rPr>
          <w:rFonts w:hint="eastAsia"/>
          <w:lang w:val="en-US" w:eastAsia="zh-CN"/>
        </w:rPr>
        <w:t>七、书面声明函</w:t>
      </w:r>
      <w:bookmarkEnd w:id="83"/>
    </w:p>
    <w:p w14:paraId="39A30439">
      <w:pPr>
        <w:pStyle w:val="4"/>
        <w:bidi w:val="0"/>
        <w:outlineLvl w:val="1"/>
        <w:rPr>
          <w:rFonts w:hint="eastAsia"/>
          <w:lang w:val="en-US" w:eastAsia="zh-CN"/>
        </w:rPr>
      </w:pPr>
      <w:r>
        <w:rPr>
          <w:rFonts w:hint="eastAsia"/>
          <w:lang w:val="en-US" w:eastAsia="zh-CN"/>
        </w:rPr>
        <w:t>八、榆林市政府采购工程类/货物类/服务类项目供应商信用承诺书、投标人委托代理人员信用承诺书</w:t>
      </w:r>
    </w:p>
    <w:p w14:paraId="667625F7">
      <w:pPr>
        <w:pStyle w:val="4"/>
        <w:bidi w:val="0"/>
        <w:outlineLvl w:val="1"/>
        <w:rPr>
          <w:rFonts w:hint="eastAsia"/>
          <w:lang w:val="en-US" w:eastAsia="zh-CN"/>
        </w:rPr>
      </w:pPr>
      <w:bookmarkStart w:id="84" w:name="_Toc12574"/>
      <w:r>
        <w:rPr>
          <w:rFonts w:hint="eastAsia"/>
          <w:lang w:val="en-US" w:eastAsia="zh-CN"/>
        </w:rPr>
        <w:t>九、投标信用承诺书（代替投标保证金）</w:t>
      </w:r>
      <w:bookmarkEnd w:id="84"/>
    </w:p>
    <w:p w14:paraId="0B931E75">
      <w:pPr>
        <w:pStyle w:val="4"/>
        <w:bidi w:val="0"/>
        <w:outlineLvl w:val="1"/>
        <w:rPr>
          <w:rFonts w:hint="eastAsia"/>
          <w:lang w:val="en-US" w:eastAsia="zh-CN"/>
        </w:rPr>
      </w:pPr>
      <w:bookmarkStart w:id="85" w:name="_Toc27603"/>
      <w:r>
        <w:rPr>
          <w:rFonts w:hint="eastAsia"/>
          <w:lang w:val="en-US" w:eastAsia="zh-CN"/>
        </w:rPr>
        <w:t>十、中小企业声明函</w:t>
      </w:r>
      <w:bookmarkEnd w:id="85"/>
    </w:p>
    <w:p w14:paraId="1F95944A">
      <w:pPr>
        <w:pStyle w:val="4"/>
        <w:bidi w:val="0"/>
        <w:outlineLvl w:val="1"/>
        <w:rPr>
          <w:rFonts w:hint="eastAsia"/>
          <w:lang w:val="en-US" w:eastAsia="zh-CN"/>
        </w:rPr>
      </w:pPr>
      <w:bookmarkStart w:id="86" w:name="_Toc1510"/>
      <w:r>
        <w:rPr>
          <w:rFonts w:hint="eastAsia"/>
          <w:lang w:val="en-US" w:eastAsia="zh-CN"/>
        </w:rPr>
        <w:t>十一、非联合体不分包投标声明</w:t>
      </w:r>
    </w:p>
    <w:p w14:paraId="12A29E7C">
      <w:pPr>
        <w:pStyle w:val="4"/>
        <w:bidi w:val="0"/>
        <w:outlineLvl w:val="1"/>
        <w:rPr>
          <w:rFonts w:hint="eastAsia"/>
          <w:lang w:val="en-US" w:eastAsia="zh-CN"/>
        </w:rPr>
      </w:pPr>
      <w:r>
        <w:rPr>
          <w:rFonts w:hint="eastAsia"/>
          <w:lang w:val="en-US" w:eastAsia="zh-CN"/>
        </w:rPr>
        <w:t>十二、履行合同所需的设备和专业技术能力的承诺</w:t>
      </w:r>
    </w:p>
    <w:p w14:paraId="35F5DB41">
      <w:pPr>
        <w:pStyle w:val="4"/>
        <w:bidi w:val="0"/>
        <w:outlineLvl w:val="1"/>
        <w:rPr>
          <w:rFonts w:hint="eastAsia"/>
          <w:lang w:val="en-US" w:eastAsia="zh-CN"/>
        </w:rPr>
      </w:pPr>
      <w:r>
        <w:rPr>
          <w:rFonts w:hint="eastAsia"/>
          <w:lang w:val="en-US" w:eastAsia="zh-CN"/>
        </w:rPr>
        <w:t>十三、其他需提供的资格证明文件</w:t>
      </w:r>
      <w:bookmarkEnd w:id="86"/>
    </w:p>
    <w:p w14:paraId="493A93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CA75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4BEA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3295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4726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4013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78494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D2BCE3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EE88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836F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87" w:name="_Toc29768_WPSOffice_Level2"/>
      <w:bookmarkStart w:id="88" w:name="_Toc8678_WPSOffice_Level2"/>
      <w:bookmarkStart w:id="89" w:name="_Toc13450_WPSOffice_Level2"/>
      <w:r>
        <w:rPr>
          <w:rFonts w:hint="eastAsia" w:ascii="宋体" w:hAnsi="宋体" w:cs="宋体"/>
          <w:b/>
          <w:bCs/>
          <w:sz w:val="28"/>
          <w:szCs w:val="28"/>
          <w:vertAlign w:val="baseline"/>
          <w:lang w:val="en-US" w:eastAsia="zh-CN"/>
        </w:rPr>
        <w:t>附件一：</w:t>
      </w:r>
      <w:bookmarkEnd w:id="87"/>
      <w:bookmarkEnd w:id="88"/>
      <w:bookmarkEnd w:id="89"/>
    </w:p>
    <w:p w14:paraId="19D88E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0" w:name="_Toc4663_WPSOffice_Level3"/>
      <w:r>
        <w:rPr>
          <w:rFonts w:hint="eastAsia" w:ascii="宋体" w:hAnsi="宋体" w:eastAsia="宋体" w:cs="宋体"/>
          <w:b/>
          <w:bCs/>
          <w:sz w:val="28"/>
          <w:szCs w:val="28"/>
          <w:vertAlign w:val="baseline"/>
          <w:lang w:val="en-US" w:eastAsia="zh-CN"/>
        </w:rPr>
        <w:t>法定代表人证明书</w:t>
      </w:r>
      <w:bookmarkEnd w:id="90"/>
    </w:p>
    <w:p w14:paraId="6A9F65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C7BAD4">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单位名称：</w:t>
      </w:r>
      <w:r>
        <w:rPr>
          <w:rFonts w:hint="eastAsia" w:ascii="宋体" w:hAnsi="宋体" w:eastAsia="宋体" w:cs="宋体"/>
          <w:b w:val="0"/>
          <w:bCs w:val="0"/>
          <w:sz w:val="23"/>
          <w:szCs w:val="23"/>
          <w:u w:val="single"/>
          <w:vertAlign w:val="baseline"/>
          <w:lang w:val="en-US" w:eastAsia="zh-CN"/>
        </w:rPr>
        <w:t xml:space="preserve">                                        </w:t>
      </w:r>
    </w:p>
    <w:p w14:paraId="594F8F5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单位性质：</w:t>
      </w:r>
      <w:r>
        <w:rPr>
          <w:rFonts w:hint="eastAsia" w:ascii="宋体" w:hAnsi="宋体" w:eastAsia="宋体" w:cs="宋体"/>
          <w:b w:val="0"/>
          <w:bCs w:val="0"/>
          <w:sz w:val="23"/>
          <w:szCs w:val="23"/>
          <w:u w:val="single"/>
          <w:vertAlign w:val="baseline"/>
          <w:lang w:val="en-US" w:eastAsia="zh-CN"/>
        </w:rPr>
        <w:t xml:space="preserve">                                        </w:t>
      </w:r>
    </w:p>
    <w:p w14:paraId="5AE2DB3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地址：</w:t>
      </w:r>
      <w:r>
        <w:rPr>
          <w:rFonts w:hint="eastAsia" w:ascii="宋体" w:hAnsi="宋体" w:eastAsia="宋体" w:cs="宋体"/>
          <w:b w:val="0"/>
          <w:bCs w:val="0"/>
          <w:sz w:val="23"/>
          <w:szCs w:val="23"/>
          <w:u w:val="single"/>
          <w:vertAlign w:val="baseline"/>
          <w:lang w:val="en-US" w:eastAsia="zh-CN"/>
        </w:rPr>
        <w:t xml:space="preserve">                                            </w:t>
      </w:r>
    </w:p>
    <w:p w14:paraId="6F22839E">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成立时间：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62F4D1A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经营期限：</w:t>
      </w:r>
      <w:r>
        <w:rPr>
          <w:rFonts w:hint="eastAsia" w:ascii="宋体" w:hAnsi="宋体" w:eastAsia="宋体" w:cs="宋体"/>
          <w:b w:val="0"/>
          <w:bCs w:val="0"/>
          <w:sz w:val="23"/>
          <w:szCs w:val="23"/>
          <w:u w:val="single"/>
          <w:vertAlign w:val="baseline"/>
          <w:lang w:val="en-US" w:eastAsia="zh-CN"/>
        </w:rPr>
        <w:t xml:space="preserve">                                        </w:t>
      </w:r>
    </w:p>
    <w:p w14:paraId="03C52F7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姓名：</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性别：</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年龄：</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职务：</w:t>
      </w:r>
      <w:r>
        <w:rPr>
          <w:rFonts w:hint="eastAsia" w:ascii="宋体" w:hAnsi="宋体" w:eastAsia="宋体" w:cs="宋体"/>
          <w:b w:val="0"/>
          <w:bCs w:val="0"/>
          <w:sz w:val="23"/>
          <w:szCs w:val="23"/>
          <w:u w:val="single"/>
          <w:vertAlign w:val="baseline"/>
          <w:lang w:val="en-US" w:eastAsia="zh-CN"/>
        </w:rPr>
        <w:t xml:space="preserve">     </w:t>
      </w:r>
    </w:p>
    <w:p w14:paraId="3005CC8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系</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的法定代表人。</w:t>
      </w:r>
    </w:p>
    <w:p w14:paraId="6D86F1A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特此证明。</w:t>
      </w:r>
    </w:p>
    <w:p w14:paraId="7E19E1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C906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CBE80F">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 xml:space="preserve">    (加盖公章)   </w:t>
      </w:r>
    </w:p>
    <w:p w14:paraId="64A2F19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DD163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3DA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8BD01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附法定代表人身份证复印件</w:t>
      </w:r>
    </w:p>
    <w:p w14:paraId="34AC769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8F0D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9CF2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D214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9C48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EAE6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21DA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71B6E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09E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6513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91" w:name="_Toc23149_WPSOffice_Level2"/>
      <w:bookmarkStart w:id="92" w:name="_Toc30622_WPSOffice_Level2"/>
      <w:bookmarkStart w:id="93" w:name="_Toc30308_WPSOffice_Level2"/>
      <w:r>
        <w:rPr>
          <w:rFonts w:hint="eastAsia" w:ascii="宋体" w:hAnsi="宋体" w:cs="宋体"/>
          <w:b/>
          <w:bCs/>
          <w:sz w:val="28"/>
          <w:szCs w:val="28"/>
          <w:vertAlign w:val="baseline"/>
          <w:lang w:val="en-US" w:eastAsia="zh-CN"/>
        </w:rPr>
        <w:t>附件二：</w:t>
      </w:r>
      <w:bookmarkEnd w:id="91"/>
      <w:bookmarkEnd w:id="92"/>
      <w:bookmarkEnd w:id="93"/>
    </w:p>
    <w:p w14:paraId="1175F8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8563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4" w:name="_Toc29768_WPSOffice_Level3"/>
      <w:r>
        <w:rPr>
          <w:rFonts w:hint="eastAsia" w:ascii="宋体" w:hAnsi="宋体" w:eastAsia="宋体" w:cs="宋体"/>
          <w:b/>
          <w:bCs/>
          <w:sz w:val="28"/>
          <w:szCs w:val="28"/>
          <w:vertAlign w:val="baseline"/>
          <w:lang w:val="en-US" w:eastAsia="zh-CN"/>
        </w:rPr>
        <w:t>法定代表人授权委托书</w:t>
      </w:r>
      <w:bookmarkEnd w:id="94"/>
    </w:p>
    <w:p w14:paraId="545F9C25">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本授权委托书声明：我</w:t>
      </w:r>
      <w:r>
        <w:rPr>
          <w:rFonts w:hint="eastAsia" w:ascii="宋体" w:hAnsi="宋体" w:eastAsia="宋体" w:cs="宋体"/>
          <w:b w:val="0"/>
          <w:bCs w:val="0"/>
          <w:sz w:val="23"/>
          <w:szCs w:val="23"/>
          <w:u w:val="single"/>
          <w:vertAlign w:val="baseline"/>
          <w:lang w:val="en-US" w:eastAsia="zh-CN"/>
        </w:rPr>
        <w:t>（法定代表人姓名）</w:t>
      </w:r>
      <w:r>
        <w:rPr>
          <w:rFonts w:hint="eastAsia" w:ascii="宋体" w:hAnsi="宋体" w:eastAsia="宋体" w:cs="宋体"/>
          <w:b w:val="0"/>
          <w:bCs w:val="0"/>
          <w:sz w:val="23"/>
          <w:szCs w:val="23"/>
          <w:vertAlign w:val="baseline"/>
          <w:lang w:val="en-US" w:eastAsia="zh-CN"/>
        </w:rPr>
        <w:t>系注册于</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供应商</w:t>
      </w:r>
      <w:r>
        <w:rPr>
          <w:rFonts w:hint="eastAsia" w:ascii="宋体" w:hAnsi="宋体" w:eastAsia="宋体" w:cs="宋体"/>
          <w:b w:val="0"/>
          <w:bCs w:val="0"/>
          <w:sz w:val="23"/>
          <w:szCs w:val="23"/>
          <w:u w:val="single"/>
          <w:vertAlign w:val="baseline"/>
          <w:lang w:val="en-US" w:eastAsia="zh-CN"/>
        </w:rPr>
        <w:t>地址）（</w:t>
      </w:r>
      <w:r>
        <w:rPr>
          <w:rFonts w:hint="eastAsia" w:ascii="宋体" w:hAnsi="宋体" w:cs="宋体"/>
          <w:b w:val="0"/>
          <w:bCs w:val="0"/>
          <w:sz w:val="23"/>
          <w:szCs w:val="23"/>
          <w:u w:val="single"/>
          <w:vertAlign w:val="baseline"/>
          <w:lang w:val="en-US" w:eastAsia="zh-CN"/>
        </w:rPr>
        <w:t>供应商</w:t>
      </w:r>
      <w:r>
        <w:rPr>
          <w:rFonts w:hint="eastAsia" w:ascii="宋体" w:hAnsi="宋体" w:eastAsia="宋体" w:cs="宋体"/>
          <w:b w:val="0"/>
          <w:bCs w:val="0"/>
          <w:sz w:val="23"/>
          <w:szCs w:val="23"/>
          <w:u w:val="single"/>
          <w:vertAlign w:val="baseline"/>
          <w:lang w:val="en-US" w:eastAsia="zh-CN"/>
        </w:rPr>
        <w:t>名称）</w:t>
      </w:r>
      <w:r>
        <w:rPr>
          <w:rFonts w:hint="eastAsia" w:ascii="宋体" w:hAnsi="宋体" w:eastAsia="宋体" w:cs="宋体"/>
          <w:b w:val="0"/>
          <w:bCs w:val="0"/>
          <w:sz w:val="23"/>
          <w:szCs w:val="23"/>
          <w:vertAlign w:val="baseline"/>
          <w:lang w:val="en-US" w:eastAsia="zh-CN"/>
        </w:rPr>
        <w:t>的法定代表人，现代表公司授权下面签字的</w:t>
      </w:r>
      <w:r>
        <w:rPr>
          <w:rFonts w:hint="eastAsia" w:ascii="宋体" w:hAnsi="宋体" w:eastAsia="宋体" w:cs="宋体"/>
          <w:b w:val="0"/>
          <w:bCs w:val="0"/>
          <w:sz w:val="23"/>
          <w:szCs w:val="23"/>
          <w:u w:val="single"/>
          <w:vertAlign w:val="baseline"/>
          <w:lang w:val="en-US" w:eastAsia="zh-CN"/>
        </w:rPr>
        <w:t>（被授权人的姓名、职务）</w:t>
      </w:r>
      <w:r>
        <w:rPr>
          <w:rFonts w:hint="eastAsia" w:ascii="宋体" w:hAnsi="宋体" w:eastAsia="宋体" w:cs="宋体"/>
          <w:b w:val="0"/>
          <w:bCs w:val="0"/>
          <w:sz w:val="23"/>
          <w:szCs w:val="23"/>
          <w:vertAlign w:val="baseline"/>
          <w:lang w:val="en-US" w:eastAsia="zh-CN"/>
        </w:rPr>
        <w:t>为我公司合法代理人，代表本公司参加</w:t>
      </w:r>
      <w:r>
        <w:rPr>
          <w:rFonts w:hint="eastAsia" w:ascii="宋体" w:hAnsi="宋体" w:eastAsia="宋体" w:cs="宋体"/>
          <w:b w:val="0"/>
          <w:bCs w:val="0"/>
          <w:sz w:val="23"/>
          <w:szCs w:val="23"/>
          <w:u w:val="single"/>
          <w:vertAlign w:val="baseline"/>
          <w:lang w:val="en-US" w:eastAsia="zh-CN"/>
        </w:rPr>
        <w:t>（采购项目名称）（采购项目编号）</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活动。代理人在本次投标、签约中所签署的一切文件和处理的一切有关事物，我公司均予承认。</w:t>
      </w:r>
    </w:p>
    <w:p w14:paraId="5303337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此授权书的有效期应与投标文件有效期一致。</w:t>
      </w:r>
    </w:p>
    <w:p w14:paraId="1777DE67">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附件：法定代表人身份证、被授权人身份证。</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B21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41C01CD3">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正面</w:t>
            </w:r>
          </w:p>
          <w:p w14:paraId="0F7F31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c>
          <w:tcPr>
            <w:tcW w:w="4261" w:type="dxa"/>
            <w:vAlign w:val="center"/>
          </w:tcPr>
          <w:p w14:paraId="6D95E562">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正面</w:t>
            </w:r>
          </w:p>
          <w:p w14:paraId="5737D9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r>
      <w:tr w14:paraId="0072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1CDFD2EF">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反面</w:t>
            </w:r>
          </w:p>
          <w:p w14:paraId="0C7D45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c>
          <w:tcPr>
            <w:tcW w:w="4261" w:type="dxa"/>
            <w:vAlign w:val="center"/>
          </w:tcPr>
          <w:p w14:paraId="5220C871">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反面</w:t>
            </w:r>
          </w:p>
          <w:p w14:paraId="53A92D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r>
    </w:tbl>
    <w:p w14:paraId="5E23A1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9CE25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A327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(加盖公章)     </w:t>
      </w:r>
    </w:p>
    <w:p w14:paraId="43A878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6E1907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5D07E7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B6826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F09D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D35C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95" w:name="四、联合体协议书"/>
      <w:bookmarkEnd w:id="95"/>
      <w:bookmarkStart w:id="96" w:name="_Toc19660_WPSOffice_Level2"/>
      <w:bookmarkStart w:id="97" w:name="_Toc7822_WPSOffice_Level2"/>
      <w:bookmarkStart w:id="98" w:name="_Toc3410_WPSOffice_Level2"/>
      <w:r>
        <w:rPr>
          <w:rFonts w:hint="eastAsia" w:ascii="宋体" w:hAnsi="宋体" w:cs="宋体"/>
          <w:b/>
          <w:bCs/>
          <w:sz w:val="28"/>
          <w:szCs w:val="28"/>
          <w:vertAlign w:val="baseline"/>
          <w:lang w:val="en-US" w:eastAsia="zh-CN"/>
        </w:rPr>
        <w:t>附件三：</w:t>
      </w:r>
      <w:bookmarkEnd w:id="96"/>
      <w:bookmarkEnd w:id="97"/>
      <w:bookmarkEnd w:id="98"/>
    </w:p>
    <w:p w14:paraId="6EC0C3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1B23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9" w:name="_Toc30308_WPSOffice_Level3"/>
      <w:r>
        <w:rPr>
          <w:rFonts w:hint="eastAsia" w:ascii="宋体" w:hAnsi="宋体" w:eastAsia="宋体" w:cs="宋体"/>
          <w:b/>
          <w:bCs/>
          <w:sz w:val="28"/>
          <w:szCs w:val="28"/>
          <w:vertAlign w:val="baseline"/>
          <w:lang w:val="en-US" w:eastAsia="zh-CN"/>
        </w:rPr>
        <w:t>书面声明函</w:t>
      </w:r>
      <w:bookmarkEnd w:id="99"/>
    </w:p>
    <w:p w14:paraId="015BAB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 xml:space="preserve">： </w:t>
      </w:r>
    </w:p>
    <w:p w14:paraId="39CA3B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我方作为</w:t>
      </w:r>
      <w:r>
        <w:rPr>
          <w:rFonts w:hint="eastAsia" w:ascii="宋体" w:hAnsi="宋体" w:cs="宋体"/>
          <w:b/>
          <w:bCs/>
          <w:sz w:val="23"/>
          <w:szCs w:val="23"/>
          <w:u w:val="single"/>
          <w:vertAlign w:val="baseline"/>
          <w:lang w:val="en-US" w:eastAsia="zh-CN"/>
        </w:rPr>
        <w:t>神木市麟州街道办事处麟州街道病媒生物防治服务</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）的投标供应商，在此郑重声明：</w:t>
      </w:r>
    </w:p>
    <w:p w14:paraId="1A4B0B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1、在参加政府采购活动前3年内的经营活动中</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（填“没有”或“有”）重大违法记录。供应商在参加政府采购活动前3年内因违法经营被禁止在一定期限内参加政府采购活动，期限届满的，可以参加政府采购活动，但应提供期限届满的证明材料。</w:t>
      </w:r>
    </w:p>
    <w:p w14:paraId="4553C9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（填“未被列入”或“被列入”）失信被执行人名单。</w:t>
      </w:r>
    </w:p>
    <w:p w14:paraId="4FBD86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名单</w:t>
      </w:r>
      <w:r>
        <w:rPr>
          <w:rFonts w:hint="eastAsia" w:ascii="宋体" w:hAnsi="宋体" w:cs="宋体"/>
          <w:b w:val="0"/>
          <w:bCs w:val="0"/>
          <w:sz w:val="23"/>
          <w:szCs w:val="23"/>
          <w:vertAlign w:val="baseline"/>
          <w:lang w:val="en-US" w:eastAsia="zh-CN"/>
        </w:rPr>
        <w:t>。</w:t>
      </w:r>
    </w:p>
    <w:p w14:paraId="10790B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（填“未被列入”或“被列入”）政府采购严重违法失信行为记录名单。</w:t>
      </w:r>
    </w:p>
    <w:p w14:paraId="27C13B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如有不实，我方将无条件地退出本项目的采购活动，并遵照《政府采购法》有关“提供虚假材料的规定”接受处罚。</w:t>
      </w:r>
    </w:p>
    <w:p w14:paraId="280270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特此声明。</w:t>
      </w:r>
    </w:p>
    <w:p w14:paraId="5B7205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9A51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5A5F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7D8C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0BDC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A3E2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2AC1C6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6DD2BF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B461E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31B9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8267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29C5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28BB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9700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100" w:name="_Toc25191_WPSOffice_Level2"/>
      <w:bookmarkStart w:id="101" w:name="_Toc24332_WPSOffice_Level2"/>
      <w:bookmarkStart w:id="102" w:name="_Toc28216_WPSOffice_Level2"/>
      <w:r>
        <w:rPr>
          <w:rFonts w:hint="eastAsia" w:ascii="宋体" w:hAnsi="宋体" w:cs="宋体"/>
          <w:b/>
          <w:bCs/>
          <w:sz w:val="28"/>
          <w:szCs w:val="28"/>
          <w:vertAlign w:val="baseline"/>
          <w:lang w:val="en-US" w:eastAsia="zh-CN"/>
        </w:rPr>
        <w:t>附件四：</w:t>
      </w:r>
      <w:bookmarkEnd w:id="100"/>
      <w:bookmarkEnd w:id="101"/>
      <w:bookmarkEnd w:id="102"/>
    </w:p>
    <w:p w14:paraId="5CBECB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61C5C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3" w:name="_Toc3410_WPSOffice_Level3"/>
      <w:r>
        <w:rPr>
          <w:rFonts w:hint="eastAsia" w:ascii="宋体" w:hAnsi="宋体" w:eastAsia="宋体" w:cs="宋体"/>
          <w:b/>
          <w:bCs/>
          <w:sz w:val="28"/>
          <w:szCs w:val="28"/>
          <w:vertAlign w:val="baseline"/>
          <w:lang w:val="en-US" w:eastAsia="zh-CN"/>
        </w:rPr>
        <w:t>榆林市政府采购工程类/货物类/服务类项目供应商信用承诺书</w:t>
      </w:r>
      <w:bookmarkEnd w:id="103"/>
    </w:p>
    <w:p w14:paraId="401913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市场主体名称：</w:t>
      </w:r>
    </w:p>
    <w:p w14:paraId="403894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证件类型：统一社会信用代码</w:t>
      </w:r>
    </w:p>
    <w:p w14:paraId="754EF8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证件号码：</w:t>
      </w:r>
    </w:p>
    <w:p w14:paraId="731E01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法人代表：</w:t>
      </w:r>
    </w:p>
    <w:p w14:paraId="28F77F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     年    月    日—    年    月    日</w:t>
      </w:r>
    </w:p>
    <w:p w14:paraId="5100FD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承诺内容：</w:t>
      </w:r>
    </w:p>
    <w:p w14:paraId="7543B8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为维护公开、公平、公正的政府采购市场秩序，树立诚实守信的政府采购供应商形象，本单位自愿做出以下承诺：</w:t>
      </w:r>
    </w:p>
    <w:p w14:paraId="47A711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一、承诺本单位严格遵守国家法律、法规和规章，全面履行应尽的责任和义务，全面做到履约守信，具备《政府采购法》第二十二条第一款规定的条件</w:t>
      </w:r>
      <w:r>
        <w:rPr>
          <w:rFonts w:hint="eastAsia" w:ascii="宋体" w:hAnsi="宋体" w:cs="宋体"/>
          <w:b w:val="0"/>
          <w:bCs w:val="0"/>
          <w:sz w:val="23"/>
          <w:szCs w:val="23"/>
          <w:vertAlign w:val="baseline"/>
          <w:lang w:val="en-US" w:eastAsia="zh-CN"/>
        </w:rPr>
        <w:t>；</w:t>
      </w:r>
    </w:p>
    <w:p w14:paraId="62C4F5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二、承诺本单位提供给注册登记部门、行业管理部门、司法部门、行业组织以及在政府采购活动中提交的所有资料均合法、真实、有效，无任何伪造、修改、虚假成份，并对所提供资料的真实性负责；</w:t>
      </w:r>
    </w:p>
    <w:p w14:paraId="7FDA3B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三、承诺本单位严格依法开展生产经营活动，主动接受行业监管，自愿接受依法开展的日常检查；违法失信经营后将自愿接受约束和惩戒，并依法承担相应责任；</w:t>
      </w:r>
    </w:p>
    <w:p w14:paraId="302B5D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四、承诺本单位自觉接受行政管理部门、行业组织、社会公众、新闻舆论的监督；</w:t>
      </w:r>
    </w:p>
    <w:p w14:paraId="3301BA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五、承诺本单位自我约束、自我管理，重合同、守信用，不制假售假、商标侵权、虚假宣传、违约毁约、恶意逃债、偷税漏税、价格欺诈、垄断和不正当竞争，维护经营者、消费者的合法权益；</w:t>
      </w:r>
    </w:p>
    <w:p w14:paraId="413EEC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六、承诺本单位提出政府采购质疑和投诉坚持依法依规、诚实信用原则，在全国范围12个月内没有三次以上查无实据的政府采购投诉；</w:t>
      </w:r>
    </w:p>
    <w:p w14:paraId="593CFD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七、根据政府采购相关法律法规的规定需要作出的其他诺：</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w:t>
      </w:r>
    </w:p>
    <w:p w14:paraId="6EE55F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F4C3F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C2B7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承诺单位(盖章)：</w:t>
      </w:r>
      <w:r>
        <w:rPr>
          <w:rFonts w:hint="eastAsia" w:ascii="宋体" w:hAnsi="宋体" w:cs="宋体"/>
          <w:b w:val="0"/>
          <w:bCs w:val="0"/>
          <w:sz w:val="23"/>
          <w:szCs w:val="23"/>
          <w:u w:val="single"/>
          <w:vertAlign w:val="baseline"/>
          <w:lang w:val="en-US" w:eastAsia="zh-CN"/>
        </w:rPr>
        <w:t xml:space="preserve">               </w:t>
      </w:r>
    </w:p>
    <w:p w14:paraId="366FFA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u w:val="single"/>
          <w:vertAlign w:val="baseline"/>
          <w:lang w:val="en-US" w:eastAsia="zh-CN"/>
        </w:rPr>
        <w:t xml:space="preserve">               </w:t>
      </w:r>
    </w:p>
    <w:p w14:paraId="7C09B6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法定代表人身份证号：</w:t>
      </w:r>
      <w:r>
        <w:rPr>
          <w:rFonts w:hint="eastAsia" w:ascii="宋体" w:hAnsi="宋体" w:cs="宋体"/>
          <w:b w:val="0"/>
          <w:bCs w:val="0"/>
          <w:sz w:val="23"/>
          <w:szCs w:val="23"/>
          <w:u w:val="single"/>
          <w:vertAlign w:val="baseline"/>
          <w:lang w:val="en-US" w:eastAsia="zh-CN"/>
        </w:rPr>
        <w:t xml:space="preserve">               </w:t>
      </w:r>
    </w:p>
    <w:p w14:paraId="70D3E9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7F9FCE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7806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2AB3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E75E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A559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0C8D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141C6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72D6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EA9AD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970F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DA42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60A5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58F9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BA29C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C6FE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357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3BFC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0ADE64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★后附信用中国（陕西榆林）“榆林市政府采购工程类/货物类/服务类项目供应商信用承诺书”公示情况截图，公示操作指南见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r>
        <w:rPr>
          <w:rFonts w:hint="eastAsia" w:ascii="宋体" w:hAnsi="宋体" w:cs="宋体"/>
          <w:b/>
          <w:bCs/>
          <w:sz w:val="23"/>
          <w:szCs w:val="23"/>
          <w:vertAlign w:val="baseline"/>
          <w:lang w:val="en-US" w:eastAsia="zh-CN"/>
        </w:rPr>
        <w:t>。</w:t>
      </w:r>
    </w:p>
    <w:p w14:paraId="03C379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w:t>
      </w:r>
      <w:r>
        <w:rPr>
          <w:rFonts w:hint="eastAsia" w:ascii="宋体" w:hAnsi="宋体" w:cs="宋体"/>
          <w:b/>
          <w:bCs/>
          <w:sz w:val="23"/>
          <w:szCs w:val="23"/>
          <w:vertAlign w:val="baseline"/>
          <w:lang w:val="en-US" w:eastAsia="zh-CN"/>
        </w:rPr>
        <w:t>。</w:t>
      </w:r>
    </w:p>
    <w:p w14:paraId="6ED187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4105C6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4" w:name="_Toc28216_WPSOffice_Level3"/>
    </w:p>
    <w:p w14:paraId="545535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8"/>
          <w:szCs w:val="28"/>
          <w:vertAlign w:val="baseline"/>
          <w:lang w:val="en-US" w:eastAsia="zh-CN"/>
        </w:rPr>
        <w:t>投标人委托代理人员信用承诺书</w:t>
      </w:r>
      <w:bookmarkEnd w:id="104"/>
    </w:p>
    <w:p w14:paraId="26114B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项目招投标活动中，我个人郑重作出以下信用承诺：</w:t>
      </w:r>
    </w:p>
    <w:p w14:paraId="391D6D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(一)能严格遵守法律法规、职业道德和行业规范，具有独立承担民事责任的能力；无法律法规规定禁止开展从业活动情形。我所递交的文件资料合法、真实、准确、完整、有效，无弄虚作假等情形。</w:t>
      </w:r>
    </w:p>
    <w:p w14:paraId="6B4A75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A661F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(三)自愿接受招投标监督部门和有关行政监督部门的依法检查。</w:t>
      </w:r>
    </w:p>
    <w:p w14:paraId="1EE44E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(四)同意将此信用承诺纳入陕西省公共信用信息平台和榆林市公共信用信息共享平台，并接受社会监督。</w:t>
      </w:r>
    </w:p>
    <w:p w14:paraId="62157B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6B3C1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437F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日 </w:t>
      </w:r>
    </w:p>
    <w:p w14:paraId="5320AE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p>
    <w:p w14:paraId="4163C2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承诺人 (签字) ：</w:t>
      </w:r>
      <w:r>
        <w:rPr>
          <w:rFonts w:hint="eastAsia" w:ascii="宋体" w:hAnsi="宋体" w:eastAsia="宋体" w:cs="宋体"/>
          <w:b w:val="0"/>
          <w:bCs w:val="0"/>
          <w:sz w:val="23"/>
          <w:szCs w:val="23"/>
          <w:u w:val="single"/>
          <w:vertAlign w:val="baseline"/>
          <w:lang w:val="en-US" w:eastAsia="zh-CN"/>
        </w:rPr>
        <w:t xml:space="preserve">                   </w:t>
      </w:r>
    </w:p>
    <w:p w14:paraId="3E43D7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151433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6697A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★后附信用中国（陕西榆林）“投标人委托代理人员信用承诺书”公示情况截图，公示操作指南见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r>
        <w:rPr>
          <w:rFonts w:hint="eastAsia" w:ascii="宋体" w:hAnsi="宋体" w:cs="宋体"/>
          <w:b/>
          <w:bCs/>
          <w:sz w:val="23"/>
          <w:szCs w:val="23"/>
          <w:vertAlign w:val="baseline"/>
          <w:lang w:val="en-US" w:eastAsia="zh-CN"/>
        </w:rPr>
        <w:t>。</w:t>
      </w:r>
    </w:p>
    <w:p w14:paraId="357F17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w:t>
      </w:r>
      <w:r>
        <w:rPr>
          <w:rFonts w:hint="eastAsia" w:ascii="宋体" w:hAnsi="宋体" w:cs="宋体"/>
          <w:b/>
          <w:bCs/>
          <w:sz w:val="23"/>
          <w:szCs w:val="23"/>
          <w:vertAlign w:val="baseline"/>
          <w:lang w:val="en-US" w:eastAsia="zh-CN"/>
        </w:rPr>
        <w:t>自然</w:t>
      </w:r>
      <w:r>
        <w:rPr>
          <w:rFonts w:hint="eastAsia" w:ascii="宋体" w:hAnsi="宋体" w:eastAsia="宋体" w:cs="宋体"/>
          <w:b/>
          <w:bCs/>
          <w:sz w:val="23"/>
          <w:szCs w:val="23"/>
          <w:vertAlign w:val="baseline"/>
          <w:lang w:val="en-US" w:eastAsia="zh-CN"/>
        </w:rPr>
        <w:t>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w:t>
      </w:r>
      <w:r>
        <w:rPr>
          <w:rFonts w:hint="eastAsia" w:ascii="宋体" w:hAnsi="宋体" w:cs="宋体"/>
          <w:b/>
          <w:bCs/>
          <w:sz w:val="23"/>
          <w:szCs w:val="23"/>
          <w:vertAlign w:val="baseline"/>
          <w:lang w:val="en-US" w:eastAsia="zh-CN"/>
        </w:rPr>
        <w:t>。</w:t>
      </w:r>
    </w:p>
    <w:p w14:paraId="7CA3E8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bookmarkStart w:id="105" w:name="_Toc8747_WPSOffice_Level2"/>
      <w:bookmarkStart w:id="106" w:name="_Toc27621_WPSOffice_Level2"/>
      <w:bookmarkStart w:id="107" w:name="_Toc6671_WPSOffice_Level2"/>
    </w:p>
    <w:p w14:paraId="2C05C2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附件五：</w:t>
      </w:r>
      <w:bookmarkEnd w:id="105"/>
      <w:bookmarkEnd w:id="106"/>
      <w:bookmarkEnd w:id="107"/>
    </w:p>
    <w:p w14:paraId="788D5EA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02FE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投标信用（保证金）承诺书</w:t>
      </w:r>
    </w:p>
    <w:p w14:paraId="11DBA0F1">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项目标段：</w:t>
      </w:r>
    </w:p>
    <w:p w14:paraId="6949FD19">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w:t>
      </w:r>
    </w:p>
    <w:p w14:paraId="3C066F0B">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统一社会信用代码：</w:t>
      </w:r>
    </w:p>
    <w:p w14:paraId="54AE7802">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法人代表：</w:t>
      </w:r>
    </w:p>
    <w:p w14:paraId="2B42D0C0">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在本项目标段招投标活动中，我公司（单位）自愿作出以下投标信用承诺：</w:t>
      </w:r>
    </w:p>
    <w:p w14:paraId="423F1BEA">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（一）能严格遵守法律法规、职业道德和行业规范。</w:t>
      </w:r>
    </w:p>
    <w:p w14:paraId="10FF52A0">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2ABA632">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0D684C3D">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p>
    <w:p w14:paraId="390DFE34">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 xml:space="preserve">法定代表人（签章）：             </w:t>
      </w: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（盖章）：</w:t>
      </w:r>
    </w:p>
    <w:p w14:paraId="631E37DB">
      <w:pPr>
        <w:keepNext w:val="0"/>
        <w:keepLines w:val="0"/>
        <w:pageBreakBefore w:val="0"/>
        <w:widowControl/>
        <w:kinsoku/>
        <w:wordWrap/>
        <w:overflowPunct/>
        <w:topLinePunct w:val="0"/>
        <w:autoSpaceDE/>
        <w:autoSpaceDN/>
        <w:bidi w:val="0"/>
        <w:adjustRightInd w:val="0"/>
        <w:snapToGrid w:val="0"/>
        <w:spacing w:line="360" w:lineRule="auto"/>
        <w:ind w:right="0" w:firstLine="4255" w:firstLineChars="1850"/>
        <w:textAlignment w:val="auto"/>
        <w:rPr>
          <w:rFonts w:hint="eastAsia" w:ascii="宋体" w:hAnsi="宋体" w:eastAsia="宋体" w:cs="宋体"/>
          <w:kern w:val="0"/>
          <w:sz w:val="23"/>
          <w:szCs w:val="23"/>
        </w:rPr>
      </w:pPr>
      <w:r>
        <w:rPr>
          <w:rFonts w:hint="eastAsia" w:ascii="宋体" w:hAnsi="宋体" w:eastAsia="宋体" w:cs="宋体"/>
          <w:kern w:val="0"/>
          <w:sz w:val="23"/>
          <w:szCs w:val="23"/>
        </w:rPr>
        <w:t>承诺时间：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月</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日</w:t>
      </w:r>
    </w:p>
    <w:p w14:paraId="0A7DCE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2834A5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2" w:firstLineChars="200"/>
        <w:textAlignment w:val="baseline"/>
        <w:rPr>
          <w:rFonts w:hint="eastAsia" w:ascii="宋体" w:hAnsi="宋体" w:eastAsia="宋体" w:cs="宋体"/>
          <w:sz w:val="23"/>
          <w:szCs w:val="23"/>
        </w:rPr>
      </w:pPr>
      <w:r>
        <w:rPr>
          <w:rFonts w:hint="eastAsia" w:ascii="宋体" w:hAnsi="宋体" w:eastAsia="宋体" w:cs="宋体"/>
          <w:b/>
          <w:bCs/>
          <w:sz w:val="23"/>
          <w:szCs w:val="23"/>
          <w:lang w:eastAsia="zh-CN"/>
        </w:rPr>
        <w:t>★</w:t>
      </w:r>
      <w:r>
        <w:rPr>
          <w:rFonts w:hint="eastAsia" w:ascii="宋体" w:hAnsi="宋体" w:eastAsia="宋体" w:cs="宋体"/>
          <w:b/>
          <w:kern w:val="0"/>
          <w:sz w:val="23"/>
          <w:szCs w:val="23"/>
        </w:rPr>
        <w:t>本承诺书效力和作用等同投标保证金，</w:t>
      </w:r>
      <w:r>
        <w:rPr>
          <w:rFonts w:hint="eastAsia" w:ascii="宋体" w:hAnsi="宋体" w:eastAsia="宋体" w:cs="宋体"/>
          <w:b/>
          <w:kern w:val="0"/>
          <w:sz w:val="23"/>
          <w:szCs w:val="23"/>
          <w:lang w:val="en-US" w:eastAsia="zh-CN"/>
        </w:rPr>
        <w:t>有效期与投标有效期一致</w:t>
      </w:r>
      <w:r>
        <w:rPr>
          <w:rFonts w:hint="eastAsia" w:ascii="宋体" w:hAnsi="宋体" w:eastAsia="宋体" w:cs="宋体"/>
          <w:b/>
          <w:kern w:val="0"/>
          <w:sz w:val="23"/>
          <w:szCs w:val="23"/>
        </w:rPr>
        <w:t>。</w:t>
      </w:r>
    </w:p>
    <w:p w14:paraId="292DD5E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lang w:eastAsia="zh-CN"/>
        </w:rPr>
        <w:t>★</w:t>
      </w:r>
      <w:r>
        <w:rPr>
          <w:rFonts w:hint="eastAsia" w:ascii="宋体" w:hAnsi="宋体" w:eastAsia="宋体" w:cs="宋体"/>
          <w:b/>
          <w:bCs/>
          <w:color w:val="auto"/>
          <w:kern w:val="2"/>
          <w:sz w:val="23"/>
          <w:szCs w:val="23"/>
          <w:u w:val="none"/>
          <w:lang w:val="en-US" w:eastAsia="zh-CN"/>
        </w:rPr>
        <w:t>后附“信用中国（陕西榆林）”投标信用承诺公示情况截图，</w:t>
      </w:r>
      <w:r>
        <w:rPr>
          <w:rFonts w:hint="eastAsia" w:ascii="宋体" w:hAnsi="宋体" w:eastAsia="宋体" w:cs="宋体"/>
          <w:b/>
          <w:bCs/>
          <w:sz w:val="23"/>
          <w:szCs w:val="23"/>
          <w:vertAlign w:val="baseline"/>
          <w:lang w:val="en-US" w:eastAsia="zh-CN"/>
        </w:rPr>
        <w:t>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p>
    <w:p w14:paraId="1FA91F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w:t>
      </w:r>
    </w:p>
    <w:p w14:paraId="4AB153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11AF46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bCs/>
          <w:sz w:val="28"/>
          <w:szCs w:val="28"/>
          <w:vertAlign w:val="baseline"/>
          <w:lang w:val="en-US" w:eastAsia="zh-CN"/>
        </w:rPr>
        <w:t>附件六：</w:t>
      </w:r>
    </w:p>
    <w:p w14:paraId="66098F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0789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8" w:name="_Toc15185_WPSOffice_Level3"/>
      <w:r>
        <w:rPr>
          <w:rFonts w:hint="eastAsia" w:ascii="宋体" w:hAnsi="宋体" w:eastAsia="宋体" w:cs="宋体"/>
          <w:b/>
          <w:bCs/>
          <w:sz w:val="28"/>
          <w:szCs w:val="28"/>
          <w:vertAlign w:val="baseline"/>
          <w:lang w:val="en-US" w:eastAsia="zh-CN"/>
        </w:rPr>
        <w:t>非联合体</w:t>
      </w:r>
      <w:r>
        <w:rPr>
          <w:rFonts w:hint="eastAsia" w:ascii="宋体" w:hAnsi="宋体" w:cs="宋体"/>
          <w:b/>
          <w:bCs/>
          <w:sz w:val="28"/>
          <w:szCs w:val="28"/>
          <w:vertAlign w:val="baseline"/>
          <w:lang w:val="en-US" w:eastAsia="zh-CN"/>
        </w:rPr>
        <w:t>、</w:t>
      </w:r>
      <w:r>
        <w:rPr>
          <w:rFonts w:hint="eastAsia" w:ascii="宋体" w:hAnsi="宋体" w:eastAsia="宋体" w:cs="宋体"/>
          <w:b/>
          <w:bCs/>
          <w:sz w:val="28"/>
          <w:szCs w:val="28"/>
          <w:vertAlign w:val="baseline"/>
          <w:lang w:val="en-US" w:eastAsia="zh-CN"/>
        </w:rPr>
        <w:t>不分包投标声明</w:t>
      </w:r>
      <w:bookmarkEnd w:id="108"/>
    </w:p>
    <w:p w14:paraId="58ECE78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7EA0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本单位郑重声明，参加</w:t>
      </w:r>
      <w:r>
        <w:rPr>
          <w:rFonts w:hint="eastAsia" w:ascii="宋体" w:hAnsi="宋体" w:cs="宋体"/>
          <w:b/>
          <w:bCs/>
          <w:sz w:val="23"/>
          <w:szCs w:val="23"/>
          <w:u w:val="single"/>
          <w:vertAlign w:val="baseline"/>
          <w:lang w:val="en-US" w:eastAsia="zh-CN"/>
        </w:rPr>
        <w:t>神木市麟州街道办事处</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）采购活动，为非联合体投标，本项目实施过程由本单位独立承担。 </w:t>
      </w:r>
    </w:p>
    <w:p w14:paraId="54A8CD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738556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D2D0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E85C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B36C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00F5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08EE82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firstLine="4140" w:firstLineChars="18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47A801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40F29F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15F39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1A90C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325E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47894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771C2A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D3C0C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72E03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3A0CE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1EE04F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69564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1D319D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BCDC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520BF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CA97F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4326BEFC">
      <w:pPr>
        <w:pStyle w:val="3"/>
        <w:bidi w:val="0"/>
        <w:rPr>
          <w:rFonts w:hint="eastAsia" w:ascii="宋体" w:hAnsi="宋体" w:eastAsia="宋体" w:cs="宋体"/>
          <w:b w:val="0"/>
          <w:bCs w:val="0"/>
          <w:szCs w:val="23"/>
          <w:vertAlign w:val="baseline"/>
          <w:lang w:val="en-US" w:eastAsia="zh-CN"/>
        </w:rPr>
      </w:pPr>
      <w:bookmarkStart w:id="109" w:name="_Toc9156"/>
      <w:bookmarkStart w:id="110" w:name="_Toc29768_WPSOffice_Level1"/>
      <w:bookmarkStart w:id="111" w:name="_Toc13450_WPSOffice_Level1"/>
      <w:r>
        <w:rPr>
          <w:rFonts w:hint="eastAsia"/>
          <w:lang w:val="en-US" w:eastAsia="zh-CN"/>
        </w:rPr>
        <w:t>第四部分 供应商概况</w:t>
      </w:r>
      <w:bookmarkEnd w:id="109"/>
      <w:bookmarkEnd w:id="110"/>
      <w:bookmarkEnd w:id="111"/>
    </w:p>
    <w:p w14:paraId="75FCFA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vertAlign w:val="baseline"/>
          <w:lang w:val="en-US" w:eastAsia="zh-CN"/>
        </w:rPr>
      </w:pPr>
      <w:bookmarkStart w:id="112" w:name="_Toc9133_WPSOffice_Level2"/>
      <w:bookmarkStart w:id="113" w:name="_Toc23332_WPSOffice_Level2"/>
      <w:bookmarkStart w:id="114" w:name="_Toc6697_WPSOffice_Level2"/>
      <w:r>
        <w:rPr>
          <w:rFonts w:hint="eastAsia" w:ascii="宋体" w:hAnsi="宋体" w:eastAsia="宋体" w:cs="宋体"/>
          <w:b/>
          <w:bCs/>
          <w:sz w:val="28"/>
          <w:szCs w:val="28"/>
          <w:vertAlign w:val="baseline"/>
          <w:lang w:val="en-US" w:eastAsia="zh-CN"/>
        </w:rPr>
        <w:t>一、</w:t>
      </w:r>
      <w:r>
        <w:rPr>
          <w:rFonts w:hint="eastAsia" w:ascii="宋体" w:hAnsi="宋体" w:cs="宋体"/>
          <w:b/>
          <w:bCs/>
          <w:sz w:val="28"/>
          <w:szCs w:val="28"/>
          <w:vertAlign w:val="baseline"/>
          <w:lang w:val="en-US" w:eastAsia="zh-CN"/>
        </w:rPr>
        <w:t>供应商</w:t>
      </w:r>
      <w:r>
        <w:rPr>
          <w:rFonts w:hint="eastAsia" w:ascii="宋体" w:hAnsi="宋体" w:eastAsia="宋体" w:cs="宋体"/>
          <w:b/>
          <w:bCs/>
          <w:sz w:val="28"/>
          <w:szCs w:val="28"/>
          <w:vertAlign w:val="baseline"/>
          <w:lang w:val="en-US" w:eastAsia="zh-CN"/>
        </w:rPr>
        <w:t>基本信息</w:t>
      </w:r>
      <w:bookmarkEnd w:id="112"/>
      <w:bookmarkEnd w:id="113"/>
      <w:bookmarkEnd w:id="114"/>
    </w:p>
    <w:tbl>
      <w:tblPr>
        <w:tblStyle w:val="34"/>
        <w:tblW w:w="91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2265"/>
        <w:gridCol w:w="786"/>
        <w:gridCol w:w="1357"/>
        <w:gridCol w:w="1607"/>
        <w:gridCol w:w="1840"/>
        <w:gridCol w:w="1328"/>
      </w:tblGrid>
      <w:tr w14:paraId="0DCDC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6" w:hRule="atLeast"/>
          <w:jc w:val="center"/>
        </w:trPr>
        <w:tc>
          <w:tcPr>
            <w:tcW w:w="9183" w:type="dxa"/>
            <w:gridSpan w:val="6"/>
            <w:tcBorders>
              <w:left w:val="single" w:color="000000" w:sz="10" w:space="0"/>
              <w:right w:val="single" w:color="000000" w:sz="10" w:space="0"/>
            </w:tcBorders>
            <w:shd w:val="clear" w:color="auto" w:fill="auto"/>
            <w:vAlign w:val="center"/>
          </w:tcPr>
          <w:p w14:paraId="6645DF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单位基本情况</w:t>
            </w:r>
          </w:p>
        </w:tc>
      </w:tr>
      <w:tr w14:paraId="3BA96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06E538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lang w:eastAsia="zh-CN"/>
              </w:rPr>
              <w:t>供应商</w:t>
            </w:r>
            <w:r>
              <w:rPr>
                <w:rFonts w:hint="eastAsia" w:ascii="宋体" w:hAnsi="宋体" w:eastAsia="宋体" w:cs="宋体"/>
                <w:spacing w:val="7"/>
                <w:sz w:val="23"/>
                <w:szCs w:val="23"/>
              </w:rPr>
              <w:t>全称</w:t>
            </w:r>
          </w:p>
        </w:tc>
        <w:tc>
          <w:tcPr>
            <w:tcW w:w="6918" w:type="dxa"/>
            <w:gridSpan w:val="5"/>
            <w:tcBorders>
              <w:left w:val="single" w:color="000000" w:sz="4" w:space="0"/>
              <w:right w:val="single" w:color="000000" w:sz="10" w:space="0"/>
            </w:tcBorders>
            <w:shd w:val="clear" w:color="auto" w:fill="auto"/>
            <w:vAlign w:val="center"/>
          </w:tcPr>
          <w:p w14:paraId="249206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3204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5315E1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注</w:t>
            </w:r>
            <w:r>
              <w:rPr>
                <w:rFonts w:hint="eastAsia" w:ascii="宋体" w:hAnsi="宋体" w:eastAsia="宋体" w:cs="宋体"/>
                <w:spacing w:val="7"/>
                <w:sz w:val="23"/>
                <w:szCs w:val="23"/>
              </w:rPr>
              <w:t>册地址</w:t>
            </w:r>
          </w:p>
        </w:tc>
        <w:tc>
          <w:tcPr>
            <w:tcW w:w="2143" w:type="dxa"/>
            <w:gridSpan w:val="2"/>
            <w:tcBorders>
              <w:left w:val="single" w:color="000000" w:sz="4" w:space="0"/>
              <w:right w:val="single" w:color="000000" w:sz="4" w:space="0"/>
            </w:tcBorders>
            <w:shd w:val="clear" w:color="auto" w:fill="auto"/>
            <w:vAlign w:val="center"/>
          </w:tcPr>
          <w:p w14:paraId="7B3F4E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21419D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成立时间</w:t>
            </w:r>
          </w:p>
        </w:tc>
        <w:tc>
          <w:tcPr>
            <w:tcW w:w="3168" w:type="dxa"/>
            <w:gridSpan w:val="2"/>
            <w:tcBorders>
              <w:left w:val="single" w:color="000000" w:sz="4" w:space="0"/>
              <w:right w:val="single" w:color="000000" w:sz="10" w:space="0"/>
            </w:tcBorders>
            <w:shd w:val="clear" w:color="auto" w:fill="auto"/>
            <w:vAlign w:val="center"/>
          </w:tcPr>
          <w:p w14:paraId="437AFD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E7D6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144EB0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登</w:t>
            </w:r>
            <w:r>
              <w:rPr>
                <w:rFonts w:hint="eastAsia" w:ascii="宋体" w:hAnsi="宋体" w:eastAsia="宋体" w:cs="宋体"/>
                <w:spacing w:val="6"/>
                <w:sz w:val="23"/>
                <w:szCs w:val="23"/>
              </w:rPr>
              <w:t>记证号</w:t>
            </w:r>
          </w:p>
        </w:tc>
        <w:tc>
          <w:tcPr>
            <w:tcW w:w="2143" w:type="dxa"/>
            <w:gridSpan w:val="2"/>
            <w:tcBorders>
              <w:left w:val="single" w:color="000000" w:sz="4" w:space="0"/>
              <w:right w:val="single" w:color="000000" w:sz="4" w:space="0"/>
            </w:tcBorders>
            <w:shd w:val="clear" w:color="auto" w:fill="auto"/>
            <w:vAlign w:val="center"/>
          </w:tcPr>
          <w:p w14:paraId="1038EF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342DEA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单位性质</w:t>
            </w:r>
          </w:p>
        </w:tc>
        <w:tc>
          <w:tcPr>
            <w:tcW w:w="3168" w:type="dxa"/>
            <w:gridSpan w:val="2"/>
            <w:tcBorders>
              <w:left w:val="single" w:color="000000" w:sz="4" w:space="0"/>
              <w:right w:val="single" w:color="000000" w:sz="10" w:space="0"/>
            </w:tcBorders>
            <w:shd w:val="clear" w:color="auto" w:fill="auto"/>
            <w:vAlign w:val="center"/>
          </w:tcPr>
          <w:p w14:paraId="41D109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3C0A5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49" w:hRule="atLeast"/>
          <w:jc w:val="center"/>
        </w:trPr>
        <w:tc>
          <w:tcPr>
            <w:tcW w:w="2265" w:type="dxa"/>
            <w:tcBorders>
              <w:left w:val="single" w:color="000000" w:sz="10" w:space="0"/>
              <w:right w:val="single" w:color="000000" w:sz="4" w:space="0"/>
            </w:tcBorders>
            <w:shd w:val="clear" w:color="auto" w:fill="auto"/>
            <w:vAlign w:val="center"/>
          </w:tcPr>
          <w:p w14:paraId="7EC469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41"/>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法定代表</w:t>
            </w:r>
            <w:r>
              <w:rPr>
                <w:rFonts w:hint="eastAsia" w:ascii="宋体" w:hAnsi="宋体" w:eastAsia="宋体" w:cs="宋体"/>
                <w:spacing w:val="7"/>
                <w:sz w:val="23"/>
                <w:szCs w:val="23"/>
              </w:rPr>
              <w:t>人</w:t>
            </w:r>
          </w:p>
        </w:tc>
        <w:tc>
          <w:tcPr>
            <w:tcW w:w="2143" w:type="dxa"/>
            <w:gridSpan w:val="2"/>
            <w:tcBorders>
              <w:left w:val="single" w:color="000000" w:sz="4" w:space="0"/>
              <w:right w:val="single" w:color="000000" w:sz="4" w:space="0"/>
            </w:tcBorders>
            <w:shd w:val="clear" w:color="auto" w:fill="auto"/>
            <w:vAlign w:val="center"/>
          </w:tcPr>
          <w:p w14:paraId="60B91F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64BE42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所</w:t>
            </w:r>
            <w:r>
              <w:rPr>
                <w:rFonts w:hint="eastAsia" w:ascii="宋体" w:hAnsi="宋体" w:eastAsia="宋体" w:cs="宋体"/>
                <w:spacing w:val="7"/>
                <w:sz w:val="23"/>
                <w:szCs w:val="23"/>
              </w:rPr>
              <w:t>属行业</w:t>
            </w:r>
          </w:p>
        </w:tc>
        <w:tc>
          <w:tcPr>
            <w:tcW w:w="3168" w:type="dxa"/>
            <w:gridSpan w:val="2"/>
            <w:tcBorders>
              <w:left w:val="single" w:color="000000" w:sz="4" w:space="0"/>
              <w:right w:val="single" w:color="000000" w:sz="10" w:space="0"/>
            </w:tcBorders>
            <w:shd w:val="clear" w:color="auto" w:fill="auto"/>
            <w:vAlign w:val="center"/>
          </w:tcPr>
          <w:p w14:paraId="1FC42C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D86C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50" w:hRule="atLeast"/>
          <w:jc w:val="center"/>
        </w:trPr>
        <w:tc>
          <w:tcPr>
            <w:tcW w:w="2265" w:type="dxa"/>
            <w:tcBorders>
              <w:left w:val="single" w:color="000000" w:sz="10" w:space="0"/>
              <w:right w:val="single" w:color="000000" w:sz="4" w:space="0"/>
            </w:tcBorders>
            <w:shd w:val="clear" w:color="auto" w:fill="auto"/>
            <w:vAlign w:val="center"/>
          </w:tcPr>
          <w:p w14:paraId="63D9BC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0"/>
                <w:position w:val="0"/>
                <w:sz w:val="23"/>
                <w:szCs w:val="23"/>
              </w:rPr>
              <w:t>上年度营业收入</w:t>
            </w:r>
          </w:p>
        </w:tc>
        <w:tc>
          <w:tcPr>
            <w:tcW w:w="2143" w:type="dxa"/>
            <w:gridSpan w:val="2"/>
            <w:tcBorders>
              <w:left w:val="single" w:color="000000" w:sz="4" w:space="0"/>
              <w:right w:val="single" w:color="000000" w:sz="4" w:space="0"/>
            </w:tcBorders>
            <w:shd w:val="clear" w:color="auto" w:fill="auto"/>
            <w:vAlign w:val="center"/>
          </w:tcPr>
          <w:p w14:paraId="6588F9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309D58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5"/>
                <w:sz w:val="23"/>
                <w:szCs w:val="23"/>
              </w:rPr>
              <w:t>资产总额</w:t>
            </w:r>
          </w:p>
        </w:tc>
        <w:tc>
          <w:tcPr>
            <w:tcW w:w="3168" w:type="dxa"/>
            <w:gridSpan w:val="2"/>
            <w:tcBorders>
              <w:left w:val="single" w:color="000000" w:sz="4" w:space="0"/>
              <w:right w:val="single" w:color="000000" w:sz="10" w:space="0"/>
            </w:tcBorders>
            <w:shd w:val="clear" w:color="auto" w:fill="auto"/>
            <w:vAlign w:val="center"/>
          </w:tcPr>
          <w:p w14:paraId="384E00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49A4A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208" w:hRule="atLeast"/>
          <w:jc w:val="center"/>
        </w:trPr>
        <w:tc>
          <w:tcPr>
            <w:tcW w:w="2265" w:type="dxa"/>
            <w:tcBorders>
              <w:left w:val="single" w:color="000000" w:sz="10" w:space="0"/>
              <w:right w:val="single" w:color="000000" w:sz="4" w:space="0"/>
            </w:tcBorders>
            <w:shd w:val="clear" w:color="auto" w:fill="auto"/>
            <w:vAlign w:val="center"/>
          </w:tcPr>
          <w:p w14:paraId="3DA3E5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14"/>
                <w:sz w:val="23"/>
                <w:szCs w:val="23"/>
              </w:rPr>
              <w:t>所</w:t>
            </w:r>
            <w:r>
              <w:rPr>
                <w:rFonts w:hint="eastAsia" w:ascii="宋体" w:hAnsi="宋体" w:eastAsia="宋体" w:cs="宋体"/>
                <w:spacing w:val="13"/>
                <w:sz w:val="23"/>
                <w:szCs w:val="23"/>
              </w:rPr>
              <w:t>获得资质及</w:t>
            </w:r>
            <w:r>
              <w:rPr>
                <w:rFonts w:hint="eastAsia" w:ascii="宋体" w:hAnsi="宋体" w:eastAsia="宋体" w:cs="宋体"/>
                <w:spacing w:val="14"/>
                <w:sz w:val="23"/>
                <w:szCs w:val="23"/>
              </w:rPr>
              <w:t>等</w:t>
            </w:r>
            <w:r>
              <w:rPr>
                <w:rFonts w:hint="eastAsia" w:ascii="宋体" w:hAnsi="宋体" w:eastAsia="宋体" w:cs="宋体"/>
                <w:spacing w:val="11"/>
                <w:sz w:val="23"/>
                <w:szCs w:val="23"/>
              </w:rPr>
              <w:t>级 (国家行政</w:t>
            </w:r>
            <w:r>
              <w:rPr>
                <w:rFonts w:hint="eastAsia" w:ascii="宋体" w:hAnsi="宋体" w:eastAsia="宋体" w:cs="宋体"/>
                <w:spacing w:val="7"/>
                <w:sz w:val="23"/>
                <w:szCs w:val="23"/>
              </w:rPr>
              <w:t>部门颁发)</w:t>
            </w:r>
          </w:p>
        </w:tc>
        <w:tc>
          <w:tcPr>
            <w:tcW w:w="6918" w:type="dxa"/>
            <w:gridSpan w:val="5"/>
            <w:tcBorders>
              <w:left w:val="single" w:color="000000" w:sz="4" w:space="0"/>
              <w:right w:val="single" w:color="000000" w:sz="10" w:space="0"/>
            </w:tcBorders>
            <w:shd w:val="clear" w:color="auto" w:fill="auto"/>
            <w:vAlign w:val="center"/>
          </w:tcPr>
          <w:p w14:paraId="6A9F55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25877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160" w:hRule="atLeast"/>
          <w:jc w:val="center"/>
        </w:trPr>
        <w:tc>
          <w:tcPr>
            <w:tcW w:w="2265" w:type="dxa"/>
            <w:tcBorders>
              <w:left w:val="single" w:color="000000" w:sz="10" w:space="0"/>
              <w:right w:val="single" w:color="000000" w:sz="4" w:space="0"/>
            </w:tcBorders>
            <w:shd w:val="clear" w:color="auto" w:fill="auto"/>
            <w:vAlign w:val="center"/>
          </w:tcPr>
          <w:p w14:paraId="62640E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经营范围</w:t>
            </w:r>
          </w:p>
        </w:tc>
        <w:tc>
          <w:tcPr>
            <w:tcW w:w="6918" w:type="dxa"/>
            <w:gridSpan w:val="5"/>
            <w:tcBorders>
              <w:left w:val="single" w:color="000000" w:sz="4" w:space="0"/>
              <w:right w:val="single" w:color="000000" w:sz="10" w:space="0"/>
            </w:tcBorders>
            <w:shd w:val="clear" w:color="auto" w:fill="auto"/>
            <w:vAlign w:val="center"/>
          </w:tcPr>
          <w:p w14:paraId="50566B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F4E2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4" w:hRule="atLeast"/>
          <w:jc w:val="center"/>
        </w:trPr>
        <w:tc>
          <w:tcPr>
            <w:tcW w:w="9183" w:type="dxa"/>
            <w:gridSpan w:val="6"/>
            <w:tcBorders>
              <w:left w:val="single" w:color="000000" w:sz="10" w:space="0"/>
              <w:right w:val="single" w:color="000000" w:sz="10" w:space="0"/>
            </w:tcBorders>
            <w:shd w:val="clear" w:color="auto" w:fill="auto"/>
            <w:vAlign w:val="center"/>
          </w:tcPr>
          <w:p w14:paraId="7DF077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人员情况</w:t>
            </w:r>
          </w:p>
        </w:tc>
      </w:tr>
      <w:tr w14:paraId="35511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49" w:hRule="atLeast"/>
          <w:jc w:val="center"/>
        </w:trPr>
        <w:tc>
          <w:tcPr>
            <w:tcW w:w="2265" w:type="dxa"/>
            <w:vMerge w:val="restart"/>
            <w:tcBorders>
              <w:left w:val="single" w:color="000000" w:sz="10" w:space="0"/>
              <w:bottom w:val="nil"/>
              <w:right w:val="single" w:color="000000" w:sz="4" w:space="0"/>
            </w:tcBorders>
            <w:shd w:val="clear" w:color="auto" w:fill="auto"/>
            <w:vAlign w:val="center"/>
          </w:tcPr>
          <w:p w14:paraId="2ACA5E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从业人员总</w:t>
            </w:r>
            <w:r>
              <w:rPr>
                <w:rFonts w:hint="eastAsia" w:ascii="宋体" w:hAnsi="宋体" w:eastAsia="宋体" w:cs="宋体"/>
                <w:spacing w:val="7"/>
                <w:sz w:val="23"/>
                <w:szCs w:val="23"/>
              </w:rPr>
              <w:t>数</w:t>
            </w:r>
          </w:p>
        </w:tc>
        <w:tc>
          <w:tcPr>
            <w:tcW w:w="786" w:type="dxa"/>
            <w:vMerge w:val="restart"/>
            <w:tcBorders>
              <w:left w:val="single" w:color="000000" w:sz="4" w:space="0"/>
              <w:bottom w:val="nil"/>
              <w:right w:val="single" w:color="000000" w:sz="4" w:space="0"/>
            </w:tcBorders>
            <w:shd w:val="clear" w:color="auto" w:fill="auto"/>
            <w:vAlign w:val="center"/>
          </w:tcPr>
          <w:p w14:paraId="543827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60D89E5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6"/>
                <w:sz w:val="23"/>
                <w:szCs w:val="23"/>
              </w:rPr>
              <w:t>管理人员</w:t>
            </w:r>
            <w:r>
              <w:rPr>
                <w:rFonts w:hint="eastAsia" w:ascii="宋体" w:hAnsi="宋体" w:eastAsia="宋体" w:cs="宋体"/>
                <w:spacing w:val="4"/>
                <w:sz w:val="23"/>
                <w:szCs w:val="23"/>
              </w:rPr>
              <w:t>数量</w:t>
            </w:r>
          </w:p>
        </w:tc>
        <w:tc>
          <w:tcPr>
            <w:tcW w:w="1607" w:type="dxa"/>
            <w:tcBorders>
              <w:left w:val="single" w:color="000000" w:sz="4" w:space="0"/>
              <w:right w:val="single" w:color="000000" w:sz="4" w:space="0"/>
            </w:tcBorders>
            <w:shd w:val="clear" w:color="auto" w:fill="auto"/>
            <w:vAlign w:val="center"/>
          </w:tcPr>
          <w:p w14:paraId="01E47E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3D084D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专业技术</w:t>
            </w:r>
            <w:r>
              <w:rPr>
                <w:rFonts w:hint="eastAsia" w:ascii="宋体" w:hAnsi="宋体" w:eastAsia="宋体" w:cs="宋体"/>
                <w:spacing w:val="7"/>
                <w:sz w:val="23"/>
                <w:szCs w:val="23"/>
              </w:rPr>
              <w:t>人</w:t>
            </w:r>
            <w:r>
              <w:rPr>
                <w:rFonts w:hint="eastAsia" w:ascii="宋体" w:hAnsi="宋体" w:eastAsia="宋体" w:cs="宋体"/>
                <w:spacing w:val="5"/>
                <w:sz w:val="23"/>
                <w:szCs w:val="23"/>
              </w:rPr>
              <w:t>员</w:t>
            </w:r>
            <w:r>
              <w:rPr>
                <w:rFonts w:hint="eastAsia" w:ascii="宋体" w:hAnsi="宋体" w:eastAsia="宋体" w:cs="宋体"/>
                <w:spacing w:val="3"/>
                <w:sz w:val="23"/>
                <w:szCs w:val="23"/>
              </w:rPr>
              <w:t>数量</w:t>
            </w:r>
          </w:p>
        </w:tc>
        <w:tc>
          <w:tcPr>
            <w:tcW w:w="1328" w:type="dxa"/>
            <w:tcBorders>
              <w:left w:val="single" w:color="000000" w:sz="4" w:space="0"/>
              <w:right w:val="single" w:color="000000" w:sz="10" w:space="0"/>
            </w:tcBorders>
            <w:shd w:val="clear" w:color="auto" w:fill="auto"/>
            <w:vAlign w:val="center"/>
          </w:tcPr>
          <w:p w14:paraId="3D492F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D0BF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50" w:hRule="atLeast"/>
          <w:jc w:val="center"/>
        </w:trPr>
        <w:tc>
          <w:tcPr>
            <w:tcW w:w="2265" w:type="dxa"/>
            <w:vMerge w:val="continue"/>
            <w:tcBorders>
              <w:top w:val="nil"/>
              <w:left w:val="single" w:color="000000" w:sz="10" w:space="0"/>
              <w:right w:val="single" w:color="000000" w:sz="4" w:space="0"/>
            </w:tcBorders>
            <w:shd w:val="clear" w:color="auto" w:fill="auto"/>
            <w:vAlign w:val="center"/>
          </w:tcPr>
          <w:p w14:paraId="30F00E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786" w:type="dxa"/>
            <w:vMerge w:val="continue"/>
            <w:tcBorders>
              <w:top w:val="nil"/>
              <w:left w:val="single" w:color="000000" w:sz="4" w:space="0"/>
              <w:right w:val="single" w:color="000000" w:sz="4" w:space="0"/>
            </w:tcBorders>
            <w:shd w:val="clear" w:color="auto" w:fill="auto"/>
            <w:vAlign w:val="center"/>
          </w:tcPr>
          <w:p w14:paraId="19FEF4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2A514D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残疾人人数</w:t>
            </w:r>
          </w:p>
        </w:tc>
        <w:tc>
          <w:tcPr>
            <w:tcW w:w="1607" w:type="dxa"/>
            <w:tcBorders>
              <w:left w:val="single" w:color="000000" w:sz="4" w:space="0"/>
              <w:right w:val="single" w:color="000000" w:sz="4" w:space="0"/>
            </w:tcBorders>
            <w:shd w:val="clear" w:color="auto" w:fill="auto"/>
            <w:vAlign w:val="center"/>
          </w:tcPr>
          <w:p w14:paraId="1C1EDE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4085302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少</w:t>
            </w:r>
            <w:r>
              <w:rPr>
                <w:rFonts w:hint="eastAsia" w:ascii="宋体" w:hAnsi="宋体" w:eastAsia="宋体" w:cs="宋体"/>
                <w:spacing w:val="7"/>
                <w:sz w:val="23"/>
                <w:szCs w:val="23"/>
              </w:rPr>
              <w:t>数民族</w:t>
            </w:r>
            <w:r>
              <w:rPr>
                <w:rFonts w:hint="eastAsia" w:ascii="宋体" w:hAnsi="宋体" w:eastAsia="宋体" w:cs="宋体"/>
                <w:spacing w:val="4"/>
                <w:sz w:val="23"/>
                <w:szCs w:val="23"/>
              </w:rPr>
              <w:t>人数</w:t>
            </w:r>
          </w:p>
        </w:tc>
        <w:tc>
          <w:tcPr>
            <w:tcW w:w="1328" w:type="dxa"/>
            <w:tcBorders>
              <w:left w:val="single" w:color="000000" w:sz="4" w:space="0"/>
              <w:right w:val="single" w:color="000000" w:sz="10" w:space="0"/>
            </w:tcBorders>
            <w:shd w:val="clear" w:color="auto" w:fill="auto"/>
            <w:vAlign w:val="center"/>
          </w:tcPr>
          <w:p w14:paraId="37DD21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CB7C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9183" w:type="dxa"/>
            <w:gridSpan w:val="6"/>
            <w:tcBorders>
              <w:left w:val="single" w:color="000000" w:sz="10" w:space="0"/>
              <w:right w:val="single" w:color="000000" w:sz="10" w:space="0"/>
            </w:tcBorders>
            <w:shd w:val="clear" w:color="auto" w:fill="auto"/>
            <w:vAlign w:val="center"/>
          </w:tcPr>
          <w:p w14:paraId="10BCAF0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存在直接控股、管理关系的相关投标人</w:t>
            </w:r>
          </w:p>
        </w:tc>
      </w:tr>
      <w:tr w14:paraId="247F8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1919B64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z w:val="23"/>
                <w:szCs w:val="23"/>
              </w:rPr>
              <w:t>关系</w:t>
            </w:r>
          </w:p>
        </w:tc>
        <w:tc>
          <w:tcPr>
            <w:tcW w:w="6918" w:type="dxa"/>
            <w:gridSpan w:val="5"/>
            <w:tcBorders>
              <w:left w:val="single" w:color="auto" w:sz="4" w:space="0"/>
              <w:right w:val="single" w:color="000000" w:sz="10" w:space="0"/>
            </w:tcBorders>
            <w:shd w:val="clear" w:color="auto" w:fill="auto"/>
            <w:vAlign w:val="center"/>
          </w:tcPr>
          <w:p w14:paraId="3B8B4C2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供应商名称</w:t>
            </w:r>
          </w:p>
        </w:tc>
      </w:tr>
      <w:tr w14:paraId="5C966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2EE27CB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30FAFCE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41048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0A3E6E4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069E290E">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4EA57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51" w:hRule="atLeast"/>
          <w:jc w:val="center"/>
        </w:trPr>
        <w:tc>
          <w:tcPr>
            <w:tcW w:w="2265" w:type="dxa"/>
            <w:tcBorders>
              <w:left w:val="single" w:color="000000" w:sz="10" w:space="0"/>
              <w:right w:val="single" w:color="000000" w:sz="4" w:space="0"/>
            </w:tcBorders>
            <w:shd w:val="clear" w:color="auto" w:fill="auto"/>
            <w:vAlign w:val="center"/>
          </w:tcPr>
          <w:p w14:paraId="0BE68F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4"/>
                <w:sz w:val="23"/>
                <w:szCs w:val="23"/>
              </w:rPr>
              <w:t>说</w:t>
            </w:r>
            <w:r>
              <w:rPr>
                <w:rFonts w:hint="eastAsia" w:ascii="宋体" w:hAnsi="宋体" w:eastAsia="宋体" w:cs="宋体"/>
                <w:spacing w:val="3"/>
                <w:sz w:val="23"/>
                <w:szCs w:val="23"/>
              </w:rPr>
              <w:t>明</w:t>
            </w:r>
          </w:p>
        </w:tc>
        <w:tc>
          <w:tcPr>
            <w:tcW w:w="6918" w:type="dxa"/>
            <w:gridSpan w:val="5"/>
            <w:tcBorders>
              <w:left w:val="single" w:color="000000" w:sz="4" w:space="0"/>
              <w:right w:val="single" w:color="000000" w:sz="10" w:space="0"/>
            </w:tcBorders>
            <w:shd w:val="clear" w:color="auto" w:fill="auto"/>
            <w:vAlign w:val="center"/>
          </w:tcPr>
          <w:p w14:paraId="0C30A11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宋体" w:hAnsi="宋体" w:eastAsia="宋体" w:cs="宋体"/>
                <w:sz w:val="23"/>
                <w:szCs w:val="23"/>
              </w:rPr>
            </w:pPr>
            <w:r>
              <w:rPr>
                <w:rFonts w:hint="eastAsia" w:ascii="宋体" w:hAnsi="宋体" w:eastAsia="宋体" w:cs="宋体"/>
                <w:spacing w:val="7"/>
                <w:sz w:val="23"/>
                <w:szCs w:val="23"/>
                <w:lang w:val="en-US" w:eastAsia="zh-CN"/>
              </w:rPr>
              <w:t>1.</w:t>
            </w:r>
            <w:r>
              <w:rPr>
                <w:rFonts w:hint="eastAsia" w:ascii="宋体" w:hAnsi="宋体" w:eastAsia="宋体" w:cs="宋体"/>
                <w:spacing w:val="7"/>
                <w:sz w:val="23"/>
                <w:szCs w:val="23"/>
              </w:rPr>
              <w:t>登记证号指营业执照/事业单位法人证书/专业服务机构执业许可证</w:t>
            </w:r>
            <w:r>
              <w:rPr>
                <w:rFonts w:hint="eastAsia" w:ascii="宋体" w:hAnsi="宋体" w:eastAsia="宋体" w:cs="宋体"/>
                <w:spacing w:val="16"/>
                <w:sz w:val="23"/>
                <w:szCs w:val="23"/>
              </w:rPr>
              <w:t>/</w:t>
            </w:r>
            <w:r>
              <w:rPr>
                <w:rFonts w:hint="eastAsia" w:ascii="宋体" w:hAnsi="宋体" w:eastAsia="宋体" w:cs="宋体"/>
                <w:spacing w:val="12"/>
                <w:sz w:val="23"/>
                <w:szCs w:val="23"/>
              </w:rPr>
              <w:t>民</w:t>
            </w:r>
            <w:r>
              <w:rPr>
                <w:rFonts w:hint="eastAsia" w:ascii="宋体" w:hAnsi="宋体" w:eastAsia="宋体" w:cs="宋体"/>
                <w:spacing w:val="8"/>
                <w:sz w:val="23"/>
                <w:szCs w:val="23"/>
              </w:rPr>
              <w:t>办非企业单位登记证书中的登记号。</w:t>
            </w:r>
            <w:r>
              <w:rPr>
                <w:rFonts w:hint="eastAsia" w:ascii="宋体" w:hAnsi="宋体" w:eastAsia="宋体" w:cs="宋体"/>
                <w:spacing w:val="8"/>
                <w:sz w:val="23"/>
                <w:szCs w:val="23"/>
                <w:lang w:val="en-US" w:eastAsia="zh-CN"/>
              </w:rPr>
              <w:t>2.</w:t>
            </w:r>
            <w:r>
              <w:rPr>
                <w:rFonts w:hint="eastAsia" w:ascii="宋体" w:hAnsi="宋体" w:eastAsia="宋体" w:cs="宋体"/>
                <w:spacing w:val="8"/>
                <w:sz w:val="23"/>
                <w:szCs w:val="23"/>
              </w:rPr>
              <w:t>成立时间至提交</w:t>
            </w:r>
            <w:r>
              <w:rPr>
                <w:rFonts w:hint="eastAsia" w:ascii="宋体" w:hAnsi="宋体" w:eastAsia="宋体" w:cs="宋体"/>
                <w:spacing w:val="8"/>
                <w:sz w:val="23"/>
                <w:szCs w:val="23"/>
                <w:lang w:eastAsia="zh-CN"/>
              </w:rPr>
              <w:t>响应</w:t>
            </w:r>
            <w:r>
              <w:rPr>
                <w:rFonts w:hint="eastAsia" w:ascii="宋体" w:hAnsi="宋体" w:eastAsia="宋体" w:cs="宋体"/>
                <w:spacing w:val="8"/>
                <w:sz w:val="23"/>
                <w:szCs w:val="23"/>
              </w:rPr>
              <w:t>文件截止时间不足一年的可不提供“上年度营</w:t>
            </w:r>
            <w:r>
              <w:rPr>
                <w:rFonts w:hint="eastAsia" w:ascii="宋体" w:hAnsi="宋体" w:eastAsia="宋体" w:cs="宋体"/>
                <w:spacing w:val="7"/>
                <w:sz w:val="23"/>
                <w:szCs w:val="23"/>
              </w:rPr>
              <w:t>业</w:t>
            </w:r>
            <w:r>
              <w:rPr>
                <w:rFonts w:hint="eastAsia" w:ascii="宋体" w:hAnsi="宋体" w:eastAsia="宋体" w:cs="宋体"/>
                <w:spacing w:val="6"/>
                <w:sz w:val="23"/>
                <w:szCs w:val="23"/>
              </w:rPr>
              <w:t>收入”。</w:t>
            </w:r>
            <w:r>
              <w:rPr>
                <w:rFonts w:hint="eastAsia" w:ascii="宋体" w:hAnsi="宋体" w:eastAsia="宋体" w:cs="宋体"/>
                <w:spacing w:val="8"/>
                <w:sz w:val="23"/>
                <w:szCs w:val="23"/>
                <w:lang w:val="en-US" w:eastAsia="zh-CN"/>
              </w:rPr>
              <w:t>3.</w:t>
            </w:r>
            <w:r>
              <w:rPr>
                <w:rFonts w:hint="eastAsia" w:ascii="宋体" w:hAnsi="宋体" w:eastAsia="宋体" w:cs="宋体"/>
                <w:spacing w:val="8"/>
                <w:sz w:val="23"/>
                <w:szCs w:val="23"/>
                <w:lang w:eastAsia="zh-CN"/>
              </w:rPr>
              <w:t>供应商</w:t>
            </w:r>
            <w:r>
              <w:rPr>
                <w:rFonts w:hint="eastAsia" w:ascii="宋体" w:hAnsi="宋体" w:eastAsia="宋体" w:cs="宋体"/>
                <w:spacing w:val="8"/>
                <w:sz w:val="23"/>
                <w:szCs w:val="23"/>
              </w:rPr>
              <w:t>应如实填写上述信息。</w:t>
            </w:r>
            <w:r>
              <w:rPr>
                <w:rFonts w:hint="eastAsia" w:ascii="宋体" w:hAnsi="宋体" w:eastAsia="宋体" w:cs="宋体"/>
                <w:spacing w:val="8"/>
                <w:sz w:val="23"/>
                <w:szCs w:val="23"/>
                <w:lang w:eastAsia="zh-CN"/>
              </w:rPr>
              <w:t>采购</w:t>
            </w:r>
            <w:r>
              <w:rPr>
                <w:rFonts w:hint="eastAsia" w:ascii="宋体" w:hAnsi="宋体" w:eastAsia="宋体" w:cs="宋体"/>
                <w:spacing w:val="8"/>
                <w:sz w:val="23"/>
                <w:szCs w:val="23"/>
              </w:rPr>
              <w:t>文件允许联合体投标的，联合体</w:t>
            </w:r>
            <w:r>
              <w:rPr>
                <w:rFonts w:hint="eastAsia" w:ascii="宋体" w:hAnsi="宋体" w:eastAsia="宋体" w:cs="宋体"/>
                <w:spacing w:val="7"/>
                <w:sz w:val="23"/>
                <w:szCs w:val="23"/>
              </w:rPr>
              <w:t>各方均应提供</w:t>
            </w:r>
            <w:r>
              <w:rPr>
                <w:rFonts w:hint="eastAsia" w:ascii="宋体" w:hAnsi="宋体" w:eastAsia="宋体" w:cs="宋体"/>
                <w:spacing w:val="5"/>
                <w:sz w:val="23"/>
                <w:szCs w:val="23"/>
              </w:rPr>
              <w:t>。</w:t>
            </w:r>
          </w:p>
        </w:tc>
      </w:tr>
    </w:tbl>
    <w:p w14:paraId="1D2A26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4863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15" w:name="_Toc32625_WPSOffice_Level2"/>
      <w:bookmarkStart w:id="116" w:name="_Toc15667_WPSOffice_Level2"/>
      <w:bookmarkStart w:id="117" w:name="_Toc4085_WPSOffice_Level2"/>
      <w:r>
        <w:rPr>
          <w:rFonts w:hint="eastAsia" w:ascii="宋体" w:hAnsi="宋体" w:cs="宋体"/>
          <w:b/>
          <w:bCs/>
          <w:sz w:val="28"/>
          <w:szCs w:val="28"/>
          <w:vertAlign w:val="baseline"/>
          <w:lang w:val="en-US" w:eastAsia="zh-CN"/>
        </w:rPr>
        <w:t>二</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供应商性质</w:t>
      </w:r>
      <w:bookmarkEnd w:id="115"/>
      <w:bookmarkEnd w:id="116"/>
      <w:bookmarkEnd w:id="117"/>
    </w:p>
    <w:p w14:paraId="21B593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中小企业、残疾人福利性单位投标时，应提供声明函（按下文给定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格式）。未提供或未按给定格式提供声明函的，其投标产品中的小型、微型企业产品、残疾人福利性单位生产的产品将不能享受</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文件规定的价格扣除，但不影响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文件的有效性。</w:t>
      </w:r>
    </w:p>
    <w:p w14:paraId="53221C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监狱企业投标时，应当提供由省级以上监狱管理局、戒毒管理局（含新疆生产建设兵团）出具的属于监狱企业的证明文件（格式不作要求）。未提供证明文件的不能享受</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文件规定的价格扣除，但不影响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文件的有效性。</w:t>
      </w:r>
    </w:p>
    <w:p w14:paraId="49608A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文件允许联合体投标的，联合体成员应分别提供上述声明函或证明文件，此外，还须按下文给定格式提供联合体协议书。投标联合体未提供联合体协议书的，其响应文件无效。</w:t>
      </w:r>
    </w:p>
    <w:p w14:paraId="62CB52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DB56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75C2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ACCF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821A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DC94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432F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83FA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5336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A8D4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6999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ABBA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7E89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4B0D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C1E7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79E6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7DDA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248B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性质（声明函或证明文件）将随成交公告一同公布。</w:t>
      </w:r>
    </w:p>
    <w:p w14:paraId="599844B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E123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18" w:name="_Toc4022_WPSOffice_Level2"/>
      <w:bookmarkStart w:id="119" w:name="_Toc4997_WPSOffice_Level2"/>
      <w:bookmarkStart w:id="120" w:name="_Toc26070"/>
      <w:bookmarkStart w:id="121" w:name="_Toc8610_WPSOffice_Level2"/>
      <w:r>
        <w:rPr>
          <w:rFonts w:hint="eastAsia" w:ascii="宋体" w:hAnsi="宋体" w:cs="宋体"/>
          <w:b/>
          <w:bCs/>
          <w:sz w:val="28"/>
          <w:szCs w:val="28"/>
          <w:vertAlign w:val="baseline"/>
          <w:lang w:val="en-US" w:eastAsia="zh-CN"/>
        </w:rPr>
        <w:t>三</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其他</w:t>
      </w:r>
      <w:bookmarkEnd w:id="118"/>
      <w:bookmarkEnd w:id="119"/>
      <w:bookmarkEnd w:id="120"/>
      <w:bookmarkEnd w:id="121"/>
    </w:p>
    <w:p w14:paraId="5170AF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如：经营状况、相关产品、用户评价等。</w:t>
      </w:r>
    </w:p>
    <w:p w14:paraId="2A2444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C5A0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10FB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4A85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BF83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CE01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827E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1550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497D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94CE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DA09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8AF3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7F85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1281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0382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EF78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E78B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C3E7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4D07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3E22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7D95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9115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D46A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E9D6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40B9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E2AD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015C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E3B5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F52F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122" w:name="_Toc32752_WPSOffice_Level2"/>
      <w:bookmarkStart w:id="123" w:name="_Toc26323_WPSOffice_Level2"/>
      <w:bookmarkStart w:id="124" w:name="_Toc10739_WPSOffice_Level2"/>
      <w:r>
        <w:rPr>
          <w:rFonts w:hint="eastAsia" w:ascii="宋体" w:hAnsi="宋体" w:cs="宋体"/>
          <w:b/>
          <w:bCs/>
          <w:sz w:val="28"/>
          <w:szCs w:val="28"/>
          <w:vertAlign w:val="baseline"/>
          <w:lang w:val="en-US" w:eastAsia="zh-CN"/>
        </w:rPr>
        <w:t>附件七：</w:t>
      </w:r>
      <w:bookmarkEnd w:id="122"/>
      <w:bookmarkEnd w:id="123"/>
      <w:bookmarkEnd w:id="124"/>
    </w:p>
    <w:p w14:paraId="67C948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5ABF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125" w:name="_Toc6768_WPSOffice_Level3"/>
      <w:r>
        <w:rPr>
          <w:rFonts w:hint="eastAsia" w:ascii="宋体" w:hAnsi="宋体" w:eastAsia="宋体" w:cs="宋体"/>
          <w:b/>
          <w:bCs/>
          <w:sz w:val="28"/>
          <w:szCs w:val="28"/>
          <w:vertAlign w:val="baseline"/>
          <w:lang w:val="en-US" w:eastAsia="zh-CN"/>
        </w:rPr>
        <w:t>中小企业声明函</w:t>
      </w:r>
      <w:r>
        <w:rPr>
          <w:rFonts w:hint="eastAsia" w:ascii="宋体" w:hAnsi="宋体" w:cs="宋体"/>
          <w:b/>
          <w:bCs/>
          <w:sz w:val="28"/>
          <w:szCs w:val="28"/>
          <w:vertAlign w:val="baseline"/>
          <w:lang w:val="en-US" w:eastAsia="zh-CN"/>
        </w:rPr>
        <w:t>（工程、服务）</w:t>
      </w:r>
      <w:bookmarkEnd w:id="125"/>
    </w:p>
    <w:p w14:paraId="4E92B40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444C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本公司</w:t>
      </w:r>
      <w:r>
        <w:rPr>
          <w:rFonts w:hint="eastAsia" w:ascii="宋体" w:hAnsi="宋体" w:cs="宋体"/>
          <w:b w:val="0"/>
          <w:bCs w:val="0"/>
          <w:sz w:val="23"/>
          <w:szCs w:val="23"/>
          <w:vertAlign w:val="baseline"/>
          <w:lang w:val="en-US" w:eastAsia="zh-CN"/>
        </w:rPr>
        <w:t>（联合体）</w:t>
      </w:r>
      <w:r>
        <w:rPr>
          <w:rFonts w:hint="eastAsia" w:ascii="宋体" w:hAnsi="宋体" w:eastAsia="宋体" w:cs="宋体"/>
          <w:b w:val="0"/>
          <w:bCs w:val="0"/>
          <w:sz w:val="23"/>
          <w:szCs w:val="23"/>
          <w:vertAlign w:val="baseline"/>
          <w:lang w:val="en-US" w:eastAsia="zh-CN"/>
        </w:rPr>
        <w:t>郑重声明，根据《政府采购促进中小企业发展管理办法》  (财库﹝2020﹞46号)的规定，本公司</w:t>
      </w:r>
      <w:r>
        <w:rPr>
          <w:rFonts w:hint="eastAsia" w:ascii="宋体" w:hAnsi="宋体" w:cs="宋体"/>
          <w:b w:val="0"/>
          <w:bCs w:val="0"/>
          <w:sz w:val="23"/>
          <w:szCs w:val="23"/>
          <w:vertAlign w:val="baseline"/>
          <w:lang w:val="en-US" w:eastAsia="zh-CN"/>
        </w:rPr>
        <w:t>（联合体）</w:t>
      </w:r>
      <w:r>
        <w:rPr>
          <w:rFonts w:hint="eastAsia" w:ascii="宋体" w:hAnsi="宋体" w:eastAsia="宋体" w:cs="宋体"/>
          <w:b w:val="0"/>
          <w:bCs w:val="0"/>
          <w:sz w:val="23"/>
          <w:szCs w:val="23"/>
          <w:vertAlign w:val="baseline"/>
          <w:lang w:val="en-US" w:eastAsia="zh-CN"/>
        </w:rPr>
        <w:t>参加</w:t>
      </w:r>
      <w:r>
        <w:rPr>
          <w:rFonts w:hint="eastAsia" w:ascii="宋体" w:hAnsi="宋体" w:eastAsia="宋体" w:cs="宋体"/>
          <w:b w:val="0"/>
          <w:bCs w:val="0"/>
          <w:sz w:val="23"/>
          <w:szCs w:val="23"/>
          <w:u w:val="single"/>
          <w:vertAlign w:val="baseline"/>
          <w:lang w:val="en-US" w:eastAsia="zh-CN"/>
        </w:rPr>
        <w:t>(采购人名称)</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项目名称</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vertAlign w:val="baseline"/>
          <w:lang w:val="en-US" w:eastAsia="zh-CN"/>
        </w:rPr>
        <w:t>采购活动，</w:t>
      </w:r>
      <w:r>
        <w:rPr>
          <w:rFonts w:hint="eastAsia" w:ascii="宋体" w:hAnsi="宋体" w:cs="宋体"/>
          <w:b w:val="0"/>
          <w:bCs w:val="0"/>
          <w:sz w:val="23"/>
          <w:szCs w:val="23"/>
          <w:vertAlign w:val="baseline"/>
          <w:lang w:val="en-US" w:eastAsia="zh-CN"/>
        </w:rPr>
        <w:t>工程的施工单位全部为符合政策要求的中小企业（或者：服务全部由符合政策要求的中小企业承接）</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相关企业（含联合体中的中小企业、签订分包意向协议的中小企业）的</w:t>
      </w:r>
      <w:r>
        <w:rPr>
          <w:rFonts w:hint="eastAsia" w:ascii="宋体" w:hAnsi="宋体" w:eastAsia="宋体" w:cs="宋体"/>
          <w:b w:val="0"/>
          <w:bCs w:val="0"/>
          <w:sz w:val="23"/>
          <w:szCs w:val="23"/>
          <w:vertAlign w:val="baseline"/>
          <w:lang w:val="en-US" w:eastAsia="zh-CN"/>
        </w:rPr>
        <w:t>具体情况如下：</w:t>
      </w:r>
    </w:p>
    <w:p w14:paraId="394D81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承建（承接）企业</w:t>
      </w:r>
      <w:r>
        <w:rPr>
          <w:rFonts w:hint="eastAsia" w:ascii="宋体" w:hAnsi="宋体" w:eastAsia="宋体" w:cs="宋体"/>
          <w:b w:val="0"/>
          <w:bCs w:val="0"/>
          <w:sz w:val="23"/>
          <w:szCs w:val="23"/>
          <w:vertAlign w:val="baseline"/>
          <w:lang w:val="en-US" w:eastAsia="zh-CN"/>
        </w:rPr>
        <w:t>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小型企业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微型企业)</w:t>
      </w:r>
      <w:r>
        <w:rPr>
          <w:rFonts w:hint="eastAsia" w:ascii="宋体" w:hAnsi="宋体" w:eastAsia="宋体" w:cs="宋体"/>
          <w:b w:val="0"/>
          <w:bCs w:val="0"/>
          <w:sz w:val="23"/>
          <w:szCs w:val="23"/>
          <w:vertAlign w:val="baseline"/>
          <w:lang w:val="en-US" w:eastAsia="zh-CN"/>
        </w:rPr>
        <w:t>。</w:t>
      </w:r>
    </w:p>
    <w:p w14:paraId="6CA829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承建（承接）企业</w:t>
      </w:r>
      <w:r>
        <w:rPr>
          <w:rFonts w:hint="eastAsia" w:ascii="宋体" w:hAnsi="宋体" w:eastAsia="宋体" w:cs="宋体"/>
          <w:b w:val="0"/>
          <w:bCs w:val="0"/>
          <w:sz w:val="23"/>
          <w:szCs w:val="23"/>
          <w:vertAlign w:val="baseline"/>
          <w:lang w:val="en-US" w:eastAsia="zh-CN"/>
        </w:rPr>
        <w:t>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小型企业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微型企业)</w:t>
      </w:r>
      <w:r>
        <w:rPr>
          <w:rFonts w:hint="eastAsia" w:ascii="宋体" w:hAnsi="宋体" w:eastAsia="宋体" w:cs="宋体"/>
          <w:b w:val="0"/>
          <w:bCs w:val="0"/>
          <w:sz w:val="23"/>
          <w:szCs w:val="23"/>
          <w:vertAlign w:val="baseline"/>
          <w:lang w:val="en-US" w:eastAsia="zh-CN"/>
        </w:rPr>
        <w:t>。</w:t>
      </w:r>
    </w:p>
    <w:p w14:paraId="21224A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w:t>
      </w:r>
    </w:p>
    <w:p w14:paraId="349DDF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以上企业，不属于大企业的分支机构，不存在控股股东为大企业的情形，也不存在与大企业的负责人为同一人的情形。</w:t>
      </w:r>
    </w:p>
    <w:p w14:paraId="652A48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本企业对上述声明内容的真实性负责。如有虚假，将依法承担相应责任。</w:t>
      </w:r>
    </w:p>
    <w:p w14:paraId="052CA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478C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73C229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6889CF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576F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6199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09288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6396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47FA1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1.从业人员、营业收入、资产总额填报上一年度数据，无上一年度数据的新成立企业可不填报。</w:t>
      </w:r>
    </w:p>
    <w:p w14:paraId="31A276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非中型、小型、微型企业不填写此表。</w:t>
      </w:r>
    </w:p>
    <w:p w14:paraId="7608C5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6" w:name="_Toc495_WPSOffice_Level3"/>
      <w:r>
        <w:rPr>
          <w:rFonts w:hint="eastAsia" w:ascii="宋体" w:hAnsi="宋体" w:eastAsia="宋体" w:cs="宋体"/>
          <w:b/>
          <w:bCs/>
          <w:sz w:val="28"/>
          <w:szCs w:val="28"/>
          <w:vertAlign w:val="baseline"/>
          <w:lang w:val="en-US" w:eastAsia="zh-CN"/>
        </w:rPr>
        <w:t>残疾人福利性单位声明函</w:t>
      </w:r>
      <w:bookmarkEnd w:id="126"/>
    </w:p>
    <w:p w14:paraId="10D0C4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2D7A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)采购活动提供本单位制造的货物（由本单位承担工程/提供服务），或者提供其他残疾人福利性单位制造的货物（不包括使用非残疾人福利性单位注册商标的货物）。</w:t>
      </w:r>
    </w:p>
    <w:p w14:paraId="5EC5DC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4F657F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40D2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6052B3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46FF48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C127D3B">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根据《财政部 民政部 中国残疾人联合会关于促进残疾人就业政府采购政策的通知》(财库〔2017〕141号)的规定：</w:t>
      </w:r>
    </w:p>
    <w:p w14:paraId="4FA5BECB">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一、享受政府采购支持政策的残疾人福利性单位应当同时满足以下条件：</w:t>
      </w:r>
    </w:p>
    <w:p w14:paraId="4DC4FA14">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(一)安置的残疾人占本单位在职职工人数的比例不低于25%(含25%)，并且安置的残疾人人数不少于10人(含10人)；</w:t>
      </w:r>
    </w:p>
    <w:p w14:paraId="48582A87">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(二)依法与安置的每位残疾人签订了一年以上(含一年)的劳动合同或服务协议；</w:t>
      </w:r>
    </w:p>
    <w:p w14:paraId="1B92E351">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(三)为安置的每位残疾人按月足额缴纳了基本养老保险、基本医疗保险、失业保险、工伤保险和生育保险等社会保险费；</w:t>
      </w:r>
    </w:p>
    <w:p w14:paraId="5EA4281D">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(四)通过银行等金融机构向安置的每位残疾人，按月支付了不低于单位所在区县适用的经省级人民政府批准的月最低工资标准的工资；</w:t>
      </w:r>
    </w:p>
    <w:p w14:paraId="31012176">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提供本单位承担的服务(以下简称产品)，或者提供其他残疾人福利性单位提供的服。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D90869">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二、中标、成交投标人为残疾人福利性单位的，采购人或者其委托的采购代理机构应当随中标、成交结果同时公告其《残疾人福利性单位声明函》，接受社会监督</w:t>
      </w:r>
      <w:r>
        <w:rPr>
          <w:rFonts w:hint="eastAsia" w:ascii="宋体" w:hAnsi="宋体" w:cs="宋体"/>
          <w:b w:val="0"/>
          <w:bCs w:val="0"/>
          <w:sz w:val="23"/>
          <w:szCs w:val="23"/>
          <w:vertAlign w:val="baseline"/>
          <w:lang w:val="en-US" w:eastAsia="zh-CN"/>
        </w:rPr>
        <w:t>。</w:t>
      </w:r>
    </w:p>
    <w:p w14:paraId="5494C2F1">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640CC6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7" w:name="_Toc18831_WPSOffice_Level3"/>
      <w:r>
        <w:rPr>
          <w:rFonts w:hint="eastAsia" w:ascii="宋体" w:hAnsi="宋体" w:eastAsia="宋体" w:cs="宋体"/>
          <w:b/>
          <w:bCs/>
          <w:sz w:val="28"/>
          <w:szCs w:val="28"/>
          <w:vertAlign w:val="baseline"/>
          <w:lang w:val="en-US" w:eastAsia="zh-CN"/>
        </w:rPr>
        <w:t>监狱企业相关资格证明材料</w:t>
      </w:r>
      <w:bookmarkEnd w:id="127"/>
    </w:p>
    <w:p w14:paraId="34E741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4014D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监狱企业参加政府采购活动，要求享受相关优惠政策的，应当提供由省级以上监狱管理局、戒毒管理局（含新疆生产建设兵团）出具的属于监狱企业的证明文件。</w:t>
      </w:r>
    </w:p>
    <w:p w14:paraId="09A2AE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CCE7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8108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78A4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4827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D3C5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8C14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5FF1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FA49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2B74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1D0D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DE8F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91C13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B410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6C01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CA50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3161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04E6BB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宋体" w:hAnsi="宋体" w:cs="宋体"/>
          <w:b w:val="0"/>
          <w:bCs w:val="0"/>
          <w:sz w:val="23"/>
          <w:szCs w:val="23"/>
          <w:vertAlign w:val="baseline"/>
          <w:lang w:val="en-US" w:eastAsia="zh-CN"/>
        </w:rPr>
        <w:t>。</w:t>
      </w:r>
    </w:p>
    <w:p w14:paraId="5AD4E1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9CB38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138A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644F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8" w:name="_Toc4677_WPSOffice_Level3"/>
      <w:r>
        <w:rPr>
          <w:rFonts w:hint="eastAsia" w:ascii="宋体" w:hAnsi="宋体" w:eastAsia="宋体" w:cs="宋体"/>
          <w:b/>
          <w:bCs/>
          <w:sz w:val="28"/>
          <w:szCs w:val="28"/>
          <w:vertAlign w:val="baseline"/>
          <w:lang w:val="en-US" w:eastAsia="zh-CN"/>
        </w:rPr>
        <w:t>“节能产品”、“环境标志产品”证明材料</w:t>
      </w:r>
      <w:bookmarkEnd w:id="128"/>
    </w:p>
    <w:p w14:paraId="39B005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1324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说明： </w:t>
      </w:r>
    </w:p>
    <w:p w14:paraId="2DDC49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1、供应商提供的产品属于下列情形，应按第五章评标办法第</w:t>
      </w:r>
      <w:r>
        <w:rPr>
          <w:rFonts w:hint="eastAsia" w:ascii="宋体" w:hAnsi="宋体" w:cs="宋体"/>
          <w:b w:val="0"/>
          <w:bCs w:val="0"/>
          <w:sz w:val="23"/>
          <w:szCs w:val="23"/>
          <w:vertAlign w:val="baseline"/>
          <w:lang w:val="en-US" w:eastAsia="zh-CN"/>
        </w:rPr>
        <w:t>三</w:t>
      </w:r>
      <w:r>
        <w:rPr>
          <w:rFonts w:hint="eastAsia" w:ascii="宋体" w:hAnsi="宋体" w:eastAsia="宋体" w:cs="宋体"/>
          <w:b w:val="0"/>
          <w:bCs w:val="0"/>
          <w:sz w:val="23"/>
          <w:szCs w:val="23"/>
          <w:vertAlign w:val="baseline"/>
          <w:lang w:val="en-US" w:eastAsia="zh-CN"/>
        </w:rPr>
        <w:t>条规定提供相关证明材料（清单或目录所在页复印件），并在《货物分项报价表》中提供相应数据。</w:t>
      </w:r>
    </w:p>
    <w:p w14:paraId="23F813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（1）符合政府采购强制采购政策的（《节能产品政府采购清单》中标记★符号节能产品及其他强制采购产品）；</w:t>
      </w:r>
    </w:p>
    <w:p w14:paraId="1E300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（2）符合政府采购优先采购政策的（《节能产品政府采购清单》中非标记★符号节能产品，《环境标志产品政府采购清单》中环境标志产品。</w:t>
      </w:r>
    </w:p>
    <w:p w14:paraId="02448C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2、未按上述要求提供、填写的，评标时不予以考虑。</w:t>
      </w:r>
    </w:p>
    <w:p w14:paraId="57BE20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C630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2F3F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0B77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ED25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AB48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4495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C436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4B10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D0D5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C8F3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5EC9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DB7A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612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1F3E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E073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46E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FD7F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DD044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D237BD">
      <w:pPr>
        <w:pStyle w:val="3"/>
        <w:bidi w:val="0"/>
        <w:rPr>
          <w:rFonts w:hint="eastAsia" w:ascii="宋体" w:hAnsi="宋体" w:cs="宋体"/>
          <w:b/>
          <w:bCs/>
          <w:szCs w:val="28"/>
          <w:vertAlign w:val="baseline"/>
          <w:lang w:val="en-US" w:eastAsia="zh-CN"/>
        </w:rPr>
      </w:pPr>
      <w:bookmarkStart w:id="129" w:name="_Toc27857"/>
      <w:bookmarkStart w:id="130" w:name="_Toc30308_WPSOffice_Level1"/>
      <w:bookmarkStart w:id="131" w:name="_Toc23149_WPSOffice_Level1"/>
      <w:r>
        <w:rPr>
          <w:rFonts w:hint="eastAsia"/>
          <w:lang w:val="en-US" w:eastAsia="zh-CN"/>
        </w:rPr>
        <w:t>第五部分 供应商参加政府采购活动承诺书</w:t>
      </w:r>
      <w:bookmarkEnd w:id="129"/>
      <w:bookmarkEnd w:id="130"/>
      <w:bookmarkEnd w:id="131"/>
    </w:p>
    <w:p w14:paraId="2E9AD4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79C971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2" w:name="_Toc9084_WPSOffice_Level2"/>
      <w:bookmarkStart w:id="133" w:name="_Toc12226_WPSOffice_Level2"/>
      <w:bookmarkStart w:id="134" w:name="_Toc12754_WPSOffice_Level2"/>
      <w:r>
        <w:rPr>
          <w:rFonts w:hint="eastAsia" w:ascii="宋体" w:hAnsi="宋体" w:eastAsia="宋体" w:cs="宋体"/>
          <w:b/>
          <w:bCs/>
          <w:sz w:val="28"/>
          <w:szCs w:val="28"/>
          <w:vertAlign w:val="baseline"/>
          <w:lang w:val="en-US" w:eastAsia="zh-CN"/>
        </w:rPr>
        <w:t>未签署下列承诺书的，其责任由供应商自行承担</w:t>
      </w:r>
      <w:bookmarkEnd w:id="132"/>
      <w:bookmarkEnd w:id="133"/>
      <w:bookmarkEnd w:id="134"/>
    </w:p>
    <w:p w14:paraId="5A748E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41E461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5" w:name="_Toc6560_WPSOffice_Level2"/>
      <w:bookmarkStart w:id="136" w:name="_Toc9604_WPSOffice_Level2"/>
      <w:bookmarkStart w:id="137" w:name="_Toc16315_WPSOffice_Level2"/>
      <w:r>
        <w:rPr>
          <w:rFonts w:hint="eastAsia" w:ascii="宋体" w:hAnsi="宋体" w:eastAsia="宋体" w:cs="宋体"/>
          <w:b/>
          <w:bCs/>
          <w:sz w:val="28"/>
          <w:szCs w:val="28"/>
          <w:vertAlign w:val="baseline"/>
          <w:lang w:val="en-US" w:eastAsia="zh-CN"/>
        </w:rPr>
        <w:t>承诺书I</w:t>
      </w:r>
      <w:bookmarkEnd w:id="135"/>
      <w:bookmarkEnd w:id="136"/>
      <w:bookmarkEnd w:id="137"/>
    </w:p>
    <w:p w14:paraId="2B556D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2B20A7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138" w:name="_Toc15185_WPSOffice_Level2"/>
      <w:bookmarkStart w:id="139" w:name="_Toc29330_WPSOffice_Level2"/>
      <w:bookmarkStart w:id="140" w:name="_Toc843_WPSOffice_Level2"/>
      <w:r>
        <w:rPr>
          <w:rFonts w:hint="eastAsia" w:ascii="宋体" w:hAnsi="宋体" w:cs="宋体"/>
          <w:b w:val="0"/>
          <w:bCs w:val="0"/>
          <w:sz w:val="23"/>
          <w:szCs w:val="23"/>
          <w:vertAlign w:val="baseline"/>
          <w:lang w:val="en-US" w:eastAsia="zh-CN"/>
        </w:rPr>
        <w:t>（一）</w:t>
      </w:r>
      <w:r>
        <w:rPr>
          <w:rFonts w:hint="eastAsia" w:ascii="宋体" w:hAnsi="宋体" w:eastAsia="宋体" w:cs="宋体"/>
          <w:b w:val="0"/>
          <w:bCs w:val="0"/>
          <w:sz w:val="23"/>
          <w:szCs w:val="23"/>
          <w:vertAlign w:val="baseline"/>
          <w:lang w:val="en-US" w:eastAsia="zh-CN"/>
        </w:rPr>
        <w:t>质量安全责任承诺书</w:t>
      </w:r>
      <w:bookmarkEnd w:id="138"/>
      <w:bookmarkEnd w:id="139"/>
      <w:bookmarkEnd w:id="140"/>
    </w:p>
    <w:p w14:paraId="3E8030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为保证本采购项目顺利进行，作为供应商，现郑重承诺：</w:t>
      </w:r>
    </w:p>
    <w:p w14:paraId="628181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1、我方投标产品的生产（包括设计、制造、安装、改造、维修等）、投入使用的材料等均完全符合国家现行质量、安全、环保标准和要求。</w:t>
      </w:r>
    </w:p>
    <w:p w14:paraId="462266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2、我方将严格按照国家现行相关储存、运输、安装调试技术标准及规范、服务标准及规范、施工标准及规范，在规定的时限内，保质、保量完成项目全部内容，并向采购人交付合格产品。</w:t>
      </w:r>
    </w:p>
    <w:p w14:paraId="6C2FC69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3、对于因产品生产质量以及储存、运输、安装调试、服务、施工等过程中产生的任何安全事故，我方承担全部责任。</w:t>
      </w:r>
    </w:p>
    <w:p w14:paraId="1C59FB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4、我方提供的服务符合现行的国家、行业、地区、企业标准及要求，标准不一致的，以更为严格的为准，我方对提供的服务的质量、安全、环保等承担全部责任。</w:t>
      </w:r>
    </w:p>
    <w:p w14:paraId="7B57B9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FBC6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(加盖公章)</w:t>
      </w:r>
    </w:p>
    <w:p w14:paraId="415B0E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330B8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41C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9A02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7389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E3FA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7F3E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A3A6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62AA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3754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141" w:name="_Toc7418_WPSOffice_Level2"/>
      <w:bookmarkStart w:id="142" w:name="_Toc6768_WPSOffice_Level2"/>
      <w:bookmarkStart w:id="143" w:name="_Toc22200_WPSOffice_Level2"/>
      <w:r>
        <w:rPr>
          <w:rFonts w:hint="eastAsia" w:ascii="宋体" w:hAnsi="宋体" w:cs="宋体"/>
          <w:b w:val="0"/>
          <w:bCs w:val="0"/>
          <w:sz w:val="23"/>
          <w:szCs w:val="23"/>
          <w:vertAlign w:val="baseline"/>
          <w:lang w:val="en-US" w:eastAsia="zh-CN"/>
        </w:rPr>
        <w:t>（二）</w:t>
      </w:r>
      <w:r>
        <w:rPr>
          <w:rFonts w:hint="eastAsia" w:ascii="宋体" w:hAnsi="宋体" w:eastAsia="宋体" w:cs="宋体"/>
          <w:b w:val="0"/>
          <w:bCs w:val="0"/>
          <w:sz w:val="23"/>
          <w:szCs w:val="23"/>
          <w:vertAlign w:val="baseline"/>
          <w:lang w:val="en-US" w:eastAsia="zh-CN"/>
        </w:rPr>
        <w:t>拒绝政府采购领域商业贿赂承诺书</w:t>
      </w:r>
      <w:bookmarkEnd w:id="141"/>
      <w:bookmarkEnd w:id="142"/>
      <w:bookmarkEnd w:id="143"/>
    </w:p>
    <w:p w14:paraId="3B94FE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（执行陕财办采管〔2006〕21号文件）</w:t>
      </w:r>
    </w:p>
    <w:p w14:paraId="6FF378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为响应党中央、国务院关于治理政府采购领域商业贿赂行为的号召，我公司在此庄严承诺：</w:t>
      </w:r>
    </w:p>
    <w:p w14:paraId="2A8CA66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1、在参与政府采购活动中遵纪守法、诚信经营、公平竞标。</w:t>
      </w:r>
    </w:p>
    <w:p w14:paraId="475B58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2、不向政府采购人、采购代理机构和政府采购评审专家进行任何形式的商业贿赂以谋取交易机会。</w:t>
      </w:r>
    </w:p>
    <w:p w14:paraId="4A6D1B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3、不向政府采购代理机构和采购人提供虚假资质文件或采用虚假应标方式参与政府采购市场竞争并谋取中标、成交。</w:t>
      </w:r>
    </w:p>
    <w:p w14:paraId="13A05A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4、不采取“围标、陪标”等商业欺诈手段获得政府采购定单。</w:t>
      </w:r>
    </w:p>
    <w:p w14:paraId="6483B4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5、不采取不正当手段诋毁、排挤其他供应商。</w:t>
      </w:r>
    </w:p>
    <w:p w14:paraId="7DE80C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6、不在提供商品和服务时“偷梁换柱、以次充好”损害采购人的合法权益。</w:t>
      </w:r>
    </w:p>
    <w:p w14:paraId="4C075B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7、不与采购人、采购代理机构政府采购评审专家或其它供应商恶意串通，进行质疑和投诉，维护政府采购市场秩序。</w:t>
      </w:r>
    </w:p>
    <w:p w14:paraId="7201F5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8、尊重和接受政府采购监督管理部门的监督和政府采购代理机构招标采购要求，承担因违约行为给采购人造成的损失。</w:t>
      </w:r>
    </w:p>
    <w:p w14:paraId="587158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9、不发生其他有悖于政府采购公开、公平、公正和诚信原则的行为。</w:t>
      </w:r>
    </w:p>
    <w:p w14:paraId="06D156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5E84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BDCE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D263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(加盖公章)</w:t>
      </w:r>
    </w:p>
    <w:p w14:paraId="555A50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F5E5E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7045A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4ACE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B48D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F34A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18A2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D5F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0D40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88EF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4" w:name="_Toc19344_WPSOffice_Level3"/>
      <w:r>
        <w:rPr>
          <w:rFonts w:hint="eastAsia" w:ascii="宋体" w:hAnsi="宋体" w:eastAsia="宋体" w:cs="宋体"/>
          <w:b/>
          <w:bCs/>
          <w:sz w:val="28"/>
          <w:szCs w:val="28"/>
          <w:vertAlign w:val="baseline"/>
          <w:lang w:val="en-US" w:eastAsia="zh-CN"/>
        </w:rPr>
        <w:t>承诺书Ⅱ</w:t>
      </w:r>
      <w:bookmarkEnd w:id="144"/>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2AB09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5C8779F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082E6E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3A41D5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，本公司承诺：在参加本项目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之前不存在被依法禁止经营行为、财产被接管或冻结的情况，如有隐瞒实情，愿承担一切责任及后果。</w:t>
            </w:r>
          </w:p>
        </w:tc>
      </w:tr>
      <w:tr w14:paraId="7D208D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5800CA3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7DBC07F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5DB7B4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1600A0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081E558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1FB988A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A29A5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24071A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EA58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9DAAE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AA56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5" w:name="_Toc20186_WPSOffice_Level3"/>
      <w:r>
        <w:rPr>
          <w:rFonts w:hint="eastAsia" w:ascii="宋体" w:hAnsi="宋体" w:eastAsia="宋体" w:cs="宋体"/>
          <w:b/>
          <w:bCs/>
          <w:sz w:val="28"/>
          <w:szCs w:val="28"/>
          <w:vertAlign w:val="baseline"/>
          <w:lang w:val="en-US" w:eastAsia="zh-CN"/>
        </w:rPr>
        <w:t>承诺书Ⅲ</w:t>
      </w:r>
      <w:bookmarkEnd w:id="145"/>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3890BE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226AB2A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32670A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53A031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，本公司郑重申告并承诺：近三年受到有关行政主管部门的行政处理、不良行为记录为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6F1069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7DB88FF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46E3023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7D6335C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3ED06C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162A4B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471A554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B4252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521BF5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7B9A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6029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6" w:name="_Toc1514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Ⅳ</w:t>
      </w:r>
      <w:bookmarkEnd w:id="146"/>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48B11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034D727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6E845C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5BB762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，本公司郑重申告：近三年因项目产品质量问题的不法行为记录为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5709C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0D5E52E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2C9C1D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22C4408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53626E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1028953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5B6D13C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4870CDD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00D307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74BE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DD1B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458C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7" w:name="_Toc1862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V</w:t>
      </w:r>
      <w:bookmarkEnd w:id="147"/>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81C73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5D8014B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098F06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006FFB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，本公司承诺：参加本次</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递交的所有资质证明文件及业绩证明是真实的、有效的，如有隐瞒实情，愿承担一切责任及后果。</w:t>
            </w:r>
          </w:p>
        </w:tc>
      </w:tr>
      <w:tr w14:paraId="4D6A70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2AE0C33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29A1462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6F55967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78F5D7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44962AD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504488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0A6B98E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5FBC93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D5DBB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11FFE35">
      <w:pPr>
        <w:pStyle w:val="3"/>
        <w:bidi w:val="0"/>
        <w:rPr>
          <w:rFonts w:hint="eastAsia" w:ascii="宋体" w:hAnsi="宋体" w:eastAsia="宋体" w:cs="宋体"/>
          <w:b w:val="0"/>
          <w:bCs w:val="0"/>
          <w:szCs w:val="23"/>
          <w:vertAlign w:val="baseline"/>
          <w:lang w:val="en-US" w:eastAsia="zh-CN"/>
        </w:rPr>
      </w:pPr>
      <w:bookmarkStart w:id="148" w:name="_Toc20412"/>
      <w:bookmarkStart w:id="149" w:name="_Toc19660_WPSOffice_Level1"/>
      <w:bookmarkStart w:id="150" w:name="_Toc3410_WPSOffice_Level1"/>
      <w:r>
        <w:rPr>
          <w:rFonts w:hint="eastAsia"/>
          <w:lang w:val="en-US" w:eastAsia="zh-CN"/>
        </w:rPr>
        <w:t>第六部分 响应方案</w:t>
      </w:r>
      <w:bookmarkEnd w:id="148"/>
      <w:bookmarkEnd w:id="149"/>
      <w:bookmarkEnd w:id="150"/>
    </w:p>
    <w:p w14:paraId="041597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714ED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151" w:name="_Toc21354_WPSOffice_Level2"/>
      <w:bookmarkStart w:id="152" w:name="_Toc495_WPSOffice_Level2"/>
      <w:bookmarkStart w:id="153" w:name="_Toc3345_WPSOffice_Level2"/>
      <w:bookmarkStart w:id="154" w:name="_Toc24852"/>
      <w:r>
        <w:rPr>
          <w:rFonts w:hint="eastAsia" w:ascii="宋体" w:hAnsi="宋体" w:cs="宋体"/>
          <w:b/>
          <w:bCs/>
          <w:sz w:val="28"/>
          <w:szCs w:val="28"/>
          <w:vertAlign w:val="baseline"/>
          <w:lang w:val="en-US" w:eastAsia="zh-CN"/>
        </w:rPr>
        <w:t>一、</w:t>
      </w:r>
      <w:bookmarkEnd w:id="151"/>
      <w:bookmarkEnd w:id="152"/>
      <w:bookmarkEnd w:id="153"/>
      <w:bookmarkStart w:id="155" w:name="_Toc29268_WPSOffice_Level2"/>
      <w:bookmarkStart w:id="156" w:name="_Toc18831_WPSOffice_Level2"/>
      <w:bookmarkStart w:id="157" w:name="_Toc21455_WPSOffice_Level2"/>
      <w:r>
        <w:rPr>
          <w:rFonts w:hint="eastAsia" w:ascii="宋体" w:hAnsi="宋体" w:cs="宋体"/>
          <w:b/>
          <w:bCs/>
          <w:sz w:val="28"/>
          <w:szCs w:val="28"/>
          <w:vertAlign w:val="baseline"/>
          <w:lang w:val="en-US" w:eastAsia="zh-CN"/>
        </w:rPr>
        <w:t>商务偏离表</w:t>
      </w:r>
      <w:bookmarkEnd w:id="154"/>
      <w:bookmarkEnd w:id="155"/>
      <w:bookmarkEnd w:id="156"/>
      <w:bookmarkEnd w:id="157"/>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5BE1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149D989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序号</w:t>
            </w:r>
          </w:p>
        </w:tc>
        <w:tc>
          <w:tcPr>
            <w:tcW w:w="2339" w:type="dxa"/>
            <w:vAlign w:val="center"/>
          </w:tcPr>
          <w:p w14:paraId="65F9091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文件商务要求</w:t>
            </w:r>
          </w:p>
        </w:tc>
        <w:tc>
          <w:tcPr>
            <w:tcW w:w="2322" w:type="dxa"/>
            <w:vAlign w:val="center"/>
          </w:tcPr>
          <w:p w14:paraId="6DFAAF7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文件商务响应</w:t>
            </w:r>
          </w:p>
        </w:tc>
        <w:tc>
          <w:tcPr>
            <w:tcW w:w="1660" w:type="dxa"/>
            <w:vAlign w:val="center"/>
          </w:tcPr>
          <w:p w14:paraId="7D30328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偏离说明</w:t>
            </w:r>
          </w:p>
        </w:tc>
        <w:tc>
          <w:tcPr>
            <w:tcW w:w="1167" w:type="dxa"/>
            <w:vAlign w:val="center"/>
          </w:tcPr>
          <w:p w14:paraId="7392496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tc>
      </w:tr>
      <w:tr w14:paraId="217B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76F3624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315E59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40333B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C42870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A24F98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567D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54B0EBA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24CF233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2ADEAF5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0611BF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7B461A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D7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21A1EE5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1D689A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0F8DB92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00C4205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70D596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0436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A7BD9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43EA8C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AF9EFE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1A355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B753AB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375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27DDF5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7493991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AC188E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7B69D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4553F6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5B8DA7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57D392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A4680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8360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0A684D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4DEF7F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801E8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CFBE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2394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73AC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5850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DECE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文件中的商务要求响应，偏离说明填写：优于、等于或低于。</w:t>
      </w:r>
    </w:p>
    <w:p w14:paraId="7803CB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0A47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432F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158" w:name="_Toc30319"/>
      <w:bookmarkStart w:id="159" w:name="_Toc4677_WPSOffice_Level2"/>
      <w:bookmarkStart w:id="160" w:name="_Toc22900_WPSOffice_Level2"/>
      <w:bookmarkStart w:id="161" w:name="_Toc22959"/>
      <w:bookmarkStart w:id="162" w:name="_Toc6932_WPSOffice_Level2"/>
      <w:r>
        <w:rPr>
          <w:rFonts w:hint="eastAsia" w:ascii="宋体" w:hAnsi="宋体" w:cs="宋体"/>
          <w:b/>
          <w:bCs/>
          <w:sz w:val="28"/>
          <w:szCs w:val="28"/>
          <w:vertAlign w:val="baseline"/>
          <w:lang w:val="en-US" w:eastAsia="zh-CN"/>
        </w:rPr>
        <w:t>二、技术偏离表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75E3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5786B2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序号</w:t>
            </w:r>
          </w:p>
        </w:tc>
        <w:tc>
          <w:tcPr>
            <w:tcW w:w="2339" w:type="dxa"/>
            <w:vAlign w:val="center"/>
          </w:tcPr>
          <w:p w14:paraId="63C13E6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w:t>
            </w:r>
          </w:p>
        </w:tc>
        <w:tc>
          <w:tcPr>
            <w:tcW w:w="2322" w:type="dxa"/>
            <w:vAlign w:val="center"/>
          </w:tcPr>
          <w:p w14:paraId="63F052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响应</w:t>
            </w:r>
          </w:p>
        </w:tc>
        <w:tc>
          <w:tcPr>
            <w:tcW w:w="1660" w:type="dxa"/>
            <w:vAlign w:val="center"/>
          </w:tcPr>
          <w:p w14:paraId="211B5E1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偏离说明</w:t>
            </w:r>
          </w:p>
        </w:tc>
        <w:tc>
          <w:tcPr>
            <w:tcW w:w="1167" w:type="dxa"/>
            <w:vAlign w:val="center"/>
          </w:tcPr>
          <w:p w14:paraId="07BBBD7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tc>
      </w:tr>
      <w:tr w14:paraId="61CE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386911A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54A85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19CEEA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AFB4DA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F7EA32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0A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6141DD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5C10526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08975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56E1A4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C083BD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12E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5C70483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28CBB2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C7ED8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45456C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211CF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081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31042AF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4FCA4E9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45E762F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9B4C46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4309579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B9A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A1158A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2C2F626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6A939F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59EE3F6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B0239C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3A95F3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1BF8D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2BE0AB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FE68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1586F70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17DF29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19C4E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1C71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35BEE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13E3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89B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文件中的</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要求响应，偏离说明填写：优于、等于或低于。</w:t>
      </w:r>
    </w:p>
    <w:p w14:paraId="7F8CBC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F848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9FED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69C2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F077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AFEC9B">
      <w:pPr>
        <w:pStyle w:val="4"/>
        <w:keepNext w:val="0"/>
        <w:keepLines w:val="0"/>
        <w:pageBreakBefore w:val="0"/>
        <w:widowControl/>
        <w:kinsoku w:val="0"/>
        <w:wordWrap/>
        <w:overflowPunct/>
        <w:topLinePunct w:val="0"/>
        <w:autoSpaceDE w:val="0"/>
        <w:autoSpaceDN w:val="0"/>
        <w:bidi w:val="0"/>
        <w:adjustRightInd w:val="0"/>
        <w:snapToGrid w:val="0"/>
        <w:ind w:firstLine="562" w:firstLineChars="200"/>
        <w:textAlignment w:val="baseline"/>
        <w:outlineLvl w:val="1"/>
        <w:rPr>
          <w:rFonts w:hint="eastAsia" w:ascii="宋体" w:hAnsi="宋体" w:eastAsia="宋体" w:cs="宋体"/>
          <w:b/>
          <w:bCs/>
          <w:snapToGrid w:val="0"/>
          <w:color w:val="000000"/>
          <w:kern w:val="0"/>
          <w:sz w:val="28"/>
          <w:szCs w:val="28"/>
          <w:vertAlign w:val="baseline"/>
          <w:lang w:val="en-US" w:eastAsia="zh-CN"/>
        </w:rPr>
      </w:pPr>
      <w:r>
        <w:rPr>
          <w:rFonts w:hint="eastAsia" w:ascii="宋体" w:hAnsi="宋体" w:cs="宋体"/>
          <w:b/>
          <w:bCs/>
          <w:snapToGrid w:val="0"/>
          <w:color w:val="000000"/>
          <w:kern w:val="0"/>
          <w:sz w:val="28"/>
          <w:szCs w:val="28"/>
          <w:vertAlign w:val="baseline"/>
          <w:lang w:val="en-US" w:eastAsia="zh-CN"/>
        </w:rPr>
        <w:t>三</w:t>
      </w:r>
      <w:r>
        <w:rPr>
          <w:rFonts w:hint="eastAsia" w:ascii="宋体" w:hAnsi="宋体" w:eastAsia="宋体" w:cs="宋体"/>
          <w:b/>
          <w:bCs/>
          <w:snapToGrid w:val="0"/>
          <w:color w:val="000000"/>
          <w:kern w:val="0"/>
          <w:sz w:val="28"/>
          <w:szCs w:val="28"/>
          <w:vertAlign w:val="baseline"/>
          <w:lang w:val="en-US" w:eastAsia="zh-CN"/>
        </w:rPr>
        <w:t>、合同条款响应</w:t>
      </w:r>
      <w:bookmarkEnd w:id="158"/>
      <w:bookmarkEnd w:id="159"/>
      <w:bookmarkEnd w:id="160"/>
      <w:bookmarkEnd w:id="161"/>
    </w:p>
    <w:p w14:paraId="38F561EA">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宋体" w:hAnsi="宋体" w:eastAsia="宋体" w:cs="宋体"/>
          <w:sz w:val="23"/>
          <w:szCs w:val="23"/>
        </w:rPr>
      </w:pPr>
      <w:bookmarkStart w:id="163" w:name="_Toc18881_WPSOffice_Level3"/>
      <w:r>
        <w:rPr>
          <w:rFonts w:hint="eastAsia" w:ascii="宋体" w:hAnsi="宋体" w:eastAsia="宋体" w:cs="宋体"/>
          <w:sz w:val="23"/>
          <w:szCs w:val="23"/>
        </w:rPr>
        <w:t>完全理解并接受</w:t>
      </w:r>
      <w:r>
        <w:rPr>
          <w:rFonts w:hint="eastAsia" w:ascii="宋体" w:hAnsi="宋体" w:eastAsia="宋体" w:cs="宋体"/>
          <w:sz w:val="23"/>
          <w:szCs w:val="23"/>
          <w:lang w:eastAsia="zh-CN"/>
        </w:rPr>
        <w:t>采购</w:t>
      </w:r>
      <w:r>
        <w:rPr>
          <w:rFonts w:hint="eastAsia" w:ascii="宋体" w:hAnsi="宋体" w:eastAsia="宋体" w:cs="宋体"/>
          <w:sz w:val="23"/>
          <w:szCs w:val="23"/>
        </w:rPr>
        <w:t>文件中“合同条款”要求。</w:t>
      </w:r>
      <w:bookmarkEnd w:id="163"/>
    </w:p>
    <w:p w14:paraId="514FFF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767481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5AF7B3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958F2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0C0273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1D52C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ABD16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4C0EE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DDB6C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7C6E8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6DBFB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797FD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D1E46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E0569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3B8F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DEA39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F2E62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2F7A6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10D790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9963B6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5EFDE8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2D7E10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81E93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FF70F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64" w:name="_Toc19344_WPSOffice_Level2"/>
      <w:bookmarkStart w:id="165" w:name="_Toc7734_WPSOffice_Level2"/>
      <w:bookmarkStart w:id="166" w:name="_Toc6441"/>
      <w:r>
        <w:rPr>
          <w:rFonts w:hint="eastAsia" w:ascii="宋体" w:hAnsi="宋体" w:cs="宋体"/>
          <w:b/>
          <w:bCs/>
          <w:sz w:val="28"/>
          <w:szCs w:val="28"/>
          <w:vertAlign w:val="baseline"/>
          <w:lang w:val="en-US" w:eastAsia="zh-CN"/>
        </w:rPr>
        <w:t>四、响应方案</w:t>
      </w:r>
      <w:bookmarkEnd w:id="162"/>
      <w:bookmarkEnd w:id="164"/>
      <w:bookmarkEnd w:id="165"/>
      <w:bookmarkEnd w:id="166"/>
    </w:p>
    <w:p w14:paraId="4C4CC3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文件的要求，结合“第</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 评标办法”评标因素编制响应方案。</w:t>
      </w:r>
    </w:p>
    <w:p w14:paraId="28C06D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C7E4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847C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0209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DEA9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F4E6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A6E1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229F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4907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1ADA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09D9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B3B0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52BE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7476A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994B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F2EF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BE988F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5775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E47C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30D9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FB2E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F6C5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525F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ED65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D332A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BDE2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F124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C283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9030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9"/>
        <w:rPr>
          <w:rFonts w:hint="eastAsia" w:ascii="宋体" w:hAnsi="宋体" w:cs="宋体"/>
          <w:b/>
          <w:bCs/>
          <w:sz w:val="28"/>
          <w:szCs w:val="28"/>
          <w:vertAlign w:val="baseline"/>
          <w:lang w:val="en-US" w:eastAsia="zh-CN"/>
        </w:rPr>
      </w:pPr>
      <w:bookmarkStart w:id="167" w:name="_Toc15141_WPSOffice_Level2"/>
      <w:bookmarkStart w:id="168" w:name="_Toc749_WPSOffice_Level2"/>
      <w:bookmarkStart w:id="169" w:name="_Toc29867_WPSOffice_Level2"/>
      <w:bookmarkStart w:id="170" w:name="_Toc4430"/>
      <w:r>
        <w:rPr>
          <w:rFonts w:hint="eastAsia" w:ascii="宋体" w:hAnsi="宋体" w:cs="宋体"/>
          <w:b/>
          <w:bCs/>
          <w:sz w:val="28"/>
          <w:szCs w:val="28"/>
          <w:vertAlign w:val="baseline"/>
          <w:lang w:val="en-US" w:eastAsia="zh-CN"/>
        </w:rPr>
        <w:t>附件八：</w:t>
      </w:r>
      <w:bookmarkEnd w:id="167"/>
      <w:bookmarkEnd w:id="168"/>
      <w:bookmarkEnd w:id="169"/>
      <w:r>
        <w:rPr>
          <w:rFonts w:hint="eastAsia" w:ascii="宋体" w:hAnsi="宋体" w:cs="宋体"/>
          <w:b/>
          <w:bCs/>
          <w:sz w:val="28"/>
          <w:szCs w:val="28"/>
          <w:vertAlign w:val="baseline"/>
          <w:lang w:val="en-US" w:eastAsia="zh-CN"/>
        </w:rPr>
        <w:t>拟投入本项目</w:t>
      </w:r>
      <w:bookmarkEnd w:id="170"/>
      <w:r>
        <w:rPr>
          <w:rFonts w:hint="eastAsia" w:ascii="宋体" w:hAnsi="宋体" w:cs="宋体"/>
          <w:b/>
          <w:bCs/>
          <w:sz w:val="28"/>
          <w:szCs w:val="28"/>
          <w:vertAlign w:val="baseline"/>
          <w:lang w:val="en-US" w:eastAsia="zh-CN"/>
        </w:rPr>
        <w:t>团队组织人员配置明细</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14:paraId="7EBF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54E4F60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序号</w:t>
            </w:r>
          </w:p>
        </w:tc>
        <w:tc>
          <w:tcPr>
            <w:tcW w:w="1065" w:type="dxa"/>
            <w:vAlign w:val="center"/>
          </w:tcPr>
          <w:p w14:paraId="1230743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姓名</w:t>
            </w:r>
          </w:p>
        </w:tc>
        <w:tc>
          <w:tcPr>
            <w:tcW w:w="1065" w:type="dxa"/>
            <w:vAlign w:val="center"/>
          </w:tcPr>
          <w:p w14:paraId="79DE558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性别</w:t>
            </w:r>
          </w:p>
        </w:tc>
        <w:tc>
          <w:tcPr>
            <w:tcW w:w="1065" w:type="dxa"/>
            <w:vAlign w:val="center"/>
          </w:tcPr>
          <w:p w14:paraId="794528B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年龄</w:t>
            </w:r>
          </w:p>
        </w:tc>
        <w:tc>
          <w:tcPr>
            <w:tcW w:w="1065" w:type="dxa"/>
            <w:vAlign w:val="center"/>
          </w:tcPr>
          <w:p w14:paraId="37A574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学历</w:t>
            </w:r>
          </w:p>
        </w:tc>
        <w:tc>
          <w:tcPr>
            <w:tcW w:w="1065" w:type="dxa"/>
            <w:vAlign w:val="center"/>
          </w:tcPr>
          <w:p w14:paraId="73FC64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工作</w:t>
            </w:r>
          </w:p>
          <w:p w14:paraId="58A7FB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年限</w:t>
            </w:r>
          </w:p>
        </w:tc>
        <w:tc>
          <w:tcPr>
            <w:tcW w:w="1066" w:type="dxa"/>
            <w:vAlign w:val="center"/>
          </w:tcPr>
          <w:p w14:paraId="5563AE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拟担任的职务</w:t>
            </w:r>
          </w:p>
        </w:tc>
        <w:tc>
          <w:tcPr>
            <w:tcW w:w="1066" w:type="dxa"/>
            <w:vAlign w:val="center"/>
          </w:tcPr>
          <w:p w14:paraId="694D9D0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岗位</w:t>
            </w:r>
          </w:p>
          <w:p w14:paraId="3C2AAB6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情况</w:t>
            </w:r>
          </w:p>
        </w:tc>
      </w:tr>
      <w:tr w14:paraId="2E4D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45F86B8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3E993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036B40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82E847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19387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EF07F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A520C2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FB928A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DDC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BEC923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C2EF23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B2EB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12EEB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A41A62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C1438C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39DD4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03FEFE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529D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6679884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92D1B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8093C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679003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F1F241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7DB377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CDC74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1691DD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17B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3F23B57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3CE105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990FCB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0088EE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CE1D6A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15AFE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5B9EA2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457489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8E8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B035F2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ACF05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171ECF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ABD3A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0D7AD2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0E087F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859EFB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254865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620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5EA08D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1FBA09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9D8601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FDF69E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716A0B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E0EFA0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38E3DC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8ED84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314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9D3D6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1B1232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33EC83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5AC80B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95DF16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BFF5A1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48B20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76B8D0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876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31E208A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C3F06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EA5C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FF2A0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5AAF29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0275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D73705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0BEF15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6CB8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EE2745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D52184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1E236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B0ADFA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BC30B9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6B426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76A47D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320F8D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379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778532B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E8B5D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2625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A18863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3CA6E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57ED1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E5506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951A8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BA7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B3492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D1D514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E60A65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F75A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7AEE01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97639D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B6778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B9C3DD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2DD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727C7F4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643E58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4F04A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1BC3A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0A9C9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BD8340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26321B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B46251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ADF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43545F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5B401F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27A7A8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F90903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B11887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7A7FFB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B2BDE6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2F7210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6E1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C2190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70DC39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DDF96C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8D275A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6AB3D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841AF0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9DFA5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D4B278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50FD40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7A8CAD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6737A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E45D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AFA85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4829C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D1B89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5A168E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1D3898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752C42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4D55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vertAlign w:val="baseline"/>
          <w:lang w:val="en-US" w:eastAsia="zh-CN"/>
        </w:rPr>
      </w:pPr>
      <w:bookmarkStart w:id="171" w:name="_Toc25759_WPSOffice_Level2"/>
      <w:bookmarkStart w:id="172" w:name="_Toc8706_WPSOffice_Level2"/>
      <w:bookmarkStart w:id="173" w:name="_Toc18621_WPSOffice_Level2"/>
      <w:r>
        <w:rPr>
          <w:rFonts w:hint="eastAsia" w:ascii="宋体" w:hAnsi="宋体" w:cs="宋体"/>
          <w:b/>
          <w:bCs/>
          <w:sz w:val="28"/>
          <w:szCs w:val="28"/>
          <w:vertAlign w:val="baseline"/>
          <w:lang w:val="en-US" w:eastAsia="zh-CN"/>
        </w:rPr>
        <w:t>附件九：</w:t>
      </w:r>
      <w:bookmarkEnd w:id="171"/>
      <w:bookmarkEnd w:id="172"/>
      <w:bookmarkEnd w:id="173"/>
      <w:r>
        <w:rPr>
          <w:rFonts w:hint="eastAsia" w:ascii="宋体" w:hAnsi="宋体" w:cs="宋体"/>
          <w:b/>
          <w:bCs/>
          <w:sz w:val="28"/>
          <w:szCs w:val="28"/>
          <w:vertAlign w:val="baseline"/>
          <w:lang w:val="en-US" w:eastAsia="zh-CN"/>
        </w:rPr>
        <w:t>本项目拟投入主要人员简历表</w:t>
      </w:r>
    </w:p>
    <w:p w14:paraId="50523930">
      <w:pPr>
        <w:spacing w:line="420" w:lineRule="exact"/>
        <w:jc w:val="center"/>
        <w:outlineLvl w:val="9"/>
        <w:rPr>
          <w:rFonts w:hint="eastAsia" w:ascii="宋体" w:hAnsi="宋体" w:eastAsia="宋体" w:cs="宋体"/>
          <w:sz w:val="23"/>
          <w:szCs w:val="23"/>
        </w:rPr>
      </w:pPr>
      <w:r>
        <w:rPr>
          <w:rFonts w:hint="eastAsia" w:ascii="宋体" w:hAnsi="宋体" w:eastAsia="宋体" w:cs="宋体"/>
          <w:b/>
          <w:bCs/>
          <w:sz w:val="23"/>
          <w:szCs w:val="23"/>
        </w:rPr>
        <w:t>项目</w:t>
      </w:r>
      <w:r>
        <w:rPr>
          <w:rFonts w:hint="eastAsia" w:ascii="宋体" w:hAnsi="宋体" w:eastAsia="宋体" w:cs="宋体"/>
          <w:b/>
          <w:bCs/>
          <w:sz w:val="23"/>
          <w:szCs w:val="23"/>
          <w:lang w:eastAsia="zh-CN"/>
        </w:rPr>
        <w:t>负责人</w:t>
      </w:r>
      <w:r>
        <w:rPr>
          <w:rFonts w:hint="eastAsia" w:ascii="宋体" w:hAnsi="宋体" w:eastAsia="宋体" w:cs="宋体"/>
          <w:b/>
          <w:bCs/>
          <w:sz w:val="23"/>
          <w:szCs w:val="23"/>
        </w:rPr>
        <w:t>简历表</w:t>
      </w:r>
    </w:p>
    <w:tbl>
      <w:tblPr>
        <w:tblStyle w:val="2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074"/>
        <w:gridCol w:w="1092"/>
        <w:gridCol w:w="1593"/>
        <w:gridCol w:w="1341"/>
        <w:gridCol w:w="2126"/>
      </w:tblGrid>
      <w:tr w14:paraId="0AE2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23EDECF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1074" w:type="dxa"/>
            <w:noWrap w:val="0"/>
            <w:vAlign w:val="center"/>
          </w:tcPr>
          <w:p w14:paraId="119E61F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01B88CA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年  龄</w:t>
            </w:r>
          </w:p>
        </w:tc>
        <w:tc>
          <w:tcPr>
            <w:tcW w:w="1593" w:type="dxa"/>
            <w:noWrap w:val="0"/>
            <w:vAlign w:val="center"/>
          </w:tcPr>
          <w:p w14:paraId="23A57F7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38172E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学历</w:t>
            </w:r>
          </w:p>
        </w:tc>
        <w:tc>
          <w:tcPr>
            <w:tcW w:w="2126" w:type="dxa"/>
            <w:noWrap w:val="0"/>
            <w:vAlign w:val="center"/>
          </w:tcPr>
          <w:p w14:paraId="5767CAA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28D2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0F1EF4E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称</w:t>
            </w:r>
          </w:p>
        </w:tc>
        <w:tc>
          <w:tcPr>
            <w:tcW w:w="1074" w:type="dxa"/>
            <w:noWrap w:val="0"/>
            <w:vAlign w:val="center"/>
          </w:tcPr>
          <w:p w14:paraId="0715227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7E5BC7D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务</w:t>
            </w:r>
          </w:p>
        </w:tc>
        <w:tc>
          <w:tcPr>
            <w:tcW w:w="1593" w:type="dxa"/>
            <w:noWrap w:val="0"/>
            <w:vAlign w:val="center"/>
          </w:tcPr>
          <w:p w14:paraId="3FCF1F9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30EB8EE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拟在本工程任职</w:t>
            </w:r>
          </w:p>
        </w:tc>
        <w:tc>
          <w:tcPr>
            <w:tcW w:w="2126" w:type="dxa"/>
            <w:noWrap w:val="0"/>
            <w:vAlign w:val="center"/>
          </w:tcPr>
          <w:p w14:paraId="37A8921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lang w:eastAsia="zh-CN"/>
              </w:rPr>
            </w:pPr>
            <w:r>
              <w:rPr>
                <w:rFonts w:hint="eastAsia" w:ascii="宋体" w:hAnsi="宋体" w:eastAsia="宋体" w:cs="宋体"/>
                <w:sz w:val="23"/>
                <w:szCs w:val="23"/>
              </w:rPr>
              <w:t>项目</w:t>
            </w:r>
            <w:r>
              <w:rPr>
                <w:rFonts w:hint="eastAsia" w:ascii="宋体" w:hAnsi="宋体" w:eastAsia="宋体" w:cs="宋体"/>
                <w:sz w:val="23"/>
                <w:szCs w:val="23"/>
                <w:lang w:eastAsia="zh-CN"/>
              </w:rPr>
              <w:t>负责人</w:t>
            </w:r>
          </w:p>
        </w:tc>
      </w:tr>
      <w:tr w14:paraId="571E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21C21FC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毕业学校</w:t>
            </w:r>
          </w:p>
        </w:tc>
        <w:tc>
          <w:tcPr>
            <w:tcW w:w="7226" w:type="dxa"/>
            <w:gridSpan w:val="5"/>
            <w:noWrap w:val="0"/>
            <w:vAlign w:val="center"/>
          </w:tcPr>
          <w:p w14:paraId="100E3F7C">
            <w:pPr>
              <w:keepNext w:val="0"/>
              <w:keepLines w:val="0"/>
              <w:widowControl w:val="0"/>
              <w:suppressLineNumbers w:val="0"/>
              <w:spacing w:before="0" w:beforeAutospacing="0" w:after="0" w:afterAutospacing="0"/>
              <w:ind w:left="0" w:right="0" w:firstLine="920" w:firstLineChars="400"/>
              <w:outlineLvl w:val="9"/>
              <w:rPr>
                <w:rFonts w:hint="eastAsia" w:ascii="宋体" w:hAnsi="宋体" w:eastAsia="宋体" w:cs="宋体"/>
                <w:sz w:val="23"/>
                <w:szCs w:val="23"/>
              </w:rPr>
            </w:pPr>
            <w:r>
              <w:rPr>
                <w:rFonts w:hint="eastAsia" w:ascii="宋体" w:hAnsi="宋体" w:eastAsia="宋体" w:cs="宋体"/>
                <w:sz w:val="23"/>
                <w:szCs w:val="23"/>
              </w:rPr>
              <w:t>年毕业于                  学校            专业</w:t>
            </w:r>
          </w:p>
        </w:tc>
      </w:tr>
      <w:tr w14:paraId="64B3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gridSpan w:val="6"/>
            <w:noWrap w:val="0"/>
            <w:vAlign w:val="center"/>
          </w:tcPr>
          <w:p w14:paraId="0D7CD26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3339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751F957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时  间</w:t>
            </w:r>
          </w:p>
        </w:tc>
        <w:tc>
          <w:tcPr>
            <w:tcW w:w="3759" w:type="dxa"/>
            <w:gridSpan w:val="3"/>
            <w:noWrap w:val="0"/>
            <w:vAlign w:val="center"/>
          </w:tcPr>
          <w:p w14:paraId="6B0D4C5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参加过的类似项目名称</w:t>
            </w:r>
          </w:p>
        </w:tc>
        <w:tc>
          <w:tcPr>
            <w:tcW w:w="1341" w:type="dxa"/>
            <w:noWrap w:val="0"/>
            <w:vAlign w:val="center"/>
          </w:tcPr>
          <w:p w14:paraId="3CB2784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126" w:type="dxa"/>
            <w:noWrap w:val="0"/>
            <w:vAlign w:val="center"/>
          </w:tcPr>
          <w:p w14:paraId="043E4ED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723A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2C62231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553B134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5E3AD63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5EEFD78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326C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085326A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7C2B074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91EE5F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1DC02BF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17A3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23EAB7D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09215E4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56143D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3218B7B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397D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7D60930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12A7781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139F070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01C280B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6B37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3B7CC4F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157AEC9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942EAA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710F984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bl>
    <w:p w14:paraId="686FCD20">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outlineLvl w:val="9"/>
        <w:rPr>
          <w:rFonts w:hint="eastAsia" w:ascii="宋体" w:hAnsi="宋体" w:eastAsia="宋体" w:cs="宋体"/>
          <w:sz w:val="23"/>
          <w:szCs w:val="23"/>
        </w:rPr>
      </w:pPr>
      <w:r>
        <w:rPr>
          <w:rFonts w:hint="eastAsia" w:ascii="宋体" w:hAnsi="宋体" w:eastAsia="宋体" w:cs="宋体"/>
          <w:sz w:val="23"/>
          <w:szCs w:val="23"/>
          <w:lang w:val="en-US" w:eastAsia="zh-CN"/>
        </w:rPr>
        <w:t>注：项目负责人应附相关资料复印件</w:t>
      </w:r>
      <w:r>
        <w:rPr>
          <w:rFonts w:hint="eastAsia" w:ascii="宋体" w:hAnsi="宋体" w:eastAsia="宋体" w:cs="宋体"/>
          <w:sz w:val="23"/>
          <w:szCs w:val="23"/>
        </w:rPr>
        <w:t>。</w:t>
      </w:r>
    </w:p>
    <w:p w14:paraId="268C11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DD5C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AE4E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B5D0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B78C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51F7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5A5E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1117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28C0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42D8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929D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80BE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9406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FF6A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CD05EF">
      <w:pPr>
        <w:spacing w:line="400" w:lineRule="exact"/>
        <w:outlineLvl w:val="9"/>
        <w:rPr>
          <w:rFonts w:hint="eastAsia" w:ascii="宋体" w:hAnsi="宋体" w:eastAsia="宋体" w:cs="宋体"/>
          <w:sz w:val="24"/>
        </w:rPr>
      </w:pPr>
      <w:bookmarkStart w:id="174" w:name="_Toc26129_WPSOffice_Level2"/>
      <w:bookmarkStart w:id="175" w:name="_Toc26519_WPSOffice_Level2"/>
      <w:bookmarkStart w:id="176" w:name="_Toc5250_WPSOffice_Level2"/>
      <w:r>
        <w:rPr>
          <w:rFonts w:hint="eastAsia" w:ascii="宋体" w:hAnsi="宋体" w:cs="宋体"/>
          <w:b/>
          <w:bCs/>
          <w:sz w:val="28"/>
          <w:szCs w:val="28"/>
          <w:vertAlign w:val="baseline"/>
          <w:lang w:val="en-US" w:eastAsia="zh-CN"/>
        </w:rPr>
        <w:t>附件十：</w:t>
      </w:r>
      <w:bookmarkEnd w:id="174"/>
      <w:bookmarkEnd w:id="175"/>
      <w:bookmarkEnd w:id="176"/>
      <w:r>
        <w:rPr>
          <w:rFonts w:hint="eastAsia" w:ascii="宋体" w:hAnsi="宋体" w:cs="宋体"/>
          <w:b/>
          <w:bCs/>
          <w:sz w:val="28"/>
          <w:szCs w:val="28"/>
          <w:vertAlign w:val="baseline"/>
          <w:lang w:val="en-US" w:eastAsia="zh-CN"/>
        </w:rPr>
        <w:t>拟委任的其他主要管理人员和技术人员简历表</w:t>
      </w:r>
    </w:p>
    <w:tbl>
      <w:tblPr>
        <w:tblStyle w:val="19"/>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297"/>
        <w:gridCol w:w="2556"/>
        <w:gridCol w:w="1356"/>
        <w:gridCol w:w="2351"/>
      </w:tblGrid>
      <w:tr w14:paraId="39FF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2EC09A0A">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6263" w:type="dxa"/>
            <w:gridSpan w:val="3"/>
            <w:noWrap w:val="0"/>
            <w:vAlign w:val="center"/>
          </w:tcPr>
          <w:p w14:paraId="31976680">
            <w:pPr>
              <w:spacing w:line="440" w:lineRule="exact"/>
              <w:jc w:val="center"/>
              <w:outlineLvl w:val="9"/>
              <w:rPr>
                <w:rFonts w:hint="eastAsia" w:ascii="宋体" w:hAnsi="宋体" w:eastAsia="宋体" w:cs="宋体"/>
                <w:sz w:val="23"/>
                <w:szCs w:val="23"/>
              </w:rPr>
            </w:pPr>
          </w:p>
        </w:tc>
      </w:tr>
      <w:tr w14:paraId="4A21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553E63E5">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年</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 xml:space="preserve"> 龄</w:t>
            </w:r>
          </w:p>
        </w:tc>
        <w:tc>
          <w:tcPr>
            <w:tcW w:w="6263" w:type="dxa"/>
            <w:gridSpan w:val="3"/>
            <w:noWrap w:val="0"/>
            <w:vAlign w:val="center"/>
          </w:tcPr>
          <w:p w14:paraId="26A329E8">
            <w:pPr>
              <w:spacing w:line="440" w:lineRule="exact"/>
              <w:jc w:val="center"/>
              <w:outlineLvl w:val="9"/>
              <w:rPr>
                <w:rFonts w:hint="eastAsia" w:ascii="宋体" w:hAnsi="宋体" w:eastAsia="宋体" w:cs="宋体"/>
                <w:sz w:val="23"/>
                <w:szCs w:val="23"/>
              </w:rPr>
            </w:pPr>
          </w:p>
        </w:tc>
      </w:tr>
      <w:tr w14:paraId="4884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684F3E06">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职</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 xml:space="preserve"> 务</w:t>
            </w:r>
          </w:p>
        </w:tc>
        <w:tc>
          <w:tcPr>
            <w:tcW w:w="6263" w:type="dxa"/>
            <w:gridSpan w:val="3"/>
            <w:noWrap w:val="0"/>
            <w:vAlign w:val="top"/>
          </w:tcPr>
          <w:p w14:paraId="7A7164DB">
            <w:pPr>
              <w:spacing w:line="440" w:lineRule="exact"/>
              <w:outlineLvl w:val="9"/>
              <w:rPr>
                <w:rFonts w:hint="eastAsia" w:ascii="宋体" w:hAnsi="宋体" w:eastAsia="宋体" w:cs="宋体"/>
                <w:sz w:val="23"/>
                <w:szCs w:val="23"/>
              </w:rPr>
            </w:pPr>
          </w:p>
        </w:tc>
      </w:tr>
      <w:tr w14:paraId="43BF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0BBFD56D">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拟在本合同任职</w:t>
            </w:r>
          </w:p>
        </w:tc>
        <w:tc>
          <w:tcPr>
            <w:tcW w:w="6263" w:type="dxa"/>
            <w:gridSpan w:val="3"/>
            <w:noWrap w:val="0"/>
            <w:vAlign w:val="top"/>
          </w:tcPr>
          <w:p w14:paraId="2696E90E">
            <w:pPr>
              <w:spacing w:line="440" w:lineRule="exact"/>
              <w:outlineLvl w:val="9"/>
              <w:rPr>
                <w:rFonts w:hint="eastAsia" w:ascii="宋体" w:hAnsi="宋体" w:eastAsia="宋体" w:cs="宋体"/>
                <w:sz w:val="23"/>
                <w:szCs w:val="23"/>
                <w:u w:val="single" w:color="auto"/>
              </w:rPr>
            </w:pPr>
          </w:p>
        </w:tc>
      </w:tr>
      <w:tr w14:paraId="41A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362" w:type="dxa"/>
            <w:gridSpan w:val="5"/>
            <w:noWrap w:val="0"/>
            <w:vAlign w:val="center"/>
          </w:tcPr>
          <w:p w14:paraId="74A3B552">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49E7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02" w:type="dxa"/>
            <w:noWrap w:val="0"/>
            <w:vAlign w:val="center"/>
          </w:tcPr>
          <w:p w14:paraId="70718FD4">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lang w:eastAsia="zh-CN"/>
              </w:rPr>
              <w:t>起止</w:t>
            </w:r>
            <w:r>
              <w:rPr>
                <w:rFonts w:hint="eastAsia" w:ascii="宋体" w:hAnsi="宋体" w:eastAsia="宋体" w:cs="宋体"/>
                <w:sz w:val="23"/>
                <w:szCs w:val="23"/>
              </w:rPr>
              <w:t>时间</w:t>
            </w:r>
          </w:p>
        </w:tc>
        <w:tc>
          <w:tcPr>
            <w:tcW w:w="2853" w:type="dxa"/>
            <w:gridSpan w:val="2"/>
            <w:noWrap w:val="0"/>
            <w:vAlign w:val="center"/>
          </w:tcPr>
          <w:p w14:paraId="67596EE0">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w:t>
            </w:r>
          </w:p>
        </w:tc>
        <w:tc>
          <w:tcPr>
            <w:tcW w:w="1356" w:type="dxa"/>
            <w:noWrap w:val="0"/>
            <w:vAlign w:val="center"/>
          </w:tcPr>
          <w:p w14:paraId="1567DC66">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351" w:type="dxa"/>
            <w:noWrap w:val="0"/>
            <w:vAlign w:val="center"/>
          </w:tcPr>
          <w:p w14:paraId="4D5456F4">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78E4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0ACC7679">
            <w:pPr>
              <w:spacing w:line="440" w:lineRule="exact"/>
              <w:jc w:val="center"/>
              <w:outlineLvl w:val="9"/>
              <w:rPr>
                <w:rFonts w:hint="eastAsia" w:ascii="宋体" w:hAnsi="宋体" w:eastAsia="宋体" w:cs="宋体"/>
                <w:sz w:val="23"/>
                <w:szCs w:val="23"/>
              </w:rPr>
            </w:pPr>
          </w:p>
        </w:tc>
        <w:tc>
          <w:tcPr>
            <w:tcW w:w="2853" w:type="dxa"/>
            <w:gridSpan w:val="2"/>
            <w:noWrap w:val="0"/>
            <w:vAlign w:val="center"/>
          </w:tcPr>
          <w:p w14:paraId="1E5BE797">
            <w:pPr>
              <w:spacing w:line="440" w:lineRule="exact"/>
              <w:jc w:val="center"/>
              <w:outlineLvl w:val="9"/>
              <w:rPr>
                <w:rFonts w:hint="eastAsia" w:ascii="宋体" w:hAnsi="宋体" w:eastAsia="宋体" w:cs="宋体"/>
                <w:sz w:val="23"/>
                <w:szCs w:val="23"/>
              </w:rPr>
            </w:pPr>
          </w:p>
        </w:tc>
        <w:tc>
          <w:tcPr>
            <w:tcW w:w="1356" w:type="dxa"/>
            <w:noWrap w:val="0"/>
            <w:vAlign w:val="center"/>
          </w:tcPr>
          <w:p w14:paraId="30ED5E13">
            <w:pPr>
              <w:spacing w:line="440" w:lineRule="exact"/>
              <w:jc w:val="center"/>
              <w:outlineLvl w:val="9"/>
              <w:rPr>
                <w:rFonts w:hint="eastAsia" w:ascii="宋体" w:hAnsi="宋体" w:eastAsia="宋体" w:cs="宋体"/>
                <w:sz w:val="23"/>
                <w:szCs w:val="23"/>
              </w:rPr>
            </w:pPr>
          </w:p>
        </w:tc>
        <w:tc>
          <w:tcPr>
            <w:tcW w:w="2351" w:type="dxa"/>
            <w:noWrap w:val="0"/>
            <w:vAlign w:val="center"/>
          </w:tcPr>
          <w:p w14:paraId="591A1AA0">
            <w:pPr>
              <w:spacing w:line="440" w:lineRule="exact"/>
              <w:jc w:val="center"/>
              <w:outlineLvl w:val="9"/>
              <w:rPr>
                <w:rFonts w:hint="eastAsia" w:ascii="宋体" w:hAnsi="宋体" w:eastAsia="宋体" w:cs="宋体"/>
                <w:sz w:val="23"/>
                <w:szCs w:val="23"/>
              </w:rPr>
            </w:pPr>
          </w:p>
        </w:tc>
      </w:tr>
      <w:tr w14:paraId="55B5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top"/>
          </w:tcPr>
          <w:p w14:paraId="54531CDC">
            <w:pPr>
              <w:spacing w:line="440" w:lineRule="exact"/>
              <w:outlineLvl w:val="9"/>
              <w:rPr>
                <w:rFonts w:hint="eastAsia" w:ascii="宋体" w:hAnsi="宋体" w:eastAsia="宋体" w:cs="宋体"/>
                <w:sz w:val="23"/>
                <w:szCs w:val="23"/>
              </w:rPr>
            </w:pPr>
          </w:p>
        </w:tc>
        <w:tc>
          <w:tcPr>
            <w:tcW w:w="2853" w:type="dxa"/>
            <w:gridSpan w:val="2"/>
            <w:noWrap w:val="0"/>
            <w:vAlign w:val="top"/>
          </w:tcPr>
          <w:p w14:paraId="56692E69">
            <w:pPr>
              <w:spacing w:line="440" w:lineRule="exact"/>
              <w:outlineLvl w:val="9"/>
              <w:rPr>
                <w:rFonts w:hint="eastAsia" w:ascii="宋体" w:hAnsi="宋体" w:eastAsia="宋体" w:cs="宋体"/>
                <w:sz w:val="23"/>
                <w:szCs w:val="23"/>
              </w:rPr>
            </w:pPr>
          </w:p>
        </w:tc>
        <w:tc>
          <w:tcPr>
            <w:tcW w:w="1356" w:type="dxa"/>
            <w:noWrap w:val="0"/>
            <w:vAlign w:val="top"/>
          </w:tcPr>
          <w:p w14:paraId="514860AE">
            <w:pPr>
              <w:spacing w:line="440" w:lineRule="exact"/>
              <w:outlineLvl w:val="9"/>
              <w:rPr>
                <w:rFonts w:hint="eastAsia" w:ascii="宋体" w:hAnsi="宋体" w:eastAsia="宋体" w:cs="宋体"/>
                <w:sz w:val="23"/>
                <w:szCs w:val="23"/>
              </w:rPr>
            </w:pPr>
          </w:p>
        </w:tc>
        <w:tc>
          <w:tcPr>
            <w:tcW w:w="2351" w:type="dxa"/>
            <w:noWrap w:val="0"/>
            <w:vAlign w:val="top"/>
          </w:tcPr>
          <w:p w14:paraId="47D82C45">
            <w:pPr>
              <w:spacing w:line="440" w:lineRule="exact"/>
              <w:outlineLvl w:val="9"/>
              <w:rPr>
                <w:rFonts w:hint="eastAsia" w:ascii="宋体" w:hAnsi="宋体" w:eastAsia="宋体" w:cs="宋体"/>
                <w:sz w:val="23"/>
                <w:szCs w:val="23"/>
              </w:rPr>
            </w:pPr>
          </w:p>
        </w:tc>
      </w:tr>
      <w:tr w14:paraId="141B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top"/>
          </w:tcPr>
          <w:p w14:paraId="6322B5B7">
            <w:pPr>
              <w:spacing w:line="440" w:lineRule="exact"/>
              <w:outlineLvl w:val="9"/>
              <w:rPr>
                <w:rFonts w:hint="eastAsia" w:ascii="宋体" w:hAnsi="宋体" w:eastAsia="宋体" w:cs="宋体"/>
                <w:sz w:val="23"/>
                <w:szCs w:val="23"/>
              </w:rPr>
            </w:pPr>
          </w:p>
        </w:tc>
        <w:tc>
          <w:tcPr>
            <w:tcW w:w="2853" w:type="dxa"/>
            <w:gridSpan w:val="2"/>
            <w:noWrap w:val="0"/>
            <w:vAlign w:val="top"/>
          </w:tcPr>
          <w:p w14:paraId="7675C976">
            <w:pPr>
              <w:spacing w:line="440" w:lineRule="exact"/>
              <w:outlineLvl w:val="9"/>
              <w:rPr>
                <w:rFonts w:hint="eastAsia" w:ascii="宋体" w:hAnsi="宋体" w:eastAsia="宋体" w:cs="宋体"/>
                <w:sz w:val="23"/>
                <w:szCs w:val="23"/>
              </w:rPr>
            </w:pPr>
          </w:p>
        </w:tc>
        <w:tc>
          <w:tcPr>
            <w:tcW w:w="1356" w:type="dxa"/>
            <w:noWrap w:val="0"/>
            <w:vAlign w:val="top"/>
          </w:tcPr>
          <w:p w14:paraId="33FE4772">
            <w:pPr>
              <w:spacing w:line="440" w:lineRule="exact"/>
              <w:outlineLvl w:val="9"/>
              <w:rPr>
                <w:rFonts w:hint="eastAsia" w:ascii="宋体" w:hAnsi="宋体" w:eastAsia="宋体" w:cs="宋体"/>
                <w:sz w:val="23"/>
                <w:szCs w:val="23"/>
              </w:rPr>
            </w:pPr>
          </w:p>
        </w:tc>
        <w:tc>
          <w:tcPr>
            <w:tcW w:w="2351" w:type="dxa"/>
            <w:noWrap w:val="0"/>
            <w:vAlign w:val="top"/>
          </w:tcPr>
          <w:p w14:paraId="0BFDDC40">
            <w:pPr>
              <w:spacing w:line="440" w:lineRule="exact"/>
              <w:outlineLvl w:val="9"/>
              <w:rPr>
                <w:rFonts w:hint="eastAsia" w:ascii="宋体" w:hAnsi="宋体" w:eastAsia="宋体" w:cs="宋体"/>
                <w:sz w:val="23"/>
                <w:szCs w:val="23"/>
              </w:rPr>
            </w:pPr>
          </w:p>
        </w:tc>
      </w:tr>
      <w:tr w14:paraId="2AA9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37DFAB92">
            <w:pPr>
              <w:spacing w:line="440" w:lineRule="exact"/>
              <w:outlineLvl w:val="9"/>
              <w:rPr>
                <w:rFonts w:hint="eastAsia" w:ascii="宋体" w:hAnsi="宋体" w:eastAsia="宋体" w:cs="宋体"/>
                <w:sz w:val="23"/>
                <w:szCs w:val="23"/>
              </w:rPr>
            </w:pPr>
          </w:p>
        </w:tc>
        <w:tc>
          <w:tcPr>
            <w:tcW w:w="2853" w:type="dxa"/>
            <w:gridSpan w:val="2"/>
            <w:noWrap w:val="0"/>
            <w:vAlign w:val="center"/>
          </w:tcPr>
          <w:p w14:paraId="1D754624">
            <w:pPr>
              <w:spacing w:line="440" w:lineRule="exact"/>
              <w:outlineLvl w:val="9"/>
              <w:rPr>
                <w:rFonts w:hint="eastAsia" w:ascii="宋体" w:hAnsi="宋体" w:eastAsia="宋体" w:cs="宋体"/>
                <w:sz w:val="23"/>
                <w:szCs w:val="23"/>
              </w:rPr>
            </w:pPr>
          </w:p>
        </w:tc>
        <w:tc>
          <w:tcPr>
            <w:tcW w:w="1356" w:type="dxa"/>
            <w:noWrap w:val="0"/>
            <w:vAlign w:val="center"/>
          </w:tcPr>
          <w:p w14:paraId="705CB8D0">
            <w:pPr>
              <w:spacing w:line="440" w:lineRule="exact"/>
              <w:outlineLvl w:val="9"/>
              <w:rPr>
                <w:rFonts w:hint="eastAsia" w:ascii="宋体" w:hAnsi="宋体" w:eastAsia="宋体" w:cs="宋体"/>
                <w:sz w:val="23"/>
                <w:szCs w:val="23"/>
              </w:rPr>
            </w:pPr>
          </w:p>
        </w:tc>
        <w:tc>
          <w:tcPr>
            <w:tcW w:w="2351" w:type="dxa"/>
            <w:noWrap w:val="0"/>
            <w:vAlign w:val="center"/>
          </w:tcPr>
          <w:p w14:paraId="42A55F92">
            <w:pPr>
              <w:spacing w:line="440" w:lineRule="exact"/>
              <w:outlineLvl w:val="9"/>
              <w:rPr>
                <w:rFonts w:hint="eastAsia" w:ascii="宋体" w:hAnsi="宋体" w:eastAsia="宋体" w:cs="宋体"/>
                <w:sz w:val="23"/>
                <w:szCs w:val="23"/>
              </w:rPr>
            </w:pPr>
          </w:p>
        </w:tc>
      </w:tr>
      <w:tr w14:paraId="7079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5C01E7EB">
            <w:pPr>
              <w:spacing w:line="440" w:lineRule="exact"/>
              <w:outlineLvl w:val="9"/>
              <w:rPr>
                <w:rFonts w:hint="eastAsia" w:ascii="宋体" w:hAnsi="宋体" w:eastAsia="宋体" w:cs="宋体"/>
                <w:sz w:val="23"/>
                <w:szCs w:val="23"/>
              </w:rPr>
            </w:pPr>
          </w:p>
        </w:tc>
        <w:tc>
          <w:tcPr>
            <w:tcW w:w="2853" w:type="dxa"/>
            <w:gridSpan w:val="2"/>
            <w:noWrap w:val="0"/>
            <w:vAlign w:val="center"/>
          </w:tcPr>
          <w:p w14:paraId="6397EEEF">
            <w:pPr>
              <w:spacing w:line="440" w:lineRule="exact"/>
              <w:outlineLvl w:val="9"/>
              <w:rPr>
                <w:rFonts w:hint="eastAsia" w:ascii="宋体" w:hAnsi="宋体" w:eastAsia="宋体" w:cs="宋体"/>
                <w:sz w:val="23"/>
                <w:szCs w:val="23"/>
              </w:rPr>
            </w:pPr>
          </w:p>
        </w:tc>
        <w:tc>
          <w:tcPr>
            <w:tcW w:w="1356" w:type="dxa"/>
            <w:noWrap w:val="0"/>
            <w:vAlign w:val="center"/>
          </w:tcPr>
          <w:p w14:paraId="57246F86">
            <w:pPr>
              <w:spacing w:line="440" w:lineRule="exact"/>
              <w:outlineLvl w:val="9"/>
              <w:rPr>
                <w:rFonts w:hint="eastAsia" w:ascii="宋体" w:hAnsi="宋体" w:eastAsia="宋体" w:cs="宋体"/>
                <w:sz w:val="23"/>
                <w:szCs w:val="23"/>
              </w:rPr>
            </w:pPr>
          </w:p>
        </w:tc>
        <w:tc>
          <w:tcPr>
            <w:tcW w:w="2351" w:type="dxa"/>
            <w:noWrap w:val="0"/>
            <w:vAlign w:val="center"/>
          </w:tcPr>
          <w:p w14:paraId="4576259A">
            <w:pPr>
              <w:spacing w:line="440" w:lineRule="exact"/>
              <w:outlineLvl w:val="9"/>
              <w:rPr>
                <w:rFonts w:hint="eastAsia" w:ascii="宋体" w:hAnsi="宋体" w:eastAsia="宋体" w:cs="宋体"/>
                <w:sz w:val="23"/>
                <w:szCs w:val="23"/>
              </w:rPr>
            </w:pPr>
          </w:p>
        </w:tc>
      </w:tr>
      <w:tr w14:paraId="0EB4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62A4DC1E">
            <w:pPr>
              <w:spacing w:line="440" w:lineRule="exact"/>
              <w:outlineLvl w:val="9"/>
              <w:rPr>
                <w:rFonts w:hint="eastAsia" w:ascii="宋体" w:hAnsi="宋体" w:eastAsia="宋体" w:cs="宋体"/>
                <w:sz w:val="23"/>
                <w:szCs w:val="23"/>
              </w:rPr>
            </w:pPr>
          </w:p>
        </w:tc>
        <w:tc>
          <w:tcPr>
            <w:tcW w:w="2853" w:type="dxa"/>
            <w:gridSpan w:val="2"/>
            <w:noWrap w:val="0"/>
            <w:vAlign w:val="center"/>
          </w:tcPr>
          <w:p w14:paraId="48C29785">
            <w:pPr>
              <w:spacing w:line="440" w:lineRule="exact"/>
              <w:outlineLvl w:val="9"/>
              <w:rPr>
                <w:rFonts w:hint="eastAsia" w:ascii="宋体" w:hAnsi="宋体" w:eastAsia="宋体" w:cs="宋体"/>
                <w:sz w:val="23"/>
                <w:szCs w:val="23"/>
              </w:rPr>
            </w:pPr>
          </w:p>
        </w:tc>
        <w:tc>
          <w:tcPr>
            <w:tcW w:w="1356" w:type="dxa"/>
            <w:noWrap w:val="0"/>
            <w:vAlign w:val="center"/>
          </w:tcPr>
          <w:p w14:paraId="2ED2BA32">
            <w:pPr>
              <w:spacing w:line="440" w:lineRule="exact"/>
              <w:outlineLvl w:val="9"/>
              <w:rPr>
                <w:rFonts w:hint="eastAsia" w:ascii="宋体" w:hAnsi="宋体" w:eastAsia="宋体" w:cs="宋体"/>
                <w:sz w:val="23"/>
                <w:szCs w:val="23"/>
              </w:rPr>
            </w:pPr>
          </w:p>
        </w:tc>
        <w:tc>
          <w:tcPr>
            <w:tcW w:w="2351" w:type="dxa"/>
            <w:noWrap w:val="0"/>
            <w:vAlign w:val="center"/>
          </w:tcPr>
          <w:p w14:paraId="33FE010D">
            <w:pPr>
              <w:spacing w:line="440" w:lineRule="exact"/>
              <w:outlineLvl w:val="9"/>
              <w:rPr>
                <w:rFonts w:hint="eastAsia" w:ascii="宋体" w:hAnsi="宋体" w:eastAsia="宋体" w:cs="宋体"/>
                <w:sz w:val="23"/>
                <w:szCs w:val="23"/>
              </w:rPr>
            </w:pPr>
          </w:p>
        </w:tc>
      </w:tr>
      <w:tr w14:paraId="3A1A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7F1DA451">
            <w:pPr>
              <w:spacing w:line="440" w:lineRule="exact"/>
              <w:outlineLvl w:val="9"/>
              <w:rPr>
                <w:rFonts w:hint="eastAsia" w:ascii="宋体" w:hAnsi="宋体" w:eastAsia="宋体" w:cs="宋体"/>
                <w:sz w:val="23"/>
                <w:szCs w:val="23"/>
              </w:rPr>
            </w:pPr>
          </w:p>
        </w:tc>
        <w:tc>
          <w:tcPr>
            <w:tcW w:w="2853" w:type="dxa"/>
            <w:gridSpan w:val="2"/>
            <w:noWrap w:val="0"/>
            <w:vAlign w:val="center"/>
          </w:tcPr>
          <w:p w14:paraId="305E788F">
            <w:pPr>
              <w:spacing w:line="440" w:lineRule="exact"/>
              <w:outlineLvl w:val="9"/>
              <w:rPr>
                <w:rFonts w:hint="eastAsia" w:ascii="宋体" w:hAnsi="宋体" w:eastAsia="宋体" w:cs="宋体"/>
                <w:sz w:val="23"/>
                <w:szCs w:val="23"/>
              </w:rPr>
            </w:pPr>
          </w:p>
        </w:tc>
        <w:tc>
          <w:tcPr>
            <w:tcW w:w="1356" w:type="dxa"/>
            <w:noWrap w:val="0"/>
            <w:vAlign w:val="center"/>
          </w:tcPr>
          <w:p w14:paraId="11C48A67">
            <w:pPr>
              <w:spacing w:line="440" w:lineRule="exact"/>
              <w:outlineLvl w:val="9"/>
              <w:rPr>
                <w:rFonts w:hint="eastAsia" w:ascii="宋体" w:hAnsi="宋体" w:eastAsia="宋体" w:cs="宋体"/>
                <w:sz w:val="23"/>
                <w:szCs w:val="23"/>
              </w:rPr>
            </w:pPr>
          </w:p>
        </w:tc>
        <w:tc>
          <w:tcPr>
            <w:tcW w:w="2351" w:type="dxa"/>
            <w:noWrap w:val="0"/>
            <w:vAlign w:val="center"/>
          </w:tcPr>
          <w:p w14:paraId="0089E333">
            <w:pPr>
              <w:spacing w:line="440" w:lineRule="exact"/>
              <w:outlineLvl w:val="9"/>
              <w:rPr>
                <w:rFonts w:hint="eastAsia" w:ascii="宋体" w:hAnsi="宋体" w:eastAsia="宋体" w:cs="宋体"/>
                <w:sz w:val="23"/>
                <w:szCs w:val="23"/>
              </w:rPr>
            </w:pPr>
          </w:p>
        </w:tc>
      </w:tr>
      <w:tr w14:paraId="51B4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5446EF32">
            <w:pPr>
              <w:spacing w:line="440" w:lineRule="exact"/>
              <w:outlineLvl w:val="9"/>
              <w:rPr>
                <w:rFonts w:hint="eastAsia" w:ascii="宋体" w:hAnsi="宋体" w:eastAsia="宋体" w:cs="宋体"/>
                <w:sz w:val="23"/>
                <w:szCs w:val="23"/>
              </w:rPr>
            </w:pPr>
          </w:p>
        </w:tc>
        <w:tc>
          <w:tcPr>
            <w:tcW w:w="2853" w:type="dxa"/>
            <w:gridSpan w:val="2"/>
            <w:noWrap w:val="0"/>
            <w:vAlign w:val="center"/>
          </w:tcPr>
          <w:p w14:paraId="070C1174">
            <w:pPr>
              <w:spacing w:line="440" w:lineRule="exact"/>
              <w:outlineLvl w:val="9"/>
              <w:rPr>
                <w:rFonts w:hint="eastAsia" w:ascii="宋体" w:hAnsi="宋体" w:eastAsia="宋体" w:cs="宋体"/>
                <w:sz w:val="23"/>
                <w:szCs w:val="23"/>
              </w:rPr>
            </w:pPr>
          </w:p>
        </w:tc>
        <w:tc>
          <w:tcPr>
            <w:tcW w:w="1356" w:type="dxa"/>
            <w:noWrap w:val="0"/>
            <w:vAlign w:val="center"/>
          </w:tcPr>
          <w:p w14:paraId="76F51753">
            <w:pPr>
              <w:spacing w:line="440" w:lineRule="exact"/>
              <w:outlineLvl w:val="9"/>
              <w:rPr>
                <w:rFonts w:hint="eastAsia" w:ascii="宋体" w:hAnsi="宋体" w:eastAsia="宋体" w:cs="宋体"/>
                <w:sz w:val="23"/>
                <w:szCs w:val="23"/>
              </w:rPr>
            </w:pPr>
          </w:p>
        </w:tc>
        <w:tc>
          <w:tcPr>
            <w:tcW w:w="2351" w:type="dxa"/>
            <w:noWrap w:val="0"/>
            <w:vAlign w:val="center"/>
          </w:tcPr>
          <w:p w14:paraId="5EC49EEC">
            <w:pPr>
              <w:spacing w:line="440" w:lineRule="exact"/>
              <w:outlineLvl w:val="9"/>
              <w:rPr>
                <w:rFonts w:hint="eastAsia" w:ascii="宋体" w:hAnsi="宋体" w:eastAsia="宋体" w:cs="宋体"/>
                <w:sz w:val="23"/>
                <w:szCs w:val="23"/>
              </w:rPr>
            </w:pPr>
          </w:p>
        </w:tc>
      </w:tr>
    </w:tbl>
    <w:p w14:paraId="74C1BE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eastAsia="zh-CN"/>
        </w:rPr>
        <w:t>注：</w:t>
      </w:r>
      <w:r>
        <w:rPr>
          <w:rFonts w:hint="eastAsia" w:ascii="宋体" w:hAnsi="宋体" w:eastAsia="宋体" w:cs="宋体"/>
          <w:sz w:val="23"/>
          <w:szCs w:val="23"/>
          <w:lang w:val="en-US" w:eastAsia="zh-CN"/>
        </w:rPr>
        <w:t>附相关资料复印件</w:t>
      </w:r>
      <w:r>
        <w:rPr>
          <w:rFonts w:hint="eastAsia" w:ascii="宋体" w:hAnsi="宋体" w:cs="宋体"/>
          <w:sz w:val="23"/>
          <w:szCs w:val="23"/>
          <w:lang w:val="en-US" w:eastAsia="zh-CN"/>
        </w:rPr>
        <w:t>。</w:t>
      </w:r>
    </w:p>
    <w:p w14:paraId="7D6EDA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11F9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FB66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44E6A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0D13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A280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895D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329C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D0A6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77" w:name="_Toc18881_WPSOffice_Level2"/>
      <w:bookmarkStart w:id="178" w:name="_Toc5814_WPSOffice_Level2"/>
      <w:bookmarkStart w:id="179" w:name="_Toc2578_WPSOffice_Level2"/>
      <w:bookmarkStart w:id="180" w:name="_Toc11735"/>
      <w:r>
        <w:rPr>
          <w:rFonts w:hint="eastAsia" w:ascii="宋体" w:hAnsi="宋体" w:cs="宋体"/>
          <w:b/>
          <w:bCs/>
          <w:sz w:val="28"/>
          <w:szCs w:val="28"/>
          <w:vertAlign w:val="baseline"/>
          <w:lang w:val="en-US" w:eastAsia="zh-CN"/>
        </w:rPr>
        <w:t>五、</w:t>
      </w:r>
      <w:bookmarkEnd w:id="177"/>
      <w:bookmarkEnd w:id="178"/>
      <w:bookmarkEnd w:id="179"/>
      <w:r>
        <w:rPr>
          <w:rFonts w:hint="eastAsia" w:ascii="宋体" w:hAnsi="宋体" w:cs="宋体"/>
          <w:b/>
          <w:bCs/>
          <w:sz w:val="28"/>
          <w:szCs w:val="28"/>
          <w:vertAlign w:val="baseline"/>
          <w:lang w:val="en-US" w:eastAsia="zh-CN"/>
        </w:rPr>
        <w:t>供应商认为有利于成交的其他情况说明</w:t>
      </w:r>
      <w:bookmarkEnd w:id="180"/>
    </w:p>
    <w:p w14:paraId="2E4893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310A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87FA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585B5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7C19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EFBD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7F6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8FB8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786E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B2A7D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F598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7A22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4D7F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37D6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831F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FA38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EE7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4540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7B8F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3797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4E1D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7C2E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50F8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BCD8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3129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18DE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7410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4CA2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E4A1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C8C9B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both"/>
        <w:textAlignment w:val="baseline"/>
        <w:outlineLvl w:val="9"/>
        <w:rPr>
          <w:rFonts w:hint="eastAsia" w:ascii="宋体" w:hAnsi="宋体" w:cs="宋体"/>
          <w:b/>
          <w:bCs/>
          <w:sz w:val="28"/>
          <w:szCs w:val="28"/>
          <w:vertAlign w:val="baseline"/>
          <w:lang w:val="en-US" w:eastAsia="zh-CN"/>
        </w:rPr>
      </w:pPr>
      <w:bookmarkStart w:id="181" w:name="_Toc28426_WPSOffice_Level2"/>
      <w:bookmarkStart w:id="182" w:name="_Toc3904"/>
      <w:bookmarkStart w:id="183" w:name="_Toc26216_WPSOffice_Level2"/>
      <w:bookmarkStart w:id="184" w:name="_Toc9662_WPSOffice_Level2"/>
      <w:r>
        <w:rPr>
          <w:rFonts w:hint="eastAsia" w:ascii="宋体" w:hAnsi="宋体" w:cs="宋体"/>
          <w:b/>
          <w:bCs/>
          <w:sz w:val="28"/>
          <w:szCs w:val="28"/>
          <w:vertAlign w:val="baseline"/>
          <w:lang w:val="en-US" w:eastAsia="zh-CN"/>
        </w:rPr>
        <w:t>附件十一：信用承诺上报操作指南</w:t>
      </w:r>
      <w:bookmarkEnd w:id="181"/>
      <w:bookmarkEnd w:id="182"/>
      <w:bookmarkEnd w:id="183"/>
      <w:bookmarkEnd w:id="184"/>
    </w:p>
    <w:p w14:paraId="01A8F9B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7" name="图片 17"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于公共资源交易信用承诺网上公示的通知_00"/>
                    <pic:cNvPicPr>
                      <a:picLocks noChangeAspect="1"/>
                    </pic:cNvPicPr>
                  </pic:nvPicPr>
                  <pic:blipFill>
                    <a:blip r:embed="rId15"/>
                    <a:stretch>
                      <a:fillRect/>
                    </a:stretch>
                  </pic:blipFill>
                  <pic:spPr>
                    <a:xfrm>
                      <a:off x="0" y="0"/>
                      <a:ext cx="5267960" cy="7440295"/>
                    </a:xfrm>
                    <a:prstGeom prst="rect">
                      <a:avLst/>
                    </a:prstGeom>
                  </pic:spPr>
                </pic:pic>
              </a:graphicData>
            </a:graphic>
          </wp:inline>
        </w:drawing>
      </w:r>
    </w:p>
    <w:p w14:paraId="6E00EA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6" name="图片 16"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公共资源交易信用承诺网上公示的通知_01"/>
                    <pic:cNvPicPr>
                      <a:picLocks noChangeAspect="1"/>
                    </pic:cNvPicPr>
                  </pic:nvPicPr>
                  <pic:blipFill>
                    <a:blip r:embed="rId16"/>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5" name="图片 15"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公共资源交易信用承诺网上公示的通知_02"/>
                    <pic:cNvPicPr>
                      <a:picLocks noChangeAspect="1"/>
                    </pic:cNvPicPr>
                  </pic:nvPicPr>
                  <pic:blipFill>
                    <a:blip r:embed="rId17"/>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4" name="图片 1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关于公共资源交易信用承诺网上公示的通知_03"/>
                    <pic:cNvPicPr>
                      <a:picLocks noChangeAspect="1"/>
                    </pic:cNvPicPr>
                  </pic:nvPicPr>
                  <pic:blipFill>
                    <a:blip r:embed="rId18"/>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3" name="图片 13"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关于公共资源交易信用承诺网上公示的通知_04"/>
                    <pic:cNvPicPr>
                      <a:picLocks noChangeAspect="1"/>
                    </pic:cNvPicPr>
                  </pic:nvPicPr>
                  <pic:blipFill>
                    <a:blip r:embed="rId19"/>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2" name="图片 12"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公共资源交易信用承诺网上公示的通知_05"/>
                    <pic:cNvPicPr>
                      <a:picLocks noChangeAspect="1"/>
                    </pic:cNvPicPr>
                  </pic:nvPicPr>
                  <pic:blipFill>
                    <a:blip r:embed="rId20"/>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1" name="图片 11"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公共资源交易信用承诺网上公示的通知_06"/>
                    <pic:cNvPicPr>
                      <a:picLocks noChangeAspect="1"/>
                    </pic:cNvPicPr>
                  </pic:nvPicPr>
                  <pic:blipFill>
                    <a:blip r:embed="rId2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0" name="图片 10"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公共资源交易信用承诺网上公示的通知_07"/>
                    <pic:cNvPicPr>
                      <a:picLocks noChangeAspect="1"/>
                    </pic:cNvPicPr>
                  </pic:nvPicPr>
                  <pic:blipFill>
                    <a:blip r:embed="rId22"/>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9"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公共资源交易信用承诺网上公示的通知_08"/>
                    <pic:cNvPicPr>
                      <a:picLocks noChangeAspect="1"/>
                    </pic:cNvPicPr>
                  </pic:nvPicPr>
                  <pic:blipFill>
                    <a:blip r:embed="rId23"/>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8" name="图片 8"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公共资源交易信用承诺网上公示的通知_09"/>
                    <pic:cNvPicPr>
                      <a:picLocks noChangeAspect="1"/>
                    </pic:cNvPicPr>
                  </pic:nvPicPr>
                  <pic:blipFill>
                    <a:blip r:embed="rId24"/>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7" name="图片 7"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公共资源交易信用承诺网上公示的通知_10"/>
                    <pic:cNvPicPr>
                      <a:picLocks noChangeAspect="1"/>
                    </pic:cNvPicPr>
                  </pic:nvPicPr>
                  <pic:blipFill>
                    <a:blip r:embed="rId25"/>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6" name="图片 6"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公共资源交易信用承诺网上公示的通知_11"/>
                    <pic:cNvPicPr>
                      <a:picLocks noChangeAspect="1"/>
                    </pic:cNvPicPr>
                  </pic:nvPicPr>
                  <pic:blipFill>
                    <a:blip r:embed="rId26"/>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5" name="图片 5"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公共资源交易信用承诺网上公示的通知_12"/>
                    <pic:cNvPicPr>
                      <a:picLocks noChangeAspect="1"/>
                    </pic:cNvPicPr>
                  </pic:nvPicPr>
                  <pic:blipFill>
                    <a:blip r:embed="rId27"/>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4" name="图片 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公共资源交易信用承诺网上公示的通知_13"/>
                    <pic:cNvPicPr>
                      <a:picLocks noChangeAspect="1"/>
                    </pic:cNvPicPr>
                  </pic:nvPicPr>
                  <pic:blipFill>
                    <a:blip r:embed="rId24"/>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3" name="图片 3"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_14"/>
                    <pic:cNvPicPr>
                      <a:picLocks noChangeAspect="1"/>
                    </pic:cNvPicPr>
                  </pic:nvPicPr>
                  <pic:blipFill>
                    <a:blip r:embed="rId28"/>
                    <a:stretch>
                      <a:fillRect/>
                    </a:stretch>
                  </pic:blipFill>
                  <pic:spPr>
                    <a:xfrm>
                      <a:off x="0" y="0"/>
                      <a:ext cx="5267960" cy="7440295"/>
                    </a:xfrm>
                    <a:prstGeom prst="rect">
                      <a:avLst/>
                    </a:prstGeom>
                  </pic:spPr>
                </pic:pic>
              </a:graphicData>
            </a:graphic>
          </wp:inline>
        </w:drawing>
      </w:r>
    </w:p>
    <w:p w14:paraId="00ABFA3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4D8D69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600993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sectPr>
      <w:headerReference r:id="rId11" w:type="default"/>
      <w:footerReference r:id="rId12"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5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3BBF">
    <w:pPr>
      <w:pStyle w:val="12"/>
      <w:rPr>
        <w:rFonts w:hint="default" w:eastAsia="宋体"/>
        <w:strike w:val="0"/>
        <w:dstrike w:val="0"/>
        <w:sz w:val="18"/>
        <w:u w:val="dotDash"/>
        <w:lang w:val="en-US" w:eastAsia="zh-CN"/>
      </w:rPr>
    </w:pP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4837">
    <w:pPr>
      <w:pStyle w:val="12"/>
      <w:rPr>
        <w:rFonts w:hint="default" w:eastAsia="宋体"/>
        <w:strike w:val="0"/>
        <w:dstrike w:val="0"/>
        <w:sz w:val="18"/>
        <w:u w:val="dotDash"/>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7203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487203B">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74A3F">
    <w:pPr>
      <w:pStyle w:val="12"/>
      <w:rPr>
        <w:rFonts w:hint="default" w:eastAsia="宋体"/>
        <w:strike w:val="0"/>
        <w:dstrike w:val="0"/>
        <w:sz w:val="18"/>
        <w:u w:val="dotDash"/>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CB36B">
                          <w:pPr>
                            <w:pStyle w:val="12"/>
                            <w:rPr>
                              <w:rFonts w:hint="default" w:eastAsia="宋体"/>
                              <w:lang w:val="en-US" w:eastAsia="zh-CN"/>
                            </w:rPr>
                          </w:pPr>
                          <w:r>
                            <w:rPr>
                              <w:rFonts w:hint="eastAsia" w:eastAsia="宋体"/>
                              <w:lang w:val="en-US" w:eastAsia="zh-CN"/>
                            </w:rPr>
                            <w:t>49</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6CCB36B">
                    <w:pPr>
                      <w:pStyle w:val="12"/>
                      <w:rPr>
                        <w:rFonts w:hint="default" w:eastAsia="宋体"/>
                        <w:lang w:val="en-US" w:eastAsia="zh-CN"/>
                      </w:rPr>
                    </w:pPr>
                    <w:r>
                      <w:rPr>
                        <w:rFonts w:hint="eastAsia" w:eastAsia="宋体"/>
                        <w:lang w:val="en-US" w:eastAsia="zh-CN"/>
                      </w:rPr>
                      <w:t>49</w:t>
                    </w:r>
                  </w:p>
                </w:txbxContent>
              </v:textbox>
            </v:shape>
          </w:pict>
        </mc:Fallback>
      </mc:AlternateContent>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66765">
    <w:pPr>
      <w:pStyle w:val="12"/>
      <w:rPr>
        <w:rFonts w:hint="default" w:eastAsia="宋体"/>
        <w:strike w:val="0"/>
        <w:dstrike w:val="0"/>
        <w:sz w:val="18"/>
        <w:u w:val="dotDash"/>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78071">
                          <w:pPr>
                            <w:pStyle w:val="12"/>
                            <w:rPr>
                              <w:rFonts w:hint="default" w:eastAsia="宋体"/>
                              <w:lang w:val="en-US" w:eastAsia="zh-CN"/>
                            </w:rPr>
                          </w:pPr>
                          <w:r>
                            <w:rPr>
                              <w:rFonts w:hint="eastAsia" w:eastAsia="宋体"/>
                              <w:lang w:val="en-US" w:eastAsia="zh-CN"/>
                            </w:rPr>
                            <w:t>50</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F278071">
                    <w:pPr>
                      <w:pStyle w:val="12"/>
                      <w:rPr>
                        <w:rFonts w:hint="default" w:eastAsia="宋体"/>
                        <w:lang w:val="en-US" w:eastAsia="zh-CN"/>
                      </w:rPr>
                    </w:pPr>
                    <w:r>
                      <w:rPr>
                        <w:rFonts w:hint="eastAsia" w:eastAsia="宋体"/>
                        <w:lang w:val="en-US" w:eastAsia="zh-CN"/>
                      </w:rPr>
                      <w:t>50</w:t>
                    </w:r>
                  </w:p>
                </w:txbxContent>
              </v:textbox>
            </v:shape>
          </w:pict>
        </mc:Fallback>
      </mc:AlternateContent>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39F95">
    <w:pPr>
      <w:pStyle w:val="12"/>
      <w:rPr>
        <w:rFonts w:hint="default" w:eastAsia="宋体"/>
        <w:strike w:val="0"/>
        <w:dstrike w:val="0"/>
        <w:sz w:val="18"/>
        <w:u w:val="dotDash"/>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78A1A">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1778A1A">
                    <w:pPr>
                      <w:pStyle w:val="12"/>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23AB7">
    <w:pPr>
      <w:pStyle w:val="13"/>
      <w:pBdr>
        <w:bottom w:val="dotDotDash" w:color="auto" w:sz="4" w:space="1"/>
      </w:pBdr>
      <w:ind w:firstLine="7200" w:firstLineChars="4000"/>
      <w:rPr>
        <w:rFonts w:hint="eastAsia" w:eastAsia="宋体"/>
        <w:lang w:eastAsia="zh-CN"/>
      </w:rPr>
    </w:pPr>
    <w:r>
      <w:rPr>
        <w:rFonts w:hint="eastAsia" w:eastAsia="宋体"/>
        <w:lang w:eastAsia="zh-CN"/>
      </w:rPr>
      <w:t>政府采购项目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DB13E">
    <w:pPr>
      <w:pStyle w:val="13"/>
      <w:pBdr>
        <w:bottom w:val="dotDotDash" w:color="auto" w:sz="4" w:space="1"/>
      </w:pBdr>
      <w:ind w:firstLine="12780" w:firstLineChars="7100"/>
      <w:rPr>
        <w:rFonts w:hint="eastAsia" w:eastAsia="宋体"/>
        <w:lang w:eastAsia="zh-CN"/>
      </w:rPr>
    </w:pPr>
    <w:r>
      <w:rPr>
        <w:rFonts w:hint="eastAsia" w:eastAsia="宋体"/>
        <w:lang w:eastAsia="zh-CN"/>
      </w:rPr>
      <w:t>政府采购项目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92136">
    <w:pPr>
      <w:pStyle w:val="13"/>
      <w:pBdr>
        <w:bottom w:val="dotDotDash" w:color="auto" w:sz="4" w:space="1"/>
      </w:pBdr>
      <w:ind w:firstLine="7200" w:firstLineChars="4000"/>
      <w:rPr>
        <w:rFonts w:hint="eastAsia" w:eastAsia="宋体"/>
        <w:lang w:eastAsia="zh-CN"/>
      </w:rPr>
    </w:pPr>
    <w:r>
      <w:rPr>
        <w:rFonts w:hint="eastAsia" w:eastAsia="宋体"/>
        <w:lang w:eastAsia="zh-CN"/>
      </w:rPr>
      <w:t>政府采购项目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zNjM2ZDY3MWE2NzY4OTIwYzJlOTMzZWRhNjY0OTAifQ=="/>
  </w:docVars>
  <w:rsids>
    <w:rsidRoot w:val="57977777"/>
    <w:rsid w:val="00004AB6"/>
    <w:rsid w:val="000969AD"/>
    <w:rsid w:val="000E3FC3"/>
    <w:rsid w:val="0018099E"/>
    <w:rsid w:val="0022372B"/>
    <w:rsid w:val="003348B3"/>
    <w:rsid w:val="004A714B"/>
    <w:rsid w:val="005964C5"/>
    <w:rsid w:val="00606BE4"/>
    <w:rsid w:val="008B5614"/>
    <w:rsid w:val="009E70F5"/>
    <w:rsid w:val="009F5FD7"/>
    <w:rsid w:val="00A36D5C"/>
    <w:rsid w:val="00AF7B41"/>
    <w:rsid w:val="00B44CE3"/>
    <w:rsid w:val="00BA1407"/>
    <w:rsid w:val="00C346A2"/>
    <w:rsid w:val="00C91C98"/>
    <w:rsid w:val="00CD1C60"/>
    <w:rsid w:val="00CF150A"/>
    <w:rsid w:val="00E73015"/>
    <w:rsid w:val="00F52A8D"/>
    <w:rsid w:val="01057174"/>
    <w:rsid w:val="010827C0"/>
    <w:rsid w:val="010E7B40"/>
    <w:rsid w:val="01135FBB"/>
    <w:rsid w:val="011C3BAD"/>
    <w:rsid w:val="01211AD4"/>
    <w:rsid w:val="012C2524"/>
    <w:rsid w:val="013257CB"/>
    <w:rsid w:val="01A26EF5"/>
    <w:rsid w:val="01AC0C22"/>
    <w:rsid w:val="01BD65C0"/>
    <w:rsid w:val="01CC0240"/>
    <w:rsid w:val="01CF5F06"/>
    <w:rsid w:val="01E804A3"/>
    <w:rsid w:val="01EC0334"/>
    <w:rsid w:val="01F974DA"/>
    <w:rsid w:val="020315BD"/>
    <w:rsid w:val="020748B5"/>
    <w:rsid w:val="020E403E"/>
    <w:rsid w:val="021138F7"/>
    <w:rsid w:val="02156159"/>
    <w:rsid w:val="021A52DF"/>
    <w:rsid w:val="021A6C4F"/>
    <w:rsid w:val="024849B3"/>
    <w:rsid w:val="025C14F2"/>
    <w:rsid w:val="02884956"/>
    <w:rsid w:val="028D0605"/>
    <w:rsid w:val="02AC7E8B"/>
    <w:rsid w:val="02B25AAB"/>
    <w:rsid w:val="02B348A0"/>
    <w:rsid w:val="02CB7F49"/>
    <w:rsid w:val="02D726BD"/>
    <w:rsid w:val="02ED1C6E"/>
    <w:rsid w:val="02FC76E4"/>
    <w:rsid w:val="030B557C"/>
    <w:rsid w:val="033A5E58"/>
    <w:rsid w:val="035D40D0"/>
    <w:rsid w:val="037A4F85"/>
    <w:rsid w:val="0381685A"/>
    <w:rsid w:val="0381736F"/>
    <w:rsid w:val="03B46C2F"/>
    <w:rsid w:val="03C70711"/>
    <w:rsid w:val="03E01CD2"/>
    <w:rsid w:val="03E37AE3"/>
    <w:rsid w:val="03FB0456"/>
    <w:rsid w:val="040F557F"/>
    <w:rsid w:val="041908A6"/>
    <w:rsid w:val="04270970"/>
    <w:rsid w:val="04380B6A"/>
    <w:rsid w:val="043D09D3"/>
    <w:rsid w:val="0444380F"/>
    <w:rsid w:val="045C7139"/>
    <w:rsid w:val="045F4AD9"/>
    <w:rsid w:val="046329C2"/>
    <w:rsid w:val="04766DCF"/>
    <w:rsid w:val="04900156"/>
    <w:rsid w:val="04CB1FE2"/>
    <w:rsid w:val="04D51F6C"/>
    <w:rsid w:val="04E01859"/>
    <w:rsid w:val="04E15628"/>
    <w:rsid w:val="04EE3ACF"/>
    <w:rsid w:val="050674F7"/>
    <w:rsid w:val="05494FEA"/>
    <w:rsid w:val="05685F23"/>
    <w:rsid w:val="057E3371"/>
    <w:rsid w:val="058B39C0"/>
    <w:rsid w:val="05935AA8"/>
    <w:rsid w:val="05972365"/>
    <w:rsid w:val="059C5BCD"/>
    <w:rsid w:val="05BC001D"/>
    <w:rsid w:val="05BD4A4F"/>
    <w:rsid w:val="05CB1855"/>
    <w:rsid w:val="05D2339D"/>
    <w:rsid w:val="05DB7B9C"/>
    <w:rsid w:val="05DE5C83"/>
    <w:rsid w:val="05DF10B8"/>
    <w:rsid w:val="05E76E48"/>
    <w:rsid w:val="05F23A3F"/>
    <w:rsid w:val="05F97E29"/>
    <w:rsid w:val="05FB6340"/>
    <w:rsid w:val="060B1533"/>
    <w:rsid w:val="06170377"/>
    <w:rsid w:val="06280B31"/>
    <w:rsid w:val="06321142"/>
    <w:rsid w:val="063B2BD5"/>
    <w:rsid w:val="063F4ED6"/>
    <w:rsid w:val="06471FDD"/>
    <w:rsid w:val="065F1190"/>
    <w:rsid w:val="066761DB"/>
    <w:rsid w:val="066F053C"/>
    <w:rsid w:val="068354CD"/>
    <w:rsid w:val="069C7AE8"/>
    <w:rsid w:val="069F1594"/>
    <w:rsid w:val="06A5719F"/>
    <w:rsid w:val="06AC0685"/>
    <w:rsid w:val="06E10217"/>
    <w:rsid w:val="06E217D9"/>
    <w:rsid w:val="06E326F6"/>
    <w:rsid w:val="06EA5096"/>
    <w:rsid w:val="06F748D4"/>
    <w:rsid w:val="072E0AA7"/>
    <w:rsid w:val="073E6F3C"/>
    <w:rsid w:val="0752442C"/>
    <w:rsid w:val="076170CE"/>
    <w:rsid w:val="07794418"/>
    <w:rsid w:val="079C5DDB"/>
    <w:rsid w:val="07A5432A"/>
    <w:rsid w:val="07AE79A2"/>
    <w:rsid w:val="07B635E9"/>
    <w:rsid w:val="07DB06F1"/>
    <w:rsid w:val="07EA42D2"/>
    <w:rsid w:val="080837E6"/>
    <w:rsid w:val="08222C40"/>
    <w:rsid w:val="082C4FE6"/>
    <w:rsid w:val="08320CC7"/>
    <w:rsid w:val="085B115D"/>
    <w:rsid w:val="085E7543"/>
    <w:rsid w:val="087274B9"/>
    <w:rsid w:val="087E4DDE"/>
    <w:rsid w:val="08965E86"/>
    <w:rsid w:val="08A204D0"/>
    <w:rsid w:val="08C01BD2"/>
    <w:rsid w:val="08C12C63"/>
    <w:rsid w:val="08C97352"/>
    <w:rsid w:val="08DA2C94"/>
    <w:rsid w:val="08DC1E8B"/>
    <w:rsid w:val="093A0469"/>
    <w:rsid w:val="095676B0"/>
    <w:rsid w:val="09706847"/>
    <w:rsid w:val="097E5D15"/>
    <w:rsid w:val="09867F69"/>
    <w:rsid w:val="098D7D07"/>
    <w:rsid w:val="09A11A04"/>
    <w:rsid w:val="09AA1381"/>
    <w:rsid w:val="09AC23FB"/>
    <w:rsid w:val="09AD5797"/>
    <w:rsid w:val="09B71CF6"/>
    <w:rsid w:val="09C676BC"/>
    <w:rsid w:val="09C80C78"/>
    <w:rsid w:val="09CB23E0"/>
    <w:rsid w:val="09E5434B"/>
    <w:rsid w:val="09E905BE"/>
    <w:rsid w:val="0A0646CF"/>
    <w:rsid w:val="0A1D55F2"/>
    <w:rsid w:val="0A271CF4"/>
    <w:rsid w:val="0A2E3071"/>
    <w:rsid w:val="0A372A5C"/>
    <w:rsid w:val="0A4533F2"/>
    <w:rsid w:val="0A465FCD"/>
    <w:rsid w:val="0A4B666C"/>
    <w:rsid w:val="0A574413"/>
    <w:rsid w:val="0A5B6EFE"/>
    <w:rsid w:val="0A79207A"/>
    <w:rsid w:val="0A946F3E"/>
    <w:rsid w:val="0A974991"/>
    <w:rsid w:val="0AA174B8"/>
    <w:rsid w:val="0AA44D6C"/>
    <w:rsid w:val="0AA46461"/>
    <w:rsid w:val="0AB344FD"/>
    <w:rsid w:val="0AB550D1"/>
    <w:rsid w:val="0AC37758"/>
    <w:rsid w:val="0ACA4C67"/>
    <w:rsid w:val="0ADD25BE"/>
    <w:rsid w:val="0AE22C09"/>
    <w:rsid w:val="0B0C7351"/>
    <w:rsid w:val="0B0F465A"/>
    <w:rsid w:val="0B140C33"/>
    <w:rsid w:val="0B1F13F0"/>
    <w:rsid w:val="0B3C19E4"/>
    <w:rsid w:val="0B490664"/>
    <w:rsid w:val="0B5A60E7"/>
    <w:rsid w:val="0B674EBC"/>
    <w:rsid w:val="0B7A5BE8"/>
    <w:rsid w:val="0B7C7ACB"/>
    <w:rsid w:val="0B7D1FFD"/>
    <w:rsid w:val="0BB5192B"/>
    <w:rsid w:val="0BB60A41"/>
    <w:rsid w:val="0BCB1ACC"/>
    <w:rsid w:val="0BD87233"/>
    <w:rsid w:val="0BEB6F66"/>
    <w:rsid w:val="0BED6A66"/>
    <w:rsid w:val="0BF422BF"/>
    <w:rsid w:val="0C0D3381"/>
    <w:rsid w:val="0C114FAA"/>
    <w:rsid w:val="0C216E2C"/>
    <w:rsid w:val="0C2A33DF"/>
    <w:rsid w:val="0C2C5317"/>
    <w:rsid w:val="0C35739F"/>
    <w:rsid w:val="0C374F55"/>
    <w:rsid w:val="0C5D60B6"/>
    <w:rsid w:val="0C790A16"/>
    <w:rsid w:val="0C8676D6"/>
    <w:rsid w:val="0C8A35C6"/>
    <w:rsid w:val="0C9149E6"/>
    <w:rsid w:val="0C957B70"/>
    <w:rsid w:val="0C9973C4"/>
    <w:rsid w:val="0CAC51AC"/>
    <w:rsid w:val="0CC4577C"/>
    <w:rsid w:val="0CCD29EF"/>
    <w:rsid w:val="0CE1458F"/>
    <w:rsid w:val="0CF7603B"/>
    <w:rsid w:val="0CF97E52"/>
    <w:rsid w:val="0D08426D"/>
    <w:rsid w:val="0D132C19"/>
    <w:rsid w:val="0D19531D"/>
    <w:rsid w:val="0D251052"/>
    <w:rsid w:val="0D373AFF"/>
    <w:rsid w:val="0D3A05F9"/>
    <w:rsid w:val="0D3D703C"/>
    <w:rsid w:val="0D451CBD"/>
    <w:rsid w:val="0D4D49A8"/>
    <w:rsid w:val="0D7F205C"/>
    <w:rsid w:val="0D81039E"/>
    <w:rsid w:val="0D837D9E"/>
    <w:rsid w:val="0D8B0A01"/>
    <w:rsid w:val="0D9150AC"/>
    <w:rsid w:val="0DA00C42"/>
    <w:rsid w:val="0DA24B10"/>
    <w:rsid w:val="0DB227D1"/>
    <w:rsid w:val="0DB81ED2"/>
    <w:rsid w:val="0DD6470C"/>
    <w:rsid w:val="0DE14286"/>
    <w:rsid w:val="0DE50247"/>
    <w:rsid w:val="0DE95727"/>
    <w:rsid w:val="0DEA4F7F"/>
    <w:rsid w:val="0E0707A6"/>
    <w:rsid w:val="0E213113"/>
    <w:rsid w:val="0E2221FA"/>
    <w:rsid w:val="0E256585"/>
    <w:rsid w:val="0E3270CE"/>
    <w:rsid w:val="0E356BBF"/>
    <w:rsid w:val="0E3815C3"/>
    <w:rsid w:val="0E415563"/>
    <w:rsid w:val="0E4F6723"/>
    <w:rsid w:val="0E520E22"/>
    <w:rsid w:val="0E5E1C72"/>
    <w:rsid w:val="0E6E6E5E"/>
    <w:rsid w:val="0E737A92"/>
    <w:rsid w:val="0E812CBF"/>
    <w:rsid w:val="0E8D69FB"/>
    <w:rsid w:val="0E9320FB"/>
    <w:rsid w:val="0ECD2801"/>
    <w:rsid w:val="0EDD34DE"/>
    <w:rsid w:val="0EDD7DD2"/>
    <w:rsid w:val="0EDF07E5"/>
    <w:rsid w:val="0EF5447D"/>
    <w:rsid w:val="0EF87A43"/>
    <w:rsid w:val="0F0828A8"/>
    <w:rsid w:val="0F24110D"/>
    <w:rsid w:val="0F3C5B0F"/>
    <w:rsid w:val="0F5C7BB3"/>
    <w:rsid w:val="0F780A05"/>
    <w:rsid w:val="0F944093"/>
    <w:rsid w:val="0F9A020D"/>
    <w:rsid w:val="0FA1450C"/>
    <w:rsid w:val="0FB31160"/>
    <w:rsid w:val="0FB42383"/>
    <w:rsid w:val="0FBF2BE4"/>
    <w:rsid w:val="0FC81CD8"/>
    <w:rsid w:val="0FCD3553"/>
    <w:rsid w:val="0FE8213B"/>
    <w:rsid w:val="0FEC536B"/>
    <w:rsid w:val="101C25EB"/>
    <w:rsid w:val="10437371"/>
    <w:rsid w:val="105904B1"/>
    <w:rsid w:val="105B27CF"/>
    <w:rsid w:val="105E6C59"/>
    <w:rsid w:val="10606175"/>
    <w:rsid w:val="106612B1"/>
    <w:rsid w:val="10685E74"/>
    <w:rsid w:val="106F63B8"/>
    <w:rsid w:val="109D1177"/>
    <w:rsid w:val="10AA0800"/>
    <w:rsid w:val="10AD6517"/>
    <w:rsid w:val="10BC14D9"/>
    <w:rsid w:val="10D34ED5"/>
    <w:rsid w:val="10E21C1F"/>
    <w:rsid w:val="10E6462C"/>
    <w:rsid w:val="11196324"/>
    <w:rsid w:val="112862BC"/>
    <w:rsid w:val="112A6D7D"/>
    <w:rsid w:val="113D116E"/>
    <w:rsid w:val="1141193E"/>
    <w:rsid w:val="114B12DA"/>
    <w:rsid w:val="115D0EFA"/>
    <w:rsid w:val="11646B9B"/>
    <w:rsid w:val="11651F8A"/>
    <w:rsid w:val="117143B2"/>
    <w:rsid w:val="11832C7F"/>
    <w:rsid w:val="11845E93"/>
    <w:rsid w:val="11851835"/>
    <w:rsid w:val="11867E5D"/>
    <w:rsid w:val="11930E1F"/>
    <w:rsid w:val="11A46EB3"/>
    <w:rsid w:val="11AB78C4"/>
    <w:rsid w:val="11AC449A"/>
    <w:rsid w:val="11B95069"/>
    <w:rsid w:val="11BB3757"/>
    <w:rsid w:val="11C10E95"/>
    <w:rsid w:val="11C42733"/>
    <w:rsid w:val="11D010D8"/>
    <w:rsid w:val="11E339F4"/>
    <w:rsid w:val="11E95D44"/>
    <w:rsid w:val="120D5E88"/>
    <w:rsid w:val="12102A91"/>
    <w:rsid w:val="1212001B"/>
    <w:rsid w:val="12241424"/>
    <w:rsid w:val="122F4980"/>
    <w:rsid w:val="12423D32"/>
    <w:rsid w:val="124324C3"/>
    <w:rsid w:val="124A07D2"/>
    <w:rsid w:val="124D48AC"/>
    <w:rsid w:val="125B18E9"/>
    <w:rsid w:val="126174C4"/>
    <w:rsid w:val="126C0A9C"/>
    <w:rsid w:val="12A367B1"/>
    <w:rsid w:val="12A83E03"/>
    <w:rsid w:val="12DD72B5"/>
    <w:rsid w:val="12EE3CA4"/>
    <w:rsid w:val="12F11306"/>
    <w:rsid w:val="12F179EB"/>
    <w:rsid w:val="130D7660"/>
    <w:rsid w:val="133B4C77"/>
    <w:rsid w:val="133B7508"/>
    <w:rsid w:val="13473DED"/>
    <w:rsid w:val="134B71F7"/>
    <w:rsid w:val="13580F39"/>
    <w:rsid w:val="136917E4"/>
    <w:rsid w:val="13705108"/>
    <w:rsid w:val="13736D9C"/>
    <w:rsid w:val="13805F3F"/>
    <w:rsid w:val="13932B3F"/>
    <w:rsid w:val="13982779"/>
    <w:rsid w:val="13B3456A"/>
    <w:rsid w:val="13B42C4B"/>
    <w:rsid w:val="13B96CFE"/>
    <w:rsid w:val="13C0442E"/>
    <w:rsid w:val="13CA1B57"/>
    <w:rsid w:val="13DD188A"/>
    <w:rsid w:val="13EA34C6"/>
    <w:rsid w:val="13FA243C"/>
    <w:rsid w:val="140676F3"/>
    <w:rsid w:val="14190DE6"/>
    <w:rsid w:val="141D0258"/>
    <w:rsid w:val="143460F2"/>
    <w:rsid w:val="144B713C"/>
    <w:rsid w:val="144D6A10"/>
    <w:rsid w:val="14586C61"/>
    <w:rsid w:val="145D1886"/>
    <w:rsid w:val="147979A0"/>
    <w:rsid w:val="14985835"/>
    <w:rsid w:val="14997EA7"/>
    <w:rsid w:val="14A405FA"/>
    <w:rsid w:val="14C234B0"/>
    <w:rsid w:val="14C91E0F"/>
    <w:rsid w:val="14D507B4"/>
    <w:rsid w:val="14DD6DBD"/>
    <w:rsid w:val="14E135FC"/>
    <w:rsid w:val="14E32F84"/>
    <w:rsid w:val="14E70C42"/>
    <w:rsid w:val="14ED132E"/>
    <w:rsid w:val="14F056FB"/>
    <w:rsid w:val="14FC1390"/>
    <w:rsid w:val="14FF6CC7"/>
    <w:rsid w:val="150B68AB"/>
    <w:rsid w:val="150E40C2"/>
    <w:rsid w:val="1514752E"/>
    <w:rsid w:val="152448F2"/>
    <w:rsid w:val="153100E0"/>
    <w:rsid w:val="153F5A55"/>
    <w:rsid w:val="15476F27"/>
    <w:rsid w:val="15597637"/>
    <w:rsid w:val="155D0B41"/>
    <w:rsid w:val="15655FDB"/>
    <w:rsid w:val="15703208"/>
    <w:rsid w:val="15786D2F"/>
    <w:rsid w:val="15A73432"/>
    <w:rsid w:val="15AB60E4"/>
    <w:rsid w:val="15AF02F8"/>
    <w:rsid w:val="15AF3649"/>
    <w:rsid w:val="15AF54A9"/>
    <w:rsid w:val="15B80929"/>
    <w:rsid w:val="15CC0CBA"/>
    <w:rsid w:val="15D925A2"/>
    <w:rsid w:val="15DF1A3E"/>
    <w:rsid w:val="15FF1F8C"/>
    <w:rsid w:val="16117F11"/>
    <w:rsid w:val="16161084"/>
    <w:rsid w:val="16201F02"/>
    <w:rsid w:val="1630579E"/>
    <w:rsid w:val="163C0CE4"/>
    <w:rsid w:val="163F74E3"/>
    <w:rsid w:val="16627A46"/>
    <w:rsid w:val="166E7112"/>
    <w:rsid w:val="16900E36"/>
    <w:rsid w:val="169C3BEA"/>
    <w:rsid w:val="16AD7C3A"/>
    <w:rsid w:val="16B83277"/>
    <w:rsid w:val="16BC60CF"/>
    <w:rsid w:val="16C9384F"/>
    <w:rsid w:val="16DA6555"/>
    <w:rsid w:val="16F67877"/>
    <w:rsid w:val="16FD30EF"/>
    <w:rsid w:val="16FE3FF2"/>
    <w:rsid w:val="17163A31"/>
    <w:rsid w:val="171C4B1C"/>
    <w:rsid w:val="172B6DB1"/>
    <w:rsid w:val="172D48D7"/>
    <w:rsid w:val="174B2FAF"/>
    <w:rsid w:val="174B7C36"/>
    <w:rsid w:val="174E02D3"/>
    <w:rsid w:val="175C2993"/>
    <w:rsid w:val="17604CAC"/>
    <w:rsid w:val="17615D84"/>
    <w:rsid w:val="17656BDC"/>
    <w:rsid w:val="176E0840"/>
    <w:rsid w:val="17704531"/>
    <w:rsid w:val="179E57D5"/>
    <w:rsid w:val="17D576EE"/>
    <w:rsid w:val="17E54619"/>
    <w:rsid w:val="17F92A0B"/>
    <w:rsid w:val="180715CC"/>
    <w:rsid w:val="180F2B7C"/>
    <w:rsid w:val="181728D0"/>
    <w:rsid w:val="18193DD2"/>
    <w:rsid w:val="182F2B82"/>
    <w:rsid w:val="18400671"/>
    <w:rsid w:val="18441ED8"/>
    <w:rsid w:val="185F31B6"/>
    <w:rsid w:val="188D4D22"/>
    <w:rsid w:val="188D7D23"/>
    <w:rsid w:val="18B12856"/>
    <w:rsid w:val="18CD1222"/>
    <w:rsid w:val="18D91026"/>
    <w:rsid w:val="18E11E1D"/>
    <w:rsid w:val="18E71F41"/>
    <w:rsid w:val="18EC01E0"/>
    <w:rsid w:val="18F15B3F"/>
    <w:rsid w:val="18F32A36"/>
    <w:rsid w:val="18F81077"/>
    <w:rsid w:val="19035F1E"/>
    <w:rsid w:val="190457E6"/>
    <w:rsid w:val="190658E7"/>
    <w:rsid w:val="190F5A29"/>
    <w:rsid w:val="191C2FC0"/>
    <w:rsid w:val="191C4C03"/>
    <w:rsid w:val="19253776"/>
    <w:rsid w:val="19296D29"/>
    <w:rsid w:val="19395B79"/>
    <w:rsid w:val="193E726F"/>
    <w:rsid w:val="19492503"/>
    <w:rsid w:val="194B507A"/>
    <w:rsid w:val="194D4A89"/>
    <w:rsid w:val="194D74B2"/>
    <w:rsid w:val="19516FA3"/>
    <w:rsid w:val="19670574"/>
    <w:rsid w:val="197131A1"/>
    <w:rsid w:val="19800C82"/>
    <w:rsid w:val="19864D35"/>
    <w:rsid w:val="19996254"/>
    <w:rsid w:val="199B6470"/>
    <w:rsid w:val="19C44901"/>
    <w:rsid w:val="19C9056E"/>
    <w:rsid w:val="19D17B25"/>
    <w:rsid w:val="19D97F3F"/>
    <w:rsid w:val="19FA2B1C"/>
    <w:rsid w:val="19FD1A86"/>
    <w:rsid w:val="1A106FDB"/>
    <w:rsid w:val="1A253F8B"/>
    <w:rsid w:val="1A3733CC"/>
    <w:rsid w:val="1A845156"/>
    <w:rsid w:val="1AAA4857"/>
    <w:rsid w:val="1ABC3E1A"/>
    <w:rsid w:val="1AD8044B"/>
    <w:rsid w:val="1AE42802"/>
    <w:rsid w:val="1AF23E6D"/>
    <w:rsid w:val="1AFA71C6"/>
    <w:rsid w:val="1B0C779A"/>
    <w:rsid w:val="1B1738D4"/>
    <w:rsid w:val="1B1E2EB4"/>
    <w:rsid w:val="1B214514"/>
    <w:rsid w:val="1B2506D0"/>
    <w:rsid w:val="1B2C5D9E"/>
    <w:rsid w:val="1B365832"/>
    <w:rsid w:val="1B3E2C8F"/>
    <w:rsid w:val="1B481CDF"/>
    <w:rsid w:val="1B4E306E"/>
    <w:rsid w:val="1B582092"/>
    <w:rsid w:val="1B803900"/>
    <w:rsid w:val="1BA15893"/>
    <w:rsid w:val="1BB1395D"/>
    <w:rsid w:val="1BB818E3"/>
    <w:rsid w:val="1BBC0E4A"/>
    <w:rsid w:val="1BBE146F"/>
    <w:rsid w:val="1BBE3C5C"/>
    <w:rsid w:val="1BC93E64"/>
    <w:rsid w:val="1BE063BC"/>
    <w:rsid w:val="1BFD6F6E"/>
    <w:rsid w:val="1C0479BB"/>
    <w:rsid w:val="1C0C33B3"/>
    <w:rsid w:val="1C156CA9"/>
    <w:rsid w:val="1C190FF2"/>
    <w:rsid w:val="1C313E05"/>
    <w:rsid w:val="1C3A36F5"/>
    <w:rsid w:val="1C3B5886"/>
    <w:rsid w:val="1C3E3390"/>
    <w:rsid w:val="1C5724E6"/>
    <w:rsid w:val="1C580C91"/>
    <w:rsid w:val="1C602465"/>
    <w:rsid w:val="1C662842"/>
    <w:rsid w:val="1C7313AC"/>
    <w:rsid w:val="1C7F3007"/>
    <w:rsid w:val="1C967892"/>
    <w:rsid w:val="1CBA06A7"/>
    <w:rsid w:val="1CC22C66"/>
    <w:rsid w:val="1CDB58C8"/>
    <w:rsid w:val="1CDC4DD5"/>
    <w:rsid w:val="1CEA07FA"/>
    <w:rsid w:val="1D0420A2"/>
    <w:rsid w:val="1D0817C9"/>
    <w:rsid w:val="1D0D5762"/>
    <w:rsid w:val="1D1E2DA3"/>
    <w:rsid w:val="1D254264"/>
    <w:rsid w:val="1D2E13A9"/>
    <w:rsid w:val="1D4330A6"/>
    <w:rsid w:val="1D5801D4"/>
    <w:rsid w:val="1D5A5478"/>
    <w:rsid w:val="1D821B98"/>
    <w:rsid w:val="1D9721A6"/>
    <w:rsid w:val="1D9C048E"/>
    <w:rsid w:val="1D9F5E03"/>
    <w:rsid w:val="1DA84CB7"/>
    <w:rsid w:val="1DAB51A1"/>
    <w:rsid w:val="1DB101A6"/>
    <w:rsid w:val="1DC762FC"/>
    <w:rsid w:val="1DCB01F5"/>
    <w:rsid w:val="1DE303E5"/>
    <w:rsid w:val="1DF23964"/>
    <w:rsid w:val="1DFF6F12"/>
    <w:rsid w:val="1E020214"/>
    <w:rsid w:val="1E0740D4"/>
    <w:rsid w:val="1E1265D5"/>
    <w:rsid w:val="1E181C45"/>
    <w:rsid w:val="1E1841A1"/>
    <w:rsid w:val="1E1F2075"/>
    <w:rsid w:val="1E57606C"/>
    <w:rsid w:val="1E827BFE"/>
    <w:rsid w:val="1E8A128B"/>
    <w:rsid w:val="1EC207F6"/>
    <w:rsid w:val="1EF26B32"/>
    <w:rsid w:val="1EF32FC4"/>
    <w:rsid w:val="1F033C8A"/>
    <w:rsid w:val="1F4A590B"/>
    <w:rsid w:val="1F537379"/>
    <w:rsid w:val="1F5662AC"/>
    <w:rsid w:val="1F686DF4"/>
    <w:rsid w:val="1F7610B3"/>
    <w:rsid w:val="1F7C5236"/>
    <w:rsid w:val="1F9C66F2"/>
    <w:rsid w:val="1FA11140"/>
    <w:rsid w:val="1FB23BDC"/>
    <w:rsid w:val="1FBF5A53"/>
    <w:rsid w:val="1FC16504"/>
    <w:rsid w:val="1FC24979"/>
    <w:rsid w:val="1FD07C09"/>
    <w:rsid w:val="1FDE16B0"/>
    <w:rsid w:val="200A1FC9"/>
    <w:rsid w:val="200F101E"/>
    <w:rsid w:val="2017552F"/>
    <w:rsid w:val="201E254B"/>
    <w:rsid w:val="2026163D"/>
    <w:rsid w:val="2032746A"/>
    <w:rsid w:val="203A79E2"/>
    <w:rsid w:val="203B62B7"/>
    <w:rsid w:val="20607E09"/>
    <w:rsid w:val="206670F5"/>
    <w:rsid w:val="206A26F8"/>
    <w:rsid w:val="209874D4"/>
    <w:rsid w:val="209B135A"/>
    <w:rsid w:val="20AB4D03"/>
    <w:rsid w:val="20DD75F5"/>
    <w:rsid w:val="20E0084E"/>
    <w:rsid w:val="20E6251D"/>
    <w:rsid w:val="20F35B68"/>
    <w:rsid w:val="20FB07CA"/>
    <w:rsid w:val="21057A44"/>
    <w:rsid w:val="213B1CB4"/>
    <w:rsid w:val="213B2B08"/>
    <w:rsid w:val="21454B7D"/>
    <w:rsid w:val="21754A45"/>
    <w:rsid w:val="21771570"/>
    <w:rsid w:val="217E28FF"/>
    <w:rsid w:val="2186530F"/>
    <w:rsid w:val="21970FC2"/>
    <w:rsid w:val="2197245B"/>
    <w:rsid w:val="219C1A90"/>
    <w:rsid w:val="21E66780"/>
    <w:rsid w:val="22036CD8"/>
    <w:rsid w:val="2208666C"/>
    <w:rsid w:val="220D5A31"/>
    <w:rsid w:val="2214267A"/>
    <w:rsid w:val="222561A3"/>
    <w:rsid w:val="223A75E0"/>
    <w:rsid w:val="22421AAC"/>
    <w:rsid w:val="224A6E1B"/>
    <w:rsid w:val="224E0386"/>
    <w:rsid w:val="2275626B"/>
    <w:rsid w:val="2280357B"/>
    <w:rsid w:val="229527C5"/>
    <w:rsid w:val="22AC1129"/>
    <w:rsid w:val="22C578A9"/>
    <w:rsid w:val="22C732B5"/>
    <w:rsid w:val="22D97464"/>
    <w:rsid w:val="22E5075C"/>
    <w:rsid w:val="22E60826"/>
    <w:rsid w:val="230333B2"/>
    <w:rsid w:val="230B2AAD"/>
    <w:rsid w:val="230C5AD7"/>
    <w:rsid w:val="231221EE"/>
    <w:rsid w:val="232011E9"/>
    <w:rsid w:val="23361BBE"/>
    <w:rsid w:val="23535F81"/>
    <w:rsid w:val="23564222"/>
    <w:rsid w:val="236662EB"/>
    <w:rsid w:val="236A4208"/>
    <w:rsid w:val="237D2C4A"/>
    <w:rsid w:val="239C7532"/>
    <w:rsid w:val="239D396B"/>
    <w:rsid w:val="23B90ACD"/>
    <w:rsid w:val="23BC326A"/>
    <w:rsid w:val="23D23F37"/>
    <w:rsid w:val="23DC30A7"/>
    <w:rsid w:val="23E0410E"/>
    <w:rsid w:val="23E851D3"/>
    <w:rsid w:val="23EA7389"/>
    <w:rsid w:val="24044918"/>
    <w:rsid w:val="240C5327"/>
    <w:rsid w:val="241A3CE4"/>
    <w:rsid w:val="243428EB"/>
    <w:rsid w:val="24350F97"/>
    <w:rsid w:val="243D38E1"/>
    <w:rsid w:val="244B45EE"/>
    <w:rsid w:val="24510CA2"/>
    <w:rsid w:val="245E7561"/>
    <w:rsid w:val="246211B9"/>
    <w:rsid w:val="246851A0"/>
    <w:rsid w:val="247D3D4F"/>
    <w:rsid w:val="248B40E3"/>
    <w:rsid w:val="24902C05"/>
    <w:rsid w:val="249D2C09"/>
    <w:rsid w:val="24A21305"/>
    <w:rsid w:val="24AC5060"/>
    <w:rsid w:val="24B90D07"/>
    <w:rsid w:val="24B93C4E"/>
    <w:rsid w:val="24C525F3"/>
    <w:rsid w:val="24DB37B0"/>
    <w:rsid w:val="24DC70DD"/>
    <w:rsid w:val="24F13F50"/>
    <w:rsid w:val="25432197"/>
    <w:rsid w:val="25604768"/>
    <w:rsid w:val="2565513B"/>
    <w:rsid w:val="257563DF"/>
    <w:rsid w:val="25761F65"/>
    <w:rsid w:val="258924B7"/>
    <w:rsid w:val="25994839"/>
    <w:rsid w:val="259B215E"/>
    <w:rsid w:val="25C60C07"/>
    <w:rsid w:val="25C64874"/>
    <w:rsid w:val="25CC29F1"/>
    <w:rsid w:val="25DA122F"/>
    <w:rsid w:val="25FF1C42"/>
    <w:rsid w:val="2602275F"/>
    <w:rsid w:val="26033290"/>
    <w:rsid w:val="26073783"/>
    <w:rsid w:val="260F6B58"/>
    <w:rsid w:val="26137D3C"/>
    <w:rsid w:val="26176E54"/>
    <w:rsid w:val="26193AC8"/>
    <w:rsid w:val="26252A46"/>
    <w:rsid w:val="263F5BCC"/>
    <w:rsid w:val="26401E98"/>
    <w:rsid w:val="265F1B6B"/>
    <w:rsid w:val="267D46D7"/>
    <w:rsid w:val="269229A8"/>
    <w:rsid w:val="269C5E67"/>
    <w:rsid w:val="26B42626"/>
    <w:rsid w:val="26B80B02"/>
    <w:rsid w:val="26BE554B"/>
    <w:rsid w:val="26CA0394"/>
    <w:rsid w:val="26E26B00"/>
    <w:rsid w:val="26EF052C"/>
    <w:rsid w:val="26EF7DFB"/>
    <w:rsid w:val="272A22E2"/>
    <w:rsid w:val="272C4BAB"/>
    <w:rsid w:val="27337AA6"/>
    <w:rsid w:val="27457A1B"/>
    <w:rsid w:val="274C0DA9"/>
    <w:rsid w:val="274F0E0B"/>
    <w:rsid w:val="27637E17"/>
    <w:rsid w:val="27713183"/>
    <w:rsid w:val="277258D3"/>
    <w:rsid w:val="278B4746"/>
    <w:rsid w:val="27973B24"/>
    <w:rsid w:val="27A4776D"/>
    <w:rsid w:val="27CF4EEA"/>
    <w:rsid w:val="27D112AE"/>
    <w:rsid w:val="27DC037F"/>
    <w:rsid w:val="27E56B08"/>
    <w:rsid w:val="27ED37B2"/>
    <w:rsid w:val="28020A69"/>
    <w:rsid w:val="281C69CE"/>
    <w:rsid w:val="28243AD4"/>
    <w:rsid w:val="283C5268"/>
    <w:rsid w:val="28484D38"/>
    <w:rsid w:val="284A177F"/>
    <w:rsid w:val="285B2BC7"/>
    <w:rsid w:val="285C501C"/>
    <w:rsid w:val="286372BA"/>
    <w:rsid w:val="286B3843"/>
    <w:rsid w:val="28876A01"/>
    <w:rsid w:val="28897026"/>
    <w:rsid w:val="28950B1F"/>
    <w:rsid w:val="28AD7920"/>
    <w:rsid w:val="28B766F6"/>
    <w:rsid w:val="28DB0637"/>
    <w:rsid w:val="28DE72A9"/>
    <w:rsid w:val="28E868B0"/>
    <w:rsid w:val="28F74D45"/>
    <w:rsid w:val="29037B8D"/>
    <w:rsid w:val="29155D7E"/>
    <w:rsid w:val="292663C4"/>
    <w:rsid w:val="29301865"/>
    <w:rsid w:val="293E4722"/>
    <w:rsid w:val="29417107"/>
    <w:rsid w:val="294B4456"/>
    <w:rsid w:val="297E7214"/>
    <w:rsid w:val="299457D6"/>
    <w:rsid w:val="29BC59B5"/>
    <w:rsid w:val="29CC79F1"/>
    <w:rsid w:val="29FD319F"/>
    <w:rsid w:val="2A114AA3"/>
    <w:rsid w:val="2A4B17EC"/>
    <w:rsid w:val="2A4B35BA"/>
    <w:rsid w:val="2A4B4D86"/>
    <w:rsid w:val="2A4D1354"/>
    <w:rsid w:val="2A534026"/>
    <w:rsid w:val="2A665EB4"/>
    <w:rsid w:val="2A7135BD"/>
    <w:rsid w:val="2A8D201C"/>
    <w:rsid w:val="2A952A67"/>
    <w:rsid w:val="2A99350D"/>
    <w:rsid w:val="2ABA24CE"/>
    <w:rsid w:val="2AC60F19"/>
    <w:rsid w:val="2ACE235A"/>
    <w:rsid w:val="2AF228FD"/>
    <w:rsid w:val="2B045BC1"/>
    <w:rsid w:val="2B05199B"/>
    <w:rsid w:val="2B065713"/>
    <w:rsid w:val="2B193CEA"/>
    <w:rsid w:val="2B277B63"/>
    <w:rsid w:val="2B447BD6"/>
    <w:rsid w:val="2B45762E"/>
    <w:rsid w:val="2B5433D7"/>
    <w:rsid w:val="2B581B41"/>
    <w:rsid w:val="2B626DED"/>
    <w:rsid w:val="2B6716A2"/>
    <w:rsid w:val="2B6D61B5"/>
    <w:rsid w:val="2B710DDE"/>
    <w:rsid w:val="2B7D3C27"/>
    <w:rsid w:val="2B844FB6"/>
    <w:rsid w:val="2BBD2276"/>
    <w:rsid w:val="2BC925D5"/>
    <w:rsid w:val="2BD745B4"/>
    <w:rsid w:val="2BDC0E38"/>
    <w:rsid w:val="2BE12F62"/>
    <w:rsid w:val="2BE31F25"/>
    <w:rsid w:val="2BF00A05"/>
    <w:rsid w:val="2BF0382F"/>
    <w:rsid w:val="2BFA0DD4"/>
    <w:rsid w:val="2C0A4D8F"/>
    <w:rsid w:val="2C0B1747"/>
    <w:rsid w:val="2C0D7BB0"/>
    <w:rsid w:val="2C1C6301"/>
    <w:rsid w:val="2C287FF8"/>
    <w:rsid w:val="2C372DF6"/>
    <w:rsid w:val="2C3966C4"/>
    <w:rsid w:val="2C3A7F01"/>
    <w:rsid w:val="2C424E26"/>
    <w:rsid w:val="2C4B162F"/>
    <w:rsid w:val="2C4C6215"/>
    <w:rsid w:val="2C723060"/>
    <w:rsid w:val="2C7C7A3B"/>
    <w:rsid w:val="2C8E6F44"/>
    <w:rsid w:val="2CA84CD4"/>
    <w:rsid w:val="2CB77136"/>
    <w:rsid w:val="2CBD0053"/>
    <w:rsid w:val="2CC17B44"/>
    <w:rsid w:val="2CD6491C"/>
    <w:rsid w:val="2CE35D0C"/>
    <w:rsid w:val="2CED0445"/>
    <w:rsid w:val="2CF6163C"/>
    <w:rsid w:val="2CF63C91"/>
    <w:rsid w:val="2CF75313"/>
    <w:rsid w:val="2D042672"/>
    <w:rsid w:val="2D04764E"/>
    <w:rsid w:val="2D0E7771"/>
    <w:rsid w:val="2D265BF9"/>
    <w:rsid w:val="2D28510D"/>
    <w:rsid w:val="2D3E2D65"/>
    <w:rsid w:val="2D661DD0"/>
    <w:rsid w:val="2D690B1A"/>
    <w:rsid w:val="2D6D32F3"/>
    <w:rsid w:val="2D986AF6"/>
    <w:rsid w:val="2D9C0E1C"/>
    <w:rsid w:val="2D9E1C33"/>
    <w:rsid w:val="2DB00D01"/>
    <w:rsid w:val="2DB24B20"/>
    <w:rsid w:val="2DB370FF"/>
    <w:rsid w:val="2DBA7C84"/>
    <w:rsid w:val="2DC7629D"/>
    <w:rsid w:val="2DCC48D8"/>
    <w:rsid w:val="2DD80EA9"/>
    <w:rsid w:val="2DDC0CBE"/>
    <w:rsid w:val="2DFB52D7"/>
    <w:rsid w:val="2E150147"/>
    <w:rsid w:val="2E254102"/>
    <w:rsid w:val="2E5A2B17"/>
    <w:rsid w:val="2E7550FC"/>
    <w:rsid w:val="2E810DE7"/>
    <w:rsid w:val="2E870919"/>
    <w:rsid w:val="2E931117"/>
    <w:rsid w:val="2EBA10FC"/>
    <w:rsid w:val="2EBF33E5"/>
    <w:rsid w:val="2EC76F67"/>
    <w:rsid w:val="2EDC2C8B"/>
    <w:rsid w:val="2EEE64F4"/>
    <w:rsid w:val="2EF220FC"/>
    <w:rsid w:val="2EF5418D"/>
    <w:rsid w:val="2F5009F1"/>
    <w:rsid w:val="2F5633BA"/>
    <w:rsid w:val="2F683877"/>
    <w:rsid w:val="2F7237D2"/>
    <w:rsid w:val="2F777376"/>
    <w:rsid w:val="2F803CE6"/>
    <w:rsid w:val="2F8D1F5F"/>
    <w:rsid w:val="2FA54819"/>
    <w:rsid w:val="2FC42FB3"/>
    <w:rsid w:val="2FC829DD"/>
    <w:rsid w:val="2FCB6215"/>
    <w:rsid w:val="2FD933F6"/>
    <w:rsid w:val="2FD96459"/>
    <w:rsid w:val="2FF14722"/>
    <w:rsid w:val="301447C3"/>
    <w:rsid w:val="30204B81"/>
    <w:rsid w:val="3030772E"/>
    <w:rsid w:val="30331F5A"/>
    <w:rsid w:val="30393331"/>
    <w:rsid w:val="30406F60"/>
    <w:rsid w:val="304B42F4"/>
    <w:rsid w:val="30567D14"/>
    <w:rsid w:val="30567DEF"/>
    <w:rsid w:val="306C6018"/>
    <w:rsid w:val="30742A88"/>
    <w:rsid w:val="308A71A5"/>
    <w:rsid w:val="30B5176D"/>
    <w:rsid w:val="30BC309C"/>
    <w:rsid w:val="30BF00A7"/>
    <w:rsid w:val="30BF083E"/>
    <w:rsid w:val="30D10447"/>
    <w:rsid w:val="30F1701C"/>
    <w:rsid w:val="31041184"/>
    <w:rsid w:val="311D0D4C"/>
    <w:rsid w:val="31205586"/>
    <w:rsid w:val="313C1934"/>
    <w:rsid w:val="3157066A"/>
    <w:rsid w:val="315A2315"/>
    <w:rsid w:val="315F1B99"/>
    <w:rsid w:val="317B77CC"/>
    <w:rsid w:val="3192675E"/>
    <w:rsid w:val="319C46DB"/>
    <w:rsid w:val="31A0363C"/>
    <w:rsid w:val="31B47C77"/>
    <w:rsid w:val="31BB1529"/>
    <w:rsid w:val="31BC008A"/>
    <w:rsid w:val="31E879C1"/>
    <w:rsid w:val="31FB0D09"/>
    <w:rsid w:val="320F30FF"/>
    <w:rsid w:val="32193F7E"/>
    <w:rsid w:val="32291454"/>
    <w:rsid w:val="323B1905"/>
    <w:rsid w:val="323B3EF4"/>
    <w:rsid w:val="323C1C49"/>
    <w:rsid w:val="32417F7F"/>
    <w:rsid w:val="32632FC7"/>
    <w:rsid w:val="3277204C"/>
    <w:rsid w:val="328C0BC5"/>
    <w:rsid w:val="328F69FE"/>
    <w:rsid w:val="32A0174E"/>
    <w:rsid w:val="32A5240D"/>
    <w:rsid w:val="32D345FD"/>
    <w:rsid w:val="32E263CE"/>
    <w:rsid w:val="32EE540A"/>
    <w:rsid w:val="32F12805"/>
    <w:rsid w:val="32F50323"/>
    <w:rsid w:val="32F83B93"/>
    <w:rsid w:val="32FA4C04"/>
    <w:rsid w:val="3317325D"/>
    <w:rsid w:val="332C2451"/>
    <w:rsid w:val="332E798B"/>
    <w:rsid w:val="33604205"/>
    <w:rsid w:val="339C2921"/>
    <w:rsid w:val="339D62CE"/>
    <w:rsid w:val="33A867EA"/>
    <w:rsid w:val="33AD216C"/>
    <w:rsid w:val="33DC34B5"/>
    <w:rsid w:val="33DD67B5"/>
    <w:rsid w:val="33E0241E"/>
    <w:rsid w:val="33EA3E24"/>
    <w:rsid w:val="33F24227"/>
    <w:rsid w:val="3408788C"/>
    <w:rsid w:val="341113B0"/>
    <w:rsid w:val="34157E83"/>
    <w:rsid w:val="341E496A"/>
    <w:rsid w:val="34203130"/>
    <w:rsid w:val="342A64C8"/>
    <w:rsid w:val="342D04C2"/>
    <w:rsid w:val="342D3978"/>
    <w:rsid w:val="342F5CDB"/>
    <w:rsid w:val="34365F17"/>
    <w:rsid w:val="34384B8F"/>
    <w:rsid w:val="3448428B"/>
    <w:rsid w:val="34534132"/>
    <w:rsid w:val="34534F00"/>
    <w:rsid w:val="346F75CF"/>
    <w:rsid w:val="34787826"/>
    <w:rsid w:val="347A4DC4"/>
    <w:rsid w:val="348576A9"/>
    <w:rsid w:val="348953EB"/>
    <w:rsid w:val="34963664"/>
    <w:rsid w:val="34971FEB"/>
    <w:rsid w:val="349F2380"/>
    <w:rsid w:val="34A950CF"/>
    <w:rsid w:val="34B079A3"/>
    <w:rsid w:val="34C208FD"/>
    <w:rsid w:val="34D23D07"/>
    <w:rsid w:val="34D720B5"/>
    <w:rsid w:val="34D95471"/>
    <w:rsid w:val="34DE1D97"/>
    <w:rsid w:val="34EF162E"/>
    <w:rsid w:val="34F767F8"/>
    <w:rsid w:val="35053E14"/>
    <w:rsid w:val="35076F25"/>
    <w:rsid w:val="35080B69"/>
    <w:rsid w:val="350D601C"/>
    <w:rsid w:val="352561E6"/>
    <w:rsid w:val="35260E8C"/>
    <w:rsid w:val="352C36B3"/>
    <w:rsid w:val="353905D5"/>
    <w:rsid w:val="354F2EFC"/>
    <w:rsid w:val="35645594"/>
    <w:rsid w:val="35A10FA1"/>
    <w:rsid w:val="35BA0D13"/>
    <w:rsid w:val="35C506A4"/>
    <w:rsid w:val="35CF3DB5"/>
    <w:rsid w:val="35E12209"/>
    <w:rsid w:val="35E84480"/>
    <w:rsid w:val="35E930D8"/>
    <w:rsid w:val="360D36C6"/>
    <w:rsid w:val="360D4A4C"/>
    <w:rsid w:val="361A48B6"/>
    <w:rsid w:val="361B018D"/>
    <w:rsid w:val="36232383"/>
    <w:rsid w:val="362E31BF"/>
    <w:rsid w:val="36341386"/>
    <w:rsid w:val="36506CDC"/>
    <w:rsid w:val="36532F25"/>
    <w:rsid w:val="36560ED9"/>
    <w:rsid w:val="367B008C"/>
    <w:rsid w:val="36862D53"/>
    <w:rsid w:val="368B11C5"/>
    <w:rsid w:val="36A165F4"/>
    <w:rsid w:val="36A209E6"/>
    <w:rsid w:val="36A2401B"/>
    <w:rsid w:val="36AE5E46"/>
    <w:rsid w:val="36AF6C5F"/>
    <w:rsid w:val="36B11EA1"/>
    <w:rsid w:val="36BE0D3B"/>
    <w:rsid w:val="36CD2B09"/>
    <w:rsid w:val="36CE34F2"/>
    <w:rsid w:val="36D36DF1"/>
    <w:rsid w:val="36DC0A66"/>
    <w:rsid w:val="36DE341C"/>
    <w:rsid w:val="36E42A6D"/>
    <w:rsid w:val="36E96615"/>
    <w:rsid w:val="36E96E42"/>
    <w:rsid w:val="36F32FEF"/>
    <w:rsid w:val="36F67098"/>
    <w:rsid w:val="370228F1"/>
    <w:rsid w:val="37325CCC"/>
    <w:rsid w:val="37A10C9D"/>
    <w:rsid w:val="37BA43E6"/>
    <w:rsid w:val="37C728C0"/>
    <w:rsid w:val="37C87055"/>
    <w:rsid w:val="37D63CFE"/>
    <w:rsid w:val="37E312B6"/>
    <w:rsid w:val="37ED53B2"/>
    <w:rsid w:val="38020939"/>
    <w:rsid w:val="38195509"/>
    <w:rsid w:val="38203AC3"/>
    <w:rsid w:val="382275F5"/>
    <w:rsid w:val="383B34E0"/>
    <w:rsid w:val="384004B6"/>
    <w:rsid w:val="385B495A"/>
    <w:rsid w:val="38603F4C"/>
    <w:rsid w:val="387119D4"/>
    <w:rsid w:val="38770BE9"/>
    <w:rsid w:val="387B78CA"/>
    <w:rsid w:val="38800AE3"/>
    <w:rsid w:val="388F67FF"/>
    <w:rsid w:val="38935751"/>
    <w:rsid w:val="3895027B"/>
    <w:rsid w:val="38957F8E"/>
    <w:rsid w:val="3899205D"/>
    <w:rsid w:val="38AA5930"/>
    <w:rsid w:val="38B221E7"/>
    <w:rsid w:val="38BA574D"/>
    <w:rsid w:val="38BA6B9F"/>
    <w:rsid w:val="38D0298A"/>
    <w:rsid w:val="38D37649"/>
    <w:rsid w:val="38F85CF9"/>
    <w:rsid w:val="390019F4"/>
    <w:rsid w:val="39227BBC"/>
    <w:rsid w:val="39230F15"/>
    <w:rsid w:val="392A4916"/>
    <w:rsid w:val="39335925"/>
    <w:rsid w:val="39440BD0"/>
    <w:rsid w:val="394417C3"/>
    <w:rsid w:val="394A4A8C"/>
    <w:rsid w:val="394C4C39"/>
    <w:rsid w:val="394D500D"/>
    <w:rsid w:val="39576745"/>
    <w:rsid w:val="395A1104"/>
    <w:rsid w:val="396C52DB"/>
    <w:rsid w:val="39706B79"/>
    <w:rsid w:val="39725AF2"/>
    <w:rsid w:val="39751516"/>
    <w:rsid w:val="399C35DB"/>
    <w:rsid w:val="399C6F7F"/>
    <w:rsid w:val="39AC56D7"/>
    <w:rsid w:val="39C576F9"/>
    <w:rsid w:val="39D215E2"/>
    <w:rsid w:val="39D678CE"/>
    <w:rsid w:val="39DC7D6B"/>
    <w:rsid w:val="39E5694E"/>
    <w:rsid w:val="39E817C8"/>
    <w:rsid w:val="39EC3754"/>
    <w:rsid w:val="39EC6AD6"/>
    <w:rsid w:val="39F95CDE"/>
    <w:rsid w:val="3A0F1D76"/>
    <w:rsid w:val="3A2B209B"/>
    <w:rsid w:val="3A2F57D1"/>
    <w:rsid w:val="3A3C6A5B"/>
    <w:rsid w:val="3A4642CD"/>
    <w:rsid w:val="3A524500"/>
    <w:rsid w:val="3A7347F1"/>
    <w:rsid w:val="3A7B3EAB"/>
    <w:rsid w:val="3A8E19A7"/>
    <w:rsid w:val="3A9A5EC9"/>
    <w:rsid w:val="3ABF6EC5"/>
    <w:rsid w:val="3AE7686D"/>
    <w:rsid w:val="3AEA63DE"/>
    <w:rsid w:val="3B037579"/>
    <w:rsid w:val="3B0C5877"/>
    <w:rsid w:val="3B1669C3"/>
    <w:rsid w:val="3B4F232C"/>
    <w:rsid w:val="3B575E4B"/>
    <w:rsid w:val="3B5B260B"/>
    <w:rsid w:val="3B5E427A"/>
    <w:rsid w:val="3B705A26"/>
    <w:rsid w:val="3B74695C"/>
    <w:rsid w:val="3B8C3A12"/>
    <w:rsid w:val="3B901331"/>
    <w:rsid w:val="3BA405C1"/>
    <w:rsid w:val="3BAF35D2"/>
    <w:rsid w:val="3BB41A48"/>
    <w:rsid w:val="3BC500E4"/>
    <w:rsid w:val="3BCE4014"/>
    <w:rsid w:val="3BD0613B"/>
    <w:rsid w:val="3BD63824"/>
    <w:rsid w:val="3BDF16E1"/>
    <w:rsid w:val="3BED4F05"/>
    <w:rsid w:val="3BF4546E"/>
    <w:rsid w:val="3BFE7752"/>
    <w:rsid w:val="3C2F45AC"/>
    <w:rsid w:val="3C4B567C"/>
    <w:rsid w:val="3C6D316B"/>
    <w:rsid w:val="3C6D665F"/>
    <w:rsid w:val="3C8C6C02"/>
    <w:rsid w:val="3C97346A"/>
    <w:rsid w:val="3C97611D"/>
    <w:rsid w:val="3C991F43"/>
    <w:rsid w:val="3CA35943"/>
    <w:rsid w:val="3CA572CA"/>
    <w:rsid w:val="3CAE3607"/>
    <w:rsid w:val="3CB9569C"/>
    <w:rsid w:val="3CC15E06"/>
    <w:rsid w:val="3CE37D00"/>
    <w:rsid w:val="3CEA324D"/>
    <w:rsid w:val="3CEE6EED"/>
    <w:rsid w:val="3D121629"/>
    <w:rsid w:val="3D2E2245"/>
    <w:rsid w:val="3D4551F5"/>
    <w:rsid w:val="3D495F02"/>
    <w:rsid w:val="3D606A2B"/>
    <w:rsid w:val="3D7A0B26"/>
    <w:rsid w:val="3D7A242D"/>
    <w:rsid w:val="3D874491"/>
    <w:rsid w:val="3D933161"/>
    <w:rsid w:val="3DAC23F0"/>
    <w:rsid w:val="3DB17760"/>
    <w:rsid w:val="3DB50455"/>
    <w:rsid w:val="3DBF2FD3"/>
    <w:rsid w:val="3DC15BF5"/>
    <w:rsid w:val="3DCE3E6E"/>
    <w:rsid w:val="3DEF7FD5"/>
    <w:rsid w:val="3DF32479"/>
    <w:rsid w:val="3E0F3D99"/>
    <w:rsid w:val="3E1E78E3"/>
    <w:rsid w:val="3E262758"/>
    <w:rsid w:val="3E2916AF"/>
    <w:rsid w:val="3E3143FD"/>
    <w:rsid w:val="3E3A0DDF"/>
    <w:rsid w:val="3E726EF0"/>
    <w:rsid w:val="3E774506"/>
    <w:rsid w:val="3E9055C8"/>
    <w:rsid w:val="3EA4424E"/>
    <w:rsid w:val="3EA64DEB"/>
    <w:rsid w:val="3EAD6F0F"/>
    <w:rsid w:val="3ED13738"/>
    <w:rsid w:val="3ED541C1"/>
    <w:rsid w:val="3EDB7DC7"/>
    <w:rsid w:val="3EE36891"/>
    <w:rsid w:val="3EFB5913"/>
    <w:rsid w:val="3F1A123E"/>
    <w:rsid w:val="3F2C4F59"/>
    <w:rsid w:val="3F3B19D7"/>
    <w:rsid w:val="3F4732F9"/>
    <w:rsid w:val="3F4E4275"/>
    <w:rsid w:val="3F5D7BA0"/>
    <w:rsid w:val="3F70669D"/>
    <w:rsid w:val="3F770FD6"/>
    <w:rsid w:val="3F8B1114"/>
    <w:rsid w:val="3FA163CB"/>
    <w:rsid w:val="3FB41253"/>
    <w:rsid w:val="3FB42FC1"/>
    <w:rsid w:val="3FBC75CB"/>
    <w:rsid w:val="3FD7088F"/>
    <w:rsid w:val="401A6B1B"/>
    <w:rsid w:val="40267F0C"/>
    <w:rsid w:val="403B21E0"/>
    <w:rsid w:val="405B64CE"/>
    <w:rsid w:val="405E5FD0"/>
    <w:rsid w:val="407A1725"/>
    <w:rsid w:val="408A1223"/>
    <w:rsid w:val="40900ABF"/>
    <w:rsid w:val="40905D53"/>
    <w:rsid w:val="40956347"/>
    <w:rsid w:val="40AA23C9"/>
    <w:rsid w:val="40AB2262"/>
    <w:rsid w:val="40B53CD4"/>
    <w:rsid w:val="40C31C84"/>
    <w:rsid w:val="40FC6603"/>
    <w:rsid w:val="40FF5C97"/>
    <w:rsid w:val="41065BDB"/>
    <w:rsid w:val="410B4CAB"/>
    <w:rsid w:val="4111383A"/>
    <w:rsid w:val="411B386E"/>
    <w:rsid w:val="411B3C9E"/>
    <w:rsid w:val="41304D99"/>
    <w:rsid w:val="413D1419"/>
    <w:rsid w:val="414808C8"/>
    <w:rsid w:val="414C7ECC"/>
    <w:rsid w:val="415B62D9"/>
    <w:rsid w:val="41626CC3"/>
    <w:rsid w:val="41636FC4"/>
    <w:rsid w:val="41650F8E"/>
    <w:rsid w:val="41662610"/>
    <w:rsid w:val="41724A7F"/>
    <w:rsid w:val="41770393"/>
    <w:rsid w:val="41801BCC"/>
    <w:rsid w:val="41813919"/>
    <w:rsid w:val="419E1DAA"/>
    <w:rsid w:val="41B956A8"/>
    <w:rsid w:val="41BB0BAE"/>
    <w:rsid w:val="41BF2837"/>
    <w:rsid w:val="41C11E7E"/>
    <w:rsid w:val="41C404E2"/>
    <w:rsid w:val="41D81760"/>
    <w:rsid w:val="41DF47E9"/>
    <w:rsid w:val="41E46112"/>
    <w:rsid w:val="41E6583D"/>
    <w:rsid w:val="41E719A3"/>
    <w:rsid w:val="42091952"/>
    <w:rsid w:val="421107CE"/>
    <w:rsid w:val="421D4005"/>
    <w:rsid w:val="421F522E"/>
    <w:rsid w:val="4222613E"/>
    <w:rsid w:val="422B4C97"/>
    <w:rsid w:val="423050F8"/>
    <w:rsid w:val="42545CBC"/>
    <w:rsid w:val="425D7EB7"/>
    <w:rsid w:val="42613503"/>
    <w:rsid w:val="426D5D1D"/>
    <w:rsid w:val="426F60F8"/>
    <w:rsid w:val="4270760E"/>
    <w:rsid w:val="427B3B7B"/>
    <w:rsid w:val="42845443"/>
    <w:rsid w:val="42C97652"/>
    <w:rsid w:val="42E41023"/>
    <w:rsid w:val="42F47B04"/>
    <w:rsid w:val="42F93552"/>
    <w:rsid w:val="431179A5"/>
    <w:rsid w:val="43232204"/>
    <w:rsid w:val="43304E94"/>
    <w:rsid w:val="43430E5B"/>
    <w:rsid w:val="434D1CD9"/>
    <w:rsid w:val="436526F3"/>
    <w:rsid w:val="436A6378"/>
    <w:rsid w:val="43827BD5"/>
    <w:rsid w:val="43983B17"/>
    <w:rsid w:val="439C0B83"/>
    <w:rsid w:val="439C29C6"/>
    <w:rsid w:val="43A559D8"/>
    <w:rsid w:val="43A83DFA"/>
    <w:rsid w:val="43B37F8E"/>
    <w:rsid w:val="43C6697E"/>
    <w:rsid w:val="43C74337"/>
    <w:rsid w:val="43C755F9"/>
    <w:rsid w:val="43CB19D6"/>
    <w:rsid w:val="43D1290A"/>
    <w:rsid w:val="43D20F7A"/>
    <w:rsid w:val="43D441A9"/>
    <w:rsid w:val="43DD4E0B"/>
    <w:rsid w:val="43E81149"/>
    <w:rsid w:val="43EA7B92"/>
    <w:rsid w:val="43F11503"/>
    <w:rsid w:val="43F60A66"/>
    <w:rsid w:val="43F76F42"/>
    <w:rsid w:val="44056110"/>
    <w:rsid w:val="441E766B"/>
    <w:rsid w:val="44293C11"/>
    <w:rsid w:val="4436451B"/>
    <w:rsid w:val="443857F8"/>
    <w:rsid w:val="444C0E98"/>
    <w:rsid w:val="445552E9"/>
    <w:rsid w:val="44586EC5"/>
    <w:rsid w:val="44595A39"/>
    <w:rsid w:val="44662AE2"/>
    <w:rsid w:val="447E76F2"/>
    <w:rsid w:val="448843F1"/>
    <w:rsid w:val="4496598B"/>
    <w:rsid w:val="44A309C5"/>
    <w:rsid w:val="44C67F95"/>
    <w:rsid w:val="44CC030B"/>
    <w:rsid w:val="44D26D39"/>
    <w:rsid w:val="44F075C6"/>
    <w:rsid w:val="45055CCA"/>
    <w:rsid w:val="4514702D"/>
    <w:rsid w:val="453C1A08"/>
    <w:rsid w:val="453E1CAE"/>
    <w:rsid w:val="45520A90"/>
    <w:rsid w:val="455F2885"/>
    <w:rsid w:val="456862A2"/>
    <w:rsid w:val="456B4F98"/>
    <w:rsid w:val="458B6FC5"/>
    <w:rsid w:val="459B6D2C"/>
    <w:rsid w:val="45BC5BD9"/>
    <w:rsid w:val="45C358B9"/>
    <w:rsid w:val="45D229CC"/>
    <w:rsid w:val="45D54AA4"/>
    <w:rsid w:val="45FF0C08"/>
    <w:rsid w:val="46353F95"/>
    <w:rsid w:val="463E7EB5"/>
    <w:rsid w:val="465175BC"/>
    <w:rsid w:val="46640D69"/>
    <w:rsid w:val="466D1D5D"/>
    <w:rsid w:val="466E61EE"/>
    <w:rsid w:val="467F03FC"/>
    <w:rsid w:val="469163F6"/>
    <w:rsid w:val="46A7015F"/>
    <w:rsid w:val="46AB75C9"/>
    <w:rsid w:val="46B36852"/>
    <w:rsid w:val="46B36A80"/>
    <w:rsid w:val="46B757AE"/>
    <w:rsid w:val="46BA1C6A"/>
    <w:rsid w:val="46BF04EB"/>
    <w:rsid w:val="46C771CE"/>
    <w:rsid w:val="46C978C9"/>
    <w:rsid w:val="46CF6E7E"/>
    <w:rsid w:val="46DD7AD3"/>
    <w:rsid w:val="47122C92"/>
    <w:rsid w:val="47264D1B"/>
    <w:rsid w:val="473B0044"/>
    <w:rsid w:val="47435706"/>
    <w:rsid w:val="474D37CF"/>
    <w:rsid w:val="47502210"/>
    <w:rsid w:val="475C073D"/>
    <w:rsid w:val="475E39BD"/>
    <w:rsid w:val="47644604"/>
    <w:rsid w:val="47680E90"/>
    <w:rsid w:val="47686271"/>
    <w:rsid w:val="47731ED1"/>
    <w:rsid w:val="477E24BB"/>
    <w:rsid w:val="479516AF"/>
    <w:rsid w:val="479C0975"/>
    <w:rsid w:val="479F7290"/>
    <w:rsid w:val="47B46245"/>
    <w:rsid w:val="47DF4BE0"/>
    <w:rsid w:val="47E105BF"/>
    <w:rsid w:val="47E16302"/>
    <w:rsid w:val="47F55B10"/>
    <w:rsid w:val="47F67274"/>
    <w:rsid w:val="48020116"/>
    <w:rsid w:val="48096C2B"/>
    <w:rsid w:val="480A0199"/>
    <w:rsid w:val="48260177"/>
    <w:rsid w:val="482F28FC"/>
    <w:rsid w:val="48373EC0"/>
    <w:rsid w:val="485C27A7"/>
    <w:rsid w:val="4864670F"/>
    <w:rsid w:val="486E697A"/>
    <w:rsid w:val="48763A80"/>
    <w:rsid w:val="488F5C72"/>
    <w:rsid w:val="489E7893"/>
    <w:rsid w:val="48B25152"/>
    <w:rsid w:val="48B8194D"/>
    <w:rsid w:val="48BA585E"/>
    <w:rsid w:val="48CF1315"/>
    <w:rsid w:val="48D3615C"/>
    <w:rsid w:val="48DE7E29"/>
    <w:rsid w:val="48DF1445"/>
    <w:rsid w:val="48DF797C"/>
    <w:rsid w:val="48EB1F0B"/>
    <w:rsid w:val="48FF45CF"/>
    <w:rsid w:val="491B0D0D"/>
    <w:rsid w:val="491C4246"/>
    <w:rsid w:val="4928519E"/>
    <w:rsid w:val="49311755"/>
    <w:rsid w:val="493135A5"/>
    <w:rsid w:val="494D29FE"/>
    <w:rsid w:val="494F76E1"/>
    <w:rsid w:val="495D7926"/>
    <w:rsid w:val="49725090"/>
    <w:rsid w:val="497E3B15"/>
    <w:rsid w:val="498875C7"/>
    <w:rsid w:val="498C3781"/>
    <w:rsid w:val="49963DBE"/>
    <w:rsid w:val="49AA51C8"/>
    <w:rsid w:val="49B472CA"/>
    <w:rsid w:val="49B605D8"/>
    <w:rsid w:val="49C53E43"/>
    <w:rsid w:val="49DB023D"/>
    <w:rsid w:val="49E919C0"/>
    <w:rsid w:val="49EC224C"/>
    <w:rsid w:val="49F46938"/>
    <w:rsid w:val="49FB19ED"/>
    <w:rsid w:val="4A0E3C46"/>
    <w:rsid w:val="4A1A6F8C"/>
    <w:rsid w:val="4A1E617D"/>
    <w:rsid w:val="4A4D5A80"/>
    <w:rsid w:val="4A4F6337"/>
    <w:rsid w:val="4A5A6605"/>
    <w:rsid w:val="4A606BE6"/>
    <w:rsid w:val="4A800BE6"/>
    <w:rsid w:val="4A972452"/>
    <w:rsid w:val="4AA574C8"/>
    <w:rsid w:val="4ABF1B46"/>
    <w:rsid w:val="4AC3611A"/>
    <w:rsid w:val="4AD04FB9"/>
    <w:rsid w:val="4B02784D"/>
    <w:rsid w:val="4B111D5E"/>
    <w:rsid w:val="4B3B68BB"/>
    <w:rsid w:val="4B531E57"/>
    <w:rsid w:val="4B594293"/>
    <w:rsid w:val="4B5E585D"/>
    <w:rsid w:val="4B7C7A9D"/>
    <w:rsid w:val="4B81538B"/>
    <w:rsid w:val="4B851BEF"/>
    <w:rsid w:val="4BA44BEB"/>
    <w:rsid w:val="4BB475B0"/>
    <w:rsid w:val="4BC4461A"/>
    <w:rsid w:val="4BDB773A"/>
    <w:rsid w:val="4BE14005"/>
    <w:rsid w:val="4BE76BB0"/>
    <w:rsid w:val="4BE807F1"/>
    <w:rsid w:val="4BE8086A"/>
    <w:rsid w:val="4BF13D28"/>
    <w:rsid w:val="4C067384"/>
    <w:rsid w:val="4C0B1E21"/>
    <w:rsid w:val="4C156BA2"/>
    <w:rsid w:val="4C2061DD"/>
    <w:rsid w:val="4C324162"/>
    <w:rsid w:val="4C4243A5"/>
    <w:rsid w:val="4C4E6900"/>
    <w:rsid w:val="4C76391A"/>
    <w:rsid w:val="4C860A63"/>
    <w:rsid w:val="4C9149E5"/>
    <w:rsid w:val="4C9D3A54"/>
    <w:rsid w:val="4CB67591"/>
    <w:rsid w:val="4CB706B9"/>
    <w:rsid w:val="4CC50DD1"/>
    <w:rsid w:val="4D2F3842"/>
    <w:rsid w:val="4D357AA6"/>
    <w:rsid w:val="4D5B4FF3"/>
    <w:rsid w:val="4D5C6E04"/>
    <w:rsid w:val="4D622825"/>
    <w:rsid w:val="4D812CA4"/>
    <w:rsid w:val="4D9227B9"/>
    <w:rsid w:val="4D9724CF"/>
    <w:rsid w:val="4DA76875"/>
    <w:rsid w:val="4DA97317"/>
    <w:rsid w:val="4DAA3C85"/>
    <w:rsid w:val="4DD14720"/>
    <w:rsid w:val="4DF12A97"/>
    <w:rsid w:val="4DFA2A5E"/>
    <w:rsid w:val="4E0B14A1"/>
    <w:rsid w:val="4E1A6A86"/>
    <w:rsid w:val="4E1E16D9"/>
    <w:rsid w:val="4E21392F"/>
    <w:rsid w:val="4E236ABB"/>
    <w:rsid w:val="4E2F2707"/>
    <w:rsid w:val="4E301438"/>
    <w:rsid w:val="4E35163E"/>
    <w:rsid w:val="4E353A96"/>
    <w:rsid w:val="4E4361B3"/>
    <w:rsid w:val="4E457306"/>
    <w:rsid w:val="4E473EF5"/>
    <w:rsid w:val="4E490D40"/>
    <w:rsid w:val="4E4E2F3A"/>
    <w:rsid w:val="4E550D53"/>
    <w:rsid w:val="4E6A6773"/>
    <w:rsid w:val="4E760336"/>
    <w:rsid w:val="4E8C7B5A"/>
    <w:rsid w:val="4E8E7CD3"/>
    <w:rsid w:val="4E942A4D"/>
    <w:rsid w:val="4EA730D4"/>
    <w:rsid w:val="4EC15329"/>
    <w:rsid w:val="4EC54C5A"/>
    <w:rsid w:val="4EE6219A"/>
    <w:rsid w:val="4EE71234"/>
    <w:rsid w:val="4EEA47E4"/>
    <w:rsid w:val="4EF76032"/>
    <w:rsid w:val="4EFB4CDF"/>
    <w:rsid w:val="4F20392C"/>
    <w:rsid w:val="4F247D92"/>
    <w:rsid w:val="4F2953A8"/>
    <w:rsid w:val="4F450733"/>
    <w:rsid w:val="4F5E616E"/>
    <w:rsid w:val="4F6261F3"/>
    <w:rsid w:val="4F690FE3"/>
    <w:rsid w:val="4F79050D"/>
    <w:rsid w:val="4F9A4FEA"/>
    <w:rsid w:val="4F9F49EA"/>
    <w:rsid w:val="4FBB6AA0"/>
    <w:rsid w:val="4FDE5BC3"/>
    <w:rsid w:val="4FFE3E20"/>
    <w:rsid w:val="50035120"/>
    <w:rsid w:val="500876B4"/>
    <w:rsid w:val="50160DAA"/>
    <w:rsid w:val="501F0BD1"/>
    <w:rsid w:val="503349F0"/>
    <w:rsid w:val="503404A9"/>
    <w:rsid w:val="503872A5"/>
    <w:rsid w:val="504A01DD"/>
    <w:rsid w:val="50513AC4"/>
    <w:rsid w:val="50574197"/>
    <w:rsid w:val="50715908"/>
    <w:rsid w:val="50A416AA"/>
    <w:rsid w:val="50AB07D5"/>
    <w:rsid w:val="50B13E9D"/>
    <w:rsid w:val="50BB4726"/>
    <w:rsid w:val="50EE70A8"/>
    <w:rsid w:val="50F10148"/>
    <w:rsid w:val="51036FE6"/>
    <w:rsid w:val="510B6CA0"/>
    <w:rsid w:val="51152508"/>
    <w:rsid w:val="5133250E"/>
    <w:rsid w:val="513E2714"/>
    <w:rsid w:val="515709EB"/>
    <w:rsid w:val="51934AAC"/>
    <w:rsid w:val="51962A9D"/>
    <w:rsid w:val="51AB78CF"/>
    <w:rsid w:val="51C5420F"/>
    <w:rsid w:val="51CB2747"/>
    <w:rsid w:val="51D47FF4"/>
    <w:rsid w:val="51E7154B"/>
    <w:rsid w:val="51E7563D"/>
    <w:rsid w:val="51EE28D9"/>
    <w:rsid w:val="521A3605"/>
    <w:rsid w:val="521C11F4"/>
    <w:rsid w:val="52285A6A"/>
    <w:rsid w:val="522A38DF"/>
    <w:rsid w:val="52397FB4"/>
    <w:rsid w:val="523E791F"/>
    <w:rsid w:val="52402996"/>
    <w:rsid w:val="5257047F"/>
    <w:rsid w:val="52617147"/>
    <w:rsid w:val="526B3F2A"/>
    <w:rsid w:val="52741030"/>
    <w:rsid w:val="52865976"/>
    <w:rsid w:val="52A65B21"/>
    <w:rsid w:val="52B97762"/>
    <w:rsid w:val="52C55FBD"/>
    <w:rsid w:val="52F24BE2"/>
    <w:rsid w:val="52F47459"/>
    <w:rsid w:val="52FB2942"/>
    <w:rsid w:val="52FC6A6D"/>
    <w:rsid w:val="53210238"/>
    <w:rsid w:val="53236C69"/>
    <w:rsid w:val="5325232B"/>
    <w:rsid w:val="533B5CEA"/>
    <w:rsid w:val="53762AB7"/>
    <w:rsid w:val="538633AC"/>
    <w:rsid w:val="53876A10"/>
    <w:rsid w:val="538F3092"/>
    <w:rsid w:val="539B6354"/>
    <w:rsid w:val="53BE765E"/>
    <w:rsid w:val="53C27035"/>
    <w:rsid w:val="53C50A69"/>
    <w:rsid w:val="53CA2D50"/>
    <w:rsid w:val="5413619C"/>
    <w:rsid w:val="54170E55"/>
    <w:rsid w:val="541E21D7"/>
    <w:rsid w:val="54291031"/>
    <w:rsid w:val="54295E4B"/>
    <w:rsid w:val="542A1C14"/>
    <w:rsid w:val="542B4CD6"/>
    <w:rsid w:val="54322F13"/>
    <w:rsid w:val="543309F3"/>
    <w:rsid w:val="5433585F"/>
    <w:rsid w:val="543C792C"/>
    <w:rsid w:val="54435776"/>
    <w:rsid w:val="545B7F1F"/>
    <w:rsid w:val="54695372"/>
    <w:rsid w:val="549338F7"/>
    <w:rsid w:val="54B11F2D"/>
    <w:rsid w:val="54B23FB4"/>
    <w:rsid w:val="54BA06BC"/>
    <w:rsid w:val="54CA3E6F"/>
    <w:rsid w:val="54D97149"/>
    <w:rsid w:val="54E014CF"/>
    <w:rsid w:val="54E612BF"/>
    <w:rsid w:val="54EB6261"/>
    <w:rsid w:val="54F72BA4"/>
    <w:rsid w:val="550D751A"/>
    <w:rsid w:val="55347AC1"/>
    <w:rsid w:val="554C29BF"/>
    <w:rsid w:val="5552317F"/>
    <w:rsid w:val="555D729D"/>
    <w:rsid w:val="556016E7"/>
    <w:rsid w:val="556938B8"/>
    <w:rsid w:val="556A2277"/>
    <w:rsid w:val="557D01FC"/>
    <w:rsid w:val="559F444C"/>
    <w:rsid w:val="55B01845"/>
    <w:rsid w:val="55C15D92"/>
    <w:rsid w:val="55F162F3"/>
    <w:rsid w:val="55F4140B"/>
    <w:rsid w:val="560C488C"/>
    <w:rsid w:val="56244B1C"/>
    <w:rsid w:val="56273A47"/>
    <w:rsid w:val="56425C78"/>
    <w:rsid w:val="564927D4"/>
    <w:rsid w:val="56633896"/>
    <w:rsid w:val="5666118F"/>
    <w:rsid w:val="56721389"/>
    <w:rsid w:val="56737851"/>
    <w:rsid w:val="568408EA"/>
    <w:rsid w:val="56BC6B02"/>
    <w:rsid w:val="56BF212D"/>
    <w:rsid w:val="56C67D7A"/>
    <w:rsid w:val="56D44EAD"/>
    <w:rsid w:val="56E32267"/>
    <w:rsid w:val="56E524FD"/>
    <w:rsid w:val="56EE0C86"/>
    <w:rsid w:val="570A0F13"/>
    <w:rsid w:val="570A713B"/>
    <w:rsid w:val="5712706A"/>
    <w:rsid w:val="57185867"/>
    <w:rsid w:val="571B14C3"/>
    <w:rsid w:val="572A43B4"/>
    <w:rsid w:val="572E1762"/>
    <w:rsid w:val="574B0C34"/>
    <w:rsid w:val="57804F4B"/>
    <w:rsid w:val="57977777"/>
    <w:rsid w:val="57A64363"/>
    <w:rsid w:val="57AF5F7C"/>
    <w:rsid w:val="57C6204E"/>
    <w:rsid w:val="57C626D1"/>
    <w:rsid w:val="57CA524F"/>
    <w:rsid w:val="57CB6023"/>
    <w:rsid w:val="57CF122D"/>
    <w:rsid w:val="57D936E4"/>
    <w:rsid w:val="57DA02DD"/>
    <w:rsid w:val="57DB3F1E"/>
    <w:rsid w:val="57F2572A"/>
    <w:rsid w:val="580F5357"/>
    <w:rsid w:val="58117322"/>
    <w:rsid w:val="582837E7"/>
    <w:rsid w:val="582E1026"/>
    <w:rsid w:val="585A1021"/>
    <w:rsid w:val="58615BB3"/>
    <w:rsid w:val="58740080"/>
    <w:rsid w:val="58783461"/>
    <w:rsid w:val="58850630"/>
    <w:rsid w:val="588F0E98"/>
    <w:rsid w:val="58A82D2D"/>
    <w:rsid w:val="58BB4771"/>
    <w:rsid w:val="58CF2158"/>
    <w:rsid w:val="58D65DEC"/>
    <w:rsid w:val="58DB0D59"/>
    <w:rsid w:val="58DB2BE3"/>
    <w:rsid w:val="58E10AA2"/>
    <w:rsid w:val="58E577FB"/>
    <w:rsid w:val="58FB59E6"/>
    <w:rsid w:val="5900361E"/>
    <w:rsid w:val="59044790"/>
    <w:rsid w:val="59101387"/>
    <w:rsid w:val="591075D9"/>
    <w:rsid w:val="591638F1"/>
    <w:rsid w:val="59164263"/>
    <w:rsid w:val="59345076"/>
    <w:rsid w:val="5939743A"/>
    <w:rsid w:val="593C1F84"/>
    <w:rsid w:val="59582C27"/>
    <w:rsid w:val="59705193"/>
    <w:rsid w:val="5986574F"/>
    <w:rsid w:val="59865DB6"/>
    <w:rsid w:val="59900AB1"/>
    <w:rsid w:val="599C2C1B"/>
    <w:rsid w:val="59AC03BD"/>
    <w:rsid w:val="59AD46C0"/>
    <w:rsid w:val="59B82C0D"/>
    <w:rsid w:val="59BD32BD"/>
    <w:rsid w:val="59CE212E"/>
    <w:rsid w:val="59D2663D"/>
    <w:rsid w:val="59E545C2"/>
    <w:rsid w:val="59E720E8"/>
    <w:rsid w:val="59ED09DF"/>
    <w:rsid w:val="59FE0702"/>
    <w:rsid w:val="5A0E4724"/>
    <w:rsid w:val="5A1153B7"/>
    <w:rsid w:val="5A1676F8"/>
    <w:rsid w:val="5A2A0E0A"/>
    <w:rsid w:val="5A316E0D"/>
    <w:rsid w:val="5A5F25C6"/>
    <w:rsid w:val="5A711197"/>
    <w:rsid w:val="5A784A81"/>
    <w:rsid w:val="5A795D6B"/>
    <w:rsid w:val="5A994753"/>
    <w:rsid w:val="5AAE2C06"/>
    <w:rsid w:val="5ABD3FDC"/>
    <w:rsid w:val="5AC02829"/>
    <w:rsid w:val="5AC104CB"/>
    <w:rsid w:val="5AC639F5"/>
    <w:rsid w:val="5ACC4C63"/>
    <w:rsid w:val="5AF75570"/>
    <w:rsid w:val="5B063975"/>
    <w:rsid w:val="5B1C2201"/>
    <w:rsid w:val="5B1F3830"/>
    <w:rsid w:val="5B2A410C"/>
    <w:rsid w:val="5B2E0180"/>
    <w:rsid w:val="5B307D2A"/>
    <w:rsid w:val="5B3754F6"/>
    <w:rsid w:val="5B4355C2"/>
    <w:rsid w:val="5B5277C0"/>
    <w:rsid w:val="5B5725ED"/>
    <w:rsid w:val="5B5E462C"/>
    <w:rsid w:val="5B606345"/>
    <w:rsid w:val="5B633DF6"/>
    <w:rsid w:val="5B6F1A4C"/>
    <w:rsid w:val="5B7A3D8E"/>
    <w:rsid w:val="5B8B2F47"/>
    <w:rsid w:val="5B966903"/>
    <w:rsid w:val="5B9E4CE1"/>
    <w:rsid w:val="5BAA5AC3"/>
    <w:rsid w:val="5BAF30D9"/>
    <w:rsid w:val="5BB1422B"/>
    <w:rsid w:val="5BBB15BD"/>
    <w:rsid w:val="5BD175F6"/>
    <w:rsid w:val="5BD20B76"/>
    <w:rsid w:val="5BE636CF"/>
    <w:rsid w:val="5BE67F5C"/>
    <w:rsid w:val="5BFD5435"/>
    <w:rsid w:val="5C015304"/>
    <w:rsid w:val="5C1217FC"/>
    <w:rsid w:val="5C1473E0"/>
    <w:rsid w:val="5C273E95"/>
    <w:rsid w:val="5C376C0E"/>
    <w:rsid w:val="5C3B496D"/>
    <w:rsid w:val="5C465AC9"/>
    <w:rsid w:val="5C46603D"/>
    <w:rsid w:val="5C486EC4"/>
    <w:rsid w:val="5C5617A7"/>
    <w:rsid w:val="5C62639E"/>
    <w:rsid w:val="5C737BB0"/>
    <w:rsid w:val="5C7F2AAC"/>
    <w:rsid w:val="5C8C015D"/>
    <w:rsid w:val="5C9D0992"/>
    <w:rsid w:val="5CAB72C4"/>
    <w:rsid w:val="5CB657CD"/>
    <w:rsid w:val="5CC9243D"/>
    <w:rsid w:val="5CCC3753"/>
    <w:rsid w:val="5CCF1C38"/>
    <w:rsid w:val="5CE9242A"/>
    <w:rsid w:val="5CF96D20"/>
    <w:rsid w:val="5D045AEC"/>
    <w:rsid w:val="5D4C5837"/>
    <w:rsid w:val="5D4D686E"/>
    <w:rsid w:val="5D606CB2"/>
    <w:rsid w:val="5D6A2BA0"/>
    <w:rsid w:val="5D721F0E"/>
    <w:rsid w:val="5D7B6683"/>
    <w:rsid w:val="5D804D2D"/>
    <w:rsid w:val="5D880074"/>
    <w:rsid w:val="5D88799D"/>
    <w:rsid w:val="5DA435C7"/>
    <w:rsid w:val="5DBE79B6"/>
    <w:rsid w:val="5DC577D7"/>
    <w:rsid w:val="5DE81E2E"/>
    <w:rsid w:val="5DEA7DBC"/>
    <w:rsid w:val="5E0A12F3"/>
    <w:rsid w:val="5E227B93"/>
    <w:rsid w:val="5E29109A"/>
    <w:rsid w:val="5E2A2F3C"/>
    <w:rsid w:val="5E343D6F"/>
    <w:rsid w:val="5E637977"/>
    <w:rsid w:val="5E6B000B"/>
    <w:rsid w:val="5E6D44AE"/>
    <w:rsid w:val="5E6F6B50"/>
    <w:rsid w:val="5E795179"/>
    <w:rsid w:val="5E7E3CCD"/>
    <w:rsid w:val="5EA64EAF"/>
    <w:rsid w:val="5EA960E8"/>
    <w:rsid w:val="5EE63C64"/>
    <w:rsid w:val="5EFF0965"/>
    <w:rsid w:val="5F036A42"/>
    <w:rsid w:val="5F113A22"/>
    <w:rsid w:val="5F1E27A5"/>
    <w:rsid w:val="5F263766"/>
    <w:rsid w:val="5F4C1E95"/>
    <w:rsid w:val="5F6B58F7"/>
    <w:rsid w:val="5F6C0FB9"/>
    <w:rsid w:val="5F893DB9"/>
    <w:rsid w:val="5F9032A9"/>
    <w:rsid w:val="5F920D48"/>
    <w:rsid w:val="5F961350"/>
    <w:rsid w:val="5FA56CCD"/>
    <w:rsid w:val="5FAD38ED"/>
    <w:rsid w:val="5FDD7031"/>
    <w:rsid w:val="5FDE2F7F"/>
    <w:rsid w:val="5FE002DA"/>
    <w:rsid w:val="5FED4FCC"/>
    <w:rsid w:val="5FEE27A4"/>
    <w:rsid w:val="5FF17B17"/>
    <w:rsid w:val="5FF97FD7"/>
    <w:rsid w:val="600D6BD6"/>
    <w:rsid w:val="601501C9"/>
    <w:rsid w:val="603C2A47"/>
    <w:rsid w:val="6043123C"/>
    <w:rsid w:val="604A348D"/>
    <w:rsid w:val="605424A1"/>
    <w:rsid w:val="60547C1F"/>
    <w:rsid w:val="60587728"/>
    <w:rsid w:val="60590729"/>
    <w:rsid w:val="60681AA9"/>
    <w:rsid w:val="60761B4D"/>
    <w:rsid w:val="608C0398"/>
    <w:rsid w:val="608E5CF8"/>
    <w:rsid w:val="60C00120"/>
    <w:rsid w:val="60C5677E"/>
    <w:rsid w:val="60CE5DB0"/>
    <w:rsid w:val="60DD5FF3"/>
    <w:rsid w:val="60E40150"/>
    <w:rsid w:val="61185328"/>
    <w:rsid w:val="611B6B1B"/>
    <w:rsid w:val="61227937"/>
    <w:rsid w:val="613932E0"/>
    <w:rsid w:val="613A252C"/>
    <w:rsid w:val="613D2095"/>
    <w:rsid w:val="613E45A8"/>
    <w:rsid w:val="615064FC"/>
    <w:rsid w:val="615670CF"/>
    <w:rsid w:val="616B1851"/>
    <w:rsid w:val="617A313A"/>
    <w:rsid w:val="61860A38"/>
    <w:rsid w:val="61925B1F"/>
    <w:rsid w:val="61926DDD"/>
    <w:rsid w:val="6195042A"/>
    <w:rsid w:val="619A2136"/>
    <w:rsid w:val="61A6202B"/>
    <w:rsid w:val="61A84853"/>
    <w:rsid w:val="61B054B5"/>
    <w:rsid w:val="61C22C69"/>
    <w:rsid w:val="61CE5D71"/>
    <w:rsid w:val="61DE2821"/>
    <w:rsid w:val="61EE237D"/>
    <w:rsid w:val="61F06045"/>
    <w:rsid w:val="61F1271F"/>
    <w:rsid w:val="61F546F2"/>
    <w:rsid w:val="61F66327"/>
    <w:rsid w:val="62185DA8"/>
    <w:rsid w:val="622D5BB3"/>
    <w:rsid w:val="623C2CF5"/>
    <w:rsid w:val="62604807"/>
    <w:rsid w:val="62726C0F"/>
    <w:rsid w:val="62767A47"/>
    <w:rsid w:val="62773DA4"/>
    <w:rsid w:val="627F2251"/>
    <w:rsid w:val="628038E7"/>
    <w:rsid w:val="629E6A1B"/>
    <w:rsid w:val="62B92A90"/>
    <w:rsid w:val="62CF4061"/>
    <w:rsid w:val="62E959D8"/>
    <w:rsid w:val="62EB733F"/>
    <w:rsid w:val="6304775B"/>
    <w:rsid w:val="632C5010"/>
    <w:rsid w:val="634A0512"/>
    <w:rsid w:val="635E0297"/>
    <w:rsid w:val="6373274E"/>
    <w:rsid w:val="638A60E9"/>
    <w:rsid w:val="639F57E1"/>
    <w:rsid w:val="63AC7EFE"/>
    <w:rsid w:val="63BC6BB8"/>
    <w:rsid w:val="63BE1344"/>
    <w:rsid w:val="63BF5C6E"/>
    <w:rsid w:val="63D00340"/>
    <w:rsid w:val="63E43B3C"/>
    <w:rsid w:val="63E63C32"/>
    <w:rsid w:val="64283A29"/>
    <w:rsid w:val="64431196"/>
    <w:rsid w:val="64456E4C"/>
    <w:rsid w:val="645D3D24"/>
    <w:rsid w:val="646A1552"/>
    <w:rsid w:val="6477211F"/>
    <w:rsid w:val="647B322E"/>
    <w:rsid w:val="648F06BB"/>
    <w:rsid w:val="64AA2690"/>
    <w:rsid w:val="64AA4C27"/>
    <w:rsid w:val="64C0484B"/>
    <w:rsid w:val="64C622F3"/>
    <w:rsid w:val="64C6748C"/>
    <w:rsid w:val="64CF3786"/>
    <w:rsid w:val="64D14117"/>
    <w:rsid w:val="64D6482F"/>
    <w:rsid w:val="64ED40F1"/>
    <w:rsid w:val="64F80ABB"/>
    <w:rsid w:val="65145600"/>
    <w:rsid w:val="65154737"/>
    <w:rsid w:val="65384140"/>
    <w:rsid w:val="656D3B1C"/>
    <w:rsid w:val="657001C5"/>
    <w:rsid w:val="657002CA"/>
    <w:rsid w:val="659B7A96"/>
    <w:rsid w:val="65C35BAB"/>
    <w:rsid w:val="65D0781C"/>
    <w:rsid w:val="65D17638"/>
    <w:rsid w:val="65D25307"/>
    <w:rsid w:val="65D77D7B"/>
    <w:rsid w:val="65DC6867"/>
    <w:rsid w:val="65E96C47"/>
    <w:rsid w:val="65EF6D28"/>
    <w:rsid w:val="65FE35BC"/>
    <w:rsid w:val="660214FE"/>
    <w:rsid w:val="661E3335"/>
    <w:rsid w:val="6623094C"/>
    <w:rsid w:val="667B0788"/>
    <w:rsid w:val="66962AD0"/>
    <w:rsid w:val="669B5BB2"/>
    <w:rsid w:val="66A03E0C"/>
    <w:rsid w:val="66A93CC1"/>
    <w:rsid w:val="66C64D00"/>
    <w:rsid w:val="66E0108B"/>
    <w:rsid w:val="66E55C01"/>
    <w:rsid w:val="66EC0EBF"/>
    <w:rsid w:val="66EC48C3"/>
    <w:rsid w:val="67073D5A"/>
    <w:rsid w:val="672B0C6D"/>
    <w:rsid w:val="67302CEE"/>
    <w:rsid w:val="6732382E"/>
    <w:rsid w:val="673F77C5"/>
    <w:rsid w:val="674047A3"/>
    <w:rsid w:val="67550FD9"/>
    <w:rsid w:val="675F3C06"/>
    <w:rsid w:val="67892A30"/>
    <w:rsid w:val="67905106"/>
    <w:rsid w:val="679B2E91"/>
    <w:rsid w:val="67A4786A"/>
    <w:rsid w:val="67A90EF5"/>
    <w:rsid w:val="67B83CF5"/>
    <w:rsid w:val="67BA3C6C"/>
    <w:rsid w:val="67C34D66"/>
    <w:rsid w:val="67C577E1"/>
    <w:rsid w:val="67D05FAF"/>
    <w:rsid w:val="67D22629"/>
    <w:rsid w:val="67D2687D"/>
    <w:rsid w:val="67ED08B7"/>
    <w:rsid w:val="67F1621D"/>
    <w:rsid w:val="68076EB6"/>
    <w:rsid w:val="680E1447"/>
    <w:rsid w:val="68113877"/>
    <w:rsid w:val="681F15E7"/>
    <w:rsid w:val="68224C33"/>
    <w:rsid w:val="682521B9"/>
    <w:rsid w:val="6833204B"/>
    <w:rsid w:val="684D22B1"/>
    <w:rsid w:val="684D3A5E"/>
    <w:rsid w:val="6860564B"/>
    <w:rsid w:val="687174CF"/>
    <w:rsid w:val="68725BBA"/>
    <w:rsid w:val="68766083"/>
    <w:rsid w:val="687C28D3"/>
    <w:rsid w:val="687E0B9C"/>
    <w:rsid w:val="687F4D27"/>
    <w:rsid w:val="688A6AFA"/>
    <w:rsid w:val="68AA3034"/>
    <w:rsid w:val="68AC55A1"/>
    <w:rsid w:val="68B2013D"/>
    <w:rsid w:val="68B40849"/>
    <w:rsid w:val="68B80B02"/>
    <w:rsid w:val="68BA439E"/>
    <w:rsid w:val="68FD6AFA"/>
    <w:rsid w:val="690D2DE8"/>
    <w:rsid w:val="690E0AFE"/>
    <w:rsid w:val="691B3B5C"/>
    <w:rsid w:val="691F09E8"/>
    <w:rsid w:val="69230C63"/>
    <w:rsid w:val="693C476F"/>
    <w:rsid w:val="693E6210"/>
    <w:rsid w:val="693E7F3B"/>
    <w:rsid w:val="6944051D"/>
    <w:rsid w:val="69670B4F"/>
    <w:rsid w:val="69690D6B"/>
    <w:rsid w:val="697132C2"/>
    <w:rsid w:val="698C1021"/>
    <w:rsid w:val="699124A0"/>
    <w:rsid w:val="699F653B"/>
    <w:rsid w:val="69AA3132"/>
    <w:rsid w:val="69B8312D"/>
    <w:rsid w:val="69BC3D9D"/>
    <w:rsid w:val="69BD7755"/>
    <w:rsid w:val="69E8772D"/>
    <w:rsid w:val="69F04FE9"/>
    <w:rsid w:val="69FA19C4"/>
    <w:rsid w:val="69FD6B39"/>
    <w:rsid w:val="6A0955AD"/>
    <w:rsid w:val="6A0B793B"/>
    <w:rsid w:val="6A0C3FBB"/>
    <w:rsid w:val="6A0D7394"/>
    <w:rsid w:val="6A1A2066"/>
    <w:rsid w:val="6A35713B"/>
    <w:rsid w:val="6A3A15FB"/>
    <w:rsid w:val="6A3B74FF"/>
    <w:rsid w:val="6A4C5F6D"/>
    <w:rsid w:val="6A527E67"/>
    <w:rsid w:val="6A6502E2"/>
    <w:rsid w:val="6A6963E1"/>
    <w:rsid w:val="6A70612A"/>
    <w:rsid w:val="6A8E247A"/>
    <w:rsid w:val="6A902328"/>
    <w:rsid w:val="6A953E2E"/>
    <w:rsid w:val="6A9C2A7B"/>
    <w:rsid w:val="6AAA4AC9"/>
    <w:rsid w:val="6AAC7CDD"/>
    <w:rsid w:val="6AB91A16"/>
    <w:rsid w:val="6AC87D14"/>
    <w:rsid w:val="6ADD139A"/>
    <w:rsid w:val="6AEB159D"/>
    <w:rsid w:val="6AF30DBD"/>
    <w:rsid w:val="6AF705F9"/>
    <w:rsid w:val="6AF83B65"/>
    <w:rsid w:val="6AFE47EC"/>
    <w:rsid w:val="6B255705"/>
    <w:rsid w:val="6B2E5413"/>
    <w:rsid w:val="6B385A19"/>
    <w:rsid w:val="6B3F17BF"/>
    <w:rsid w:val="6B6B20CE"/>
    <w:rsid w:val="6B712159"/>
    <w:rsid w:val="6B7D37B4"/>
    <w:rsid w:val="6BA936A1"/>
    <w:rsid w:val="6BAA7419"/>
    <w:rsid w:val="6BBD714D"/>
    <w:rsid w:val="6BD65EDF"/>
    <w:rsid w:val="6BE61F00"/>
    <w:rsid w:val="6BF85F64"/>
    <w:rsid w:val="6C014805"/>
    <w:rsid w:val="6C0E1756"/>
    <w:rsid w:val="6C1E1730"/>
    <w:rsid w:val="6C2216A6"/>
    <w:rsid w:val="6C3C2119"/>
    <w:rsid w:val="6C3D22D7"/>
    <w:rsid w:val="6C3F7B62"/>
    <w:rsid w:val="6C415578"/>
    <w:rsid w:val="6C5A55C8"/>
    <w:rsid w:val="6C656027"/>
    <w:rsid w:val="6C700663"/>
    <w:rsid w:val="6C95466D"/>
    <w:rsid w:val="6CA65E33"/>
    <w:rsid w:val="6CAB169B"/>
    <w:rsid w:val="6CBF2186"/>
    <w:rsid w:val="6CC97B95"/>
    <w:rsid w:val="6CD40BF2"/>
    <w:rsid w:val="6CF5530E"/>
    <w:rsid w:val="6CFF7C59"/>
    <w:rsid w:val="6D0019E7"/>
    <w:rsid w:val="6D122966"/>
    <w:rsid w:val="6D1F7E73"/>
    <w:rsid w:val="6D2A217B"/>
    <w:rsid w:val="6D2A25C0"/>
    <w:rsid w:val="6D311D46"/>
    <w:rsid w:val="6D3D0D4E"/>
    <w:rsid w:val="6D4B0FBD"/>
    <w:rsid w:val="6D543E88"/>
    <w:rsid w:val="6D5D4152"/>
    <w:rsid w:val="6D6271AF"/>
    <w:rsid w:val="6D7A55EC"/>
    <w:rsid w:val="6D803898"/>
    <w:rsid w:val="6D8176C9"/>
    <w:rsid w:val="6D851A08"/>
    <w:rsid w:val="6D881443"/>
    <w:rsid w:val="6D9E5EB5"/>
    <w:rsid w:val="6DA05C42"/>
    <w:rsid w:val="6DAE1D87"/>
    <w:rsid w:val="6DBC6DF7"/>
    <w:rsid w:val="6DD8026E"/>
    <w:rsid w:val="6DEF72C6"/>
    <w:rsid w:val="6DF60136"/>
    <w:rsid w:val="6DFB2478"/>
    <w:rsid w:val="6E04671B"/>
    <w:rsid w:val="6E0A6EA2"/>
    <w:rsid w:val="6E1A0886"/>
    <w:rsid w:val="6E3F0027"/>
    <w:rsid w:val="6E423939"/>
    <w:rsid w:val="6E4918B9"/>
    <w:rsid w:val="6E4940B3"/>
    <w:rsid w:val="6E495542"/>
    <w:rsid w:val="6E4D6213"/>
    <w:rsid w:val="6E5B53F7"/>
    <w:rsid w:val="6E5D79DF"/>
    <w:rsid w:val="6E5E6FDE"/>
    <w:rsid w:val="6E5F6585"/>
    <w:rsid w:val="6E634F35"/>
    <w:rsid w:val="6E647056"/>
    <w:rsid w:val="6E6E7D3C"/>
    <w:rsid w:val="6E845E2A"/>
    <w:rsid w:val="6E962CB7"/>
    <w:rsid w:val="6EA202C9"/>
    <w:rsid w:val="6EA22599"/>
    <w:rsid w:val="6EAB6CC4"/>
    <w:rsid w:val="6EB77588"/>
    <w:rsid w:val="6EBE7765"/>
    <w:rsid w:val="6ECE341F"/>
    <w:rsid w:val="6ED02582"/>
    <w:rsid w:val="6ED57FAD"/>
    <w:rsid w:val="6EDC2090"/>
    <w:rsid w:val="6EEB5D7F"/>
    <w:rsid w:val="6EF976BC"/>
    <w:rsid w:val="6F04125E"/>
    <w:rsid w:val="6F1060A4"/>
    <w:rsid w:val="6F1F4EF9"/>
    <w:rsid w:val="6F383906"/>
    <w:rsid w:val="6F3C2FA2"/>
    <w:rsid w:val="6F3F4BB3"/>
    <w:rsid w:val="6F6F25BA"/>
    <w:rsid w:val="6F7C731F"/>
    <w:rsid w:val="6F85770E"/>
    <w:rsid w:val="6F881346"/>
    <w:rsid w:val="6FA069D3"/>
    <w:rsid w:val="6FCE0F6C"/>
    <w:rsid w:val="6FEC1DAE"/>
    <w:rsid w:val="6FFE0550"/>
    <w:rsid w:val="700466D8"/>
    <w:rsid w:val="70090E04"/>
    <w:rsid w:val="700C41FF"/>
    <w:rsid w:val="701765CD"/>
    <w:rsid w:val="70366EC6"/>
    <w:rsid w:val="70423FE7"/>
    <w:rsid w:val="704470F7"/>
    <w:rsid w:val="705124B7"/>
    <w:rsid w:val="7061415F"/>
    <w:rsid w:val="706C2EEF"/>
    <w:rsid w:val="7074396D"/>
    <w:rsid w:val="707B014B"/>
    <w:rsid w:val="70A07E3B"/>
    <w:rsid w:val="70A14618"/>
    <w:rsid w:val="70A93B72"/>
    <w:rsid w:val="70AB7EBB"/>
    <w:rsid w:val="70BB7C9B"/>
    <w:rsid w:val="70C02288"/>
    <w:rsid w:val="70DD3DED"/>
    <w:rsid w:val="70E76AC7"/>
    <w:rsid w:val="70F74EAF"/>
    <w:rsid w:val="710650F2"/>
    <w:rsid w:val="7106724D"/>
    <w:rsid w:val="71416105"/>
    <w:rsid w:val="71434E07"/>
    <w:rsid w:val="714F53EB"/>
    <w:rsid w:val="715220E5"/>
    <w:rsid w:val="715916C6"/>
    <w:rsid w:val="71596DF6"/>
    <w:rsid w:val="715A03FD"/>
    <w:rsid w:val="715A75A4"/>
    <w:rsid w:val="715D54C8"/>
    <w:rsid w:val="71C02487"/>
    <w:rsid w:val="71D84CE0"/>
    <w:rsid w:val="71DB2B9E"/>
    <w:rsid w:val="71DD152F"/>
    <w:rsid w:val="721A4098"/>
    <w:rsid w:val="721B2E1F"/>
    <w:rsid w:val="721E524D"/>
    <w:rsid w:val="72251AF8"/>
    <w:rsid w:val="722A5618"/>
    <w:rsid w:val="722E0C82"/>
    <w:rsid w:val="723428D9"/>
    <w:rsid w:val="72394D82"/>
    <w:rsid w:val="723A5A93"/>
    <w:rsid w:val="724C50F3"/>
    <w:rsid w:val="724E626A"/>
    <w:rsid w:val="727644F9"/>
    <w:rsid w:val="727C4FB6"/>
    <w:rsid w:val="7280708A"/>
    <w:rsid w:val="72954346"/>
    <w:rsid w:val="72A018DC"/>
    <w:rsid w:val="72A243C2"/>
    <w:rsid w:val="72B66730"/>
    <w:rsid w:val="72BC3DD8"/>
    <w:rsid w:val="72C50165"/>
    <w:rsid w:val="72F80C3C"/>
    <w:rsid w:val="72FA0013"/>
    <w:rsid w:val="72FA337A"/>
    <w:rsid w:val="72FF2CE2"/>
    <w:rsid w:val="731057B3"/>
    <w:rsid w:val="7319546F"/>
    <w:rsid w:val="731C786D"/>
    <w:rsid w:val="73245D03"/>
    <w:rsid w:val="732A0EAD"/>
    <w:rsid w:val="732A797E"/>
    <w:rsid w:val="733627F6"/>
    <w:rsid w:val="73420021"/>
    <w:rsid w:val="735B59A7"/>
    <w:rsid w:val="736158FE"/>
    <w:rsid w:val="736305DA"/>
    <w:rsid w:val="736702B6"/>
    <w:rsid w:val="739D0699"/>
    <w:rsid w:val="73C754EF"/>
    <w:rsid w:val="73CD639B"/>
    <w:rsid w:val="73DC2A8C"/>
    <w:rsid w:val="73E01C2A"/>
    <w:rsid w:val="73E94E1A"/>
    <w:rsid w:val="73F25D78"/>
    <w:rsid w:val="73FE64E2"/>
    <w:rsid w:val="74024D72"/>
    <w:rsid w:val="740572AD"/>
    <w:rsid w:val="740D318F"/>
    <w:rsid w:val="741A2938"/>
    <w:rsid w:val="74330E27"/>
    <w:rsid w:val="7440702B"/>
    <w:rsid w:val="744702E0"/>
    <w:rsid w:val="744E639E"/>
    <w:rsid w:val="745F1E95"/>
    <w:rsid w:val="74827185"/>
    <w:rsid w:val="74855C93"/>
    <w:rsid w:val="748E002A"/>
    <w:rsid w:val="749F27E6"/>
    <w:rsid w:val="74A40EAA"/>
    <w:rsid w:val="74B77A22"/>
    <w:rsid w:val="74DE7BB4"/>
    <w:rsid w:val="74E26AEF"/>
    <w:rsid w:val="74EC6507"/>
    <w:rsid w:val="74FB429E"/>
    <w:rsid w:val="75074586"/>
    <w:rsid w:val="75096F5F"/>
    <w:rsid w:val="750C5C5A"/>
    <w:rsid w:val="75296781"/>
    <w:rsid w:val="753907A0"/>
    <w:rsid w:val="75410DEE"/>
    <w:rsid w:val="75423F51"/>
    <w:rsid w:val="754446E4"/>
    <w:rsid w:val="754867F6"/>
    <w:rsid w:val="754A5077"/>
    <w:rsid w:val="754B4300"/>
    <w:rsid w:val="755F4F38"/>
    <w:rsid w:val="756F5C2D"/>
    <w:rsid w:val="75703482"/>
    <w:rsid w:val="75752846"/>
    <w:rsid w:val="757C7FD0"/>
    <w:rsid w:val="758F701F"/>
    <w:rsid w:val="75994786"/>
    <w:rsid w:val="75A77526"/>
    <w:rsid w:val="75BB6B8A"/>
    <w:rsid w:val="75CB4B5C"/>
    <w:rsid w:val="75D6260E"/>
    <w:rsid w:val="75E35A02"/>
    <w:rsid w:val="75E73381"/>
    <w:rsid w:val="75EC294C"/>
    <w:rsid w:val="75F95437"/>
    <w:rsid w:val="76012C2D"/>
    <w:rsid w:val="76021877"/>
    <w:rsid w:val="76130D27"/>
    <w:rsid w:val="7614523D"/>
    <w:rsid w:val="76145C2A"/>
    <w:rsid w:val="762A4AAD"/>
    <w:rsid w:val="763E4168"/>
    <w:rsid w:val="76550BAB"/>
    <w:rsid w:val="765E2B78"/>
    <w:rsid w:val="768C7E47"/>
    <w:rsid w:val="768F16E6"/>
    <w:rsid w:val="76B070C1"/>
    <w:rsid w:val="76B10EDD"/>
    <w:rsid w:val="76CC0D21"/>
    <w:rsid w:val="76E0285E"/>
    <w:rsid w:val="76F679B7"/>
    <w:rsid w:val="771542E1"/>
    <w:rsid w:val="772B5915"/>
    <w:rsid w:val="772C6F23"/>
    <w:rsid w:val="773A1A07"/>
    <w:rsid w:val="773F4EBA"/>
    <w:rsid w:val="77435E4F"/>
    <w:rsid w:val="77451A57"/>
    <w:rsid w:val="77484D3B"/>
    <w:rsid w:val="774A1227"/>
    <w:rsid w:val="77567D2B"/>
    <w:rsid w:val="77772612"/>
    <w:rsid w:val="7783348D"/>
    <w:rsid w:val="77836AFB"/>
    <w:rsid w:val="77925931"/>
    <w:rsid w:val="77971E41"/>
    <w:rsid w:val="77972F48"/>
    <w:rsid w:val="779F4E3E"/>
    <w:rsid w:val="77AC60C9"/>
    <w:rsid w:val="77C70F38"/>
    <w:rsid w:val="77CD6969"/>
    <w:rsid w:val="77E26E12"/>
    <w:rsid w:val="77EE44FD"/>
    <w:rsid w:val="77F306DD"/>
    <w:rsid w:val="77F43EF6"/>
    <w:rsid w:val="77F93C38"/>
    <w:rsid w:val="7806426C"/>
    <w:rsid w:val="78067ED3"/>
    <w:rsid w:val="780D05B3"/>
    <w:rsid w:val="781804CC"/>
    <w:rsid w:val="7820118F"/>
    <w:rsid w:val="7821749A"/>
    <w:rsid w:val="78251FE6"/>
    <w:rsid w:val="782812D9"/>
    <w:rsid w:val="783352C0"/>
    <w:rsid w:val="78337540"/>
    <w:rsid w:val="78530F4F"/>
    <w:rsid w:val="785F13C0"/>
    <w:rsid w:val="786848E4"/>
    <w:rsid w:val="786C4F28"/>
    <w:rsid w:val="78717453"/>
    <w:rsid w:val="7879614C"/>
    <w:rsid w:val="788A6E53"/>
    <w:rsid w:val="78A46A4C"/>
    <w:rsid w:val="78B42616"/>
    <w:rsid w:val="78E01085"/>
    <w:rsid w:val="78F37325"/>
    <w:rsid w:val="78F96093"/>
    <w:rsid w:val="78F961C9"/>
    <w:rsid w:val="790A4C75"/>
    <w:rsid w:val="792A6027"/>
    <w:rsid w:val="793B21A9"/>
    <w:rsid w:val="793D7B1F"/>
    <w:rsid w:val="794B66B4"/>
    <w:rsid w:val="794C14DA"/>
    <w:rsid w:val="79660E24"/>
    <w:rsid w:val="79663E68"/>
    <w:rsid w:val="797303E6"/>
    <w:rsid w:val="797352EE"/>
    <w:rsid w:val="79764DDF"/>
    <w:rsid w:val="79842BE4"/>
    <w:rsid w:val="799A2B09"/>
    <w:rsid w:val="79C16D0A"/>
    <w:rsid w:val="79CE1032"/>
    <w:rsid w:val="79D50F60"/>
    <w:rsid w:val="79E005EE"/>
    <w:rsid w:val="79E40D01"/>
    <w:rsid w:val="79F6715B"/>
    <w:rsid w:val="79FE7C07"/>
    <w:rsid w:val="7A017DAC"/>
    <w:rsid w:val="7A1F61B3"/>
    <w:rsid w:val="7A1F7224"/>
    <w:rsid w:val="7A2006E2"/>
    <w:rsid w:val="7A2605B3"/>
    <w:rsid w:val="7A811470"/>
    <w:rsid w:val="7A925C48"/>
    <w:rsid w:val="7A9F5DFC"/>
    <w:rsid w:val="7ABB3E3B"/>
    <w:rsid w:val="7AC555ED"/>
    <w:rsid w:val="7AC55F5A"/>
    <w:rsid w:val="7AC57DCC"/>
    <w:rsid w:val="7ACF549B"/>
    <w:rsid w:val="7B0C00A5"/>
    <w:rsid w:val="7B154FB2"/>
    <w:rsid w:val="7B2F16E9"/>
    <w:rsid w:val="7B38234C"/>
    <w:rsid w:val="7B4038F6"/>
    <w:rsid w:val="7B4977D7"/>
    <w:rsid w:val="7B593E08"/>
    <w:rsid w:val="7B6761FA"/>
    <w:rsid w:val="7B6978D8"/>
    <w:rsid w:val="7B7E2BCB"/>
    <w:rsid w:val="7B851309"/>
    <w:rsid w:val="7B863E0B"/>
    <w:rsid w:val="7BA2707E"/>
    <w:rsid w:val="7BA82BDD"/>
    <w:rsid w:val="7BAB6FC2"/>
    <w:rsid w:val="7BAC7041"/>
    <w:rsid w:val="7BBB41E9"/>
    <w:rsid w:val="7BBB656E"/>
    <w:rsid w:val="7BCF3EDB"/>
    <w:rsid w:val="7BCF5CA2"/>
    <w:rsid w:val="7BF70623"/>
    <w:rsid w:val="7C04545E"/>
    <w:rsid w:val="7C176405"/>
    <w:rsid w:val="7C194EAD"/>
    <w:rsid w:val="7C226184"/>
    <w:rsid w:val="7C373815"/>
    <w:rsid w:val="7C3A01E9"/>
    <w:rsid w:val="7C3A1851"/>
    <w:rsid w:val="7C3F595C"/>
    <w:rsid w:val="7C42130E"/>
    <w:rsid w:val="7C4C07F0"/>
    <w:rsid w:val="7C7C18FB"/>
    <w:rsid w:val="7C863FD9"/>
    <w:rsid w:val="7C964F6A"/>
    <w:rsid w:val="7C9E24B2"/>
    <w:rsid w:val="7C9F594F"/>
    <w:rsid w:val="7CB1100E"/>
    <w:rsid w:val="7CB37A3C"/>
    <w:rsid w:val="7CD51F65"/>
    <w:rsid w:val="7CD949DE"/>
    <w:rsid w:val="7CE67C91"/>
    <w:rsid w:val="7CF2112E"/>
    <w:rsid w:val="7D124E1E"/>
    <w:rsid w:val="7D140B97"/>
    <w:rsid w:val="7D181A6A"/>
    <w:rsid w:val="7D3C6CC5"/>
    <w:rsid w:val="7D452571"/>
    <w:rsid w:val="7D470BCA"/>
    <w:rsid w:val="7D4A101B"/>
    <w:rsid w:val="7D4D3E9B"/>
    <w:rsid w:val="7D4F6073"/>
    <w:rsid w:val="7D562925"/>
    <w:rsid w:val="7D5F4E84"/>
    <w:rsid w:val="7D82257A"/>
    <w:rsid w:val="7D8E6B9B"/>
    <w:rsid w:val="7D9831AC"/>
    <w:rsid w:val="7D9D3C24"/>
    <w:rsid w:val="7D9D6DDE"/>
    <w:rsid w:val="7DA2028F"/>
    <w:rsid w:val="7DA737B9"/>
    <w:rsid w:val="7DAC510F"/>
    <w:rsid w:val="7DDB16B4"/>
    <w:rsid w:val="7DDB33CC"/>
    <w:rsid w:val="7DE20C95"/>
    <w:rsid w:val="7DE5723F"/>
    <w:rsid w:val="7DF43AE4"/>
    <w:rsid w:val="7DF64108"/>
    <w:rsid w:val="7E02596F"/>
    <w:rsid w:val="7E1647E5"/>
    <w:rsid w:val="7E256F3A"/>
    <w:rsid w:val="7E2B1E30"/>
    <w:rsid w:val="7E57378E"/>
    <w:rsid w:val="7E5C1A87"/>
    <w:rsid w:val="7E74325D"/>
    <w:rsid w:val="7EB6187F"/>
    <w:rsid w:val="7EC2288F"/>
    <w:rsid w:val="7EC55C1F"/>
    <w:rsid w:val="7ED029A5"/>
    <w:rsid w:val="7EDB60C8"/>
    <w:rsid w:val="7EDF7E93"/>
    <w:rsid w:val="7EEA581C"/>
    <w:rsid w:val="7F140B49"/>
    <w:rsid w:val="7F16443A"/>
    <w:rsid w:val="7F3E04E0"/>
    <w:rsid w:val="7F48647E"/>
    <w:rsid w:val="7F51027D"/>
    <w:rsid w:val="7F5300D1"/>
    <w:rsid w:val="7F5426C7"/>
    <w:rsid w:val="7F5565A1"/>
    <w:rsid w:val="7F685C5E"/>
    <w:rsid w:val="7F693558"/>
    <w:rsid w:val="7F6C42B8"/>
    <w:rsid w:val="7F7C388D"/>
    <w:rsid w:val="7F8166B3"/>
    <w:rsid w:val="7FA030BC"/>
    <w:rsid w:val="7FBE4D18"/>
    <w:rsid w:val="7FEE3921"/>
    <w:rsid w:val="7FF42236"/>
    <w:rsid w:val="7FFF7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autoRedefine/>
    <w:qFormat/>
    <w:uiPriority w:val="0"/>
    <w:pPr>
      <w:keepNext/>
      <w:spacing w:line="360" w:lineRule="auto"/>
      <w:jc w:val="center"/>
      <w:outlineLvl w:val="0"/>
    </w:pPr>
    <w:rPr>
      <w:rFonts w:ascii="Times New Roman" w:hAnsi="Times New Roman" w:eastAsia="宋体" w:cs="Times New Roman"/>
      <w:b/>
      <w:bCs/>
      <w:sz w:val="35"/>
    </w:rPr>
  </w:style>
  <w:style w:type="paragraph" w:styleId="3">
    <w:name w:val="heading 2"/>
    <w:basedOn w:val="1"/>
    <w:next w:val="1"/>
    <w:autoRedefine/>
    <w:unhideWhenUsed/>
    <w:qFormat/>
    <w:uiPriority w:val="0"/>
    <w:pPr>
      <w:keepNext/>
      <w:keepLines/>
      <w:spacing w:beforeLines="0" w:beforeAutospacing="0" w:afterLines="0" w:afterAutospacing="0" w:line="360" w:lineRule="auto"/>
      <w:jc w:val="center"/>
      <w:outlineLvl w:val="1"/>
    </w:pPr>
    <w:rPr>
      <w:rFonts w:ascii="Arial" w:hAnsi="Arial" w:eastAsia="宋体"/>
      <w:b/>
      <w:sz w:val="28"/>
    </w:rPr>
  </w:style>
  <w:style w:type="paragraph" w:styleId="4">
    <w:name w:val="heading 3"/>
    <w:basedOn w:val="1"/>
    <w:next w:val="1"/>
    <w:autoRedefine/>
    <w:qFormat/>
    <w:uiPriority w:val="1"/>
    <w:pPr>
      <w:spacing w:line="360" w:lineRule="auto"/>
      <w:ind w:left="0" w:firstLine="622" w:firstLineChars="200"/>
      <w:outlineLvl w:val="2"/>
    </w:pPr>
    <w:rPr>
      <w:rFonts w:ascii="Arial" w:hAnsi="Arial" w:eastAsia="宋体"/>
      <w:b/>
      <w:bCs/>
      <w:sz w:val="23"/>
      <w:szCs w:val="32"/>
    </w:rPr>
  </w:style>
  <w:style w:type="paragraph" w:styleId="5">
    <w:name w:val="heading 4"/>
    <w:basedOn w:val="1"/>
    <w:next w:val="1"/>
    <w:autoRedefine/>
    <w:qFormat/>
    <w:uiPriority w:val="0"/>
    <w:pPr>
      <w:keepNext/>
      <w:keepLines/>
      <w:widowControl/>
      <w:spacing w:before="280" w:beforeLines="0" w:after="290" w:afterLines="0" w:line="376" w:lineRule="auto"/>
      <w:jc w:val="left"/>
      <w:outlineLvl w:val="3"/>
    </w:pPr>
    <w:rPr>
      <w:rFonts w:ascii="Arial" w:hAnsi="Arial" w:eastAsia="黑体"/>
      <w:b/>
      <w:bCs/>
      <w:kern w:val="0"/>
      <w:sz w:val="28"/>
      <w:szCs w:val="28"/>
    </w:rPr>
  </w:style>
  <w:style w:type="character" w:default="1" w:styleId="21">
    <w:name w:val="Default Paragraph Font"/>
    <w:autoRedefine/>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rPr>
      <w:kern w:val="0"/>
      <w:sz w:val="20"/>
      <w:szCs w:val="20"/>
    </w:rPr>
  </w:style>
  <w:style w:type="paragraph" w:styleId="7">
    <w:name w:val="Body Text"/>
    <w:basedOn w:val="1"/>
    <w:next w:val="1"/>
    <w:autoRedefine/>
    <w:qFormat/>
    <w:uiPriority w:val="0"/>
    <w:pPr>
      <w:spacing w:after="120"/>
    </w:pPr>
  </w:style>
  <w:style w:type="paragraph" w:styleId="8">
    <w:name w:val="Body Text Indent"/>
    <w:basedOn w:val="1"/>
    <w:autoRedefine/>
    <w:unhideWhenUsed/>
    <w:qFormat/>
    <w:uiPriority w:val="99"/>
    <w:pPr>
      <w:spacing w:after="120"/>
      <w:ind w:left="420" w:leftChars="200"/>
    </w:pPr>
  </w:style>
  <w:style w:type="paragraph" w:styleId="9">
    <w:name w:val="toc 3"/>
    <w:basedOn w:val="1"/>
    <w:next w:val="1"/>
    <w:qFormat/>
    <w:uiPriority w:val="1"/>
    <w:pPr>
      <w:ind w:left="1696" w:hanging="572"/>
    </w:pPr>
    <w:rPr>
      <w:rFonts w:ascii="仿宋" w:hAnsi="仿宋" w:eastAsia="仿宋" w:cs="仿宋"/>
      <w:sz w:val="28"/>
      <w:szCs w:val="28"/>
      <w:lang w:val="zh-CN" w:eastAsia="zh-CN" w:bidi="zh-CN"/>
    </w:rPr>
  </w:style>
  <w:style w:type="paragraph" w:styleId="10">
    <w:name w:val="Plain Text"/>
    <w:basedOn w:val="1"/>
    <w:qFormat/>
    <w:uiPriority w:val="0"/>
    <w:rPr>
      <w:rFonts w:ascii="宋体" w:hAnsi="Courier New"/>
      <w:szCs w:val="21"/>
    </w:rPr>
  </w:style>
  <w:style w:type="paragraph" w:styleId="11">
    <w:name w:val="Body Text Indent 2"/>
    <w:basedOn w:val="1"/>
    <w:autoRedefine/>
    <w:qFormat/>
    <w:uiPriority w:val="99"/>
    <w:pPr>
      <w:spacing w:after="120" w:line="480" w:lineRule="auto"/>
      <w:ind w:left="420" w:leftChars="200"/>
    </w:pPr>
    <w:rPr>
      <w:rFonts w:eastAsia="宋体"/>
      <w:sz w:val="24"/>
      <w:szCs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40"/>
      <w:ind w:right="843"/>
      <w:jc w:val="right"/>
    </w:pPr>
    <w:rPr>
      <w:rFonts w:ascii="仿宋" w:hAnsi="仿宋" w:eastAsia="仿宋" w:cs="仿宋"/>
      <w:sz w:val="28"/>
      <w:szCs w:val="28"/>
      <w:lang w:val="zh-CN" w:eastAsia="zh-CN" w:bidi="zh-CN"/>
    </w:rPr>
  </w:style>
  <w:style w:type="paragraph" w:styleId="15">
    <w:name w:val="toc 2"/>
    <w:basedOn w:val="1"/>
    <w:next w:val="1"/>
    <w:qFormat/>
    <w:uiPriority w:val="1"/>
    <w:pPr>
      <w:spacing w:before="144"/>
      <w:ind w:left="844"/>
    </w:pPr>
    <w:rPr>
      <w:rFonts w:ascii="仿宋" w:hAnsi="仿宋" w:eastAsia="仿宋" w:cs="仿宋"/>
      <w:sz w:val="28"/>
      <w:szCs w:val="28"/>
      <w:lang w:val="zh-CN" w:eastAsia="zh-CN" w:bidi="zh-CN"/>
    </w:rPr>
  </w:style>
  <w:style w:type="paragraph" w:styleId="1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7">
    <w:name w:val="Body Text First Indent"/>
    <w:basedOn w:val="7"/>
    <w:next w:val="18"/>
    <w:unhideWhenUsed/>
    <w:qFormat/>
    <w:uiPriority w:val="0"/>
    <w:pPr>
      <w:spacing w:afterLines="0" w:line="240" w:lineRule="auto"/>
      <w:ind w:firstLine="420" w:firstLineChars="100"/>
    </w:pPr>
    <w:rPr>
      <w:rFonts w:ascii="Times New Roman" w:hAnsi="Times New Roman"/>
      <w:color w:val="auto"/>
      <w:sz w:val="18"/>
      <w:szCs w:val="18"/>
    </w:rPr>
  </w:style>
  <w:style w:type="paragraph" w:styleId="18">
    <w:name w:val="Body Text First Indent 2"/>
    <w:basedOn w:val="8"/>
    <w:autoRedefine/>
    <w:unhideWhenUsed/>
    <w:qFormat/>
    <w:uiPriority w:val="99"/>
    <w:pPr>
      <w:spacing w:before="100" w:beforeAutospacing="1"/>
      <w:ind w:firstLine="420" w:firstLine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FollowedHyperlink"/>
    <w:basedOn w:val="21"/>
    <w:autoRedefine/>
    <w:qFormat/>
    <w:uiPriority w:val="0"/>
    <w:rPr>
      <w:color w:val="800080"/>
      <w:u w:val="none"/>
    </w:rPr>
  </w:style>
  <w:style w:type="character" w:styleId="24">
    <w:name w:val="Emphasis"/>
    <w:basedOn w:val="21"/>
    <w:autoRedefine/>
    <w:qFormat/>
    <w:uiPriority w:val="0"/>
    <w:rPr>
      <w:b/>
    </w:rPr>
  </w:style>
  <w:style w:type="character" w:styleId="25">
    <w:name w:val="HTML Definition"/>
    <w:basedOn w:val="21"/>
    <w:autoRedefine/>
    <w:qFormat/>
    <w:uiPriority w:val="0"/>
  </w:style>
  <w:style w:type="character" w:styleId="26">
    <w:name w:val="HTML Typewriter"/>
    <w:basedOn w:val="21"/>
    <w:qFormat/>
    <w:uiPriority w:val="0"/>
    <w:rPr>
      <w:rFonts w:hint="default" w:ascii="monospace" w:hAnsi="monospace" w:eastAsia="monospace" w:cs="monospace"/>
      <w:sz w:val="20"/>
    </w:rPr>
  </w:style>
  <w:style w:type="character" w:styleId="27">
    <w:name w:val="HTML Acronym"/>
    <w:basedOn w:val="21"/>
    <w:autoRedefine/>
    <w:qFormat/>
    <w:uiPriority w:val="0"/>
    <w:rPr>
      <w:rFonts w:ascii="微软雅黑" w:hAnsi="微软雅黑" w:eastAsia="微软雅黑" w:cs="微软雅黑"/>
      <w:sz w:val="18"/>
      <w:szCs w:val="18"/>
    </w:rPr>
  </w:style>
  <w:style w:type="character" w:styleId="28">
    <w:name w:val="HTML Variable"/>
    <w:basedOn w:val="21"/>
    <w:autoRedefine/>
    <w:qFormat/>
    <w:uiPriority w:val="0"/>
  </w:style>
  <w:style w:type="character" w:styleId="29">
    <w:name w:val="Hyperlink"/>
    <w:basedOn w:val="21"/>
    <w:autoRedefine/>
    <w:qFormat/>
    <w:uiPriority w:val="0"/>
    <w:rPr>
      <w:color w:val="0000FF"/>
      <w:u w:val="none"/>
    </w:rPr>
  </w:style>
  <w:style w:type="character" w:styleId="30">
    <w:name w:val="HTML Code"/>
    <w:basedOn w:val="21"/>
    <w:autoRedefine/>
    <w:qFormat/>
    <w:uiPriority w:val="0"/>
    <w:rPr>
      <w:rFonts w:hint="default" w:ascii="monospace" w:hAnsi="monospace" w:eastAsia="monospace" w:cs="monospace"/>
      <w:sz w:val="20"/>
    </w:rPr>
  </w:style>
  <w:style w:type="character" w:styleId="31">
    <w:name w:val="HTML Cite"/>
    <w:basedOn w:val="21"/>
    <w:autoRedefine/>
    <w:qFormat/>
    <w:uiPriority w:val="0"/>
  </w:style>
  <w:style w:type="character" w:styleId="32">
    <w:name w:val="HTML Keyboard"/>
    <w:basedOn w:val="21"/>
    <w:autoRedefine/>
    <w:qFormat/>
    <w:uiPriority w:val="0"/>
    <w:rPr>
      <w:rFonts w:hint="default" w:ascii="monospace" w:hAnsi="monospace" w:eastAsia="monospace" w:cs="monospace"/>
      <w:sz w:val="20"/>
    </w:rPr>
  </w:style>
  <w:style w:type="character" w:styleId="33">
    <w:name w:val="HTML Sample"/>
    <w:basedOn w:val="21"/>
    <w:autoRedefine/>
    <w:qFormat/>
    <w:uiPriority w:val="0"/>
    <w:rPr>
      <w:rFonts w:ascii="monospace" w:hAnsi="monospace" w:eastAsia="monospace" w:cs="monospac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6">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7">
    <w:name w:val="WPSOffice手动目录 3"/>
    <w:autoRedefine/>
    <w:qFormat/>
    <w:uiPriority w:val="0"/>
    <w:pPr>
      <w:ind w:leftChars="400"/>
    </w:pPr>
    <w:rPr>
      <w:rFonts w:ascii="Times New Roman" w:hAnsi="Times New Roman" w:eastAsia="宋体" w:cs="Times New Roman"/>
      <w:sz w:val="20"/>
      <w:szCs w:val="20"/>
    </w:rPr>
  </w:style>
  <w:style w:type="paragraph" w:styleId="38">
    <w:name w:val="List Paragraph"/>
    <w:basedOn w:val="1"/>
    <w:autoRedefine/>
    <w:qFormat/>
    <w:uiPriority w:val="1"/>
    <w:pPr>
      <w:ind w:left="106" w:firstLine="470"/>
    </w:pPr>
    <w:rPr>
      <w:rFonts w:ascii="宋体" w:hAnsi="宋体" w:eastAsia="宋体" w:cs="宋体"/>
      <w:lang w:val="zh-CN" w:eastAsia="zh-CN" w:bidi="zh-CN"/>
    </w:rPr>
  </w:style>
  <w:style w:type="character" w:customStyle="1" w:styleId="39">
    <w:name w:val="font41"/>
    <w:basedOn w:val="21"/>
    <w:autoRedefine/>
    <w:qFormat/>
    <w:uiPriority w:val="0"/>
    <w:rPr>
      <w:rFonts w:ascii="宋体" w:hAnsi="宋体" w:eastAsia="宋体" w:cs="宋体"/>
      <w:color w:val="000000"/>
      <w:sz w:val="38"/>
      <w:szCs w:val="38"/>
      <w:u w:val="none"/>
    </w:rPr>
  </w:style>
  <w:style w:type="character" w:customStyle="1" w:styleId="40">
    <w:name w:val="font01"/>
    <w:basedOn w:val="21"/>
    <w:qFormat/>
    <w:uiPriority w:val="0"/>
    <w:rPr>
      <w:rFonts w:ascii="宋体" w:hAnsi="宋体" w:eastAsia="宋体" w:cs="宋体"/>
      <w:color w:val="000000"/>
      <w:sz w:val="18"/>
      <w:szCs w:val="18"/>
      <w:u w:val="none"/>
    </w:rPr>
  </w:style>
  <w:style w:type="paragraph" w:customStyle="1" w:styleId="41">
    <w:name w:val="Table Text"/>
    <w:basedOn w:val="1"/>
    <w:autoRedefine/>
    <w:semiHidden/>
    <w:qFormat/>
    <w:uiPriority w:val="0"/>
    <w:rPr>
      <w:rFonts w:ascii="Arial" w:hAnsi="Arial" w:eastAsia="Arial" w:cs="Arial"/>
      <w:sz w:val="21"/>
      <w:szCs w:val="21"/>
      <w:lang w:val="en-US" w:eastAsia="en-US" w:bidi="ar-SA"/>
    </w:rPr>
  </w:style>
  <w:style w:type="paragraph" w:customStyle="1" w:styleId="42">
    <w:name w:val="Table Paragraph"/>
    <w:basedOn w:val="1"/>
    <w:autoRedefine/>
    <w:qFormat/>
    <w:uiPriority w:val="1"/>
    <w:rPr>
      <w:rFonts w:ascii="仿宋" w:hAnsi="仿宋" w:eastAsia="仿宋" w:cs="仿宋"/>
      <w:lang w:val="zh-CN" w:eastAsia="zh-CN" w:bidi="zh-CN"/>
    </w:rPr>
  </w:style>
  <w:style w:type="paragraph" w:customStyle="1" w:styleId="43">
    <w:name w:val="null3"/>
    <w:autoRedefine/>
    <w:hidden/>
    <w:qFormat/>
    <w:uiPriority w:val="0"/>
    <w:rPr>
      <w:rFonts w:hint="eastAsia" w:asciiTheme="minorHAnsi" w:hAnsiTheme="minorHAnsi" w:eastAsiaTheme="minorEastAsia" w:cstheme="minorBidi"/>
      <w:lang w:val="en-US" w:eastAsia="zh-Hans"/>
    </w:rPr>
  </w:style>
  <w:style w:type="paragraph" w:customStyle="1" w:styleId="44">
    <w:name w:val="列出段落1"/>
    <w:basedOn w:val="1"/>
    <w:autoRedefine/>
    <w:qFormat/>
    <w:uiPriority w:val="0"/>
    <w:pPr>
      <w:ind w:firstLine="420" w:firstLineChars="200"/>
    </w:pPr>
    <w:rPr>
      <w:rFonts w:ascii="Times New Roman" w:hAnsi="Times New Roman" w:eastAsia="宋体" w:cs="Times New Roman"/>
      <w:szCs w:val="21"/>
    </w:rPr>
  </w:style>
  <w:style w:type="character" w:customStyle="1" w:styleId="45">
    <w:name w:val="mini-outputtext1"/>
    <w:basedOn w:val="21"/>
    <w:qFormat/>
    <w:uiPriority w:val="0"/>
  </w:style>
  <w:style w:type="paragraph" w:customStyle="1" w:styleId="46">
    <w:name w:val="首行缩进"/>
    <w:basedOn w:val="1"/>
    <w:qFormat/>
    <w:uiPriority w:val="0"/>
    <w:pPr>
      <w:spacing w:line="360" w:lineRule="auto"/>
      <w:ind w:firstLine="42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44307</Words>
  <Characters>49154</Characters>
  <Lines>0</Lines>
  <Paragraphs>0</Paragraphs>
  <TotalTime>0</TotalTime>
  <ScaleCrop>false</ScaleCrop>
  <LinksUpToDate>false</LinksUpToDate>
  <CharactersWithSpaces>50558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2023-03-08T06:51:00Z</dcterms:created>
  <dc:creator>Mr. Zhang</dc:creator>
  <cp:lastModifiedBy>Mr. Zhang</cp:lastModifiedBy>
  <cp:lastPrinted>2024-04-26T01:02:00Z</cp:lastPrinted>
  <dcterms:modified xsi:type="dcterms:W3CDTF">2026-01-27T08:14:03Z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A12F484E50C4408D87A1582DDCEF3578</vt:lpwstr>
  </property>
  <property fmtid="{D5CDD505-2E9C-101B-9397-08002B2CF9AE}" pid="4" name="KSOTemplateDocerSaveRecord">
    <vt:lpwstr>eyJoZGlkIjoiZDgzNjM2ZDY3MWE2NzY4OTIwYzJlOTMzZWRhNjY0OTAiLCJ1c2VySWQiOiIyNzI1OTYzMTgifQ==</vt:lpwstr>
  </property>
</Properties>
</file>