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959BE">
      <w:pPr>
        <w:autoSpaceDE w:val="0"/>
        <w:autoSpaceDN w:val="0"/>
        <w:adjustRightInd w:val="0"/>
        <w:snapToGrid w:val="0"/>
        <w:spacing w:line="360" w:lineRule="auto"/>
        <w:jc w:val="left"/>
        <w:rPr>
          <w:rFonts w:ascii="宋体" w:hAnsi="宋体" w:cs="宋体"/>
          <w:b/>
          <w:bCs/>
          <w:color w:val="000000" w:themeColor="text1"/>
          <w:sz w:val="30"/>
          <w:szCs w:val="30"/>
          <w:highlight w:val="none"/>
          <w:lang w:val="zh-CN"/>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政府采购项目</w:t>
      </w:r>
    </w:p>
    <w:p w14:paraId="69751874">
      <w:pPr>
        <w:pStyle w:val="16"/>
        <w:widowControl/>
        <w:spacing w:line="450" w:lineRule="atLeast"/>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采购项目编号：</w:t>
      </w:r>
      <w:r>
        <w:rPr>
          <w:rFonts w:hint="eastAsia" w:ascii="宋体" w:hAnsi="宋体" w:cs="宋体"/>
          <w:b/>
          <w:bCs/>
          <w:color w:val="000000" w:themeColor="text1"/>
          <w:sz w:val="30"/>
          <w:szCs w:val="30"/>
          <w:highlight w:val="none"/>
          <w:lang w:eastAsia="zh-CN"/>
          <w14:textFill>
            <w14:solidFill>
              <w14:schemeClr w14:val="tx1"/>
            </w14:solidFill>
          </w14:textFill>
        </w:rPr>
        <w:t>ZC2026-FW-033</w:t>
      </w:r>
    </w:p>
    <w:p w14:paraId="7EEB6DE1">
      <w:pPr>
        <w:tabs>
          <w:tab w:val="left" w:pos="5670"/>
        </w:tabs>
        <w:autoSpaceDE w:val="0"/>
        <w:autoSpaceDN w:val="0"/>
        <w:adjustRightInd w:val="0"/>
        <w:snapToGrid w:val="0"/>
        <w:spacing w:line="480" w:lineRule="auto"/>
        <w:rPr>
          <w:rFonts w:ascii="宋体" w:hAnsi="宋体" w:cs="宋体"/>
          <w:b/>
          <w:bCs/>
          <w:color w:val="000000" w:themeColor="text1"/>
          <w:sz w:val="40"/>
          <w:szCs w:val="40"/>
          <w:highlight w:val="none"/>
          <w14:textFill>
            <w14:solidFill>
              <w14:schemeClr w14:val="tx1"/>
            </w14:solidFill>
          </w14:textFill>
        </w:rPr>
      </w:pPr>
    </w:p>
    <w:p w14:paraId="351EC805">
      <w:pPr>
        <w:tabs>
          <w:tab w:val="left" w:pos="5670"/>
        </w:tabs>
        <w:autoSpaceDE w:val="0"/>
        <w:autoSpaceDN w:val="0"/>
        <w:adjustRightInd w:val="0"/>
        <w:snapToGrid w:val="0"/>
        <w:spacing w:line="480" w:lineRule="auto"/>
        <w:jc w:val="center"/>
        <w:rPr>
          <w:rFonts w:hint="eastAsia" w:ascii="宋体" w:hAnsi="宋体" w:eastAsia="宋体" w:cs="宋体"/>
          <w:b/>
          <w:bCs/>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钟宝镇“十五五”规划编制服务项目</w:t>
      </w:r>
    </w:p>
    <w:p w14:paraId="746D2978">
      <w:pPr>
        <w:tabs>
          <w:tab w:val="left" w:pos="5670"/>
        </w:tabs>
        <w:autoSpaceDE w:val="0"/>
        <w:autoSpaceDN w:val="0"/>
        <w:adjustRightInd w:val="0"/>
        <w:snapToGrid w:val="0"/>
        <w:spacing w:line="480" w:lineRule="auto"/>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lang w:val="zh-CN"/>
          <w14:textFill>
            <w14:solidFill>
              <w14:schemeClr w14:val="tx1"/>
            </w14:solidFill>
          </w14:textFill>
        </w:rPr>
        <w:t>竞争性磋商文</w:t>
      </w:r>
      <w:r>
        <w:rPr>
          <w:rFonts w:hint="eastAsia" w:ascii="宋体" w:hAnsi="宋体" w:cs="宋体"/>
          <w:b/>
          <w:bCs/>
          <w:color w:val="000000" w:themeColor="text1"/>
          <w:sz w:val="72"/>
          <w:szCs w:val="72"/>
          <w:highlight w:val="none"/>
          <w14:textFill>
            <w14:solidFill>
              <w14:schemeClr w14:val="tx1"/>
            </w14:solidFill>
          </w14:textFill>
        </w:rPr>
        <w:t>件</w:t>
      </w:r>
    </w:p>
    <w:p w14:paraId="5FA9A6E5">
      <w:pPr>
        <w:pStyle w:val="5"/>
        <w:rPr>
          <w:rFonts w:ascii="宋体" w:hAnsi="宋体" w:cs="宋体"/>
          <w:color w:val="000000" w:themeColor="text1"/>
          <w:highlight w:val="none"/>
          <w14:textFill>
            <w14:solidFill>
              <w14:schemeClr w14:val="tx1"/>
            </w14:solidFill>
          </w14:textFill>
        </w:rPr>
      </w:pPr>
    </w:p>
    <w:p w14:paraId="01A3C64B">
      <w:pPr>
        <w:pStyle w:val="8"/>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1868805</wp:posOffset>
            </wp:positionH>
            <wp:positionV relativeFrom="paragraph">
              <wp:posOffset>87630</wp:posOffset>
            </wp:positionV>
            <wp:extent cx="2057400" cy="2009775"/>
            <wp:effectExtent l="0" t="0" r="0" b="9525"/>
            <wp:wrapSquare wrapText="bothSides"/>
            <wp:docPr id="4" name="图片 2" descr="1590672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590672115(1)"/>
                    <pic:cNvPicPr>
                      <a:picLocks noChangeAspect="1"/>
                    </pic:cNvPicPr>
                  </pic:nvPicPr>
                  <pic:blipFill>
                    <a:blip r:embed="rId13"/>
                    <a:stretch>
                      <a:fillRect/>
                    </a:stretch>
                  </pic:blipFill>
                  <pic:spPr>
                    <a:xfrm>
                      <a:off x="0" y="0"/>
                      <a:ext cx="2057400" cy="2009775"/>
                    </a:xfrm>
                    <a:prstGeom prst="rect">
                      <a:avLst/>
                    </a:prstGeom>
                    <a:noFill/>
                    <a:ln>
                      <a:noFill/>
                    </a:ln>
                  </pic:spPr>
                </pic:pic>
              </a:graphicData>
            </a:graphic>
          </wp:anchor>
        </w:drawing>
      </w:r>
    </w:p>
    <w:p w14:paraId="78FF47C1">
      <w:pPr>
        <w:tabs>
          <w:tab w:val="left" w:pos="5670"/>
        </w:tabs>
        <w:autoSpaceDE w:val="0"/>
        <w:autoSpaceDN w:val="0"/>
        <w:adjustRightInd w:val="0"/>
        <w:snapToGrid w:val="0"/>
        <w:spacing w:line="480" w:lineRule="auto"/>
        <w:jc w:val="center"/>
        <w:rPr>
          <w:rFonts w:ascii="宋体" w:hAnsi="宋体" w:cs="宋体"/>
          <w:color w:val="000000" w:themeColor="text1"/>
          <w:highlight w:val="none"/>
          <w14:textFill>
            <w14:solidFill>
              <w14:schemeClr w14:val="tx1"/>
            </w14:solidFill>
          </w14:textFill>
        </w:rPr>
      </w:pPr>
    </w:p>
    <w:p w14:paraId="5A822AB7">
      <w:pPr>
        <w:pStyle w:val="17"/>
        <w:ind w:firstLine="210"/>
        <w:rPr>
          <w:rFonts w:ascii="宋体" w:hAnsi="宋体" w:cs="宋体"/>
          <w:color w:val="000000" w:themeColor="text1"/>
          <w:highlight w:val="none"/>
          <w14:textFill>
            <w14:solidFill>
              <w14:schemeClr w14:val="tx1"/>
            </w14:solidFill>
          </w14:textFill>
        </w:rPr>
      </w:pPr>
    </w:p>
    <w:p w14:paraId="7E205D2A">
      <w:pPr>
        <w:pStyle w:val="17"/>
        <w:ind w:firstLine="210"/>
        <w:rPr>
          <w:rFonts w:ascii="宋体" w:hAnsi="宋体" w:cs="宋体"/>
          <w:color w:val="000000" w:themeColor="text1"/>
          <w:highlight w:val="none"/>
          <w14:textFill>
            <w14:solidFill>
              <w14:schemeClr w14:val="tx1"/>
            </w14:solidFill>
          </w14:textFill>
        </w:rPr>
      </w:pPr>
    </w:p>
    <w:p w14:paraId="1ED08AC4">
      <w:pPr>
        <w:pStyle w:val="17"/>
        <w:ind w:firstLine="210"/>
        <w:rPr>
          <w:rFonts w:ascii="宋体" w:hAnsi="宋体" w:cs="宋体"/>
          <w:color w:val="000000" w:themeColor="text1"/>
          <w:highlight w:val="none"/>
          <w:lang w:val="zh-CN"/>
          <w14:textFill>
            <w14:solidFill>
              <w14:schemeClr w14:val="tx1"/>
            </w14:solidFill>
          </w14:textFill>
        </w:rPr>
      </w:pPr>
    </w:p>
    <w:p w14:paraId="02CE7FD3">
      <w:pPr>
        <w:tabs>
          <w:tab w:val="left" w:pos="5670"/>
        </w:tabs>
        <w:autoSpaceDE w:val="0"/>
        <w:autoSpaceDN w:val="0"/>
        <w:adjustRightInd w:val="0"/>
        <w:snapToGrid w:val="0"/>
        <w:spacing w:line="480" w:lineRule="auto"/>
        <w:ind w:firstLine="600" w:firstLineChars="200"/>
        <w:rPr>
          <w:rFonts w:ascii="宋体" w:hAnsi="宋体" w:cs="宋体"/>
          <w:b/>
          <w:bCs/>
          <w:color w:val="000000" w:themeColor="text1"/>
          <w:sz w:val="30"/>
          <w:szCs w:val="30"/>
          <w:highlight w:val="none"/>
          <w14:textFill>
            <w14:solidFill>
              <w14:schemeClr w14:val="tx1"/>
            </w14:solidFill>
          </w14:textFill>
        </w:rPr>
      </w:pPr>
    </w:p>
    <w:p w14:paraId="745F1674">
      <w:pPr>
        <w:tabs>
          <w:tab w:val="left" w:pos="5670"/>
        </w:tabs>
        <w:autoSpaceDE w:val="0"/>
        <w:autoSpaceDN w:val="0"/>
        <w:adjustRightInd w:val="0"/>
        <w:snapToGrid w:val="0"/>
        <w:spacing w:line="480" w:lineRule="auto"/>
        <w:ind w:firstLine="600" w:firstLineChars="200"/>
        <w:rPr>
          <w:rFonts w:ascii="宋体" w:hAnsi="宋体" w:cs="宋体"/>
          <w:b/>
          <w:bCs/>
          <w:color w:val="000000" w:themeColor="text1"/>
          <w:sz w:val="30"/>
          <w:szCs w:val="30"/>
          <w:highlight w:val="none"/>
          <w14:textFill>
            <w14:solidFill>
              <w14:schemeClr w14:val="tx1"/>
            </w14:solidFill>
          </w14:textFill>
        </w:rPr>
      </w:pPr>
    </w:p>
    <w:p w14:paraId="3A27B079">
      <w:pPr>
        <w:tabs>
          <w:tab w:val="left" w:pos="5670"/>
        </w:tabs>
        <w:autoSpaceDE w:val="0"/>
        <w:autoSpaceDN w:val="0"/>
        <w:adjustRightInd w:val="0"/>
        <w:snapToGrid w:val="0"/>
        <w:spacing w:line="480" w:lineRule="auto"/>
        <w:rPr>
          <w:rFonts w:ascii="宋体" w:hAnsi="宋体" w:cs="宋体"/>
          <w:b/>
          <w:bCs/>
          <w:color w:val="000000" w:themeColor="text1"/>
          <w:sz w:val="30"/>
          <w:szCs w:val="30"/>
          <w:highlight w:val="none"/>
          <w14:textFill>
            <w14:solidFill>
              <w14:schemeClr w14:val="tx1"/>
            </w14:solidFill>
          </w14:textFill>
        </w:rPr>
      </w:pPr>
    </w:p>
    <w:p w14:paraId="4901FF64">
      <w:pPr>
        <w:tabs>
          <w:tab w:val="left" w:pos="5670"/>
        </w:tabs>
        <w:autoSpaceDE w:val="0"/>
        <w:autoSpaceDN w:val="0"/>
        <w:adjustRightInd w:val="0"/>
        <w:snapToGrid w:val="0"/>
        <w:spacing w:line="480" w:lineRule="auto"/>
        <w:ind w:firstLine="1800" w:firstLineChars="600"/>
        <w:rPr>
          <w:rFonts w:hint="eastAsia" w:ascii="宋体" w:hAnsi="宋体" w:eastAsia="宋体" w:cs="宋体"/>
          <w:b/>
          <w:color w:val="000000" w:themeColor="text1"/>
          <w:sz w:val="32"/>
          <w:szCs w:val="32"/>
          <w:highlight w:val="none"/>
          <w:u w:val="single"/>
          <w:lang w:eastAsia="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   购   人：</w:t>
      </w:r>
      <w:r>
        <w:rPr>
          <w:rFonts w:hint="eastAsia" w:ascii="宋体" w:hAnsi="宋体" w:cs="宋体"/>
          <w:b/>
          <w:bCs/>
          <w:color w:val="auto"/>
          <w:sz w:val="32"/>
          <w:szCs w:val="32"/>
          <w:highlight w:val="none"/>
          <w:u w:val="none"/>
          <w:lang w:val="en-US" w:eastAsia="zh-CN"/>
        </w:rPr>
        <w:t>镇坪县</w:t>
      </w:r>
      <w:r>
        <w:rPr>
          <w:rFonts w:hint="eastAsia" w:ascii="宋体" w:hAnsi="宋体" w:cs="宋体"/>
          <w:b/>
          <w:color w:val="auto"/>
          <w:sz w:val="32"/>
          <w:szCs w:val="32"/>
          <w:highlight w:val="none"/>
          <w:u w:val="none"/>
          <w:lang w:eastAsia="zh-CN"/>
        </w:rPr>
        <w:t>钟宝镇人民政府</w:t>
      </w:r>
    </w:p>
    <w:p w14:paraId="60276A3A">
      <w:pPr>
        <w:tabs>
          <w:tab w:val="left" w:pos="5670"/>
        </w:tabs>
        <w:autoSpaceDE w:val="0"/>
        <w:autoSpaceDN w:val="0"/>
        <w:adjustRightInd w:val="0"/>
        <w:snapToGrid w:val="0"/>
        <w:spacing w:line="480" w:lineRule="auto"/>
        <w:ind w:firstLine="1800" w:firstLineChars="600"/>
        <w:rPr>
          <w:rFonts w:ascii="宋体" w:hAnsi="宋体" w:cs="宋体"/>
          <w:b/>
          <w:bCs/>
          <w:color w:val="000000" w:themeColor="text1"/>
          <w:sz w:val="30"/>
          <w:szCs w:val="30"/>
          <w:highlight w:val="none"/>
          <w:lang w:val="zh-CN"/>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采购代理机构</w:t>
      </w:r>
      <w:r>
        <w:rPr>
          <w:rFonts w:hint="eastAsia" w:ascii="宋体" w:hAnsi="宋体" w:cs="宋体"/>
          <w:b/>
          <w:bCs/>
          <w:color w:val="000000" w:themeColor="text1"/>
          <w:sz w:val="30"/>
          <w:szCs w:val="30"/>
          <w:highlight w:val="none"/>
          <w:lang w:val="zh-CN"/>
          <w14:textFill>
            <w14:solidFill>
              <w14:schemeClr w14:val="tx1"/>
            </w14:solidFill>
          </w14:textFill>
        </w:rPr>
        <w:t>：陕西中采项目管理有限公司</w:t>
      </w:r>
    </w:p>
    <w:p w14:paraId="04D6C8F8">
      <w:pPr>
        <w:tabs>
          <w:tab w:val="left" w:pos="5670"/>
        </w:tabs>
        <w:autoSpaceDE w:val="0"/>
        <w:autoSpaceDN w:val="0"/>
        <w:adjustRightInd w:val="0"/>
        <w:snapToGrid w:val="0"/>
        <w:spacing w:line="480" w:lineRule="auto"/>
        <w:ind w:firstLine="1795" w:firstLineChars="561"/>
        <w:jc w:val="left"/>
        <w:rPr>
          <w:rFonts w:ascii="宋体" w:hAnsi="宋体" w:cs="宋体"/>
          <w:b/>
          <w:bCs/>
          <w:color w:val="000000" w:themeColor="text1"/>
          <w:sz w:val="32"/>
          <w:szCs w:val="32"/>
          <w:highlight w:val="none"/>
          <w14:textFill>
            <w14:solidFill>
              <w14:schemeClr w14:val="tx1"/>
            </w14:solidFill>
          </w14:textFill>
        </w:rPr>
        <w:sectPr>
          <w:pgSz w:w="11905" w:h="16838"/>
          <w:pgMar w:top="1417" w:right="1417" w:bottom="1417" w:left="1417" w:header="850" w:footer="850" w:gutter="0"/>
          <w:cols w:space="720" w:num="1"/>
          <w:docGrid w:type="linesAndChars" w:linePitch="318" w:charSpace="0"/>
        </w:sectPr>
      </w:pPr>
      <w:r>
        <w:rPr>
          <w:rFonts w:hint="eastAsia" w:ascii="宋体" w:hAnsi="宋体" w:cs="宋体"/>
          <w:b/>
          <w:bCs/>
          <w:color w:val="000000" w:themeColor="text1"/>
          <w:sz w:val="32"/>
          <w:szCs w:val="32"/>
          <w:highlight w:val="none"/>
          <w14:textFill>
            <w14:solidFill>
              <w14:schemeClr w14:val="tx1"/>
            </w14:solidFill>
          </w14:textFill>
        </w:rPr>
        <w:t>日       期：二○二</w:t>
      </w:r>
      <w:r>
        <w:rPr>
          <w:rFonts w:hint="eastAsia" w:ascii="宋体" w:hAnsi="宋体" w:cs="宋体"/>
          <w:b/>
          <w:bCs/>
          <w:color w:val="000000" w:themeColor="text1"/>
          <w:sz w:val="32"/>
          <w:szCs w:val="32"/>
          <w:highlight w:val="none"/>
          <w:lang w:val="en-US" w:eastAsia="zh-CN"/>
          <w14:textFill>
            <w14:solidFill>
              <w14:schemeClr w14:val="tx1"/>
            </w14:solidFill>
          </w14:textFill>
        </w:rPr>
        <w:t>六</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一</w:t>
      </w:r>
      <w:r>
        <w:rPr>
          <w:rFonts w:hint="eastAsia" w:ascii="宋体" w:hAnsi="宋体" w:cs="宋体"/>
          <w:b/>
          <w:bCs/>
          <w:color w:val="000000" w:themeColor="text1"/>
          <w:sz w:val="32"/>
          <w:szCs w:val="32"/>
          <w:highlight w:val="none"/>
          <w14:textFill>
            <w14:solidFill>
              <w14:schemeClr w14:val="tx1"/>
            </w14:solidFill>
          </w14:textFill>
        </w:rPr>
        <w:t>月</w:t>
      </w:r>
    </w:p>
    <w:sdt>
      <w:sdtPr>
        <w:rPr>
          <w:rFonts w:hint="eastAsia" w:ascii="宋体" w:hAnsi="宋体" w:cs="宋体"/>
          <w:color w:val="000000" w:themeColor="text1"/>
          <w:sz w:val="28"/>
          <w:szCs w:val="28"/>
          <w:highlight w:val="none"/>
          <w14:textFill>
            <w14:solidFill>
              <w14:schemeClr w14:val="tx1"/>
            </w14:solidFill>
          </w14:textFill>
        </w:rPr>
        <w:id w:val="147476869"/>
      </w:sdtPr>
      <w:sdtEndPr>
        <w:rPr>
          <w:rFonts w:hint="eastAsia" w:ascii="宋体" w:hAnsi="宋体" w:cs="宋体"/>
          <w:b/>
          <w:bCs/>
          <w:color w:val="000000" w:themeColor="text1"/>
          <w:sz w:val="28"/>
          <w:szCs w:val="28"/>
          <w:highlight w:val="none"/>
          <w14:textFill>
            <w14:solidFill>
              <w14:schemeClr w14:val="tx1"/>
            </w14:solidFill>
          </w14:textFill>
        </w:rPr>
      </w:sdtEndPr>
      <w:sdtContent>
        <w:p w14:paraId="0318B2F7">
          <w:pPr>
            <w:adjustRightInd w:val="0"/>
            <w:snapToGrid w:val="0"/>
            <w:spacing w:line="48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 录</w:t>
          </w:r>
        </w:p>
        <w:p w14:paraId="0053A930">
          <w:pPr>
            <w:pStyle w:val="13"/>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TOC \o "1-1" \h \u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"_Toc12381"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第一章 竞争性磋商公告</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_Toc12381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1</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69B19843">
          <w:pPr>
            <w:pStyle w:val="13"/>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"_Toc18932"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第二章 供应商须知</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_Toc18932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5</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1E50ECC6">
          <w:pPr>
            <w:pStyle w:val="13"/>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"_Toc10399"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第三章 评审办法</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_Toc10399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23</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4692DA9F">
          <w:pPr>
            <w:pStyle w:val="13"/>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"_Toc21050"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 xml:space="preserve">第四章 </w:t>
          </w:r>
          <w:r>
            <w:rPr>
              <w:rFonts w:hint="eastAsia" w:ascii="宋体" w:hAnsi="宋体" w:cs="宋体"/>
              <w:b w:val="0"/>
              <w:bCs w:val="0"/>
              <w:color w:val="000000" w:themeColor="text1"/>
              <w:sz w:val="28"/>
              <w:szCs w:val="28"/>
              <w:highlight w:val="none"/>
              <w:lang w:val="zh-CN"/>
              <w14:textFill>
                <w14:solidFill>
                  <w14:schemeClr w14:val="tx1"/>
                </w14:solidFill>
              </w14:textFill>
            </w:rPr>
            <w:t>采购内容及要求</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_Toc21050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33</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7D1C990C">
          <w:pPr>
            <w:pStyle w:val="13"/>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"_Toc27845"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w:t>
          </w:r>
          <w:r>
            <w:rPr>
              <w:rFonts w:hint="eastAsia" w:ascii="宋体" w:hAnsi="宋体" w:cs="宋体"/>
              <w:b w:val="0"/>
              <w:bCs w:val="0"/>
              <w:color w:val="000000" w:themeColor="text1"/>
              <w:sz w:val="28"/>
              <w:szCs w:val="28"/>
              <w:highlight w:val="none"/>
              <w14:textFill>
                <w14:solidFill>
                  <w14:schemeClr w14:val="tx1"/>
                </w14:solidFill>
              </w14:textFill>
            </w:rPr>
            <w:t>五</w:t>
          </w:r>
          <w:r>
            <w:rPr>
              <w:rFonts w:hint="eastAsia" w:ascii="宋体" w:hAnsi="宋体" w:cs="宋体"/>
              <w:b w:val="0"/>
              <w:bCs w:val="0"/>
              <w:color w:val="000000" w:themeColor="text1"/>
              <w:sz w:val="28"/>
              <w:szCs w:val="28"/>
              <w:highlight w:val="none"/>
              <w:lang w:val="zh-CN"/>
              <w14:textFill>
                <w14:solidFill>
                  <w14:schemeClr w14:val="tx1"/>
                </w14:solidFill>
              </w14:textFill>
            </w:rPr>
            <w:t>章</w:t>
          </w:r>
          <w:r>
            <w:rPr>
              <w:rFonts w:hint="eastAsia" w:ascii="宋体" w:hAnsi="宋体" w:cs="宋体"/>
              <w:b w:val="0"/>
              <w:bCs w:val="0"/>
              <w:color w:val="000000" w:themeColor="text1"/>
              <w:sz w:val="28"/>
              <w:szCs w:val="28"/>
              <w:highlight w:val="none"/>
              <w14:textFill>
                <w14:solidFill>
                  <w14:schemeClr w14:val="tx1"/>
                </w14:solidFill>
              </w14:textFill>
            </w:rPr>
            <w:t xml:space="preserve"> </w:t>
          </w:r>
          <w:r>
            <w:rPr>
              <w:rFonts w:hint="eastAsia" w:ascii="宋体" w:hAnsi="宋体" w:cs="宋体"/>
              <w:b w:val="0"/>
              <w:bCs w:val="0"/>
              <w:color w:val="000000" w:themeColor="text1"/>
              <w:sz w:val="28"/>
              <w:szCs w:val="28"/>
              <w:highlight w:val="none"/>
              <w:lang w:val="zh-CN"/>
              <w14:textFill>
                <w14:solidFill>
                  <w14:schemeClr w14:val="tx1"/>
                </w14:solidFill>
              </w14:textFill>
            </w:rPr>
            <w:t>合同主要条款</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_Toc27845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33</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272D0271">
          <w:pPr>
            <w:pStyle w:val="13"/>
            <w:tabs>
              <w:tab w:val="right" w:leader="dot" w:pos="9071"/>
            </w:tabs>
            <w:spacing w:line="360" w:lineRule="auto"/>
            <w:rPr>
              <w:rFonts w:ascii="宋体" w:hAnsi="宋体" w:cs="宋体"/>
              <w:b w:val="0"/>
              <w:bCs w:val="0"/>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"_Toc24193" </w:instrText>
          </w:r>
          <w:r>
            <w:rPr>
              <w:color w:val="000000" w:themeColor="text1"/>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lang w:val="zh-CN"/>
              <w14:textFill>
                <w14:solidFill>
                  <w14:schemeClr w14:val="tx1"/>
                </w14:solidFill>
              </w14:textFill>
            </w:rPr>
            <w:t>第</w:t>
          </w:r>
          <w:r>
            <w:rPr>
              <w:rFonts w:hint="eastAsia" w:ascii="宋体" w:hAnsi="宋体" w:cs="宋体"/>
              <w:b w:val="0"/>
              <w:bCs w:val="0"/>
              <w:color w:val="000000" w:themeColor="text1"/>
              <w:sz w:val="28"/>
              <w:szCs w:val="28"/>
              <w:highlight w:val="none"/>
              <w14:textFill>
                <w14:solidFill>
                  <w14:schemeClr w14:val="tx1"/>
                </w14:solidFill>
              </w14:textFill>
            </w:rPr>
            <w:t>六</w:t>
          </w:r>
          <w:r>
            <w:rPr>
              <w:rFonts w:hint="eastAsia" w:ascii="宋体" w:hAnsi="宋体" w:cs="宋体"/>
              <w:b w:val="0"/>
              <w:bCs w:val="0"/>
              <w:color w:val="000000" w:themeColor="text1"/>
              <w:sz w:val="28"/>
              <w:szCs w:val="28"/>
              <w:highlight w:val="none"/>
              <w:lang w:val="zh-CN"/>
              <w14:textFill>
                <w14:solidFill>
                  <w14:schemeClr w14:val="tx1"/>
                </w14:solidFill>
              </w14:textFill>
            </w:rPr>
            <w:t>章 竞争性磋商响应文件格式</w:t>
          </w:r>
          <w:r>
            <w:rPr>
              <w:rFonts w:hint="eastAsia" w:ascii="宋体" w:hAnsi="宋体" w:cs="宋体"/>
              <w:b w:val="0"/>
              <w:bCs w:val="0"/>
              <w:color w:val="000000" w:themeColor="text1"/>
              <w:sz w:val="28"/>
              <w:szCs w:val="28"/>
              <w:highlight w:val="none"/>
              <w14:textFill>
                <w14:solidFill>
                  <w14:schemeClr w14:val="tx1"/>
                </w14:solidFill>
              </w14:textFill>
            </w:rPr>
            <w:tab/>
          </w:r>
          <w:r>
            <w:rPr>
              <w:rFonts w:hint="eastAsia" w:ascii="宋体" w:hAnsi="宋体" w:cs="宋体"/>
              <w:b w:val="0"/>
              <w:bCs w:val="0"/>
              <w:color w:val="000000" w:themeColor="text1"/>
              <w:sz w:val="28"/>
              <w:szCs w:val="28"/>
              <w:highlight w:val="none"/>
              <w14:textFill>
                <w14:solidFill>
                  <w14:schemeClr w14:val="tx1"/>
                </w14:solidFill>
              </w14:textFill>
            </w:rPr>
            <w:fldChar w:fldCharType="begin"/>
          </w:r>
          <w:r>
            <w:rPr>
              <w:rFonts w:hint="eastAsia" w:ascii="宋体" w:hAnsi="宋体" w:cs="宋体"/>
              <w:b w:val="0"/>
              <w:bCs w:val="0"/>
              <w:color w:val="000000" w:themeColor="text1"/>
              <w:sz w:val="28"/>
              <w:szCs w:val="28"/>
              <w:highlight w:val="none"/>
              <w14:textFill>
                <w14:solidFill>
                  <w14:schemeClr w14:val="tx1"/>
                </w14:solidFill>
              </w14:textFill>
            </w:rPr>
            <w:instrText xml:space="preserve"> PAGEREF _Toc24193 \h </w:instrText>
          </w:r>
          <w:r>
            <w:rPr>
              <w:rFonts w:hint="eastAsia" w:ascii="宋体" w:hAnsi="宋体" w:cs="宋体"/>
              <w:b w:val="0"/>
              <w:bCs w:val="0"/>
              <w:color w:val="000000" w:themeColor="text1"/>
              <w:sz w:val="28"/>
              <w:szCs w:val="28"/>
              <w:highlight w:val="none"/>
              <w14:textFill>
                <w14:solidFill>
                  <w14:schemeClr w14:val="tx1"/>
                </w14:solidFill>
              </w14:textFill>
            </w:rPr>
            <w:fldChar w:fldCharType="separate"/>
          </w:r>
          <w:r>
            <w:rPr>
              <w:rFonts w:hint="eastAsia" w:ascii="宋体" w:hAnsi="宋体" w:cs="宋体"/>
              <w:b w:val="0"/>
              <w:bCs w:val="0"/>
              <w:color w:val="000000" w:themeColor="text1"/>
              <w:sz w:val="28"/>
              <w:szCs w:val="28"/>
              <w:highlight w:val="none"/>
              <w14:textFill>
                <w14:solidFill>
                  <w14:schemeClr w14:val="tx1"/>
                </w14:solidFill>
              </w14:textFill>
            </w:rPr>
            <w:t>42</w:t>
          </w:r>
          <w:r>
            <w:rPr>
              <w:rFonts w:hint="eastAsia" w:ascii="宋体" w:hAnsi="宋体" w:cs="宋体"/>
              <w:b w:val="0"/>
              <w:bCs w:val="0"/>
              <w:color w:val="000000" w:themeColor="text1"/>
              <w:sz w:val="28"/>
              <w:szCs w:val="28"/>
              <w:highlight w:val="none"/>
              <w14:textFill>
                <w14:solidFill>
                  <w14:schemeClr w14:val="tx1"/>
                </w14:solidFill>
              </w14:textFill>
            </w:rPr>
            <w:fldChar w:fldCharType="end"/>
          </w:r>
          <w:r>
            <w:rPr>
              <w:rFonts w:hint="eastAsia" w:ascii="宋体" w:hAnsi="宋体" w:cs="宋体"/>
              <w:b w:val="0"/>
              <w:bCs w:val="0"/>
              <w:color w:val="000000" w:themeColor="text1"/>
              <w:sz w:val="28"/>
              <w:szCs w:val="28"/>
              <w:highlight w:val="none"/>
              <w14:textFill>
                <w14:solidFill>
                  <w14:schemeClr w14:val="tx1"/>
                </w14:solidFill>
              </w14:textFill>
            </w:rPr>
            <w:fldChar w:fldCharType="end"/>
          </w:r>
        </w:p>
        <w:p w14:paraId="706B0B8D">
          <w:pPr>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sdtContent>
    </w:sdt>
    <w:p w14:paraId="6D0D88FE">
      <w:pPr>
        <w:rPr>
          <w:rFonts w:ascii="宋体" w:hAnsi="宋体" w:cs="宋体"/>
          <w:color w:val="000000" w:themeColor="text1"/>
          <w:highlight w:val="none"/>
          <w14:textFill>
            <w14:solidFill>
              <w14:schemeClr w14:val="tx1"/>
            </w14:solidFill>
          </w14:textFill>
        </w:rPr>
      </w:pPr>
    </w:p>
    <w:p w14:paraId="2BDFB019">
      <w:pPr>
        <w:rPr>
          <w:rFonts w:ascii="宋体" w:hAnsi="宋体" w:cs="宋体"/>
          <w:color w:val="000000" w:themeColor="text1"/>
          <w:highlight w:val="none"/>
          <w14:textFill>
            <w14:solidFill>
              <w14:schemeClr w14:val="tx1"/>
            </w14:solidFill>
          </w14:textFill>
        </w:rPr>
      </w:pPr>
    </w:p>
    <w:p w14:paraId="57B8AC52">
      <w:pPr>
        <w:rPr>
          <w:rFonts w:ascii="宋体" w:hAnsi="宋体" w:cs="宋体"/>
          <w:color w:val="000000" w:themeColor="text1"/>
          <w:highlight w:val="none"/>
          <w14:textFill>
            <w14:solidFill>
              <w14:schemeClr w14:val="tx1"/>
            </w14:solidFill>
          </w14:textFill>
        </w:rPr>
      </w:pPr>
    </w:p>
    <w:p w14:paraId="2067CE83">
      <w:pPr>
        <w:tabs>
          <w:tab w:val="left" w:pos="3910"/>
        </w:tabs>
        <w:jc w:val="left"/>
        <w:rPr>
          <w:rFonts w:ascii="宋体" w:hAnsi="宋体" w:cs="宋体"/>
          <w:color w:val="000000" w:themeColor="text1"/>
          <w:highlight w:val="none"/>
          <w14:textFill>
            <w14:solidFill>
              <w14:schemeClr w14:val="tx1"/>
            </w14:solidFill>
          </w14:textFill>
        </w:rPr>
        <w:sectPr>
          <w:footerReference r:id="rId3" w:type="first"/>
          <w:pgSz w:w="11905" w:h="16838"/>
          <w:pgMar w:top="1417" w:right="1417" w:bottom="1417" w:left="1417" w:header="850" w:footer="992" w:gutter="0"/>
          <w:cols w:space="0" w:num="1"/>
        </w:sectPr>
      </w:pPr>
      <w:r>
        <w:rPr>
          <w:rFonts w:hint="eastAsia" w:ascii="宋体" w:hAnsi="宋体" w:cs="宋体"/>
          <w:color w:val="000000" w:themeColor="text1"/>
          <w:highlight w:val="none"/>
          <w14:textFill>
            <w14:solidFill>
              <w14:schemeClr w14:val="tx1"/>
            </w14:solidFill>
          </w14:textFill>
        </w:rPr>
        <w:tab/>
      </w:r>
    </w:p>
    <w:p w14:paraId="4548A351">
      <w:pPr>
        <w:snapToGrid w:val="0"/>
        <w:spacing w:line="360" w:lineRule="auto"/>
        <w:jc w:val="center"/>
        <w:outlineLvl w:val="0"/>
        <w:rPr>
          <w:rFonts w:ascii="宋体" w:hAnsi="宋体" w:cs="宋体"/>
          <w:b/>
          <w:bCs/>
          <w:color w:val="000000" w:themeColor="text1"/>
          <w:sz w:val="24"/>
          <w:szCs w:val="24"/>
          <w:highlight w:val="none"/>
          <w:lang w:val="zh-CN"/>
          <w14:textFill>
            <w14:solidFill>
              <w14:schemeClr w14:val="tx1"/>
            </w14:solidFill>
          </w14:textFill>
        </w:rPr>
      </w:pPr>
      <w:bookmarkStart w:id="0" w:name="_Toc27863"/>
      <w:bookmarkStart w:id="1" w:name="_Toc18711"/>
      <w:bookmarkStart w:id="2" w:name="_Toc12381"/>
      <w:bookmarkStart w:id="3" w:name="_Toc32199_WPSOffice_Level1"/>
      <w:bookmarkStart w:id="4" w:name="_Toc25046_WPSOffice_Level1"/>
      <w:r>
        <w:rPr>
          <w:rFonts w:hint="eastAsia" w:ascii="宋体" w:hAnsi="宋体" w:cs="宋体"/>
          <w:b/>
          <w:bCs/>
          <w:color w:val="000000" w:themeColor="text1"/>
          <w:sz w:val="32"/>
          <w:szCs w:val="32"/>
          <w:highlight w:val="none"/>
          <w:lang w:val="zh-CN"/>
          <w14:textFill>
            <w14:solidFill>
              <w14:schemeClr w14:val="tx1"/>
            </w14:solidFill>
          </w14:textFill>
        </w:rPr>
        <w:t>第一</w:t>
      </w:r>
      <w:r>
        <w:rPr>
          <w:rFonts w:hint="eastAsia" w:ascii="宋体" w:hAnsi="宋体" w:cs="宋体"/>
          <w:b/>
          <w:bCs/>
          <w:color w:val="000000" w:themeColor="text1"/>
          <w:sz w:val="32"/>
          <w:szCs w:val="32"/>
          <w:highlight w:val="none"/>
          <w14:textFill>
            <w14:solidFill>
              <w14:schemeClr w14:val="tx1"/>
            </w14:solidFill>
          </w14:textFill>
        </w:rPr>
        <w:t>章</w:t>
      </w:r>
      <w:r>
        <w:rPr>
          <w:rFonts w:hint="eastAsia" w:ascii="宋体" w:hAnsi="宋体" w:cs="宋体"/>
          <w:b/>
          <w:bCs/>
          <w:color w:val="000000" w:themeColor="text1"/>
          <w:sz w:val="32"/>
          <w:szCs w:val="32"/>
          <w:highlight w:val="none"/>
          <w:lang w:val="zh-CN"/>
          <w14:textFill>
            <w14:solidFill>
              <w14:schemeClr w14:val="tx1"/>
            </w14:solidFill>
          </w14:textFill>
        </w:rPr>
        <w:t xml:space="preserve"> 竞争性磋商公告</w:t>
      </w:r>
      <w:bookmarkEnd w:id="0"/>
      <w:bookmarkEnd w:id="1"/>
      <w:bookmarkEnd w:id="2"/>
    </w:p>
    <w:bookmarkEnd w:id="3"/>
    <w:bookmarkEnd w:id="4"/>
    <w:p w14:paraId="34EC6115">
      <w:pPr>
        <w:autoSpaceDE w:val="0"/>
        <w:autoSpaceDN w:val="0"/>
        <w:adjustRightInd w:val="0"/>
        <w:spacing w:line="360" w:lineRule="auto"/>
        <w:rPr>
          <w:rFonts w:hint="eastAsia" w:ascii="宋体" w:hAnsi="宋体" w:eastAsia="宋体" w:cs="宋体"/>
          <w:b/>
          <w:bCs/>
          <w:color w:val="auto"/>
          <w:sz w:val="24"/>
          <w:szCs w:val="24"/>
          <w:highlight w:val="none"/>
          <w:lang w:val="zh-CN"/>
        </w:rPr>
      </w:pPr>
      <w:bookmarkStart w:id="5" w:name="_Toc520468904"/>
      <w:bookmarkStart w:id="6" w:name="_Toc4287"/>
      <w:r>
        <w:rPr>
          <w:rFonts w:hint="eastAsia" w:ascii="宋体" w:hAnsi="宋体" w:eastAsia="宋体" w:cs="宋体"/>
          <w:b/>
          <w:bCs/>
          <w:color w:val="auto"/>
          <w:sz w:val="24"/>
          <w:szCs w:val="24"/>
          <w:highlight w:val="none"/>
          <w:lang w:val="zh-CN"/>
        </w:rPr>
        <w:t>项目概况</w:t>
      </w:r>
    </w:p>
    <w:p w14:paraId="3464873A">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钟宝镇“十五五”规划编制服务项目</w:t>
      </w:r>
      <w:r>
        <w:rPr>
          <w:rFonts w:hint="eastAsia" w:ascii="宋体" w:hAnsi="宋体" w:eastAsia="宋体" w:cs="宋体"/>
          <w:color w:val="auto"/>
          <w:sz w:val="24"/>
          <w:szCs w:val="24"/>
          <w:highlight w:val="none"/>
          <w:lang w:val="zh-CN"/>
        </w:rPr>
        <w:t>的潜在供应商应在西安市高新区高新三路9号新时代大厦西四楼获取采购文件，</w:t>
      </w:r>
      <w:r>
        <w:rPr>
          <w:rFonts w:hint="eastAsia" w:ascii="宋体" w:hAnsi="宋体" w:cs="宋体"/>
          <w:b w:val="0"/>
          <w:bCs w:val="0"/>
          <w:color w:val="auto"/>
          <w:sz w:val="24"/>
          <w:szCs w:val="24"/>
          <w:highlight w:val="none"/>
          <w:u w:val="none"/>
          <w:lang w:val="zh-CN" w:eastAsia="zh-CN"/>
        </w:rPr>
        <w:t>202</w:t>
      </w:r>
      <w:r>
        <w:rPr>
          <w:rFonts w:hint="eastAsia" w:ascii="宋体" w:hAnsi="宋体" w:cs="宋体"/>
          <w:b w:val="0"/>
          <w:bCs/>
          <w:color w:val="auto"/>
          <w:sz w:val="24"/>
          <w:szCs w:val="24"/>
          <w:highlight w:val="none"/>
          <w:u w:val="none"/>
          <w:lang w:val="zh-CN" w:eastAsia="zh-CN"/>
        </w:rPr>
        <w:t>6年02月09日15时00分00秒</w:t>
      </w:r>
      <w:r>
        <w:rPr>
          <w:rFonts w:hint="eastAsia" w:ascii="宋体" w:hAnsi="宋体" w:eastAsia="宋体" w:cs="宋体"/>
          <w:color w:val="auto"/>
          <w:sz w:val="24"/>
          <w:szCs w:val="24"/>
          <w:highlight w:val="none"/>
          <w:u w:val="none"/>
          <w:lang w:val="zh-CN"/>
        </w:rPr>
        <w:t>（北京时间）前提交</w:t>
      </w:r>
      <w:r>
        <w:rPr>
          <w:rFonts w:hint="eastAsia" w:ascii="宋体" w:hAnsi="宋体" w:eastAsia="宋体" w:cs="宋体"/>
          <w:color w:val="auto"/>
          <w:sz w:val="24"/>
          <w:szCs w:val="24"/>
          <w:highlight w:val="none"/>
          <w:u w:val="none"/>
          <w:lang w:val="en-US" w:eastAsia="zh-CN"/>
        </w:rPr>
        <w:t>响应</w:t>
      </w:r>
      <w:r>
        <w:rPr>
          <w:rFonts w:hint="eastAsia" w:ascii="宋体" w:hAnsi="宋体" w:eastAsia="宋体" w:cs="宋体"/>
          <w:color w:val="auto"/>
          <w:sz w:val="24"/>
          <w:szCs w:val="24"/>
          <w:highlight w:val="none"/>
          <w:u w:val="none"/>
          <w:lang w:val="zh-CN"/>
        </w:rPr>
        <w:t>文件。</w:t>
      </w:r>
    </w:p>
    <w:p w14:paraId="3EDBDF99">
      <w:pPr>
        <w:bidi w:val="0"/>
        <w:spacing w:line="360" w:lineRule="auto"/>
        <w:rPr>
          <w:rFonts w:hint="eastAsia"/>
          <w:b/>
          <w:bCs/>
          <w:sz w:val="24"/>
          <w:szCs w:val="24"/>
          <w:highlight w:val="none"/>
          <w:lang w:val="zh-CN"/>
        </w:rPr>
      </w:pPr>
      <w:r>
        <w:rPr>
          <w:rFonts w:hint="eastAsia"/>
          <w:b/>
          <w:bCs/>
          <w:sz w:val="24"/>
          <w:szCs w:val="24"/>
          <w:highlight w:val="none"/>
          <w:lang w:val="zh-CN"/>
        </w:rPr>
        <w:t>一、项目基本情况</w:t>
      </w:r>
    </w:p>
    <w:p w14:paraId="7E18C90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项目编号：</w:t>
      </w:r>
      <w:r>
        <w:rPr>
          <w:rFonts w:hint="eastAsia" w:ascii="宋体" w:hAnsi="宋体" w:cs="宋体"/>
          <w:color w:val="auto"/>
          <w:sz w:val="24"/>
          <w:szCs w:val="24"/>
          <w:highlight w:val="none"/>
          <w:lang w:val="zh-CN"/>
        </w:rPr>
        <w:t>ZC2026-FW-033</w:t>
      </w:r>
    </w:p>
    <w:p w14:paraId="449C46B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w:t>
      </w:r>
      <w:r>
        <w:rPr>
          <w:rFonts w:hint="eastAsia" w:ascii="宋体" w:hAnsi="宋体" w:cs="宋体"/>
          <w:color w:val="auto"/>
          <w:sz w:val="24"/>
          <w:szCs w:val="24"/>
          <w:highlight w:val="none"/>
          <w:lang w:val="zh-CN" w:eastAsia="zh-CN"/>
        </w:rPr>
        <w:t>钟宝镇“十五五”规划编制服务项目</w:t>
      </w:r>
    </w:p>
    <w:p w14:paraId="7AC94E5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采购方式：竞争性磋商</w:t>
      </w:r>
    </w:p>
    <w:p w14:paraId="03B4435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预算金额：</w:t>
      </w:r>
      <w:r>
        <w:rPr>
          <w:rFonts w:hint="eastAsia" w:ascii="宋体" w:hAnsi="宋体" w:cs="宋体"/>
          <w:color w:val="auto"/>
          <w:sz w:val="24"/>
          <w:szCs w:val="24"/>
          <w:highlight w:val="none"/>
          <w:lang w:val="zh-CN"/>
        </w:rPr>
        <w:t>150,000.00</w:t>
      </w:r>
      <w:r>
        <w:rPr>
          <w:rFonts w:hint="eastAsia" w:ascii="宋体" w:hAnsi="宋体" w:eastAsia="宋体" w:cs="宋体"/>
          <w:color w:val="auto"/>
          <w:sz w:val="24"/>
          <w:szCs w:val="24"/>
          <w:highlight w:val="none"/>
          <w:lang w:val="zh-CN"/>
        </w:rPr>
        <w:t>元</w:t>
      </w:r>
    </w:p>
    <w:p w14:paraId="56D66A0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采购需求：</w:t>
      </w:r>
    </w:p>
    <w:p w14:paraId="39FBFCF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合同包1(</w:t>
      </w:r>
      <w:r>
        <w:rPr>
          <w:rFonts w:hint="eastAsia" w:ascii="宋体" w:hAnsi="宋体" w:cs="宋体"/>
          <w:color w:val="auto"/>
          <w:sz w:val="24"/>
          <w:szCs w:val="24"/>
          <w:highlight w:val="none"/>
          <w:lang w:val="zh-CN" w:eastAsia="zh-CN"/>
        </w:rPr>
        <w:t>钟宝镇“十五五”规划编制服务项目</w:t>
      </w:r>
      <w:r>
        <w:rPr>
          <w:rFonts w:hint="eastAsia" w:ascii="宋体" w:hAnsi="宋体" w:eastAsia="宋体" w:cs="宋体"/>
          <w:color w:val="auto"/>
          <w:sz w:val="24"/>
          <w:szCs w:val="24"/>
          <w:highlight w:val="none"/>
          <w:lang w:val="zh-CN"/>
        </w:rPr>
        <w:t>)</w:t>
      </w:r>
    </w:p>
    <w:p w14:paraId="2E03A02F">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合同包预算金额：</w:t>
      </w:r>
      <w:r>
        <w:rPr>
          <w:rFonts w:hint="eastAsia" w:ascii="宋体" w:hAnsi="宋体" w:cs="宋体"/>
          <w:color w:val="auto"/>
          <w:sz w:val="24"/>
          <w:szCs w:val="24"/>
          <w:highlight w:val="none"/>
          <w:lang w:val="zh-CN"/>
        </w:rPr>
        <w:t>150,000.00</w:t>
      </w:r>
      <w:r>
        <w:rPr>
          <w:rFonts w:hint="eastAsia" w:ascii="宋体" w:hAnsi="宋体" w:eastAsia="宋体" w:cs="宋体"/>
          <w:color w:val="auto"/>
          <w:sz w:val="24"/>
          <w:szCs w:val="24"/>
          <w:highlight w:val="none"/>
          <w:lang w:val="zh-CN"/>
        </w:rPr>
        <w:t>元</w:t>
      </w:r>
    </w:p>
    <w:p w14:paraId="6DD9A2B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合同包最高限价：</w:t>
      </w:r>
      <w:r>
        <w:rPr>
          <w:rFonts w:hint="eastAsia" w:ascii="宋体" w:hAnsi="宋体" w:cs="宋体"/>
          <w:color w:val="auto"/>
          <w:sz w:val="24"/>
          <w:szCs w:val="24"/>
          <w:highlight w:val="none"/>
          <w:lang w:val="zh-CN"/>
        </w:rPr>
        <w:t>150,000.00</w:t>
      </w:r>
      <w:r>
        <w:rPr>
          <w:rFonts w:hint="eastAsia" w:ascii="宋体" w:hAnsi="宋体" w:eastAsia="宋体" w:cs="宋体"/>
          <w:color w:val="auto"/>
          <w:sz w:val="24"/>
          <w:szCs w:val="24"/>
          <w:highlight w:val="none"/>
          <w:lang w:val="zh-CN"/>
        </w:rPr>
        <w:t>元</w:t>
      </w:r>
    </w:p>
    <w:tbl>
      <w:tblPr>
        <w:tblStyle w:val="19"/>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413"/>
        <w:gridCol w:w="1279"/>
        <w:gridCol w:w="1022"/>
        <w:gridCol w:w="1289"/>
        <w:gridCol w:w="1330"/>
        <w:gridCol w:w="1480"/>
      </w:tblGrid>
      <w:tr w14:paraId="7043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44" w:type="dxa"/>
            <w:noWrap w:val="0"/>
            <w:vAlign w:val="center"/>
          </w:tcPr>
          <w:p w14:paraId="2A0D50D2">
            <w:pPr>
              <w:jc w:val="center"/>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品目号</w:t>
            </w:r>
          </w:p>
        </w:tc>
        <w:tc>
          <w:tcPr>
            <w:tcW w:w="1413" w:type="dxa"/>
            <w:noWrap w:val="0"/>
            <w:vAlign w:val="center"/>
          </w:tcPr>
          <w:p w14:paraId="11E2B843">
            <w:pPr>
              <w:jc w:val="center"/>
              <w:rPr>
                <w:rFonts w:hint="eastAsia" w:ascii="宋体" w:hAnsi="宋体" w:eastAsia="宋体" w:cs="宋体"/>
                <w:b/>
                <w:bCs/>
                <w:color w:val="auto"/>
                <w:szCs w:val="21"/>
                <w:highlight w:val="none"/>
                <w:shd w:val="clear" w:color="auto" w:fill="FFFFFF"/>
                <w:lang w:val="en-US" w:eastAsia="zh-CN"/>
              </w:rPr>
            </w:pPr>
            <w:r>
              <w:rPr>
                <w:rFonts w:hint="eastAsia" w:ascii="宋体" w:hAnsi="宋体" w:eastAsia="宋体" w:cs="宋体"/>
                <w:b/>
                <w:bCs/>
                <w:color w:val="auto"/>
                <w:szCs w:val="21"/>
                <w:highlight w:val="none"/>
                <w:shd w:val="clear" w:color="auto" w:fill="FFFFFF"/>
                <w:lang w:val="en-US" w:eastAsia="zh-CN"/>
              </w:rPr>
              <w:t>品目名称</w:t>
            </w:r>
          </w:p>
        </w:tc>
        <w:tc>
          <w:tcPr>
            <w:tcW w:w="1279" w:type="dxa"/>
            <w:noWrap w:val="0"/>
            <w:vAlign w:val="center"/>
          </w:tcPr>
          <w:p w14:paraId="79D4D917">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采购标的</w:t>
            </w:r>
          </w:p>
        </w:tc>
        <w:tc>
          <w:tcPr>
            <w:tcW w:w="1022" w:type="dxa"/>
            <w:noWrap w:val="0"/>
            <w:vAlign w:val="center"/>
          </w:tcPr>
          <w:p w14:paraId="1A3C168A">
            <w:pPr>
              <w:jc w:val="center"/>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数量</w:t>
            </w:r>
          </w:p>
          <w:p w14:paraId="3CED05CD">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（单位）</w:t>
            </w:r>
          </w:p>
        </w:tc>
        <w:tc>
          <w:tcPr>
            <w:tcW w:w="1289" w:type="dxa"/>
            <w:noWrap w:val="0"/>
            <w:vAlign w:val="center"/>
          </w:tcPr>
          <w:p w14:paraId="350D247B">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技术规格、参数及要求</w:t>
            </w:r>
          </w:p>
        </w:tc>
        <w:tc>
          <w:tcPr>
            <w:tcW w:w="1330" w:type="dxa"/>
            <w:noWrap w:val="0"/>
            <w:vAlign w:val="center"/>
          </w:tcPr>
          <w:p w14:paraId="4469DEB1">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品目预算(元)</w:t>
            </w:r>
          </w:p>
        </w:tc>
        <w:tc>
          <w:tcPr>
            <w:tcW w:w="1480" w:type="dxa"/>
            <w:noWrap w:val="0"/>
            <w:vAlign w:val="center"/>
          </w:tcPr>
          <w:p w14:paraId="07641590">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shd w:val="clear" w:color="auto" w:fill="FFFFFF"/>
              </w:rPr>
              <w:t>最高限价(元)</w:t>
            </w:r>
          </w:p>
        </w:tc>
      </w:tr>
      <w:tr w14:paraId="56DE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144" w:type="dxa"/>
            <w:noWrap w:val="0"/>
            <w:vAlign w:val="center"/>
          </w:tcPr>
          <w:p w14:paraId="5FF1BE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1-1</w:t>
            </w:r>
          </w:p>
        </w:tc>
        <w:tc>
          <w:tcPr>
            <w:tcW w:w="1413" w:type="dxa"/>
            <w:noWrap w:val="0"/>
            <w:vAlign w:val="center"/>
          </w:tcPr>
          <w:p w14:paraId="273017A3">
            <w:pPr>
              <w:jc w:val="center"/>
              <w:rPr>
                <w:rFonts w:hint="eastAsia" w:ascii="宋体" w:hAnsi="宋体" w:eastAsia="宋体" w:cs="宋体"/>
                <w:color w:val="auto"/>
                <w:szCs w:val="21"/>
                <w:highlight w:val="none"/>
                <w:lang w:val="en-US" w:eastAsia="zh-CN"/>
              </w:rPr>
            </w:pPr>
            <w:r>
              <w:rPr>
                <w:rFonts w:hint="eastAsia" w:ascii="宋体" w:hAnsi="宋体" w:eastAsia="宋体" w:cs="宋体"/>
                <w:i w:val="0"/>
                <w:iCs w:val="0"/>
                <w:caps w:val="0"/>
                <w:color w:val="auto"/>
                <w:spacing w:val="0"/>
                <w:sz w:val="21"/>
                <w:szCs w:val="21"/>
                <w:highlight w:val="none"/>
                <w:shd w:val="clear"/>
              </w:rPr>
              <w:t>其他专业技术服务</w:t>
            </w:r>
          </w:p>
        </w:tc>
        <w:tc>
          <w:tcPr>
            <w:tcW w:w="1279" w:type="dxa"/>
            <w:noWrap w:val="0"/>
            <w:vAlign w:val="center"/>
          </w:tcPr>
          <w:p w14:paraId="1526861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钟宝镇“十五五”规划编制服务项目</w:t>
            </w:r>
          </w:p>
        </w:tc>
        <w:tc>
          <w:tcPr>
            <w:tcW w:w="1022" w:type="dxa"/>
            <w:noWrap w:val="0"/>
            <w:vAlign w:val="center"/>
          </w:tcPr>
          <w:p w14:paraId="2E6650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项</w:t>
            </w:r>
            <w:r>
              <w:rPr>
                <w:rFonts w:hint="eastAsia" w:ascii="宋体" w:hAnsi="宋体" w:eastAsia="宋体" w:cs="宋体"/>
                <w:color w:val="auto"/>
                <w:szCs w:val="21"/>
                <w:highlight w:val="none"/>
                <w:shd w:val="clear" w:color="auto" w:fill="FFFFFF"/>
              </w:rPr>
              <w:t>)</w:t>
            </w:r>
          </w:p>
        </w:tc>
        <w:tc>
          <w:tcPr>
            <w:tcW w:w="1289" w:type="dxa"/>
            <w:noWrap w:val="0"/>
            <w:vAlign w:val="center"/>
          </w:tcPr>
          <w:p w14:paraId="099423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详见采购文件</w:t>
            </w:r>
          </w:p>
        </w:tc>
        <w:tc>
          <w:tcPr>
            <w:tcW w:w="1330" w:type="dxa"/>
            <w:noWrap w:val="0"/>
            <w:vAlign w:val="center"/>
          </w:tcPr>
          <w:p w14:paraId="4FD80155">
            <w:pPr>
              <w:jc w:val="center"/>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150,000.00</w:t>
            </w:r>
          </w:p>
        </w:tc>
        <w:tc>
          <w:tcPr>
            <w:tcW w:w="1480" w:type="dxa"/>
            <w:noWrap w:val="0"/>
            <w:vAlign w:val="center"/>
          </w:tcPr>
          <w:p w14:paraId="5CC48BE8">
            <w:pPr>
              <w:jc w:val="center"/>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150,000.00</w:t>
            </w:r>
          </w:p>
        </w:tc>
      </w:tr>
    </w:tbl>
    <w:p w14:paraId="531B3F9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本合同包不接受联合体</w:t>
      </w:r>
    </w:p>
    <w:p w14:paraId="5C4FD26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合同履行期限：</w:t>
      </w:r>
      <w:r>
        <w:rPr>
          <w:rFonts w:hint="eastAsia" w:ascii="宋体" w:hAnsi="宋体" w:eastAsia="宋体" w:cs="宋体"/>
          <w:color w:val="auto"/>
          <w:sz w:val="24"/>
          <w:szCs w:val="24"/>
          <w:highlight w:val="none"/>
          <w:lang w:val="en-US" w:eastAsia="zh-CN"/>
        </w:rPr>
        <w:t>90天</w:t>
      </w:r>
      <w:r>
        <w:rPr>
          <w:rFonts w:hint="eastAsia" w:ascii="宋体" w:hAnsi="宋体" w:eastAsia="宋体" w:cs="宋体"/>
          <w:color w:val="auto"/>
          <w:sz w:val="24"/>
          <w:szCs w:val="24"/>
          <w:highlight w:val="none"/>
          <w:lang w:val="zh-CN" w:eastAsia="zh-CN"/>
        </w:rPr>
        <w:t>。</w:t>
      </w:r>
    </w:p>
    <w:p w14:paraId="5679E4F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二、申请人的资格要求：</w:t>
      </w:r>
    </w:p>
    <w:p w14:paraId="250CF93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1.满足《中华人民共和国政府釆购法》第二十二条规定；</w:t>
      </w:r>
    </w:p>
    <w:p w14:paraId="7EEBD9E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2.落实政府采购政策需满足的资格要求：</w:t>
      </w:r>
    </w:p>
    <w:p w14:paraId="46EA07B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cs="宋体"/>
          <w:i w:val="0"/>
          <w:iCs w:val="0"/>
          <w:caps w:val="0"/>
          <w:color w:val="auto"/>
          <w:spacing w:val="0"/>
          <w:sz w:val="24"/>
          <w:szCs w:val="24"/>
          <w:highlight w:val="none"/>
          <w:u w:val="none"/>
          <w:lang w:val="zh-CN" w:eastAsia="zh-CN"/>
        </w:rPr>
        <w:t>本项目属于专门面向中小企业采购项目</w:t>
      </w:r>
      <w:r>
        <w:rPr>
          <w:rFonts w:hint="eastAsia" w:ascii="宋体" w:hAnsi="宋体" w:eastAsia="宋体" w:cs="宋体"/>
          <w:color w:val="auto"/>
          <w:sz w:val="24"/>
          <w:szCs w:val="24"/>
          <w:highlight w:val="none"/>
          <w:u w:val="none"/>
          <w:lang w:val="en-US" w:eastAsia="zh-CN"/>
        </w:rPr>
        <w:t>。</w:t>
      </w:r>
    </w:p>
    <w:p w14:paraId="47E0C5AC">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i w:val="0"/>
          <w:iCs w:val="0"/>
          <w:caps w:val="0"/>
          <w:color w:val="auto"/>
          <w:spacing w:val="0"/>
          <w:sz w:val="24"/>
          <w:szCs w:val="24"/>
          <w:highlight w:val="none"/>
          <w:u w:val="none"/>
          <w:lang w:val="zh-CN" w:eastAsia="zh-CN"/>
        </w:rPr>
        <w:t>2.1</w:t>
      </w:r>
      <w:r>
        <w:rPr>
          <w:rFonts w:hint="eastAsia" w:ascii="宋体" w:hAnsi="宋体" w:eastAsia="宋体" w:cs="宋体"/>
          <w:i w:val="0"/>
          <w:iCs w:val="0"/>
          <w:caps w:val="0"/>
          <w:color w:val="auto"/>
          <w:spacing w:val="0"/>
          <w:sz w:val="24"/>
          <w:szCs w:val="24"/>
          <w:highlight w:val="none"/>
          <w:u w:val="none"/>
          <w:lang w:val="en-US" w:eastAsia="zh-CN"/>
        </w:rPr>
        <w:t>.</w:t>
      </w:r>
      <w:r>
        <w:rPr>
          <w:rFonts w:hint="eastAsia" w:ascii="宋体" w:hAnsi="宋体" w:eastAsia="宋体" w:cs="宋体"/>
          <w:color w:val="auto"/>
          <w:sz w:val="24"/>
          <w:szCs w:val="24"/>
          <w:highlight w:val="none"/>
          <w:u w:val="none"/>
          <w:lang w:val="zh-CN"/>
        </w:rPr>
        <w:t>落实</w:t>
      </w:r>
      <w:r>
        <w:rPr>
          <w:rFonts w:hint="eastAsia" w:ascii="宋体" w:hAnsi="宋体" w:eastAsia="宋体" w:cs="宋体"/>
          <w:color w:val="auto"/>
          <w:sz w:val="24"/>
          <w:szCs w:val="24"/>
          <w:highlight w:val="none"/>
          <w:u w:val="none"/>
          <w:lang w:val="zh-CN" w:eastAsia="zh-CN"/>
        </w:rPr>
        <w:t>的</w:t>
      </w:r>
      <w:r>
        <w:rPr>
          <w:rFonts w:hint="eastAsia" w:ascii="宋体" w:hAnsi="宋体" w:eastAsia="宋体" w:cs="宋体"/>
          <w:color w:val="auto"/>
          <w:sz w:val="24"/>
          <w:szCs w:val="24"/>
          <w:highlight w:val="none"/>
          <w:u w:val="none"/>
          <w:lang w:val="zh-CN"/>
        </w:rPr>
        <w:t>政府采购政策</w:t>
      </w:r>
      <w:r>
        <w:rPr>
          <w:rFonts w:hint="eastAsia" w:ascii="宋体" w:hAnsi="宋体" w:eastAsia="宋体" w:cs="宋体"/>
          <w:color w:val="auto"/>
          <w:sz w:val="24"/>
          <w:szCs w:val="24"/>
          <w:highlight w:val="none"/>
          <w:u w:val="none"/>
          <w:lang w:val="zh-CN" w:eastAsia="zh-CN"/>
        </w:rPr>
        <w:t>：</w:t>
      </w:r>
    </w:p>
    <w:p w14:paraId="65B60E5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w:t>
      </w:r>
      <w:r>
        <w:rPr>
          <w:rFonts w:hint="eastAsia" w:ascii="宋体" w:hAnsi="宋体" w:eastAsia="宋体" w:cs="宋体"/>
          <w:color w:val="auto"/>
          <w:sz w:val="24"/>
          <w:szCs w:val="24"/>
          <w:highlight w:val="none"/>
          <w:u w:val="none"/>
          <w:lang w:val="zh-CN"/>
        </w:rPr>
        <w:t>）《政府采购促进中小企业发展管理办法》（财库〔2020〕46号）；</w:t>
      </w:r>
    </w:p>
    <w:p w14:paraId="70DCCEE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2</w:t>
      </w:r>
      <w:r>
        <w:rPr>
          <w:rFonts w:hint="eastAsia" w:ascii="宋体" w:hAnsi="宋体" w:eastAsia="宋体" w:cs="宋体"/>
          <w:color w:val="auto"/>
          <w:sz w:val="24"/>
          <w:szCs w:val="24"/>
          <w:highlight w:val="none"/>
          <w:u w:val="none"/>
          <w:lang w:val="zh-CN"/>
        </w:rPr>
        <w:t>）《财政部、司法部关于政府采购支持监狱企业发展有关问题的通知》（财库〔2014〕68号）；</w:t>
      </w:r>
    </w:p>
    <w:p w14:paraId="1AA14023">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zh-CN"/>
        </w:rPr>
        <w:t>）《财政部、民政部、中国残疾人联合会关于促进残疾人就业政府采购政策的通知》（财库[2017]141号）；</w:t>
      </w:r>
    </w:p>
    <w:p w14:paraId="5368364A">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highlight w:val="none"/>
          <w:u w:val="none"/>
          <w:lang w:val="zh-CN"/>
        </w:rPr>
        <w:t>（</w:t>
      </w:r>
      <w:r>
        <w:rPr>
          <w:rFonts w:hint="eastAsia" w:ascii="宋体" w:hAnsi="宋体" w:eastAsia="宋体" w:cs="宋体"/>
          <w:color w:val="auto"/>
          <w:sz w:val="24"/>
          <w:highlight w:val="none"/>
          <w:u w:val="none"/>
          <w:lang w:val="en-US" w:eastAsia="zh-CN"/>
        </w:rPr>
        <w:t>4</w:t>
      </w:r>
      <w:r>
        <w:rPr>
          <w:rFonts w:hint="eastAsia" w:ascii="宋体" w:hAnsi="宋体" w:eastAsia="宋体" w:cs="宋体"/>
          <w:color w:val="auto"/>
          <w:sz w:val="24"/>
          <w:highlight w:val="none"/>
          <w:u w:val="none"/>
          <w:lang w:val="zh-CN"/>
        </w:rPr>
        <w:t>）《财政部关于进一步加大政府采购支持中小企业力度的通知》（财库〔2022〕19号）；</w:t>
      </w:r>
    </w:p>
    <w:p w14:paraId="29F64569">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zh-CN"/>
        </w:rPr>
        <w:t>）《陕西省财政厅关于</w:t>
      </w:r>
      <w:r>
        <w:rPr>
          <w:rFonts w:hint="eastAsia" w:ascii="宋体" w:hAnsi="宋体" w:eastAsia="宋体" w:cs="宋体"/>
          <w:color w:val="auto"/>
          <w:sz w:val="24"/>
          <w:szCs w:val="24"/>
          <w:highlight w:val="none"/>
          <w:u w:val="none"/>
          <w:lang w:val="en-US" w:eastAsia="zh-CN"/>
        </w:rPr>
        <w:t>落实政府采购支持中小企业政策有关事项的通知</w:t>
      </w:r>
      <w:r>
        <w:rPr>
          <w:rFonts w:hint="eastAsia" w:ascii="宋体" w:hAnsi="宋体" w:eastAsia="宋体" w:cs="宋体"/>
          <w:color w:val="auto"/>
          <w:sz w:val="24"/>
          <w:szCs w:val="24"/>
          <w:highlight w:val="none"/>
          <w:u w:val="none"/>
          <w:lang w:val="zh-CN"/>
        </w:rPr>
        <w:t>》（陕财办采〔202</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号）；</w:t>
      </w:r>
    </w:p>
    <w:p w14:paraId="7B9C3C9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zh-CN"/>
        </w:rPr>
        <w:t>）财政部、国家发展改革委关于印发《节能产品政府采购实施意见》的通知（财库[2004]185号）；</w:t>
      </w:r>
    </w:p>
    <w:p w14:paraId="4C17D878">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lang w:val="zh-CN"/>
        </w:rPr>
        <w:t>）《国务院办公厅关于建立政府强制采购节能产品制度的通知》（国办发〔2007〕51号）；</w:t>
      </w:r>
    </w:p>
    <w:p w14:paraId="3A7C657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lang w:val="zh-CN"/>
        </w:rPr>
        <w:t>）《财政部、国家环保总局关于环境标志产品政府采购实施的意见》（财库[2006]90号）；</w:t>
      </w:r>
    </w:p>
    <w:p w14:paraId="65F4478F">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lang w:val="zh-CN"/>
        </w:rPr>
        <w:t>）《财政部、发展改革委、生态环境部、市场监管总局关于调整优化节能产品、环境标志产品政府采购执行机制的通知》（财库〔2019〕9号）；</w:t>
      </w:r>
    </w:p>
    <w:p w14:paraId="079F761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highlight w:val="none"/>
          <w:u w:val="none"/>
          <w:lang w:val="zh-CN"/>
        </w:rPr>
        <w:t>陕西省财政厅《关于进一步加强政府绿色采购有关问题的通知》（陕财办采〔2021〕29号）；</w:t>
      </w:r>
    </w:p>
    <w:p w14:paraId="3BBFEFDE">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lang w:val="zh-CN"/>
        </w:rPr>
        <w:t>）《关于扩大政府采购支持绿色建材促进建筑品质提升政策实施范围的通知》财库〔2022〕35号；</w:t>
      </w:r>
    </w:p>
    <w:p w14:paraId="28B3E3D0">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12</w:t>
      </w:r>
      <w:r>
        <w:rPr>
          <w:rFonts w:hint="eastAsia" w:ascii="宋体" w:hAnsi="宋体" w:eastAsia="宋体" w:cs="宋体"/>
          <w:color w:val="auto"/>
          <w:sz w:val="24"/>
          <w:szCs w:val="24"/>
          <w:highlight w:val="none"/>
          <w:u w:val="none"/>
          <w:lang w:val="zh-CN"/>
        </w:rPr>
        <w:t>）《关于运用政府采购政策支持乡村产业振兴的通知》（财库〔2021〕19号）；</w:t>
      </w:r>
    </w:p>
    <w:p w14:paraId="4E170F4C">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13</w:t>
      </w:r>
      <w:r>
        <w:rPr>
          <w:rFonts w:hint="eastAsia" w:ascii="宋体" w:hAnsi="宋体" w:eastAsia="宋体" w:cs="宋体"/>
          <w:color w:val="auto"/>
          <w:sz w:val="24"/>
          <w:szCs w:val="24"/>
          <w:highlight w:val="none"/>
          <w:u w:val="none"/>
          <w:lang w:val="zh-CN"/>
        </w:rPr>
        <w:t>）陕西省财政厅关于印发《陕西省中小企业政府采购信用融资办法》（陕财办采〔2018〕23号）；</w:t>
      </w:r>
    </w:p>
    <w:p w14:paraId="2F0BF475">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14</w:t>
      </w:r>
      <w:r>
        <w:rPr>
          <w:rFonts w:hint="eastAsia" w:ascii="宋体" w:hAnsi="宋体" w:eastAsia="宋体" w:cs="宋体"/>
          <w:color w:val="auto"/>
          <w:sz w:val="24"/>
          <w:szCs w:val="24"/>
          <w:highlight w:val="none"/>
          <w:u w:val="none"/>
          <w:lang w:val="zh-CN"/>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67067D51">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w:t>
      </w:r>
      <w:r>
        <w:rPr>
          <w:rFonts w:hint="eastAsia" w:ascii="宋体" w:hAnsi="宋体" w:eastAsia="宋体" w:cs="宋体"/>
          <w:color w:val="auto"/>
          <w:sz w:val="24"/>
          <w:szCs w:val="24"/>
          <w:highlight w:val="none"/>
          <w:u w:val="none"/>
          <w:lang w:val="zh-CN" w:eastAsia="zh-CN"/>
        </w:rPr>
        <w:t>15</w:t>
      </w:r>
      <w:r>
        <w:rPr>
          <w:rFonts w:hint="eastAsia" w:ascii="宋体" w:hAnsi="宋体" w:eastAsia="宋体" w:cs="宋体"/>
          <w:color w:val="auto"/>
          <w:sz w:val="24"/>
          <w:szCs w:val="24"/>
          <w:highlight w:val="none"/>
          <w:u w:val="none"/>
          <w:lang w:val="zh-CN"/>
        </w:rPr>
        <w:t>）其他需要落实的政府采购政策。</w:t>
      </w:r>
    </w:p>
    <w:p w14:paraId="40B15CC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06DC61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w:t>
      </w:r>
      <w:r>
        <w:rPr>
          <w:rFonts w:hint="eastAsia" w:ascii="宋体" w:hAnsi="宋体" w:cs="宋体"/>
          <w:color w:val="auto"/>
          <w:sz w:val="24"/>
          <w:szCs w:val="24"/>
          <w:highlight w:val="none"/>
          <w:lang w:val="en-US" w:eastAsia="zh-CN"/>
        </w:rPr>
        <w:t>钟宝镇“十五五”规划编制服务项目</w:t>
      </w:r>
      <w:r>
        <w:rPr>
          <w:rFonts w:hint="eastAsia" w:ascii="宋体" w:hAnsi="宋体" w:eastAsia="宋体" w:cs="宋体"/>
          <w:color w:val="auto"/>
          <w:sz w:val="24"/>
          <w:szCs w:val="24"/>
          <w:highlight w:val="none"/>
          <w:lang w:val="en-US" w:eastAsia="zh-CN"/>
        </w:rPr>
        <w:t>)特定资格要求如下：</w:t>
      </w:r>
    </w:p>
    <w:p w14:paraId="60CBAAC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6170A99C">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宋体" w:hAnsi="宋体" w:eastAsia="宋体" w:cs="宋体"/>
          <w:color w:val="auto"/>
          <w:sz w:val="24"/>
          <w:szCs w:val="24"/>
          <w:highlight w:val="none"/>
          <w:u w:val="none"/>
          <w:lang w:val="zh-CN" w:eastAsia="zh-CN"/>
        </w:rPr>
      </w:pPr>
      <w:r>
        <w:rPr>
          <w:rFonts w:hint="eastAsia" w:ascii="宋体" w:hAnsi="宋体" w:eastAsia="宋体" w:cs="宋体"/>
          <w:color w:val="auto"/>
          <w:sz w:val="24"/>
          <w:szCs w:val="24"/>
          <w:highlight w:val="none"/>
          <w:u w:val="none"/>
          <w:lang w:val="zh-CN" w:eastAsia="zh-CN"/>
        </w:rPr>
        <w:t>（</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zh-CN" w:eastAsia="zh-CN"/>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10D24FB6">
      <w:pPr>
        <w:keepNext w:val="0"/>
        <w:keepLines w:val="0"/>
        <w:pageBreakBefore w:val="0"/>
        <w:widowControl w:val="0"/>
        <w:shd w:val="clear" w:color="auto" w:fill="auto"/>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eastAsia="zh-CN"/>
        </w:rPr>
      </w:pPr>
      <w:r>
        <w:rPr>
          <w:rFonts w:hint="eastAsia" w:ascii="宋体" w:hAnsi="宋体" w:cs="宋体"/>
          <w:color w:val="auto"/>
          <w:sz w:val="24"/>
          <w:szCs w:val="24"/>
          <w:highlight w:val="none"/>
          <w:u w:val="none"/>
          <w:lang w:val="zh-CN" w:eastAsia="zh-CN"/>
        </w:rPr>
        <w:t>（</w:t>
      </w:r>
      <w:r>
        <w:rPr>
          <w:rFonts w:hint="eastAsia" w:ascii="宋体" w:hAnsi="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zh-CN" w:eastAsia="zh-CN"/>
        </w:rPr>
        <w:t>）</w:t>
      </w:r>
      <w:r>
        <w:rPr>
          <w:rFonts w:hint="eastAsia" w:ascii="宋体" w:hAnsi="宋体" w:eastAsia="宋体" w:cs="宋体"/>
          <w:color w:val="auto"/>
          <w:sz w:val="24"/>
          <w:szCs w:val="24"/>
          <w:highlight w:val="none"/>
          <w:u w:val="none"/>
          <w:lang w:val="zh-CN" w:eastAsia="zh-CN"/>
        </w:rPr>
        <w:t>本项目不接受联合体磋商。</w:t>
      </w:r>
    </w:p>
    <w:p w14:paraId="58C018D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三、获取</w:t>
      </w:r>
      <w:r>
        <w:rPr>
          <w:rFonts w:hint="eastAsia" w:ascii="宋体" w:hAnsi="宋体" w:eastAsia="宋体" w:cs="宋体"/>
          <w:color w:val="auto"/>
          <w:sz w:val="24"/>
          <w:szCs w:val="24"/>
          <w:highlight w:val="none"/>
          <w:lang w:val="en-US" w:eastAsia="zh-CN"/>
        </w:rPr>
        <w:t>采购文件</w:t>
      </w:r>
    </w:p>
    <w:p w14:paraId="12790980">
      <w:pPr>
        <w:keepNext w:val="0"/>
        <w:keepLines w:val="0"/>
        <w:pageBreakBefore w:val="0"/>
        <w:kinsoku/>
        <w:overflowPunct/>
        <w:topLinePunct w:val="0"/>
        <w:autoSpaceDE w:val="0"/>
        <w:autoSpaceDN w:val="0"/>
        <w:bidi w:val="0"/>
        <w:adjustRightInd w:val="0"/>
        <w:spacing w:line="360" w:lineRule="auto"/>
        <w:ind w:left="0" w:leftChars="0" w:firstLine="420" w:firstLineChars="175"/>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2026年</w:t>
      </w:r>
      <w:r>
        <w:rPr>
          <w:rFonts w:hint="eastAsia" w:ascii="宋体" w:hAnsi="宋体" w:cs="宋体"/>
          <w:b w:val="0"/>
          <w:bCs/>
          <w:color w:val="auto"/>
          <w:sz w:val="24"/>
          <w:szCs w:val="24"/>
          <w:highlight w:val="none"/>
          <w:u w:val="none"/>
          <w:lang w:val="en-US" w:eastAsia="zh-CN"/>
        </w:rPr>
        <w:t>01</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28</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b w:val="0"/>
          <w:bCs/>
          <w:color w:val="auto"/>
          <w:sz w:val="24"/>
          <w:szCs w:val="24"/>
          <w:highlight w:val="none"/>
          <w:u w:val="none"/>
          <w:lang w:val="en-US" w:eastAsia="zh-CN"/>
        </w:rPr>
        <w:t>至</w:t>
      </w:r>
      <w:r>
        <w:rPr>
          <w:rFonts w:hint="eastAsia" w:ascii="宋体" w:hAnsi="宋体" w:cs="宋体"/>
          <w:b w:val="0"/>
          <w:bCs/>
          <w:color w:val="auto"/>
          <w:sz w:val="24"/>
          <w:szCs w:val="24"/>
          <w:highlight w:val="none"/>
          <w:u w:val="none"/>
          <w:lang w:val="zh-CN" w:eastAsia="zh-CN"/>
        </w:rPr>
        <w:t>2026年</w:t>
      </w:r>
      <w:r>
        <w:rPr>
          <w:rFonts w:hint="eastAsia" w:ascii="宋体" w:hAnsi="宋体" w:cs="宋体"/>
          <w:b w:val="0"/>
          <w:bCs/>
          <w:color w:val="auto"/>
          <w:sz w:val="24"/>
          <w:szCs w:val="24"/>
          <w:highlight w:val="none"/>
          <w:u w:val="none"/>
          <w:lang w:val="en-US" w:eastAsia="zh-CN"/>
        </w:rPr>
        <w:t>02</w:t>
      </w:r>
      <w:r>
        <w:rPr>
          <w:rFonts w:hint="eastAsia" w:ascii="宋体" w:hAnsi="宋体" w:cs="宋体"/>
          <w:b w:val="0"/>
          <w:bCs/>
          <w:color w:val="auto"/>
          <w:sz w:val="24"/>
          <w:szCs w:val="24"/>
          <w:highlight w:val="none"/>
          <w:u w:val="none"/>
          <w:lang w:val="zh-CN" w:eastAsia="zh-CN"/>
        </w:rPr>
        <w:t>月</w:t>
      </w:r>
      <w:r>
        <w:rPr>
          <w:rFonts w:hint="eastAsia" w:ascii="宋体" w:hAnsi="宋体" w:cs="宋体"/>
          <w:b w:val="0"/>
          <w:bCs/>
          <w:color w:val="auto"/>
          <w:sz w:val="24"/>
          <w:szCs w:val="24"/>
          <w:highlight w:val="none"/>
          <w:u w:val="none"/>
          <w:lang w:val="en-US" w:eastAsia="zh-CN"/>
        </w:rPr>
        <w:t>03</w:t>
      </w:r>
      <w:r>
        <w:rPr>
          <w:rFonts w:hint="eastAsia" w:ascii="宋体" w:hAnsi="宋体" w:eastAsia="宋体" w:cs="宋体"/>
          <w:b w:val="0"/>
          <w:bCs/>
          <w:color w:val="auto"/>
          <w:sz w:val="24"/>
          <w:szCs w:val="24"/>
          <w:highlight w:val="none"/>
          <w:u w:val="none"/>
          <w:lang w:val="zh-CN" w:eastAsia="zh-CN"/>
        </w:rPr>
        <w:t>日</w:t>
      </w:r>
      <w:r>
        <w:rPr>
          <w:rFonts w:hint="eastAsia" w:ascii="宋体" w:hAnsi="宋体" w:eastAsia="宋体" w:cs="宋体"/>
          <w:color w:val="auto"/>
          <w:sz w:val="24"/>
          <w:szCs w:val="24"/>
          <w:highlight w:val="none"/>
          <w:u w:val="none"/>
          <w:lang w:val="zh-CN"/>
        </w:rPr>
        <w:t>，每天上午</w:t>
      </w:r>
      <w:r>
        <w:rPr>
          <w:rFonts w:hint="eastAsia" w:ascii="宋体" w:hAnsi="宋体" w:eastAsia="宋体" w:cs="宋体"/>
          <w:color w:val="auto"/>
          <w:sz w:val="24"/>
          <w:szCs w:val="24"/>
          <w:highlight w:val="none"/>
          <w:u w:val="none"/>
          <w:lang w:val="en-US" w:eastAsia="zh-CN"/>
        </w:rPr>
        <w:t>09</w:t>
      </w:r>
      <w:r>
        <w:rPr>
          <w:rFonts w:hint="eastAsia" w:ascii="宋体" w:hAnsi="宋体" w:eastAsia="宋体" w:cs="宋体"/>
          <w:color w:val="auto"/>
          <w:sz w:val="24"/>
          <w:szCs w:val="24"/>
          <w:highlight w:val="none"/>
          <w:u w:val="none"/>
          <w:lang w:val="zh-CN"/>
        </w:rPr>
        <w:t>:00:00至12:00:00，下午14:00:00至</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lang w:val="zh-CN"/>
        </w:rPr>
        <w:t>7:00:00（北京时间,法定节假日除外）</w:t>
      </w:r>
    </w:p>
    <w:p w14:paraId="4F59E2B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途径：西安市高新区高新三路</w:t>
      </w:r>
      <w:r>
        <w:rPr>
          <w:rFonts w:hint="eastAsia" w:ascii="宋体" w:hAnsi="宋体" w:eastAsia="宋体" w:cs="宋体"/>
          <w:color w:val="auto"/>
          <w:sz w:val="24"/>
          <w:szCs w:val="24"/>
          <w:highlight w:val="none"/>
          <w:lang w:val="zh-CN"/>
        </w:rPr>
        <w:t>9号</w:t>
      </w:r>
      <w:r>
        <w:rPr>
          <w:rFonts w:hint="eastAsia" w:ascii="宋体" w:hAnsi="宋体" w:eastAsia="宋体" w:cs="宋体"/>
          <w:color w:val="auto"/>
          <w:sz w:val="24"/>
          <w:szCs w:val="24"/>
          <w:highlight w:val="none"/>
          <w:lang w:val="en-US" w:eastAsia="zh-CN"/>
        </w:rPr>
        <w:t>新时代大厦西四楼</w:t>
      </w:r>
    </w:p>
    <w:p w14:paraId="3EEA239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方式：现场获取</w:t>
      </w:r>
    </w:p>
    <w:p w14:paraId="5667727E">
      <w:pPr>
        <w:autoSpaceDE w:val="0"/>
        <w:autoSpaceDN w:val="0"/>
        <w:adjustRightInd w:val="0"/>
        <w:spacing w:line="360" w:lineRule="auto"/>
        <w:ind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售价：0元/套</w:t>
      </w:r>
    </w:p>
    <w:p w14:paraId="3196BE5F">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四、</w:t>
      </w:r>
      <w:r>
        <w:rPr>
          <w:rFonts w:hint="eastAsia" w:ascii="宋体" w:hAnsi="宋体" w:eastAsia="宋体" w:cs="宋体"/>
          <w:b/>
          <w:bCs/>
          <w:color w:val="auto"/>
          <w:sz w:val="24"/>
          <w:szCs w:val="24"/>
          <w:highlight w:val="none"/>
          <w:u w:val="none"/>
          <w:lang w:val="en-US" w:eastAsia="zh-CN"/>
        </w:rPr>
        <w:t>响应</w:t>
      </w:r>
      <w:r>
        <w:rPr>
          <w:rFonts w:hint="eastAsia" w:ascii="宋体" w:hAnsi="宋体" w:eastAsia="宋体" w:cs="宋体"/>
          <w:b/>
          <w:bCs/>
          <w:color w:val="auto"/>
          <w:sz w:val="24"/>
          <w:szCs w:val="24"/>
          <w:highlight w:val="none"/>
          <w:u w:val="none"/>
          <w:lang w:val="zh-CN"/>
        </w:rPr>
        <w:t>文件提交</w:t>
      </w:r>
    </w:p>
    <w:p w14:paraId="0FE6F91A">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截止时间：</w:t>
      </w:r>
      <w:r>
        <w:rPr>
          <w:rFonts w:hint="eastAsia" w:ascii="宋体" w:hAnsi="宋体" w:cs="宋体"/>
          <w:b w:val="0"/>
          <w:bCs/>
          <w:color w:val="auto"/>
          <w:sz w:val="24"/>
          <w:szCs w:val="24"/>
          <w:highlight w:val="none"/>
          <w:u w:val="none"/>
          <w:lang w:val="zh-CN" w:eastAsia="zh-CN"/>
        </w:rPr>
        <w:t>2026年02月09日15时00分00秒</w:t>
      </w:r>
      <w:r>
        <w:rPr>
          <w:rFonts w:hint="eastAsia" w:ascii="宋体" w:hAnsi="宋体" w:eastAsia="宋体" w:cs="宋体"/>
          <w:color w:val="auto"/>
          <w:sz w:val="24"/>
          <w:szCs w:val="24"/>
          <w:highlight w:val="none"/>
          <w:u w:val="none"/>
          <w:lang w:val="zh-CN"/>
        </w:rPr>
        <w:t>（北京时间）</w:t>
      </w:r>
    </w:p>
    <w:p w14:paraId="4E48EA3A">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陕西省安康市汉滨区育才路100号安康宾馆4楼多功能厅</w:t>
      </w:r>
    </w:p>
    <w:p w14:paraId="3D11ACB6">
      <w:pPr>
        <w:keepNext w:val="0"/>
        <w:keepLines w:val="0"/>
        <w:pageBreakBefore w:val="0"/>
        <w:kinsoku/>
        <w:overflowPunct/>
        <w:topLinePunct w:val="0"/>
        <w:autoSpaceDE w:val="0"/>
        <w:autoSpaceDN w:val="0"/>
        <w:bidi w:val="0"/>
        <w:adjustRightInd w:val="0"/>
        <w:spacing w:line="360" w:lineRule="auto"/>
        <w:textAlignment w:val="auto"/>
        <w:rPr>
          <w:rFonts w:hint="eastAsia" w:ascii="宋体" w:hAnsi="宋体" w:eastAsia="宋体" w:cs="宋体"/>
          <w:b/>
          <w:bCs/>
          <w:color w:val="auto"/>
          <w:sz w:val="24"/>
          <w:szCs w:val="24"/>
          <w:highlight w:val="none"/>
          <w:u w:val="none"/>
          <w:lang w:val="zh-CN"/>
        </w:rPr>
      </w:pPr>
      <w:r>
        <w:rPr>
          <w:rFonts w:hint="eastAsia" w:ascii="宋体" w:hAnsi="宋体" w:eastAsia="宋体" w:cs="宋体"/>
          <w:b/>
          <w:bCs/>
          <w:color w:val="auto"/>
          <w:sz w:val="24"/>
          <w:szCs w:val="24"/>
          <w:highlight w:val="none"/>
          <w:u w:val="none"/>
          <w:lang w:val="zh-CN"/>
        </w:rPr>
        <w:t>五、开启</w:t>
      </w:r>
    </w:p>
    <w:p w14:paraId="1E06956C">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时间：</w:t>
      </w:r>
      <w:r>
        <w:rPr>
          <w:rFonts w:hint="eastAsia" w:ascii="宋体" w:hAnsi="宋体" w:cs="宋体"/>
          <w:b w:val="0"/>
          <w:bCs/>
          <w:color w:val="auto"/>
          <w:sz w:val="24"/>
          <w:szCs w:val="24"/>
          <w:highlight w:val="none"/>
          <w:u w:val="none"/>
          <w:lang w:val="zh-CN" w:eastAsia="zh-CN"/>
        </w:rPr>
        <w:t>2026年02月09日15时00分00秒</w:t>
      </w:r>
      <w:r>
        <w:rPr>
          <w:rFonts w:hint="eastAsia" w:ascii="宋体" w:hAnsi="宋体" w:eastAsia="宋体" w:cs="宋体"/>
          <w:color w:val="auto"/>
          <w:sz w:val="24"/>
          <w:szCs w:val="24"/>
          <w:highlight w:val="none"/>
          <w:u w:val="none"/>
          <w:lang w:val="zh-CN"/>
        </w:rPr>
        <w:t>（北京时间）</w:t>
      </w:r>
    </w:p>
    <w:p w14:paraId="2C78819D">
      <w:pPr>
        <w:keepNext w:val="0"/>
        <w:keepLines w:val="0"/>
        <w:pageBreakBefore w:val="0"/>
        <w:kinsoku/>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u w:val="none"/>
          <w:lang w:val="zh-CN"/>
        </w:rPr>
        <w:t>地点：</w:t>
      </w:r>
      <w:r>
        <w:rPr>
          <w:rFonts w:hint="eastAsia" w:ascii="宋体" w:hAnsi="宋体" w:cs="宋体"/>
          <w:b w:val="0"/>
          <w:bCs/>
          <w:color w:val="auto"/>
          <w:sz w:val="24"/>
          <w:szCs w:val="24"/>
          <w:highlight w:val="none"/>
          <w:u w:val="none"/>
          <w:lang w:val="zh-CN" w:eastAsia="zh-CN"/>
        </w:rPr>
        <w:t>陕西省安康市汉滨区育才路100号安康宾馆4楼多功能厅</w:t>
      </w:r>
    </w:p>
    <w:p w14:paraId="21FE25AC">
      <w:pPr>
        <w:spacing w:line="360" w:lineRule="auto"/>
        <w:rPr>
          <w:rFonts w:hint="eastAsia"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公告期限</w:t>
      </w:r>
    </w:p>
    <w:p w14:paraId="311FDFDA">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w:t>
      </w:r>
      <w:r>
        <w:rPr>
          <w:rFonts w:hint="eastAsia" w:ascii="宋体" w:hAnsi="宋体" w:cs="宋体"/>
          <w:sz w:val="24"/>
          <w:szCs w:val="24"/>
          <w:lang w:val="en-US" w:eastAsia="zh-CN"/>
        </w:rPr>
        <w:t>3</w:t>
      </w:r>
      <w:r>
        <w:rPr>
          <w:rFonts w:hint="eastAsia" w:ascii="宋体" w:hAnsi="宋体" w:cs="宋体"/>
          <w:sz w:val="24"/>
          <w:szCs w:val="24"/>
        </w:rPr>
        <w:t>个工作日。</w:t>
      </w:r>
    </w:p>
    <w:p w14:paraId="707FF0C4">
      <w:pPr>
        <w:spacing w:line="360" w:lineRule="auto"/>
        <w:rPr>
          <w:rFonts w:hint="eastAsia"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、其他补充事宜</w:t>
      </w:r>
    </w:p>
    <w:p w14:paraId="71D756B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1.现场获取文件须携带法人授权书、经办人身份证及身份证复印件加盖公章；</w:t>
      </w:r>
    </w:p>
    <w:p w14:paraId="51E99AC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2.供应商按照陕西省财政厅关于政府采购供应商注册登记有关事项的通知中的要求，通过陕西省政府采购网（http：//www.ccgp-shaanxi.gov.cn/）注册登记，成为陕西省政府采购注册供应商。</w:t>
      </w:r>
    </w:p>
    <w:p w14:paraId="753E37A7">
      <w:pPr>
        <w:autoSpaceDE/>
        <w:autoSpaceDN/>
        <w:adjustRightInd/>
        <w:spacing w:line="360" w:lineRule="auto"/>
        <w:ind w:firstLine="0" w:firstLineChars="0"/>
        <w:rPr>
          <w:rFonts w:hint="eastAsia" w:ascii="宋体" w:hAnsi="宋体" w:cs="宋体"/>
          <w:b/>
          <w:bCs/>
          <w:sz w:val="24"/>
          <w:szCs w:val="24"/>
          <w:lang w:val="zh-CN"/>
        </w:rPr>
      </w:pPr>
      <w:r>
        <w:rPr>
          <w:rFonts w:hint="eastAsia" w:ascii="宋体" w:hAnsi="宋体" w:cs="宋体"/>
          <w:b/>
          <w:bCs/>
          <w:sz w:val="24"/>
          <w:szCs w:val="24"/>
          <w:lang w:val="en-US" w:eastAsia="zh-CN"/>
        </w:rPr>
        <w:t>八</w:t>
      </w:r>
      <w:r>
        <w:rPr>
          <w:rFonts w:hint="eastAsia" w:ascii="宋体" w:hAnsi="宋体" w:cs="宋体"/>
          <w:b/>
          <w:bCs/>
          <w:sz w:val="24"/>
          <w:szCs w:val="24"/>
          <w:lang w:val="zh-CN"/>
        </w:rPr>
        <w:t>、凡对本次采购提出询问，请按以下方式联系。</w:t>
      </w:r>
    </w:p>
    <w:p w14:paraId="0A8AA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1.釆购人信息</w:t>
      </w:r>
    </w:p>
    <w:p w14:paraId="6D0629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rPr>
        <w:t>名称：</w:t>
      </w:r>
      <w:r>
        <w:rPr>
          <w:rFonts w:hint="eastAsia" w:ascii="宋体" w:hAnsi="宋体" w:cs="宋体"/>
          <w:b w:val="0"/>
          <w:bCs/>
          <w:color w:val="auto"/>
          <w:kern w:val="2"/>
          <w:sz w:val="24"/>
          <w:szCs w:val="24"/>
          <w:highlight w:val="none"/>
          <w:u w:val="none"/>
          <w:lang w:val="zh-CN" w:eastAsia="zh-CN" w:bidi="ar-SA"/>
        </w:rPr>
        <w:t>镇坪县钟宝镇人民政府</w:t>
      </w:r>
    </w:p>
    <w:p w14:paraId="1DDC19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b w:val="0"/>
          <w:bCs/>
          <w:color w:val="auto"/>
          <w:kern w:val="2"/>
          <w:sz w:val="24"/>
          <w:szCs w:val="24"/>
          <w:highlight w:val="none"/>
          <w:u w:val="none"/>
          <w:lang w:val="en-US" w:eastAsia="zh-CN" w:bidi="ar-SA"/>
        </w:rPr>
      </w:pPr>
      <w:r>
        <w:rPr>
          <w:rFonts w:hint="eastAsia" w:ascii="宋体" w:hAnsi="宋体" w:eastAsia="宋体" w:cs="宋体"/>
          <w:i w:val="0"/>
          <w:iCs w:val="0"/>
          <w:caps w:val="0"/>
          <w:color w:val="auto"/>
          <w:spacing w:val="0"/>
          <w:sz w:val="24"/>
          <w:szCs w:val="24"/>
          <w:highlight w:val="none"/>
        </w:rPr>
        <w:t>地址</w:t>
      </w:r>
      <w:r>
        <w:rPr>
          <w:rFonts w:hint="eastAsia" w:ascii="宋体" w:hAnsi="宋体" w:cs="宋体"/>
          <w:b w:val="0"/>
          <w:bCs/>
          <w:color w:val="auto"/>
          <w:kern w:val="2"/>
          <w:sz w:val="24"/>
          <w:szCs w:val="24"/>
          <w:highlight w:val="none"/>
          <w:u w:val="none"/>
          <w:lang w:val="zh-CN" w:eastAsia="zh-CN" w:bidi="ar-SA"/>
        </w:rPr>
        <w:t>：</w:t>
      </w:r>
      <w:r>
        <w:rPr>
          <w:rFonts w:hint="eastAsia" w:ascii="宋体" w:hAnsi="宋体" w:cs="宋体"/>
          <w:b w:val="0"/>
          <w:bCs/>
          <w:color w:val="auto"/>
          <w:kern w:val="2"/>
          <w:sz w:val="24"/>
          <w:szCs w:val="24"/>
          <w:highlight w:val="none"/>
          <w:u w:val="none"/>
          <w:lang w:val="en-US" w:eastAsia="zh-CN" w:bidi="ar-SA"/>
        </w:rPr>
        <w:t>陕西省安康市镇坪县</w:t>
      </w:r>
      <w:r>
        <w:rPr>
          <w:rFonts w:hint="eastAsia" w:ascii="宋体" w:hAnsi="宋体" w:cs="宋体"/>
          <w:b w:val="0"/>
          <w:bCs/>
          <w:color w:val="auto"/>
          <w:kern w:val="2"/>
          <w:sz w:val="24"/>
          <w:szCs w:val="24"/>
          <w:highlight w:val="none"/>
          <w:u w:val="none"/>
          <w:lang w:val="zh-CN" w:eastAsia="zh-CN" w:bidi="ar-SA"/>
        </w:rPr>
        <w:t>钟宝镇</w:t>
      </w:r>
      <w:r>
        <w:rPr>
          <w:rFonts w:hint="eastAsia" w:ascii="宋体" w:hAnsi="宋体" w:cs="宋体"/>
          <w:b w:val="0"/>
          <w:bCs/>
          <w:color w:val="auto"/>
          <w:kern w:val="2"/>
          <w:sz w:val="24"/>
          <w:szCs w:val="24"/>
          <w:highlight w:val="none"/>
          <w:u w:val="none"/>
          <w:lang w:val="en-US" w:eastAsia="zh-CN" w:bidi="ar-SA"/>
        </w:rPr>
        <w:t>旧城村二组</w:t>
      </w:r>
    </w:p>
    <w:p w14:paraId="4D274C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eastAsia="宋体" w:cs="宋体"/>
          <w:i w:val="0"/>
          <w:iCs w:val="0"/>
          <w:caps w:val="0"/>
          <w:color w:val="auto"/>
          <w:spacing w:val="0"/>
          <w:sz w:val="24"/>
          <w:szCs w:val="24"/>
          <w:highlight w:val="none"/>
          <w:lang w:val="en-US" w:eastAsia="zh-CN"/>
        </w:rPr>
        <w:t>17719691513</w:t>
      </w:r>
    </w:p>
    <w:p w14:paraId="567DC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rPr>
        <w:t>2.釆购代理机构信息</w:t>
      </w:r>
    </w:p>
    <w:p w14:paraId="5A5DC2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名称：陕西中采项目管理有限公司</w:t>
      </w:r>
    </w:p>
    <w:p w14:paraId="6F87AE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地址：</w:t>
      </w:r>
      <w:r>
        <w:rPr>
          <w:rFonts w:hint="eastAsia" w:ascii="宋体" w:hAnsi="宋体" w:eastAsia="宋体" w:cs="宋体"/>
          <w:i w:val="0"/>
          <w:iCs w:val="0"/>
          <w:caps w:val="0"/>
          <w:color w:val="auto"/>
          <w:spacing w:val="0"/>
          <w:sz w:val="24"/>
          <w:szCs w:val="24"/>
          <w:highlight w:val="none"/>
          <w:lang w:eastAsia="zh-CN"/>
        </w:rPr>
        <w:t xml:space="preserve">西安市高新区高新三路9号新时代大厦西四楼 </w:t>
      </w:r>
    </w:p>
    <w:p w14:paraId="15C5E7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rPr>
        <w:t>联系方式：</w:t>
      </w:r>
      <w:r>
        <w:rPr>
          <w:rFonts w:hint="eastAsia" w:ascii="宋体" w:hAnsi="宋体" w:cs="宋体"/>
          <w:b w:val="0"/>
          <w:bCs/>
          <w:color w:val="auto"/>
          <w:kern w:val="2"/>
          <w:sz w:val="24"/>
          <w:szCs w:val="24"/>
          <w:highlight w:val="none"/>
          <w:u w:val="none"/>
          <w:lang w:val="en-US" w:eastAsia="zh-CN" w:bidi="ar-SA"/>
        </w:rPr>
        <w:t>029-88823056</w:t>
      </w:r>
    </w:p>
    <w:p w14:paraId="30E1C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i w:val="0"/>
          <w:iCs w:val="0"/>
          <w:caps w:val="0"/>
          <w:color w:val="auto"/>
          <w:spacing w:val="0"/>
          <w:sz w:val="24"/>
          <w:szCs w:val="24"/>
          <w:highlight w:val="none"/>
          <w:u w:val="none"/>
        </w:rPr>
        <w:t>3.项目联系方式</w:t>
      </w:r>
    </w:p>
    <w:p w14:paraId="0BD76D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u w:val="none"/>
        </w:rPr>
        <w:t>项目联系人：</w:t>
      </w:r>
      <w:r>
        <w:rPr>
          <w:rFonts w:hint="eastAsia" w:ascii="宋体" w:hAnsi="宋体" w:cs="宋体"/>
          <w:color w:val="auto"/>
          <w:highlight w:val="none"/>
          <w:lang w:val="en-US" w:eastAsia="zh-CN"/>
        </w:rPr>
        <w:t>毛</w:t>
      </w:r>
      <w:r>
        <w:rPr>
          <w:rFonts w:hint="eastAsia" w:ascii="宋体" w:hAnsi="宋体" w:cs="宋体"/>
          <w:color w:val="000000" w:themeColor="text1"/>
          <w:highlight w:val="none"/>
          <w:lang w:val="en-US" w:eastAsia="zh-CN"/>
          <w14:textFill>
            <w14:solidFill>
              <w14:schemeClr w14:val="tx1"/>
            </w14:solidFill>
          </w14:textFill>
        </w:rPr>
        <w:t>鑫、樊兰兰</w:t>
      </w:r>
    </w:p>
    <w:p w14:paraId="4AC278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eastAsia="宋体" w:cs="宋体"/>
          <w:color w:val="auto"/>
          <w:sz w:val="24"/>
          <w:szCs w:val="24"/>
          <w:highlight w:val="none"/>
          <w:u w:val="none"/>
          <w:lang w:val="en-US"/>
        </w:rPr>
      </w:pPr>
      <w:r>
        <w:rPr>
          <w:rFonts w:hint="eastAsia" w:ascii="宋体" w:hAnsi="宋体" w:eastAsia="宋体" w:cs="宋体"/>
          <w:i w:val="0"/>
          <w:iCs w:val="0"/>
          <w:caps w:val="0"/>
          <w:color w:val="auto"/>
          <w:spacing w:val="0"/>
          <w:sz w:val="24"/>
          <w:szCs w:val="24"/>
          <w:highlight w:val="none"/>
          <w:u w:val="none"/>
        </w:rPr>
        <w:t>电话：</w:t>
      </w:r>
      <w:r>
        <w:rPr>
          <w:rFonts w:hint="eastAsia" w:ascii="宋体" w:hAnsi="宋体" w:cs="宋体"/>
          <w:b w:val="0"/>
          <w:bCs/>
          <w:color w:val="auto"/>
          <w:kern w:val="2"/>
          <w:sz w:val="24"/>
          <w:szCs w:val="24"/>
          <w:highlight w:val="none"/>
          <w:u w:val="none"/>
          <w:lang w:val="en-US" w:eastAsia="zh-CN" w:bidi="ar-SA"/>
        </w:rPr>
        <w:t>029-88823056</w:t>
      </w:r>
    </w:p>
    <w:p w14:paraId="31B942A1">
      <w:pPr>
        <w:autoSpaceDE w:val="0"/>
        <w:autoSpaceDN w:val="0"/>
        <w:adjustRightIn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722A176">
      <w:pPr>
        <w:jc w:val="left"/>
        <w:rPr>
          <w:rFonts w:ascii="宋体" w:hAnsi="宋体" w:cs="宋体"/>
          <w:b/>
          <w:bCs/>
          <w:color w:val="000000" w:themeColor="text1"/>
          <w:sz w:val="32"/>
          <w:szCs w:val="32"/>
          <w:highlight w:val="none"/>
          <w:lang w:val="zh-CN"/>
          <w14:textFill>
            <w14:solidFill>
              <w14:schemeClr w14:val="tx1"/>
            </w14:solidFill>
          </w14:textFill>
        </w:rPr>
      </w:pPr>
      <w:bookmarkStart w:id="7" w:name="_Toc18932"/>
      <w:bookmarkStart w:id="8" w:name="_Toc13141"/>
      <w:r>
        <w:rPr>
          <w:rFonts w:hint="eastAsia" w:ascii="宋体" w:hAnsi="宋体" w:cs="宋体"/>
          <w:b/>
          <w:bCs/>
          <w:color w:val="000000" w:themeColor="text1"/>
          <w:sz w:val="32"/>
          <w:szCs w:val="32"/>
          <w:highlight w:val="none"/>
          <w:lang w:val="zh-CN"/>
          <w14:textFill>
            <w14:solidFill>
              <w14:schemeClr w14:val="tx1"/>
            </w14:solidFill>
          </w14:textFill>
        </w:rPr>
        <w:br w:type="page"/>
      </w:r>
    </w:p>
    <w:p w14:paraId="30C5A692">
      <w:pPr>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第二</w:t>
      </w:r>
      <w:r>
        <w:rPr>
          <w:rFonts w:hint="eastAsia" w:ascii="宋体" w:hAnsi="宋体" w:cs="宋体"/>
          <w:b/>
          <w:bCs/>
          <w:color w:val="000000" w:themeColor="text1"/>
          <w:sz w:val="32"/>
          <w:szCs w:val="32"/>
          <w:highlight w:val="none"/>
          <w14:textFill>
            <w14:solidFill>
              <w14:schemeClr w14:val="tx1"/>
            </w14:solidFill>
          </w14:textFill>
        </w:rPr>
        <w:t>章</w:t>
      </w:r>
      <w:r>
        <w:rPr>
          <w:rFonts w:hint="eastAsia" w:ascii="宋体" w:hAnsi="宋体" w:cs="宋体"/>
          <w:b/>
          <w:bCs/>
          <w:color w:val="000000" w:themeColor="text1"/>
          <w:sz w:val="32"/>
          <w:szCs w:val="32"/>
          <w:highlight w:val="none"/>
          <w:lang w:val="zh-CN"/>
          <w14:textFill>
            <w14:solidFill>
              <w14:schemeClr w14:val="tx1"/>
            </w14:solidFill>
          </w14:textFill>
        </w:rPr>
        <w:t xml:space="preserve"> 供应商须知</w:t>
      </w:r>
      <w:bookmarkEnd w:id="5"/>
      <w:bookmarkEnd w:id="6"/>
      <w:bookmarkEnd w:id="7"/>
      <w:bookmarkEnd w:id="8"/>
    </w:p>
    <w:p w14:paraId="0559D669">
      <w:pPr>
        <w:spacing w:line="360" w:lineRule="auto"/>
        <w:jc w:val="center"/>
        <w:rPr>
          <w:rFonts w:ascii="宋体" w:hAnsi="宋体" w:cs="宋体"/>
          <w:b/>
          <w:color w:val="000000" w:themeColor="text1"/>
          <w:sz w:val="24"/>
          <w:highlight w:val="none"/>
          <w14:textFill>
            <w14:solidFill>
              <w14:schemeClr w14:val="tx1"/>
            </w14:solidFill>
          </w14:textFill>
        </w:rPr>
      </w:pPr>
      <w:bookmarkStart w:id="9" w:name="_Toc520468905"/>
      <w:bookmarkStart w:id="10" w:name="_Toc25106"/>
      <w:bookmarkStart w:id="11" w:name="_Toc29294"/>
      <w:bookmarkStart w:id="12" w:name="_Toc10454"/>
      <w:bookmarkStart w:id="13" w:name="_Toc15068"/>
      <w:r>
        <w:rPr>
          <w:rFonts w:hint="eastAsia" w:ascii="宋体" w:hAnsi="宋体" w:cs="宋体"/>
          <w:b/>
          <w:color w:val="000000" w:themeColor="text1"/>
          <w:sz w:val="24"/>
          <w:highlight w:val="none"/>
          <w14:textFill>
            <w14:solidFill>
              <w14:schemeClr w14:val="tx1"/>
            </w14:solidFill>
          </w14:textFill>
        </w:rPr>
        <w:t>供应商须知前附表</w:t>
      </w:r>
    </w:p>
    <w:tbl>
      <w:tblPr>
        <w:tblStyle w:val="18"/>
        <w:tblW w:w="96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551"/>
        <w:gridCol w:w="6061"/>
      </w:tblGrid>
      <w:tr w14:paraId="1B838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72" w:type="dxa"/>
            <w:vAlign w:val="center"/>
          </w:tcPr>
          <w:p w14:paraId="5EF09021">
            <w:pPr>
              <w:keepNext w:val="0"/>
              <w:keepLines w:val="0"/>
              <w:pageBreakBefore w:val="0"/>
              <w:kinsoku/>
              <w:wordWrap/>
              <w:overflowPunct/>
              <w:bidi w:val="0"/>
              <w:adjustRightInd/>
              <w:snapToGrid/>
              <w:spacing w:line="400" w:lineRule="exact"/>
              <w:jc w:val="center"/>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551" w:type="dxa"/>
            <w:vAlign w:val="center"/>
          </w:tcPr>
          <w:p w14:paraId="164A4785">
            <w:pPr>
              <w:keepNext w:val="0"/>
              <w:keepLines w:val="0"/>
              <w:pageBreakBefore w:val="0"/>
              <w:kinsoku/>
              <w:wordWrap/>
              <w:overflowPunct/>
              <w:bidi w:val="0"/>
              <w:adjustRightInd/>
              <w:snapToGrid/>
              <w:spacing w:line="400" w:lineRule="exact"/>
              <w:jc w:val="center"/>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条款名称</w:t>
            </w:r>
          </w:p>
        </w:tc>
        <w:tc>
          <w:tcPr>
            <w:tcW w:w="6061" w:type="dxa"/>
            <w:vAlign w:val="center"/>
          </w:tcPr>
          <w:p w14:paraId="7583DBA3">
            <w:pPr>
              <w:keepNext w:val="0"/>
              <w:keepLines w:val="0"/>
              <w:pageBreakBefore w:val="0"/>
              <w:kinsoku/>
              <w:wordWrap/>
              <w:overflowPunct/>
              <w:bidi w:val="0"/>
              <w:adjustRightInd/>
              <w:snapToGrid/>
              <w:spacing w:line="400" w:lineRule="exact"/>
              <w:jc w:val="center"/>
              <w:textAlignment w:val="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编列内容</w:t>
            </w:r>
          </w:p>
        </w:tc>
      </w:tr>
      <w:tr w14:paraId="52665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2" w:type="dxa"/>
            <w:vAlign w:val="center"/>
          </w:tcPr>
          <w:p w14:paraId="274345C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w:t>
            </w:r>
          </w:p>
        </w:tc>
        <w:tc>
          <w:tcPr>
            <w:tcW w:w="2551" w:type="dxa"/>
            <w:vAlign w:val="center"/>
          </w:tcPr>
          <w:p w14:paraId="6499759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w:t>
            </w:r>
            <w:bookmarkStart w:id="14" w:name="OLE_LINK11"/>
            <w:r>
              <w:rPr>
                <w:rFonts w:hint="eastAsia" w:ascii="宋体" w:hAnsi="宋体" w:cs="宋体"/>
                <w:color w:val="000000" w:themeColor="text1"/>
                <w:highlight w:val="none"/>
                <w14:textFill>
                  <w14:solidFill>
                    <w14:schemeClr w14:val="tx1"/>
                  </w14:solidFill>
                </w14:textFill>
              </w:rPr>
              <w:t>购</w:t>
            </w:r>
            <w:bookmarkEnd w:id="14"/>
            <w:r>
              <w:rPr>
                <w:rFonts w:hint="eastAsia" w:ascii="宋体" w:hAnsi="宋体" w:cs="宋体"/>
                <w:color w:val="000000" w:themeColor="text1"/>
                <w:highlight w:val="none"/>
                <w14:textFill>
                  <w14:solidFill>
                    <w14:schemeClr w14:val="tx1"/>
                  </w14:solidFill>
                </w14:textFill>
              </w:rPr>
              <w:t>人</w:t>
            </w:r>
          </w:p>
        </w:tc>
        <w:tc>
          <w:tcPr>
            <w:tcW w:w="6061" w:type="dxa"/>
            <w:vAlign w:val="center"/>
          </w:tcPr>
          <w:p w14:paraId="0932C8DC">
            <w:pPr>
              <w:keepNext w:val="0"/>
              <w:keepLines w:val="0"/>
              <w:pageBreakBefore w:val="0"/>
              <w:kinsoku/>
              <w:wordWrap/>
              <w:overflowPunct/>
              <w:bidi w:val="0"/>
              <w:adjustRightInd/>
              <w:snapToGrid/>
              <w:spacing w:line="400" w:lineRule="exact"/>
              <w:textAlignment w:val="auto"/>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名    称：</w:t>
            </w:r>
            <w:r>
              <w:rPr>
                <w:rFonts w:hint="eastAsia" w:ascii="宋体" w:hAnsi="宋体" w:cs="宋体"/>
                <w:bCs/>
                <w:color w:val="000000" w:themeColor="text1"/>
                <w:szCs w:val="21"/>
                <w:highlight w:val="none"/>
                <w:lang w:eastAsia="zh-CN"/>
                <w14:textFill>
                  <w14:solidFill>
                    <w14:schemeClr w14:val="tx1"/>
                  </w14:solidFill>
                </w14:textFill>
              </w:rPr>
              <w:t>钟宝镇人民政府</w:t>
            </w:r>
          </w:p>
          <w:p w14:paraId="0B3C366B">
            <w:pPr>
              <w:keepNext w:val="0"/>
              <w:keepLines w:val="0"/>
              <w:pageBreakBefore w:val="0"/>
              <w:kinsoku/>
              <w:wordWrap/>
              <w:overflowPunct/>
              <w:bidi w:val="0"/>
              <w:adjustRightInd/>
              <w:snapToGrid/>
              <w:spacing w:line="400" w:lineRule="exact"/>
              <w:textAlignment w:val="auto"/>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地    址：</w:t>
            </w:r>
            <w:r>
              <w:rPr>
                <w:rFonts w:hint="eastAsia" w:ascii="宋体" w:hAnsi="宋体" w:cs="宋体"/>
                <w:bCs/>
                <w:color w:val="000000" w:themeColor="text1"/>
                <w:szCs w:val="21"/>
                <w:highlight w:val="none"/>
                <w:lang w:val="en-US" w:eastAsia="zh-CN"/>
                <w14:textFill>
                  <w14:solidFill>
                    <w14:schemeClr w14:val="tx1"/>
                  </w14:solidFill>
                </w14:textFill>
              </w:rPr>
              <w:t>陕西省安康市镇坪县</w:t>
            </w:r>
            <w:r>
              <w:rPr>
                <w:rFonts w:hint="eastAsia" w:ascii="宋体" w:hAnsi="宋体" w:cs="宋体"/>
                <w:bCs/>
                <w:color w:val="000000" w:themeColor="text1"/>
                <w:szCs w:val="21"/>
                <w:highlight w:val="none"/>
                <w:lang w:val="zh-CN" w:eastAsia="zh-CN"/>
                <w14:textFill>
                  <w14:solidFill>
                    <w14:schemeClr w14:val="tx1"/>
                  </w14:solidFill>
                </w14:textFill>
              </w:rPr>
              <w:t>钟宝镇</w:t>
            </w:r>
            <w:r>
              <w:rPr>
                <w:rFonts w:hint="eastAsia" w:ascii="宋体" w:hAnsi="宋体" w:cs="宋体"/>
                <w:bCs/>
                <w:color w:val="000000" w:themeColor="text1"/>
                <w:szCs w:val="21"/>
                <w:highlight w:val="none"/>
                <w:lang w:val="en-US" w:eastAsia="zh-CN"/>
                <w14:textFill>
                  <w14:solidFill>
                    <w14:schemeClr w14:val="tx1"/>
                  </w14:solidFill>
                </w14:textFill>
              </w:rPr>
              <w:t>旧城村二组</w:t>
            </w:r>
          </w:p>
          <w:p w14:paraId="601E08F0">
            <w:pPr>
              <w:keepNext w:val="0"/>
              <w:keepLines w:val="0"/>
              <w:pageBreakBefore w:val="0"/>
              <w:kinsoku/>
              <w:wordWrap/>
              <w:overflowPunct/>
              <w:bidi w:val="0"/>
              <w:adjustRightInd/>
              <w:snapToGrid/>
              <w:spacing w:line="400" w:lineRule="exact"/>
              <w:textAlignment w:val="auto"/>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联系方式：</w:t>
            </w:r>
            <w:r>
              <w:rPr>
                <w:rFonts w:hint="eastAsia" w:ascii="宋体" w:hAnsi="宋体" w:cs="宋体"/>
                <w:bCs/>
                <w:color w:val="000000" w:themeColor="text1"/>
                <w:szCs w:val="21"/>
                <w:highlight w:val="none"/>
                <w:lang w:eastAsia="zh-CN"/>
                <w14:textFill>
                  <w14:solidFill>
                    <w14:schemeClr w14:val="tx1"/>
                  </w14:solidFill>
                </w14:textFill>
              </w:rPr>
              <w:t>17719691513</w:t>
            </w:r>
          </w:p>
        </w:tc>
      </w:tr>
      <w:tr w14:paraId="62A89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072" w:type="dxa"/>
            <w:vAlign w:val="center"/>
          </w:tcPr>
          <w:p w14:paraId="057DFCA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15" w:name="OLE_LINK13" w:colFirst="2" w:colLast="2"/>
            <w:r>
              <w:rPr>
                <w:rFonts w:hint="eastAsia" w:ascii="宋体" w:hAnsi="宋体" w:cs="宋体"/>
                <w:color w:val="000000" w:themeColor="text1"/>
                <w:highlight w:val="none"/>
                <w14:textFill>
                  <w14:solidFill>
                    <w14:schemeClr w14:val="tx1"/>
                  </w14:solidFill>
                </w14:textFill>
              </w:rPr>
              <w:t>1.1.3</w:t>
            </w:r>
          </w:p>
        </w:tc>
        <w:tc>
          <w:tcPr>
            <w:tcW w:w="2551" w:type="dxa"/>
            <w:vAlign w:val="center"/>
          </w:tcPr>
          <w:p w14:paraId="2D18EFC1">
            <w:pPr>
              <w:keepNext w:val="0"/>
              <w:keepLines w:val="0"/>
              <w:pageBreakBefore w:val="0"/>
              <w:kinsoku/>
              <w:wordWrap/>
              <w:overflowPunct/>
              <w:bidi w:val="0"/>
              <w:adjustRightInd/>
              <w:snapToGrid/>
              <w:spacing w:line="400" w:lineRule="exact"/>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w:t>
            </w:r>
          </w:p>
        </w:tc>
        <w:tc>
          <w:tcPr>
            <w:tcW w:w="6061" w:type="dxa"/>
            <w:vAlign w:val="center"/>
          </w:tcPr>
          <w:p w14:paraId="359FDB68">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称：陕西中采项目管理有限公司</w:t>
            </w:r>
          </w:p>
          <w:p w14:paraId="7A2ECE6F">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址：西安市高新区高新三路9号新时代大厦西四楼</w:t>
            </w:r>
          </w:p>
          <w:p w14:paraId="09FDEE9A">
            <w:pPr>
              <w:keepNext w:val="0"/>
              <w:keepLines w:val="0"/>
              <w:pageBreakBefore w:val="0"/>
              <w:kinsoku/>
              <w:wordWrap/>
              <w:overflowPunct/>
              <w:bidi w:val="0"/>
              <w:adjustRightInd/>
              <w:snapToGrid/>
              <w:spacing w:line="400" w:lineRule="exact"/>
              <w:textAlignment w:val="auto"/>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r>
              <w:rPr>
                <w:rFonts w:hint="eastAsia" w:ascii="宋体" w:hAnsi="宋体" w:cs="宋体"/>
                <w:color w:val="auto"/>
                <w:highlight w:val="none"/>
                <w:lang w:val="en-US" w:eastAsia="zh-CN"/>
              </w:rPr>
              <w:t>毛</w:t>
            </w:r>
            <w:r>
              <w:rPr>
                <w:rFonts w:hint="eastAsia" w:ascii="宋体" w:hAnsi="宋体" w:cs="宋体"/>
                <w:color w:val="000000" w:themeColor="text1"/>
                <w:highlight w:val="none"/>
                <w:lang w:val="en-US" w:eastAsia="zh-CN"/>
                <w14:textFill>
                  <w14:solidFill>
                    <w14:schemeClr w14:val="tx1"/>
                  </w14:solidFill>
                </w14:textFill>
              </w:rPr>
              <w:t>鑫、樊兰兰</w:t>
            </w:r>
          </w:p>
          <w:p w14:paraId="044883D5">
            <w:pPr>
              <w:keepNext w:val="0"/>
              <w:keepLines w:val="0"/>
              <w:pageBreakBefore w:val="0"/>
              <w:kinsoku/>
              <w:wordWrap/>
              <w:overflowPunct/>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话：029-888</w:t>
            </w:r>
            <w:r>
              <w:rPr>
                <w:rFonts w:hint="eastAsia" w:ascii="宋体" w:hAnsi="宋体" w:cs="宋体"/>
                <w:color w:val="000000" w:themeColor="text1"/>
                <w:highlight w:val="none"/>
                <w:lang w:val="en-US" w:eastAsia="zh-CN"/>
                <w14:textFill>
                  <w14:solidFill>
                    <w14:schemeClr w14:val="tx1"/>
                  </w14:solidFill>
                </w14:textFill>
              </w:rPr>
              <w:t>23056</w:t>
            </w:r>
          </w:p>
        </w:tc>
      </w:tr>
      <w:tr w14:paraId="2E8E9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B25362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w:t>
            </w:r>
          </w:p>
        </w:tc>
        <w:tc>
          <w:tcPr>
            <w:tcW w:w="2551" w:type="dxa"/>
            <w:vAlign w:val="center"/>
          </w:tcPr>
          <w:p w14:paraId="0B66350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6061" w:type="dxa"/>
            <w:vAlign w:val="center"/>
          </w:tcPr>
          <w:p w14:paraId="49945068">
            <w:pPr>
              <w:keepNext w:val="0"/>
              <w:keepLines w:val="0"/>
              <w:pageBreakBefore w:val="0"/>
              <w:kinsoku/>
              <w:wordWrap/>
              <w:overflowPunct/>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钟宝镇“十五五”规划编制服务项目</w:t>
            </w:r>
          </w:p>
        </w:tc>
      </w:tr>
      <w:bookmarkEnd w:id="15"/>
      <w:tr w14:paraId="0FE32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793D6C7">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1.2.1</w:t>
            </w:r>
          </w:p>
        </w:tc>
        <w:tc>
          <w:tcPr>
            <w:tcW w:w="2551" w:type="dxa"/>
            <w:vAlign w:val="center"/>
          </w:tcPr>
          <w:p w14:paraId="4126EB5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资金来源及比例</w:t>
            </w:r>
          </w:p>
        </w:tc>
        <w:tc>
          <w:tcPr>
            <w:tcW w:w="6061" w:type="dxa"/>
            <w:vAlign w:val="center"/>
          </w:tcPr>
          <w:p w14:paraId="570DFD50">
            <w:pPr>
              <w:keepNext w:val="0"/>
              <w:keepLines w:val="0"/>
              <w:pageBreakBefore w:val="0"/>
              <w:kinsoku/>
              <w:wordWrap/>
              <w:overflowPunct/>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财政资金</w:t>
            </w:r>
            <w:r>
              <w:rPr>
                <w:rFonts w:hint="eastAsia"/>
                <w:lang w:val="en-US" w:eastAsia="zh-CN"/>
              </w:rPr>
              <w:t>100%</w:t>
            </w:r>
          </w:p>
        </w:tc>
      </w:tr>
      <w:tr w14:paraId="608DD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7F631AC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1.2.2</w:t>
            </w:r>
          </w:p>
        </w:tc>
        <w:tc>
          <w:tcPr>
            <w:tcW w:w="2551" w:type="dxa"/>
            <w:vAlign w:val="center"/>
          </w:tcPr>
          <w:p w14:paraId="5F3BCF4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资金落实情况</w:t>
            </w:r>
          </w:p>
        </w:tc>
        <w:tc>
          <w:tcPr>
            <w:tcW w:w="6061" w:type="dxa"/>
            <w:vAlign w:val="center"/>
          </w:tcPr>
          <w:p w14:paraId="08701AC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项目资金已落实</w:t>
            </w:r>
          </w:p>
        </w:tc>
      </w:tr>
      <w:tr w14:paraId="78040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324E95D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1.3.1</w:t>
            </w:r>
          </w:p>
        </w:tc>
        <w:tc>
          <w:tcPr>
            <w:tcW w:w="2551" w:type="dxa"/>
            <w:vAlign w:val="center"/>
          </w:tcPr>
          <w:p w14:paraId="4BBA797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采购范围</w:t>
            </w:r>
          </w:p>
        </w:tc>
        <w:tc>
          <w:tcPr>
            <w:tcW w:w="6061" w:type="dxa"/>
            <w:vAlign w:val="center"/>
          </w:tcPr>
          <w:p w14:paraId="1838F24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钟宝镇“十五五”规划编制服务项目</w:t>
            </w:r>
            <w:r>
              <w:rPr>
                <w:rFonts w:hint="eastAsia" w:ascii="宋体" w:hAnsi="宋体" w:cs="宋体"/>
                <w:color w:val="000000" w:themeColor="text1"/>
                <w:highlight w:val="none"/>
                <w14:textFill>
                  <w14:solidFill>
                    <w14:schemeClr w14:val="tx1"/>
                  </w14:solidFill>
                </w14:textFill>
              </w:rPr>
              <w:t>。详见竞争性磋商文件“第四章 采购内容及要求”</w:t>
            </w:r>
          </w:p>
        </w:tc>
      </w:tr>
      <w:tr w14:paraId="6FF89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72" w:type="dxa"/>
            <w:vAlign w:val="center"/>
          </w:tcPr>
          <w:p w14:paraId="61E5E7F7">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1.3.2</w:t>
            </w:r>
          </w:p>
        </w:tc>
        <w:tc>
          <w:tcPr>
            <w:tcW w:w="2551" w:type="dxa"/>
            <w:vAlign w:val="center"/>
          </w:tcPr>
          <w:p w14:paraId="5F22D1AA">
            <w:pPr>
              <w:keepNext w:val="0"/>
              <w:keepLines w:val="0"/>
              <w:pageBreakBefore w:val="0"/>
              <w:kinsoku/>
              <w:wordWrap/>
              <w:overflowPunct/>
              <w:bidi w:val="0"/>
              <w:adjustRightInd/>
              <w:snapToGrid/>
              <w:spacing w:line="40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服务期限</w:t>
            </w:r>
          </w:p>
        </w:tc>
        <w:tc>
          <w:tcPr>
            <w:tcW w:w="6061" w:type="dxa"/>
            <w:vAlign w:val="center"/>
          </w:tcPr>
          <w:p w14:paraId="5DE1CFDA">
            <w:pPr>
              <w:keepNext w:val="0"/>
              <w:keepLines w:val="0"/>
              <w:pageBreakBefore w:val="0"/>
              <w:kinsoku/>
              <w:wordWrap/>
              <w:overflowPunct/>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90天</w:t>
            </w:r>
          </w:p>
        </w:tc>
      </w:tr>
      <w:tr w14:paraId="4BDB2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C3DB98C">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lang w:val="en-US" w:eastAsia="zh-CN"/>
                <w14:textFill>
                  <w14:solidFill>
                    <w14:schemeClr w14:val="tx1"/>
                  </w14:solidFill>
                </w14:textFill>
              </w:rPr>
              <w:t>3</w:t>
            </w:r>
          </w:p>
        </w:tc>
        <w:tc>
          <w:tcPr>
            <w:tcW w:w="2551" w:type="dxa"/>
            <w:vAlign w:val="center"/>
          </w:tcPr>
          <w:p w14:paraId="5517E6C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质量标准</w:t>
            </w:r>
          </w:p>
        </w:tc>
        <w:tc>
          <w:tcPr>
            <w:tcW w:w="6061" w:type="dxa"/>
            <w:vAlign w:val="center"/>
          </w:tcPr>
          <w:p w14:paraId="1B0B1CE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符合国家及行业质量验收合格标准</w:t>
            </w:r>
          </w:p>
        </w:tc>
      </w:tr>
      <w:tr w14:paraId="7F75D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AEA56F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16" w:name="OLE_LINK26" w:colFirst="2" w:colLast="2"/>
            <w:r>
              <w:rPr>
                <w:rFonts w:hint="eastAsia" w:ascii="宋体" w:hAnsi="宋体" w:cs="宋体"/>
                <w:color w:val="000000" w:themeColor="text1"/>
                <w:highlight w:val="none"/>
                <w14:textFill>
                  <w14:solidFill>
                    <w14:schemeClr w14:val="tx1"/>
                  </w14:solidFill>
                </w14:textFill>
              </w:rPr>
              <w:t>1.4.1</w:t>
            </w:r>
          </w:p>
        </w:tc>
        <w:tc>
          <w:tcPr>
            <w:tcW w:w="2551" w:type="dxa"/>
            <w:vAlign w:val="center"/>
          </w:tcPr>
          <w:p w14:paraId="3C98DF2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供应商资格要求</w:t>
            </w:r>
          </w:p>
        </w:tc>
        <w:tc>
          <w:tcPr>
            <w:tcW w:w="6061" w:type="dxa"/>
            <w:vAlign w:val="center"/>
          </w:tcPr>
          <w:p w14:paraId="4EC4049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基础资格要求：满足《中华人民共和国政府采购法》第二十二条规定。</w:t>
            </w:r>
          </w:p>
          <w:p w14:paraId="63A4D208">
            <w:pPr>
              <w:keepNext w:val="0"/>
              <w:keepLines w:val="0"/>
              <w:pageBreakBefore w:val="0"/>
              <w:kinsoku/>
              <w:wordWrap/>
              <w:overflowPunct/>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2.落实政府采购政策需满足的资格要求：</w:t>
            </w:r>
          </w:p>
          <w:p w14:paraId="5D6B5462">
            <w:pPr>
              <w:keepNext w:val="0"/>
              <w:keepLines w:val="0"/>
              <w:pageBreakBefore w:val="0"/>
              <w:kinsoku/>
              <w:wordWrap/>
              <w:overflowPunct/>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本项目属于专门面向中小企业采购项目。</w:t>
            </w:r>
          </w:p>
          <w:p w14:paraId="698513C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特定资格要求：</w:t>
            </w:r>
          </w:p>
          <w:p w14:paraId="207CFD9C">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1）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5534C723">
            <w:pPr>
              <w:keepNext w:val="0"/>
              <w:keepLines w:val="0"/>
              <w:pageBreakBefore w:val="0"/>
              <w:kinsoku/>
              <w:wordWrap/>
              <w:overflowPunct/>
              <w:bidi w:val="0"/>
              <w:adjustRightInd/>
              <w:snapToGrid/>
              <w:spacing w:line="400" w:lineRule="exact"/>
              <w:textAlignment w:val="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zh-CN"/>
                <w14:textFill>
                  <w14:solidFill>
                    <w14:schemeClr w14:val="tx1"/>
                  </w14:solidFill>
                </w14:textFill>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398F99F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zh-CN"/>
                <w14:textFill>
                  <w14:solidFill>
                    <w14:schemeClr w14:val="tx1"/>
                  </w14:solidFill>
                </w14:textFill>
              </w:rPr>
              <w:t>）本项目不接受联合体磋商。</w:t>
            </w:r>
          </w:p>
        </w:tc>
      </w:tr>
      <w:tr w14:paraId="6765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E69E26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1.4.2</w:t>
            </w:r>
          </w:p>
        </w:tc>
        <w:tc>
          <w:tcPr>
            <w:tcW w:w="2551" w:type="dxa"/>
            <w:vAlign w:val="center"/>
          </w:tcPr>
          <w:p w14:paraId="22927BB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是否接受联合体磋商</w:t>
            </w:r>
          </w:p>
        </w:tc>
        <w:tc>
          <w:tcPr>
            <w:tcW w:w="6061" w:type="dxa"/>
            <w:vAlign w:val="center"/>
          </w:tcPr>
          <w:p w14:paraId="07D041C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不接受</w:t>
            </w:r>
          </w:p>
          <w:p w14:paraId="13C5F67F">
            <w:pPr>
              <w:keepNext w:val="0"/>
              <w:keepLines w:val="0"/>
              <w:pageBreakBefore w:val="0"/>
              <w:kinsoku/>
              <w:wordWrap/>
              <w:overflowPunct/>
              <w:autoSpaceDE w:val="0"/>
              <w:autoSpaceDN w:val="0"/>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sym w:font="Wingdings" w:char="00A8"/>
            </w:r>
            <w:r>
              <w:rPr>
                <w:rFonts w:hint="eastAsia" w:ascii="宋体" w:hAnsi="宋体" w:cs="宋体"/>
                <w:color w:val="000000" w:themeColor="text1"/>
                <w:szCs w:val="21"/>
                <w:highlight w:val="none"/>
                <w14:textFill>
                  <w14:solidFill>
                    <w14:schemeClr w14:val="tx1"/>
                  </w14:solidFill>
                </w14:textFill>
              </w:rPr>
              <w:t>接受</w:t>
            </w:r>
          </w:p>
        </w:tc>
      </w:tr>
      <w:bookmarkEnd w:id="16"/>
      <w:tr w14:paraId="2CC2E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2FEF028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1.9.3</w:t>
            </w:r>
          </w:p>
        </w:tc>
        <w:tc>
          <w:tcPr>
            <w:tcW w:w="2551" w:type="dxa"/>
            <w:vAlign w:val="center"/>
          </w:tcPr>
          <w:p w14:paraId="6B430CC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竞争性磋商文件澄清发出的形式</w:t>
            </w:r>
          </w:p>
        </w:tc>
        <w:tc>
          <w:tcPr>
            <w:tcW w:w="6061" w:type="dxa"/>
            <w:vAlign w:val="center"/>
          </w:tcPr>
          <w:p w14:paraId="0433302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w:t>
            </w:r>
          </w:p>
        </w:tc>
      </w:tr>
      <w:tr w14:paraId="6285E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4086FF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1.10.1</w:t>
            </w:r>
          </w:p>
        </w:tc>
        <w:tc>
          <w:tcPr>
            <w:tcW w:w="2551" w:type="dxa"/>
            <w:vAlign w:val="center"/>
          </w:tcPr>
          <w:p w14:paraId="7F89804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w:t>
            </w:r>
          </w:p>
        </w:tc>
        <w:tc>
          <w:tcPr>
            <w:tcW w:w="6061" w:type="dxa"/>
            <w:vAlign w:val="center"/>
          </w:tcPr>
          <w:p w14:paraId="6B07E8D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不允许</w:t>
            </w:r>
          </w:p>
          <w:p w14:paraId="5C69875E">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允许，分包内容要求：</w:t>
            </w:r>
          </w:p>
          <w:p w14:paraId="66651C99">
            <w:pPr>
              <w:keepNext w:val="0"/>
              <w:keepLines w:val="0"/>
              <w:pageBreakBefore w:val="0"/>
              <w:kinsoku/>
              <w:wordWrap/>
              <w:overflowPunct/>
              <w:bidi w:val="0"/>
              <w:adjustRightInd/>
              <w:snapToGrid/>
              <w:spacing w:line="400" w:lineRule="exact"/>
              <w:ind w:firstLine="840" w:firstLineChars="4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分包金额要求：</w:t>
            </w:r>
          </w:p>
          <w:p w14:paraId="6D64F7AA">
            <w:pPr>
              <w:keepNext w:val="0"/>
              <w:keepLines w:val="0"/>
              <w:pageBreakBefore w:val="0"/>
              <w:kinsoku/>
              <w:wordWrap/>
              <w:overflowPunct/>
              <w:bidi w:val="0"/>
              <w:adjustRightInd/>
              <w:snapToGrid/>
              <w:spacing w:line="400" w:lineRule="exact"/>
              <w:ind w:firstLine="840" w:firstLineChars="4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对分包人的资质要求：</w:t>
            </w:r>
          </w:p>
        </w:tc>
      </w:tr>
      <w:tr w14:paraId="5B2B3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72" w:type="dxa"/>
            <w:vAlign w:val="center"/>
          </w:tcPr>
          <w:p w14:paraId="6FB0811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1.11.1</w:t>
            </w:r>
          </w:p>
        </w:tc>
        <w:tc>
          <w:tcPr>
            <w:tcW w:w="2551" w:type="dxa"/>
            <w:vAlign w:val="center"/>
          </w:tcPr>
          <w:p w14:paraId="2F90438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实质性要求和条件</w:t>
            </w:r>
          </w:p>
        </w:tc>
        <w:tc>
          <w:tcPr>
            <w:tcW w:w="6061" w:type="dxa"/>
            <w:vAlign w:val="center"/>
          </w:tcPr>
          <w:p w14:paraId="3018DDB0">
            <w:pPr>
              <w:pStyle w:val="7"/>
              <w:keepNext w:val="0"/>
              <w:keepLines w:val="0"/>
              <w:pageBreakBefore w:val="0"/>
              <w:kinsoku/>
              <w:wordWrap/>
              <w:overflowPunct/>
              <w:topLinePunct/>
              <w:bidi w:val="0"/>
              <w:adjustRightInd/>
              <w:snapToGrid/>
              <w:spacing w:line="400" w:lineRule="exact"/>
              <w:textAlignment w:val="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竞争性磋商文件中“初步评审”的要求和条件</w:t>
            </w:r>
          </w:p>
        </w:tc>
      </w:tr>
      <w:tr w14:paraId="35DE1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41B0D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1.11.4</w:t>
            </w:r>
          </w:p>
        </w:tc>
        <w:tc>
          <w:tcPr>
            <w:tcW w:w="2551" w:type="dxa"/>
            <w:vAlign w:val="center"/>
          </w:tcPr>
          <w:p w14:paraId="544744B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偏差</w:t>
            </w:r>
          </w:p>
        </w:tc>
        <w:tc>
          <w:tcPr>
            <w:tcW w:w="6061" w:type="dxa"/>
            <w:vAlign w:val="center"/>
          </w:tcPr>
          <w:p w14:paraId="748CDCB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不允许</w:t>
            </w:r>
          </w:p>
          <w:p w14:paraId="372A31A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允许，偏差范围：除实质性条款和规定以外的内容</w:t>
            </w:r>
          </w:p>
          <w:p w14:paraId="3F4A7866">
            <w:pPr>
              <w:keepNext w:val="0"/>
              <w:keepLines w:val="0"/>
              <w:pageBreakBefore w:val="0"/>
              <w:kinsoku/>
              <w:wordWrap/>
              <w:overflowPunct/>
              <w:bidi w:val="0"/>
              <w:adjustRightInd/>
              <w:snapToGrid/>
              <w:spacing w:line="400" w:lineRule="exact"/>
              <w:ind w:firstLine="840" w:firstLineChars="400"/>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最高项数：/</w:t>
            </w:r>
          </w:p>
        </w:tc>
      </w:tr>
      <w:tr w14:paraId="1A383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1CED77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w:t>
            </w:r>
          </w:p>
        </w:tc>
        <w:tc>
          <w:tcPr>
            <w:tcW w:w="2551" w:type="dxa"/>
            <w:vAlign w:val="center"/>
          </w:tcPr>
          <w:p w14:paraId="468B901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构成竞争性磋商文件的其他资料</w:t>
            </w:r>
          </w:p>
        </w:tc>
        <w:tc>
          <w:tcPr>
            <w:tcW w:w="6061" w:type="dxa"/>
            <w:vAlign w:val="center"/>
          </w:tcPr>
          <w:p w14:paraId="19C2749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16795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Merge w:val="restart"/>
            <w:vAlign w:val="center"/>
          </w:tcPr>
          <w:p w14:paraId="28A3462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w:t>
            </w:r>
          </w:p>
        </w:tc>
        <w:tc>
          <w:tcPr>
            <w:tcW w:w="2551" w:type="dxa"/>
            <w:vMerge w:val="restart"/>
            <w:vAlign w:val="center"/>
          </w:tcPr>
          <w:p w14:paraId="23B5558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供应商要求澄清竞争性磋商文件</w:t>
            </w:r>
          </w:p>
        </w:tc>
        <w:tc>
          <w:tcPr>
            <w:tcW w:w="6061" w:type="dxa"/>
            <w:vAlign w:val="center"/>
          </w:tcPr>
          <w:p w14:paraId="4EBEDE6A">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时间：磋商响应文件递交截止时间5日前</w:t>
            </w:r>
          </w:p>
        </w:tc>
      </w:tr>
      <w:tr w14:paraId="1DB81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72" w:type="dxa"/>
            <w:vMerge w:val="continue"/>
            <w:vAlign w:val="center"/>
          </w:tcPr>
          <w:p w14:paraId="412C527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0D9AB91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6061" w:type="dxa"/>
            <w:vAlign w:val="center"/>
          </w:tcPr>
          <w:p w14:paraId="39F66D0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形式：书面形式递交至采购代理机构，并将可编辑的电子版发送至邮箱：</w:t>
            </w:r>
            <w:r>
              <w:rPr>
                <w:rFonts w:hint="eastAsia" w:ascii="宋体" w:hAnsi="宋体" w:cs="宋体"/>
                <w:color w:val="000000" w:themeColor="text1"/>
                <w:highlight w:val="none"/>
                <w:lang w:val="en-US" w:eastAsia="zh-CN"/>
                <w14:textFill>
                  <w14:solidFill>
                    <w14:schemeClr w14:val="tx1"/>
                  </w14:solidFill>
                </w14:textFill>
              </w:rPr>
              <w:t>206103492</w:t>
            </w:r>
            <w:r>
              <w:rPr>
                <w:rFonts w:hint="eastAsia" w:ascii="宋体" w:hAnsi="宋体" w:cs="宋体"/>
                <w:color w:val="000000" w:themeColor="text1"/>
                <w:highlight w:val="none"/>
                <w14:textFill>
                  <w14:solidFill>
                    <w14:schemeClr w14:val="tx1"/>
                  </w14:solidFill>
                </w14:textFill>
              </w:rPr>
              <w:t>@qq.com</w:t>
            </w:r>
          </w:p>
        </w:tc>
      </w:tr>
      <w:tr w14:paraId="74FE6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2893E7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w:t>
            </w:r>
          </w:p>
        </w:tc>
        <w:tc>
          <w:tcPr>
            <w:tcW w:w="2551" w:type="dxa"/>
            <w:vAlign w:val="center"/>
          </w:tcPr>
          <w:p w14:paraId="61FE28B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竞争性磋商文件澄清发出的形式</w:t>
            </w:r>
          </w:p>
        </w:tc>
        <w:tc>
          <w:tcPr>
            <w:tcW w:w="6061" w:type="dxa"/>
            <w:vAlign w:val="center"/>
          </w:tcPr>
          <w:p w14:paraId="6501D50E">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书面形式在采购代理机构现场领取或电子邮件发送</w:t>
            </w:r>
          </w:p>
        </w:tc>
      </w:tr>
      <w:tr w14:paraId="1D763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72" w:type="dxa"/>
            <w:vMerge w:val="restart"/>
            <w:vAlign w:val="center"/>
          </w:tcPr>
          <w:p w14:paraId="3F2AB5D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w:t>
            </w:r>
          </w:p>
        </w:tc>
        <w:tc>
          <w:tcPr>
            <w:tcW w:w="2551" w:type="dxa"/>
            <w:vMerge w:val="restart"/>
            <w:vAlign w:val="center"/>
          </w:tcPr>
          <w:p w14:paraId="5B3D1BA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供应商确认收到竞争性磋商文件澄清</w:t>
            </w:r>
          </w:p>
        </w:tc>
        <w:tc>
          <w:tcPr>
            <w:tcW w:w="6061" w:type="dxa"/>
            <w:vAlign w:val="center"/>
          </w:tcPr>
          <w:p w14:paraId="4FD7680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时间：1日内</w:t>
            </w:r>
          </w:p>
        </w:tc>
      </w:tr>
      <w:tr w14:paraId="5AD2C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72" w:type="dxa"/>
            <w:vMerge w:val="continue"/>
            <w:vAlign w:val="center"/>
          </w:tcPr>
          <w:p w14:paraId="53FF939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71DCC7B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w w:val="99"/>
                <w:highlight w:val="none"/>
                <w14:textFill>
                  <w14:solidFill>
                    <w14:schemeClr w14:val="tx1"/>
                  </w14:solidFill>
                </w14:textFill>
              </w:rPr>
            </w:pPr>
          </w:p>
        </w:tc>
        <w:tc>
          <w:tcPr>
            <w:tcW w:w="6061" w:type="dxa"/>
            <w:vAlign w:val="center"/>
          </w:tcPr>
          <w:p w14:paraId="550CED4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形式：在采购代理机构处现场签收或电子邮件回执</w:t>
            </w:r>
          </w:p>
        </w:tc>
      </w:tr>
      <w:tr w14:paraId="15CC6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064ED9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2.3.1</w:t>
            </w:r>
          </w:p>
        </w:tc>
        <w:tc>
          <w:tcPr>
            <w:tcW w:w="2551" w:type="dxa"/>
            <w:vAlign w:val="center"/>
          </w:tcPr>
          <w:p w14:paraId="3FA250E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竞争性磋商文件修改发出的形式</w:t>
            </w:r>
          </w:p>
        </w:tc>
        <w:tc>
          <w:tcPr>
            <w:tcW w:w="6061" w:type="dxa"/>
            <w:vAlign w:val="center"/>
          </w:tcPr>
          <w:p w14:paraId="526AF001">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书面形式在采购代理机构处现场领取或电子邮件发送</w:t>
            </w:r>
          </w:p>
        </w:tc>
      </w:tr>
      <w:tr w14:paraId="1A812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2" w:type="dxa"/>
            <w:vMerge w:val="restart"/>
            <w:vAlign w:val="center"/>
          </w:tcPr>
          <w:p w14:paraId="3656A2EE">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w:t>
            </w:r>
          </w:p>
        </w:tc>
        <w:tc>
          <w:tcPr>
            <w:tcW w:w="2551" w:type="dxa"/>
            <w:vMerge w:val="restart"/>
            <w:vAlign w:val="center"/>
          </w:tcPr>
          <w:p w14:paraId="108C518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供应商确认收到竞争性磋商文件修改</w:t>
            </w:r>
          </w:p>
        </w:tc>
        <w:tc>
          <w:tcPr>
            <w:tcW w:w="6061" w:type="dxa"/>
            <w:vAlign w:val="center"/>
          </w:tcPr>
          <w:p w14:paraId="0AB9D01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时间：1日内</w:t>
            </w:r>
          </w:p>
        </w:tc>
      </w:tr>
      <w:tr w14:paraId="253E1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72" w:type="dxa"/>
            <w:vMerge w:val="continue"/>
            <w:vAlign w:val="center"/>
          </w:tcPr>
          <w:p w14:paraId="004E5671">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2551" w:type="dxa"/>
            <w:vMerge w:val="continue"/>
            <w:vAlign w:val="center"/>
          </w:tcPr>
          <w:p w14:paraId="4FFFCEF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p>
        </w:tc>
        <w:tc>
          <w:tcPr>
            <w:tcW w:w="6061" w:type="dxa"/>
            <w:vAlign w:val="center"/>
          </w:tcPr>
          <w:p w14:paraId="18F7BC65">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形式：在采购代理机构处现场签收或电子邮件回执</w:t>
            </w:r>
          </w:p>
        </w:tc>
      </w:tr>
      <w:tr w14:paraId="47406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D53806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3.1.1</w:t>
            </w:r>
          </w:p>
        </w:tc>
        <w:tc>
          <w:tcPr>
            <w:tcW w:w="2551" w:type="dxa"/>
            <w:vAlign w:val="center"/>
          </w:tcPr>
          <w:p w14:paraId="7AB6C3D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构成磋商响应文件的其他资料</w:t>
            </w:r>
          </w:p>
        </w:tc>
        <w:tc>
          <w:tcPr>
            <w:tcW w:w="6061" w:type="dxa"/>
            <w:vAlign w:val="center"/>
          </w:tcPr>
          <w:p w14:paraId="15E0A81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470B8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72" w:type="dxa"/>
            <w:vAlign w:val="center"/>
          </w:tcPr>
          <w:p w14:paraId="6E2303C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3.2.1</w:t>
            </w:r>
          </w:p>
        </w:tc>
        <w:tc>
          <w:tcPr>
            <w:tcW w:w="2551" w:type="dxa"/>
            <w:vAlign w:val="center"/>
          </w:tcPr>
          <w:p w14:paraId="0F5CB29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增值税税金的计算方法</w:t>
            </w:r>
          </w:p>
        </w:tc>
        <w:tc>
          <w:tcPr>
            <w:tcW w:w="6061" w:type="dxa"/>
            <w:vAlign w:val="center"/>
          </w:tcPr>
          <w:p w14:paraId="5D6CB8E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1C56D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4E7209F9">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w:t>
            </w:r>
            <w:r>
              <w:rPr>
                <w:rFonts w:hint="eastAsia" w:ascii="宋体" w:hAnsi="宋体" w:cs="宋体"/>
                <w:b/>
                <w:bCs/>
                <w:color w:val="000000" w:themeColor="text1"/>
                <w:highlight w:val="none"/>
                <w:lang w:val="en-US" w:eastAsia="zh-CN"/>
                <w14:textFill>
                  <w14:solidFill>
                    <w14:schemeClr w14:val="tx1"/>
                  </w14:solidFill>
                </w14:textFill>
              </w:rPr>
              <w:t>2</w:t>
            </w:r>
          </w:p>
        </w:tc>
        <w:tc>
          <w:tcPr>
            <w:tcW w:w="2551" w:type="dxa"/>
            <w:vAlign w:val="center"/>
          </w:tcPr>
          <w:p w14:paraId="4973BE09">
            <w:pPr>
              <w:keepNext w:val="0"/>
              <w:keepLines w:val="0"/>
              <w:pageBreakBefore w:val="0"/>
              <w:kinsoku/>
              <w:wordWrap/>
              <w:overflowPunct/>
              <w:bidi w:val="0"/>
              <w:adjustRightInd/>
              <w:snapToGrid/>
              <w:spacing w:line="400" w:lineRule="exact"/>
              <w:jc w:val="center"/>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最高限价或采购预算</w:t>
            </w:r>
          </w:p>
        </w:tc>
        <w:tc>
          <w:tcPr>
            <w:tcW w:w="6061" w:type="dxa"/>
            <w:vAlign w:val="center"/>
          </w:tcPr>
          <w:p w14:paraId="17C9C6B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无</w:t>
            </w:r>
          </w:p>
          <w:p w14:paraId="3AFD54E5">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有，</w:t>
            </w:r>
            <w:bookmarkStart w:id="17" w:name="OLE_LINK60"/>
            <w:r>
              <w:rPr>
                <w:rFonts w:hint="eastAsia" w:ascii="宋体" w:hAnsi="宋体" w:cs="宋体"/>
                <w:b/>
                <w:bCs/>
                <w:color w:val="000000" w:themeColor="text1"/>
                <w:highlight w:val="none"/>
                <w14:textFill>
                  <w14:solidFill>
                    <w14:schemeClr w14:val="tx1"/>
                  </w14:solidFill>
                </w14:textFill>
              </w:rPr>
              <w:t>最高限价：人</w:t>
            </w:r>
            <w:bookmarkStart w:id="18" w:name="OLE_LINK34"/>
            <w:r>
              <w:rPr>
                <w:rFonts w:hint="eastAsia" w:ascii="宋体" w:hAnsi="宋体" w:cs="宋体"/>
                <w:b/>
                <w:bCs/>
                <w:color w:val="000000" w:themeColor="text1"/>
                <w:highlight w:val="none"/>
                <w14:textFill>
                  <w14:solidFill>
                    <w14:schemeClr w14:val="tx1"/>
                  </w14:solidFill>
                </w14:textFill>
              </w:rPr>
              <w:t>民</w:t>
            </w:r>
            <w:bookmarkEnd w:id="18"/>
            <w:r>
              <w:rPr>
                <w:rFonts w:hint="eastAsia" w:ascii="宋体" w:hAnsi="宋体" w:cs="宋体"/>
                <w:b/>
                <w:bCs/>
                <w:color w:val="000000" w:themeColor="text1"/>
                <w:highlight w:val="none"/>
                <w14:textFill>
                  <w14:solidFill>
                    <w14:schemeClr w14:val="tx1"/>
                  </w14:solidFill>
                </w14:textFill>
              </w:rPr>
              <w:t>币</w:t>
            </w:r>
            <w:bookmarkStart w:id="19" w:name="OLE_LINK35"/>
            <w:r>
              <w:rPr>
                <w:rFonts w:hint="eastAsia" w:ascii="宋体" w:hAnsi="宋体" w:cs="宋体"/>
                <w:b/>
                <w:bCs/>
                <w:color w:val="000000" w:themeColor="text1"/>
                <w:highlight w:val="none"/>
                <w:lang w:val="en-US" w:eastAsia="zh-CN"/>
                <w14:textFill>
                  <w14:solidFill>
                    <w14:schemeClr w14:val="tx1"/>
                  </w14:solidFill>
                </w14:textFill>
              </w:rPr>
              <w:t>壹拾伍万元整</w:t>
            </w: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150000</w:t>
            </w:r>
            <w:r>
              <w:rPr>
                <w:rFonts w:hint="eastAsia" w:ascii="宋体" w:hAnsi="宋体" w:cs="宋体"/>
                <w:b/>
                <w:bCs/>
                <w:color w:val="000000" w:themeColor="text1"/>
                <w:highlight w:val="none"/>
                <w14:textFill>
                  <w14:solidFill>
                    <w14:schemeClr w14:val="tx1"/>
                  </w14:solidFill>
                </w14:textFill>
              </w:rPr>
              <w:t>.00</w:t>
            </w:r>
            <w:r>
              <w:rPr>
                <w:rFonts w:hint="eastAsia" w:ascii="宋体" w:hAnsi="宋体" w:cs="宋体"/>
                <w:b/>
                <w:bCs/>
                <w:color w:val="000000" w:themeColor="text1"/>
                <w:highlight w:val="none"/>
                <w:lang w:val="en-US" w:eastAsia="zh-CN"/>
                <w14:textFill>
                  <w14:solidFill>
                    <w14:schemeClr w14:val="tx1"/>
                  </w14:solidFill>
                </w14:textFill>
              </w:rPr>
              <w:t>元</w:t>
            </w:r>
            <w:r>
              <w:rPr>
                <w:rFonts w:hint="eastAsia" w:ascii="宋体" w:hAnsi="宋体" w:cs="宋体"/>
                <w:b/>
                <w:bCs/>
                <w:color w:val="000000" w:themeColor="text1"/>
                <w:highlight w:val="none"/>
                <w14:textFill>
                  <w14:solidFill>
                    <w14:schemeClr w14:val="tx1"/>
                  </w14:solidFill>
                </w14:textFill>
              </w:rPr>
              <w:t>）</w:t>
            </w:r>
            <w:bookmarkEnd w:id="17"/>
            <w:bookmarkEnd w:id="19"/>
          </w:p>
        </w:tc>
      </w:tr>
      <w:tr w14:paraId="24B87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226F6CC">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w:t>
            </w:r>
            <w:r>
              <w:rPr>
                <w:rFonts w:hint="eastAsia" w:ascii="宋体" w:hAnsi="宋体" w:cs="宋体"/>
                <w:color w:val="000000" w:themeColor="text1"/>
                <w:highlight w:val="none"/>
                <w:lang w:val="en-US" w:eastAsia="zh-CN"/>
                <w14:textFill>
                  <w14:solidFill>
                    <w14:schemeClr w14:val="tx1"/>
                  </w14:solidFill>
                </w14:textFill>
              </w:rPr>
              <w:t>3</w:t>
            </w:r>
          </w:p>
        </w:tc>
        <w:tc>
          <w:tcPr>
            <w:tcW w:w="2551" w:type="dxa"/>
            <w:vAlign w:val="center"/>
          </w:tcPr>
          <w:p w14:paraId="7B3739F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响应报价的其他要求</w:t>
            </w:r>
          </w:p>
        </w:tc>
        <w:tc>
          <w:tcPr>
            <w:tcW w:w="6061" w:type="dxa"/>
            <w:vAlign w:val="center"/>
          </w:tcPr>
          <w:p w14:paraId="2A05FB1C">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bookmarkStart w:id="20" w:name="OLE_LINK78"/>
            <w:r>
              <w:rPr>
                <w:rFonts w:hint="eastAsia" w:ascii="宋体" w:hAnsi="宋体" w:cs="宋体"/>
                <w:color w:val="000000" w:themeColor="text1"/>
                <w:highlight w:val="none"/>
                <w14:textFill>
                  <w14:solidFill>
                    <w14:schemeClr w14:val="tx1"/>
                  </w14:solidFill>
                </w14:textFill>
              </w:rPr>
              <w:t>响应报价应包括</w:t>
            </w:r>
            <w:bookmarkEnd w:id="20"/>
            <w:r>
              <w:rPr>
                <w:rFonts w:hint="eastAsia" w:ascii="宋体" w:hAnsi="宋体" w:cs="宋体"/>
                <w:color w:val="000000" w:themeColor="text1"/>
                <w:highlight w:val="none"/>
                <w14:textFill>
                  <w14:solidFill>
                    <w14:schemeClr w14:val="tx1"/>
                  </w14:solidFill>
                </w14:textFill>
              </w:rPr>
              <w:t>该项目的人工费、服务费、税金、售后服务费、采购代理服务费等政策性文件规定的所有费用</w:t>
            </w:r>
          </w:p>
        </w:tc>
      </w:tr>
      <w:tr w14:paraId="5310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35EE2A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3.3.1</w:t>
            </w:r>
          </w:p>
        </w:tc>
        <w:tc>
          <w:tcPr>
            <w:tcW w:w="2551" w:type="dxa"/>
            <w:vAlign w:val="center"/>
          </w:tcPr>
          <w:p w14:paraId="0A8BE9C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竞争性磋商响应文件</w:t>
            </w:r>
          </w:p>
          <w:p w14:paraId="29E61E8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有效期</w:t>
            </w:r>
          </w:p>
        </w:tc>
        <w:tc>
          <w:tcPr>
            <w:tcW w:w="6061" w:type="dxa"/>
            <w:vAlign w:val="center"/>
          </w:tcPr>
          <w:p w14:paraId="4F6D1853">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磋商之日起90个日历日</w:t>
            </w:r>
          </w:p>
        </w:tc>
      </w:tr>
      <w:tr w14:paraId="35CA0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83B6E2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3.4.1</w:t>
            </w:r>
          </w:p>
        </w:tc>
        <w:tc>
          <w:tcPr>
            <w:tcW w:w="2551" w:type="dxa"/>
            <w:vAlign w:val="center"/>
          </w:tcPr>
          <w:p w14:paraId="2CD17610">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磋商保证金</w:t>
            </w:r>
          </w:p>
        </w:tc>
        <w:tc>
          <w:tcPr>
            <w:tcW w:w="6061" w:type="dxa"/>
            <w:vAlign w:val="center"/>
          </w:tcPr>
          <w:p w14:paraId="13551F78">
            <w:pPr>
              <w:keepNext w:val="0"/>
              <w:keepLines w:val="0"/>
              <w:pageBreakBefore w:val="0"/>
              <w:kinsoku/>
              <w:wordWrap/>
              <w:overflowPunct/>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w:t>
            </w:r>
          </w:p>
        </w:tc>
      </w:tr>
      <w:tr w14:paraId="1E6FA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0634BDF">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w:t>
            </w:r>
            <w:r>
              <w:rPr>
                <w:rFonts w:hint="eastAsia" w:ascii="宋体" w:hAnsi="宋体" w:cs="宋体"/>
                <w:color w:val="000000" w:themeColor="text1"/>
                <w:highlight w:val="none"/>
                <w:lang w:val="en-US" w:eastAsia="zh-CN"/>
                <w14:textFill>
                  <w14:solidFill>
                    <w14:schemeClr w14:val="tx1"/>
                  </w14:solidFill>
                </w14:textFill>
              </w:rPr>
              <w:t>2</w:t>
            </w:r>
          </w:p>
        </w:tc>
        <w:tc>
          <w:tcPr>
            <w:tcW w:w="2551" w:type="dxa"/>
            <w:vAlign w:val="center"/>
          </w:tcPr>
          <w:p w14:paraId="53E6C72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其他可以不予退还磋商保证金的情形</w:t>
            </w:r>
          </w:p>
        </w:tc>
        <w:tc>
          <w:tcPr>
            <w:tcW w:w="6061" w:type="dxa"/>
            <w:vAlign w:val="center"/>
          </w:tcPr>
          <w:p w14:paraId="31B24F0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r>
      <w:tr w14:paraId="6695A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AF87B4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w:t>
            </w:r>
          </w:p>
        </w:tc>
        <w:tc>
          <w:tcPr>
            <w:tcW w:w="2551" w:type="dxa"/>
            <w:vAlign w:val="center"/>
          </w:tcPr>
          <w:p w14:paraId="6A36E2C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资格审查资料的特殊要求</w:t>
            </w:r>
          </w:p>
        </w:tc>
        <w:tc>
          <w:tcPr>
            <w:tcW w:w="6061" w:type="dxa"/>
            <w:vAlign w:val="center"/>
          </w:tcPr>
          <w:p w14:paraId="5B1AB6A3">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无</w:t>
            </w:r>
          </w:p>
          <w:p w14:paraId="301F3576">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□有，具体要求：</w:t>
            </w:r>
          </w:p>
        </w:tc>
      </w:tr>
      <w:tr w14:paraId="20348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418C6FA">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w:t>
            </w:r>
            <w:r>
              <w:rPr>
                <w:rFonts w:hint="eastAsia" w:ascii="宋体" w:hAnsi="宋体" w:cs="宋体"/>
                <w:color w:val="000000" w:themeColor="text1"/>
                <w:highlight w:val="none"/>
                <w:lang w:val="en-US" w:eastAsia="zh-CN"/>
                <w14:textFill>
                  <w14:solidFill>
                    <w14:schemeClr w14:val="tx1"/>
                  </w14:solidFill>
                </w14:textFill>
              </w:rPr>
              <w:t>1</w:t>
            </w:r>
          </w:p>
        </w:tc>
        <w:tc>
          <w:tcPr>
            <w:tcW w:w="2551" w:type="dxa"/>
            <w:vAlign w:val="center"/>
          </w:tcPr>
          <w:p w14:paraId="1798A5AB">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近年完成的类似项目情况的时间要求</w:t>
            </w:r>
          </w:p>
        </w:tc>
        <w:tc>
          <w:tcPr>
            <w:tcW w:w="6061" w:type="dxa"/>
            <w:shd w:val="clear" w:color="auto" w:fill="auto"/>
            <w:vAlign w:val="center"/>
          </w:tcPr>
          <w:p w14:paraId="7563A995">
            <w:pPr>
              <w:keepNext w:val="0"/>
              <w:keepLines w:val="0"/>
              <w:pageBreakBefore w:val="0"/>
              <w:kinsoku/>
              <w:wordWrap/>
              <w:overflowPunct/>
              <w:bidi w:val="0"/>
              <w:adjustRightInd/>
              <w:snapToGrid/>
              <w:spacing w:line="400" w:lineRule="exact"/>
              <w:textAlignment w:val="auto"/>
              <w:rPr>
                <w:rFonts w:hint="default"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202</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年1月1日</w:t>
            </w:r>
            <w:r>
              <w:rPr>
                <w:rFonts w:hint="eastAsia" w:ascii="宋体" w:hAnsi="宋体" w:cs="宋体"/>
                <w:color w:val="000000" w:themeColor="text1"/>
                <w:highlight w:val="none"/>
                <w14:textFill>
                  <w14:solidFill>
                    <w14:schemeClr w14:val="tx1"/>
                  </w14:solidFill>
                </w14:textFill>
              </w:rPr>
              <w:t>至本项目响应文件</w:t>
            </w:r>
            <w:r>
              <w:rPr>
                <w:rFonts w:hint="eastAsia" w:ascii="宋体" w:hAnsi="宋体" w:cs="宋体"/>
                <w:color w:val="000000" w:themeColor="text1"/>
                <w:highlight w:val="none"/>
                <w:lang w:val="en-US" w:eastAsia="zh-CN"/>
                <w14:textFill>
                  <w14:solidFill>
                    <w14:schemeClr w14:val="tx1"/>
                  </w14:solidFill>
                </w14:textFill>
              </w:rPr>
              <w:t>提交</w:t>
            </w:r>
            <w:r>
              <w:rPr>
                <w:rFonts w:hint="eastAsia" w:ascii="宋体" w:hAnsi="宋体" w:cs="宋体"/>
                <w:color w:val="000000" w:themeColor="text1"/>
                <w:highlight w:val="none"/>
                <w14:textFill>
                  <w14:solidFill>
                    <w14:schemeClr w14:val="tx1"/>
                  </w14:solidFill>
                </w14:textFill>
              </w:rPr>
              <w:t>截止时间</w:t>
            </w:r>
          </w:p>
        </w:tc>
      </w:tr>
      <w:tr w14:paraId="647F2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02F4EB9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w:t>
            </w:r>
          </w:p>
        </w:tc>
        <w:tc>
          <w:tcPr>
            <w:tcW w:w="2551" w:type="dxa"/>
            <w:vAlign w:val="center"/>
          </w:tcPr>
          <w:p w14:paraId="0CCC917B">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是否允许递交备选</w:t>
            </w:r>
          </w:p>
          <w:p w14:paraId="0608B68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响应方案</w:t>
            </w:r>
          </w:p>
        </w:tc>
        <w:tc>
          <w:tcPr>
            <w:tcW w:w="6061" w:type="dxa"/>
            <w:vAlign w:val="center"/>
          </w:tcPr>
          <w:p w14:paraId="551AFE7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不允许</w:t>
            </w:r>
          </w:p>
          <w:p w14:paraId="6CBC4C3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□允许</w:t>
            </w:r>
          </w:p>
        </w:tc>
      </w:tr>
      <w:tr w14:paraId="5AE86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14CB6D5">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w:t>
            </w:r>
            <w:r>
              <w:rPr>
                <w:rFonts w:hint="eastAsia" w:ascii="宋体" w:hAnsi="宋体" w:cs="宋体"/>
                <w:color w:val="000000" w:themeColor="text1"/>
                <w:highlight w:val="none"/>
                <w:lang w:val="en-US" w:eastAsia="zh-CN"/>
                <w14:textFill>
                  <w14:solidFill>
                    <w14:schemeClr w14:val="tx1"/>
                  </w14:solidFill>
                </w14:textFill>
              </w:rPr>
              <w:t>1</w:t>
            </w:r>
          </w:p>
        </w:tc>
        <w:tc>
          <w:tcPr>
            <w:tcW w:w="2551" w:type="dxa"/>
            <w:vAlign w:val="center"/>
          </w:tcPr>
          <w:p w14:paraId="51E7381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磋商响应文件副本份数及其他要求</w:t>
            </w:r>
          </w:p>
        </w:tc>
        <w:tc>
          <w:tcPr>
            <w:tcW w:w="6061" w:type="dxa"/>
            <w:vAlign w:val="center"/>
          </w:tcPr>
          <w:p w14:paraId="1DCD4885">
            <w:pPr>
              <w:keepNext w:val="0"/>
              <w:keepLines w:val="0"/>
              <w:pageBreakBefore w:val="0"/>
              <w:kinsoku/>
              <w:wordWrap/>
              <w:overflowPunct/>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响应文件副本份数：</w:t>
            </w:r>
            <w:r>
              <w:rPr>
                <w:rFonts w:hint="eastAsia" w:ascii="宋体" w:hAnsi="宋体" w:cs="宋体"/>
                <w:bCs/>
                <w:color w:val="000000" w:themeColor="text1"/>
                <w:szCs w:val="21"/>
                <w:highlight w:val="none"/>
                <w14:textFill>
                  <w14:solidFill>
                    <w14:schemeClr w14:val="tx1"/>
                  </w14:solidFill>
                </w14:textFill>
              </w:rPr>
              <w:t>2份</w:t>
            </w:r>
          </w:p>
          <w:p w14:paraId="3AAA7F5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是否要求提供电子版响应文件：</w:t>
            </w:r>
          </w:p>
          <w:p w14:paraId="0B33AA47">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□不要求：</w:t>
            </w:r>
          </w:p>
          <w:p w14:paraId="51F2DAAF">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要求：</w:t>
            </w:r>
            <w:r>
              <w:rPr>
                <w:rFonts w:hint="eastAsia" w:ascii="宋体" w:hAnsi="宋体" w:cs="宋体"/>
                <w:b/>
                <w:bCs/>
                <w:color w:val="000000" w:themeColor="text1"/>
                <w:highlight w:val="none"/>
                <w14:textFill>
                  <w14:solidFill>
                    <w14:schemeClr w14:val="tx1"/>
                  </w14:solidFill>
                </w14:textFill>
              </w:rPr>
              <w:t>供应商电子版响应文件</w:t>
            </w:r>
            <w:r>
              <w:rPr>
                <w:rFonts w:hint="eastAsia" w:ascii="宋体" w:hAnsi="宋体" w:cs="宋体"/>
                <w:b/>
                <w:bCs/>
                <w:color w:val="000000" w:themeColor="text1"/>
                <w:highlight w:val="none"/>
                <w:lang w:val="en-US" w:eastAsia="zh-CN"/>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份，载体为U盘。</w:t>
            </w:r>
          </w:p>
          <w:p w14:paraId="2FC447A3">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电子版文件格式：.DOC格式响应文件及签章齐全的纸质版正本响应文件扫描件（.PDF格式文件）</w:t>
            </w:r>
          </w:p>
          <w:p w14:paraId="711C42A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其他要求：电子版载体表面需标明项目编号、供应商名称</w:t>
            </w:r>
          </w:p>
        </w:tc>
      </w:tr>
      <w:tr w14:paraId="7E2D4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072" w:type="dxa"/>
            <w:vAlign w:val="center"/>
          </w:tcPr>
          <w:p w14:paraId="516F8C5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w:t>
            </w:r>
            <w:r>
              <w:rPr>
                <w:rFonts w:hint="eastAsia" w:ascii="宋体" w:hAnsi="宋体" w:cs="宋体"/>
                <w:color w:val="000000" w:themeColor="text1"/>
                <w:highlight w:val="none"/>
                <w:lang w:val="en-US" w:eastAsia="zh-CN"/>
                <w14:textFill>
                  <w14:solidFill>
                    <w14:schemeClr w14:val="tx1"/>
                  </w14:solidFill>
                </w14:textFill>
              </w:rPr>
              <w:t>2</w:t>
            </w:r>
          </w:p>
        </w:tc>
        <w:tc>
          <w:tcPr>
            <w:tcW w:w="2551" w:type="dxa"/>
            <w:vAlign w:val="center"/>
          </w:tcPr>
          <w:p w14:paraId="3046D9B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磋商响应文件是否需分册装订</w:t>
            </w:r>
          </w:p>
        </w:tc>
        <w:tc>
          <w:tcPr>
            <w:tcW w:w="6061" w:type="dxa"/>
            <w:vAlign w:val="center"/>
          </w:tcPr>
          <w:p w14:paraId="18E1B0AA">
            <w:pPr>
              <w:pStyle w:val="23"/>
              <w:keepNext w:val="0"/>
              <w:keepLines w:val="0"/>
              <w:pageBreakBefore w:val="0"/>
              <w:kinsoku/>
              <w:wordWrap/>
              <w:overflowPunct/>
              <w:bidi w:val="0"/>
              <w:adjustRightInd/>
              <w:snapToGrid/>
              <w:spacing w:before="0" w:after="0" w:line="400" w:lineRule="exact"/>
              <w:textAlignment w:val="auto"/>
              <w:rPr>
                <w:rFonts w:ascii="宋体" w:hAnsi="宋体" w:cs="宋体"/>
                <w:color w:val="000000" w:themeColor="text1"/>
                <w:spacing w:val="1"/>
                <w:sz w:val="21"/>
                <w:szCs w:val="21"/>
                <w:highlight w:val="none"/>
                <w:lang w:eastAsia="zh-CN"/>
                <w14:textFill>
                  <w14:solidFill>
                    <w14:schemeClr w14:val="tx1"/>
                  </w14:solidFill>
                </w14:textFill>
              </w:rPr>
            </w:pPr>
            <w:r>
              <w:rPr>
                <w:rFonts w:hint="eastAsia" w:ascii="宋体" w:hAnsi="宋体" w:cs="宋体"/>
                <w:color w:val="000000" w:themeColor="text1"/>
                <w:spacing w:val="1"/>
                <w:sz w:val="21"/>
                <w:szCs w:val="21"/>
                <w:highlight w:val="none"/>
                <w:lang w:eastAsia="zh-CN"/>
                <w14:textFill>
                  <w14:solidFill>
                    <w14:schemeClr w14:val="tx1"/>
                  </w14:solidFill>
                </w14:textFill>
              </w:rPr>
              <w:sym w:font="Wingdings" w:char="00FE"/>
            </w:r>
            <w:r>
              <w:rPr>
                <w:rFonts w:hint="eastAsia" w:ascii="宋体" w:hAnsi="宋体" w:cs="宋体"/>
                <w:color w:val="000000" w:themeColor="text1"/>
                <w:spacing w:val="1"/>
                <w:sz w:val="21"/>
                <w:szCs w:val="21"/>
                <w:highlight w:val="none"/>
                <w:lang w:eastAsia="zh-CN"/>
                <w14:textFill>
                  <w14:solidFill>
                    <w14:schemeClr w14:val="tx1"/>
                  </w14:solidFill>
                </w14:textFill>
              </w:rPr>
              <w:t>不需要</w:t>
            </w:r>
          </w:p>
          <w:p w14:paraId="57150B6B">
            <w:pPr>
              <w:pStyle w:val="23"/>
              <w:keepNext w:val="0"/>
              <w:keepLines w:val="0"/>
              <w:pageBreakBefore w:val="0"/>
              <w:kinsoku/>
              <w:wordWrap/>
              <w:overflowPunct/>
              <w:bidi w:val="0"/>
              <w:adjustRightInd/>
              <w:snapToGrid/>
              <w:spacing w:before="0" w:after="0" w:line="400" w:lineRule="exact"/>
              <w:textAlignment w:val="auto"/>
              <w:rPr>
                <w:rFonts w:ascii="宋体" w:hAnsi="宋体" w:cs="宋体"/>
                <w:color w:val="000000" w:themeColor="text1"/>
                <w:highlight w:val="none"/>
                <w:lang w:eastAsia="zh-CN"/>
                <w14:textFill>
                  <w14:solidFill>
                    <w14:schemeClr w14:val="tx1"/>
                  </w14:solidFill>
                </w14:textFill>
              </w:rPr>
            </w:pPr>
            <w:bookmarkStart w:id="21" w:name="OLE_LINK63"/>
            <w:r>
              <w:rPr>
                <w:rFonts w:hint="eastAsia" w:ascii="宋体" w:hAnsi="宋体" w:cs="宋体"/>
                <w:color w:val="000000" w:themeColor="text1"/>
                <w:spacing w:val="1"/>
                <w:sz w:val="21"/>
                <w:szCs w:val="21"/>
                <w:highlight w:val="none"/>
                <w:lang w:eastAsia="zh-CN"/>
                <w14:textFill>
                  <w14:solidFill>
                    <w14:schemeClr w14:val="tx1"/>
                  </w14:solidFill>
                </w14:textFill>
              </w:rPr>
              <w:sym w:font="Wingdings" w:char="00A8"/>
            </w:r>
            <w:bookmarkEnd w:id="21"/>
            <w:r>
              <w:rPr>
                <w:rFonts w:hint="eastAsia" w:ascii="宋体" w:hAnsi="宋体" w:cs="宋体"/>
                <w:color w:val="000000" w:themeColor="text1"/>
                <w:spacing w:val="1"/>
                <w:sz w:val="21"/>
                <w:szCs w:val="21"/>
                <w:highlight w:val="none"/>
                <w:lang w:eastAsia="zh-CN"/>
                <w14:textFill>
                  <w14:solidFill>
                    <w14:schemeClr w14:val="tx1"/>
                  </w14:solidFill>
                </w14:textFill>
              </w:rPr>
              <w:t>需要，分册装订要求：</w:t>
            </w:r>
          </w:p>
        </w:tc>
      </w:tr>
      <w:tr w14:paraId="20FD9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094D01E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4.1.2</w:t>
            </w:r>
          </w:p>
        </w:tc>
        <w:tc>
          <w:tcPr>
            <w:tcW w:w="2551" w:type="dxa"/>
            <w:vAlign w:val="center"/>
          </w:tcPr>
          <w:p w14:paraId="271E50A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封套上应载明的信息</w:t>
            </w:r>
          </w:p>
        </w:tc>
        <w:tc>
          <w:tcPr>
            <w:tcW w:w="6061" w:type="dxa"/>
            <w:vAlign w:val="center"/>
          </w:tcPr>
          <w:p w14:paraId="19A7D31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格式自拟</w:t>
            </w:r>
          </w:p>
        </w:tc>
      </w:tr>
      <w:tr w14:paraId="6A738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1E5B2CA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4.2.1</w:t>
            </w:r>
          </w:p>
        </w:tc>
        <w:tc>
          <w:tcPr>
            <w:tcW w:w="2551" w:type="dxa"/>
            <w:vAlign w:val="center"/>
          </w:tcPr>
          <w:p w14:paraId="0B7BDFB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磋商响应文件递交截止</w:t>
            </w:r>
          </w:p>
          <w:p w14:paraId="12E29DF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p>
        </w:tc>
        <w:tc>
          <w:tcPr>
            <w:tcW w:w="6061" w:type="dxa"/>
            <w:vAlign w:val="center"/>
          </w:tcPr>
          <w:p w14:paraId="71B3119E">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yellow"/>
                <w14:textFill>
                  <w14:solidFill>
                    <w14:schemeClr w14:val="tx1"/>
                  </w14:solidFill>
                </w14:textFill>
              </w:rPr>
            </w:pPr>
            <w:r>
              <w:rPr>
                <w:rFonts w:hint="eastAsia" w:ascii="宋体" w:hAnsi="宋体" w:cs="宋体"/>
                <w:b w:val="0"/>
                <w:bCs w:val="0"/>
                <w:color w:val="000000" w:themeColor="text1"/>
                <w:sz w:val="21"/>
                <w:szCs w:val="20"/>
                <w:highlight w:val="none"/>
                <w:u w:val="none"/>
                <w:lang w:val="zh-CN" w:eastAsia="zh-CN"/>
                <w14:textFill>
                  <w14:solidFill>
                    <w14:schemeClr w14:val="tx1"/>
                  </w14:solidFill>
                </w14:textFill>
              </w:rPr>
              <w:t>2026年02月09日15时00分00秒</w:t>
            </w:r>
            <w:r>
              <w:rPr>
                <w:rFonts w:hint="eastAsia" w:ascii="宋体" w:hAnsi="宋体" w:eastAsia="宋体" w:cs="宋体"/>
                <w:color w:val="000000" w:themeColor="text1"/>
                <w:sz w:val="21"/>
                <w:szCs w:val="20"/>
                <w:highlight w:val="none"/>
                <w:u w:val="none"/>
                <w:lang w:val="zh-CN"/>
                <w14:textFill>
                  <w14:solidFill>
                    <w14:schemeClr w14:val="tx1"/>
                  </w14:solidFill>
                </w14:textFill>
              </w:rPr>
              <w:t>（北京时间）</w:t>
            </w:r>
          </w:p>
        </w:tc>
      </w:tr>
      <w:tr w14:paraId="4CEB2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72" w:type="dxa"/>
            <w:vAlign w:val="center"/>
          </w:tcPr>
          <w:p w14:paraId="41B26CA6">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4.2.2</w:t>
            </w:r>
          </w:p>
        </w:tc>
        <w:tc>
          <w:tcPr>
            <w:tcW w:w="2551" w:type="dxa"/>
            <w:vAlign w:val="center"/>
          </w:tcPr>
          <w:p w14:paraId="1147626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递交磋商响应文件地点</w:t>
            </w:r>
          </w:p>
        </w:tc>
        <w:tc>
          <w:tcPr>
            <w:tcW w:w="6061" w:type="dxa"/>
            <w:vAlign w:val="center"/>
          </w:tcPr>
          <w:p w14:paraId="35E9511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陕西省安康市汉滨区育才路100号安康宾馆4楼多功能厅</w:t>
            </w:r>
          </w:p>
        </w:tc>
      </w:tr>
      <w:tr w14:paraId="43B13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6A2FCFD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4.2.3</w:t>
            </w:r>
          </w:p>
        </w:tc>
        <w:tc>
          <w:tcPr>
            <w:tcW w:w="2551" w:type="dxa"/>
            <w:vAlign w:val="center"/>
          </w:tcPr>
          <w:p w14:paraId="74024E9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磋商响应文件是否退还</w:t>
            </w:r>
          </w:p>
        </w:tc>
        <w:tc>
          <w:tcPr>
            <w:tcW w:w="6061" w:type="dxa"/>
            <w:vAlign w:val="center"/>
          </w:tcPr>
          <w:p w14:paraId="474E930A">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w:t>
            </w:r>
          </w:p>
          <w:p w14:paraId="3A7CB42A">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□是，退还时间：/</w:t>
            </w:r>
          </w:p>
          <w:p w14:paraId="2513459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注：如至磋商响应文件递交截止时间，递交磋商响应文件的供应商不足三家时，现场退还已递交的磋商响应文件</w:t>
            </w:r>
          </w:p>
        </w:tc>
      </w:tr>
      <w:tr w14:paraId="0ABEF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97FD13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w:t>
            </w:r>
          </w:p>
        </w:tc>
        <w:tc>
          <w:tcPr>
            <w:tcW w:w="2551" w:type="dxa"/>
            <w:vAlign w:val="center"/>
          </w:tcPr>
          <w:p w14:paraId="5FB09A4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开启时间和地点</w:t>
            </w:r>
          </w:p>
        </w:tc>
        <w:tc>
          <w:tcPr>
            <w:tcW w:w="6061" w:type="dxa"/>
            <w:vAlign w:val="center"/>
          </w:tcPr>
          <w:p w14:paraId="5ECB41F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时间：同磋商响应文件递交截止时间</w:t>
            </w:r>
          </w:p>
          <w:p w14:paraId="1001216B">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地点：同递交磋商响应文件地点</w:t>
            </w:r>
          </w:p>
        </w:tc>
      </w:tr>
      <w:tr w14:paraId="07805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5C6A69D7">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w:t>
            </w:r>
          </w:p>
        </w:tc>
        <w:tc>
          <w:tcPr>
            <w:tcW w:w="2551" w:type="dxa"/>
            <w:vAlign w:val="center"/>
          </w:tcPr>
          <w:p w14:paraId="645C7125">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磋商响应文件开启顺序</w:t>
            </w:r>
          </w:p>
        </w:tc>
        <w:tc>
          <w:tcPr>
            <w:tcW w:w="6061" w:type="dxa"/>
            <w:vAlign w:val="center"/>
          </w:tcPr>
          <w:p w14:paraId="785539C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随机开启</w:t>
            </w:r>
          </w:p>
        </w:tc>
      </w:tr>
      <w:tr w14:paraId="7597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72" w:type="dxa"/>
            <w:vAlign w:val="center"/>
          </w:tcPr>
          <w:p w14:paraId="0541EBB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22" w:name="OLE_LINK18" w:colFirst="2" w:colLast="2"/>
            <w:r>
              <w:rPr>
                <w:rFonts w:hint="eastAsia" w:ascii="宋体" w:hAnsi="宋体" w:cs="宋体"/>
                <w:color w:val="000000" w:themeColor="text1"/>
                <w:highlight w:val="none"/>
                <w14:textFill>
                  <w14:solidFill>
                    <w14:schemeClr w14:val="tx1"/>
                  </w14:solidFill>
                </w14:textFill>
              </w:rPr>
              <w:t>6.1</w:t>
            </w:r>
          </w:p>
        </w:tc>
        <w:tc>
          <w:tcPr>
            <w:tcW w:w="2551" w:type="dxa"/>
            <w:vAlign w:val="center"/>
          </w:tcPr>
          <w:p w14:paraId="45C4920A">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磋商小组的组建</w:t>
            </w:r>
          </w:p>
        </w:tc>
        <w:tc>
          <w:tcPr>
            <w:tcW w:w="6061" w:type="dxa"/>
            <w:vAlign w:val="center"/>
          </w:tcPr>
          <w:p w14:paraId="2F69DF14">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磋商小组的构成：</w:t>
            </w:r>
            <w:r>
              <w:rPr>
                <w:rFonts w:hint="eastAsia" w:ascii="宋体" w:hAnsi="宋体" w:cs="宋体"/>
                <w:bCs/>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人，其中采购人代表</w:t>
            </w: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w:t>
            </w:r>
          </w:p>
          <w:p w14:paraId="28ED329C">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磋商小组专家确定方式：按规定在政府采购专家库中随机抽取。</w:t>
            </w:r>
          </w:p>
        </w:tc>
      </w:tr>
      <w:tr w14:paraId="7206D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1B0DB1F">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w:t>
            </w:r>
          </w:p>
        </w:tc>
        <w:tc>
          <w:tcPr>
            <w:tcW w:w="2551" w:type="dxa"/>
            <w:vAlign w:val="center"/>
          </w:tcPr>
          <w:p w14:paraId="47D2952F">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磋商小组推荐成交候选供应商数量</w:t>
            </w:r>
          </w:p>
        </w:tc>
        <w:tc>
          <w:tcPr>
            <w:tcW w:w="6061" w:type="dxa"/>
            <w:vAlign w:val="center"/>
          </w:tcPr>
          <w:p w14:paraId="0DE03D71">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3名</w:t>
            </w:r>
          </w:p>
        </w:tc>
      </w:tr>
      <w:bookmarkEnd w:id="22"/>
      <w:tr w14:paraId="55664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72" w:type="dxa"/>
            <w:vAlign w:val="center"/>
          </w:tcPr>
          <w:p w14:paraId="7EBBC2B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7.1</w:t>
            </w:r>
          </w:p>
        </w:tc>
        <w:tc>
          <w:tcPr>
            <w:tcW w:w="2551" w:type="dxa"/>
            <w:vAlign w:val="center"/>
          </w:tcPr>
          <w:p w14:paraId="2D79569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成交结果公示媒介及期限</w:t>
            </w:r>
          </w:p>
        </w:tc>
        <w:tc>
          <w:tcPr>
            <w:tcW w:w="6061" w:type="dxa"/>
            <w:vAlign w:val="center"/>
          </w:tcPr>
          <w:p w14:paraId="498F552C">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公示媒介：</w:t>
            </w:r>
            <w:r>
              <w:rPr>
                <w:rFonts w:hint="eastAsia" w:ascii="宋体" w:hAnsi="宋体" w:cs="宋体"/>
                <w:bCs/>
                <w:color w:val="000000" w:themeColor="text1"/>
                <w:szCs w:val="21"/>
                <w:highlight w:val="none"/>
                <w14:textFill>
                  <w14:solidFill>
                    <w14:schemeClr w14:val="tx1"/>
                  </w14:solidFill>
                </w14:textFill>
              </w:rPr>
              <w:t>《陕西省政府采购网》</w:t>
            </w:r>
          </w:p>
          <w:p w14:paraId="3C28BE5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公示期限：1个工作日</w:t>
            </w:r>
          </w:p>
        </w:tc>
      </w:tr>
      <w:tr w14:paraId="7FC35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78E88624">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23" w:name="OLE_LINK19" w:colFirst="2" w:colLast="2"/>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val="en-US" w:eastAsia="zh-CN"/>
                <w14:textFill>
                  <w14:solidFill>
                    <w14:schemeClr w14:val="tx1"/>
                  </w14:solidFill>
                </w14:textFill>
              </w:rPr>
              <w:t>2</w:t>
            </w:r>
          </w:p>
        </w:tc>
        <w:tc>
          <w:tcPr>
            <w:tcW w:w="2551" w:type="dxa"/>
            <w:vAlign w:val="center"/>
          </w:tcPr>
          <w:p w14:paraId="1B6B39C9">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是否授权磋商小组确定成交供应商</w:t>
            </w:r>
          </w:p>
        </w:tc>
        <w:tc>
          <w:tcPr>
            <w:tcW w:w="6061" w:type="dxa"/>
            <w:vAlign w:val="center"/>
          </w:tcPr>
          <w:p w14:paraId="125D71F7">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是；由磋商小组确定排序第一的成交候选供应商为成交供应商；</w:t>
            </w:r>
          </w:p>
          <w:p w14:paraId="7CAE9CAF">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否：由采购人根据磋商小组推荐的成交候选供应商按顺序确定成交供应商。</w:t>
            </w:r>
          </w:p>
        </w:tc>
      </w:tr>
      <w:tr w14:paraId="00C60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2" w:type="dxa"/>
            <w:vAlign w:val="center"/>
          </w:tcPr>
          <w:p w14:paraId="3B6C5C21">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val="en-US" w:eastAsia="zh-CN"/>
                <w14:textFill>
                  <w14:solidFill>
                    <w14:schemeClr w14:val="tx1"/>
                  </w14:solidFill>
                </w14:textFill>
              </w:rPr>
              <w:t>3</w:t>
            </w:r>
          </w:p>
        </w:tc>
        <w:tc>
          <w:tcPr>
            <w:tcW w:w="2551" w:type="dxa"/>
            <w:vAlign w:val="center"/>
          </w:tcPr>
          <w:p w14:paraId="71C04E7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w:t>
            </w:r>
          </w:p>
        </w:tc>
        <w:tc>
          <w:tcPr>
            <w:tcW w:w="6061" w:type="dxa"/>
            <w:vAlign w:val="center"/>
          </w:tcPr>
          <w:p w14:paraId="3BBF8552">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是否要求成交供应商提交履约保证金：</w:t>
            </w:r>
          </w:p>
          <w:p w14:paraId="6EBD5C36">
            <w:pPr>
              <w:keepNext w:val="0"/>
              <w:keepLines w:val="0"/>
              <w:pageBreakBefore w:val="0"/>
              <w:kinsoku/>
              <w:wordWrap/>
              <w:overflowPunct/>
              <w:bidi w:val="0"/>
              <w:adjustRightInd/>
              <w:snapToGrid/>
              <w:spacing w:line="40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要求</w:t>
            </w:r>
          </w:p>
          <w:p w14:paraId="46EF3E19">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不要求</w:t>
            </w:r>
          </w:p>
        </w:tc>
      </w:tr>
      <w:bookmarkEnd w:id="23"/>
      <w:tr w14:paraId="6AD68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72" w:type="dxa"/>
            <w:vAlign w:val="center"/>
          </w:tcPr>
          <w:p w14:paraId="7AC112A1">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1" w:type="dxa"/>
            <w:vAlign w:val="center"/>
          </w:tcPr>
          <w:p w14:paraId="17B2992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是否采用电子招标投标</w:t>
            </w:r>
          </w:p>
        </w:tc>
        <w:tc>
          <w:tcPr>
            <w:tcW w:w="6061" w:type="dxa"/>
            <w:vAlign w:val="center"/>
          </w:tcPr>
          <w:p w14:paraId="2178DE02">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FE"/>
            </w:r>
            <w:r>
              <w:rPr>
                <w:rFonts w:hint="eastAsia" w:ascii="宋体" w:hAnsi="宋体" w:cs="宋体"/>
                <w:color w:val="000000" w:themeColor="text1"/>
                <w:highlight w:val="none"/>
                <w14:textFill>
                  <w14:solidFill>
                    <w14:schemeClr w14:val="tx1"/>
                  </w14:solidFill>
                </w14:textFill>
              </w:rPr>
              <w:t>否</w:t>
            </w:r>
          </w:p>
          <w:p w14:paraId="4C0BF7B7">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sym w:font="Wingdings" w:char="00A8"/>
            </w:r>
            <w:r>
              <w:rPr>
                <w:rFonts w:hint="eastAsia" w:ascii="宋体" w:hAnsi="宋体" w:cs="宋体"/>
                <w:color w:val="000000" w:themeColor="text1"/>
                <w:highlight w:val="none"/>
                <w14:textFill>
                  <w14:solidFill>
                    <w14:schemeClr w14:val="tx1"/>
                  </w14:solidFill>
                </w14:textFill>
              </w:rPr>
              <w:t>是，具体要求：</w:t>
            </w:r>
          </w:p>
        </w:tc>
      </w:tr>
      <w:tr w14:paraId="66A05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9BB0672">
            <w:pPr>
              <w:keepNext w:val="0"/>
              <w:keepLines w:val="0"/>
              <w:pageBreakBefore w:val="0"/>
              <w:kinsoku/>
              <w:wordWrap/>
              <w:overflowPunct/>
              <w:bidi w:val="0"/>
              <w:adjustRightInd/>
              <w:snapToGrid/>
              <w:spacing w:line="40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8612" w:type="dxa"/>
            <w:gridSpan w:val="2"/>
            <w:vAlign w:val="center"/>
          </w:tcPr>
          <w:p w14:paraId="75F64980">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需要补充的其他内容</w:t>
            </w:r>
          </w:p>
        </w:tc>
      </w:tr>
      <w:tr w14:paraId="50F42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8F4752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.1</w:t>
            </w:r>
          </w:p>
        </w:tc>
        <w:tc>
          <w:tcPr>
            <w:tcW w:w="2551" w:type="dxa"/>
            <w:vAlign w:val="center"/>
          </w:tcPr>
          <w:p w14:paraId="1ACB515A">
            <w:pPr>
              <w:pStyle w:val="24"/>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项目属性及所属行业</w:t>
            </w:r>
          </w:p>
        </w:tc>
        <w:tc>
          <w:tcPr>
            <w:tcW w:w="6061" w:type="dxa"/>
            <w:vAlign w:val="center"/>
          </w:tcPr>
          <w:p w14:paraId="5E969C9F">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本项目属性：服务类</w:t>
            </w:r>
          </w:p>
          <w:p w14:paraId="543EA541">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本项目采购标的所属行业为：其他未列明行业</w:t>
            </w:r>
          </w:p>
        </w:tc>
      </w:tr>
      <w:tr w14:paraId="038DF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6E485FE3">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.2</w:t>
            </w:r>
          </w:p>
        </w:tc>
        <w:tc>
          <w:tcPr>
            <w:tcW w:w="2551" w:type="dxa"/>
            <w:vAlign w:val="center"/>
          </w:tcPr>
          <w:p w14:paraId="72E1E057">
            <w:pPr>
              <w:pStyle w:val="24"/>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报价货币</w:t>
            </w:r>
          </w:p>
        </w:tc>
        <w:tc>
          <w:tcPr>
            <w:tcW w:w="6061" w:type="dxa"/>
            <w:vAlign w:val="center"/>
          </w:tcPr>
          <w:p w14:paraId="35467A21">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人民币（本项目不接受除人民币外的其它货币）</w:t>
            </w:r>
          </w:p>
        </w:tc>
      </w:tr>
      <w:tr w14:paraId="2ED7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D23315C">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bookmarkStart w:id="24" w:name="OLE_LINK20" w:colFirst="1" w:colLast="2"/>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.3</w:t>
            </w:r>
          </w:p>
        </w:tc>
        <w:tc>
          <w:tcPr>
            <w:tcW w:w="2551" w:type="dxa"/>
            <w:vAlign w:val="center"/>
          </w:tcPr>
          <w:p w14:paraId="1AB73B3E">
            <w:pPr>
              <w:pStyle w:val="24"/>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代理服务费收费标准</w:t>
            </w:r>
          </w:p>
        </w:tc>
        <w:tc>
          <w:tcPr>
            <w:tcW w:w="6061" w:type="dxa"/>
            <w:vAlign w:val="center"/>
          </w:tcPr>
          <w:p w14:paraId="34D57AF3">
            <w:pPr>
              <w:pStyle w:val="24"/>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代理服务费参照《国家计委关于印发&lt;招标代理服务收费管理暂行办法&gt;的通知》（计价格[2002]1980号）规定的标准计算收取，</w:t>
            </w:r>
            <w:r>
              <w:rPr>
                <w:rFonts w:hint="eastAsia" w:ascii="宋体" w:hAnsi="宋体" w:cs="宋体"/>
                <w:color w:val="000000" w:themeColor="text1"/>
                <w:highlight w:val="none"/>
                <w:lang w:val="en-US" w:eastAsia="zh-CN"/>
                <w14:textFill>
                  <w14:solidFill>
                    <w14:schemeClr w14:val="tx1"/>
                  </w14:solidFill>
                </w14:textFill>
              </w:rPr>
              <w:t>不足5000.00按5000.00收取，</w:t>
            </w:r>
            <w:r>
              <w:rPr>
                <w:rFonts w:hint="eastAsia" w:ascii="宋体" w:hAnsi="宋体" w:cs="宋体"/>
                <w:color w:val="000000" w:themeColor="text1"/>
                <w:highlight w:val="none"/>
                <w14:textFill>
                  <w14:solidFill>
                    <w14:schemeClr w14:val="tx1"/>
                  </w14:solidFill>
                </w14:textFill>
              </w:rPr>
              <w:t>由成交供应商在领取成交通知书前一次性向采购代理机构足额支付。</w:t>
            </w:r>
          </w:p>
        </w:tc>
      </w:tr>
      <w:bookmarkEnd w:id="24"/>
      <w:tr w14:paraId="30CA1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4CE209C2">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.4</w:t>
            </w:r>
          </w:p>
        </w:tc>
        <w:tc>
          <w:tcPr>
            <w:tcW w:w="2551" w:type="dxa"/>
            <w:vAlign w:val="center"/>
          </w:tcPr>
          <w:p w14:paraId="5382322C">
            <w:pPr>
              <w:pStyle w:val="24"/>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代理服务费缴纳账户</w:t>
            </w:r>
          </w:p>
        </w:tc>
        <w:tc>
          <w:tcPr>
            <w:tcW w:w="6061" w:type="dxa"/>
            <w:vAlign w:val="center"/>
          </w:tcPr>
          <w:p w14:paraId="166A0482">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单位名称：陕西中采项目管理有限公司 </w:t>
            </w:r>
          </w:p>
          <w:p w14:paraId="2771484F">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开户行名称：招商银行股份有限公司西安分行营业部</w:t>
            </w:r>
          </w:p>
          <w:p w14:paraId="431BD5EB">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账号：129911536210906</w:t>
            </w:r>
          </w:p>
          <w:p w14:paraId="2D909F3B">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联系人：万工/029-88811050</w:t>
            </w:r>
          </w:p>
          <w:p w14:paraId="6CF10E89">
            <w:pPr>
              <w:pStyle w:val="24"/>
              <w:keepNext w:val="0"/>
              <w:keepLines w:val="0"/>
              <w:pageBreakBefore w:val="0"/>
              <w:kinsoku/>
              <w:wordWrap/>
              <w:overflowPunct/>
              <w:bidi w:val="0"/>
              <w:adjustRightInd/>
              <w:snapToGrid/>
              <w:spacing w:line="40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请成交供应商按照要求将服务费汇入以上指定账户，如因自身原因发生错误，产生的不利后果均由供应商自行承担。</w:t>
            </w:r>
          </w:p>
        </w:tc>
      </w:tr>
      <w:tr w14:paraId="30BEA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2" w:type="dxa"/>
            <w:vAlign w:val="center"/>
          </w:tcPr>
          <w:p w14:paraId="51A34AC8">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5</w:t>
            </w:r>
          </w:p>
        </w:tc>
        <w:tc>
          <w:tcPr>
            <w:tcW w:w="2551" w:type="dxa"/>
            <w:vAlign w:val="center"/>
          </w:tcPr>
          <w:p w14:paraId="4D1F69CD">
            <w:pPr>
              <w:keepNext w:val="0"/>
              <w:keepLines w:val="0"/>
              <w:pageBreakBefore w:val="0"/>
              <w:kinsoku/>
              <w:wordWrap/>
              <w:overflowPunct/>
              <w:bidi w:val="0"/>
              <w:adjustRightInd/>
              <w:snapToGrid/>
              <w:spacing w:line="40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解释权</w:t>
            </w:r>
          </w:p>
        </w:tc>
        <w:tc>
          <w:tcPr>
            <w:tcW w:w="6061" w:type="dxa"/>
            <w:vAlign w:val="center"/>
          </w:tcPr>
          <w:p w14:paraId="49B2F848">
            <w:pPr>
              <w:keepNext w:val="0"/>
              <w:keepLines w:val="0"/>
              <w:pageBreakBefore w:val="0"/>
              <w:kinsoku/>
              <w:wordWrap/>
              <w:overflowPunct/>
              <w:bidi w:val="0"/>
              <w:adjustRightInd/>
              <w:snapToGrid/>
              <w:spacing w:line="40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采购阶段的规定，按供应商须知、评审办法、竞争性磋商响应文件格式的先后顺序解释；按本款前述规定仍不能形成结论的，由采购人负责解释。</w:t>
            </w:r>
          </w:p>
        </w:tc>
      </w:tr>
      <w:bookmarkEnd w:id="9"/>
      <w:bookmarkEnd w:id="10"/>
      <w:bookmarkEnd w:id="11"/>
      <w:bookmarkEnd w:id="12"/>
      <w:bookmarkEnd w:id="13"/>
    </w:tbl>
    <w:p w14:paraId="38247229">
      <w:pPr>
        <w:rPr>
          <w:rFonts w:hint="eastAsia" w:ascii="宋体" w:hAnsi="宋体" w:cs="宋体"/>
          <w:b/>
          <w:color w:val="000000" w:themeColor="text1"/>
          <w:szCs w:val="21"/>
          <w:highlight w:val="none"/>
          <w14:textFill>
            <w14:solidFill>
              <w14:schemeClr w14:val="tx1"/>
            </w14:solidFill>
          </w14:textFill>
        </w:rPr>
      </w:pPr>
      <w:bookmarkStart w:id="25" w:name="OLE_LINK21"/>
      <w:r>
        <w:rPr>
          <w:rFonts w:hint="eastAsia" w:ascii="宋体" w:hAnsi="宋体" w:cs="宋体"/>
          <w:b/>
          <w:color w:val="000000" w:themeColor="text1"/>
          <w:szCs w:val="21"/>
          <w:highlight w:val="none"/>
          <w14:textFill>
            <w14:solidFill>
              <w14:schemeClr w14:val="tx1"/>
            </w14:solidFill>
          </w14:textFill>
        </w:rPr>
        <w:br w:type="page"/>
      </w:r>
    </w:p>
    <w:p w14:paraId="65C021A6">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总则</w:t>
      </w:r>
    </w:p>
    <w:p w14:paraId="056A0CC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 项目概况</w:t>
      </w:r>
    </w:p>
    <w:p w14:paraId="0706C71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根据《中华人民共和国政府采购法》、《中华人民共和国政府采购法实施条例》、《政府采购竞争性磋商采购方式管理暂行办法》等有关法律、法规和规章的规定，本项目已具备采购条件，现对本项目进行采购。</w:t>
      </w:r>
    </w:p>
    <w:p w14:paraId="524652B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 采购人：见供应商须知前附表。</w:t>
      </w:r>
    </w:p>
    <w:p w14:paraId="6E9D1E8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 采购代理机构：见供应商须知前附表。</w:t>
      </w:r>
    </w:p>
    <w:p w14:paraId="4260C4F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 采购项目名称：见供应商须知前附表。</w:t>
      </w:r>
    </w:p>
    <w:p w14:paraId="189B8FC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 采购项目的资金来源和落实情况</w:t>
      </w:r>
    </w:p>
    <w:p w14:paraId="5B0DB16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 资金来源及比例：见供应商须知前附表。</w:t>
      </w:r>
    </w:p>
    <w:p w14:paraId="0C469BA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1.2.2 资金落实情况：见供应商须知前附表。</w:t>
      </w:r>
    </w:p>
    <w:p w14:paraId="0776568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1.3采购范围、</w:t>
      </w:r>
      <w:r>
        <w:rPr>
          <w:rFonts w:hint="eastAsia" w:ascii="宋体" w:hAnsi="宋体" w:cs="宋体"/>
          <w:color w:val="000000" w:themeColor="text1"/>
          <w:szCs w:val="21"/>
          <w:highlight w:val="none"/>
          <w:lang w:val="en-US" w:eastAsia="zh-CN"/>
          <w14:textFill>
            <w14:solidFill>
              <w14:schemeClr w14:val="tx1"/>
            </w14:solidFill>
          </w14:textFill>
        </w:rPr>
        <w:t>服务期限</w:t>
      </w:r>
      <w:r>
        <w:rPr>
          <w:rFonts w:hint="eastAsia" w:ascii="宋体" w:hAnsi="宋体" w:cs="宋体"/>
          <w:color w:val="000000" w:themeColor="text1"/>
          <w:szCs w:val="21"/>
          <w:highlight w:val="none"/>
          <w14:textFill>
            <w14:solidFill>
              <w14:schemeClr w14:val="tx1"/>
            </w14:solidFill>
          </w14:textFill>
        </w:rPr>
        <w:t>、质量标准</w:t>
      </w:r>
    </w:p>
    <w:p w14:paraId="50FD9B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 采购范围：见供应商须知前附表。</w:t>
      </w:r>
    </w:p>
    <w:p w14:paraId="7B7891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1.3.2 </w:t>
      </w:r>
      <w:r>
        <w:rPr>
          <w:rFonts w:hint="eastAsia" w:ascii="宋体" w:hAnsi="宋体" w:cs="宋体"/>
          <w:color w:val="000000" w:themeColor="text1"/>
          <w:szCs w:val="21"/>
          <w:highlight w:val="none"/>
          <w:lang w:val="en-US" w:eastAsia="zh-CN"/>
          <w14:textFill>
            <w14:solidFill>
              <w14:schemeClr w14:val="tx1"/>
            </w14:solidFill>
          </w14:textFill>
        </w:rPr>
        <w:t>服务期限</w:t>
      </w:r>
      <w:r>
        <w:rPr>
          <w:rFonts w:hint="eastAsia" w:ascii="宋体" w:hAnsi="宋体" w:cs="宋体"/>
          <w:color w:val="000000" w:themeColor="text1"/>
          <w:szCs w:val="21"/>
          <w:highlight w:val="none"/>
          <w14:textFill>
            <w14:solidFill>
              <w14:schemeClr w14:val="tx1"/>
            </w14:solidFill>
          </w14:textFill>
        </w:rPr>
        <w:t>：见供应商须知前附表。</w:t>
      </w:r>
    </w:p>
    <w:p w14:paraId="710CDAB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auto"/>
          <w:szCs w:val="21"/>
          <w:highlight w:val="none"/>
        </w:rPr>
        <w:t>质量标准：见供应商须知前附表。</w:t>
      </w:r>
    </w:p>
    <w:p w14:paraId="6A9733F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1.4供应商资格要求</w:t>
      </w:r>
    </w:p>
    <w:p w14:paraId="02B64CC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供应商应具备承担本采购项目资格要求：见供应商须知前附表。</w:t>
      </w:r>
    </w:p>
    <w:p w14:paraId="7BE920C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1.4.2供应商须知前附表规定接受联合体的，联合体除应符合本章对供应商应具备承担本采购项目资格要求和供应商须知前附表的要求外，还应遵守以下规定：</w:t>
      </w:r>
    </w:p>
    <w:p w14:paraId="0C944B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（1）联合体各方应按竞争性磋商文件提供的格式签订联合体协议书，明确联合体牵头人和各方权利义务，并承诺就成交项目向采购人承担连带责任；</w:t>
      </w:r>
    </w:p>
    <w:p w14:paraId="6BEF6D9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（2）由同一专业的单位组成的联合体，按照资质等级较低的单位确定资质等级；</w:t>
      </w:r>
    </w:p>
    <w:p w14:paraId="50740CA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（3）联合体各方不得再以自己名义单独或参加其他联合体在本采购项目中磋商，否则各相关磋商响应均无效。</w:t>
      </w:r>
    </w:p>
    <w:p w14:paraId="5FA8D6A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供应商不得存在下列情形之一：</w:t>
      </w:r>
    </w:p>
    <w:p w14:paraId="2035C9B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（1）为采购人不具有独立法人资格的附属机构（单位）；</w:t>
      </w:r>
    </w:p>
    <w:p w14:paraId="00536D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（2）与采购人（项目单位）存在利害关系且可能影响磋商公正性；</w:t>
      </w:r>
    </w:p>
    <w:p w14:paraId="19733B2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同一项目同一包号的其他采购活动。；</w:t>
      </w:r>
    </w:p>
    <w:p w14:paraId="18F4A4B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（4）为本采购项目的采购代理机构；</w:t>
      </w:r>
    </w:p>
    <w:p w14:paraId="7EE4323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（5）与本采购项目的采购代理机构存在控股或参股关系；</w:t>
      </w:r>
    </w:p>
    <w:p w14:paraId="342E84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（6）被依法暂停或者取消投标资格；</w:t>
      </w:r>
    </w:p>
    <w:p w14:paraId="1827AED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（7）被责令停产停业、暂扣或者吊销许可证、暂扣或者吊销执照；</w:t>
      </w:r>
    </w:p>
    <w:p w14:paraId="09D8849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（8）进入清算程序，或被宣告破产，或其他丧失履约能力的情形；</w:t>
      </w:r>
    </w:p>
    <w:p w14:paraId="086D99D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（9）在最近三年内发生重大质量问题（以相关行业主管部门的行政处罚决定或司法机关出具的有关法律文书为准）；</w:t>
      </w:r>
    </w:p>
    <w:p w14:paraId="17E15D2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（10）被工商行政管理机关在国家企业信用信息公示系统中列入严重违法失信企业名单；</w:t>
      </w:r>
    </w:p>
    <w:p w14:paraId="33FC022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（11）被最高人民法院在“信用中国”网站（www.creditchina.gov.cn）或各级信用信息共享平台中列入失信被执行人名单；</w:t>
      </w:r>
    </w:p>
    <w:p w14:paraId="0C456D0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（12）法律法规或供应商须知前附表规定的其他情形。</w:t>
      </w:r>
    </w:p>
    <w:p w14:paraId="07B25BB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 费用承担</w:t>
      </w:r>
    </w:p>
    <w:p w14:paraId="613965E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供应商准备和参加磋商活动发生的费用自理。</w:t>
      </w:r>
    </w:p>
    <w:p w14:paraId="1475272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1.6保密</w:t>
      </w:r>
    </w:p>
    <w:p w14:paraId="6F84230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参与磋商活动的各方应对竞争性磋商文件和磋商响应文件中的商业和技术等秘密保密，否则应承担相应的法律责任。</w:t>
      </w:r>
    </w:p>
    <w:p w14:paraId="499F1F1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 语言文字</w:t>
      </w:r>
    </w:p>
    <w:p w14:paraId="2214589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磋商响应文件使用的语言文字为中文。专用术语使用外文的，应附有中文注释。</w:t>
      </w:r>
    </w:p>
    <w:p w14:paraId="693A0D4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1.8计量单位</w:t>
      </w:r>
    </w:p>
    <w:p w14:paraId="6186066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所有计量均采用中华人民共和国法定计量单位。</w:t>
      </w:r>
    </w:p>
    <w:p w14:paraId="020B54C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1.9磋商预备会</w:t>
      </w:r>
    </w:p>
    <w:p w14:paraId="77CA921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 供应商须知前附表规定召开磋商预备会的，采购人按供应商须知前附表规定的时间和地点召开磋商预备会，澄清供应商提出的问题。</w:t>
      </w:r>
    </w:p>
    <w:p w14:paraId="7962A8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 供应商应按供应商须知前附表规定的时间和形式将提出的问题送达采购人，以便采购人在会议期间澄清。</w:t>
      </w:r>
    </w:p>
    <w:p w14:paraId="27A9E69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磋商预备会后，采购人将对供应商所提问题的澄清，以供应商须知前附表规定的形式通知所有获取竞争性磋商文件的供应商。该澄清内容为竞争性磋商文件的组成部分。</w:t>
      </w:r>
    </w:p>
    <w:p w14:paraId="0081180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 分包</w:t>
      </w:r>
    </w:p>
    <w:p w14:paraId="35B6379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本项目不允许分包。</w:t>
      </w:r>
    </w:p>
    <w:p w14:paraId="5FB68F1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1.11响应和偏差</w:t>
      </w:r>
    </w:p>
    <w:p w14:paraId="2068AD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1.11.1磋商响应文件应当对竞争性磋商文件的实质性要求和条件作出满足性或更有利于采购人的响应，否则，供应商将被否决。实质性要求和条件见供应商须知前附表。</w:t>
      </w:r>
    </w:p>
    <w:p w14:paraId="40D5548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1.11.2 供应商应根据竞争性磋商文件的要求提供相关服务方案等内容，以对竞争性磋商文件作出响应。</w:t>
      </w:r>
    </w:p>
    <w:p w14:paraId="7D102F3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1.11.3 供应</w:t>
      </w:r>
      <w:bookmarkStart w:id="26" w:name="OLE_LINK22"/>
      <w:r>
        <w:rPr>
          <w:rFonts w:hint="eastAsia" w:ascii="宋体" w:hAnsi="宋体" w:cs="宋体"/>
          <w:color w:val="000000" w:themeColor="text1"/>
          <w:szCs w:val="21"/>
          <w:highlight w:val="none"/>
          <w14:textFill>
            <w14:solidFill>
              <w14:schemeClr w14:val="tx1"/>
            </w14:solidFill>
          </w14:textFill>
        </w:rPr>
        <w:t>商须知前附表规定了可以偏差的范围和最高偏差项数的，偏差应当符合供应商须知前附表规定的偏差范围和最高项数，超出偏差范围和最高偏差项数的磋商响应文件将被否决。</w:t>
      </w:r>
    </w:p>
    <w:p w14:paraId="2557C11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1.11.4 磋商响应文件对竞争性磋商文件的全部偏差，均应在磋商响应文件的商务和技术偏差表中列明，除列明的内容外，视为供应商响应竞争性</w:t>
      </w:r>
      <w:bookmarkEnd w:id="26"/>
      <w:r>
        <w:rPr>
          <w:rFonts w:hint="eastAsia" w:ascii="宋体" w:hAnsi="宋体" w:cs="宋体"/>
          <w:color w:val="000000" w:themeColor="text1"/>
          <w:szCs w:val="21"/>
          <w:highlight w:val="none"/>
          <w14:textFill>
            <w14:solidFill>
              <w14:schemeClr w14:val="tx1"/>
            </w14:solidFill>
          </w14:textFill>
        </w:rPr>
        <w:t>磋商文件的全部要求。</w:t>
      </w:r>
    </w:p>
    <w:p w14:paraId="2158F7E9">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竞争性磋商文件</w:t>
      </w:r>
    </w:p>
    <w:p w14:paraId="5D1D714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竞争性磋商文件的组成</w:t>
      </w:r>
    </w:p>
    <w:p w14:paraId="53EA89B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本竞争性磋商文件包括：</w:t>
      </w:r>
    </w:p>
    <w:p w14:paraId="3E75A70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（1）竞争性磋商公告；</w:t>
      </w:r>
    </w:p>
    <w:p w14:paraId="04FEB52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（2）供应商须知；</w:t>
      </w:r>
    </w:p>
    <w:p w14:paraId="17EDCA5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（3）评审办法；</w:t>
      </w:r>
    </w:p>
    <w:p w14:paraId="2858AED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（4）采购内容及要求；</w:t>
      </w:r>
    </w:p>
    <w:p w14:paraId="26A16B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（5）合同条</w:t>
      </w:r>
      <w:r>
        <w:rPr>
          <w:rFonts w:hint="eastAsia" w:ascii="宋体" w:hAnsi="宋体" w:cs="宋体"/>
          <w:color w:val="000000" w:themeColor="text1"/>
          <w:szCs w:val="21"/>
          <w:highlight w:val="none"/>
          <w:lang w:val="en-US" w:eastAsia="zh-CN"/>
          <w14:textFill>
            <w14:solidFill>
              <w14:schemeClr w14:val="tx1"/>
            </w14:solidFill>
          </w14:textFill>
        </w:rPr>
        <w:t>主要</w:t>
      </w:r>
      <w:r>
        <w:rPr>
          <w:rFonts w:hint="eastAsia" w:ascii="宋体" w:hAnsi="宋体" w:cs="宋体"/>
          <w:color w:val="000000" w:themeColor="text1"/>
          <w:szCs w:val="21"/>
          <w:highlight w:val="none"/>
          <w14:textFill>
            <w14:solidFill>
              <w14:schemeClr w14:val="tx1"/>
            </w14:solidFill>
          </w14:textFill>
        </w:rPr>
        <w:t>款</w:t>
      </w:r>
    </w:p>
    <w:p w14:paraId="04EEF3C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（6）竞争性磋商响应文件格式；</w:t>
      </w:r>
    </w:p>
    <w:p w14:paraId="55AA79A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根据本章规定对竞争性磋商文件所作的澄清、修改，构成竞争性磋商文件的组成部分。</w:t>
      </w:r>
    </w:p>
    <w:p w14:paraId="5EB6E90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竞争性磋商文件的澄清</w:t>
      </w:r>
    </w:p>
    <w:p w14:paraId="1BF452B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7480480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竞争性磋商文件的澄清以供应商须知前附表规定的形式发给所有获取竞争性磋商文件的供应商，但不指明澄清问题的来源。澄清发出的时间距本章规定的响应文件递交截止时间不足5日的，并且澄清内容可能影响磋商响应文件编制的，将相应延长响应文件递交截止时间。</w:t>
      </w:r>
    </w:p>
    <w:p w14:paraId="13E8FE0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供应商在收到澄清后，应按供应商须知前附表规定的时间和形式通知采购人，确认已收到该澄清。</w:t>
      </w:r>
    </w:p>
    <w:p w14:paraId="185D9C0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2.2.4 除非采购人认为确有必要答复，否则，采购人有权拒绝回复供应商在本章规定的时间后的任何澄清要求。</w:t>
      </w:r>
    </w:p>
    <w:p w14:paraId="7EBB8FB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 竞争性磋商文件的修改</w:t>
      </w:r>
    </w:p>
    <w:p w14:paraId="24C423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采购人以供应商须知前附表规定的形式修改竞争性磋商文件，并通知所有已获取竞争性磋商文件的供应商。修改竞争性磋商文件的时间距本章规定的磋商响应文件递交截止时间不足5日的，并且修改内容可能影响磋商响应文件编制的，将相应延长磋商响应文件递交截止时间（磋商时间）。</w:t>
      </w:r>
    </w:p>
    <w:p w14:paraId="3F2E7B4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 供应商收到修改内容后，应按供应商须知前附表规定的时间和形式通知采购人，确认已收到该修改。</w:t>
      </w:r>
    </w:p>
    <w:p w14:paraId="29D41F4C">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 磋商响应文件</w:t>
      </w:r>
    </w:p>
    <w:p w14:paraId="15F2D14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 磋商响应文件的组成</w:t>
      </w:r>
    </w:p>
    <w:p w14:paraId="3AAD73D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磋商响应文件应包括下列内容：</w:t>
      </w:r>
    </w:p>
    <w:p w14:paraId="671EA3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（1）磋商响应函；</w:t>
      </w:r>
    </w:p>
    <w:p w14:paraId="5D86276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（2）法定代表人（单位负责人）身份证明或授权委托书；</w:t>
      </w:r>
    </w:p>
    <w:p w14:paraId="51F9C7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（3）商务和技术偏差表；</w:t>
      </w:r>
    </w:p>
    <w:p w14:paraId="133CC9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（4）资格审查资料；</w:t>
      </w:r>
    </w:p>
    <w:p w14:paraId="29C6511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（5）近年完成的类似项目情况表；</w:t>
      </w:r>
    </w:p>
    <w:p w14:paraId="4489266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（6）服务方案；</w:t>
      </w:r>
    </w:p>
    <w:p w14:paraId="7C85392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（7）供应商认为需要提供的其他资料。</w:t>
      </w:r>
    </w:p>
    <w:p w14:paraId="395382A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供应商在磋商过程中作出的符合法律法规和竞争性磋商文件规定的澄清确认，构成磋商响应文件的组成部分。</w:t>
      </w:r>
    </w:p>
    <w:p w14:paraId="3D70592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 磋商响应报价</w:t>
      </w:r>
    </w:p>
    <w:p w14:paraId="540E6B03">
      <w:pPr>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3.2.1 本次磋商采用两轮报价。第一次磋商响应报价随磋商响应文件提交。第二次磋商响应总报价在磋商后提交，最终总报价为本项目合同签约总价，本项目为固定总价合同。</w:t>
      </w:r>
    </w:p>
    <w:p w14:paraId="1648D6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供应商应按照竞争性磋商文件规定的要求、责任范围和合同条件进行报价，在磋商响应文件中的磋商报价表上按要求标明总价、其他相关要求等，任何有选择的报价采购代理机构不予接受。</w:t>
      </w:r>
    </w:p>
    <w:p w14:paraId="68373D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磋商过程中所产生的一切费用由供应商自行承担。</w:t>
      </w:r>
    </w:p>
    <w:p w14:paraId="6E5CDE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当磋商小组认为某个供应商的响应报价低于成本或明显低于其他通过符合性审查供应商的响应报价，有可能影响服务质量或者不能诚信履约的，应当要求其在磋商现场合理的时间内提供书面说明，必要时提交相关证明材料；供应商不能证明其报价合理性的，磋商小组会应当判定其为无效响应。</w:t>
      </w:r>
    </w:p>
    <w:p w14:paraId="1DE0CA37">
      <w:pPr>
        <w:spacing w:line="360" w:lineRule="auto"/>
        <w:ind w:firstLine="420" w:firstLineChars="200"/>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3.2.5 磋商响应报价应包括国家规定的增值税税金，除供应商须知前附表另有规定外，增值税税金按一般计税方法计算。供应商应按第六章“竞争性磋商响应文件格式”的要求在磋商响应函中进行报价并填写分项报价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如有）</w:t>
      </w:r>
    </w:p>
    <w:p w14:paraId="6A71ED0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 供应商应充分了解该项目的总体情况以及影响磋商响应报价的其他要素。凡因供应商对竞争性磋商文件阅读不深、理解不透、误解、疏漏、或因市场行情了解不清造成的后果和风险均由供应商自行负责。</w:t>
      </w:r>
    </w:p>
    <w:p w14:paraId="628DDB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3.2.7 磋商响应报价为各分项报价金额之和，磋商响应报价与分项报价的合价不一致的，应以各分项合价累计数为准，修正磋商响应报价。供应商在磋商响应文件递交截止时间（磋商时间）前修改磋商响应函中的磋商响应报价总额，应同时修改磋商响应文件“分项报价表”中的相应报价。此修改须符合本章规定的有关要求。</w:t>
      </w:r>
    </w:p>
    <w:p w14:paraId="1207D1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3.2.8 采购人设有最高限价的，供应商的磋商响应报价不得超过最高限价，最高限价在供应商须知前附表中载明。</w:t>
      </w:r>
    </w:p>
    <w:p w14:paraId="06AED61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3.2.9 磋商响应报价的其他要求见供应商须知前附表。</w:t>
      </w:r>
    </w:p>
    <w:p w14:paraId="7AD3715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 磋商有效期</w:t>
      </w:r>
    </w:p>
    <w:p w14:paraId="370126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除供应商须知前附表另有规定外，磋商有效期为90个日历日。</w:t>
      </w:r>
    </w:p>
    <w:p w14:paraId="79EFC4B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在磋商有效期内，供应商撤销磋商响应文件的，应承担竞争性磋商文件和法律规定的责任。</w:t>
      </w:r>
    </w:p>
    <w:p w14:paraId="377BD80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出现特殊情况需要延长磋商有效期的，采购人以书面形式通知所有供应商延长磋商有效期。供应商应予以书面答复，同意延长的，应相应延长其磋商保证金的有效期，但不得要求或被允许修改其磋商响应文件；供应商拒绝延长的，其磋商失效，但供应商有权收回其磋商保证金及以现金或者支票形式递交的磋商保证金的银行同期存款利息。</w:t>
      </w:r>
    </w:p>
    <w:p w14:paraId="75FA9BE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 磋商保证金：</w:t>
      </w:r>
    </w:p>
    <w:p w14:paraId="39817C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37E30BA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 资格审查资料</w:t>
      </w:r>
    </w:p>
    <w:p w14:paraId="6C0FDE7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详见供应商须知前附表。</w:t>
      </w:r>
    </w:p>
    <w:p w14:paraId="2FB04BF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 备选磋商方案</w:t>
      </w:r>
    </w:p>
    <w:p w14:paraId="54A18C7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 除供应商须知前附表规定允许外，供应商不得递交备选磋商方案，否则其磋商将被否决。</w:t>
      </w:r>
    </w:p>
    <w:p w14:paraId="07F64A1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 允许供应商递交备选磋商方案的，只有成交供应商所递交的备选磋商方案方可予以考虑。磋商小组认为成交供应商的备选磋商方案优于其按照竞争性磋商文件要求编制的磋商方案的，采购人可以接受该备选磋商方案。</w:t>
      </w:r>
    </w:p>
    <w:p w14:paraId="793BF18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 供应商提供两个或两个以上磋商响应报价，或者在磋商响应文件中提供一个报价，但同时提供两个或两个以上实施方案的，视为提供备选方案。</w:t>
      </w:r>
    </w:p>
    <w:p w14:paraId="6A14BA0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 磋商响应文件的编制</w:t>
      </w:r>
    </w:p>
    <w:p w14:paraId="7F1EBA8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3.7.1 磋商响应文件应按第六章“竞争性磋商响应文件格式”进行编写，如有必要，可以增加附页，作为磋商响应文件的组成部分。</w:t>
      </w:r>
    </w:p>
    <w:p w14:paraId="227E1C2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3.7.2 磋商响应文件应当对竞争性磋商文件有关</w:t>
      </w:r>
      <w:r>
        <w:rPr>
          <w:rFonts w:hint="eastAsia" w:ascii="宋体" w:hAnsi="宋体" w:cs="宋体"/>
          <w:b/>
          <w:bCs/>
          <w:color w:val="000000" w:themeColor="text1"/>
          <w:szCs w:val="21"/>
          <w:highlight w:val="none"/>
          <w14:textFill>
            <w14:solidFill>
              <w14:schemeClr w14:val="tx1"/>
            </w14:solidFill>
          </w14:textFill>
        </w:rPr>
        <w:t>磋商有效期、</w:t>
      </w:r>
      <w:r>
        <w:rPr>
          <w:rFonts w:hint="eastAsia" w:ascii="宋体" w:hAnsi="宋体" w:cs="宋体"/>
          <w:b/>
          <w:bCs/>
          <w:color w:val="000000" w:themeColor="text1"/>
          <w:szCs w:val="21"/>
          <w:highlight w:val="none"/>
          <w:lang w:val="en-US" w:eastAsia="zh-CN"/>
          <w14:textFill>
            <w14:solidFill>
              <w14:schemeClr w14:val="tx1"/>
            </w14:solidFill>
          </w14:textFill>
        </w:rPr>
        <w:t>服务期限</w:t>
      </w:r>
      <w:r>
        <w:rPr>
          <w:rFonts w:hint="eastAsia" w:ascii="宋体" w:hAnsi="宋体" w:cs="宋体"/>
          <w:b/>
          <w:bCs/>
          <w:color w:val="000000" w:themeColor="text1"/>
          <w:szCs w:val="21"/>
          <w:highlight w:val="none"/>
          <w14:textFill>
            <w14:solidFill>
              <w14:schemeClr w14:val="tx1"/>
            </w14:solidFill>
          </w14:textFill>
        </w:rPr>
        <w:t>、质量标准、采购内容</w:t>
      </w:r>
      <w:r>
        <w:rPr>
          <w:rFonts w:hint="eastAsia" w:ascii="宋体" w:hAnsi="宋体" w:cs="宋体"/>
          <w:color w:val="000000" w:themeColor="text1"/>
          <w:szCs w:val="21"/>
          <w:highlight w:val="none"/>
          <w14:textFill>
            <w14:solidFill>
              <w14:schemeClr w14:val="tx1"/>
            </w14:solidFill>
          </w14:textFill>
        </w:rPr>
        <w:t>等实质性内容作出响应。磋商响应文件在满足竞争性磋商文件实质性要求的基础上，可以提出比竞争性磋商文件要求更有利于采购人的承诺。</w:t>
      </w:r>
    </w:p>
    <w:p w14:paraId="73022CA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3.7.3（1）磋商响应文件应用不褪色的材料书写或打印，磋商响应函及对磋商响应文件的澄清、说明和补正应由供应商的法定代表人（单位负责人）或其授权的代理人签字或盖单位章。由供应商的法定代表人（单位负责人）签字的，应附法定代表人（单位负责人）身份证明，由代理人签字的，应附授权委托书，身份证明或授权委托书应符合第六章“竞争性磋商响应文件格式”的要求。磋商响应文件应尽量避免涂改、行间插字或删除。如果出现上述情况，改动之处应由供应商加盖单位公章或其法定代表人（单位负责人）或其授权的代理人签字或盖章。</w:t>
      </w:r>
    </w:p>
    <w:p w14:paraId="521306E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（2）磋商响应文件</w:t>
      </w:r>
      <w:r>
        <w:rPr>
          <w:rFonts w:hint="eastAsia" w:ascii="宋体" w:hAnsi="宋体" w:cs="宋体"/>
          <w:b/>
          <w:bCs/>
          <w:color w:val="000000" w:themeColor="text1"/>
          <w:szCs w:val="21"/>
          <w:highlight w:val="none"/>
          <w14:textFill>
            <w14:solidFill>
              <w14:schemeClr w14:val="tx1"/>
            </w14:solidFill>
          </w14:textFill>
        </w:rPr>
        <w:t>正本壹份</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副本份数见供应商须知前附表</w:t>
      </w:r>
      <w:r>
        <w:rPr>
          <w:rFonts w:hint="eastAsia" w:ascii="宋体" w:hAnsi="宋体" w:cs="宋体"/>
          <w:color w:val="000000" w:themeColor="text1"/>
          <w:szCs w:val="21"/>
          <w:highlight w:val="none"/>
          <w14:textFill>
            <w14:solidFill>
              <w14:schemeClr w14:val="tx1"/>
            </w14:solidFill>
          </w14:textFill>
        </w:rPr>
        <w:t>。正本和副本的封面上应清楚地标记“正本 ”或“副本”的字样。供应商应根据供应商须知前附表要求提供电子版文件。当副本和正本不一致或电子版文件和纸质正本文件不一致时，以纸质正本文件为准。</w:t>
      </w:r>
    </w:p>
    <w:p w14:paraId="123387D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（3）磋商响应文件的正本与副本应分别装订，磋商响应文件需分册装订的，具体分册装订要求见供应商须知前附表规定。</w:t>
      </w:r>
    </w:p>
    <w:p w14:paraId="4590A5FB">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 磋商</w:t>
      </w:r>
    </w:p>
    <w:p w14:paraId="4FE4C34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 磋商响应文件的密封和标记</w:t>
      </w:r>
    </w:p>
    <w:p w14:paraId="6C41DDB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 磋商响应文件应密封包装。</w:t>
      </w:r>
    </w:p>
    <w:p w14:paraId="6C25B35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 磋商响应文件封套上应写明的内容见供应商须知前附表。</w:t>
      </w:r>
    </w:p>
    <w:p w14:paraId="4E5A481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 未按本章要求密封的磋商响应文件，采购人或采购代理机构将予以拒收。</w:t>
      </w:r>
    </w:p>
    <w:p w14:paraId="43FD9B3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 磋商响应文件的递交</w:t>
      </w:r>
    </w:p>
    <w:p w14:paraId="44526FF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4.2.1 供应商应在供应商须知前附表规定的磋商响应文件递交截止时间（磋商时间）前递交磋商响应文件。</w:t>
      </w:r>
    </w:p>
    <w:p w14:paraId="5DF7AEF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4.2.2 供应商递交磋商响应文件的地点：见供应商须知前附表。</w:t>
      </w:r>
    </w:p>
    <w:p w14:paraId="457BA98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4.2.3 除供应商须知前附表另有规定外，供应商所递交的磋商响应文件不予退还。</w:t>
      </w:r>
    </w:p>
    <w:p w14:paraId="434BA3E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4.2.4 逾期送达的磋商响应文件，采购人或采购代理机构将予以拒收。</w:t>
      </w:r>
    </w:p>
    <w:p w14:paraId="03F6973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 磋商响应文件的修改与撤回</w:t>
      </w:r>
    </w:p>
    <w:p w14:paraId="64842AD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4.3.1 在本章规定的磋商响应文件递交截止时间（磋商时间）前，供应商可以修改或撤回已递交的磋商响应文件，但应以书面形式通知采购人或采购代理机构。</w:t>
      </w:r>
    </w:p>
    <w:p w14:paraId="328D42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4.3.2 供应商修改或撤回已递交磋商响应文件的书面通知应按照本章的要求签字或盖章。</w:t>
      </w:r>
    </w:p>
    <w:p w14:paraId="0587711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4.3.3 供应商撤回磋商响应文件的，采购人或采购代理机构自收到供应商书面撤回通知之日起5日内退还已收取的磋商保证金。</w:t>
      </w:r>
    </w:p>
    <w:p w14:paraId="324AE98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4.3.4 修改的内容为磋商响应文件的组成部分。修改的磋商响应文件应按照本章的规定进行编制、密封、标记和递交，并标明“修改”字样。</w:t>
      </w:r>
    </w:p>
    <w:p w14:paraId="4A1D51CD">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 磋商</w:t>
      </w:r>
    </w:p>
    <w:p w14:paraId="5662896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 磋商时间和地点</w:t>
      </w:r>
    </w:p>
    <w:p w14:paraId="3927376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采购人或采购代理机构在本章规定的磋商响应文件递交截止时间（磋商时间）和供应商须知前附表规定的地点公开磋商，并邀请所有供应商的法定代表人（单位负责人）或其委托代理人准时参加。</w:t>
      </w:r>
    </w:p>
    <w:p w14:paraId="3A60E1E0">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 磋商程序</w:t>
      </w:r>
    </w:p>
    <w:p w14:paraId="1D73E4A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（1）磋商会议程序</w:t>
      </w:r>
    </w:p>
    <w:p w14:paraId="2DA0D5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①在磋商文件规定的时间和地点，由采购代理机构组织磋商工作，供应商须委派代表参加，签名报到以证明其出席。</w:t>
      </w:r>
    </w:p>
    <w:p w14:paraId="41D6FD1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②宣布开标纪律；</w:t>
      </w:r>
    </w:p>
    <w:p w14:paraId="3F7411C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③公布在磋商响应文件递交截止时间（磋商时间）前递交响应文件的供应商名称；</w:t>
      </w:r>
    </w:p>
    <w:p w14:paraId="33BD7E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③宣布监督人、唱标人、记录人等有关人员姓名；</w:t>
      </w:r>
    </w:p>
    <w:p w14:paraId="55308EB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④检查响应文件的密封情况；</w:t>
      </w:r>
    </w:p>
    <w:p w14:paraId="69B9B48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⑤按第二章“供应商须知”前附表规定的开启顺序当众开标，公布项目名称、供应商数量及名称、供应商响应文件递交数量，并记录在案；</w:t>
      </w:r>
    </w:p>
    <w:p w14:paraId="5C5A02A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⑥磋商会议结束。</w:t>
      </w:r>
    </w:p>
    <w:p w14:paraId="0FA1545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供应商对磋商会议有异议的，应当在会议现场提出，采购代理机构或采购人当场作出答复，并制作记录。</w:t>
      </w:r>
    </w:p>
    <w:p w14:paraId="222C9F8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（2）磋商评审程序</w:t>
      </w:r>
    </w:p>
    <w:p w14:paraId="5F176A5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①磋商响应文件的资格性审查：依据法律法规和磋商文件的规定，由</w:t>
      </w:r>
      <w:r>
        <w:rPr>
          <w:rFonts w:hint="eastAsia" w:ascii="宋体" w:hAnsi="宋体" w:cs="宋体"/>
          <w:b/>
          <w:bCs/>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代表对磋商响应文件中的合格供应商证明文件进行审查，以确定供应商是否具备相应资格。</w:t>
      </w:r>
    </w:p>
    <w:p w14:paraId="3BAD27D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②磋商响应文件符合性审查：依据磋商文件的规定，由磋商小组对磋商响应文件的有效性、完整性和对磋商文件的响应程度进行审查，以确定供应商是否具备相应资格。</w:t>
      </w:r>
    </w:p>
    <w:p w14:paraId="0F12745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1A89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DCB4C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③磋商：磋商小组所有成员集中与单一供应商分别进行磋商，并给所有参加磋商供应商平等的磋商机会。</w:t>
      </w:r>
    </w:p>
    <w:p w14:paraId="7C20435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第二次磋商报价：磋商结束后，有效响应供应商不少于三家。磋商小组要求磋商后通过资格及符合性审查的合格供应商在规定时间内提交第二次磋商报价（最终磋商报价），第二次磋商报价是供应商响应文件的有效组成部分，且由其法定代表人（或授权代表人）签字或者盖章。第二次磋商报价包含完成采购项目内容所需的全部费用。</w:t>
      </w:r>
    </w:p>
    <w:p w14:paraId="4858682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⑤磋商响应文件详细评审：磋商小组按照磋商文件规定的评审方法和标准，对通过初步评审供应商的响应文件文件进行详细评审，最低报价不作为成交的唯一条件。</w:t>
      </w:r>
    </w:p>
    <w:p w14:paraId="7EBA245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其他：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实质性变动的内容，须经采购人代表确认，并成为竞争性磋商文件的有效组成部分。供应商应当按照竞争性磋商文件的变动情况和磋商小组的要求重新提交竞争性磋商响应文件，并由其法供应商澄清、说明或者更正应当由法定代表人或者授权代表签字或者加盖公章。澄清、说明或者更正不得超出响应范围，或者改变响应文件的实质性内容定代表人或授权代表签字或者加盖公章。</w:t>
      </w:r>
    </w:p>
    <w:p w14:paraId="357C02D4">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 评审</w:t>
      </w:r>
    </w:p>
    <w:p w14:paraId="0B9DFB1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 磋商小组</w:t>
      </w:r>
    </w:p>
    <w:p w14:paraId="7F31736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 评审由采购人依法组建的磋商小组负责。磋商小组由采购人或其委托的采购代理机构熟悉相关业务的代表，以及有关技术、经济等方面的专家组成。磋商小组成员人数以及技术、经济等方面专家的确定方式见供应商须知前附表。</w:t>
      </w:r>
    </w:p>
    <w:p w14:paraId="70C5BFE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6.1.2 磋商小组成员有下列情形之一的，应当回避：</w:t>
      </w:r>
    </w:p>
    <w:p w14:paraId="32CE910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1EC18B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FF6EA98">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（3）与供应商有其他可能影响政府采购活动公平、公正进行的关系。</w:t>
      </w:r>
    </w:p>
    <w:p w14:paraId="0EB251B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6.1.3 评审过程中，磋商小组成员有回避事由、擅离职守或者因健康等原因不能继续评审的，采购人有权更换。被更换的磋商小组成员作出的评审结论无效，由更换后的磋商小组成员重新进行评审。</w:t>
      </w:r>
    </w:p>
    <w:p w14:paraId="23689A0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 评审原则</w:t>
      </w:r>
    </w:p>
    <w:p w14:paraId="3182C96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评审活动遵循公平、公正、科学择优的原则。</w:t>
      </w:r>
    </w:p>
    <w:p w14:paraId="41B0DBC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 评审</w:t>
      </w:r>
    </w:p>
    <w:p w14:paraId="1BB3A83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6.3.1磋商小组按照第三章“评审办法”规定的方法、评审因素、标准和程序对磋商响应文件进行评审。第三章“评审办法”没有规定的方法、评审因素和标准，不作为评审依据。</w:t>
      </w:r>
    </w:p>
    <w:p w14:paraId="1894278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6.3.2评审完成后，磋商小组应当向采购人提交书面评审报告和成交候选供应商名单。磋商小组推荐成交候选供应商的人数见供应商须知前附表。</w:t>
      </w:r>
    </w:p>
    <w:p w14:paraId="53D54C86">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 合同授予</w:t>
      </w:r>
      <w:r>
        <w:rPr>
          <w:rFonts w:hint="eastAsia" w:ascii="宋体" w:hAnsi="宋体" w:cs="宋体"/>
          <w:b/>
          <w:color w:val="000000" w:themeColor="text1"/>
          <w:szCs w:val="21"/>
          <w:highlight w:val="none"/>
          <w14:textFill>
            <w14:solidFill>
              <w14:schemeClr w14:val="tx1"/>
            </w14:solidFill>
          </w14:textFill>
        </w:rPr>
        <w:tab/>
      </w:r>
    </w:p>
    <w:p w14:paraId="5AF00953">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 成交结果公示</w:t>
      </w:r>
    </w:p>
    <w:p w14:paraId="35D4768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采购人或者采购代理机构应当自成交供应商确定之日起</w:t>
      </w:r>
      <w:r>
        <w:rPr>
          <w:rFonts w:hint="eastAsia" w:ascii="宋体" w:hAnsi="宋体" w:cs="宋体"/>
          <w:bCs/>
          <w:color w:val="000000" w:themeColor="text1"/>
          <w:szCs w:val="21"/>
          <w:highlight w:val="none"/>
          <w14:textFill>
            <w14:solidFill>
              <w14:schemeClr w14:val="tx1"/>
            </w14:solidFill>
          </w14:textFill>
        </w:rPr>
        <w:t>2个工作日内</w:t>
      </w:r>
      <w:r>
        <w:rPr>
          <w:rFonts w:hint="eastAsia" w:ascii="宋体" w:hAnsi="宋体" w:cs="宋体"/>
          <w:color w:val="000000" w:themeColor="text1"/>
          <w:szCs w:val="21"/>
          <w:highlight w:val="none"/>
          <w14:textFill>
            <w14:solidFill>
              <w14:schemeClr w14:val="tx1"/>
            </w14:solidFill>
          </w14:textFill>
        </w:rPr>
        <w:t>，在省级以上财政部门指定的媒体上公告成交结果，公示期不得少于</w:t>
      </w:r>
      <w:r>
        <w:rPr>
          <w:rFonts w:hint="eastAsia" w:ascii="宋体" w:hAnsi="宋体" w:cs="宋体"/>
          <w:bCs/>
          <w:color w:val="000000" w:themeColor="text1"/>
          <w:szCs w:val="21"/>
          <w:highlight w:val="none"/>
          <w14:textFill>
            <w14:solidFill>
              <w14:schemeClr w14:val="tx1"/>
            </w14:solidFill>
          </w14:textFill>
        </w:rPr>
        <w:t>1个工作日</w:t>
      </w:r>
      <w:r>
        <w:rPr>
          <w:rFonts w:hint="eastAsia" w:ascii="宋体" w:hAnsi="宋体" w:cs="宋体"/>
          <w:color w:val="000000" w:themeColor="text1"/>
          <w:szCs w:val="21"/>
          <w:highlight w:val="none"/>
          <w14:textFill>
            <w14:solidFill>
              <w14:schemeClr w14:val="tx1"/>
            </w14:solidFill>
          </w14:textFill>
        </w:rPr>
        <w:t>。</w:t>
      </w:r>
    </w:p>
    <w:p w14:paraId="57B43DC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 成交候选供应商履约能力审查</w:t>
      </w:r>
    </w:p>
    <w:p w14:paraId="478181A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成交候选供应商的经营、财务状况发生较大变化或存在违法行为，采购人认为可能影响其履约能力的，将汇报同级财政部门并提请原磋商小组按照竞争性磋商文件规定的标准和方法进行审查确认。</w:t>
      </w:r>
    </w:p>
    <w:p w14:paraId="7068473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 定标</w:t>
      </w:r>
    </w:p>
    <w:p w14:paraId="0685DB4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7.3.1除供应商须知前附表另有规定外，采购人应当自收到评标报告之日起5个工作日内，在评标报告确定的成交候选供应商名单中按顺序确定成交供应商。</w:t>
      </w:r>
    </w:p>
    <w:p w14:paraId="7F6D891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7.4 成交通知</w:t>
      </w:r>
    </w:p>
    <w:p w14:paraId="6F47A74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在成交结果公告当天，以书面形式向成交供应商发出成交通知书，同时将成交结果通知未成交的供应商。</w:t>
      </w:r>
    </w:p>
    <w:p w14:paraId="4B749A3A">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7.5 履约保证金</w:t>
      </w:r>
    </w:p>
    <w:p w14:paraId="701214A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在签订合同前，成交供应商应按供应商须知前附表规定的形式、金额和竞争性磋商文件</w:t>
      </w:r>
      <w:r>
        <w:rPr>
          <w:rFonts w:hint="eastAsia" w:ascii="宋体" w:hAnsi="宋体" w:cs="宋体"/>
          <w:bCs/>
          <w:color w:val="000000" w:themeColor="text1"/>
          <w:szCs w:val="21"/>
          <w:highlight w:val="none"/>
          <w14:textFill>
            <w14:solidFill>
              <w14:schemeClr w14:val="tx1"/>
            </w14:solidFill>
          </w14:textFill>
        </w:rPr>
        <w:t>第五章“合同主要条款”</w:t>
      </w:r>
      <w:r>
        <w:rPr>
          <w:rFonts w:hint="eastAsia" w:ascii="宋体" w:hAnsi="宋体" w:cs="宋体"/>
          <w:color w:val="000000" w:themeColor="text1"/>
          <w:szCs w:val="21"/>
          <w:highlight w:val="none"/>
          <w14:textFill>
            <w14:solidFill>
              <w14:schemeClr w14:val="tx1"/>
            </w14:solidFill>
          </w14:textFill>
        </w:rPr>
        <w:t>规定的或者事先经过采购人书面认可的履约保证金格式向采购人提交履约保证金。除供应商须知前附表另有规定外，履约保证金为签约合同金额的10%。联合体成交的，其履约保证金以联合体各方或者联合体中牵头人的名义提交。成交供应商不能按本章规定要求提交履约保证金的，视为放弃成交资格，其磋商保证金采购人有权不予退还，给采购人造成的损失超过磋商保证金数额的，成交供应商还应当对超过部分予以赔偿。</w:t>
      </w:r>
    </w:p>
    <w:p w14:paraId="4DCB8972">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 合同签订及公示</w:t>
      </w:r>
    </w:p>
    <w:p w14:paraId="2F4B9F4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7.6.1 采购人和成交供应商应当在成交通知书发出之日起30日内，根据竞争性磋商文件和成交供应商的磋商响应文件订立书面合同。成交供应商无正当理由拒签合同，在签订合同时向采购人提出附加条件，或者不按照竞争性磋商文件要求提交履约保证金的，采购人有权取消其成交资格，其磋商保证金采购人有权不予退还；给采购人造成的损失超过磋商保证金数额的，成交供应商还应当对超过部分予以赔偿。</w:t>
      </w:r>
    </w:p>
    <w:p w14:paraId="2A7E8F8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7.6.2 发出成交通知书后，采购人无正当理由拒签合同，或者在签订合同时向成交供应商提出附加条件的，采购人向成交供应商退还磋商保证金；给成交供应商造成损失的，采购人应当赔偿损失。</w:t>
      </w:r>
    </w:p>
    <w:p w14:paraId="6C4CE2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7.6.3 联合体成交的，联合体各方应当共同与采购人签订合同，就成交项目向采购人承担连带责任。</w:t>
      </w:r>
    </w:p>
    <w:p w14:paraId="30F05CA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7.6.4 采购人应在合同签订后</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个工作日内将政府采购合同在省级以上人民政府财政部门指定的媒体上进行公告。但政府采购合同中涉及国家秘密、商业秘密的内容除外。</w:t>
      </w:r>
    </w:p>
    <w:p w14:paraId="0D1F286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7.6.5 确定成交单位后，成交供应商因自身原因未按程序签订合同，采购人将取消其成交资格，同时报请监督机构备案。在此情况下，采购人可按评审结果顺序将合同授予下一成交候选供应商或重新采购。</w:t>
      </w:r>
    </w:p>
    <w:p w14:paraId="1C88DD9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8.纪律和监督</w:t>
      </w:r>
    </w:p>
    <w:p w14:paraId="6D8D0C18">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 对采购人的纪律要求</w:t>
      </w:r>
    </w:p>
    <w:p w14:paraId="4B0F032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采购人不得泄露采购磋商活动中应当保密的情况和资料，不得与供应商串通损害国家利益、社会公共利益或者他人合法权益。</w:t>
      </w:r>
    </w:p>
    <w:p w14:paraId="40EFB927">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 对供应商的纪律要求</w:t>
      </w:r>
    </w:p>
    <w:p w14:paraId="2DA9BFF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供应商不得相互串通磋商或者与采购人串通，不得向采购人或者磋商小组成员行贿谋取成交，不得以他人名义磋商或者以其他方式弄虚作假骗取成交；供应商不得以任何方式干扰、影响评审工作。</w:t>
      </w:r>
    </w:p>
    <w:p w14:paraId="0DFB5A9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 对磋商小组成员的纪律要求</w:t>
      </w:r>
    </w:p>
    <w:p w14:paraId="307482B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成员不得收受他人的财物或者其他好处，不得向他人透露对磋商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40B3996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 对与评审活动有关的工作人员的纪律要求</w:t>
      </w:r>
    </w:p>
    <w:p w14:paraId="2D7351F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评审活动有关的工作人员不得收受他人的财物或者其他好处，不得向他人透露对磋商响应文件的评审和比较、成交候选供应商的推荐情况以及评审有关的其他情况。在评审活动中，与评审活动有关的工作人员不得擅离职守，影响评审程序正常进行。</w:t>
      </w:r>
    </w:p>
    <w:p w14:paraId="634D936F">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 是否采用电子采购</w:t>
      </w:r>
    </w:p>
    <w:p w14:paraId="623D2D1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见供应商须知前附表。</w:t>
      </w:r>
    </w:p>
    <w:p w14:paraId="316CA6EC">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10. 需要补充的其他内容</w:t>
      </w:r>
    </w:p>
    <w:p w14:paraId="2DF0F91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需要补充的其他内容：见供应商须知前附表。</w:t>
      </w:r>
    </w:p>
    <w:p w14:paraId="3812AF89">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 无效响应、废标与重新采购</w:t>
      </w:r>
    </w:p>
    <w:p w14:paraId="4E3CE40C">
      <w:pPr>
        <w:spacing w:line="360" w:lineRule="auto"/>
        <w:ind w:firstLine="420"/>
        <w:rPr>
          <w:rFonts w:ascii="宋体" w:hAnsi="宋体" w:cs="宋体"/>
          <w:color w:val="000000" w:themeColor="text1"/>
          <w:szCs w:val="21"/>
          <w:highlight w:val="none"/>
          <w14:textFill>
            <w14:solidFill>
              <w14:schemeClr w14:val="tx1"/>
            </w14:solidFill>
          </w14:textFill>
        </w:rPr>
      </w:pPr>
      <w:bookmarkStart w:id="27" w:name="_Toc217446072"/>
      <w:r>
        <w:rPr>
          <w:rFonts w:hint="eastAsia" w:ascii="宋体" w:hAnsi="宋体" w:cs="宋体"/>
          <w:color w:val="000000" w:themeColor="text1"/>
          <w:szCs w:val="21"/>
          <w:highlight w:val="none"/>
          <w14:textFill>
            <w14:solidFill>
              <w14:schemeClr w14:val="tx1"/>
            </w14:solidFill>
          </w14:textFill>
        </w:rPr>
        <w:t>11.1 供应商有以下情形之一的，其磋商作无效处理：</w:t>
      </w:r>
    </w:p>
    <w:p w14:paraId="1E14F94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（1）供应商未经过正常渠道获取竞争性磋商文件的或供应商名称与获取竞争性磋商文件单位的名称不一致的；</w:t>
      </w:r>
    </w:p>
    <w:p w14:paraId="533C1F8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（2）未按照竞争性磋商文件规定交纳磋商保证金或未在磋商响应文件中附入磋商保证金交纳凭证的；</w:t>
      </w:r>
    </w:p>
    <w:p w14:paraId="47029B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（3）未按照竞争性磋商文件规定和要求密封、签署、盖章的；</w:t>
      </w:r>
    </w:p>
    <w:p w14:paraId="55D8EBB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（4）未按照竞争性磋商文件规定的格式要求编制的；</w:t>
      </w:r>
    </w:p>
    <w:p w14:paraId="6F00AAB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（5）不具备竞争性磋商文件中规定的资格要求的；</w:t>
      </w:r>
    </w:p>
    <w:p w14:paraId="6673F43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（6）磋商小组需核查备查的原件（或资料）的未按要求时间及时提交合格原件（或资料）或所提交的原件不合格的；</w:t>
      </w:r>
    </w:p>
    <w:p w14:paraId="45D59FD4">
      <w:pPr>
        <w:spacing w:line="360" w:lineRule="auto"/>
        <w:ind w:firstLine="420"/>
        <w:rPr>
          <w:rFonts w:ascii="宋体" w:hAnsi="宋体" w:cs="宋体"/>
          <w:color w:val="000000" w:themeColor="text1"/>
          <w:szCs w:val="21"/>
          <w:highlight w:val="none"/>
          <w14:textFill>
            <w14:solidFill>
              <w14:schemeClr w14:val="tx1"/>
            </w14:solidFill>
          </w14:textFill>
        </w:rPr>
      </w:pPr>
      <w:bookmarkStart w:id="28" w:name="OLE_LINK23"/>
      <w:r>
        <w:rPr>
          <w:rFonts w:hint="eastAsia" w:ascii="宋体" w:hAnsi="宋体" w:cs="宋体"/>
          <w:color w:val="000000" w:themeColor="text1"/>
          <w:szCs w:val="21"/>
          <w:highlight w:val="none"/>
          <w14:textFill>
            <w14:solidFill>
              <w14:schemeClr w14:val="tx1"/>
            </w14:solidFill>
          </w14:textFill>
        </w:rPr>
        <w:t>（7）磋商响应文件对竞争性磋商文件的实质性条款响应不符合采购项目的要求；</w:t>
      </w:r>
    </w:p>
    <w:p w14:paraId="3B960DF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（8）供应商的磋商响应报价超过本项目最高限价的；</w:t>
      </w:r>
    </w:p>
    <w:p w14:paraId="032AB36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（9）拒绝或不按磋商小组要求澄清、说明或补正的；</w:t>
      </w:r>
    </w:p>
    <w:p w14:paraId="45EF104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（10）磋商响应文件中附有采购人不能接受的条件；</w:t>
      </w:r>
    </w:p>
    <w:p w14:paraId="76DC566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（11）磋商响应文件的关键内容字迹模糊和无法辨认的；</w:t>
      </w:r>
    </w:p>
    <w:p w14:paraId="2DF4C72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（12）磋商响应文件不符合竞争性磋商文件规定的，其磋商将被否决的条款或其他无效情形的；</w:t>
      </w:r>
    </w:p>
    <w:p w14:paraId="07F9767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（13）磋商响应文件不符合法律、法规要求的；</w:t>
      </w:r>
    </w:p>
    <w:bookmarkEnd w:id="28"/>
    <w:p w14:paraId="4BCCF9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（14）提供虚假证明，开具虚假资质，除按无效磋商响应文件处理外，还应由国家管理机关依据相关法律法规进行相应的处罚。</w:t>
      </w:r>
    </w:p>
    <w:p w14:paraId="4A24CD5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12.2 </w:t>
      </w:r>
      <w:bookmarkEnd w:id="27"/>
      <w:r>
        <w:rPr>
          <w:rFonts w:hint="eastAsia" w:ascii="宋体" w:hAnsi="宋体" w:cs="宋体"/>
          <w:color w:val="000000" w:themeColor="text1"/>
          <w:szCs w:val="21"/>
          <w:highlight w:val="none"/>
          <w14:textFill>
            <w14:solidFill>
              <w14:schemeClr w14:val="tx1"/>
            </w14:solidFill>
          </w14:textFill>
        </w:rPr>
        <w:t>采购采购中，出现下列情形之一的，应予以废标：</w:t>
      </w:r>
    </w:p>
    <w:p w14:paraId="39362DC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（1）符合专业条件的供应商或者对竞争性磋商文件作实质响应的供应商不足3家的；</w:t>
      </w:r>
    </w:p>
    <w:p w14:paraId="224DF8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286A97F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（3）因重大变故，采购任务取消的。</w:t>
      </w:r>
    </w:p>
    <w:p w14:paraId="4D91B72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废标后，采购代理机构应在财政部门指定采购网上公告，并公告废标的详细理由。</w:t>
      </w:r>
    </w:p>
    <w:p w14:paraId="2422BE1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 废标后，除采购任务取消情形外，按照以下方式处理：</w:t>
      </w:r>
    </w:p>
    <w:p w14:paraId="0FE453E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（1）竞争性磋商文件存在不合理条款或者采购程序不符合规定的，采购人、采购代理机构改正后依法重新采购；</w:t>
      </w:r>
    </w:p>
    <w:p w14:paraId="05D3C9B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（2）竞争性磋商文件没有不合理条款、采购程序符合规定，需要采用其他采购方式采购的，采购人应当依法报财政部门批准。</w:t>
      </w:r>
    </w:p>
    <w:p w14:paraId="50CFB6C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12.4出现下列情形之一的，采购人或者采购代理机构应当终止竞争性磋商采购活动，发布项目终止公告并说明原因，重新开展采购活动：</w:t>
      </w:r>
    </w:p>
    <w:p w14:paraId="22B2679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（1）因情况变化，不再符合规定的竞争性磋商采购方式适用情形的；</w:t>
      </w:r>
    </w:p>
    <w:p w14:paraId="0C234DF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14:paraId="10694C4A">
      <w:pPr>
        <w:spacing w:line="360" w:lineRule="auto"/>
        <w:ind w:firstLine="420"/>
        <w:rPr>
          <w:rFonts w:ascii="宋体" w:hAnsi="宋体" w:cs="宋体"/>
          <w:color w:val="000000" w:themeColor="text1"/>
          <w:szCs w:val="21"/>
          <w:highlight w:val="none"/>
          <w14:textFill>
            <w14:solidFill>
              <w14:schemeClr w14:val="tx1"/>
            </w14:solidFill>
          </w14:textFill>
        </w:rPr>
      </w:pPr>
      <w:bookmarkStart w:id="29" w:name="OLE_LINK25"/>
      <w:r>
        <w:rPr>
          <w:rFonts w:hint="eastAsia" w:ascii="宋体" w:hAnsi="宋体" w:cs="宋体"/>
          <w:color w:val="000000" w:themeColor="text1"/>
          <w:szCs w:val="21"/>
          <w:highlight w:val="none"/>
          <w14:textFill>
            <w14:solidFill>
              <w14:schemeClr w14:val="tx1"/>
            </w14:solidFill>
          </w14:textFill>
        </w:rPr>
        <w:t>（3）除《政府采购竞争性磋商采购方式管理暂行办法》第二十一条第三款规定的情形外，在采购过程中符合要求的供应商或者报价未超过采购预算的供应商不足3家的。</w:t>
      </w:r>
    </w:p>
    <w:p w14:paraId="7149C9DD">
      <w:pPr>
        <w:spacing w:line="360" w:lineRule="auto"/>
        <w:ind w:firstLine="420"/>
        <w:rPr>
          <w:rFonts w:ascii="宋体" w:hAnsi="宋体" w:cs="宋体"/>
          <w:color w:val="000000" w:themeColor="text1"/>
          <w:szCs w:val="21"/>
          <w:highlight w:val="none"/>
          <w14:textFill>
            <w14:solidFill>
              <w14:schemeClr w14:val="tx1"/>
            </w14:solidFill>
          </w14:textFill>
        </w:rPr>
      </w:pPr>
      <w:bookmarkStart w:id="30" w:name="OLE_LINK24"/>
      <w:r>
        <w:rPr>
          <w:rFonts w:hint="eastAsia" w:ascii="宋体" w:hAnsi="宋体" w:cs="宋体"/>
          <w:color w:val="000000" w:themeColor="text1"/>
          <w:szCs w:val="21"/>
          <w:highlight w:val="none"/>
          <w14:textFill>
            <w14:solidFill>
              <w14:schemeClr w14:val="tx1"/>
            </w14:solidFill>
          </w14:textFill>
        </w:rPr>
        <w:t>（4）废标后，除采购任务取消情形外，应当重新组织招标；需要采取其他方式采购的，应当在采购活动开始前获得政府采购监督管理部门或者政府有关部门批准。</w:t>
      </w:r>
    </w:p>
    <w:p w14:paraId="6D7C91C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（5）确定成交单位后，成交供应商因自身原因未按程序签订合同，采购人将取消其成交资格，同时报请监督机构备案。在此情况下，采购人可按评审结果顺序将合同授予下一成交候选供应商或重新采购。</w:t>
      </w:r>
    </w:p>
    <w:bookmarkEnd w:id="29"/>
    <w:bookmarkEnd w:id="30"/>
    <w:p w14:paraId="79270405">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 串标认定</w:t>
      </w:r>
    </w:p>
    <w:p w14:paraId="345A682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供应商有下列情形之一的，属于恶意串通行为，其磋商响应无效。采购人有权依照《中华人共和国政府采购法》第七十二条的规定追究其法律责任。</w:t>
      </w:r>
    </w:p>
    <w:p w14:paraId="1961FCC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（1）供应商之间协商报价、技术方案等投标文件或者响应文件的实质性内容； </w:t>
      </w:r>
    </w:p>
    <w:p w14:paraId="71A7B71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（2）属于同一集团、协会、商会等组织成员的供应商按照该组织要求协同参加政府采购活动； </w:t>
      </w:r>
    </w:p>
    <w:p w14:paraId="6DB202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（3）供应商之间事先约定由某一特定供应商中标、成交； </w:t>
      </w:r>
    </w:p>
    <w:p w14:paraId="6F389F7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（4）供应商之间商定部分供应商放弃参加政府采购活动或者放弃中标、成交； </w:t>
      </w:r>
    </w:p>
    <w:p w14:paraId="27A91EB9">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 质疑和投诉</w:t>
      </w:r>
    </w:p>
    <w:p w14:paraId="4381AD2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质疑、投诉的接收和处理严格按照《中华人共和国政府采购法》、《政府采购质疑和投诉办法》财政部令第94号、《财政部关于加强政府采购供应商投诉受理审查工作的通知》等的相关规定办理。</w:t>
      </w:r>
    </w:p>
    <w:p w14:paraId="51A039F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 供应商认为竞争性磋商文件、采购过程和成交或者成交结果使自己的权益受到损害的，可以在知道或者应知其权益受到损害之日起七个工作日内，一次性以书面原件形式向采购代理机构提出质疑，逾期质疑无效。质疑、投诉的接收和处理严格按照《中华人共和国政府采购法》、《政府采购供应商投诉处理办法》、《财政部关于加强政府采购供应商投诉受理审查工作的通知》等的相关规定办理。</w:t>
      </w:r>
    </w:p>
    <w:p w14:paraId="6C50500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供应商应知其权益受到损害之日是指：</w:t>
      </w:r>
    </w:p>
    <w:p w14:paraId="55F0DF8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1）对竞争性磋商文件提出质疑的，为收到竞争性磋商文件之日；</w:t>
      </w:r>
    </w:p>
    <w:p w14:paraId="0FA6743D">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2）对采购过程提出质疑的，为各采购程序环节结束之日；</w:t>
      </w:r>
    </w:p>
    <w:p w14:paraId="056B5AF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3）对成交结果提出质疑的，为成交结果公告发布之日。</w:t>
      </w:r>
    </w:p>
    <w:p w14:paraId="6A4C91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 质疑文件应当包括下列主要内容：</w:t>
      </w:r>
    </w:p>
    <w:p w14:paraId="7CF5BAD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1）质疑供应商和相关供应商的名称、地址、联系人及联系电话等；</w:t>
      </w:r>
    </w:p>
    <w:p w14:paraId="2B11F05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2）质疑项目及编号、质疑事项；</w:t>
      </w:r>
    </w:p>
    <w:p w14:paraId="49D5CDB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3）认为竞争性磋商文件、采购过程、成交或者成交结果使自己的合法权益受到损害的法律依据、事实依据、相关证明材料及证据来源；</w:t>
      </w:r>
    </w:p>
    <w:p w14:paraId="2E3C864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4）提出质疑的日期。</w:t>
      </w:r>
    </w:p>
    <w:p w14:paraId="6CD5F5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14.1.2 质疑函应当署名。质疑供应商为自然人的，应当由本人签字；质疑供应商为法人或者其他组织的，应当由法定代表人或者主要负责人签字盖章并加盖公章。</w:t>
      </w:r>
    </w:p>
    <w:p w14:paraId="5B06418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14.1.3 供应商质疑应当有明确的请求和必要的证明材料。质疑内容不得含有虚假、恶意成份。依照谁主张谁举证的原则，提出质疑者必须同时提交相关确凿的证据材料和注明证据的确切来源，证据来源必须合法，采购人有权将质疑内容告知质疑事项各关联方，请其作出解释说明。对捏造事实、滥用维权扰乱采购秩序的恶意质疑者，采购人将依法报告监督部门对其进行处理。</w:t>
      </w:r>
    </w:p>
    <w:p w14:paraId="23F2138B">
      <w:pPr>
        <w:wordWrap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14.1.4 质疑文件提交方式：根据参加磋商供应商的组织形式，由其法定代表人或者主要负责人携带书面原件及身份证明原件到采购代理机构现场提交，自然人参加磋商的由其本人提交。自然人本人或法定代表人或者主要负责人不能到达现场的，可以委托他人到现场代交，但必须出具授权委托书原件，明确委托事宜。同时被委托人须携带身份证明原件，否则不予受理。质疑人须同时将质疑文件的可编辑电子版发送至</w:t>
      </w:r>
      <w:r>
        <w:rPr>
          <w:rFonts w:hint="eastAsia" w:ascii="宋体" w:hAnsi="宋体" w:cs="宋体"/>
          <w:color w:val="000000" w:themeColor="text1"/>
          <w:szCs w:val="21"/>
          <w:highlight w:val="none"/>
          <w:lang w:val="en-US" w:eastAsia="zh-CN"/>
          <w14:textFill>
            <w14:solidFill>
              <w14:schemeClr w14:val="tx1"/>
            </w14:solidFill>
          </w14:textFill>
        </w:rPr>
        <w:t>206103492</w:t>
      </w:r>
      <w:r>
        <w:rPr>
          <w:rFonts w:hint="eastAsia" w:ascii="宋体" w:hAnsi="宋体" w:cs="宋体"/>
          <w:color w:val="000000" w:themeColor="text1"/>
          <w:szCs w:val="21"/>
          <w:highlight w:val="none"/>
          <w14:textFill>
            <w14:solidFill>
              <w14:schemeClr w14:val="tx1"/>
            </w14:solidFill>
          </w14:textFill>
        </w:rPr>
        <w:t>@qq.com电子邮箱中。</w:t>
      </w:r>
    </w:p>
    <w:p w14:paraId="7A714B7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14.1.5 供应商在法定质疑期内应一次性提出针对同一采购程序环节的质疑。</w:t>
      </w:r>
    </w:p>
    <w:p w14:paraId="7FA1C60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14.1.6 潜在供应商已依法获取其可质疑的竞争性磋商文件的（必须为从合法渠道获取竞争性磋商文件的供应商），可以对该文件提出质疑。</w:t>
      </w:r>
    </w:p>
    <w:p w14:paraId="7906557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14.1.7 质疑受理部门：陕西中采项目管理有限公司采购部</w:t>
      </w:r>
    </w:p>
    <w:p w14:paraId="5D19323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14.1.8 提交质疑文件地点：陕西中采项目管理有限公司</w:t>
      </w:r>
    </w:p>
    <w:p w14:paraId="52F842B8">
      <w:pPr>
        <w:spacing w:line="360" w:lineRule="auto"/>
        <w:ind w:firstLine="420"/>
        <w:rPr>
          <w:rFonts w:ascii="宋体" w:hAnsi="宋体" w:cs="宋体"/>
          <w:color w:val="000000" w:themeColor="text1"/>
          <w:szCs w:val="21"/>
          <w:highlight w:val="yello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14.1.9 联系人及联系电话：</w:t>
      </w:r>
      <w:r>
        <w:rPr>
          <w:rFonts w:hint="eastAsia" w:ascii="宋体" w:hAnsi="宋体" w:cs="宋体"/>
          <w:color w:val="000000" w:themeColor="text1"/>
          <w:szCs w:val="21"/>
          <w:highlight w:val="none"/>
          <w:lang w:val="en-US" w:eastAsia="zh-CN"/>
          <w14:textFill>
            <w14:solidFill>
              <w14:schemeClr w14:val="tx1"/>
            </w14:solidFill>
          </w14:textFill>
        </w:rPr>
        <w:t>樊兰兰</w:t>
      </w:r>
      <w:r>
        <w:rPr>
          <w:rFonts w:hint="eastAsia" w:ascii="宋体" w:hAnsi="宋体" w:cs="宋体"/>
          <w:color w:val="000000" w:themeColor="text1"/>
          <w:szCs w:val="21"/>
          <w:highlight w:val="none"/>
          <w14:textFill>
            <w14:solidFill>
              <w14:schemeClr w14:val="tx1"/>
            </w14:solidFill>
          </w14:textFill>
        </w:rPr>
        <w:t xml:space="preserve">  029-88856058</w:t>
      </w:r>
    </w:p>
    <w:p w14:paraId="06DF05F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14.1.10 采购人、采购代理机构不得拒收质疑供应商在法定质疑期内发出的质疑函，应当在收到质疑函后7个工作日内作出答复，并以书面形式通知质疑供应商和其他有关供应商。本次采购活动中，采购代理机构对质疑回复等文件的送达方式为现场取件或电子邮件送达。</w:t>
      </w:r>
    </w:p>
    <w:p w14:paraId="2709BC1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14.1.11 质疑函应当使用中文。质疑函范本应使用财政规定范本格式。</w:t>
      </w:r>
    </w:p>
    <w:p w14:paraId="096963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 对捏造事实、提供虚假材料进行质疑的行为予以严肃处理：</w:t>
      </w:r>
    </w:p>
    <w:p w14:paraId="26E3DF9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中华人民共和国政府采购法》及其实施条例及其实施条例、《政府采购供应商投诉处理办法》等法律法规的规定，供应商质疑应当有明确的请求和必要的证明材料。对于捏造事实、提供虚假材料或者以非法手段取得证明材料进行质疑的，应上报同级财政部门予以处理，并将其列入不良行为记录名单，禁止其一至三年内参加政府采购活动。</w:t>
      </w:r>
    </w:p>
    <w:p w14:paraId="3D4B68D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14.3 对捏造事实诬告陷害他人、诽谤他人的法律适用：</w:t>
      </w:r>
    </w:p>
    <w:p w14:paraId="093426A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14:paraId="2A340672">
      <w:pPr>
        <w:pStyle w:val="24"/>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14:paraId="1DD5E96F">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 投诉</w:t>
      </w:r>
    </w:p>
    <w:p w14:paraId="72A33B3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14.4.1 质疑供应商对采购人、采购代理机构的答复不满意，或者采购人、采购代理机构未在规定时间内作出答复的，可以在答复期满后15个工作日内向财政部门提起投诉。投诉应当有明确的请求和必要的证明材料。</w:t>
      </w:r>
    </w:p>
    <w:p w14:paraId="5A5BCE9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14.4.2 投诉的事项不得超出已质疑事项的范围。</w:t>
      </w:r>
    </w:p>
    <w:p w14:paraId="24949E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14:paraId="2F354A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14.4.4 供应商或者其他利害关系人对竞争性磋商文件、开标和评审结果提出投诉的，应当按照供应商须知的规定先向采购代理机构及采购人提出质疑。</w:t>
      </w:r>
    </w:p>
    <w:p w14:paraId="2316E003">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 需要落实的政府采购政策：</w:t>
      </w:r>
    </w:p>
    <w:p w14:paraId="2BC0F381">
      <w:pPr>
        <w:spacing w:line="360" w:lineRule="auto"/>
        <w:ind w:firstLine="420"/>
        <w:rPr>
          <w:rFonts w:ascii="宋体" w:hAnsi="宋体" w:cs="宋体"/>
          <w:color w:val="000000" w:themeColor="text1"/>
          <w:szCs w:val="21"/>
          <w:highlight w:val="none"/>
          <w14:textFill>
            <w14:solidFill>
              <w14:schemeClr w14:val="tx1"/>
            </w14:solidFill>
          </w14:textFill>
        </w:rPr>
      </w:pPr>
      <w:bookmarkStart w:id="31" w:name="_Toc10399"/>
      <w:r>
        <w:rPr>
          <w:rFonts w:hint="eastAsia" w:ascii="宋体" w:hAnsi="宋体" w:cs="宋体"/>
          <w:color w:val="000000" w:themeColor="text1"/>
          <w:szCs w:val="21"/>
          <w:highlight w:val="none"/>
          <w14:textFill>
            <w14:solidFill>
              <w14:schemeClr w14:val="tx1"/>
            </w14:solidFill>
          </w14:textFill>
        </w:rPr>
        <w:t>本项目属于专门面向中小企业采购项目。</w:t>
      </w:r>
    </w:p>
    <w:p w14:paraId="14493AB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15.1中小企业落实政府采购政策</w:t>
      </w:r>
    </w:p>
    <w:p w14:paraId="4698897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（1）《政府采购促进中小企业发展管理办法》（财库〔2020〕46号）；</w:t>
      </w:r>
    </w:p>
    <w:p w14:paraId="3E36492E">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（2）《财政部关于进一步加大政府采购支持中小企业力度的通知》（财库〔2022〕19号）；</w:t>
      </w:r>
    </w:p>
    <w:p w14:paraId="430B53A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（3）《陕西省财政厅关于落实政府采购支持中小企业政策有关事项的通知》（陕财办采〔2022〕10号）；</w:t>
      </w:r>
    </w:p>
    <w:p w14:paraId="2CF4F35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15.2监狱企业落实政府采购政策</w:t>
      </w:r>
    </w:p>
    <w:p w14:paraId="00FE7475">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（1）《财政部、司法部关于政府采购支持监狱企业发展有关问题的通知》（财库〔2014〕68号）；</w:t>
      </w:r>
    </w:p>
    <w:p w14:paraId="57AA2A76">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15.3残疾人落实政府采购政策</w:t>
      </w:r>
    </w:p>
    <w:p w14:paraId="518BCAEB">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（1）《财政部、民政部、中国残疾人联合会关于促进残疾人就业政府采购政策的通知》（财库[2017]141号）；</w:t>
      </w:r>
    </w:p>
    <w:p w14:paraId="4EB8423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注：监狱企业、残疾人福利性单位视为小微企业。</w:t>
      </w:r>
    </w:p>
    <w:p w14:paraId="37665A7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 节能产品、环境标志产品政策</w:t>
      </w:r>
    </w:p>
    <w:p w14:paraId="2E79720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（1）节能产品、环境标志产品根据以下有关政策规定执行财政部、国家发展改革委关于印发《节能产品政府采购实施意见》的通知（财库【2004】185 号）；</w:t>
      </w:r>
    </w:p>
    <w:p w14:paraId="3797DD7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（2）《国务院办公厅关于建立政府强制采购节能产品制度的通知》（国办发〔2007〕51号）；</w:t>
      </w:r>
    </w:p>
    <w:p w14:paraId="5395CE19">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（3）《财政部、国家环保总局关于环境标志产品政府采购实施的意见》（财库[2006]90号）；</w:t>
      </w:r>
    </w:p>
    <w:p w14:paraId="2FA0A00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（4）《财政部、发展改革委、生态环境部、市场监管总局关于调整优化节能产品、环境标志产品政府采购执行机制的通知》（财库〔2019〕9 号）；</w:t>
      </w:r>
    </w:p>
    <w:p w14:paraId="2E94F8EC">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（5）《关于印发节能产品政府采购品目清单的通知》（财库〔2019〕19 号）；</w:t>
      </w:r>
    </w:p>
    <w:p w14:paraId="1230DF10">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（6）《关于印发环境标志产品政府采购品目清单的通知》（财库〔2019〕18 号）；</w:t>
      </w:r>
    </w:p>
    <w:p w14:paraId="35BCEB91">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（7）产品属于优先采购节能、环境标志产品范围的，应当优先采购节能、环境标志产品；产品符合政府采购强制采购政策的，实行强制采购；</w:t>
      </w:r>
    </w:p>
    <w:p w14:paraId="43245E1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（8）文件中对所投产品为节能、环境标志产品品目清单中的产品，在报价时必须对此类产品单独分项报价；</w:t>
      </w:r>
    </w:p>
    <w:p w14:paraId="466D706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（9）若节能、环境标志品目清单内的产品仅是构成所投产品的部件、组件或零件的，则该所投产品不享受鼓励优惠政策；</w:t>
      </w:r>
    </w:p>
    <w:p w14:paraId="61E1781F">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（10）节能、环境标志产品部分计分只对属于品目清单内的非强制类产品进行计分，强制类产品不给予计分；</w:t>
      </w:r>
    </w:p>
    <w:p w14:paraId="52D1D7F8">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（11）对于同时列入环保品目清单和节能品目清单的产品，应当优先于只列入其中一个清单的产品；</w:t>
      </w:r>
    </w:p>
    <w:p w14:paraId="53C5DDD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文件中所投节能、环境标志产品须提供认证证书等相关资料，未提供节能、环境标志产品认证证书等相关资料的不给予计分。</w:t>
      </w:r>
    </w:p>
    <w:p w14:paraId="4A1769B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14.5 《关于运用政府采购政策支持乡村产业振兴的通知》（财库〔2021〕19号）；</w:t>
      </w:r>
    </w:p>
    <w:p w14:paraId="43234402">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14.6 《关于扩大政府采购支持绿色建材促进建筑品质提升政策实施范围的通知》财库〔2022〕35号；</w:t>
      </w:r>
    </w:p>
    <w:p w14:paraId="4918E7E3">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陕西省财政厅《关于进一步加强政府绿色采购有关问题的通知》（陕财办采〔2021〕29号）；</w:t>
      </w:r>
    </w:p>
    <w:p w14:paraId="5689A15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14.7 《关于运用政府采购政策支持乡村产业振兴的通知》（财库〔2021〕19号）；</w:t>
      </w:r>
    </w:p>
    <w:p w14:paraId="3532D4D7">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14.8 陕西省财政厅关于印发《陕西省中小企业政府采购信用融资办法》（陕财办采〔2018〕23号）。</w:t>
      </w:r>
    </w:p>
    <w:p w14:paraId="7BF61A64">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可根据自身资金需求，登录陕西省政府采购信用融资平台（http://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14:paraId="2355746A">
      <w:pPr>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14.9 其他需要落实的政府采购政策。</w:t>
      </w:r>
    </w:p>
    <w:p w14:paraId="3F6F8176">
      <w:pPr>
        <w:pStyle w:val="16"/>
        <w:widowControl/>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 xml:space="preserve">第三章 </w:t>
      </w:r>
      <w:bookmarkEnd w:id="31"/>
      <w:r>
        <w:rPr>
          <w:rFonts w:hint="eastAsia" w:ascii="宋体" w:hAnsi="宋体" w:cs="宋体"/>
          <w:b/>
          <w:bCs/>
          <w:color w:val="000000" w:themeColor="text1"/>
          <w:sz w:val="32"/>
          <w:szCs w:val="32"/>
          <w:highlight w:val="none"/>
          <w14:textFill>
            <w14:solidFill>
              <w14:schemeClr w14:val="tx1"/>
            </w14:solidFill>
          </w14:textFill>
        </w:rPr>
        <w:t>评审办法</w:t>
      </w:r>
    </w:p>
    <w:p w14:paraId="1874043A">
      <w:pPr>
        <w:pStyle w:val="16"/>
        <w:widowControl/>
        <w:spacing w:line="360" w:lineRule="auto"/>
        <w:jc w:val="center"/>
        <w:outlineLvl w:val="1"/>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评审办法前附表</w:t>
      </w:r>
    </w:p>
    <w:p w14:paraId="24984AD9">
      <w:pPr>
        <w:pStyle w:val="16"/>
        <w:widowControl/>
        <w:spacing w:line="360" w:lineRule="auto"/>
        <w:jc w:val="center"/>
        <w:outlineLvl w:val="2"/>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一、初步评审</w:t>
      </w:r>
    </w:p>
    <w:p w14:paraId="33052DC9">
      <w:pPr>
        <w:pStyle w:val="16"/>
        <w:widowControl/>
        <w:adjustRightInd w:val="0"/>
        <w:snapToGrid w:val="0"/>
        <w:spacing w:line="360" w:lineRule="auto"/>
        <w:rPr>
          <w:rFonts w:ascii="宋体" w:hAnsi="宋体" w:cs="宋体"/>
          <w:color w:val="000000" w:themeColor="text1"/>
          <w:sz w:val="21"/>
          <w:szCs w:val="21"/>
          <w:highlight w:val="none"/>
          <w:lang w:val="zh-CN"/>
          <w14:textFill>
            <w14:solidFill>
              <w14:schemeClr w14:val="tx1"/>
            </w14:solidFill>
          </w14:textFill>
        </w:rPr>
      </w:pPr>
      <w:bookmarkStart w:id="32" w:name="OLE_LINK28"/>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zh-CN"/>
          <w14:textFill>
            <w14:solidFill>
              <w14:schemeClr w14:val="tx1"/>
            </w14:solidFill>
          </w14:textFill>
        </w:rPr>
        <w:t>磋商响应文件初步评审</w:t>
      </w:r>
    </w:p>
    <w:p w14:paraId="22FCFD43">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1.1 </w:t>
      </w:r>
      <w:r>
        <w:rPr>
          <w:rFonts w:hint="eastAsia" w:ascii="宋体" w:hAnsi="宋体" w:cs="宋体"/>
          <w:color w:val="000000" w:themeColor="text1"/>
          <w:szCs w:val="21"/>
          <w:highlight w:val="none"/>
          <w:lang w:val="zh-CN"/>
          <w14:textFill>
            <w14:solidFill>
              <w14:schemeClr w14:val="tx1"/>
            </w14:solidFill>
          </w14:textFill>
        </w:rPr>
        <w:t>磋商响应文件的资格性审查：依据法律法规和磋商文件的规定，由采购人代表对磋商响应文件进行</w:t>
      </w:r>
      <w:r>
        <w:rPr>
          <w:rFonts w:hint="eastAsia" w:ascii="宋体" w:hAnsi="宋体" w:cs="宋体"/>
          <w:color w:val="000000" w:themeColor="text1"/>
          <w:szCs w:val="21"/>
          <w:highlight w:val="none"/>
          <w14:textFill>
            <w14:solidFill>
              <w14:schemeClr w14:val="tx1"/>
            </w14:solidFill>
          </w14:textFill>
        </w:rPr>
        <w:t>资格性</w:t>
      </w:r>
      <w:r>
        <w:rPr>
          <w:rFonts w:hint="eastAsia" w:ascii="宋体" w:hAnsi="宋体" w:cs="宋体"/>
          <w:color w:val="000000" w:themeColor="text1"/>
          <w:szCs w:val="21"/>
          <w:highlight w:val="none"/>
          <w:lang w:val="zh-CN"/>
          <w14:textFill>
            <w14:solidFill>
              <w14:schemeClr w14:val="tx1"/>
            </w14:solidFill>
          </w14:textFill>
        </w:rPr>
        <w:t>审查，以确定供应商是否具备相应资格。</w:t>
      </w:r>
    </w:p>
    <w:bookmarkEnd w:id="32"/>
    <w:tbl>
      <w:tblPr>
        <w:tblStyle w:val="18"/>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901"/>
        <w:gridCol w:w="1174"/>
        <w:gridCol w:w="6058"/>
      </w:tblGrid>
      <w:tr w14:paraId="2CCB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4FBE2F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br w:type="page"/>
            </w:r>
            <w:r>
              <w:rPr>
                <w:rFonts w:hint="eastAsia" w:ascii="宋体" w:hAnsi="宋体" w:cs="宋体"/>
                <w:bCs/>
                <w:color w:val="000000" w:themeColor="text1"/>
                <w:szCs w:val="21"/>
                <w:highlight w:val="none"/>
                <w:lang w:bidi="ar"/>
                <w14:textFill>
                  <w14:solidFill>
                    <w14:schemeClr w14:val="tx1"/>
                  </w14:solidFill>
                </w14:textFill>
              </w:rPr>
              <w:t>序号</w:t>
            </w:r>
          </w:p>
        </w:tc>
        <w:tc>
          <w:tcPr>
            <w:tcW w:w="8133" w:type="dxa"/>
            <w:gridSpan w:val="3"/>
            <w:tcBorders>
              <w:top w:val="single" w:color="auto" w:sz="4" w:space="0"/>
              <w:left w:val="single" w:color="auto" w:sz="4" w:space="0"/>
              <w:bottom w:val="single" w:color="auto" w:sz="4" w:space="0"/>
              <w:right w:val="single" w:color="auto" w:sz="4" w:space="0"/>
            </w:tcBorders>
            <w:vAlign w:val="center"/>
          </w:tcPr>
          <w:p w14:paraId="3C0A7A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资格性审查标准</w:t>
            </w:r>
          </w:p>
        </w:tc>
      </w:tr>
      <w:tr w14:paraId="037B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6A2C1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bookmarkStart w:id="33" w:name="OLE_LINK27" w:colFirst="2" w:colLast="2"/>
            <w:r>
              <w:rPr>
                <w:rFonts w:hint="eastAsia" w:ascii="宋体" w:hAnsi="宋体" w:cs="宋体"/>
                <w:bCs/>
                <w:color w:val="000000" w:themeColor="text1"/>
                <w:szCs w:val="21"/>
                <w:highlight w:val="none"/>
                <w:lang w:bidi="ar"/>
                <w14:textFill>
                  <w14:solidFill>
                    <w14:schemeClr w14:val="tx1"/>
                  </w14:solidFill>
                </w14:textFill>
              </w:rPr>
              <w:t>1</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032A1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基本资格条件</w:t>
            </w:r>
          </w:p>
        </w:tc>
        <w:tc>
          <w:tcPr>
            <w:tcW w:w="6058" w:type="dxa"/>
            <w:tcBorders>
              <w:top w:val="single" w:color="auto" w:sz="4" w:space="0"/>
              <w:left w:val="single" w:color="auto" w:sz="4" w:space="0"/>
              <w:bottom w:val="single" w:color="auto" w:sz="4" w:space="0"/>
              <w:right w:val="single" w:color="auto" w:sz="4" w:space="0"/>
            </w:tcBorders>
            <w:vAlign w:val="center"/>
          </w:tcPr>
          <w:p w14:paraId="4BB6D1F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供应商应符合《中华人民共和国政府采购法》第二十二条的规定；</w:t>
            </w:r>
          </w:p>
          <w:p w14:paraId="130502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34" w:name="OLE_LINK33"/>
            <w:r>
              <w:rPr>
                <w:rFonts w:hint="eastAsia" w:ascii="宋体" w:hAnsi="宋体" w:cs="宋体"/>
                <w:b/>
                <w:bCs/>
                <w:color w:val="000000" w:themeColor="text1"/>
                <w:szCs w:val="21"/>
                <w:highlight w:val="none"/>
                <w14:textFill>
                  <w14:solidFill>
                    <w14:schemeClr w14:val="tx1"/>
                  </w14:solidFill>
                </w14:textFill>
              </w:rPr>
              <w:t>注：以磋商响应文件中所附的加盖单位公章的承诺书为准</w:t>
            </w:r>
            <w:bookmarkEnd w:id="34"/>
            <w:r>
              <w:rPr>
                <w:rFonts w:hint="eastAsia" w:ascii="宋体" w:hAnsi="宋体" w:cs="宋体"/>
                <w:b/>
                <w:bCs/>
                <w:color w:val="000000" w:themeColor="text1"/>
                <w:szCs w:val="21"/>
                <w:highlight w:val="none"/>
                <w:lang w:eastAsia="zh-CN"/>
                <w14:textFill>
                  <w14:solidFill>
                    <w14:schemeClr w14:val="tx1"/>
                  </w14:solidFill>
                </w14:textFill>
              </w:rPr>
              <w:t>。</w:t>
            </w:r>
          </w:p>
        </w:tc>
      </w:tr>
      <w:tr w14:paraId="507A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4EB8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w:t>
            </w:r>
          </w:p>
        </w:tc>
        <w:tc>
          <w:tcPr>
            <w:tcW w:w="2075" w:type="dxa"/>
            <w:gridSpan w:val="2"/>
            <w:tcBorders>
              <w:top w:val="single" w:color="auto" w:sz="4" w:space="0"/>
              <w:left w:val="single" w:color="auto" w:sz="4" w:space="0"/>
              <w:bottom w:val="single" w:color="auto" w:sz="4" w:space="0"/>
              <w:right w:val="single" w:color="auto" w:sz="4" w:space="0"/>
            </w:tcBorders>
            <w:vAlign w:val="center"/>
          </w:tcPr>
          <w:p w14:paraId="7EDF34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lang w:bidi="ar"/>
                <w14:textFill>
                  <w14:solidFill>
                    <w14:schemeClr w14:val="tx1"/>
                  </w14:solidFill>
                </w14:textFill>
              </w:rPr>
            </w:pPr>
            <w:r>
              <w:rPr>
                <w:rFonts w:hint="eastAsia" w:ascii="宋体" w:hAnsi="宋体" w:cs="宋体"/>
                <w:bCs/>
                <w:color w:val="000000" w:themeColor="text1"/>
                <w:kern w:val="28"/>
                <w:szCs w:val="21"/>
                <w:highlight w:val="none"/>
                <w:lang w:bidi="ar"/>
                <w14:textFill>
                  <w14:solidFill>
                    <w14:schemeClr w14:val="tx1"/>
                  </w14:solidFill>
                </w14:textFill>
              </w:rPr>
              <w:t>落实政府采购政策需满足的资格要求</w:t>
            </w:r>
          </w:p>
        </w:tc>
        <w:tc>
          <w:tcPr>
            <w:tcW w:w="6058" w:type="dxa"/>
            <w:tcBorders>
              <w:top w:val="single" w:color="auto" w:sz="4" w:space="0"/>
              <w:left w:val="single" w:color="auto" w:sz="4" w:space="0"/>
              <w:bottom w:val="single" w:color="auto" w:sz="4" w:space="0"/>
              <w:right w:val="single" w:color="auto" w:sz="4" w:space="0"/>
            </w:tcBorders>
            <w:vAlign w:val="center"/>
          </w:tcPr>
          <w:p w14:paraId="0993A0CA">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t>本项目属于专门面向中小企业采购项目；</w:t>
            </w:r>
          </w:p>
          <w:p w14:paraId="00B1CE9D">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注：以磋商响应文件中所附的加盖单位公章的声明书为准</w:t>
            </w:r>
            <w:r>
              <w:rPr>
                <w:rFonts w:hint="eastAsia" w:ascii="宋体" w:hAnsi="宋体" w:cs="宋体"/>
                <w:b/>
                <w:bCs/>
                <w:color w:val="000000" w:themeColor="text1"/>
                <w:szCs w:val="21"/>
                <w:highlight w:val="none"/>
                <w:lang w:eastAsia="zh-CN"/>
                <w14:textFill>
                  <w14:solidFill>
                    <w14:schemeClr w14:val="tx1"/>
                  </w14:solidFill>
                </w14:textFill>
              </w:rPr>
              <w:t>。</w:t>
            </w:r>
          </w:p>
        </w:tc>
      </w:tr>
      <w:bookmarkEnd w:id="33"/>
      <w:tr w14:paraId="16EE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restart"/>
            <w:tcBorders>
              <w:top w:val="single" w:color="auto" w:sz="4" w:space="0"/>
              <w:left w:val="single" w:color="auto" w:sz="4" w:space="0"/>
              <w:right w:val="single" w:color="auto" w:sz="4" w:space="0"/>
            </w:tcBorders>
            <w:vAlign w:val="center"/>
          </w:tcPr>
          <w:p w14:paraId="32C851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3</w:t>
            </w:r>
          </w:p>
        </w:tc>
        <w:tc>
          <w:tcPr>
            <w:tcW w:w="901" w:type="dxa"/>
            <w:vMerge w:val="restart"/>
            <w:tcBorders>
              <w:top w:val="single" w:color="auto" w:sz="4" w:space="0"/>
              <w:left w:val="single" w:color="auto" w:sz="4" w:space="0"/>
              <w:right w:val="single" w:color="auto" w:sz="4" w:space="0"/>
            </w:tcBorders>
            <w:vAlign w:val="center"/>
          </w:tcPr>
          <w:p w14:paraId="46E93A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14:textFill>
                  <w14:solidFill>
                    <w14:schemeClr w14:val="tx1"/>
                  </w14:solidFill>
                </w14:textFill>
              </w:rPr>
            </w:pPr>
            <w:r>
              <w:rPr>
                <w:rFonts w:hint="eastAsia" w:ascii="宋体" w:hAnsi="宋体" w:cs="宋体"/>
                <w:bCs/>
                <w:color w:val="000000" w:themeColor="text1"/>
                <w:kern w:val="28"/>
                <w:szCs w:val="21"/>
                <w:highlight w:val="none"/>
                <w:lang w:bidi="ar"/>
                <w14:textFill>
                  <w14:solidFill>
                    <w14:schemeClr w14:val="tx1"/>
                  </w14:solidFill>
                </w14:textFill>
              </w:rPr>
              <w:t>特定资格要求</w:t>
            </w:r>
          </w:p>
        </w:tc>
        <w:tc>
          <w:tcPr>
            <w:tcW w:w="1174" w:type="dxa"/>
            <w:tcBorders>
              <w:top w:val="single" w:color="auto" w:sz="4" w:space="0"/>
              <w:left w:val="single" w:color="auto" w:sz="4" w:space="0"/>
              <w:bottom w:val="single" w:color="auto" w:sz="4" w:space="0"/>
              <w:right w:val="single" w:color="auto" w:sz="4" w:space="0"/>
            </w:tcBorders>
            <w:vAlign w:val="center"/>
          </w:tcPr>
          <w:p w14:paraId="35A3CB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bCs w:val="0"/>
                <w:color w:val="000000" w:themeColor="text1"/>
                <w:kern w:val="28"/>
                <w:szCs w:val="21"/>
                <w:highlight w:val="none"/>
                <w:lang w:bidi="ar"/>
                <w14:textFill>
                  <w14:solidFill>
                    <w14:schemeClr w14:val="tx1"/>
                  </w14:solidFill>
                </w14:textFill>
              </w:rPr>
            </w:pPr>
            <w:r>
              <w:rPr>
                <w:rFonts w:hint="eastAsia" w:ascii="宋体" w:hAnsi="宋体" w:cs="宋体"/>
                <w:b/>
                <w:bCs w:val="0"/>
                <w:color w:val="000000" w:themeColor="text1"/>
                <w:kern w:val="28"/>
                <w:szCs w:val="21"/>
                <w:highlight w:val="none"/>
                <w:lang w:bidi="ar"/>
                <w14:textFill>
                  <w14:solidFill>
                    <w14:schemeClr w14:val="tx1"/>
                  </w14:solidFill>
                </w14:textFill>
              </w:rPr>
              <w:t>营业执照</w:t>
            </w:r>
            <w:r>
              <w:rPr>
                <w:rFonts w:hint="eastAsia" w:ascii="宋体" w:hAnsi="宋体" w:cs="宋体"/>
                <w:b/>
                <w:bCs w:val="0"/>
                <w:color w:val="000000" w:themeColor="text1"/>
                <w:kern w:val="28"/>
                <w:szCs w:val="21"/>
                <w:highlight w:val="none"/>
                <w14:textFill>
                  <w14:solidFill>
                    <w14:schemeClr w14:val="tx1"/>
                  </w14:solidFill>
                </w14:textFill>
              </w:rPr>
              <w:t>或其他证明资料</w:t>
            </w:r>
          </w:p>
        </w:tc>
        <w:tc>
          <w:tcPr>
            <w:tcW w:w="6058" w:type="dxa"/>
            <w:tcBorders>
              <w:top w:val="single" w:color="auto" w:sz="4" w:space="0"/>
              <w:left w:val="single" w:color="auto" w:sz="4" w:space="0"/>
              <w:bottom w:val="single" w:color="auto" w:sz="4" w:space="0"/>
              <w:right w:val="single" w:color="auto" w:sz="4" w:space="0"/>
            </w:tcBorders>
            <w:vAlign w:val="center"/>
          </w:tcPr>
          <w:p w14:paraId="3D4D724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供应商应为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自然人提供身份证明文件；</w:t>
            </w:r>
          </w:p>
          <w:p w14:paraId="2376CF4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bookmarkStart w:id="35" w:name="OLE_LINK31"/>
            <w:r>
              <w:rPr>
                <w:rFonts w:hint="eastAsia" w:ascii="宋体" w:hAnsi="宋体" w:cs="宋体"/>
                <w:b/>
                <w:bCs/>
                <w:color w:val="000000" w:themeColor="text1"/>
                <w:szCs w:val="21"/>
                <w:highlight w:val="none"/>
                <w:lang w:val="zh-CN"/>
                <w14:textFill>
                  <w14:solidFill>
                    <w14:schemeClr w14:val="tx1"/>
                  </w14:solidFill>
                </w14:textFill>
              </w:rPr>
              <w:t>注：以磋商响应文件</w:t>
            </w:r>
            <w:r>
              <w:rPr>
                <w:rFonts w:hint="eastAsia" w:ascii="宋体" w:hAnsi="宋体" w:cs="宋体"/>
                <w:b/>
                <w:bCs/>
                <w:color w:val="000000" w:themeColor="text1"/>
                <w:szCs w:val="21"/>
                <w:highlight w:val="none"/>
                <w14:textFill>
                  <w14:solidFill>
                    <w14:schemeClr w14:val="tx1"/>
                  </w14:solidFill>
                </w14:textFill>
              </w:rPr>
              <w:t>中</w:t>
            </w:r>
            <w:r>
              <w:rPr>
                <w:rFonts w:hint="eastAsia" w:ascii="宋体" w:hAnsi="宋体" w:cs="宋体"/>
                <w:b/>
                <w:bCs/>
                <w:color w:val="000000" w:themeColor="text1"/>
                <w:szCs w:val="21"/>
                <w:highlight w:val="none"/>
                <w:lang w:val="zh-CN"/>
                <w14:textFill>
                  <w14:solidFill>
                    <w14:schemeClr w14:val="tx1"/>
                  </w14:solidFill>
                </w14:textFill>
              </w:rPr>
              <w:t>所附营业执照或其他证明资料复印件</w:t>
            </w:r>
            <w:r>
              <w:rPr>
                <w:rFonts w:hint="eastAsia" w:ascii="宋体" w:hAnsi="宋体" w:cs="宋体"/>
                <w:b/>
                <w:bCs/>
                <w:color w:val="000000" w:themeColor="text1"/>
                <w:szCs w:val="21"/>
                <w:highlight w:val="none"/>
                <w14:textFill>
                  <w14:solidFill>
                    <w14:schemeClr w14:val="tx1"/>
                  </w14:solidFill>
                </w14:textFill>
              </w:rPr>
              <w:t>加盖单位公章</w:t>
            </w:r>
            <w:r>
              <w:rPr>
                <w:rFonts w:hint="eastAsia" w:ascii="宋体" w:hAnsi="宋体" w:cs="宋体"/>
                <w:b/>
                <w:bCs/>
                <w:color w:val="000000" w:themeColor="text1"/>
                <w:szCs w:val="21"/>
                <w:highlight w:val="none"/>
                <w:lang w:val="zh-CN"/>
                <w14:textFill>
                  <w14:solidFill>
                    <w14:schemeClr w14:val="tx1"/>
                  </w14:solidFill>
                </w14:textFill>
              </w:rPr>
              <w:t>为准</w:t>
            </w:r>
            <w:bookmarkEnd w:id="35"/>
            <w:r>
              <w:rPr>
                <w:rFonts w:hint="eastAsia" w:ascii="宋体" w:hAnsi="宋体" w:cs="宋体"/>
                <w:b/>
                <w:bCs/>
                <w:color w:val="000000" w:themeColor="text1"/>
                <w:szCs w:val="21"/>
                <w:highlight w:val="none"/>
                <w:lang w:val="zh-CN"/>
                <w14:textFill>
                  <w14:solidFill>
                    <w14:schemeClr w14:val="tx1"/>
                  </w14:solidFill>
                </w14:textFill>
              </w:rPr>
              <w:t>。</w:t>
            </w:r>
          </w:p>
        </w:tc>
      </w:tr>
      <w:tr w14:paraId="753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right w:val="single" w:color="auto" w:sz="4" w:space="0"/>
            </w:tcBorders>
            <w:vAlign w:val="center"/>
          </w:tcPr>
          <w:p w14:paraId="052DCD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right w:val="single" w:color="auto" w:sz="4" w:space="0"/>
            </w:tcBorders>
            <w:vAlign w:val="center"/>
          </w:tcPr>
          <w:p w14:paraId="08F639A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084041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信用证明</w:t>
            </w:r>
          </w:p>
        </w:tc>
        <w:tc>
          <w:tcPr>
            <w:tcW w:w="6058" w:type="dxa"/>
            <w:tcBorders>
              <w:top w:val="single" w:color="auto" w:sz="4" w:space="0"/>
              <w:left w:val="single" w:color="auto" w:sz="4" w:space="0"/>
              <w:bottom w:val="single" w:color="auto" w:sz="4" w:space="0"/>
              <w:right w:val="single" w:color="auto" w:sz="4" w:space="0"/>
            </w:tcBorders>
            <w:vAlign w:val="center"/>
          </w:tcPr>
          <w:p w14:paraId="12082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1F0A1E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注：以磋商响应文件中所附的加盖单位公章的承诺书为准。</w:t>
            </w:r>
          </w:p>
        </w:tc>
      </w:tr>
      <w:tr w14:paraId="5C7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vMerge w:val="continue"/>
            <w:tcBorders>
              <w:left w:val="single" w:color="auto" w:sz="4" w:space="0"/>
              <w:bottom w:val="single" w:color="auto" w:sz="4" w:space="0"/>
              <w:right w:val="single" w:color="auto" w:sz="4" w:space="0"/>
            </w:tcBorders>
            <w:vAlign w:val="center"/>
          </w:tcPr>
          <w:p w14:paraId="240F6A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p>
        </w:tc>
        <w:tc>
          <w:tcPr>
            <w:tcW w:w="901" w:type="dxa"/>
            <w:vMerge w:val="continue"/>
            <w:tcBorders>
              <w:left w:val="single" w:color="auto" w:sz="4" w:space="0"/>
              <w:bottom w:val="single" w:color="auto" w:sz="4" w:space="0"/>
              <w:right w:val="single" w:color="auto" w:sz="4" w:space="0"/>
            </w:tcBorders>
            <w:vAlign w:val="center"/>
          </w:tcPr>
          <w:p w14:paraId="04A149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kern w:val="28"/>
                <w:szCs w:val="2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4C52BE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w:t>
            </w:r>
          </w:p>
          <w:p w14:paraId="0F4AC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w:t>
            </w:r>
          </w:p>
        </w:tc>
        <w:tc>
          <w:tcPr>
            <w:tcW w:w="6058" w:type="dxa"/>
            <w:tcBorders>
              <w:top w:val="single" w:color="auto" w:sz="4" w:space="0"/>
              <w:left w:val="single" w:color="auto" w:sz="4" w:space="0"/>
              <w:bottom w:val="single" w:color="auto" w:sz="4" w:space="0"/>
              <w:right w:val="single" w:color="auto" w:sz="4" w:space="0"/>
            </w:tcBorders>
            <w:vAlign w:val="center"/>
          </w:tcPr>
          <w:p w14:paraId="10FC90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本项目</w:t>
            </w:r>
            <w:r>
              <w:rPr>
                <w:rFonts w:hint="eastAsia" w:ascii="宋体" w:hAnsi="宋体" w:cs="宋体"/>
                <w:color w:val="000000" w:themeColor="text1"/>
                <w:szCs w:val="21"/>
                <w:highlight w:val="none"/>
                <w14:textFill>
                  <w14:solidFill>
                    <w14:schemeClr w14:val="tx1"/>
                  </w14:solidFill>
                </w14:textFill>
              </w:rPr>
              <w:t>不接受</w:t>
            </w:r>
            <w:r>
              <w:rPr>
                <w:rFonts w:hint="eastAsia" w:ascii="宋体" w:hAnsi="宋体" w:cs="宋体"/>
                <w:color w:val="000000" w:themeColor="text1"/>
                <w:szCs w:val="21"/>
                <w:highlight w:val="none"/>
                <w:lang w:val="zh-CN"/>
                <w14:textFill>
                  <w14:solidFill>
                    <w14:schemeClr w14:val="tx1"/>
                  </w14:solidFill>
                </w14:textFill>
              </w:rPr>
              <w:t>联合体</w:t>
            </w:r>
            <w:r>
              <w:rPr>
                <w:rFonts w:hint="eastAsia" w:ascii="宋体" w:hAnsi="宋体" w:cs="宋体"/>
                <w:color w:val="000000" w:themeColor="text1"/>
                <w:szCs w:val="21"/>
                <w:highlight w:val="none"/>
                <w14:textFill>
                  <w14:solidFill>
                    <w14:schemeClr w14:val="tx1"/>
                  </w14:solidFill>
                </w14:textFill>
              </w:rPr>
              <w:t>磋商</w:t>
            </w:r>
            <w:r>
              <w:rPr>
                <w:rFonts w:hint="eastAsia" w:ascii="宋体" w:hAnsi="宋体" w:cs="宋体"/>
                <w:color w:val="000000" w:themeColor="text1"/>
                <w:szCs w:val="21"/>
                <w:highlight w:val="none"/>
                <w:lang w:val="zh-CN"/>
                <w14:textFill>
                  <w14:solidFill>
                    <w14:schemeClr w14:val="tx1"/>
                  </w14:solidFill>
                </w14:textFill>
              </w:rPr>
              <w:t>。</w:t>
            </w:r>
          </w:p>
          <w:p w14:paraId="2A6DA5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bookmarkStart w:id="36" w:name="OLE_LINK29"/>
            <w:r>
              <w:rPr>
                <w:rFonts w:hint="eastAsia" w:ascii="宋体" w:hAnsi="宋体" w:eastAsia="宋体" w:cs="宋体"/>
                <w:b/>
                <w:bCs/>
                <w:color w:val="000000" w:themeColor="text1"/>
                <w:szCs w:val="21"/>
                <w:highlight w:val="none"/>
                <w:lang w:val="zh-CN"/>
                <w14:textFill>
                  <w14:solidFill>
                    <w14:schemeClr w14:val="tx1"/>
                  </w14:solidFill>
                </w14:textFill>
              </w:rPr>
              <w:t>注：以磋商响应文件中所附非联合体声明为准</w:t>
            </w:r>
            <w:bookmarkEnd w:id="36"/>
            <w:r>
              <w:rPr>
                <w:rFonts w:hint="eastAsia" w:ascii="宋体" w:hAnsi="宋体" w:cs="宋体"/>
                <w:b/>
                <w:bCs/>
                <w:color w:val="000000" w:themeColor="text1"/>
                <w:szCs w:val="21"/>
                <w:highlight w:val="none"/>
                <w:lang w:val="zh-CN"/>
                <w14:textFill>
                  <w14:solidFill>
                    <w14:schemeClr w14:val="tx1"/>
                  </w14:solidFill>
                </w14:textFill>
              </w:rPr>
              <w:t>。</w:t>
            </w:r>
          </w:p>
        </w:tc>
      </w:tr>
    </w:tbl>
    <w:p w14:paraId="316370EC">
      <w:pPr>
        <w:spacing w:line="360" w:lineRule="auto"/>
        <w:rPr>
          <w:rFonts w:ascii="宋体" w:hAnsi="宋体" w:cs="宋体"/>
          <w:color w:val="000000" w:themeColor="text1"/>
          <w:szCs w:val="21"/>
          <w:highlight w:val="none"/>
          <w:lang w:val="zh-CN"/>
          <w14:textFill>
            <w14:solidFill>
              <w14:schemeClr w14:val="tx1"/>
            </w14:solidFill>
          </w14:textFill>
        </w:rPr>
      </w:pPr>
    </w:p>
    <w:p w14:paraId="7E5F1289">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1.2 </w:t>
      </w:r>
      <w:r>
        <w:rPr>
          <w:rFonts w:hint="eastAsia" w:ascii="宋体" w:hAnsi="宋体" w:cs="宋体"/>
          <w:color w:val="000000" w:themeColor="text1"/>
          <w:szCs w:val="21"/>
          <w:highlight w:val="none"/>
          <w:lang w:val="zh-CN"/>
          <w14:textFill>
            <w14:solidFill>
              <w14:schemeClr w14:val="tx1"/>
            </w14:solidFill>
          </w14:textFill>
        </w:rPr>
        <w:t>磋商响应文件符合性审查：依据磋商文件的规定，</w:t>
      </w:r>
      <w:r>
        <w:rPr>
          <w:rFonts w:hint="eastAsia" w:ascii="宋体" w:hAnsi="宋体" w:cs="宋体"/>
          <w:color w:val="000000" w:themeColor="text1"/>
          <w:szCs w:val="21"/>
          <w:highlight w:val="none"/>
          <w14:textFill>
            <w14:solidFill>
              <w14:schemeClr w14:val="tx1"/>
            </w14:solidFill>
          </w14:textFill>
        </w:rPr>
        <w:t>由磋商小组</w:t>
      </w:r>
      <w:r>
        <w:rPr>
          <w:rFonts w:hint="eastAsia" w:ascii="宋体" w:hAnsi="宋体" w:cs="宋体"/>
          <w:color w:val="000000" w:themeColor="text1"/>
          <w:szCs w:val="21"/>
          <w:highlight w:val="none"/>
          <w:lang w:val="zh-CN"/>
          <w14:textFill>
            <w14:solidFill>
              <w14:schemeClr w14:val="tx1"/>
            </w14:solidFill>
          </w14:textFill>
        </w:rPr>
        <w:t>对磋商响应文件进行</w:t>
      </w:r>
      <w:r>
        <w:rPr>
          <w:rFonts w:hint="eastAsia" w:ascii="宋体" w:hAnsi="宋体" w:cs="宋体"/>
          <w:color w:val="000000" w:themeColor="text1"/>
          <w:szCs w:val="21"/>
          <w:highlight w:val="none"/>
          <w14:textFill>
            <w14:solidFill>
              <w14:schemeClr w14:val="tx1"/>
            </w14:solidFill>
          </w14:textFill>
        </w:rPr>
        <w:t>符合性</w:t>
      </w:r>
      <w:r>
        <w:rPr>
          <w:rFonts w:hint="eastAsia" w:ascii="宋体" w:hAnsi="宋体" w:cs="宋体"/>
          <w:color w:val="000000" w:themeColor="text1"/>
          <w:szCs w:val="21"/>
          <w:highlight w:val="none"/>
          <w:lang w:val="zh-CN"/>
          <w14:textFill>
            <w14:solidFill>
              <w14:schemeClr w14:val="tx1"/>
            </w14:solidFill>
          </w14:textFill>
        </w:rPr>
        <w:t>审查，以确定是否对磋商文件的实质性内容做出响应。</w:t>
      </w:r>
    </w:p>
    <w:tbl>
      <w:tblPr>
        <w:tblStyle w:val="1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0"/>
        <w:gridCol w:w="2331"/>
        <w:gridCol w:w="4823"/>
      </w:tblGrid>
      <w:tr w14:paraId="152B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3BCC9C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序号</w:t>
            </w:r>
          </w:p>
        </w:tc>
        <w:tc>
          <w:tcPr>
            <w:tcW w:w="7154" w:type="dxa"/>
            <w:gridSpan w:val="2"/>
            <w:tcBorders>
              <w:top w:val="single" w:color="auto" w:sz="4" w:space="0"/>
              <w:left w:val="single" w:color="auto" w:sz="4" w:space="0"/>
              <w:bottom w:val="single" w:color="auto" w:sz="4" w:space="0"/>
              <w:right w:val="single" w:color="auto" w:sz="4" w:space="0"/>
            </w:tcBorders>
            <w:vAlign w:val="center"/>
          </w:tcPr>
          <w:p w14:paraId="64CC6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符合性审查标准</w:t>
            </w:r>
          </w:p>
        </w:tc>
      </w:tr>
      <w:tr w14:paraId="3B2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15BF02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1</w:t>
            </w:r>
          </w:p>
        </w:tc>
        <w:tc>
          <w:tcPr>
            <w:tcW w:w="2331" w:type="dxa"/>
            <w:tcBorders>
              <w:top w:val="single" w:color="auto" w:sz="4" w:space="0"/>
              <w:left w:val="single" w:color="auto" w:sz="4" w:space="0"/>
              <w:bottom w:val="single" w:color="auto" w:sz="4" w:space="0"/>
              <w:right w:val="single" w:color="auto" w:sz="4" w:space="0"/>
            </w:tcBorders>
            <w:vAlign w:val="center"/>
          </w:tcPr>
          <w:p w14:paraId="0AA926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磋商响应文件份数</w:t>
            </w:r>
          </w:p>
        </w:tc>
        <w:tc>
          <w:tcPr>
            <w:tcW w:w="4823" w:type="dxa"/>
            <w:tcBorders>
              <w:top w:val="single" w:color="auto" w:sz="4" w:space="0"/>
              <w:left w:val="single" w:color="auto" w:sz="4" w:space="0"/>
              <w:bottom w:val="single" w:color="auto" w:sz="4" w:space="0"/>
              <w:right w:val="single" w:color="auto" w:sz="4" w:space="0"/>
            </w:tcBorders>
            <w:vAlign w:val="center"/>
          </w:tcPr>
          <w:p w14:paraId="78626D3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符合竞争性磋商文件要求。</w:t>
            </w:r>
          </w:p>
        </w:tc>
      </w:tr>
      <w:tr w14:paraId="309F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218BB2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2</w:t>
            </w:r>
          </w:p>
        </w:tc>
        <w:tc>
          <w:tcPr>
            <w:tcW w:w="2331" w:type="dxa"/>
            <w:tcBorders>
              <w:top w:val="single" w:color="auto" w:sz="4" w:space="0"/>
              <w:left w:val="single" w:color="auto" w:sz="4" w:space="0"/>
              <w:bottom w:val="single" w:color="auto" w:sz="4" w:space="0"/>
              <w:right w:val="single" w:color="auto" w:sz="4" w:space="0"/>
            </w:tcBorders>
            <w:vAlign w:val="center"/>
          </w:tcPr>
          <w:p w14:paraId="532F984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val="zh-CN"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磋商响应文件签章</w:t>
            </w:r>
          </w:p>
        </w:tc>
        <w:tc>
          <w:tcPr>
            <w:tcW w:w="4823" w:type="dxa"/>
            <w:tcBorders>
              <w:top w:val="single" w:color="auto" w:sz="4" w:space="0"/>
              <w:left w:val="single" w:color="auto" w:sz="4" w:space="0"/>
              <w:bottom w:val="single" w:color="auto" w:sz="4" w:space="0"/>
              <w:right w:val="single" w:color="auto" w:sz="4" w:space="0"/>
            </w:tcBorders>
            <w:vAlign w:val="center"/>
          </w:tcPr>
          <w:p w14:paraId="75E536F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按磋商文件要求签署、加盖印章。</w:t>
            </w:r>
          </w:p>
        </w:tc>
      </w:tr>
      <w:tr w14:paraId="384E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62ACC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p>
        </w:tc>
        <w:tc>
          <w:tcPr>
            <w:tcW w:w="2331" w:type="dxa"/>
            <w:tcBorders>
              <w:top w:val="single" w:color="auto" w:sz="4" w:space="0"/>
              <w:left w:val="single" w:color="auto" w:sz="4" w:space="0"/>
              <w:bottom w:val="single" w:color="auto" w:sz="4" w:space="0"/>
              <w:right w:val="single" w:color="auto" w:sz="4" w:space="0"/>
            </w:tcBorders>
            <w:vAlign w:val="center"/>
          </w:tcPr>
          <w:p w14:paraId="4666DA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Cs/>
                <w:color w:val="000000" w:themeColor="text1"/>
                <w:szCs w:val="21"/>
                <w:highlight w:val="none"/>
                <w:lang w:val="en-US" w:eastAsia="zh-CN" w:bidi="ar"/>
                <w14:textFill>
                  <w14:solidFill>
                    <w14:schemeClr w14:val="tx1"/>
                  </w14:solidFill>
                </w14:textFill>
              </w:rPr>
            </w:pPr>
            <w:r>
              <w:rPr>
                <w:rFonts w:hint="eastAsia" w:ascii="宋体" w:hAnsi="宋体" w:cs="宋体"/>
                <w:bCs/>
                <w:color w:val="000000" w:themeColor="text1"/>
                <w:szCs w:val="21"/>
                <w:highlight w:val="none"/>
                <w:lang w:val="en-US" w:eastAsia="zh-CN" w:bidi="ar"/>
                <w14:textFill>
                  <w14:solidFill>
                    <w14:schemeClr w14:val="tx1"/>
                  </w14:solidFill>
                </w14:textFill>
              </w:rPr>
              <w:t>服务</w:t>
            </w:r>
            <w:r>
              <w:rPr>
                <w:rFonts w:hint="default" w:ascii="宋体" w:hAnsi="宋体" w:eastAsia="宋体" w:cs="宋体"/>
                <w:bCs/>
                <w:color w:val="000000" w:themeColor="text1"/>
                <w:szCs w:val="21"/>
                <w:highlight w:val="none"/>
                <w:lang w:val="en-US" w:eastAsia="zh-CN" w:bidi="ar"/>
                <w14:textFill>
                  <w14:solidFill>
                    <w14:schemeClr w14:val="tx1"/>
                  </w14:solidFill>
                </w14:textFill>
              </w:rPr>
              <w:t>期限</w:t>
            </w:r>
          </w:p>
        </w:tc>
        <w:tc>
          <w:tcPr>
            <w:tcW w:w="4823" w:type="dxa"/>
            <w:tcBorders>
              <w:top w:val="single" w:color="auto" w:sz="4" w:space="0"/>
              <w:left w:val="single" w:color="auto" w:sz="4" w:space="0"/>
              <w:bottom w:val="single" w:color="auto" w:sz="4" w:space="0"/>
              <w:right w:val="single" w:color="auto" w:sz="4" w:space="0"/>
            </w:tcBorders>
            <w:vAlign w:val="center"/>
          </w:tcPr>
          <w:p w14:paraId="1EB045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2DEB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2BB702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w:t>
            </w:r>
          </w:p>
        </w:tc>
        <w:tc>
          <w:tcPr>
            <w:tcW w:w="2331" w:type="dxa"/>
            <w:tcBorders>
              <w:top w:val="single" w:color="auto" w:sz="4" w:space="0"/>
              <w:left w:val="single" w:color="auto" w:sz="4" w:space="0"/>
              <w:bottom w:val="single" w:color="auto" w:sz="4" w:space="0"/>
              <w:right w:val="single" w:color="auto" w:sz="4" w:space="0"/>
            </w:tcBorders>
            <w:vAlign w:val="center"/>
          </w:tcPr>
          <w:p w14:paraId="077631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质量标准</w:t>
            </w:r>
          </w:p>
        </w:tc>
        <w:tc>
          <w:tcPr>
            <w:tcW w:w="4823" w:type="dxa"/>
            <w:tcBorders>
              <w:top w:val="single" w:color="auto" w:sz="4" w:space="0"/>
              <w:left w:val="single" w:color="auto" w:sz="4" w:space="0"/>
              <w:bottom w:val="single" w:color="auto" w:sz="4" w:space="0"/>
              <w:right w:val="single" w:color="auto" w:sz="4" w:space="0"/>
            </w:tcBorders>
            <w:vAlign w:val="center"/>
          </w:tcPr>
          <w:p w14:paraId="5D8F2D9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30DB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18FAE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p>
        </w:tc>
        <w:tc>
          <w:tcPr>
            <w:tcW w:w="2331" w:type="dxa"/>
            <w:tcBorders>
              <w:top w:val="single" w:color="auto" w:sz="4" w:space="0"/>
              <w:left w:val="single" w:color="auto" w:sz="4" w:space="0"/>
              <w:bottom w:val="single" w:color="auto" w:sz="4" w:space="0"/>
              <w:right w:val="single" w:color="auto" w:sz="4" w:space="0"/>
            </w:tcBorders>
            <w:vAlign w:val="center"/>
          </w:tcPr>
          <w:p w14:paraId="21046C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响应文件有效期</w:t>
            </w:r>
          </w:p>
        </w:tc>
        <w:tc>
          <w:tcPr>
            <w:tcW w:w="4823" w:type="dxa"/>
            <w:tcBorders>
              <w:top w:val="single" w:color="auto" w:sz="4" w:space="0"/>
              <w:left w:val="single" w:color="auto" w:sz="4" w:space="0"/>
              <w:bottom w:val="single" w:color="auto" w:sz="4" w:space="0"/>
              <w:right w:val="single" w:color="auto" w:sz="4" w:space="0"/>
            </w:tcBorders>
            <w:vAlign w:val="center"/>
          </w:tcPr>
          <w:p w14:paraId="39AA77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符合竞争性磋商文件要求。</w:t>
            </w:r>
          </w:p>
        </w:tc>
      </w:tr>
      <w:tr w14:paraId="63F0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90" w:type="dxa"/>
            <w:tcBorders>
              <w:top w:val="single" w:color="auto" w:sz="4" w:space="0"/>
              <w:left w:val="single" w:color="auto" w:sz="4" w:space="0"/>
              <w:bottom w:val="single" w:color="auto" w:sz="4" w:space="0"/>
              <w:right w:val="single" w:color="auto" w:sz="4" w:space="0"/>
            </w:tcBorders>
            <w:vAlign w:val="center"/>
          </w:tcPr>
          <w:p w14:paraId="47871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p>
        </w:tc>
        <w:tc>
          <w:tcPr>
            <w:tcW w:w="2331" w:type="dxa"/>
            <w:tcBorders>
              <w:top w:val="single" w:color="auto" w:sz="4" w:space="0"/>
              <w:left w:val="single" w:color="auto" w:sz="4" w:space="0"/>
              <w:bottom w:val="single" w:color="auto" w:sz="4" w:space="0"/>
              <w:right w:val="single" w:color="auto" w:sz="4" w:space="0"/>
            </w:tcBorders>
            <w:vAlign w:val="center"/>
          </w:tcPr>
          <w:p w14:paraId="0DC3EA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000000" w:themeColor="text1"/>
                <w:szCs w:val="21"/>
                <w:highlight w:val="none"/>
                <w:lang w:bidi="ar"/>
                <w14:textFill>
                  <w14:solidFill>
                    <w14:schemeClr w14:val="tx1"/>
                  </w14:solidFill>
                </w14:textFill>
              </w:rPr>
            </w:pPr>
            <w:r>
              <w:rPr>
                <w:rFonts w:hint="eastAsia" w:ascii="宋体" w:hAnsi="宋体" w:cs="宋体"/>
                <w:bCs/>
                <w:color w:val="000000" w:themeColor="text1"/>
                <w:szCs w:val="21"/>
                <w:highlight w:val="none"/>
                <w:lang w:bidi="ar"/>
                <w14:textFill>
                  <w14:solidFill>
                    <w14:schemeClr w14:val="tx1"/>
                  </w14:solidFill>
                </w14:textFill>
              </w:rPr>
              <w:t>磋商总报价</w:t>
            </w:r>
          </w:p>
        </w:tc>
        <w:tc>
          <w:tcPr>
            <w:tcW w:w="4823" w:type="dxa"/>
            <w:tcBorders>
              <w:top w:val="single" w:color="auto" w:sz="4" w:space="0"/>
              <w:left w:val="single" w:color="auto" w:sz="4" w:space="0"/>
              <w:bottom w:val="single" w:color="auto" w:sz="4" w:space="0"/>
              <w:right w:val="single" w:color="auto" w:sz="4" w:space="0"/>
            </w:tcBorders>
            <w:vAlign w:val="center"/>
          </w:tcPr>
          <w:p w14:paraId="5735580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每轮磋商总报价</w:t>
            </w:r>
            <w:r>
              <w:rPr>
                <w:rFonts w:hint="eastAsia" w:ascii="宋体" w:hAnsi="宋体" w:cs="宋体"/>
                <w:color w:val="000000" w:themeColor="text1"/>
                <w:szCs w:val="21"/>
                <w:highlight w:val="none"/>
                <w14:textFill>
                  <w14:solidFill>
                    <w14:schemeClr w14:val="tx1"/>
                  </w14:solidFill>
                </w14:textFill>
              </w:rPr>
              <w:t>唯一且</w:t>
            </w:r>
            <w:r>
              <w:rPr>
                <w:rFonts w:hint="eastAsia" w:ascii="宋体" w:hAnsi="宋体" w:cs="宋体"/>
                <w:color w:val="000000" w:themeColor="text1"/>
                <w:szCs w:val="21"/>
                <w:highlight w:val="none"/>
                <w:lang w:val="zh-CN"/>
                <w14:textFill>
                  <w14:solidFill>
                    <w14:schemeClr w14:val="tx1"/>
                  </w14:solidFill>
                </w14:textFill>
              </w:rPr>
              <w:t>未超过最高限价；</w:t>
            </w:r>
          </w:p>
          <w:p w14:paraId="23B678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注：本项目最高限价为</w:t>
            </w:r>
            <w:bookmarkStart w:id="37" w:name="OLE_LINK107"/>
            <w:r>
              <w:rPr>
                <w:rFonts w:hint="eastAsia" w:ascii="宋体" w:hAnsi="宋体" w:cs="宋体"/>
                <w:b/>
                <w:bCs/>
                <w:color w:val="000000" w:themeColor="text1"/>
                <w:szCs w:val="21"/>
                <w:highlight w:val="none"/>
                <w14:textFill>
                  <w14:solidFill>
                    <w14:schemeClr w14:val="tx1"/>
                  </w14:solidFill>
                </w14:textFill>
              </w:rPr>
              <w:t>人民币</w:t>
            </w:r>
            <w:r>
              <w:rPr>
                <w:rFonts w:hint="eastAsia" w:ascii="宋体" w:hAnsi="宋体" w:cs="宋体"/>
                <w:b/>
                <w:bCs/>
                <w:color w:val="000000" w:themeColor="text1"/>
                <w:highlight w:val="none"/>
                <w:lang w:val="en-US" w:eastAsia="zh-CN"/>
                <w14:textFill>
                  <w14:solidFill>
                    <w14:schemeClr w14:val="tx1"/>
                  </w14:solidFill>
                </w14:textFill>
              </w:rPr>
              <w:t>壹拾伍万元整</w:t>
            </w:r>
          </w:p>
          <w:p w14:paraId="4D9DDAC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150000.00</w:t>
            </w:r>
            <w:r>
              <w:rPr>
                <w:rFonts w:hint="eastAsia" w:ascii="宋体" w:hAnsi="宋体" w:cs="宋体"/>
                <w:b/>
                <w:bCs/>
                <w:color w:val="000000" w:themeColor="text1"/>
                <w:highlight w:val="none"/>
                <w14:textFill>
                  <w14:solidFill>
                    <w14:schemeClr w14:val="tx1"/>
                  </w14:solidFill>
                </w14:textFill>
              </w:rPr>
              <w:t>）</w:t>
            </w:r>
            <w:bookmarkEnd w:id="37"/>
          </w:p>
        </w:tc>
      </w:tr>
    </w:tbl>
    <w:p w14:paraId="31D29FF0">
      <w:pPr>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14:paraId="42DF3302">
      <w:pPr>
        <w:spacing w:line="360" w:lineRule="auto"/>
        <w:jc w:val="center"/>
        <w:outlineLvl w:val="2"/>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二、详细评审</w:t>
      </w:r>
    </w:p>
    <w:p w14:paraId="0011F0FA">
      <w:pPr>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磋商文件</w:t>
      </w:r>
      <w:r>
        <w:rPr>
          <w:rFonts w:hint="eastAsia" w:ascii="宋体" w:hAnsi="宋体" w:cs="宋体"/>
          <w:color w:val="000000" w:themeColor="text1"/>
          <w:szCs w:val="21"/>
          <w:highlight w:val="none"/>
          <w14:textFill>
            <w14:solidFill>
              <w14:schemeClr w14:val="tx1"/>
            </w14:solidFill>
          </w14:textFill>
        </w:rPr>
        <w:t>详细评审</w:t>
      </w:r>
    </w:p>
    <w:p w14:paraId="60096927">
      <w:pPr>
        <w:autoSpaceDE w:val="0"/>
        <w:autoSpaceDN w:val="0"/>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依据法律法规和磋商文件的规定，由磋商小组对磋商响应文件进行详细评审。</w:t>
      </w:r>
    </w:p>
    <w:p w14:paraId="4B85BB85">
      <w:pPr>
        <w:autoSpaceDE w:val="0"/>
        <w:autoSpaceDN w:val="0"/>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 </w:t>
      </w:r>
      <w:r>
        <w:rPr>
          <w:rFonts w:hint="eastAsia" w:ascii="宋体" w:hAnsi="宋体" w:cs="宋体"/>
          <w:color w:val="000000" w:themeColor="text1"/>
          <w:szCs w:val="21"/>
          <w:highlight w:val="none"/>
          <w:lang w:val="zh-CN"/>
          <w14:textFill>
            <w14:solidFill>
              <w14:schemeClr w14:val="tx1"/>
            </w14:solidFill>
          </w14:textFill>
        </w:rPr>
        <w:t>磋商评审方法：综合评分法（总计100分）</w:t>
      </w:r>
    </w:p>
    <w:p w14:paraId="3523F592">
      <w:pPr>
        <w:autoSpaceDE w:val="0"/>
        <w:autoSpaceDN w:val="0"/>
        <w:adjustRightInd w:val="0"/>
        <w:snapToGrid w:val="0"/>
        <w:spacing w:line="360" w:lineRule="auto"/>
        <w:ind w:firstLine="420" w:firstLineChars="2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 </w:t>
      </w:r>
      <w:r>
        <w:rPr>
          <w:rFonts w:hint="eastAsia" w:ascii="宋体" w:hAnsi="宋体" w:cs="宋体"/>
          <w:color w:val="000000" w:themeColor="text1"/>
          <w:szCs w:val="21"/>
          <w:highlight w:val="none"/>
          <w:lang w:val="zh-CN"/>
          <w14:textFill>
            <w14:solidFill>
              <w14:schemeClr w14:val="tx1"/>
            </w14:solidFill>
          </w14:textFill>
        </w:rPr>
        <w:t>评审因素及分值：</w:t>
      </w:r>
    </w:p>
    <w:tbl>
      <w:tblPr>
        <w:tblStyle w:val="18"/>
        <w:tblW w:w="10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1064"/>
        <w:gridCol w:w="1065"/>
        <w:gridCol w:w="6890"/>
      </w:tblGrid>
      <w:tr w14:paraId="7804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noWrap w:val="0"/>
            <w:vAlign w:val="center"/>
          </w:tcPr>
          <w:p w14:paraId="429D9235">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分类</w:t>
            </w:r>
          </w:p>
        </w:tc>
        <w:tc>
          <w:tcPr>
            <w:tcW w:w="1064" w:type="dxa"/>
            <w:noWrap w:val="0"/>
            <w:vAlign w:val="center"/>
          </w:tcPr>
          <w:p w14:paraId="1560D2D6">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评审因素</w:t>
            </w:r>
          </w:p>
        </w:tc>
        <w:tc>
          <w:tcPr>
            <w:tcW w:w="1065" w:type="dxa"/>
            <w:noWrap w:val="0"/>
            <w:vAlign w:val="center"/>
          </w:tcPr>
          <w:p w14:paraId="3700E676">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评审</w:t>
            </w:r>
            <w:r>
              <w:rPr>
                <w:rFonts w:hint="eastAsia" w:asciiTheme="minorEastAsia" w:hAnsiTheme="minorEastAsia" w:eastAsiaTheme="minorEastAsia" w:cstheme="minorEastAsia"/>
                <w:color w:val="auto"/>
                <w:sz w:val="21"/>
                <w:szCs w:val="21"/>
              </w:rPr>
              <w:t>分值</w:t>
            </w:r>
          </w:p>
        </w:tc>
        <w:tc>
          <w:tcPr>
            <w:tcW w:w="6890" w:type="dxa"/>
            <w:noWrap w:val="0"/>
            <w:vAlign w:val="center"/>
          </w:tcPr>
          <w:p w14:paraId="1FBFB7B4">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评审标准</w:t>
            </w:r>
          </w:p>
        </w:tc>
      </w:tr>
      <w:tr w14:paraId="6C2A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noWrap w:val="0"/>
            <w:vAlign w:val="center"/>
          </w:tcPr>
          <w:p w14:paraId="00CE0538">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报价部分</w:t>
            </w:r>
          </w:p>
        </w:tc>
        <w:tc>
          <w:tcPr>
            <w:tcW w:w="1064" w:type="dxa"/>
            <w:noWrap w:val="0"/>
            <w:vAlign w:val="center"/>
          </w:tcPr>
          <w:p w14:paraId="1EF7D20B">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价格</w:t>
            </w:r>
          </w:p>
        </w:tc>
        <w:tc>
          <w:tcPr>
            <w:tcW w:w="1065" w:type="dxa"/>
            <w:noWrap w:val="0"/>
            <w:vAlign w:val="center"/>
          </w:tcPr>
          <w:p w14:paraId="4770A48A">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20分</w:t>
            </w:r>
          </w:p>
        </w:tc>
        <w:tc>
          <w:tcPr>
            <w:tcW w:w="6890" w:type="dxa"/>
            <w:noWrap w:val="0"/>
            <w:vAlign w:val="center"/>
          </w:tcPr>
          <w:p w14:paraId="05B8D869">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1、评审范围：有效的磋商响应总报价（指经初审合格的供应商的磋商最终响应总报价）。</w:t>
            </w:r>
          </w:p>
          <w:p w14:paraId="03205AA2">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2、满足磋商文件要求且最终响应总报价最低的供应商的最终响应总报价为磋商基准价，其价格分为满分。其他供应商的价格分统一按照下列公式计算：</w:t>
            </w:r>
          </w:p>
          <w:p w14:paraId="7E831DE7">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磋商报价得分=（磋商基准价/最终响应总报价）×分值</w:t>
            </w:r>
          </w:p>
          <w:p w14:paraId="18A51F5E">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3、评分分值计算保留小数点后两位，小数点后第三位“四舍五入”。</w:t>
            </w:r>
          </w:p>
        </w:tc>
      </w:tr>
      <w:tr w14:paraId="6065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vMerge w:val="restart"/>
            <w:noWrap w:val="0"/>
            <w:vAlign w:val="center"/>
          </w:tcPr>
          <w:p w14:paraId="05282828">
            <w:pPr>
              <w:spacing w:line="360" w:lineRule="auto"/>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技术部分</w:t>
            </w:r>
          </w:p>
        </w:tc>
        <w:tc>
          <w:tcPr>
            <w:tcW w:w="1064" w:type="dxa"/>
            <w:noWrap w:val="0"/>
            <w:vAlign w:val="center"/>
          </w:tcPr>
          <w:p w14:paraId="1310A3CA">
            <w:pPr>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服务方案</w:t>
            </w:r>
          </w:p>
        </w:tc>
        <w:tc>
          <w:tcPr>
            <w:tcW w:w="1065" w:type="dxa"/>
            <w:noWrap w:val="0"/>
            <w:vAlign w:val="center"/>
          </w:tcPr>
          <w:p w14:paraId="07657D54">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分</w:t>
            </w:r>
          </w:p>
        </w:tc>
        <w:tc>
          <w:tcPr>
            <w:tcW w:w="6890" w:type="dxa"/>
            <w:noWrap w:val="0"/>
            <w:vAlign w:val="center"/>
          </w:tcPr>
          <w:p w14:paraId="3227910D">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方案内容完整</w:t>
            </w:r>
            <w:r>
              <w:rPr>
                <w:rFonts w:hint="eastAsia" w:asciiTheme="minorEastAsia" w:hAnsiTheme="minorEastAsia" w:eastAsiaTheme="minorEastAsia" w:cstheme="minorEastAsia"/>
                <w:color w:val="auto"/>
                <w:sz w:val="21"/>
                <w:szCs w:val="21"/>
              </w:rPr>
              <w:t>全面，切合本项目实际情况，</w:t>
            </w:r>
            <w:r>
              <w:rPr>
                <w:rFonts w:hint="eastAsia" w:asciiTheme="minorEastAsia" w:hAnsiTheme="minorEastAsia" w:eastAsiaTheme="minorEastAsia" w:cstheme="minorEastAsia"/>
                <w:color w:val="auto"/>
                <w:sz w:val="21"/>
                <w:szCs w:val="21"/>
                <w:lang w:val="en-US" w:eastAsia="zh-CN"/>
              </w:rPr>
              <w:t>服务目标明确且完全满足采购人需求，计20分；</w:t>
            </w:r>
          </w:p>
          <w:p w14:paraId="768DF60D">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方案内容基本完整，服务目标基本明确，计15分；</w:t>
            </w:r>
          </w:p>
          <w:p w14:paraId="680D5025">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方案内明确，但服务目标含糊计10分；</w:t>
            </w:r>
          </w:p>
          <w:p w14:paraId="390A0B90">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方案内容含糊，服务目标缺失或有实质性缺陷，无法满足项目实施需求，计5分。</w:t>
            </w:r>
          </w:p>
          <w:p w14:paraId="180F30EF">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未提供计0分。</w:t>
            </w:r>
          </w:p>
        </w:tc>
      </w:tr>
      <w:tr w14:paraId="1AEC2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vMerge w:val="continue"/>
            <w:noWrap w:val="0"/>
            <w:vAlign w:val="center"/>
          </w:tcPr>
          <w:p w14:paraId="60C90320">
            <w:pPr>
              <w:spacing w:line="360" w:lineRule="auto"/>
              <w:jc w:val="center"/>
              <w:rPr>
                <w:rFonts w:hint="eastAsia" w:asciiTheme="minorEastAsia" w:hAnsiTheme="minorEastAsia" w:eastAsiaTheme="minorEastAsia" w:cstheme="minorEastAsia"/>
                <w:b w:val="0"/>
                <w:bCs/>
                <w:color w:val="auto"/>
                <w:kern w:val="2"/>
                <w:sz w:val="21"/>
                <w:szCs w:val="21"/>
                <w:highlight w:val="none"/>
                <w:u w:val="none"/>
                <w:lang w:val="en-US" w:eastAsia="zh-CN" w:bidi="ar-SA"/>
              </w:rPr>
            </w:pPr>
          </w:p>
        </w:tc>
        <w:tc>
          <w:tcPr>
            <w:tcW w:w="1064" w:type="dxa"/>
            <w:noWrap w:val="0"/>
            <w:vAlign w:val="center"/>
          </w:tcPr>
          <w:p w14:paraId="225C6B6B">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进度计划组织措施</w:t>
            </w:r>
          </w:p>
        </w:tc>
        <w:tc>
          <w:tcPr>
            <w:tcW w:w="1065" w:type="dxa"/>
            <w:noWrap w:val="0"/>
            <w:vAlign w:val="center"/>
          </w:tcPr>
          <w:p w14:paraId="06245A2E">
            <w:pPr>
              <w:spacing w:line="360" w:lineRule="auto"/>
              <w:jc w:val="center"/>
              <w:rPr>
                <w:rFonts w:hint="eastAsia" w:asciiTheme="minorEastAsia" w:hAnsiTheme="minorEastAsia" w:eastAsiaTheme="minorEastAsia" w:cstheme="minorEastAsia"/>
                <w:b w:val="0"/>
                <w:bCs/>
                <w:color w:val="auto"/>
                <w:kern w:val="2"/>
                <w:sz w:val="21"/>
                <w:szCs w:val="21"/>
                <w:highlight w:val="none"/>
                <w:u w:val="none"/>
                <w:lang w:val="en-US" w:eastAsia="zh-CN" w:bidi="ar-SA"/>
              </w:rPr>
            </w:pPr>
          </w:p>
          <w:p w14:paraId="1AEE4932">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15分</w:t>
            </w:r>
          </w:p>
        </w:tc>
        <w:tc>
          <w:tcPr>
            <w:tcW w:w="6890" w:type="dxa"/>
            <w:noWrap w:val="0"/>
            <w:vAlign w:val="center"/>
          </w:tcPr>
          <w:p w14:paraId="31DC5856">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进度计划组织措施内容全面且详细，条理清晰，针对性充足且完全满足项目实施，计15分；</w:t>
            </w:r>
          </w:p>
          <w:p w14:paraId="0D2FC378">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组织措施措施明确、条理清晰，针对性充足，计11分；</w:t>
            </w:r>
          </w:p>
          <w:p w14:paraId="2321196B">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组织措施明确，条理清晰但针对性不足，计7分；</w:t>
            </w:r>
          </w:p>
          <w:p w14:paraId="73915248">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组织措施内容含糊，条理不清晰或有实质性缺陷，针对性不足，无法满足项目实施，计3分；</w:t>
            </w:r>
          </w:p>
          <w:p w14:paraId="37D68121">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未提供计0分；</w:t>
            </w:r>
          </w:p>
        </w:tc>
      </w:tr>
      <w:tr w14:paraId="3DA0D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vMerge w:val="continue"/>
            <w:noWrap w:val="0"/>
            <w:vAlign w:val="center"/>
          </w:tcPr>
          <w:p w14:paraId="6D2AF97D">
            <w:pPr>
              <w:spacing w:line="360" w:lineRule="auto"/>
              <w:jc w:val="center"/>
              <w:rPr>
                <w:rFonts w:hint="eastAsia" w:asciiTheme="minorEastAsia" w:hAnsiTheme="minorEastAsia" w:eastAsiaTheme="minorEastAsia" w:cstheme="minorEastAsia"/>
                <w:b w:val="0"/>
                <w:bCs/>
                <w:color w:val="auto"/>
                <w:kern w:val="2"/>
                <w:sz w:val="21"/>
                <w:szCs w:val="21"/>
                <w:highlight w:val="none"/>
                <w:u w:val="none"/>
                <w:lang w:val="en-US" w:eastAsia="zh-CN" w:bidi="ar-SA"/>
              </w:rPr>
            </w:pPr>
          </w:p>
        </w:tc>
        <w:tc>
          <w:tcPr>
            <w:tcW w:w="1064" w:type="dxa"/>
            <w:noWrap w:val="0"/>
            <w:vAlign w:val="center"/>
          </w:tcPr>
          <w:p w14:paraId="3F09A193">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服务质量保障措施</w:t>
            </w:r>
          </w:p>
        </w:tc>
        <w:tc>
          <w:tcPr>
            <w:tcW w:w="1065" w:type="dxa"/>
            <w:noWrap w:val="0"/>
            <w:vAlign w:val="center"/>
          </w:tcPr>
          <w:p w14:paraId="55456AED">
            <w:pPr>
              <w:spacing w:line="360" w:lineRule="auto"/>
              <w:jc w:val="center"/>
              <w:rPr>
                <w:rFonts w:hint="eastAsia" w:asciiTheme="minorEastAsia" w:hAnsiTheme="minorEastAsia" w:eastAsiaTheme="minorEastAsia" w:cstheme="minorEastAsia"/>
                <w:b w:val="0"/>
                <w:bCs/>
                <w:color w:val="auto"/>
                <w:kern w:val="2"/>
                <w:sz w:val="21"/>
                <w:szCs w:val="21"/>
                <w:highlight w:val="none"/>
                <w:u w:val="none"/>
                <w:lang w:val="en-US" w:eastAsia="zh-CN" w:bidi="ar-SA"/>
              </w:rPr>
            </w:pPr>
          </w:p>
          <w:p w14:paraId="1F3D4927">
            <w:pPr>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15分</w:t>
            </w:r>
          </w:p>
        </w:tc>
        <w:tc>
          <w:tcPr>
            <w:tcW w:w="6890" w:type="dxa"/>
            <w:noWrap w:val="0"/>
            <w:vAlign w:val="center"/>
          </w:tcPr>
          <w:p w14:paraId="263CBB21">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服务质量管理体系健全完善、质量目标明确，保证措施内容详细全面，条理清晰，针对性充足且完全满足项目实施计15分；</w:t>
            </w:r>
          </w:p>
          <w:p w14:paraId="2AA50DE9">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服务质量管理体系较完善、质量目标明确，保证措施详细、条理清晰，有针对性计11分；</w:t>
            </w:r>
          </w:p>
          <w:p w14:paraId="589009F2">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服务质量管理体系不完善，质量目标及保证措施明确，但保证措施内容条理不清晰，针对性不足，计7分；</w:t>
            </w:r>
          </w:p>
          <w:p w14:paraId="7DFF0656">
            <w:pPr>
              <w:spacing w:line="360" w:lineRule="auto"/>
              <w:rPr>
                <w:rFonts w:hint="eastAsia" w:asciiTheme="minorEastAsia" w:hAnsiTheme="minorEastAsia" w:eastAsiaTheme="minorEastAsia" w:cstheme="minorEastAsia"/>
                <w:b w:val="0"/>
                <w:bCs/>
                <w:color w:val="auto"/>
                <w:kern w:val="2"/>
                <w:sz w:val="21"/>
                <w:szCs w:val="21"/>
                <w:highlight w:val="none"/>
                <w:u w:val="none"/>
                <w:lang w:val="en-US" w:eastAsia="zh-CN" w:bidi="ar-SA"/>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服务质量管理体系不完善，质量目标及保证措施内容含糊或有实质性缺陷，条里不清晰，针对性不足计3分；</w:t>
            </w:r>
          </w:p>
          <w:p w14:paraId="28D4AEE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color w:val="auto"/>
                <w:kern w:val="2"/>
                <w:sz w:val="21"/>
                <w:szCs w:val="21"/>
                <w:highlight w:val="none"/>
                <w:u w:val="none"/>
                <w:lang w:val="en-US" w:eastAsia="zh-CN" w:bidi="ar-SA"/>
              </w:rPr>
              <w:t>未提供计0分；</w:t>
            </w:r>
          </w:p>
        </w:tc>
      </w:tr>
      <w:tr w14:paraId="6D501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vMerge w:val="continue"/>
            <w:noWrap w:val="0"/>
            <w:vAlign w:val="center"/>
          </w:tcPr>
          <w:p w14:paraId="22BBA8AC">
            <w:pPr>
              <w:spacing w:line="360" w:lineRule="auto"/>
              <w:jc w:val="center"/>
              <w:rPr>
                <w:rFonts w:hint="eastAsia" w:asciiTheme="minorEastAsia" w:hAnsiTheme="minorEastAsia" w:eastAsiaTheme="minorEastAsia" w:cstheme="minorEastAsia"/>
                <w:color w:val="auto"/>
                <w:sz w:val="21"/>
                <w:szCs w:val="21"/>
                <w:highlight w:val="none"/>
                <w:lang w:val="en-US" w:eastAsia="zh-Hans" w:bidi="ar-SA"/>
              </w:rPr>
            </w:pPr>
          </w:p>
        </w:tc>
        <w:tc>
          <w:tcPr>
            <w:tcW w:w="1064" w:type="dxa"/>
            <w:noWrap w:val="0"/>
            <w:vAlign w:val="center"/>
          </w:tcPr>
          <w:p w14:paraId="4D6973D5">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lang w:val="en-US" w:eastAsia="zh-Hans" w:bidi="ar-SA"/>
              </w:rPr>
              <w:t>服务团队</w:t>
            </w:r>
          </w:p>
        </w:tc>
        <w:tc>
          <w:tcPr>
            <w:tcW w:w="1065" w:type="dxa"/>
            <w:noWrap w:val="0"/>
            <w:vAlign w:val="center"/>
          </w:tcPr>
          <w:p w14:paraId="352F409B">
            <w:pPr>
              <w:spacing w:line="360" w:lineRule="auto"/>
              <w:ind w:left="0" w:leftChars="0"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15分</w:t>
            </w:r>
          </w:p>
        </w:tc>
        <w:tc>
          <w:tcPr>
            <w:tcW w:w="6890" w:type="dxa"/>
            <w:noWrap w:val="0"/>
            <w:vAlign w:val="center"/>
          </w:tcPr>
          <w:p w14:paraId="2CF595A6">
            <w:pPr>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针对本项目拟配备服务团队人员架构齐全、数量充足、专业经验丰富，配备方案合理高效，逻辑结构清晰且具有针对性计15分； </w:t>
            </w:r>
          </w:p>
          <w:p w14:paraId="64210C0C">
            <w:pPr>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针对本项目拟配备服务团队人员架构基本齐全、数量基本充足、专业经验丰富，配备方案明确且具有一定合理性，逻辑结构基本清晰且具有一定针对性的计10分 ；</w:t>
            </w:r>
          </w:p>
          <w:p w14:paraId="747CA243">
            <w:pPr>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针对本项目拟配备服务团队人员架构不齐全、数量不足、专业经验不足，配备方案含糊，逻辑结构不清晰且针对性不足计5分。</w:t>
            </w:r>
          </w:p>
          <w:p w14:paraId="436A1DE6">
            <w:pPr>
              <w:spacing w:line="360" w:lineRule="auto"/>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lang w:val="en-US" w:eastAsia="zh-CN"/>
              </w:rPr>
              <w:t>未提供计0分。</w:t>
            </w:r>
          </w:p>
        </w:tc>
      </w:tr>
      <w:tr w14:paraId="15A2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4" w:type="dxa"/>
            <w:noWrap w:val="0"/>
            <w:vAlign w:val="center"/>
          </w:tcPr>
          <w:p w14:paraId="52C97034">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商务部分</w:t>
            </w:r>
          </w:p>
        </w:tc>
        <w:tc>
          <w:tcPr>
            <w:tcW w:w="1064" w:type="dxa"/>
            <w:noWrap w:val="0"/>
            <w:vAlign w:val="center"/>
          </w:tcPr>
          <w:p w14:paraId="022FEAC3">
            <w:pPr>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rPr>
              <w:t>服务承诺</w:t>
            </w:r>
          </w:p>
        </w:tc>
        <w:tc>
          <w:tcPr>
            <w:tcW w:w="1065" w:type="dxa"/>
            <w:noWrap w:val="0"/>
            <w:vAlign w:val="center"/>
          </w:tcPr>
          <w:p w14:paraId="1C194DB2">
            <w:pPr>
              <w:pStyle w:val="29"/>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15分</w:t>
            </w:r>
          </w:p>
        </w:tc>
        <w:tc>
          <w:tcPr>
            <w:tcW w:w="6890" w:type="dxa"/>
            <w:noWrap w:val="0"/>
            <w:vAlign w:val="top"/>
          </w:tcPr>
          <w:p w14:paraId="4BA149EF">
            <w:pPr>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供应商提供完善的服务承诺及措施。</w:t>
            </w:r>
          </w:p>
          <w:p w14:paraId="48763E1B">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承诺及措施内容完善</w:t>
            </w:r>
            <w:r>
              <w:rPr>
                <w:rFonts w:hint="eastAsia" w:asciiTheme="minorEastAsia" w:hAnsiTheme="minorEastAsia" w:eastAsiaTheme="minorEastAsia" w:cstheme="minorEastAsia"/>
                <w:color w:val="auto"/>
                <w:sz w:val="21"/>
                <w:szCs w:val="21"/>
                <w:highlight w:val="none"/>
                <w:lang w:val="en-US" w:eastAsia="zh-CN"/>
              </w:rPr>
              <w:t>合理，</w:t>
            </w:r>
            <w:r>
              <w:rPr>
                <w:rFonts w:hint="eastAsia" w:asciiTheme="minorEastAsia" w:hAnsiTheme="minorEastAsia" w:eastAsiaTheme="minorEastAsia" w:cstheme="minorEastAsia"/>
                <w:color w:val="auto"/>
                <w:sz w:val="21"/>
                <w:szCs w:val="21"/>
                <w:highlight w:val="none"/>
              </w:rPr>
              <w:t>符合本项目需求计</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p w14:paraId="7871AE80">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承诺及措施内容</w:t>
            </w:r>
            <w:r>
              <w:rPr>
                <w:rFonts w:hint="eastAsia" w:asciiTheme="minorEastAsia" w:hAnsiTheme="minorEastAsia" w:eastAsiaTheme="minorEastAsia" w:cstheme="minorEastAsia"/>
                <w:color w:val="auto"/>
                <w:sz w:val="21"/>
                <w:szCs w:val="21"/>
                <w:highlight w:val="none"/>
                <w:lang w:val="en-US" w:eastAsia="zh-CN"/>
              </w:rPr>
              <w:t>基本</w:t>
            </w:r>
            <w:r>
              <w:rPr>
                <w:rFonts w:hint="eastAsia" w:asciiTheme="minorEastAsia" w:hAnsiTheme="minorEastAsia" w:eastAsiaTheme="minorEastAsia" w:cstheme="minorEastAsia"/>
                <w:color w:val="auto"/>
                <w:sz w:val="21"/>
                <w:szCs w:val="21"/>
                <w:highlight w:val="none"/>
              </w:rPr>
              <w:t>合理计</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14:paraId="375CAB4E">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承诺及措施内容粗略</w:t>
            </w:r>
            <w:r>
              <w:rPr>
                <w:rFonts w:hint="eastAsia" w:asciiTheme="minorEastAsia" w:hAnsiTheme="minorEastAsia" w:eastAsiaTheme="minorEastAsia" w:cstheme="minorEastAsia"/>
                <w:color w:val="auto"/>
                <w:sz w:val="21"/>
                <w:szCs w:val="21"/>
                <w:highlight w:val="none"/>
                <w:lang w:val="en-US" w:eastAsia="zh-CN"/>
              </w:rPr>
              <w:t>且不合理</w:t>
            </w:r>
            <w:r>
              <w:rPr>
                <w:rFonts w:hint="eastAsia" w:asciiTheme="minorEastAsia" w:hAnsiTheme="minorEastAsia" w:eastAsiaTheme="minorEastAsia" w:cstheme="minorEastAsia"/>
                <w:color w:val="auto"/>
                <w:sz w:val="21"/>
                <w:szCs w:val="21"/>
                <w:highlight w:val="none"/>
              </w:rPr>
              <w:t>计</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372AD608">
            <w:pPr>
              <w:pStyle w:val="29"/>
              <w:snapToGrid w:val="0"/>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highlight w:val="none"/>
              </w:rPr>
              <w:t>未提供计0分。</w:t>
            </w:r>
          </w:p>
        </w:tc>
      </w:tr>
    </w:tbl>
    <w:p w14:paraId="1F0FE01A">
      <w:pPr>
        <w:adjustRightInd w:val="0"/>
        <w:snapToGrid w:val="0"/>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1、评审办法</w:t>
      </w:r>
    </w:p>
    <w:p w14:paraId="3BF1E01C">
      <w:pPr>
        <w:adjustRightInd w:val="0"/>
        <w:snapToGrid w:val="0"/>
        <w:spacing w:line="360" w:lineRule="auto"/>
        <w:ind w:firstLine="420" w:firstLineChars="200"/>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1.1、本次评审采用综合评分法，</w:t>
      </w:r>
      <w:r>
        <w:rPr>
          <w:rFonts w:hint="eastAsia" w:ascii="宋体" w:hAnsi="宋体" w:cs="宋体"/>
          <w:color w:val="000000" w:themeColor="text1"/>
          <w:szCs w:val="21"/>
          <w:highlight w:val="none"/>
          <w:lang w:val="zh-CN"/>
          <w14:textFill>
            <w14:solidFill>
              <w14:schemeClr w14:val="tx1"/>
            </w14:solidFill>
          </w14:textFill>
        </w:rPr>
        <w:t>磋商小组对通过初步评审的磋商响应文件，按照本章规定的评分标准进行打分，由高到低进行汇总排序，推荐前三名</w:t>
      </w:r>
      <w:r>
        <w:rPr>
          <w:rFonts w:hint="eastAsia" w:ascii="宋体" w:hAnsi="宋体" w:cs="宋体"/>
          <w:color w:val="000000" w:themeColor="text1"/>
          <w:szCs w:val="21"/>
          <w:highlight w:val="none"/>
          <w14:textFill>
            <w14:solidFill>
              <w14:schemeClr w14:val="tx1"/>
            </w14:solidFill>
          </w14:textFill>
        </w:rPr>
        <w:t>成交</w:t>
      </w:r>
      <w:r>
        <w:rPr>
          <w:rFonts w:hint="eastAsia" w:ascii="宋体" w:hAnsi="宋体" w:cs="宋体"/>
          <w:color w:val="000000" w:themeColor="text1"/>
          <w:szCs w:val="21"/>
          <w:highlight w:val="none"/>
          <w:lang w:val="zh-CN"/>
          <w14:textFill>
            <w14:solidFill>
              <w14:schemeClr w14:val="tx1"/>
            </w14:solidFill>
          </w14:textFill>
        </w:rPr>
        <w:t>候选单位。综合得分相同的，以</w:t>
      </w:r>
      <w:r>
        <w:rPr>
          <w:rFonts w:hint="eastAsia" w:ascii="宋体" w:hAnsi="宋体" w:cs="宋体"/>
          <w:color w:val="000000" w:themeColor="text1"/>
          <w:szCs w:val="21"/>
          <w:highlight w:val="none"/>
          <w14:textFill>
            <w14:solidFill>
              <w14:schemeClr w14:val="tx1"/>
            </w14:solidFill>
          </w14:textFill>
        </w:rPr>
        <w:t>磋商响应总报价低的</w:t>
      </w:r>
      <w:r>
        <w:rPr>
          <w:rFonts w:hint="eastAsia" w:ascii="宋体" w:hAnsi="宋体" w:cs="宋体"/>
          <w:color w:val="000000" w:themeColor="text1"/>
          <w:szCs w:val="21"/>
          <w:highlight w:val="none"/>
          <w:lang w:val="zh-CN"/>
          <w14:textFill>
            <w14:solidFill>
              <w14:schemeClr w14:val="tx1"/>
            </w14:solidFill>
          </w14:textFill>
        </w:rPr>
        <w:t>优先。磋商小组依据磋商结果写出磋商报告。</w:t>
      </w:r>
    </w:p>
    <w:p w14:paraId="6368F33F">
      <w:pPr>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评审标准</w:t>
      </w:r>
    </w:p>
    <w:p w14:paraId="1BD83D8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 初步评审标准</w:t>
      </w:r>
    </w:p>
    <w:p w14:paraId="48CFCEC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 资格性审查标准：见评审办法前附表。</w:t>
      </w:r>
    </w:p>
    <w:p w14:paraId="2B0176F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 符合性审查标准：见评审办法前附表。</w:t>
      </w:r>
    </w:p>
    <w:p w14:paraId="633272D5">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 分值构成与评分标准</w:t>
      </w:r>
    </w:p>
    <w:p w14:paraId="17F0B7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 分值构成</w:t>
      </w:r>
    </w:p>
    <w:p w14:paraId="78DC834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（1）技术部分：见评审办法前附表；</w:t>
      </w:r>
    </w:p>
    <w:p w14:paraId="7E6D0F8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（2）商务部分：见评审办法前附表；</w:t>
      </w:r>
    </w:p>
    <w:p w14:paraId="528067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（3）报价部分：见评审办法前附表。</w:t>
      </w:r>
    </w:p>
    <w:p w14:paraId="2A2E21C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 评审基准价计算</w:t>
      </w:r>
    </w:p>
    <w:p w14:paraId="7B821EE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评审基准价计算方法：见评审办法前附表。</w:t>
      </w:r>
    </w:p>
    <w:p w14:paraId="64BD179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 评分标准</w:t>
      </w:r>
    </w:p>
    <w:p w14:paraId="575360C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（1）技术评分标准：见评审办法前附表；</w:t>
      </w:r>
    </w:p>
    <w:p w14:paraId="0A1BB06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（2）商务评分标准：见评审办法前附表；</w:t>
      </w:r>
    </w:p>
    <w:p w14:paraId="7FFADFA1">
      <w:pPr>
        <w:spacing w:line="360" w:lineRule="auto"/>
        <w:ind w:firstLine="420" w:firstLineChars="200"/>
        <w:jc w:val="left"/>
        <w:rPr>
          <w:rFonts w:ascii="宋体" w:hAnsi="宋体" w:cs="宋体"/>
          <w:b/>
          <w:bCs/>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（3）报价评分标准：见评审办法前附表。</w:t>
      </w:r>
    </w:p>
    <w:p w14:paraId="3980B110">
      <w:pPr>
        <w:spacing w:line="360" w:lineRule="auto"/>
        <w:jc w:val="left"/>
        <w:rPr>
          <w:rFonts w:ascii="宋体" w:hAnsi="宋体" w:cs="宋体"/>
          <w:b/>
          <w:color w:val="000000" w:themeColor="text1"/>
          <w:szCs w:val="21"/>
          <w:highlight w:val="none"/>
          <w14:textFill>
            <w14:solidFill>
              <w14:schemeClr w14:val="tx1"/>
            </w14:solidFill>
          </w14:textFill>
        </w:rPr>
      </w:pPr>
      <w:bookmarkStart w:id="38" w:name="_Toc23851"/>
      <w:r>
        <w:rPr>
          <w:rFonts w:hint="eastAsia" w:ascii="宋体" w:hAnsi="宋体" w:cs="宋体"/>
          <w:b/>
          <w:color w:val="000000" w:themeColor="text1"/>
          <w:szCs w:val="21"/>
          <w:highlight w:val="none"/>
          <w14:textFill>
            <w14:solidFill>
              <w14:schemeClr w14:val="tx1"/>
            </w14:solidFill>
          </w14:textFill>
        </w:rPr>
        <w:t>3. 评标程序</w:t>
      </w:r>
    </w:p>
    <w:p w14:paraId="7B549F8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 初步评审</w:t>
      </w:r>
    </w:p>
    <w:p w14:paraId="020420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 磋商小组可以要求供应商提交第二章“供应商须知”规定的有关证明和证件的原件，以便核验。</w:t>
      </w:r>
    </w:p>
    <w:p w14:paraId="6D72402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 由采购人代表对磋商响应文件进行资格性审查，响应文件有一项不符合评审标准的，采购人代表应当否决其磋商响应。未通过资格性审查的供应商不进入下一步评审程序。</w:t>
      </w:r>
    </w:p>
    <w:p w14:paraId="41FA894D">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3.1.3 磋商小组对磋商响应文件进行符合性审查</w:t>
      </w:r>
      <w:r>
        <w:rPr>
          <w:rFonts w:hint="eastAsia" w:ascii="宋体" w:hAnsi="宋体" w:cs="宋体"/>
          <w:bCs/>
          <w:color w:val="000000" w:themeColor="text1"/>
          <w:szCs w:val="21"/>
          <w:highlight w:val="none"/>
          <w:lang w:val="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color w:val="000000" w:themeColor="text1"/>
          <w:szCs w:val="21"/>
          <w:highlight w:val="none"/>
          <w14:textFill>
            <w14:solidFill>
              <w14:schemeClr w14:val="tx1"/>
            </w14:solidFill>
          </w14:textFill>
        </w:rPr>
        <w:t>有一项不符合评审标准的，磋商小组应当否决其磋商响应。未通过符合性审查的供应商不进入下一步评审程序。</w:t>
      </w:r>
    </w:p>
    <w:p w14:paraId="2DC1FD59">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 详细评审</w:t>
      </w:r>
    </w:p>
    <w:p w14:paraId="150F5F5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 磋商小组按照磋商文件规定的评审方法和标准，对通过初步评审供应商的响应文件文件进行详细评审，最低报价不作为成交的唯一条件。</w:t>
      </w:r>
    </w:p>
    <w:p w14:paraId="75F4755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 响应文件有算术错误及其他错误的，磋商小组按以下原则要求供应商对响应报价进行修正，并要求供应商书面澄清确认。供应商拒不澄清确认的，磋商小组应当否决其磋商响应：</w:t>
      </w:r>
    </w:p>
    <w:p w14:paraId="41F7E47C">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（1）大写金额与小写金额不一致的，以大写金额为准；</w:t>
      </w:r>
    </w:p>
    <w:p w14:paraId="2E97134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（2）总价金额与按单价汇总金额不一致的，以单价金额计算结果为准；</w:t>
      </w:r>
    </w:p>
    <w:p w14:paraId="74E1006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（3）单价金额小数点有明显错位的，应以总价为准，并修改单价；</w:t>
      </w:r>
    </w:p>
    <w:p w14:paraId="15BE9BF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（4）对不同文字文本响应文件的解释发生异议的，以中文文本为准；</w:t>
      </w:r>
    </w:p>
    <w:p w14:paraId="3F4DBCE9">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（5）文字与图表不一致的，以文字为准；</w:t>
      </w:r>
    </w:p>
    <w:p w14:paraId="0BAD8CEB">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（6）正本与副本不一致的，以正本为准。</w:t>
      </w:r>
    </w:p>
    <w:p w14:paraId="79B45EE1">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 磋商小组按本章规定的量化因素和分值进行打分，并计算出综合评估得分。</w:t>
      </w:r>
    </w:p>
    <w:p w14:paraId="4071ECB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（1）按本章规定的评审因素和分值对技术部分计算出得分A；</w:t>
      </w:r>
    </w:p>
    <w:p w14:paraId="78DE9DC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（2）按本章规定的评审因素和分值对商务部分计算出得分B；</w:t>
      </w:r>
    </w:p>
    <w:p w14:paraId="11AB4B4E">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（3）按本章规定的评审因素和分值对报价部分计算出得分C；</w:t>
      </w:r>
    </w:p>
    <w:p w14:paraId="6BE55E5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评分分值计算保留小数点后两位，小数点后第三位“四舍五入”。供应商得分=A+B+C。</w:t>
      </w:r>
    </w:p>
    <w:p w14:paraId="53E78810">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 磋商小组发现供应商的报价明显低于其他通过初步审查的供应商的报价，使得其报价可能低于其个别成本的，有可能影响产品质量或者不能诚信履约的，应当要求该供应商现场合理的时间内作出书面说明并提供相应的证明材料。供应商不能合理说明或者不能提供相应证明材料证明其报价合理的，磋商小组应当认定该供应商以低于成本报价竞标，将其作为无效响应处理。</w:t>
      </w:r>
    </w:p>
    <w:p w14:paraId="2DD9BB8C">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 响应文件的澄清</w:t>
      </w:r>
    </w:p>
    <w:p w14:paraId="57AFB74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14:paraId="5D65EF3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 澄清、说明或补正不得超出响应文件的范围且不得改变响应文件的实质性内容，并构成响应文件的组成部分。</w:t>
      </w:r>
    </w:p>
    <w:p w14:paraId="178FAC1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3.3.3 磋商小组对供应商提交的澄清、说明或补正有疑问的，可以要求供应商进一步澄清、说明或补正，直至满足磋商小组的要求。</w:t>
      </w:r>
    </w:p>
    <w:p w14:paraId="52674581">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 评审结果</w:t>
      </w:r>
    </w:p>
    <w:p w14:paraId="6D90E8B2">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 除第二章“供应商须知”前附表授权磋商小组直接确定成交供应商外，磋商小组按照得分高到低的顺序推荐成交候选供应商。</w:t>
      </w:r>
    </w:p>
    <w:p w14:paraId="41D8BB1A">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 磋商小组完成评审后，应当向采购人提交书面评审报告和成交候选供应商名单。</w:t>
      </w:r>
    </w:p>
    <w:p w14:paraId="0BF792A9">
      <w:pPr>
        <w:pStyle w:val="24"/>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 其他</w:t>
      </w:r>
    </w:p>
    <w:p w14:paraId="277AD04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评审过程中，若出现特殊情况时，由磋商小组决定暂停评审的，应提出具体处理意见。</w:t>
      </w:r>
    </w:p>
    <w:p w14:paraId="7E4B5867">
      <w:pPr>
        <w:numPr>
          <w:ilvl w:val="0"/>
          <w:numId w:val="1"/>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无效响应条款：</w:t>
      </w:r>
    </w:p>
    <w:p w14:paraId="494C4DE6">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（1）供应商未经过正常渠道获取</w:t>
      </w:r>
      <w:r>
        <w:rPr>
          <w:rFonts w:hint="eastAsia" w:ascii="宋体" w:hAnsi="宋体" w:cs="宋体"/>
          <w:bCs/>
          <w:color w:val="000000" w:themeColor="text1"/>
          <w:szCs w:val="21"/>
          <w:highlight w:val="none"/>
          <w14:textFill>
            <w14:solidFill>
              <w14:schemeClr w14:val="tx1"/>
            </w14:solidFill>
          </w14:textFill>
        </w:rPr>
        <w:t>竞争性磋商</w:t>
      </w:r>
      <w:r>
        <w:rPr>
          <w:rFonts w:hint="eastAsia" w:ascii="宋体" w:hAnsi="宋体" w:cs="宋体"/>
          <w:bCs/>
          <w:color w:val="000000" w:themeColor="text1"/>
          <w:szCs w:val="21"/>
          <w:highlight w:val="none"/>
          <w:lang w:val="zh-CN"/>
          <w14:textFill>
            <w14:solidFill>
              <w14:schemeClr w14:val="tx1"/>
            </w14:solidFill>
          </w14:textFill>
        </w:rPr>
        <w:t>文件的或供应商名称与获取竞争性磋商文件单位的名称不一致的；</w:t>
      </w:r>
    </w:p>
    <w:p w14:paraId="6BA7AA4A">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如竞争性磋商文件要求交纳保证金，供应商</w:t>
      </w:r>
      <w:r>
        <w:rPr>
          <w:rFonts w:hint="eastAsia" w:ascii="宋体" w:hAnsi="宋体" w:cs="宋体"/>
          <w:bCs/>
          <w:color w:val="000000" w:themeColor="text1"/>
          <w:szCs w:val="21"/>
          <w:highlight w:val="none"/>
          <w:lang w:val="zh-CN"/>
          <w14:textFill>
            <w14:solidFill>
              <w14:schemeClr w14:val="tx1"/>
            </w14:solidFill>
          </w14:textFill>
        </w:rPr>
        <w:t>未按照竞争性磋商文件规定交纳保证金或未在</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中附入保证金交纳凭证的；</w:t>
      </w:r>
    </w:p>
    <w:p w14:paraId="165C9339">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（3）未按照竞争性磋商文件规定和要求密封、签署、盖章的；</w:t>
      </w:r>
    </w:p>
    <w:p w14:paraId="3707973D">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（4）未按照竞争性磋商文件规定的格式要求编制的；</w:t>
      </w:r>
    </w:p>
    <w:p w14:paraId="427736C4">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（5）不具备竞争性磋商文件中规定的资格要求的；</w:t>
      </w:r>
    </w:p>
    <w:p w14:paraId="508761BE">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（6）磋商小组需核查备查的原件（或资料）的未按要求时间及时提交合格原件（或资料）或所提交的原件不合格的；</w:t>
      </w:r>
    </w:p>
    <w:p w14:paraId="7AD63F08">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bookmarkStart w:id="39" w:name="OLE_LINK65"/>
      <w:r>
        <w:rPr>
          <w:rFonts w:hint="eastAsia" w:ascii="宋体" w:hAnsi="宋体" w:cs="宋体"/>
          <w:bCs/>
          <w:color w:val="000000" w:themeColor="text1"/>
          <w:szCs w:val="21"/>
          <w:highlight w:val="none"/>
          <w:lang w:val="zh-CN"/>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对竞争性磋商文件的实质性条款响应不符合项目的要求；</w:t>
      </w:r>
    </w:p>
    <w:p w14:paraId="4B3272DB">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（8）供应商的</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bCs/>
          <w:color w:val="000000" w:themeColor="text1"/>
          <w:szCs w:val="21"/>
          <w:highlight w:val="none"/>
          <w:lang w:val="zh-CN"/>
          <w14:textFill>
            <w14:solidFill>
              <w14:schemeClr w14:val="tx1"/>
            </w14:solidFill>
          </w14:textFill>
        </w:rPr>
        <w:t>报价超过本项目最高限价的；</w:t>
      </w:r>
    </w:p>
    <w:p w14:paraId="03EDF4E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（9）拒绝或不按磋商小组要求澄清、说明或补正的；</w:t>
      </w:r>
    </w:p>
    <w:bookmarkEnd w:id="39"/>
    <w:p w14:paraId="2595BA2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（10）</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中附有采购人不能接受的条件；</w:t>
      </w:r>
    </w:p>
    <w:p w14:paraId="37D83D2F">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（11）</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的关键内容字迹模糊和无法辨认的；</w:t>
      </w:r>
    </w:p>
    <w:p w14:paraId="580A4893">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（12）</w:t>
      </w:r>
      <w:r>
        <w:rPr>
          <w:rFonts w:hint="eastAsia" w:ascii="宋体" w:hAnsi="宋体" w:cs="宋体"/>
          <w:bCs/>
          <w:color w:val="000000" w:themeColor="text1"/>
          <w:szCs w:val="21"/>
          <w:highlight w:val="none"/>
          <w14:textFill>
            <w14:solidFill>
              <w14:schemeClr w14:val="tx1"/>
            </w14:solidFill>
          </w14:textFill>
        </w:rPr>
        <w:t>响应文件具有竞争性磋商文件规定的其他被否决条款的或存在其他无效情形条款的；</w:t>
      </w:r>
    </w:p>
    <w:p w14:paraId="089796FA">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（13）</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不符合法律、法规要求的；</w:t>
      </w:r>
    </w:p>
    <w:p w14:paraId="6E3B9A66">
      <w:pPr>
        <w:spacing w:line="360" w:lineRule="auto"/>
        <w:ind w:firstLine="420" w:firstLineChars="200"/>
        <w:jc w:val="left"/>
        <w:rPr>
          <w:rFonts w:ascii="宋体" w:hAnsi="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zh-CN"/>
          <w14:textFill>
            <w14:solidFill>
              <w14:schemeClr w14:val="tx1"/>
            </w14:solidFill>
          </w14:textFill>
        </w:rPr>
        <w:t>（15）提供虚假证明，开具虚假资质，除按无效</w:t>
      </w:r>
      <w:r>
        <w:rPr>
          <w:rFonts w:hint="eastAsia" w:ascii="宋体" w:hAnsi="宋体" w:cs="宋体"/>
          <w:bCs/>
          <w:color w:val="000000" w:themeColor="text1"/>
          <w:szCs w:val="21"/>
          <w:highlight w:val="none"/>
          <w14:textFill>
            <w14:solidFill>
              <w14:schemeClr w14:val="tx1"/>
            </w14:solidFill>
          </w14:textFill>
        </w:rPr>
        <w:t>响应文件</w:t>
      </w:r>
      <w:r>
        <w:rPr>
          <w:rFonts w:hint="eastAsia" w:ascii="宋体" w:hAnsi="宋体" w:cs="宋体"/>
          <w:bCs/>
          <w:color w:val="000000" w:themeColor="text1"/>
          <w:szCs w:val="21"/>
          <w:highlight w:val="none"/>
          <w:lang w:val="zh-CN"/>
          <w14:textFill>
            <w14:solidFill>
              <w14:schemeClr w14:val="tx1"/>
            </w14:solidFill>
          </w14:textFill>
        </w:rPr>
        <w:t>处理外，还应由国家管理机关依据相关法律法规进行相应的处罚。</w:t>
      </w:r>
    </w:p>
    <w:p w14:paraId="0E1502F1">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5．评审办法前附表与评审办法正文及附件规定不一致时，以评审办法前附表规定为准。</w:t>
      </w:r>
    </w:p>
    <w:p w14:paraId="17522C44">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3CFB1EE9">
      <w:pPr>
        <w:keepNext w:val="0"/>
        <w:keepLines w:val="0"/>
        <w:pageBreakBefore w:val="0"/>
        <w:numPr>
          <w:ilvl w:val="255"/>
          <w:numId w:val="0"/>
        </w:numPr>
        <w:kinsoku/>
        <w:wordWrap/>
        <w:overflowPunct/>
        <w:topLinePunct w:val="0"/>
        <w:autoSpaceDE/>
        <w:autoSpaceDN/>
        <w:bidi w:val="0"/>
        <w:adjustRightInd/>
        <w:snapToGrid/>
        <w:spacing w:line="360" w:lineRule="auto"/>
        <w:jc w:val="center"/>
        <w:textAlignment w:val="auto"/>
        <w:outlineLvl w:val="0"/>
        <w:rPr>
          <w:rFonts w:ascii="宋体" w:hAnsi="宋体" w:cs="宋体"/>
          <w:b/>
          <w:bCs/>
          <w:color w:val="000000" w:themeColor="text1"/>
          <w:sz w:val="32"/>
          <w:szCs w:val="32"/>
          <w:highlight w:val="yellow"/>
          <w:lang w:val="zh-CN"/>
          <w14:textFill>
            <w14:solidFill>
              <w14:schemeClr w14:val="tx1"/>
            </w14:solidFill>
          </w14:textFill>
        </w:rPr>
      </w:pPr>
      <w:bookmarkStart w:id="40" w:name="_Toc21050"/>
      <w:r>
        <w:rPr>
          <w:rFonts w:hint="eastAsia" w:ascii="宋体" w:hAnsi="宋体" w:cs="宋体"/>
          <w:b/>
          <w:bCs/>
          <w:color w:val="000000" w:themeColor="text1"/>
          <w:sz w:val="32"/>
          <w:szCs w:val="32"/>
          <w:highlight w:val="none"/>
          <w14:textFill>
            <w14:solidFill>
              <w14:schemeClr w14:val="tx1"/>
            </w14:solidFill>
          </w14:textFill>
        </w:rPr>
        <w:t xml:space="preserve">第四章 </w:t>
      </w:r>
      <w:r>
        <w:rPr>
          <w:rFonts w:hint="eastAsia" w:ascii="宋体" w:hAnsi="宋体" w:cs="宋体"/>
          <w:b/>
          <w:bCs/>
          <w:color w:val="000000" w:themeColor="text1"/>
          <w:sz w:val="32"/>
          <w:szCs w:val="32"/>
          <w:highlight w:val="none"/>
          <w:lang w:val="zh-CN"/>
          <w14:textFill>
            <w14:solidFill>
              <w14:schemeClr w14:val="tx1"/>
            </w14:solidFill>
          </w14:textFill>
        </w:rPr>
        <w:t>采购内容及要求</w:t>
      </w:r>
      <w:bookmarkEnd w:id="38"/>
      <w:bookmarkEnd w:id="40"/>
    </w:p>
    <w:p w14:paraId="5B0FAB2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bookmarkStart w:id="41" w:name="_Toc31534"/>
      <w:bookmarkStart w:id="42" w:name="_Toc31932"/>
      <w:bookmarkStart w:id="43" w:name="_Toc520468909"/>
      <w:r>
        <w:rPr>
          <w:rFonts w:hint="eastAsia" w:ascii="宋体" w:hAnsi="宋体" w:eastAsia="宋体" w:cs="宋体"/>
          <w:b/>
          <w:bCs/>
          <w:sz w:val="21"/>
          <w:szCs w:val="21"/>
          <w:highlight w:val="none"/>
          <w:lang w:val="en-US" w:eastAsia="zh-CN"/>
        </w:rPr>
        <w:t>一、项目概况：</w:t>
      </w:r>
    </w:p>
    <w:p w14:paraId="3713656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紧紧围绕基本实现社会主义现代化目标任务，结合镇坪县“十五五”规划方向和重点，系统梳理钟宝镇“十五五”发展面临的重大机遇、风险挑战和瓶颈制约，研究提出我镇“十五五”时期高质量发展内容。规划的内容重点包含但不限于现状分析、形势研判、指导思想、基本原则、发展思路、重点任务、保障举措等。其中，现状分析需通过多维度调研，如数据统计、实地走访、基层座谈，全面分析钟宝镇发展底数，找准制约发展的痛点问题；形势研判要紧扣中央和省市政策要求和市场趋势，横向对比各镇发展，分析我镇优劣势；发展思路及方向要全面嵌入镇坪县全县“十五五”规划纲要，结合钟宝镇实际和特色，提出差异化路径；重点任务需分领域设置，重点要突出，确保层次清晰、落地可行。</w:t>
      </w:r>
    </w:p>
    <w:p w14:paraId="306DBE25">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二、采购内容：</w:t>
      </w:r>
    </w:p>
    <w:p w14:paraId="685082B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1、前期研究阶段：开展规划前期调研活动，组织召开镇、村（社区）及有关专家座谈会，做好“十四五”规划总结，加强与县、市“十五五”规划基本思路研究衔接，形成规划纲要框架。</w:t>
      </w:r>
    </w:p>
    <w:p w14:paraId="6230AE0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规划起草阶段：在开展前期调研、确定基本思路的基础上，提出钟宝镇“十五五”经济社会发展的指导思想、主要目标、重点任务和重大举措，组织专家开展咨询论证，起草形成《镇坪县钟宝镇“十五五”规划纲要(草案)》，广泛征求社会各界的意见建议，并认真修改完善。</w:t>
      </w:r>
    </w:p>
    <w:p w14:paraId="468532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3、审批印发阶段：按照法定程序将规划纲要草案报镇党委、镇政府审定，提请镇人民代表大会审议批准，由镇政府印发执行。规划批准、颁布实施后，做好规划的宣传解读工作。</w:t>
      </w:r>
    </w:p>
    <w:p w14:paraId="3FD038D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三、商务要求：</w:t>
      </w:r>
    </w:p>
    <w:p w14:paraId="5619A0A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1、服务期限：90天；</w:t>
      </w:r>
    </w:p>
    <w:p w14:paraId="5A191EE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2、质量标准：符合国家及行业质量验收合格标准；</w:t>
      </w:r>
    </w:p>
    <w:p w14:paraId="26BC9CB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val="0"/>
          <w:bCs w:val="0"/>
          <w:sz w:val="21"/>
          <w:szCs w:val="21"/>
          <w:highlight w:val="none"/>
          <w:lang w:val="en-US" w:eastAsia="zh-CN"/>
        </w:rPr>
        <w:t>3、付款方式：</w:t>
      </w:r>
      <w:bookmarkEnd w:id="41"/>
      <w:bookmarkStart w:id="44" w:name="_Toc21570"/>
      <w:bookmarkStart w:id="45" w:name="_Toc27845"/>
      <w:r>
        <w:rPr>
          <w:rFonts w:hint="eastAsia" w:ascii="宋体" w:hAnsi="宋体" w:eastAsia="宋体" w:cs="宋体"/>
          <w:b w:val="0"/>
          <w:bCs w:val="0"/>
          <w:sz w:val="21"/>
          <w:szCs w:val="21"/>
          <w:highlight w:val="none"/>
          <w:lang w:val="en-US" w:eastAsia="zh-CN"/>
        </w:rPr>
        <w:t>本项目无预付款，成交供应商完成本合同约定全部内容，且服务内容经采购人验收合格后一次性向成交供应商支付合同金额的100%。</w:t>
      </w:r>
      <w:r>
        <w:rPr>
          <w:rFonts w:hint="eastAsia" w:ascii="宋体" w:hAnsi="宋体" w:cs="宋体"/>
          <w:b/>
          <w:bCs/>
          <w:color w:val="000000" w:themeColor="text1"/>
          <w:sz w:val="32"/>
          <w:szCs w:val="32"/>
          <w:highlight w:val="none"/>
          <w:lang w:val="zh-CN"/>
          <w14:textFill>
            <w14:solidFill>
              <w14:schemeClr w14:val="tx1"/>
            </w14:solidFill>
          </w14:textFill>
        </w:rPr>
        <w:br w:type="page"/>
      </w:r>
    </w:p>
    <w:p w14:paraId="3A6D4783">
      <w:pPr>
        <w:snapToGrid w:val="0"/>
        <w:spacing w:line="360" w:lineRule="auto"/>
        <w:jc w:val="center"/>
        <w:outlineLvl w:val="0"/>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第</w:t>
      </w:r>
      <w:r>
        <w:rPr>
          <w:rFonts w:hint="eastAsia" w:ascii="宋体" w:hAnsi="宋体" w:cs="宋体"/>
          <w:b/>
          <w:bCs/>
          <w:color w:val="000000" w:themeColor="text1"/>
          <w:sz w:val="32"/>
          <w:szCs w:val="32"/>
          <w:highlight w:val="none"/>
          <w14:textFill>
            <w14:solidFill>
              <w14:schemeClr w14:val="tx1"/>
            </w14:solidFill>
          </w14:textFill>
        </w:rPr>
        <w:t xml:space="preserve">五章 </w:t>
      </w:r>
      <w:r>
        <w:rPr>
          <w:rFonts w:hint="eastAsia" w:ascii="宋体" w:hAnsi="宋体" w:cs="宋体"/>
          <w:b/>
          <w:bCs/>
          <w:color w:val="000000" w:themeColor="text1"/>
          <w:sz w:val="32"/>
          <w:szCs w:val="32"/>
          <w:highlight w:val="none"/>
          <w:lang w:val="zh-CN"/>
          <w14:textFill>
            <w14:solidFill>
              <w14:schemeClr w14:val="tx1"/>
            </w14:solidFill>
          </w14:textFill>
        </w:rPr>
        <w:t>合同主要条款</w:t>
      </w:r>
      <w:bookmarkEnd w:id="42"/>
      <w:bookmarkEnd w:id="43"/>
      <w:bookmarkEnd w:id="44"/>
      <w:bookmarkEnd w:id="45"/>
    </w:p>
    <w:p w14:paraId="252E96B4">
      <w:pPr>
        <w:jc w:val="center"/>
        <w:rPr>
          <w:rFonts w:ascii="宋体" w:hAnsi="宋体" w:cs="宋体"/>
          <w:color w:val="000000" w:themeColor="text1"/>
          <w:highlight w:val="none"/>
          <w14:textFill>
            <w14:solidFill>
              <w14:schemeClr w14:val="tx1"/>
            </w14:solidFill>
          </w14:textFill>
        </w:rPr>
      </w:pPr>
      <w:bookmarkStart w:id="46" w:name="_Toc13952"/>
      <w:bookmarkStart w:id="47" w:name="_Toc520468910"/>
      <w:r>
        <w:rPr>
          <w:rFonts w:hint="eastAsia" w:ascii="宋体" w:hAnsi="宋体" w:cs="宋体"/>
          <w:b/>
          <w:color w:val="000000" w:themeColor="text1"/>
          <w:sz w:val="28"/>
          <w:szCs w:val="28"/>
          <w:highlight w:val="none"/>
          <w:lang w:eastAsia="zh-CN"/>
          <w14:textFill>
            <w14:solidFill>
              <w14:schemeClr w14:val="tx1"/>
            </w14:solidFill>
          </w14:textFill>
        </w:rPr>
        <w:t>合同主要条款</w:t>
      </w:r>
    </w:p>
    <w:p w14:paraId="24EA4EC7">
      <w:pPr>
        <w:tabs>
          <w:tab w:val="left" w:pos="5040"/>
        </w:tabs>
        <w:spacing w:line="480" w:lineRule="atLeast"/>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（以甲乙双方最终签订合同为准）</w:t>
      </w:r>
    </w:p>
    <w:p w14:paraId="5F861F51">
      <w:pPr>
        <w:spacing w:line="360" w:lineRule="auto"/>
        <w:jc w:val="center"/>
        <w:rPr>
          <w:rFonts w:hint="eastAsia" w:ascii="宋体" w:hAnsi="宋体" w:cs="宋体"/>
          <w:b/>
          <w:bCs/>
          <w:color w:val="000000" w:themeColor="text1"/>
          <w:sz w:val="44"/>
          <w:szCs w:val="44"/>
          <w:highlight w:val="none"/>
          <w:lang w:eastAsia="zh-CN"/>
          <w14:textFill>
            <w14:solidFill>
              <w14:schemeClr w14:val="tx1"/>
            </w14:solidFill>
          </w14:textFill>
        </w:rPr>
      </w:pPr>
    </w:p>
    <w:p w14:paraId="1912085B">
      <w:pPr>
        <w:spacing w:line="360" w:lineRule="auto"/>
        <w:jc w:val="center"/>
        <w:rPr>
          <w:rFonts w:hint="eastAsia" w:ascii="宋体" w:hAnsi="宋体" w:cs="宋体"/>
          <w:b/>
          <w:bCs/>
          <w:color w:val="000000" w:themeColor="text1"/>
          <w:sz w:val="44"/>
          <w:szCs w:val="44"/>
          <w:highlight w:val="non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钟宝镇“十五五”规划编制服务项目</w:t>
      </w:r>
    </w:p>
    <w:p w14:paraId="11409E52">
      <w:pPr>
        <w:spacing w:line="360" w:lineRule="auto"/>
        <w:jc w:val="center"/>
        <w:rPr>
          <w:rFonts w:hint="default" w:ascii="宋体" w:hAnsi="宋体"/>
          <w:sz w:val="28"/>
          <w:lang w:val="en-US"/>
        </w:rPr>
      </w:pPr>
      <w:r>
        <w:rPr>
          <w:rFonts w:hint="eastAsia" w:ascii="宋体" w:hAnsi="宋体" w:cs="宋体"/>
          <w:b/>
          <w:bCs/>
          <w:color w:val="000000" w:themeColor="text1"/>
          <w:sz w:val="44"/>
          <w:szCs w:val="44"/>
          <w:highlight w:val="none"/>
          <w:lang w:val="en-US" w:eastAsia="zh-CN"/>
          <w14:textFill>
            <w14:solidFill>
              <w14:schemeClr w14:val="tx1"/>
            </w14:solidFill>
          </w14:textFill>
        </w:rPr>
        <w:t>合同</w:t>
      </w:r>
    </w:p>
    <w:p w14:paraId="6F3540C5">
      <w:pPr>
        <w:spacing w:line="360" w:lineRule="auto"/>
        <w:rPr>
          <w:rFonts w:ascii="宋体" w:hAnsi="宋体"/>
          <w:sz w:val="28"/>
        </w:rPr>
      </w:pPr>
    </w:p>
    <w:p w14:paraId="705A0D87">
      <w:pPr>
        <w:spacing w:line="360" w:lineRule="auto"/>
        <w:ind w:firstLine="980" w:firstLineChars="350"/>
        <w:rPr>
          <w:rFonts w:hint="eastAsia" w:ascii="宋体" w:hAnsi="宋体"/>
          <w:sz w:val="28"/>
        </w:rPr>
      </w:pPr>
    </w:p>
    <w:p w14:paraId="6CAC7FAB">
      <w:pPr>
        <w:spacing w:line="360" w:lineRule="auto"/>
        <w:ind w:firstLine="980" w:firstLineChars="350"/>
        <w:rPr>
          <w:rFonts w:hint="eastAsia" w:ascii="宋体" w:hAnsi="宋体"/>
          <w:sz w:val="28"/>
        </w:rPr>
      </w:pPr>
    </w:p>
    <w:p w14:paraId="35B40946">
      <w:pPr>
        <w:spacing w:line="360" w:lineRule="auto"/>
        <w:ind w:firstLine="980" w:firstLineChars="350"/>
        <w:rPr>
          <w:rFonts w:hint="eastAsia" w:ascii="宋体" w:hAnsi="宋体"/>
          <w:sz w:val="28"/>
        </w:rPr>
      </w:pPr>
    </w:p>
    <w:p w14:paraId="576D3CF8">
      <w:pPr>
        <w:spacing w:line="360" w:lineRule="auto"/>
        <w:ind w:firstLine="980" w:firstLineChars="350"/>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p>
    <w:p w14:paraId="00613079">
      <w:pPr>
        <w:spacing w:line="760" w:lineRule="exact"/>
        <w:jc w:val="left"/>
        <w:rPr>
          <w:rFonts w:ascii="宋体" w:hAnsi="宋体"/>
          <w:color w:val="000000"/>
          <w:sz w:val="28"/>
          <w:szCs w:val="28"/>
          <w:u w:val="single"/>
        </w:rPr>
      </w:pPr>
      <w:r>
        <w:rPr>
          <w:rFonts w:hint="eastAsia" w:ascii="宋体" w:hAnsi="宋体"/>
          <w:color w:val="000000"/>
          <w:sz w:val="28"/>
          <w:szCs w:val="28"/>
        </w:rPr>
        <w:t xml:space="preserve">       委托方（甲方）：</w:t>
      </w:r>
      <w:r>
        <w:rPr>
          <w:rFonts w:hint="eastAsia" w:ascii="宋体" w:hAnsi="宋体"/>
          <w:color w:val="000000"/>
          <w:sz w:val="28"/>
          <w:szCs w:val="28"/>
          <w:u w:val="single"/>
        </w:rPr>
        <w:t xml:space="preserve">                                         </w:t>
      </w:r>
    </w:p>
    <w:p w14:paraId="53BA802B">
      <w:pPr>
        <w:spacing w:line="800" w:lineRule="exact"/>
        <w:ind w:firstLine="980" w:firstLineChars="350"/>
        <w:rPr>
          <w:rFonts w:ascii="宋体" w:hAnsi="宋体"/>
          <w:color w:val="000000"/>
          <w:sz w:val="30"/>
          <w:szCs w:val="30"/>
          <w:u w:val="single"/>
        </w:rPr>
      </w:pPr>
      <w:r>
        <w:rPr>
          <w:rFonts w:hint="eastAsia" w:ascii="宋体" w:hAnsi="宋体"/>
          <w:color w:val="000000"/>
          <w:sz w:val="28"/>
          <w:szCs w:val="28"/>
        </w:rPr>
        <w:t>受托方（乙方）：</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p>
    <w:p w14:paraId="59ADF409">
      <w:pPr>
        <w:spacing w:line="800" w:lineRule="exact"/>
        <w:jc w:val="left"/>
        <w:rPr>
          <w:rFonts w:ascii="宋体" w:hAnsi="宋体"/>
          <w:color w:val="000000"/>
          <w:sz w:val="30"/>
          <w:szCs w:val="30"/>
          <w:u w:val="single"/>
        </w:rPr>
      </w:pPr>
    </w:p>
    <w:p w14:paraId="4ED91C6C">
      <w:pPr>
        <w:spacing w:line="800" w:lineRule="exact"/>
        <w:ind w:firstLine="1820" w:firstLineChars="650"/>
        <w:rPr>
          <w:rFonts w:hint="eastAsia" w:ascii="宋体" w:hAnsi="宋体"/>
          <w:color w:val="000000"/>
          <w:sz w:val="28"/>
          <w:szCs w:val="28"/>
        </w:rPr>
      </w:pPr>
    </w:p>
    <w:p w14:paraId="6E2C6A93">
      <w:pPr>
        <w:spacing w:line="800" w:lineRule="exact"/>
        <w:ind w:firstLine="1820" w:firstLineChars="650"/>
        <w:rPr>
          <w:rFonts w:ascii="宋体" w:hAnsi="宋体"/>
          <w:color w:val="000000"/>
          <w:sz w:val="28"/>
          <w:szCs w:val="28"/>
        </w:rPr>
      </w:pPr>
      <w:r>
        <w:rPr>
          <w:rFonts w:hint="eastAsia" w:ascii="宋体" w:hAnsi="宋体"/>
          <w:color w:val="000000"/>
          <w:sz w:val="28"/>
          <w:szCs w:val="28"/>
        </w:rPr>
        <w:t>合同签订日期：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6BF29B64">
      <w:pPr>
        <w:spacing w:line="800" w:lineRule="exact"/>
        <w:ind w:firstLine="1820" w:firstLineChars="650"/>
        <w:rPr>
          <w:rFonts w:ascii="宋体" w:hAnsi="宋体"/>
          <w:color w:val="000000"/>
          <w:sz w:val="28"/>
          <w:szCs w:val="28"/>
        </w:rPr>
      </w:pPr>
      <w:r>
        <w:rPr>
          <w:rFonts w:hint="eastAsia" w:ascii="宋体" w:hAnsi="宋体"/>
          <w:color w:val="000000"/>
          <w:sz w:val="28"/>
          <w:szCs w:val="28"/>
        </w:rPr>
        <w:t>合同签订地点：</w:t>
      </w:r>
      <w:r>
        <w:rPr>
          <w:rFonts w:hint="eastAsia" w:ascii="宋体" w:hAnsi="宋体"/>
          <w:color w:val="000000"/>
          <w:sz w:val="28"/>
          <w:szCs w:val="28"/>
          <w:u w:val="single"/>
        </w:rPr>
        <w:t xml:space="preserve">                    </w:t>
      </w:r>
    </w:p>
    <w:p w14:paraId="48740145">
      <w:pPr>
        <w:rPr>
          <w:rFonts w:hint="eastAsia" w:ascii="宋体" w:hAnsi="宋体"/>
          <w:color w:val="000000"/>
          <w:sz w:val="40"/>
          <w:szCs w:val="40"/>
        </w:rPr>
      </w:pPr>
      <w:r>
        <w:rPr>
          <w:rFonts w:hint="eastAsia" w:ascii="宋体" w:hAnsi="宋体"/>
          <w:color w:val="000000"/>
          <w:sz w:val="40"/>
          <w:szCs w:val="40"/>
        </w:rPr>
        <w:br w:type="page"/>
      </w:r>
    </w:p>
    <w:p w14:paraId="2744C9D4">
      <w:pPr>
        <w:spacing w:line="800" w:lineRule="exact"/>
        <w:jc w:val="center"/>
        <w:rPr>
          <w:rFonts w:ascii="宋体" w:hAnsi="宋体"/>
          <w:color w:val="000000"/>
          <w:sz w:val="28"/>
          <w:szCs w:val="28"/>
        </w:rPr>
      </w:pPr>
      <w:r>
        <w:rPr>
          <w:rFonts w:hint="eastAsia" w:ascii="宋体" w:hAnsi="宋体"/>
          <w:color w:val="000000"/>
          <w:sz w:val="40"/>
          <w:szCs w:val="40"/>
        </w:rPr>
        <w:t>说   明</w:t>
      </w:r>
    </w:p>
    <w:p w14:paraId="097E1B2A">
      <w:pPr>
        <w:spacing w:line="800" w:lineRule="exact"/>
        <w:ind w:firstLine="480" w:firstLineChars="200"/>
        <w:rPr>
          <w:rFonts w:ascii="宋体" w:hAnsi="宋体"/>
          <w:color w:val="000000"/>
          <w:sz w:val="24"/>
        </w:rPr>
      </w:pPr>
      <w:r>
        <w:rPr>
          <w:rFonts w:hint="eastAsia" w:ascii="宋体" w:hAnsi="宋体"/>
          <w:color w:val="000000"/>
          <w:sz w:val="24"/>
        </w:rPr>
        <w:t>1、本合同根据《中华人民共和国合同法》及有关法律、法规的规定签订。</w:t>
      </w:r>
    </w:p>
    <w:p w14:paraId="4D67A4CE">
      <w:pPr>
        <w:spacing w:line="800" w:lineRule="exact"/>
        <w:ind w:firstLine="480" w:firstLineChars="200"/>
        <w:rPr>
          <w:rFonts w:ascii="宋体" w:hAnsi="宋体"/>
          <w:color w:val="000000"/>
          <w:sz w:val="24"/>
        </w:rPr>
      </w:pPr>
      <w:r>
        <w:rPr>
          <w:rFonts w:hint="eastAsia" w:ascii="宋体" w:hAnsi="宋体"/>
          <w:color w:val="000000"/>
          <w:sz w:val="24"/>
        </w:rPr>
        <w:t>2、本合同经委托方（甲方）、受托方（乙方）协商一致，由双方法定代表人或委托代理人签字并加盖公章（或合同专用章）后生效。</w:t>
      </w:r>
    </w:p>
    <w:p w14:paraId="1960E2E3">
      <w:pPr>
        <w:spacing w:line="800" w:lineRule="exact"/>
        <w:ind w:firstLine="480" w:firstLineChars="200"/>
        <w:rPr>
          <w:rFonts w:ascii="宋体" w:hAnsi="宋体"/>
          <w:color w:val="000000"/>
          <w:sz w:val="24"/>
        </w:rPr>
      </w:pPr>
      <w:r>
        <w:rPr>
          <w:rFonts w:hint="eastAsia" w:ascii="宋体" w:hAnsi="宋体"/>
          <w:color w:val="000000"/>
          <w:sz w:val="24"/>
        </w:rPr>
        <w:t>3、合同内容具体明确项目标的内容、委托方（甲方）、受托方（乙方）的权责、义务关系等。</w:t>
      </w:r>
    </w:p>
    <w:p w14:paraId="4010751B">
      <w:pPr>
        <w:spacing w:line="800" w:lineRule="exact"/>
        <w:ind w:firstLine="480" w:firstLineChars="200"/>
        <w:rPr>
          <w:rFonts w:ascii="宋体" w:hAnsi="宋体"/>
          <w:color w:val="000000"/>
          <w:sz w:val="24"/>
        </w:rPr>
      </w:pPr>
      <w:r>
        <w:rPr>
          <w:rFonts w:hint="eastAsia" w:ascii="宋体" w:hAnsi="宋体"/>
          <w:color w:val="000000"/>
          <w:sz w:val="24"/>
        </w:rPr>
        <w:t>4、合同中某些条款有列举备选序号的可直接在横线填写序号，如某些条款填写不下，可加附页。</w:t>
      </w:r>
    </w:p>
    <w:p w14:paraId="3F415B93">
      <w:pPr>
        <w:spacing w:line="800" w:lineRule="exact"/>
        <w:ind w:firstLine="480" w:firstLineChars="200"/>
        <w:rPr>
          <w:rFonts w:ascii="宋体" w:hAnsi="宋体"/>
          <w:color w:val="000000"/>
          <w:sz w:val="24"/>
        </w:rPr>
      </w:pPr>
      <w:r>
        <w:rPr>
          <w:rFonts w:hint="eastAsia" w:ascii="宋体" w:hAnsi="宋体"/>
          <w:color w:val="000000"/>
          <w:sz w:val="24"/>
        </w:rPr>
        <w:t>5、本合同壹式</w:t>
      </w:r>
      <w:r>
        <w:rPr>
          <w:rFonts w:hint="eastAsia" w:ascii="宋体" w:hAnsi="宋体"/>
          <w:color w:val="000000"/>
          <w:sz w:val="24"/>
          <w:u w:val="single"/>
        </w:rPr>
        <w:t xml:space="preserve">     </w:t>
      </w:r>
      <w:r>
        <w:rPr>
          <w:rFonts w:hint="eastAsia" w:ascii="宋体" w:hAnsi="宋体"/>
          <w:color w:val="000000"/>
          <w:sz w:val="24"/>
        </w:rPr>
        <w:t>份。</w:t>
      </w:r>
    </w:p>
    <w:p w14:paraId="4D764DD5">
      <w:pPr>
        <w:spacing w:line="800" w:lineRule="exact"/>
        <w:ind w:firstLine="600" w:firstLineChars="250"/>
        <w:rPr>
          <w:rFonts w:ascii="宋体" w:hAnsi="宋体"/>
          <w:color w:val="000000"/>
          <w:sz w:val="24"/>
        </w:rPr>
      </w:pPr>
      <w:r>
        <w:rPr>
          <w:rFonts w:hint="eastAsia" w:ascii="宋体" w:hAnsi="宋体"/>
          <w:color w:val="000000"/>
          <w:sz w:val="24"/>
        </w:rPr>
        <w:t xml:space="preserve">  委  托  方</w:t>
      </w:r>
      <w:r>
        <w:rPr>
          <w:rFonts w:hint="eastAsia" w:ascii="宋体" w:hAnsi="宋体"/>
          <w:color w:val="000000"/>
          <w:sz w:val="24"/>
          <w:u w:val="single"/>
        </w:rPr>
        <w:t xml:space="preserve">     </w:t>
      </w:r>
      <w:r>
        <w:rPr>
          <w:rFonts w:hint="eastAsia" w:ascii="宋体" w:hAnsi="宋体"/>
          <w:color w:val="000000"/>
          <w:sz w:val="24"/>
        </w:rPr>
        <w:t>份。</w:t>
      </w:r>
    </w:p>
    <w:p w14:paraId="40333283">
      <w:pPr>
        <w:spacing w:line="800" w:lineRule="exact"/>
        <w:ind w:firstLine="480" w:firstLineChars="200"/>
        <w:rPr>
          <w:rFonts w:ascii="宋体" w:hAnsi="宋体"/>
          <w:color w:val="000000"/>
          <w:sz w:val="24"/>
        </w:rPr>
      </w:pPr>
      <w:r>
        <w:rPr>
          <w:rFonts w:hint="eastAsia" w:ascii="宋体" w:hAnsi="宋体"/>
          <w:color w:val="000000"/>
          <w:sz w:val="24"/>
        </w:rPr>
        <w:t xml:space="preserve">   受  托  方</w:t>
      </w:r>
      <w:r>
        <w:rPr>
          <w:rFonts w:hint="eastAsia" w:ascii="宋体" w:hAnsi="宋体"/>
          <w:color w:val="000000"/>
          <w:sz w:val="24"/>
          <w:u w:val="single"/>
        </w:rPr>
        <w:t xml:space="preserve">     </w:t>
      </w:r>
      <w:r>
        <w:rPr>
          <w:rFonts w:hint="eastAsia" w:ascii="宋体" w:hAnsi="宋体"/>
          <w:color w:val="000000"/>
          <w:sz w:val="24"/>
        </w:rPr>
        <w:t>份。</w:t>
      </w:r>
    </w:p>
    <w:p w14:paraId="30C5A792">
      <w:pPr>
        <w:spacing w:line="520" w:lineRule="exact"/>
        <w:rPr>
          <w:rFonts w:ascii="宋体" w:hAnsi="宋体"/>
          <w:color w:val="000000"/>
          <w:sz w:val="28"/>
          <w:szCs w:val="28"/>
        </w:rPr>
      </w:pPr>
    </w:p>
    <w:p w14:paraId="2C4299AC">
      <w:pPr>
        <w:spacing w:line="520" w:lineRule="exact"/>
        <w:rPr>
          <w:rFonts w:ascii="宋体" w:hAnsi="宋体"/>
          <w:color w:val="000000"/>
          <w:sz w:val="28"/>
          <w:szCs w:val="28"/>
        </w:rPr>
      </w:pPr>
    </w:p>
    <w:p w14:paraId="0A0EFB0E">
      <w:pPr>
        <w:spacing w:line="520" w:lineRule="exact"/>
        <w:rPr>
          <w:rFonts w:ascii="宋体" w:hAnsi="宋体"/>
          <w:color w:val="000000"/>
          <w:sz w:val="28"/>
          <w:szCs w:val="28"/>
        </w:rPr>
      </w:pPr>
    </w:p>
    <w:p w14:paraId="1F1FA8F2">
      <w:pPr>
        <w:spacing w:line="520" w:lineRule="exact"/>
        <w:rPr>
          <w:rFonts w:ascii="宋体" w:hAnsi="宋体"/>
          <w:color w:val="000000"/>
          <w:sz w:val="28"/>
          <w:szCs w:val="28"/>
        </w:rPr>
      </w:pPr>
    </w:p>
    <w:p w14:paraId="70B7ED4A">
      <w:pPr>
        <w:spacing w:line="520" w:lineRule="exact"/>
        <w:rPr>
          <w:rFonts w:ascii="宋体" w:hAnsi="宋体"/>
          <w:color w:val="000000"/>
          <w:sz w:val="24"/>
        </w:rPr>
      </w:pPr>
    </w:p>
    <w:p w14:paraId="1369DBC0">
      <w:pPr>
        <w:spacing w:line="520" w:lineRule="exact"/>
        <w:rPr>
          <w:rFonts w:ascii="宋体" w:hAnsi="宋体"/>
          <w:color w:val="000000"/>
          <w:sz w:val="24"/>
        </w:rPr>
      </w:pPr>
    </w:p>
    <w:p w14:paraId="79147A0F">
      <w:pPr>
        <w:spacing w:line="520" w:lineRule="exact"/>
        <w:rPr>
          <w:rFonts w:ascii="宋体" w:hAnsi="宋体"/>
          <w:color w:val="000000"/>
          <w:sz w:val="24"/>
        </w:rPr>
      </w:pPr>
    </w:p>
    <w:p w14:paraId="6CF24740">
      <w:pPr>
        <w:spacing w:line="520" w:lineRule="exact"/>
        <w:rPr>
          <w:rFonts w:ascii="宋体" w:hAnsi="宋体"/>
          <w:color w:val="000000"/>
          <w:sz w:val="24"/>
        </w:rPr>
      </w:pPr>
    </w:p>
    <w:p w14:paraId="497119C4">
      <w:pPr>
        <w:rPr>
          <w:rFonts w:hint="eastAsia" w:ascii="黑体" w:hAnsi="宋体" w:eastAsia="黑体"/>
          <w:b/>
          <w:color w:val="000000"/>
          <w:sz w:val="28"/>
          <w:szCs w:val="28"/>
        </w:rPr>
      </w:pPr>
      <w:r>
        <w:rPr>
          <w:rFonts w:hint="eastAsia" w:ascii="黑体" w:hAnsi="宋体" w:eastAsia="黑体"/>
          <w:b/>
          <w:color w:val="000000"/>
          <w:sz w:val="28"/>
          <w:szCs w:val="28"/>
        </w:rPr>
        <w:br w:type="page"/>
      </w:r>
    </w:p>
    <w:p w14:paraId="70F6ABA3">
      <w:pPr>
        <w:spacing w:line="520" w:lineRule="exact"/>
        <w:ind w:firstLine="540" w:firstLineChars="192"/>
        <w:rPr>
          <w:rFonts w:ascii="黑体" w:hAnsi="宋体" w:eastAsia="黑体"/>
          <w:b/>
          <w:color w:val="000000"/>
          <w:sz w:val="28"/>
          <w:szCs w:val="28"/>
        </w:rPr>
      </w:pPr>
      <w:r>
        <w:rPr>
          <w:rFonts w:hint="eastAsia" w:ascii="黑体" w:hAnsi="宋体" w:eastAsia="黑体"/>
          <w:b/>
          <w:color w:val="000000"/>
          <w:sz w:val="28"/>
          <w:szCs w:val="28"/>
        </w:rPr>
        <w:t>第一条：项目基本情况</w:t>
      </w:r>
    </w:p>
    <w:p w14:paraId="149E0D2D">
      <w:pPr>
        <w:spacing w:line="520" w:lineRule="exact"/>
        <w:ind w:firstLine="463" w:firstLineChars="192"/>
        <w:rPr>
          <w:rFonts w:ascii="宋体" w:hAnsi="宋体"/>
          <w:b/>
          <w:color w:val="000000"/>
          <w:sz w:val="24"/>
        </w:rPr>
      </w:pPr>
      <w:r>
        <w:rPr>
          <w:rFonts w:hint="eastAsia" w:ascii="宋体" w:hAnsi="宋体"/>
          <w:b/>
          <w:color w:val="000000"/>
          <w:sz w:val="24"/>
        </w:rPr>
        <w:t>1.1 研究类</w:t>
      </w:r>
    </w:p>
    <w:p w14:paraId="1C6A348F">
      <w:pPr>
        <w:spacing w:line="520" w:lineRule="exact"/>
        <w:ind w:firstLine="460" w:firstLineChars="192"/>
        <w:rPr>
          <w:rFonts w:ascii="宋体" w:hAnsi="宋体"/>
          <w:color w:val="000000"/>
          <w:sz w:val="24"/>
        </w:rPr>
      </w:pPr>
      <w:r>
        <w:rPr>
          <w:rFonts w:hint="eastAsia" w:ascii="宋体" w:hAnsi="宋体"/>
          <w:color w:val="000000"/>
          <w:sz w:val="24"/>
        </w:rPr>
        <w:t>1.1.1 项目名称</w:t>
      </w:r>
      <w:r>
        <w:rPr>
          <w:rFonts w:hint="eastAsia" w:ascii="宋体" w:hAnsi="宋体"/>
          <w:sz w:val="24"/>
          <w:u w:val="single"/>
        </w:rPr>
        <w:t xml:space="preserve">                                                              </w:t>
      </w:r>
    </w:p>
    <w:p w14:paraId="35C99619">
      <w:pPr>
        <w:spacing w:line="520" w:lineRule="exact"/>
        <w:ind w:firstLine="460" w:firstLineChars="192"/>
        <w:rPr>
          <w:rFonts w:ascii="宋体" w:hAnsi="宋体"/>
          <w:color w:val="FF0000"/>
          <w:sz w:val="24"/>
        </w:rPr>
      </w:pPr>
      <w:r>
        <w:rPr>
          <w:rFonts w:hint="eastAsia" w:ascii="宋体" w:hAnsi="宋体"/>
          <w:color w:val="000000"/>
          <w:sz w:val="24"/>
        </w:rPr>
        <w:t>1.1.2 项目深度（如：①研究报告、②发展规划、③课题研究、④专题研究、⑤实施方案、⑥申报方案、⑦策划报告等）</w:t>
      </w:r>
      <w:r>
        <w:rPr>
          <w:rFonts w:hint="eastAsia" w:ascii="宋体" w:hAnsi="宋体"/>
          <w:sz w:val="24"/>
          <w:u w:val="single"/>
        </w:rPr>
        <w:t xml:space="preserve">                                                 </w:t>
      </w:r>
      <w:r>
        <w:rPr>
          <w:rFonts w:hint="eastAsia" w:ascii="宋体" w:hAnsi="宋体"/>
          <w:sz w:val="24"/>
        </w:rPr>
        <w:t xml:space="preserve"> </w:t>
      </w:r>
    </w:p>
    <w:p w14:paraId="2363A8F4">
      <w:pPr>
        <w:spacing w:line="520" w:lineRule="exact"/>
        <w:ind w:firstLine="460" w:firstLineChars="192"/>
        <w:rPr>
          <w:rFonts w:ascii="宋体" w:hAnsi="宋体"/>
          <w:sz w:val="24"/>
          <w:u w:val="single"/>
        </w:rPr>
      </w:pPr>
      <w:r>
        <w:rPr>
          <w:rFonts w:hint="eastAsia" w:ascii="宋体" w:hAnsi="宋体"/>
          <w:color w:val="000000"/>
          <w:sz w:val="24"/>
        </w:rPr>
        <w:t>1.1.3 项目范围</w:t>
      </w:r>
      <w:r>
        <w:rPr>
          <w:rFonts w:hint="eastAsia" w:ascii="宋体" w:hAnsi="宋体"/>
          <w:sz w:val="24"/>
          <w:u w:val="single"/>
        </w:rPr>
        <w:t xml:space="preserve">                                                             </w:t>
      </w:r>
    </w:p>
    <w:p w14:paraId="39D827E5">
      <w:pPr>
        <w:spacing w:line="520" w:lineRule="exact"/>
        <w:ind w:firstLine="460" w:firstLineChars="192"/>
        <w:rPr>
          <w:rFonts w:ascii="宋体" w:hAnsi="宋体"/>
          <w:color w:val="000000"/>
          <w:sz w:val="24"/>
        </w:rPr>
      </w:pPr>
      <w:r>
        <w:rPr>
          <w:rFonts w:hint="eastAsia" w:ascii="宋体" w:hAnsi="宋体"/>
          <w:color w:val="000000"/>
          <w:sz w:val="24"/>
        </w:rPr>
        <w:t>1.1.4 项目规模</w:t>
      </w:r>
      <w:r>
        <w:rPr>
          <w:rFonts w:hint="eastAsia" w:ascii="宋体" w:hAnsi="宋体"/>
          <w:sz w:val="24"/>
          <w:u w:val="single"/>
        </w:rPr>
        <w:t xml:space="preserve">                                                             </w:t>
      </w:r>
    </w:p>
    <w:p w14:paraId="212753CC">
      <w:pPr>
        <w:spacing w:line="520" w:lineRule="exact"/>
        <w:ind w:firstLine="463" w:firstLineChars="192"/>
        <w:rPr>
          <w:rFonts w:ascii="宋体" w:hAnsi="宋体"/>
          <w:b/>
          <w:color w:val="000000"/>
          <w:sz w:val="24"/>
        </w:rPr>
      </w:pPr>
      <w:r>
        <w:rPr>
          <w:rFonts w:hint="eastAsia" w:ascii="宋体" w:hAnsi="宋体"/>
          <w:b/>
          <w:color w:val="000000"/>
          <w:sz w:val="24"/>
        </w:rPr>
        <w:t>1.2 规划类</w:t>
      </w:r>
    </w:p>
    <w:p w14:paraId="7BF40EB2">
      <w:pPr>
        <w:spacing w:line="520" w:lineRule="exact"/>
        <w:ind w:firstLine="460" w:firstLineChars="192"/>
        <w:rPr>
          <w:rFonts w:ascii="宋体" w:hAnsi="宋体"/>
          <w:color w:val="000000"/>
          <w:sz w:val="24"/>
        </w:rPr>
      </w:pPr>
      <w:r>
        <w:rPr>
          <w:rFonts w:hint="eastAsia" w:ascii="宋体" w:hAnsi="宋体"/>
          <w:color w:val="000000"/>
          <w:sz w:val="24"/>
        </w:rPr>
        <w:t>1.2.1 项目名称</w:t>
      </w:r>
      <w:r>
        <w:rPr>
          <w:rFonts w:hint="eastAsia" w:ascii="宋体" w:hAnsi="宋体"/>
          <w:sz w:val="24"/>
          <w:u w:val="single"/>
        </w:rPr>
        <w:t xml:space="preserve">                                                            </w:t>
      </w:r>
    </w:p>
    <w:p w14:paraId="1F770C95">
      <w:pPr>
        <w:spacing w:line="520" w:lineRule="exact"/>
        <w:ind w:firstLine="460" w:firstLineChars="192"/>
        <w:rPr>
          <w:rFonts w:ascii="宋体" w:hAnsi="宋体"/>
          <w:color w:val="FF0000"/>
          <w:sz w:val="24"/>
        </w:rPr>
      </w:pPr>
      <w:r>
        <w:rPr>
          <w:rFonts w:hint="eastAsia" w:ascii="宋体" w:hAnsi="宋体"/>
          <w:color w:val="000000"/>
          <w:sz w:val="24"/>
        </w:rPr>
        <w:t>1.2.2 项目深度（如：①概念性规划、②总体规划、③控制性详细规划、④修建性详细规划、⑤分区规划、⑥专项规划等）</w:t>
      </w:r>
      <w:r>
        <w:rPr>
          <w:rFonts w:hint="eastAsia" w:ascii="宋体" w:hAnsi="宋体"/>
          <w:sz w:val="24"/>
          <w:u w:val="single"/>
        </w:rPr>
        <w:t xml:space="preserve">                                              </w:t>
      </w:r>
      <w:r>
        <w:rPr>
          <w:rFonts w:hint="eastAsia" w:ascii="宋体" w:hAnsi="宋体"/>
          <w:sz w:val="24"/>
        </w:rPr>
        <w:t xml:space="preserve"> </w:t>
      </w:r>
    </w:p>
    <w:p w14:paraId="10CA42C1">
      <w:pPr>
        <w:spacing w:line="520" w:lineRule="exact"/>
        <w:ind w:firstLine="460" w:firstLineChars="192"/>
        <w:rPr>
          <w:rFonts w:ascii="宋体" w:hAnsi="宋体"/>
          <w:color w:val="000000"/>
          <w:sz w:val="24"/>
        </w:rPr>
      </w:pPr>
      <w:r>
        <w:rPr>
          <w:rFonts w:hint="eastAsia" w:ascii="宋体" w:hAnsi="宋体"/>
          <w:color w:val="000000"/>
          <w:sz w:val="24"/>
        </w:rPr>
        <w:t>1.2.3 项目范围</w:t>
      </w:r>
      <w:r>
        <w:rPr>
          <w:rFonts w:hint="eastAsia" w:ascii="宋体" w:hAnsi="宋体"/>
          <w:sz w:val="24"/>
          <w:u w:val="single"/>
        </w:rPr>
        <w:t xml:space="preserve">                                                            </w:t>
      </w:r>
    </w:p>
    <w:p w14:paraId="333213B3">
      <w:pPr>
        <w:spacing w:line="520" w:lineRule="exact"/>
        <w:ind w:firstLine="460" w:firstLineChars="192"/>
        <w:rPr>
          <w:rFonts w:ascii="宋体" w:hAnsi="宋体"/>
          <w:color w:val="000000"/>
          <w:sz w:val="24"/>
        </w:rPr>
      </w:pPr>
      <w:r>
        <w:rPr>
          <w:rFonts w:hint="eastAsia" w:ascii="宋体" w:hAnsi="宋体"/>
          <w:color w:val="000000"/>
          <w:sz w:val="24"/>
        </w:rPr>
        <w:t>1.2.4 项目规模</w:t>
      </w:r>
      <w:r>
        <w:rPr>
          <w:rFonts w:hint="eastAsia" w:ascii="宋体" w:hAnsi="宋体"/>
          <w:sz w:val="24"/>
          <w:u w:val="single"/>
        </w:rPr>
        <w:t xml:space="preserve">                                                           </w:t>
      </w:r>
    </w:p>
    <w:p w14:paraId="490DBB31">
      <w:pPr>
        <w:spacing w:line="520" w:lineRule="exact"/>
        <w:ind w:firstLine="463" w:firstLineChars="192"/>
        <w:rPr>
          <w:rFonts w:ascii="宋体" w:hAnsi="宋体"/>
          <w:b/>
          <w:color w:val="000000"/>
          <w:sz w:val="24"/>
        </w:rPr>
      </w:pPr>
      <w:r>
        <w:rPr>
          <w:rFonts w:hint="eastAsia" w:ascii="宋体" w:hAnsi="宋体"/>
          <w:b/>
          <w:color w:val="000000"/>
          <w:sz w:val="24"/>
        </w:rPr>
        <w:t>1.3 设计类</w:t>
      </w:r>
    </w:p>
    <w:p w14:paraId="0C4156DC">
      <w:pPr>
        <w:spacing w:line="520" w:lineRule="exact"/>
        <w:ind w:firstLine="460" w:firstLineChars="192"/>
        <w:rPr>
          <w:rFonts w:ascii="宋体" w:hAnsi="宋体"/>
          <w:color w:val="000000"/>
          <w:sz w:val="24"/>
        </w:rPr>
      </w:pPr>
      <w:r>
        <w:rPr>
          <w:rFonts w:hint="eastAsia" w:ascii="宋体" w:hAnsi="宋体"/>
          <w:color w:val="000000"/>
          <w:sz w:val="24"/>
        </w:rPr>
        <w:t>1.3.1 项目名称</w:t>
      </w:r>
      <w:r>
        <w:rPr>
          <w:rFonts w:hint="eastAsia" w:ascii="宋体" w:hAnsi="宋体"/>
          <w:sz w:val="24"/>
          <w:u w:val="single"/>
        </w:rPr>
        <w:t xml:space="preserve">                                                          </w:t>
      </w:r>
    </w:p>
    <w:p w14:paraId="1CB6743B">
      <w:pPr>
        <w:spacing w:line="520" w:lineRule="exact"/>
        <w:ind w:firstLine="460" w:firstLineChars="192"/>
        <w:rPr>
          <w:rFonts w:ascii="宋体" w:hAnsi="宋体"/>
          <w:sz w:val="24"/>
          <w:u w:val="single"/>
        </w:rPr>
      </w:pPr>
      <w:r>
        <w:rPr>
          <w:rFonts w:hint="eastAsia" w:ascii="宋体" w:hAnsi="宋体"/>
          <w:color w:val="000000"/>
          <w:sz w:val="24"/>
        </w:rPr>
        <w:t>1.3.2 项目深度（如：①设计方案、②初步设计、③施工图设计等）</w:t>
      </w:r>
      <w:r>
        <w:rPr>
          <w:rFonts w:hint="eastAsia" w:ascii="宋体" w:hAnsi="宋体"/>
          <w:sz w:val="24"/>
          <w:u w:val="single"/>
        </w:rPr>
        <w:t xml:space="preserve">            </w:t>
      </w:r>
    </w:p>
    <w:p w14:paraId="75EE7D80">
      <w:pPr>
        <w:spacing w:line="520" w:lineRule="exact"/>
        <w:ind w:firstLine="460" w:firstLineChars="192"/>
        <w:rPr>
          <w:rFonts w:ascii="宋体" w:hAnsi="宋体"/>
          <w:color w:val="FF0000"/>
          <w:sz w:val="24"/>
        </w:rPr>
      </w:pPr>
      <w:r>
        <w:rPr>
          <w:rFonts w:hint="eastAsia" w:ascii="宋体" w:hAnsi="宋体"/>
          <w:sz w:val="24"/>
          <w:u w:val="single"/>
        </w:rPr>
        <w:t xml:space="preserve">                                                                        </w:t>
      </w:r>
      <w:r>
        <w:rPr>
          <w:rFonts w:hint="eastAsia" w:ascii="宋体" w:hAnsi="宋体"/>
          <w:sz w:val="24"/>
        </w:rPr>
        <w:t xml:space="preserve"> </w:t>
      </w:r>
    </w:p>
    <w:p w14:paraId="0B92A45D">
      <w:pPr>
        <w:spacing w:line="520" w:lineRule="exact"/>
        <w:ind w:firstLine="460" w:firstLineChars="192"/>
        <w:rPr>
          <w:rFonts w:ascii="宋体" w:hAnsi="宋体"/>
          <w:color w:val="000000"/>
          <w:sz w:val="24"/>
        </w:rPr>
      </w:pPr>
      <w:r>
        <w:rPr>
          <w:rFonts w:hint="eastAsia" w:ascii="宋体" w:hAnsi="宋体"/>
          <w:color w:val="000000"/>
          <w:sz w:val="24"/>
        </w:rPr>
        <w:t>1.3.3 项目范围</w:t>
      </w:r>
      <w:r>
        <w:rPr>
          <w:rFonts w:hint="eastAsia" w:ascii="宋体" w:hAnsi="宋体"/>
          <w:sz w:val="24"/>
          <w:u w:val="single"/>
        </w:rPr>
        <w:t xml:space="preserve">                                                         </w:t>
      </w:r>
    </w:p>
    <w:p w14:paraId="54C943D1">
      <w:pPr>
        <w:spacing w:line="520" w:lineRule="exact"/>
        <w:ind w:firstLine="460" w:firstLineChars="192"/>
        <w:rPr>
          <w:rFonts w:ascii="宋体" w:hAnsi="宋体"/>
          <w:sz w:val="24"/>
          <w:u w:val="single"/>
        </w:rPr>
      </w:pPr>
      <w:r>
        <w:rPr>
          <w:rFonts w:hint="eastAsia" w:ascii="宋体" w:hAnsi="宋体"/>
          <w:color w:val="000000"/>
          <w:sz w:val="24"/>
        </w:rPr>
        <w:t>1.3.4 项目规模</w:t>
      </w:r>
      <w:r>
        <w:rPr>
          <w:rFonts w:hint="eastAsia" w:ascii="宋体" w:hAnsi="宋体"/>
          <w:sz w:val="24"/>
          <w:u w:val="single"/>
        </w:rPr>
        <w:t xml:space="preserve">                                                          </w:t>
      </w:r>
    </w:p>
    <w:p w14:paraId="0A576DF0">
      <w:pPr>
        <w:spacing w:line="520" w:lineRule="exact"/>
        <w:ind w:firstLine="463" w:firstLineChars="192"/>
        <w:rPr>
          <w:rFonts w:ascii="宋体" w:hAnsi="宋体"/>
          <w:b/>
          <w:bCs/>
          <w:color w:val="000000"/>
          <w:sz w:val="24"/>
        </w:rPr>
      </w:pPr>
      <w:r>
        <w:rPr>
          <w:rFonts w:hint="eastAsia" w:ascii="宋体" w:hAnsi="宋体"/>
          <w:b/>
          <w:bCs/>
          <w:color w:val="000000"/>
          <w:sz w:val="24"/>
        </w:rPr>
        <w:t>1.4 项目内容变更的解决</w:t>
      </w:r>
    </w:p>
    <w:p w14:paraId="73924A17">
      <w:pPr>
        <w:spacing w:line="520" w:lineRule="exact"/>
        <w:ind w:firstLine="460" w:firstLineChars="192"/>
        <w:rPr>
          <w:rFonts w:ascii="宋体" w:hAnsi="宋体"/>
          <w:color w:val="000000"/>
          <w:sz w:val="24"/>
        </w:rPr>
      </w:pPr>
      <w:r>
        <w:rPr>
          <w:rFonts w:hint="eastAsia" w:ascii="宋体" w:hAnsi="宋体"/>
          <w:sz w:val="24"/>
        </w:rPr>
        <w:t>项目合同生效后，项目基本情况发生变化的，按以下条款执行解决：</w:t>
      </w:r>
    </w:p>
    <w:p w14:paraId="1504CF00">
      <w:pPr>
        <w:spacing w:line="520" w:lineRule="exact"/>
        <w:ind w:firstLine="460" w:firstLineChars="192"/>
        <w:rPr>
          <w:rFonts w:ascii="宋体" w:hAnsi="宋体"/>
          <w:color w:val="000000"/>
          <w:sz w:val="24"/>
        </w:rPr>
      </w:pPr>
      <w:r>
        <w:rPr>
          <w:rFonts w:hint="eastAsia" w:ascii="宋体" w:hAnsi="宋体"/>
          <w:color w:val="000000"/>
          <w:sz w:val="24"/>
        </w:rPr>
        <w:t>1.4.1 项目类型、深度及范围发生变化的</w:t>
      </w:r>
    </w:p>
    <w:p w14:paraId="7256D6C1">
      <w:pPr>
        <w:spacing w:line="520" w:lineRule="exact"/>
        <w:ind w:firstLine="540" w:firstLineChars="225"/>
        <w:rPr>
          <w:rFonts w:ascii="宋体" w:hAnsi="宋体"/>
          <w:color w:val="000000"/>
          <w:sz w:val="24"/>
        </w:rPr>
      </w:pPr>
      <w:r>
        <w:rPr>
          <w:rFonts w:hint="eastAsia" w:ascii="宋体" w:hAnsi="宋体"/>
          <w:color w:val="000000"/>
          <w:sz w:val="24"/>
        </w:rPr>
        <w:t>A.如项目尚未实质启动（乙方未赴甲方实地开展调研），双方协商按照新的项目要求执行，并补充签订合同；</w:t>
      </w:r>
    </w:p>
    <w:p w14:paraId="6AEDDBD5">
      <w:pPr>
        <w:spacing w:line="520" w:lineRule="exact"/>
        <w:ind w:firstLine="540" w:firstLineChars="225"/>
        <w:rPr>
          <w:rFonts w:ascii="宋体" w:hAnsi="宋体"/>
          <w:color w:val="000000"/>
          <w:sz w:val="24"/>
        </w:rPr>
      </w:pPr>
      <w:r>
        <w:rPr>
          <w:rFonts w:hint="eastAsia" w:ascii="宋体" w:hAnsi="宋体"/>
          <w:color w:val="000000"/>
          <w:sz w:val="24"/>
        </w:rPr>
        <w:t>B.如项目已实质启动，甲方向乙方支付完当期应付费用后，补充签订合同变更协议后，按照变更后新的合同要求执行。</w:t>
      </w:r>
    </w:p>
    <w:p w14:paraId="11308BEB">
      <w:pPr>
        <w:spacing w:line="520" w:lineRule="exact"/>
        <w:ind w:firstLine="460" w:firstLineChars="192"/>
        <w:rPr>
          <w:rFonts w:ascii="宋体" w:hAnsi="宋体"/>
          <w:color w:val="000000"/>
          <w:sz w:val="24"/>
        </w:rPr>
      </w:pPr>
      <w:r>
        <w:rPr>
          <w:rFonts w:hint="eastAsia" w:ascii="宋体" w:hAnsi="宋体"/>
          <w:color w:val="000000"/>
          <w:sz w:val="24"/>
        </w:rPr>
        <w:t>1.4.2 项目规模发生变化的</w:t>
      </w:r>
    </w:p>
    <w:p w14:paraId="0CC275DD">
      <w:pPr>
        <w:spacing w:line="520" w:lineRule="exact"/>
        <w:ind w:firstLine="460" w:firstLineChars="192"/>
        <w:rPr>
          <w:rFonts w:ascii="宋体" w:hAnsi="宋体"/>
          <w:color w:val="000000"/>
          <w:sz w:val="24"/>
        </w:rPr>
      </w:pPr>
      <w:r>
        <w:rPr>
          <w:rFonts w:hint="eastAsia" w:ascii="宋体" w:hAnsi="宋体"/>
          <w:color w:val="000000"/>
          <w:sz w:val="24"/>
        </w:rPr>
        <w:t>合同若以规模面积为合同额计费依据的，在项目过程中，发生项目规模变化的，如最后实际规模与合同约定规模相差10%及以内，按照合同执行；如相差10%以上，双方按照合同单价标准增减合同费用，并补充签订合同变更协议。</w:t>
      </w:r>
    </w:p>
    <w:p w14:paraId="2BE0964B">
      <w:pPr>
        <w:spacing w:line="520" w:lineRule="exact"/>
        <w:ind w:firstLine="540" w:firstLineChars="192"/>
        <w:rPr>
          <w:rFonts w:ascii="宋体" w:hAnsi="宋体"/>
          <w:b/>
          <w:color w:val="000000"/>
          <w:sz w:val="28"/>
          <w:szCs w:val="28"/>
        </w:rPr>
      </w:pPr>
      <w:r>
        <w:rPr>
          <w:rFonts w:hint="eastAsia" w:ascii="宋体" w:hAnsi="宋体"/>
          <w:b/>
          <w:color w:val="000000"/>
          <w:sz w:val="28"/>
          <w:szCs w:val="28"/>
        </w:rPr>
        <w:t>第二条：项目组成立及职责分工</w:t>
      </w:r>
    </w:p>
    <w:p w14:paraId="5022CC37">
      <w:pPr>
        <w:spacing w:line="520" w:lineRule="exact"/>
        <w:ind w:firstLine="460" w:firstLineChars="192"/>
        <w:rPr>
          <w:rFonts w:ascii="宋体" w:hAnsi="宋体"/>
          <w:color w:val="000000"/>
          <w:sz w:val="24"/>
        </w:rPr>
      </w:pPr>
      <w:r>
        <w:rPr>
          <w:rFonts w:hint="eastAsia" w:ascii="宋体" w:hAnsi="宋体"/>
          <w:color w:val="000000"/>
          <w:sz w:val="24"/>
        </w:rPr>
        <w:t>2.1 项目组成立及主要人员确定</w:t>
      </w:r>
    </w:p>
    <w:p w14:paraId="1068F5A7">
      <w:pPr>
        <w:spacing w:line="520" w:lineRule="exact"/>
        <w:ind w:firstLine="460" w:firstLineChars="192"/>
        <w:rPr>
          <w:rFonts w:ascii="宋体" w:hAnsi="宋体"/>
          <w:color w:val="000000"/>
          <w:sz w:val="24"/>
        </w:rPr>
      </w:pPr>
      <w:r>
        <w:rPr>
          <w:rFonts w:hint="eastAsia" w:ascii="宋体" w:hAnsi="宋体"/>
          <w:color w:val="000000"/>
          <w:sz w:val="24"/>
        </w:rPr>
        <w:t>甲乙双方组织相关人员共同组成“</w:t>
      </w:r>
      <w:r>
        <w:rPr>
          <w:rFonts w:hint="eastAsia" w:ascii="宋体" w:hAnsi="宋体"/>
          <w:color w:val="000000"/>
          <w:sz w:val="24"/>
          <w:u w:val="single"/>
        </w:rPr>
        <w:t xml:space="preserve">                                        </w:t>
      </w:r>
      <w:r>
        <w:rPr>
          <w:rFonts w:hint="eastAsia" w:ascii="宋体" w:hAnsi="宋体"/>
          <w:color w:val="000000"/>
          <w:sz w:val="24"/>
        </w:rPr>
        <w:t>项目组”，并安排对应部门专人负责项目衔接组织与实施。</w:t>
      </w:r>
    </w:p>
    <w:p w14:paraId="2C0E61F7">
      <w:pPr>
        <w:spacing w:line="520" w:lineRule="exact"/>
        <w:ind w:firstLine="460" w:firstLineChars="192"/>
        <w:rPr>
          <w:rFonts w:ascii="宋体" w:hAnsi="宋体"/>
          <w:color w:val="000000"/>
          <w:sz w:val="24"/>
        </w:rPr>
      </w:pPr>
      <w:r>
        <w:rPr>
          <w:rFonts w:hint="eastAsia" w:ascii="宋体" w:hAnsi="宋体"/>
          <w:color w:val="000000"/>
          <w:sz w:val="24"/>
        </w:rPr>
        <w:t>2.2 甲方项目牵头人及联系方式：</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14:paraId="3D308D53">
      <w:pPr>
        <w:spacing w:line="520" w:lineRule="exact"/>
        <w:ind w:firstLine="460" w:firstLineChars="192"/>
        <w:rPr>
          <w:rFonts w:ascii="宋体" w:hAnsi="宋体"/>
          <w:color w:val="000000"/>
          <w:sz w:val="24"/>
        </w:rPr>
      </w:pPr>
      <w:r>
        <w:rPr>
          <w:rFonts w:hint="eastAsia" w:ascii="宋体" w:hAnsi="宋体"/>
          <w:color w:val="000000"/>
          <w:sz w:val="24"/>
        </w:rPr>
        <w:t>2.3 乙方项目牵头人及联系方式：</w:t>
      </w:r>
      <w:r>
        <w:rPr>
          <w:rFonts w:hint="eastAsia" w:ascii="宋体" w:hAnsi="宋体"/>
          <w:color w:val="000000"/>
          <w:sz w:val="24"/>
          <w:u w:val="single"/>
        </w:rPr>
        <w:t xml:space="preserve">                                            </w:t>
      </w:r>
    </w:p>
    <w:p w14:paraId="2F3111DE">
      <w:pPr>
        <w:spacing w:line="520" w:lineRule="exact"/>
        <w:ind w:firstLine="460" w:firstLineChars="192"/>
        <w:rPr>
          <w:rFonts w:hint="eastAsia" w:ascii="宋体" w:hAnsi="宋体"/>
          <w:color w:val="000000"/>
          <w:sz w:val="24"/>
        </w:rPr>
      </w:pPr>
      <w:r>
        <w:rPr>
          <w:rFonts w:hint="eastAsia" w:ascii="宋体" w:hAnsi="宋体"/>
          <w:color w:val="000000"/>
          <w:sz w:val="24"/>
        </w:rPr>
        <w:t xml:space="preserve">2.5项目组职责和分工   </w:t>
      </w:r>
    </w:p>
    <w:p w14:paraId="79985A90">
      <w:pPr>
        <w:spacing w:line="520" w:lineRule="exact"/>
        <w:ind w:firstLine="700" w:firstLineChars="292"/>
        <w:rPr>
          <w:rFonts w:ascii="宋体" w:hAnsi="宋体"/>
          <w:color w:val="000000"/>
          <w:sz w:val="24"/>
        </w:rPr>
      </w:pPr>
      <w:r>
        <w:rPr>
          <w:rFonts w:hint="eastAsia" w:ascii="宋体" w:hAnsi="宋体"/>
          <w:color w:val="000000"/>
          <w:sz w:val="24"/>
        </w:rPr>
        <w:t>甲方职责分工</w:t>
      </w:r>
    </w:p>
    <w:p w14:paraId="7AB8A32D">
      <w:pPr>
        <w:spacing w:line="520" w:lineRule="exact"/>
        <w:ind w:firstLine="460" w:firstLineChars="192"/>
        <w:rPr>
          <w:rFonts w:ascii="宋体" w:hAnsi="宋体"/>
          <w:color w:val="000000"/>
          <w:sz w:val="24"/>
        </w:rPr>
      </w:pPr>
      <w:r>
        <w:rPr>
          <w:rFonts w:hint="eastAsia" w:ascii="宋体" w:hAnsi="宋体"/>
          <w:color w:val="000000"/>
          <w:sz w:val="24"/>
        </w:rPr>
        <w:t>A.按照乙方提供的资料清单及要求，为乙方提供涉及项目内容的相关基础信息资料，并确保所提供资料信息的真实性和有效性；</w:t>
      </w:r>
    </w:p>
    <w:p w14:paraId="2FDCAEA3">
      <w:pPr>
        <w:spacing w:line="520" w:lineRule="exact"/>
        <w:ind w:firstLine="460" w:firstLineChars="192"/>
        <w:rPr>
          <w:rFonts w:ascii="宋体" w:hAnsi="宋体"/>
          <w:color w:val="000000"/>
          <w:sz w:val="24"/>
        </w:rPr>
      </w:pPr>
      <w:r>
        <w:rPr>
          <w:rFonts w:hint="eastAsia" w:ascii="宋体" w:hAnsi="宋体"/>
          <w:color w:val="000000"/>
          <w:sz w:val="24"/>
        </w:rPr>
        <w:t>B.按照乙方提供的工作计划安排，为乙方组织召开项目启动会、安排部门调研、领导访谈、项目汇报、组织评审等工作；</w:t>
      </w:r>
    </w:p>
    <w:p w14:paraId="5859855D">
      <w:pPr>
        <w:spacing w:line="520" w:lineRule="exact"/>
        <w:ind w:firstLine="460" w:firstLineChars="192"/>
        <w:rPr>
          <w:rFonts w:ascii="宋体" w:hAnsi="宋体"/>
          <w:color w:val="000000"/>
          <w:sz w:val="24"/>
        </w:rPr>
      </w:pPr>
      <w:r>
        <w:rPr>
          <w:rFonts w:hint="eastAsia" w:ascii="宋体" w:hAnsi="宋体"/>
          <w:color w:val="000000"/>
          <w:sz w:val="24"/>
        </w:rPr>
        <w:t>C.对乙方完成的项目成果及时进行初步审查、论证确认，并书面反馈意见；</w:t>
      </w:r>
    </w:p>
    <w:p w14:paraId="491AC9D6">
      <w:pPr>
        <w:spacing w:line="520" w:lineRule="exact"/>
        <w:ind w:firstLine="460" w:firstLineChars="192"/>
        <w:rPr>
          <w:rFonts w:ascii="宋体" w:hAnsi="宋体"/>
          <w:color w:val="000000"/>
          <w:sz w:val="24"/>
        </w:rPr>
      </w:pPr>
      <w:r>
        <w:rPr>
          <w:rFonts w:hint="eastAsia" w:ascii="宋体" w:hAnsi="宋体"/>
          <w:color w:val="000000"/>
          <w:sz w:val="24"/>
        </w:rPr>
        <w:t xml:space="preserve">D.按照合同约定及项目进度，依次向乙方支付项目款。                                                           </w:t>
      </w:r>
    </w:p>
    <w:p w14:paraId="599E77C6">
      <w:pPr>
        <w:spacing w:line="520" w:lineRule="exact"/>
        <w:ind w:firstLine="700" w:firstLineChars="292"/>
        <w:rPr>
          <w:rFonts w:ascii="宋体" w:hAnsi="宋体"/>
          <w:color w:val="000000"/>
          <w:sz w:val="24"/>
        </w:rPr>
      </w:pPr>
      <w:r>
        <w:rPr>
          <w:rFonts w:hint="eastAsia" w:ascii="宋体" w:hAnsi="宋体"/>
          <w:color w:val="000000"/>
          <w:sz w:val="24"/>
        </w:rPr>
        <w:t>乙方职责分工</w:t>
      </w:r>
    </w:p>
    <w:p w14:paraId="4C573577">
      <w:pPr>
        <w:spacing w:line="520" w:lineRule="exact"/>
        <w:ind w:firstLine="460" w:firstLineChars="192"/>
        <w:rPr>
          <w:rFonts w:ascii="宋体" w:hAnsi="宋体"/>
          <w:color w:val="000000"/>
          <w:sz w:val="24"/>
        </w:rPr>
      </w:pPr>
      <w:r>
        <w:rPr>
          <w:rFonts w:hint="eastAsia" w:ascii="宋体" w:hAnsi="宋体"/>
          <w:color w:val="000000"/>
          <w:sz w:val="24"/>
        </w:rPr>
        <w:t>A.为甲方提供涉及项目所需的资料清单；</w:t>
      </w:r>
    </w:p>
    <w:p w14:paraId="627FB390">
      <w:pPr>
        <w:spacing w:line="520" w:lineRule="exact"/>
        <w:ind w:firstLine="460" w:firstLineChars="192"/>
        <w:rPr>
          <w:rFonts w:ascii="宋体" w:hAnsi="宋体"/>
          <w:color w:val="000000"/>
          <w:sz w:val="24"/>
        </w:rPr>
      </w:pPr>
      <w:r>
        <w:rPr>
          <w:rFonts w:hint="eastAsia" w:ascii="宋体" w:hAnsi="宋体"/>
          <w:color w:val="000000"/>
          <w:sz w:val="24"/>
        </w:rPr>
        <w:t>B.为甲方提供项目总体工作计划安排和阶段工作计划安排；</w:t>
      </w:r>
    </w:p>
    <w:p w14:paraId="7908A41B">
      <w:pPr>
        <w:spacing w:line="520" w:lineRule="exact"/>
        <w:ind w:firstLine="460" w:firstLineChars="192"/>
        <w:rPr>
          <w:rFonts w:ascii="宋体" w:hAnsi="宋体"/>
          <w:color w:val="000000"/>
          <w:sz w:val="24"/>
        </w:rPr>
      </w:pPr>
      <w:r>
        <w:rPr>
          <w:rFonts w:hint="eastAsia" w:ascii="宋体" w:hAnsi="宋体"/>
          <w:color w:val="000000"/>
          <w:sz w:val="24"/>
        </w:rPr>
        <w:t>C.根据项目进度安排及甲方付款情况，组织项目组人员参加项目启动会，开展项目调研，提交并进行项目征求意见稿、送审稿的汇报工作；</w:t>
      </w:r>
    </w:p>
    <w:p w14:paraId="39CE11CC">
      <w:pPr>
        <w:spacing w:line="520" w:lineRule="exact"/>
        <w:ind w:firstLine="460" w:firstLineChars="192"/>
        <w:rPr>
          <w:rFonts w:ascii="宋体" w:hAnsi="宋体"/>
          <w:color w:val="000000"/>
          <w:sz w:val="24"/>
        </w:rPr>
      </w:pPr>
      <w:r>
        <w:rPr>
          <w:rFonts w:hint="eastAsia" w:ascii="宋体" w:hAnsi="宋体"/>
          <w:color w:val="000000"/>
          <w:sz w:val="24"/>
        </w:rPr>
        <w:t>D.根据甲方书面反馈意见对项目成果进行修改完善。</w:t>
      </w:r>
    </w:p>
    <w:p w14:paraId="0488B793">
      <w:pPr>
        <w:spacing w:line="520" w:lineRule="exact"/>
        <w:ind w:firstLine="540" w:firstLineChars="192"/>
        <w:rPr>
          <w:rFonts w:ascii="宋体" w:hAnsi="宋体"/>
          <w:b/>
          <w:color w:val="000000"/>
          <w:sz w:val="28"/>
          <w:szCs w:val="28"/>
        </w:rPr>
      </w:pPr>
      <w:r>
        <w:rPr>
          <w:rFonts w:hint="eastAsia" w:ascii="宋体" w:hAnsi="宋体"/>
          <w:b/>
          <w:color w:val="000000"/>
          <w:sz w:val="28"/>
          <w:szCs w:val="28"/>
        </w:rPr>
        <w:t>第三条：项目资料提供</w:t>
      </w:r>
    </w:p>
    <w:p w14:paraId="646BE6F3">
      <w:pPr>
        <w:spacing w:line="520" w:lineRule="exact"/>
        <w:ind w:firstLine="460" w:firstLineChars="192"/>
        <w:rPr>
          <w:rFonts w:ascii="宋体" w:hAnsi="宋体"/>
          <w:color w:val="000000"/>
          <w:sz w:val="24"/>
          <w:u w:val="single"/>
        </w:rPr>
      </w:pPr>
      <w:r>
        <w:rPr>
          <w:rFonts w:hint="eastAsia" w:ascii="宋体" w:hAnsi="宋体"/>
          <w:color w:val="000000"/>
          <w:sz w:val="24"/>
        </w:rPr>
        <w:t>3.1 甲方为乙方提供资料形式（如：①电子版、②纸质版、③语音资料、④影像资料等）</w:t>
      </w:r>
      <w:r>
        <w:rPr>
          <w:rFonts w:hint="eastAsia" w:ascii="宋体" w:hAnsi="宋体"/>
          <w:color w:val="000000"/>
          <w:sz w:val="24"/>
          <w:u w:val="single"/>
        </w:rPr>
        <w:t xml:space="preserve">  </w:t>
      </w:r>
    </w:p>
    <w:p w14:paraId="302B6C55">
      <w:pPr>
        <w:spacing w:line="520" w:lineRule="exact"/>
        <w:ind w:firstLine="460" w:firstLineChars="192"/>
        <w:rPr>
          <w:rFonts w:ascii="宋体" w:hAnsi="宋体"/>
          <w:color w:val="000000"/>
          <w:sz w:val="24"/>
        </w:rPr>
      </w:pPr>
      <w:r>
        <w:rPr>
          <w:rFonts w:hint="eastAsia" w:ascii="宋体" w:hAnsi="宋体"/>
          <w:color w:val="000000"/>
          <w:sz w:val="24"/>
          <w:u w:val="single"/>
        </w:rPr>
        <w:t xml:space="preserve">                                               </w:t>
      </w:r>
    </w:p>
    <w:p w14:paraId="79D791E0">
      <w:pPr>
        <w:spacing w:line="520" w:lineRule="exact"/>
        <w:ind w:firstLine="460" w:firstLineChars="192"/>
        <w:rPr>
          <w:rFonts w:ascii="宋体" w:hAnsi="宋体"/>
          <w:color w:val="000000"/>
          <w:sz w:val="24"/>
          <w:u w:val="single"/>
        </w:rPr>
      </w:pPr>
      <w:r>
        <w:rPr>
          <w:rFonts w:hint="eastAsia" w:ascii="宋体" w:hAnsi="宋体"/>
          <w:color w:val="000000"/>
          <w:sz w:val="24"/>
        </w:rPr>
        <w:t>3.2 甲方为乙方提供项目深度所需要的地形图</w:t>
      </w:r>
      <w:r>
        <w:rPr>
          <w:rFonts w:hint="eastAsia" w:ascii="宋体" w:hAnsi="宋体"/>
          <w:color w:val="000000"/>
          <w:sz w:val="24"/>
          <w:u w:val="single"/>
        </w:rPr>
        <w:t xml:space="preserve">                                   </w:t>
      </w:r>
    </w:p>
    <w:p w14:paraId="3FF9BAF0">
      <w:pPr>
        <w:spacing w:line="520" w:lineRule="exact"/>
        <w:ind w:firstLine="562" w:firstLineChars="200"/>
        <w:rPr>
          <w:rFonts w:ascii="宋体" w:hAnsi="宋体"/>
          <w:b/>
          <w:color w:val="000000"/>
          <w:sz w:val="28"/>
          <w:szCs w:val="28"/>
        </w:rPr>
      </w:pPr>
      <w:r>
        <w:rPr>
          <w:rFonts w:hint="eastAsia" w:ascii="宋体" w:hAnsi="宋体"/>
          <w:b/>
          <w:color w:val="000000"/>
          <w:sz w:val="28"/>
          <w:szCs w:val="28"/>
        </w:rPr>
        <w:t>第四条：项目进度及成果提交</w:t>
      </w:r>
    </w:p>
    <w:p w14:paraId="1F878670">
      <w:pPr>
        <w:spacing w:line="520" w:lineRule="exact"/>
        <w:ind w:firstLine="460" w:firstLineChars="192"/>
        <w:rPr>
          <w:rFonts w:ascii="宋体" w:hAnsi="宋体"/>
          <w:color w:val="000000"/>
          <w:sz w:val="24"/>
        </w:rPr>
      </w:pPr>
      <w:r>
        <w:rPr>
          <w:rFonts w:hint="eastAsia" w:ascii="宋体" w:hAnsi="宋体"/>
          <w:color w:val="000000"/>
          <w:sz w:val="24"/>
        </w:rPr>
        <w:t>4.1 本合同签订后，乙方收到甲方支付合同约定的首付款后，</w:t>
      </w:r>
      <w:r>
        <w:rPr>
          <w:rFonts w:hint="eastAsia" w:ascii="宋体" w:hAnsi="宋体"/>
          <w:sz w:val="24"/>
        </w:rPr>
        <w:t>乙方在</w:t>
      </w:r>
      <w:r>
        <w:rPr>
          <w:rFonts w:hint="eastAsia" w:ascii="宋体" w:hAnsi="宋体"/>
          <w:sz w:val="24"/>
          <w:u w:val="single"/>
        </w:rPr>
        <w:t xml:space="preserve">　   </w:t>
      </w:r>
      <w:r>
        <w:rPr>
          <w:rFonts w:hint="eastAsia" w:ascii="宋体" w:hAnsi="宋体"/>
          <w:sz w:val="24"/>
        </w:rPr>
        <w:t>个工作日内，为甲方提供涉及项目所需的资料清单、项目总体计划安排和阶段工作计划安排。在收到甲方提供的全部资料后，</w:t>
      </w:r>
      <w:r>
        <w:rPr>
          <w:rFonts w:hint="eastAsia" w:ascii="宋体" w:hAnsi="宋体"/>
          <w:color w:val="000000"/>
          <w:sz w:val="24"/>
        </w:rPr>
        <w:t>乙方启动项目，并在</w:t>
      </w:r>
      <w:r>
        <w:rPr>
          <w:rFonts w:hint="eastAsia" w:ascii="宋体" w:hAnsi="宋体"/>
          <w:color w:val="000000"/>
          <w:sz w:val="24"/>
          <w:u w:val="single"/>
        </w:rPr>
        <w:t xml:space="preserve">      </w:t>
      </w:r>
      <w:r>
        <w:rPr>
          <w:rFonts w:hint="eastAsia" w:ascii="宋体" w:hAnsi="宋体"/>
          <w:color w:val="000000"/>
          <w:sz w:val="24"/>
        </w:rPr>
        <w:t>工作日内完成项目征求意见稿。</w:t>
      </w:r>
    </w:p>
    <w:p w14:paraId="72A52621">
      <w:pPr>
        <w:spacing w:line="520" w:lineRule="exact"/>
        <w:ind w:firstLine="460" w:firstLineChars="192"/>
        <w:rPr>
          <w:rFonts w:ascii="宋体" w:hAnsi="宋体"/>
          <w:color w:val="000000"/>
          <w:sz w:val="24"/>
        </w:rPr>
      </w:pPr>
      <w:r>
        <w:rPr>
          <w:rFonts w:hint="eastAsia" w:ascii="宋体" w:hAnsi="宋体"/>
          <w:color w:val="000000"/>
          <w:sz w:val="24"/>
        </w:rPr>
        <w:t>4.2 乙方向甲方大范围征求意见后</w:t>
      </w:r>
      <w:r>
        <w:rPr>
          <w:rFonts w:hint="eastAsia" w:ascii="宋体" w:hAnsi="宋体"/>
          <w:color w:val="000000"/>
          <w:sz w:val="24"/>
          <w:u w:val="single"/>
        </w:rPr>
        <w:t xml:space="preserve">      </w:t>
      </w:r>
      <w:r>
        <w:rPr>
          <w:rFonts w:hint="eastAsia" w:ascii="宋体" w:hAnsi="宋体"/>
          <w:color w:val="000000"/>
          <w:sz w:val="24"/>
        </w:rPr>
        <w:t>工作日内，乙方对征求意见稿进行修订、完善，向甲方递交送审稿。</w:t>
      </w:r>
    </w:p>
    <w:p w14:paraId="1BCB238F">
      <w:pPr>
        <w:spacing w:line="520" w:lineRule="exact"/>
        <w:ind w:firstLine="460" w:firstLineChars="192"/>
        <w:rPr>
          <w:rFonts w:ascii="宋体" w:hAnsi="宋体"/>
          <w:color w:val="000000"/>
          <w:sz w:val="24"/>
        </w:rPr>
      </w:pPr>
      <w:r>
        <w:rPr>
          <w:rFonts w:hint="eastAsia" w:ascii="宋体" w:hAnsi="宋体"/>
          <w:color w:val="000000"/>
          <w:sz w:val="24"/>
        </w:rPr>
        <w:t>4.3项目送审稿经甲方评审后</w:t>
      </w:r>
      <w:r>
        <w:rPr>
          <w:rFonts w:hint="eastAsia" w:ascii="宋体" w:hAnsi="宋体"/>
          <w:color w:val="000000"/>
          <w:sz w:val="24"/>
          <w:u w:val="single"/>
        </w:rPr>
        <w:t xml:space="preserve">      </w:t>
      </w:r>
      <w:r>
        <w:rPr>
          <w:rFonts w:hint="eastAsia" w:ascii="宋体" w:hAnsi="宋体"/>
          <w:color w:val="000000"/>
          <w:sz w:val="24"/>
        </w:rPr>
        <w:t>工作日内，乙方根据评审意见进行修订、完善，完成定稿，并向甲方递交正式成果。</w:t>
      </w:r>
    </w:p>
    <w:p w14:paraId="5EF83A7B">
      <w:pPr>
        <w:spacing w:line="520" w:lineRule="exact"/>
        <w:ind w:firstLine="460" w:firstLineChars="192"/>
        <w:rPr>
          <w:rFonts w:ascii="宋体" w:hAnsi="宋体"/>
          <w:color w:val="000000"/>
          <w:sz w:val="24"/>
          <w:u w:val="single"/>
        </w:rPr>
      </w:pPr>
      <w:r>
        <w:rPr>
          <w:rFonts w:hint="eastAsia" w:ascii="宋体" w:hAnsi="宋体"/>
          <w:color w:val="000000"/>
          <w:sz w:val="24"/>
        </w:rPr>
        <w:t>补充:</w:t>
      </w:r>
      <w:r>
        <w:rPr>
          <w:rFonts w:hint="eastAsia" w:ascii="宋体" w:hAnsi="宋体"/>
          <w:color w:val="000000"/>
          <w:sz w:val="24"/>
          <w:u w:val="single"/>
        </w:rPr>
        <w:t xml:space="preserve">                                                                      </w:t>
      </w:r>
    </w:p>
    <w:p w14:paraId="2603A133">
      <w:pPr>
        <w:spacing w:line="520" w:lineRule="exact"/>
        <w:ind w:firstLine="460" w:firstLineChars="192"/>
        <w:rPr>
          <w:rFonts w:ascii="宋体" w:hAnsi="宋体"/>
          <w:color w:val="000000"/>
          <w:sz w:val="24"/>
        </w:rPr>
      </w:pPr>
      <w:r>
        <w:rPr>
          <w:rFonts w:hint="eastAsia" w:ascii="宋体" w:hAnsi="宋体"/>
          <w:color w:val="000000"/>
          <w:sz w:val="24"/>
        </w:rPr>
        <w:t>4.4 成果提交</w:t>
      </w:r>
    </w:p>
    <w:p w14:paraId="09769CF8">
      <w:pPr>
        <w:spacing w:line="520" w:lineRule="exact"/>
        <w:ind w:firstLine="460" w:firstLineChars="192"/>
        <w:rPr>
          <w:rFonts w:ascii="宋体" w:hAnsi="宋体"/>
          <w:color w:val="000000"/>
          <w:sz w:val="24"/>
        </w:rPr>
      </w:pPr>
      <w:r>
        <w:rPr>
          <w:rFonts w:hint="eastAsia" w:ascii="宋体" w:hAnsi="宋体"/>
          <w:color w:val="000000"/>
          <w:sz w:val="24"/>
        </w:rPr>
        <w:t>乙方按照项目进度向甲方提交项目成果三次：</w:t>
      </w:r>
    </w:p>
    <w:p w14:paraId="3BD95960">
      <w:pPr>
        <w:spacing w:line="520" w:lineRule="exact"/>
        <w:ind w:firstLine="460" w:firstLineChars="192"/>
        <w:rPr>
          <w:rFonts w:ascii="宋体" w:hAnsi="宋体"/>
          <w:color w:val="000000"/>
          <w:sz w:val="24"/>
        </w:rPr>
      </w:pPr>
      <w:r>
        <w:rPr>
          <w:rFonts w:hint="eastAsia" w:ascii="宋体" w:hAnsi="宋体"/>
          <w:color w:val="000000"/>
          <w:sz w:val="24"/>
        </w:rPr>
        <w:t>A.征求意见稿纸质版6本之内（相关部门审查）；</w:t>
      </w:r>
    </w:p>
    <w:p w14:paraId="60494946">
      <w:pPr>
        <w:spacing w:line="520" w:lineRule="exact"/>
        <w:ind w:firstLine="460" w:firstLineChars="192"/>
        <w:rPr>
          <w:rFonts w:ascii="宋体" w:hAnsi="宋体"/>
          <w:color w:val="000000"/>
          <w:sz w:val="24"/>
        </w:rPr>
      </w:pPr>
      <w:r>
        <w:rPr>
          <w:rFonts w:hint="eastAsia" w:ascii="宋体" w:hAnsi="宋体"/>
          <w:color w:val="000000"/>
          <w:sz w:val="24"/>
        </w:rPr>
        <w:t>B.送审稿纸质版8本之内（评审会审查）；</w:t>
      </w:r>
    </w:p>
    <w:p w14:paraId="34C0E8C0">
      <w:pPr>
        <w:spacing w:line="520" w:lineRule="exact"/>
        <w:ind w:firstLine="460" w:firstLineChars="192"/>
        <w:rPr>
          <w:rFonts w:ascii="宋体" w:hAnsi="宋体"/>
          <w:color w:val="000000"/>
          <w:sz w:val="24"/>
        </w:rPr>
      </w:pPr>
      <w:r>
        <w:rPr>
          <w:rFonts w:hint="eastAsia" w:ascii="宋体" w:hAnsi="宋体"/>
          <w:color w:val="000000"/>
          <w:sz w:val="24"/>
        </w:rPr>
        <w:t>C.甲方付清项目余款后，乙方向甲方提交正式成果纸质版8本之内及电子版：</w:t>
      </w:r>
    </w:p>
    <w:p w14:paraId="35FF4B30">
      <w:pPr>
        <w:tabs>
          <w:tab w:val="left" w:pos="8745"/>
        </w:tabs>
        <w:spacing w:line="520" w:lineRule="exact"/>
        <w:ind w:firstLine="540" w:firstLineChars="192"/>
        <w:rPr>
          <w:rFonts w:ascii="宋体" w:hAnsi="宋体"/>
          <w:b/>
          <w:color w:val="000000"/>
          <w:sz w:val="28"/>
          <w:szCs w:val="28"/>
        </w:rPr>
      </w:pPr>
      <w:r>
        <w:rPr>
          <w:rFonts w:hint="eastAsia" w:ascii="宋体" w:hAnsi="宋体"/>
          <w:b/>
          <w:color w:val="000000"/>
          <w:sz w:val="28"/>
          <w:szCs w:val="28"/>
        </w:rPr>
        <w:t>第五条：项目审查及验收</w:t>
      </w:r>
      <w:r>
        <w:rPr>
          <w:rFonts w:ascii="宋体" w:hAnsi="宋体"/>
          <w:b/>
          <w:color w:val="000000"/>
          <w:sz w:val="28"/>
          <w:szCs w:val="28"/>
        </w:rPr>
        <w:tab/>
      </w:r>
    </w:p>
    <w:p w14:paraId="5A96E79A">
      <w:pPr>
        <w:spacing w:line="520" w:lineRule="exact"/>
        <w:ind w:firstLine="463" w:firstLineChars="192"/>
        <w:rPr>
          <w:rFonts w:ascii="宋体" w:hAnsi="宋体"/>
          <w:b/>
          <w:bCs/>
          <w:color w:val="000000"/>
          <w:sz w:val="24"/>
        </w:rPr>
      </w:pPr>
      <w:r>
        <w:rPr>
          <w:rFonts w:hint="eastAsia" w:ascii="宋体" w:hAnsi="宋体"/>
          <w:b/>
          <w:bCs/>
          <w:color w:val="000000"/>
          <w:sz w:val="24"/>
        </w:rPr>
        <w:t>5.1 审查标准</w:t>
      </w:r>
    </w:p>
    <w:p w14:paraId="17FDF74E">
      <w:pPr>
        <w:spacing w:line="520" w:lineRule="exact"/>
        <w:ind w:firstLine="700" w:firstLineChars="292"/>
        <w:rPr>
          <w:rFonts w:ascii="宋体" w:hAnsi="宋体"/>
          <w:color w:val="000000"/>
          <w:sz w:val="24"/>
        </w:rPr>
      </w:pPr>
      <w:r>
        <w:rPr>
          <w:rFonts w:hint="eastAsia" w:ascii="宋体" w:hAnsi="宋体"/>
          <w:color w:val="000000"/>
          <w:sz w:val="24"/>
        </w:rPr>
        <w:t xml:space="preserve"> 符合合同第一条项目类型及深度涉及的相关国家技术规范</w:t>
      </w:r>
    </w:p>
    <w:p w14:paraId="451EA7F2">
      <w:pPr>
        <w:spacing w:line="520" w:lineRule="exact"/>
        <w:ind w:firstLine="463" w:firstLineChars="192"/>
        <w:rPr>
          <w:rFonts w:ascii="宋体" w:hAnsi="宋体"/>
          <w:b/>
          <w:bCs/>
          <w:color w:val="000000"/>
          <w:sz w:val="24"/>
        </w:rPr>
      </w:pPr>
      <w:r>
        <w:rPr>
          <w:rFonts w:hint="eastAsia" w:ascii="宋体" w:hAnsi="宋体"/>
          <w:b/>
          <w:bCs/>
          <w:color w:val="000000"/>
          <w:sz w:val="24"/>
        </w:rPr>
        <w:t>5.2 审查验收</w:t>
      </w:r>
    </w:p>
    <w:p w14:paraId="4F173A11">
      <w:pPr>
        <w:spacing w:line="520" w:lineRule="exact"/>
        <w:ind w:firstLine="460" w:firstLineChars="192"/>
        <w:rPr>
          <w:rFonts w:ascii="宋体" w:hAnsi="宋体"/>
          <w:sz w:val="24"/>
          <w:u w:val="single"/>
        </w:rPr>
      </w:pPr>
      <w:r>
        <w:rPr>
          <w:rFonts w:hint="eastAsia" w:ascii="宋体" w:hAnsi="宋体"/>
          <w:sz w:val="24"/>
        </w:rPr>
        <w:t>5.2.1 评审验收方式（如：①甲方自行验收，并出具验收报告；②甲方组织专家评审，并出具专家评审意见；</w:t>
      </w:r>
      <w:r>
        <w:rPr>
          <w:rFonts w:hint="eastAsia" w:ascii="宋体" w:hAnsi="宋体"/>
          <w:color w:val="000000"/>
          <w:sz w:val="24"/>
        </w:rPr>
        <w:t xml:space="preserve"> ③甲方不评审,只需要乙方提交规划设计成果文本。</w:t>
      </w:r>
      <w:r>
        <w:rPr>
          <w:rFonts w:hint="eastAsia" w:ascii="宋体" w:hAnsi="宋体"/>
          <w:sz w:val="24"/>
        </w:rPr>
        <w:t>）</w:t>
      </w:r>
      <w:r>
        <w:rPr>
          <w:rFonts w:hint="eastAsia" w:ascii="宋体" w:hAnsi="宋体"/>
          <w:sz w:val="24"/>
          <w:u w:val="single"/>
        </w:rPr>
        <w:t xml:space="preserve">            </w:t>
      </w:r>
    </w:p>
    <w:p w14:paraId="703FD0BB">
      <w:pPr>
        <w:spacing w:line="520" w:lineRule="exact"/>
        <w:ind w:firstLine="460" w:firstLineChars="192"/>
        <w:rPr>
          <w:rFonts w:ascii="宋体" w:hAnsi="宋体"/>
          <w:sz w:val="24"/>
          <w:u w:val="single"/>
        </w:rPr>
      </w:pPr>
      <w:r>
        <w:rPr>
          <w:rFonts w:hint="eastAsia" w:ascii="宋体" w:hAnsi="宋体"/>
          <w:sz w:val="24"/>
          <w:u w:val="single"/>
        </w:rPr>
        <w:t xml:space="preserve">                                                                          </w:t>
      </w:r>
    </w:p>
    <w:p w14:paraId="48255A68">
      <w:pPr>
        <w:spacing w:line="520" w:lineRule="exact"/>
        <w:ind w:firstLine="463" w:firstLineChars="192"/>
        <w:rPr>
          <w:rFonts w:ascii="宋体" w:hAnsi="宋体"/>
          <w:b/>
          <w:bCs/>
          <w:sz w:val="24"/>
        </w:rPr>
      </w:pPr>
      <w:r>
        <w:rPr>
          <w:rFonts w:hint="eastAsia" w:ascii="宋体" w:hAnsi="宋体"/>
          <w:b/>
          <w:bCs/>
          <w:sz w:val="24"/>
        </w:rPr>
        <w:t>5.3 可能引起的争议解决</w:t>
      </w:r>
    </w:p>
    <w:p w14:paraId="57F65DC8">
      <w:pPr>
        <w:spacing w:line="520" w:lineRule="exact"/>
        <w:ind w:firstLine="460" w:firstLineChars="192"/>
        <w:rPr>
          <w:rFonts w:ascii="宋体" w:hAnsi="宋体"/>
          <w:sz w:val="24"/>
        </w:rPr>
      </w:pPr>
      <w:r>
        <w:rPr>
          <w:rFonts w:hint="eastAsia" w:ascii="宋体" w:hAnsi="宋体"/>
          <w:sz w:val="24"/>
        </w:rPr>
        <w:t>5.3.1 甲方组织专家评审通过、组织内部验收通过或甲方最终无其他实质性修改意见时，以上任何一种情况均视为项目验收通过。</w:t>
      </w:r>
    </w:p>
    <w:p w14:paraId="6F63A206">
      <w:pPr>
        <w:spacing w:line="520" w:lineRule="exact"/>
        <w:ind w:firstLine="460" w:firstLineChars="192"/>
        <w:rPr>
          <w:rFonts w:ascii="宋体" w:hAnsi="宋体"/>
          <w:sz w:val="24"/>
        </w:rPr>
      </w:pPr>
      <w:r>
        <w:rPr>
          <w:rFonts w:hint="eastAsia" w:ascii="宋体" w:hAnsi="宋体"/>
          <w:sz w:val="24"/>
        </w:rPr>
        <w:t>5.3.2 乙方向甲方递交征求意见稿或送审稿三个月后，甲方如不组织验收或评审，也不出具书面确认报告，视为验收通过。</w:t>
      </w:r>
    </w:p>
    <w:p w14:paraId="48252AD6">
      <w:pPr>
        <w:spacing w:line="520" w:lineRule="exact"/>
        <w:ind w:firstLine="460" w:firstLineChars="192"/>
        <w:rPr>
          <w:rFonts w:ascii="宋体" w:hAnsi="宋体"/>
          <w:sz w:val="24"/>
        </w:rPr>
      </w:pPr>
      <w:r>
        <w:rPr>
          <w:rFonts w:hint="eastAsia" w:ascii="宋体" w:hAnsi="宋体"/>
          <w:sz w:val="24"/>
        </w:rPr>
        <w:t>5.3.3 项目以本级政府组织验收通过为准，如甲方需要上报或进行省（自治区）级、国家级层面评审的，乙方协助配合并按照评审意见要求修改完善，协助配合上报产生的直接费用由甲方承担。</w:t>
      </w:r>
    </w:p>
    <w:p w14:paraId="3101CAB8">
      <w:pPr>
        <w:spacing w:line="520" w:lineRule="exact"/>
        <w:ind w:firstLine="460" w:firstLineChars="192"/>
        <w:rPr>
          <w:rFonts w:ascii="宋体" w:hAnsi="宋体"/>
          <w:sz w:val="24"/>
        </w:rPr>
      </w:pPr>
      <w:r>
        <w:rPr>
          <w:rFonts w:hint="eastAsia" w:ascii="宋体" w:hAnsi="宋体"/>
          <w:sz w:val="24"/>
        </w:rPr>
        <w:t>5.3.4如乙方原因，致使项目不能验收通过的，乙方根据评审验收意见调整修改完善，直至项目验收评审通过。</w:t>
      </w:r>
    </w:p>
    <w:p w14:paraId="0F673E1C">
      <w:pPr>
        <w:spacing w:line="520" w:lineRule="exact"/>
        <w:ind w:firstLine="540" w:firstLineChars="192"/>
        <w:rPr>
          <w:rFonts w:ascii="宋体" w:hAnsi="宋体"/>
          <w:b/>
          <w:color w:val="000000"/>
          <w:sz w:val="28"/>
          <w:szCs w:val="28"/>
        </w:rPr>
      </w:pPr>
      <w:r>
        <w:rPr>
          <w:rFonts w:hint="eastAsia" w:ascii="宋体" w:hAnsi="宋体"/>
          <w:b/>
          <w:color w:val="000000"/>
          <w:sz w:val="28"/>
          <w:szCs w:val="28"/>
        </w:rPr>
        <w:t>第六条：项目保密及知识产权归属</w:t>
      </w:r>
    </w:p>
    <w:p w14:paraId="1A6B81C3">
      <w:pPr>
        <w:spacing w:line="520" w:lineRule="exact"/>
        <w:ind w:firstLine="460" w:firstLineChars="192"/>
        <w:rPr>
          <w:rFonts w:ascii="宋体" w:hAnsi="宋体"/>
          <w:color w:val="000000"/>
          <w:sz w:val="24"/>
        </w:rPr>
      </w:pPr>
      <w:r>
        <w:rPr>
          <w:rFonts w:hint="eastAsia" w:ascii="宋体" w:hAnsi="宋体"/>
          <w:color w:val="000000"/>
          <w:sz w:val="24"/>
        </w:rPr>
        <w:t xml:space="preserve">6.1项目保密及保密内容（①甲方基础信息资料、②甲方测绘地形图、③甲方重大项目及发展战略、④甲方领导个人信息、⑤乙方完成不同阶段项目成果、⑥乙方的项目流程及方法等                                         </w:t>
      </w:r>
    </w:p>
    <w:p w14:paraId="2524C797">
      <w:pPr>
        <w:spacing w:line="520" w:lineRule="exact"/>
        <w:ind w:firstLine="463" w:firstLineChars="192"/>
        <w:rPr>
          <w:rFonts w:ascii="宋体" w:hAnsi="宋体"/>
          <w:b/>
          <w:bCs/>
          <w:color w:val="000000"/>
          <w:sz w:val="24"/>
        </w:rPr>
      </w:pPr>
      <w:r>
        <w:rPr>
          <w:rFonts w:hint="eastAsia" w:ascii="宋体" w:hAnsi="宋体"/>
          <w:b/>
          <w:bCs/>
          <w:color w:val="000000"/>
          <w:sz w:val="24"/>
        </w:rPr>
        <w:t>6.2 保密职责</w:t>
      </w:r>
    </w:p>
    <w:p w14:paraId="1886E4F4">
      <w:pPr>
        <w:spacing w:line="520" w:lineRule="exact"/>
        <w:ind w:firstLine="460" w:firstLineChars="192"/>
        <w:rPr>
          <w:rFonts w:ascii="宋体" w:hAnsi="宋体"/>
          <w:color w:val="000000"/>
          <w:sz w:val="24"/>
        </w:rPr>
      </w:pPr>
      <w:r>
        <w:rPr>
          <w:rFonts w:hint="eastAsia" w:ascii="宋体" w:hAnsi="宋体"/>
          <w:color w:val="000000"/>
          <w:sz w:val="24"/>
        </w:rPr>
        <w:t>甲乙双方在项目过程中严格保密，不得在超过项目成果使用范围以外使用或对外泄露。</w:t>
      </w:r>
    </w:p>
    <w:p w14:paraId="3D415FAB">
      <w:pPr>
        <w:spacing w:line="520" w:lineRule="exact"/>
        <w:ind w:firstLine="463" w:firstLineChars="192"/>
        <w:rPr>
          <w:rFonts w:ascii="宋体" w:hAnsi="宋体"/>
          <w:b/>
          <w:bCs/>
          <w:color w:val="000000"/>
          <w:sz w:val="24"/>
        </w:rPr>
      </w:pPr>
      <w:r>
        <w:rPr>
          <w:rFonts w:hint="eastAsia" w:ascii="宋体" w:hAnsi="宋体"/>
          <w:b/>
          <w:bCs/>
          <w:color w:val="000000"/>
          <w:sz w:val="24"/>
        </w:rPr>
        <w:t>6.3 秘密解除</w:t>
      </w:r>
    </w:p>
    <w:p w14:paraId="1DD2ECBF">
      <w:pPr>
        <w:spacing w:line="520" w:lineRule="exact"/>
        <w:ind w:firstLine="460" w:firstLineChars="192"/>
        <w:rPr>
          <w:rFonts w:ascii="宋体" w:hAnsi="宋体"/>
          <w:color w:val="000000"/>
          <w:sz w:val="24"/>
        </w:rPr>
      </w:pPr>
      <w:r>
        <w:rPr>
          <w:rFonts w:hint="eastAsia" w:ascii="宋体" w:hAnsi="宋体"/>
          <w:color w:val="000000"/>
          <w:sz w:val="24"/>
        </w:rPr>
        <w:t>项目结束，乙方向甲方提交正式成果后，以上保密内容解除。</w:t>
      </w:r>
    </w:p>
    <w:p w14:paraId="16ABE05D">
      <w:pPr>
        <w:spacing w:line="520" w:lineRule="exact"/>
        <w:ind w:firstLine="460" w:firstLineChars="192"/>
        <w:rPr>
          <w:rFonts w:ascii="宋体" w:hAnsi="宋体"/>
          <w:color w:val="000000"/>
          <w:sz w:val="24"/>
        </w:rPr>
      </w:pPr>
      <w:r>
        <w:rPr>
          <w:rFonts w:hint="eastAsia" w:ascii="宋体" w:hAnsi="宋体"/>
          <w:color w:val="000000"/>
          <w:sz w:val="24"/>
        </w:rPr>
        <w:t>6.4项目知识产权归属</w:t>
      </w:r>
    </w:p>
    <w:p w14:paraId="6DA51143">
      <w:pPr>
        <w:spacing w:line="520" w:lineRule="exact"/>
        <w:ind w:firstLine="460" w:firstLineChars="192"/>
        <w:rPr>
          <w:rFonts w:ascii="宋体" w:hAnsi="宋体"/>
          <w:color w:val="000000"/>
          <w:sz w:val="24"/>
        </w:rPr>
      </w:pPr>
      <w:r>
        <w:rPr>
          <w:rFonts w:hint="eastAsia" w:ascii="宋体" w:hAnsi="宋体"/>
          <w:color w:val="000000"/>
          <w:sz w:val="24"/>
        </w:rPr>
        <w:t>6.4.1 项目过程中及甲方未付完项目费用前，项目成果的知识产权全部归乙方所有；</w:t>
      </w:r>
    </w:p>
    <w:p w14:paraId="7355CFCF">
      <w:pPr>
        <w:spacing w:line="520" w:lineRule="exact"/>
        <w:ind w:firstLine="460" w:firstLineChars="192"/>
        <w:rPr>
          <w:rFonts w:ascii="宋体" w:hAnsi="宋体"/>
          <w:color w:val="000000"/>
          <w:sz w:val="24"/>
        </w:rPr>
      </w:pPr>
      <w:r>
        <w:rPr>
          <w:rFonts w:hint="eastAsia" w:ascii="宋体" w:hAnsi="宋体"/>
          <w:color w:val="000000"/>
          <w:sz w:val="24"/>
        </w:rPr>
        <w:t>6.4.2甲方付完全部项目费用后，乙方向甲方正式提交项目成果，项目知识产权随即归双方共同所有。</w:t>
      </w:r>
    </w:p>
    <w:p w14:paraId="32449530">
      <w:pPr>
        <w:spacing w:line="520" w:lineRule="exact"/>
        <w:ind w:firstLine="540" w:firstLineChars="192"/>
        <w:rPr>
          <w:rFonts w:ascii="宋体" w:hAnsi="宋体"/>
          <w:b/>
          <w:color w:val="000000"/>
          <w:sz w:val="28"/>
          <w:szCs w:val="28"/>
        </w:rPr>
      </w:pPr>
      <w:r>
        <w:rPr>
          <w:rFonts w:hint="eastAsia" w:ascii="宋体" w:hAnsi="宋体"/>
          <w:b/>
          <w:color w:val="000000"/>
          <w:sz w:val="28"/>
          <w:szCs w:val="28"/>
        </w:rPr>
        <w:t>第七条：项目费用、支付方式及账号信息</w:t>
      </w:r>
    </w:p>
    <w:p w14:paraId="00AD50F7">
      <w:pPr>
        <w:spacing w:line="520" w:lineRule="exact"/>
        <w:ind w:firstLine="463" w:firstLineChars="192"/>
        <w:rPr>
          <w:rFonts w:ascii="宋体" w:hAnsi="宋体"/>
          <w:b/>
          <w:bCs/>
          <w:color w:val="000000"/>
          <w:sz w:val="24"/>
        </w:rPr>
      </w:pPr>
      <w:r>
        <w:rPr>
          <w:rFonts w:hint="eastAsia" w:ascii="宋体" w:hAnsi="宋体"/>
          <w:b/>
          <w:bCs/>
          <w:color w:val="000000"/>
          <w:sz w:val="24"/>
        </w:rPr>
        <w:t>7.1 项目费用</w:t>
      </w:r>
    </w:p>
    <w:p w14:paraId="6EF4B118">
      <w:pPr>
        <w:spacing w:line="520" w:lineRule="exact"/>
        <w:ind w:firstLine="460" w:firstLineChars="192"/>
        <w:rPr>
          <w:rFonts w:ascii="宋体" w:hAnsi="宋体"/>
          <w:color w:val="000000"/>
          <w:sz w:val="24"/>
        </w:rPr>
      </w:pPr>
      <w:r>
        <w:rPr>
          <w:rFonts w:hint="eastAsia" w:ascii="宋体" w:hAnsi="宋体"/>
          <w:color w:val="000000"/>
          <w:sz w:val="24"/>
        </w:rPr>
        <w:t>本项目费用为人民币</w:t>
      </w:r>
      <w:r>
        <w:rPr>
          <w:rFonts w:hint="eastAsia" w:ascii="宋体" w:hAnsi="宋体"/>
          <w:color w:val="000000"/>
          <w:sz w:val="24"/>
          <w:u w:val="single"/>
        </w:rPr>
        <w:t xml:space="preserve">           </w:t>
      </w:r>
      <w:r>
        <w:rPr>
          <w:rFonts w:hint="eastAsia" w:ascii="宋体" w:hAnsi="宋体"/>
          <w:color w:val="000000"/>
          <w:sz w:val="24"/>
        </w:rPr>
        <w:t>元整,（大写）</w:t>
      </w:r>
      <w:r>
        <w:rPr>
          <w:rFonts w:hint="eastAsia" w:ascii="宋体" w:hAnsi="宋体"/>
          <w:color w:val="000000"/>
          <w:sz w:val="24"/>
          <w:u w:val="single"/>
        </w:rPr>
        <w:t xml:space="preserve">                  </w:t>
      </w:r>
      <w:r>
        <w:rPr>
          <w:rFonts w:hint="eastAsia" w:ascii="宋体" w:hAnsi="宋体"/>
          <w:color w:val="000000"/>
          <w:sz w:val="24"/>
        </w:rPr>
        <w:t>元整（含调研费、信息资料费、研究及规划设计费、交通费、食宿费、印制费），项目期间讨论及评审费用等除外。</w:t>
      </w:r>
    </w:p>
    <w:p w14:paraId="077DE91D">
      <w:pPr>
        <w:spacing w:line="520" w:lineRule="exact"/>
        <w:ind w:firstLine="460" w:firstLineChars="192"/>
        <w:rPr>
          <w:rFonts w:ascii="宋体" w:hAnsi="宋体"/>
          <w:color w:val="000000"/>
          <w:sz w:val="24"/>
          <w:u w:val="single"/>
        </w:rPr>
      </w:pPr>
      <w:r>
        <w:rPr>
          <w:rFonts w:hint="eastAsia" w:ascii="宋体" w:hAnsi="宋体"/>
          <w:color w:val="000000"/>
          <w:sz w:val="24"/>
        </w:rPr>
        <w:t>补充：</w:t>
      </w:r>
      <w:r>
        <w:rPr>
          <w:rFonts w:hint="eastAsia" w:ascii="宋体" w:hAnsi="宋体"/>
          <w:color w:val="000000"/>
          <w:sz w:val="24"/>
          <w:u w:val="single"/>
        </w:rPr>
        <w:t xml:space="preserve">                                                           </w:t>
      </w:r>
    </w:p>
    <w:p w14:paraId="448E0024">
      <w:pPr>
        <w:spacing w:line="520" w:lineRule="exact"/>
        <w:ind w:firstLine="463" w:firstLineChars="192"/>
        <w:rPr>
          <w:rFonts w:ascii="宋体" w:hAnsi="宋体"/>
          <w:b/>
          <w:bCs/>
          <w:color w:val="000000"/>
          <w:sz w:val="24"/>
        </w:rPr>
      </w:pPr>
      <w:r>
        <w:rPr>
          <w:rFonts w:hint="eastAsia" w:ascii="宋体" w:hAnsi="宋体"/>
          <w:b/>
          <w:bCs/>
          <w:color w:val="000000"/>
          <w:sz w:val="24"/>
        </w:rPr>
        <w:t>7.2 支付方式</w:t>
      </w:r>
    </w:p>
    <w:p w14:paraId="086AF95E">
      <w:pPr>
        <w:spacing w:line="520" w:lineRule="exact"/>
        <w:ind w:firstLine="460" w:firstLineChars="192"/>
        <w:jc w:val="left"/>
        <w:rPr>
          <w:rFonts w:hint="eastAsia" w:ascii="宋体" w:hAnsi="宋体" w:eastAsia="宋体"/>
          <w:color w:val="000000"/>
          <w:sz w:val="24"/>
        </w:rPr>
      </w:pPr>
      <w:r>
        <w:rPr>
          <w:rFonts w:hint="eastAsia" w:ascii="宋体" w:hAnsi="宋体" w:eastAsia="宋体" w:cs="Times New Roman"/>
          <w:b w:val="0"/>
          <w:bCs w:val="0"/>
          <w:color w:val="000000"/>
          <w:sz w:val="24"/>
          <w:szCs w:val="20"/>
          <w:lang w:val="en-US" w:eastAsia="zh-CN"/>
        </w:rPr>
        <w:t>本项目无预付款，成交供应商完成本合同约定全部内容，且服务内容经采购人验收合格后一次性向成交供应商支付合同金额的100%。</w:t>
      </w:r>
    </w:p>
    <w:p w14:paraId="64DE93F5">
      <w:pPr>
        <w:spacing w:line="520" w:lineRule="exact"/>
        <w:ind w:firstLine="460" w:firstLineChars="192"/>
        <w:jc w:val="left"/>
        <w:rPr>
          <w:rFonts w:ascii="宋体" w:hAnsi="宋体"/>
          <w:color w:val="000000"/>
          <w:sz w:val="24"/>
          <w:u w:val="single"/>
        </w:rPr>
      </w:pPr>
      <w:r>
        <w:rPr>
          <w:rFonts w:hint="eastAsia" w:ascii="宋体" w:hAnsi="宋体"/>
          <w:color w:val="000000"/>
          <w:sz w:val="24"/>
        </w:rPr>
        <w:t>补充:</w:t>
      </w:r>
      <w:r>
        <w:rPr>
          <w:rFonts w:hint="eastAsia" w:ascii="宋体" w:hAnsi="宋体"/>
          <w:color w:val="000000"/>
          <w:sz w:val="24"/>
          <w:u w:val="single"/>
        </w:rPr>
        <w:t xml:space="preserve">                                                                  </w:t>
      </w:r>
    </w:p>
    <w:p w14:paraId="6E68C247">
      <w:pPr>
        <w:spacing w:line="520" w:lineRule="exact"/>
        <w:ind w:firstLine="482" w:firstLineChars="200"/>
        <w:rPr>
          <w:rFonts w:ascii="宋体" w:hAnsi="宋体"/>
          <w:b/>
          <w:bCs/>
          <w:sz w:val="24"/>
        </w:rPr>
      </w:pPr>
      <w:r>
        <w:rPr>
          <w:rFonts w:hint="eastAsia" w:ascii="宋体" w:hAnsi="宋体"/>
          <w:b/>
          <w:bCs/>
          <w:color w:val="000000"/>
          <w:sz w:val="24"/>
        </w:rPr>
        <w:t>7.3</w:t>
      </w:r>
      <w:r>
        <w:rPr>
          <w:rFonts w:hint="eastAsia" w:ascii="宋体" w:hAnsi="宋体"/>
          <w:b/>
          <w:bCs/>
          <w:sz w:val="24"/>
        </w:rPr>
        <w:t>乙方开户银行信息如下(公对公)：</w:t>
      </w:r>
    </w:p>
    <w:p w14:paraId="414E3935">
      <w:pPr>
        <w:pStyle w:val="28"/>
        <w:spacing w:line="520" w:lineRule="exact"/>
        <w:ind w:firstLine="480" w:firstLineChars="200"/>
        <w:rPr>
          <w:rFonts w:hint="default" w:ascii="宋体" w:hAnsi="宋体" w:eastAsia="宋体"/>
          <w:kern w:val="2"/>
          <w:sz w:val="24"/>
          <w:szCs w:val="24"/>
          <w:lang w:val="en-US" w:eastAsia="zh-CN"/>
        </w:rPr>
      </w:pPr>
      <w:r>
        <w:rPr>
          <w:rFonts w:hint="eastAsia" w:ascii="宋体" w:hAnsi="宋体"/>
          <w:kern w:val="2"/>
          <w:sz w:val="24"/>
          <w:szCs w:val="24"/>
        </w:rPr>
        <w:t xml:space="preserve">        开户银行：</w:t>
      </w:r>
      <w:r>
        <w:rPr>
          <w:rFonts w:hint="eastAsia" w:ascii="宋体" w:hAnsi="宋体"/>
          <w:kern w:val="2"/>
          <w:sz w:val="24"/>
          <w:szCs w:val="24"/>
          <w:u w:val="single"/>
        </w:rPr>
        <w:t xml:space="preserve">   </w:t>
      </w:r>
      <w:r>
        <w:rPr>
          <w:rFonts w:hint="eastAsia" w:ascii="宋体" w:hAnsi="宋体"/>
          <w:kern w:val="2"/>
          <w:sz w:val="24"/>
          <w:szCs w:val="24"/>
          <w:u w:val="single"/>
          <w:lang w:val="en-US" w:eastAsia="zh-CN"/>
        </w:rPr>
        <w:t xml:space="preserve">            </w:t>
      </w:r>
    </w:p>
    <w:p w14:paraId="7D83FF68">
      <w:pPr>
        <w:spacing w:line="520" w:lineRule="exact"/>
        <w:ind w:firstLine="480" w:firstLineChars="200"/>
        <w:rPr>
          <w:rFonts w:hint="default" w:ascii="宋体" w:hAnsi="宋体" w:eastAsia="宋体"/>
          <w:sz w:val="24"/>
          <w:lang w:val="en-US" w:eastAsia="zh-CN"/>
        </w:rPr>
      </w:pPr>
      <w:r>
        <w:rPr>
          <w:rFonts w:hint="eastAsia" w:ascii="宋体" w:hAnsi="宋体"/>
          <w:sz w:val="24"/>
        </w:rPr>
        <w:t xml:space="preserve">        账 户 名：</w:t>
      </w:r>
      <w:r>
        <w:rPr>
          <w:rFonts w:hint="eastAsia" w:ascii="宋体" w:hAnsi="宋体"/>
          <w:sz w:val="24"/>
          <w:u w:val="single"/>
        </w:rPr>
        <w:t xml:space="preserve"> </w:t>
      </w:r>
      <w:r>
        <w:rPr>
          <w:rFonts w:hint="eastAsia" w:ascii="宋体" w:hAnsi="宋体"/>
          <w:sz w:val="24"/>
          <w:u w:val="single"/>
          <w:lang w:val="en-US" w:eastAsia="zh-CN"/>
        </w:rPr>
        <w:t xml:space="preserve">              </w:t>
      </w:r>
    </w:p>
    <w:p w14:paraId="6811A807">
      <w:pPr>
        <w:spacing w:line="520" w:lineRule="exact"/>
        <w:ind w:firstLine="480" w:firstLineChars="200"/>
        <w:rPr>
          <w:rFonts w:ascii="宋体" w:hAnsi="宋体"/>
          <w:sz w:val="24"/>
          <w:u w:val="single"/>
        </w:rPr>
      </w:pPr>
      <w:r>
        <w:rPr>
          <w:rFonts w:hint="eastAsia" w:ascii="宋体" w:hAnsi="宋体"/>
          <w:sz w:val="24"/>
        </w:rPr>
        <w:t xml:space="preserve">        账    号：</w:t>
      </w:r>
      <w:r>
        <w:rPr>
          <w:rFonts w:hint="eastAsia" w:ascii="宋体" w:hAnsi="宋体"/>
          <w:sz w:val="24"/>
          <w:u w:val="single"/>
        </w:rPr>
        <w:t xml:space="preserve">                </w:t>
      </w:r>
    </w:p>
    <w:p w14:paraId="18339C8E">
      <w:pPr>
        <w:spacing w:line="520" w:lineRule="exact"/>
        <w:ind w:firstLine="540" w:firstLineChars="192"/>
        <w:rPr>
          <w:rFonts w:ascii="宋体" w:hAnsi="宋体"/>
          <w:b/>
          <w:color w:val="000000"/>
          <w:sz w:val="28"/>
          <w:szCs w:val="28"/>
        </w:rPr>
      </w:pPr>
      <w:r>
        <w:rPr>
          <w:rFonts w:hint="eastAsia" w:ascii="宋体" w:hAnsi="宋体"/>
          <w:b/>
          <w:color w:val="000000"/>
          <w:sz w:val="28"/>
          <w:szCs w:val="28"/>
        </w:rPr>
        <w:t>第八条：其他事项</w:t>
      </w:r>
    </w:p>
    <w:p w14:paraId="68CD0C94">
      <w:pPr>
        <w:spacing w:line="520" w:lineRule="exact"/>
        <w:ind w:firstLine="460" w:firstLineChars="192"/>
        <w:rPr>
          <w:rFonts w:ascii="宋体" w:hAnsi="宋体"/>
          <w:color w:val="000000"/>
          <w:sz w:val="24"/>
        </w:rPr>
      </w:pPr>
      <w:r>
        <w:rPr>
          <w:rFonts w:hint="eastAsia" w:ascii="宋体" w:hAnsi="宋体"/>
          <w:color w:val="000000"/>
          <w:sz w:val="24"/>
        </w:rPr>
        <w:t>8.1 双方因履行本合同而发生的争议，应按照以上争议解决条款协商解决。协商不成的，可提交西安市仲裁委员会仲裁或依法向乙方所在地人民法院起诉。</w:t>
      </w:r>
    </w:p>
    <w:p w14:paraId="0C4F7576">
      <w:pPr>
        <w:spacing w:line="520" w:lineRule="exact"/>
        <w:ind w:firstLine="460" w:firstLineChars="192"/>
        <w:rPr>
          <w:rFonts w:ascii="宋体" w:hAnsi="宋体"/>
          <w:color w:val="000000"/>
          <w:sz w:val="24"/>
        </w:rPr>
      </w:pPr>
      <w:r>
        <w:rPr>
          <w:rFonts w:hint="eastAsia" w:ascii="宋体" w:hAnsi="宋体"/>
          <w:color w:val="000000"/>
          <w:sz w:val="24"/>
        </w:rPr>
        <w:t>8.2项目正式结束，甲方向乙方支付完全部项目费用及乙方向甲方提交全部成果后，本合同即行终止，若项目未结束，合同终止期限顺延。</w:t>
      </w:r>
    </w:p>
    <w:p w14:paraId="500747A7">
      <w:pPr>
        <w:spacing w:line="520" w:lineRule="exact"/>
        <w:ind w:firstLine="460" w:firstLineChars="192"/>
        <w:rPr>
          <w:rFonts w:ascii="宋体" w:hAnsi="宋体"/>
          <w:color w:val="000000"/>
          <w:sz w:val="24"/>
        </w:rPr>
      </w:pPr>
      <w:r>
        <w:rPr>
          <w:rFonts w:hint="eastAsia" w:ascii="宋体" w:hAnsi="宋体"/>
          <w:color w:val="000000"/>
          <w:sz w:val="24"/>
        </w:rPr>
        <w:t>8.3由于不可抗力因素致使合同无法履行时，双方应及时协商解决终止合同。</w:t>
      </w:r>
    </w:p>
    <w:p w14:paraId="3C8C1F5D">
      <w:pPr>
        <w:spacing w:line="520" w:lineRule="exact"/>
        <w:ind w:firstLine="460" w:firstLineChars="192"/>
        <w:rPr>
          <w:rFonts w:hint="eastAsia" w:ascii="宋体" w:hAnsi="宋体"/>
          <w:color w:val="000000"/>
          <w:sz w:val="24"/>
        </w:rPr>
        <w:sectPr>
          <w:footerReference r:id="rId7" w:type="first"/>
          <w:headerReference r:id="rId4" w:type="default"/>
          <w:footerReference r:id="rId5" w:type="default"/>
          <w:footerReference r:id="rId6" w:type="even"/>
          <w:pgSz w:w="11906" w:h="16838"/>
          <w:pgMar w:top="1440" w:right="1134" w:bottom="1440" w:left="1134" w:header="851" w:footer="992" w:gutter="0"/>
          <w:pgNumType w:fmt="decimal" w:start="1"/>
          <w:cols w:space="720" w:num="1"/>
          <w:titlePg/>
          <w:docGrid w:type="lines" w:linePitch="312" w:charSpace="0"/>
        </w:sectPr>
      </w:pPr>
      <w:r>
        <w:rPr>
          <w:rFonts w:hint="eastAsia" w:ascii="宋体" w:hAnsi="宋体"/>
          <w:color w:val="000000"/>
          <w:sz w:val="24"/>
        </w:rPr>
        <w:t>8.4双方认可的来往函文、传真、电报、会议纪要等，均为合同的组成部分，与本合同具有同等法律效力。</w:t>
      </w:r>
    </w:p>
    <w:p w14:paraId="63F82F5E">
      <w:pPr>
        <w:spacing w:line="560" w:lineRule="exact"/>
        <w:rPr>
          <w:rFonts w:hint="eastAsia" w:ascii="宋体" w:hAnsi="宋体"/>
          <w:color w:val="000000"/>
          <w:sz w:val="28"/>
          <w:szCs w:val="28"/>
        </w:rPr>
      </w:pPr>
    </w:p>
    <w:p w14:paraId="6E788C8C">
      <w:pPr>
        <w:spacing w:line="560" w:lineRule="exact"/>
        <w:rPr>
          <w:rFonts w:ascii="宋体" w:hAnsi="宋体"/>
          <w:color w:val="000000"/>
          <w:sz w:val="28"/>
          <w:szCs w:val="28"/>
        </w:rPr>
      </w:pPr>
      <w:r>
        <w:rPr>
          <w:rFonts w:hint="eastAsia" w:ascii="宋体" w:hAnsi="宋体"/>
          <w:color w:val="000000"/>
          <w:sz w:val="28"/>
          <w:szCs w:val="28"/>
        </w:rPr>
        <w:t>合同签署页（本页无正文）</w:t>
      </w:r>
    </w:p>
    <w:p w14:paraId="2A10ECEE">
      <w:pPr>
        <w:spacing w:line="560" w:lineRule="exact"/>
        <w:ind w:firstLine="350" w:firstLineChars="146"/>
        <w:rPr>
          <w:rFonts w:ascii="宋体" w:hAnsi="宋体"/>
          <w:color w:val="000000"/>
          <w:sz w:val="24"/>
        </w:rPr>
      </w:pPr>
    </w:p>
    <w:p w14:paraId="7F9602B7">
      <w:pPr>
        <w:pStyle w:val="28"/>
        <w:adjustRightInd w:val="0"/>
        <w:snapToGrid w:val="0"/>
        <w:spacing w:line="720" w:lineRule="exact"/>
        <w:ind w:left="5740" w:hanging="5740" w:hangingChars="2050"/>
        <w:rPr>
          <w:rFonts w:ascii="新宋体" w:hAnsi="新宋体" w:eastAsia="新宋体"/>
          <w:sz w:val="28"/>
          <w:szCs w:val="28"/>
        </w:rPr>
      </w:pPr>
      <w:r>
        <w:rPr>
          <w:rFonts w:hint="eastAsia" w:ascii="新宋体" w:hAnsi="新宋体" w:eastAsia="新宋体"/>
          <w:sz w:val="28"/>
          <w:szCs w:val="28"/>
        </w:rPr>
        <w:t>甲方（盖章）：                      乙方（盖章）：</w:t>
      </w:r>
    </w:p>
    <w:p w14:paraId="10ACE2C2">
      <w:pPr>
        <w:pStyle w:val="28"/>
        <w:adjustRightInd w:val="0"/>
        <w:snapToGrid w:val="0"/>
        <w:spacing w:line="720" w:lineRule="exact"/>
        <w:ind w:left="5040" w:hanging="5040" w:hangingChars="1800"/>
        <w:rPr>
          <w:rFonts w:ascii="新宋体" w:hAnsi="新宋体" w:eastAsia="新宋体"/>
          <w:sz w:val="28"/>
          <w:szCs w:val="28"/>
        </w:rPr>
      </w:pPr>
      <w:r>
        <w:rPr>
          <w:rFonts w:hint="eastAsia" w:ascii="新宋体" w:hAnsi="新宋体" w:eastAsia="新宋体"/>
          <w:sz w:val="28"/>
          <w:szCs w:val="28"/>
        </w:rPr>
        <w:t xml:space="preserve">                                        </w:t>
      </w:r>
    </w:p>
    <w:p w14:paraId="358F0619">
      <w:pPr>
        <w:pStyle w:val="28"/>
        <w:adjustRightInd w:val="0"/>
        <w:snapToGrid w:val="0"/>
        <w:spacing w:before="312" w:beforeLines="100" w:after="312" w:afterLines="100" w:line="800" w:lineRule="exact"/>
        <w:jc w:val="left"/>
        <w:rPr>
          <w:rFonts w:ascii="新宋体" w:hAnsi="新宋体" w:eastAsia="新宋体"/>
          <w:sz w:val="28"/>
          <w:szCs w:val="28"/>
        </w:rPr>
      </w:pPr>
    </w:p>
    <w:p w14:paraId="7F7FB189">
      <w:pPr>
        <w:pStyle w:val="28"/>
        <w:adjustRightInd w:val="0"/>
        <w:snapToGrid w:val="0"/>
        <w:spacing w:before="312" w:beforeLines="100" w:after="312" w:afterLines="100" w:line="800" w:lineRule="exact"/>
        <w:jc w:val="left"/>
        <w:rPr>
          <w:rFonts w:ascii="新宋体" w:hAnsi="新宋体" w:eastAsia="新宋体"/>
          <w:sz w:val="28"/>
          <w:szCs w:val="28"/>
        </w:rPr>
      </w:pPr>
      <w:r>
        <w:rPr>
          <w:rFonts w:hint="eastAsia" w:ascii="新宋体" w:hAnsi="新宋体" w:eastAsia="新宋体"/>
          <w:sz w:val="28"/>
          <w:szCs w:val="28"/>
        </w:rPr>
        <w:t>法人代表：                          法人代表：</w:t>
      </w:r>
    </w:p>
    <w:p w14:paraId="0F52005F">
      <w:pPr>
        <w:pStyle w:val="28"/>
        <w:adjustRightInd w:val="0"/>
        <w:snapToGrid w:val="0"/>
        <w:spacing w:before="312" w:beforeLines="100" w:after="312" w:afterLines="100" w:line="800" w:lineRule="exact"/>
        <w:jc w:val="left"/>
        <w:rPr>
          <w:rFonts w:ascii="新宋体" w:hAnsi="新宋体" w:eastAsia="新宋体"/>
          <w:sz w:val="28"/>
          <w:szCs w:val="28"/>
        </w:rPr>
      </w:pPr>
    </w:p>
    <w:p w14:paraId="2E65BAB3">
      <w:pPr>
        <w:pStyle w:val="28"/>
        <w:adjustRightInd w:val="0"/>
        <w:snapToGrid w:val="0"/>
        <w:spacing w:before="312" w:beforeLines="100" w:after="312" w:afterLines="100" w:line="800" w:lineRule="exact"/>
        <w:jc w:val="left"/>
        <w:rPr>
          <w:rFonts w:ascii="新宋体" w:hAnsi="新宋体" w:eastAsia="新宋体"/>
          <w:sz w:val="28"/>
          <w:szCs w:val="28"/>
        </w:rPr>
      </w:pPr>
      <w:r>
        <w:rPr>
          <w:rFonts w:hint="eastAsia" w:ascii="新宋体" w:hAnsi="新宋体" w:eastAsia="新宋体"/>
          <w:sz w:val="28"/>
          <w:szCs w:val="28"/>
        </w:rPr>
        <w:t>委托人  ：                          委托人  ：</w:t>
      </w:r>
    </w:p>
    <w:p w14:paraId="77F428C8">
      <w:pPr>
        <w:pStyle w:val="28"/>
        <w:adjustRightInd w:val="0"/>
        <w:snapToGrid w:val="0"/>
        <w:spacing w:before="936" w:beforeLines="300" w:after="312" w:afterLines="100"/>
        <w:ind w:firstLine="560" w:firstLineChars="200"/>
        <w:jc w:val="left"/>
        <w:rPr>
          <w:rFonts w:ascii="新宋体" w:hAnsi="新宋体" w:eastAsia="新宋体"/>
        </w:rPr>
      </w:pPr>
      <w:r>
        <w:rPr>
          <w:rFonts w:hint="eastAsia" w:ascii="新宋体" w:hAnsi="新宋体" w:eastAsia="新宋体"/>
          <w:sz w:val="28"/>
          <w:szCs w:val="28"/>
        </w:rPr>
        <w:t>年    月    日                 年    月    日</w:t>
      </w:r>
    </w:p>
    <w:p w14:paraId="2742CCF4">
      <w:pPr>
        <w:pStyle w:val="11"/>
      </w:pPr>
    </w:p>
    <w:p w14:paraId="59F5FC20">
      <w:pPr>
        <w:rPr>
          <w:rFonts w:ascii="宋体" w:hAnsi="宋体" w:cs="宋体"/>
          <w:b/>
          <w:color w:val="000000" w:themeColor="text1"/>
          <w:spacing w:val="26"/>
          <w:sz w:val="28"/>
          <w:highlight w:val="none"/>
          <w14:textFill>
            <w14:solidFill>
              <w14:schemeClr w14:val="tx1"/>
            </w14:solidFill>
          </w14:textFill>
        </w:rPr>
      </w:pPr>
    </w:p>
    <w:p w14:paraId="12A28BA3">
      <w:pPr>
        <w:rPr>
          <w:rFonts w:ascii="宋体" w:hAnsi="宋体" w:cs="宋体"/>
          <w:color w:val="000000" w:themeColor="text1"/>
          <w:sz w:val="32"/>
          <w:szCs w:val="32"/>
          <w:highlight w:val="none"/>
          <w14:textFill>
            <w14:solidFill>
              <w14:schemeClr w14:val="tx1"/>
            </w14:solidFill>
          </w14:textFill>
        </w:rPr>
      </w:pPr>
    </w:p>
    <w:p w14:paraId="3358D2BB">
      <w:pPr>
        <w:rPr>
          <w:rFonts w:hint="eastAsia" w:ascii="宋体" w:hAnsi="宋体" w:eastAsia="宋体" w:cs="宋体"/>
          <w:b/>
          <w:bCs/>
          <w:color w:val="000000" w:themeColor="text1"/>
          <w:sz w:val="32"/>
          <w:szCs w:val="32"/>
          <w:highlight w:val="none"/>
          <w:lang w:val="zh-CN"/>
          <w14:textFill>
            <w14:solidFill>
              <w14:schemeClr w14:val="tx1"/>
            </w14:solidFill>
          </w14:textFill>
        </w:rPr>
      </w:pPr>
      <w:bookmarkStart w:id="48" w:name="_Toc25337"/>
      <w:bookmarkStart w:id="49" w:name="_Toc24193"/>
      <w:r>
        <w:rPr>
          <w:rFonts w:hint="eastAsia" w:ascii="宋体" w:hAnsi="宋体" w:eastAsia="宋体" w:cs="宋体"/>
          <w:b/>
          <w:bCs/>
          <w:color w:val="000000" w:themeColor="text1"/>
          <w:sz w:val="32"/>
          <w:szCs w:val="32"/>
          <w:highlight w:val="none"/>
          <w:lang w:val="zh-CN"/>
          <w14:textFill>
            <w14:solidFill>
              <w14:schemeClr w14:val="tx1"/>
            </w14:solidFill>
          </w14:textFill>
        </w:rPr>
        <w:br w:type="page"/>
      </w:r>
    </w:p>
    <w:p w14:paraId="619C5F88">
      <w:pPr>
        <w:pStyle w:val="2"/>
        <w:rPr>
          <w:rFonts w:ascii="宋体" w:hAnsi="宋体" w:eastAsia="宋体" w:cs="宋体"/>
          <w:b/>
          <w:bCs/>
          <w:color w:val="000000" w:themeColor="text1"/>
          <w:sz w:val="32"/>
          <w:szCs w:val="32"/>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zh-CN"/>
          <w14:textFill>
            <w14:solidFill>
              <w14:schemeClr w14:val="tx1"/>
            </w14:solidFill>
          </w14:textFill>
        </w:rPr>
        <w:t>第</w:t>
      </w:r>
      <w:r>
        <w:rPr>
          <w:rFonts w:hint="eastAsia" w:ascii="宋体" w:hAnsi="宋体" w:eastAsia="宋体" w:cs="宋体"/>
          <w:b/>
          <w:bCs/>
          <w:color w:val="000000" w:themeColor="text1"/>
          <w:sz w:val="32"/>
          <w:szCs w:val="32"/>
          <w:highlight w:val="none"/>
          <w14:textFill>
            <w14:solidFill>
              <w14:schemeClr w14:val="tx1"/>
            </w14:solidFill>
          </w14:textFill>
        </w:rPr>
        <w:t>六章</w:t>
      </w:r>
      <w:r>
        <w:rPr>
          <w:rFonts w:hint="eastAsia" w:ascii="宋体" w:hAnsi="宋体" w:eastAsia="宋体" w:cs="宋体"/>
          <w:b/>
          <w:bCs/>
          <w:color w:val="000000" w:themeColor="text1"/>
          <w:sz w:val="32"/>
          <w:szCs w:val="32"/>
          <w:highlight w:val="none"/>
          <w:lang w:val="zh-CN"/>
          <w14:textFill>
            <w14:solidFill>
              <w14:schemeClr w14:val="tx1"/>
            </w14:solidFill>
          </w14:textFill>
        </w:rPr>
        <w:t xml:space="preserve"> 竞争性磋商响应文件格式</w:t>
      </w:r>
      <w:bookmarkEnd w:id="46"/>
      <w:bookmarkEnd w:id="47"/>
      <w:bookmarkEnd w:id="48"/>
      <w:bookmarkEnd w:id="49"/>
    </w:p>
    <w:p w14:paraId="6B821556">
      <w:pPr>
        <w:autoSpaceDE w:val="0"/>
        <w:autoSpaceDN w:val="0"/>
        <w:adjustRightInd w:val="0"/>
        <w:snapToGrid w:val="0"/>
        <w:spacing w:line="360" w:lineRule="auto"/>
        <w:jc w:val="right"/>
        <w:rPr>
          <w:rFonts w:ascii="宋体" w:hAnsi="宋体" w:cs="宋体"/>
          <w:b/>
          <w:bCs/>
          <w:color w:val="000000" w:themeColor="text1"/>
          <w:sz w:val="32"/>
          <w:szCs w:val="32"/>
          <w:highlight w:val="none"/>
          <w:lang w:val="zh-CN"/>
          <w14:textFill>
            <w14:solidFill>
              <w14:schemeClr w14:val="tx1"/>
            </w14:solidFill>
          </w14:textFill>
        </w:rPr>
      </w:pPr>
    </w:p>
    <w:p w14:paraId="07F98891">
      <w:pPr>
        <w:autoSpaceDE w:val="0"/>
        <w:autoSpaceDN w:val="0"/>
        <w:adjustRightInd w:val="0"/>
        <w:snapToGrid w:val="0"/>
        <w:spacing w:line="360" w:lineRule="auto"/>
        <w:jc w:val="right"/>
        <w:rPr>
          <w:rFonts w:ascii="宋体" w:hAnsi="宋体" w:cs="宋体"/>
          <w:b/>
          <w:bCs/>
          <w:color w:val="000000" w:themeColor="text1"/>
          <w:sz w:val="32"/>
          <w:szCs w:val="32"/>
          <w:highlight w:val="none"/>
          <w:lang w:val="zh-CN"/>
          <w14:textFill>
            <w14:solidFill>
              <w14:schemeClr w14:val="tx1"/>
            </w14:solidFill>
          </w14:textFill>
        </w:rPr>
      </w:pPr>
      <w:bookmarkStart w:id="50" w:name="_Toc20183"/>
      <w:r>
        <w:rPr>
          <w:rFonts w:hint="eastAsia" w:ascii="宋体" w:hAnsi="宋体" w:cs="宋体"/>
          <w:b/>
          <w:bCs/>
          <w:color w:val="000000" w:themeColor="text1"/>
          <w:sz w:val="32"/>
          <w:szCs w:val="32"/>
          <w:highlight w:val="none"/>
          <w:lang w:val="zh-CN"/>
          <w14:textFill>
            <w14:solidFill>
              <w14:schemeClr w14:val="tx1"/>
            </w14:solidFill>
          </w14:textFill>
        </w:rPr>
        <w:t>正本/副本</w:t>
      </w:r>
      <w:bookmarkEnd w:id="50"/>
    </w:p>
    <w:p w14:paraId="5EBD2CBB">
      <w:pPr>
        <w:autoSpaceDE w:val="0"/>
        <w:autoSpaceDN w:val="0"/>
        <w:adjustRightInd w:val="0"/>
        <w:snapToGrid w:val="0"/>
        <w:spacing w:line="360" w:lineRule="auto"/>
        <w:jc w:val="left"/>
        <w:rPr>
          <w:rFonts w:ascii="宋体" w:hAnsi="宋体" w:cs="宋体"/>
          <w:b/>
          <w:bCs/>
          <w:color w:val="000000" w:themeColor="text1"/>
          <w:sz w:val="32"/>
          <w:szCs w:val="32"/>
          <w:highlight w:val="none"/>
          <w:lang w:val="zh-CN"/>
          <w14:textFill>
            <w14:solidFill>
              <w14:schemeClr w14:val="tx1"/>
            </w14:solidFill>
          </w14:textFill>
        </w:rPr>
      </w:pPr>
    </w:p>
    <w:p w14:paraId="1A1D7476">
      <w:pPr>
        <w:autoSpaceDE w:val="0"/>
        <w:autoSpaceDN w:val="0"/>
        <w:adjustRightInd w:val="0"/>
        <w:snapToGrid w:val="0"/>
        <w:spacing w:line="360" w:lineRule="auto"/>
        <w:jc w:val="left"/>
        <w:rPr>
          <w:rFonts w:ascii="宋体" w:hAnsi="宋体" w:cs="宋体"/>
          <w:b/>
          <w:bCs/>
          <w:color w:val="000000" w:themeColor="text1"/>
          <w:sz w:val="32"/>
          <w:szCs w:val="32"/>
          <w:highlight w:val="none"/>
          <w:lang w:val="zh-CN"/>
          <w14:textFill>
            <w14:solidFill>
              <w14:schemeClr w14:val="tx1"/>
            </w14:solidFill>
          </w14:textFill>
        </w:rPr>
      </w:pPr>
      <w:bookmarkStart w:id="51" w:name="_Toc8495"/>
      <w:r>
        <w:rPr>
          <w:rFonts w:hint="eastAsia" w:ascii="宋体" w:hAnsi="宋体" w:cs="宋体"/>
          <w:b/>
          <w:bCs/>
          <w:color w:val="000000" w:themeColor="text1"/>
          <w:sz w:val="32"/>
          <w:szCs w:val="32"/>
          <w:highlight w:val="none"/>
          <w:lang w:val="zh-CN"/>
          <w14:textFill>
            <w14:solidFill>
              <w14:schemeClr w14:val="tx1"/>
            </w14:solidFill>
          </w14:textFill>
        </w:rPr>
        <w:t>政府采购项目</w:t>
      </w:r>
      <w:bookmarkEnd w:id="51"/>
    </w:p>
    <w:p w14:paraId="68820BB7">
      <w:pPr>
        <w:pStyle w:val="16"/>
        <w:widowControl/>
        <w:spacing w:line="450" w:lineRule="atLeast"/>
        <w:rPr>
          <w:rFonts w:hint="eastAsia" w:ascii="宋体" w:hAnsi="宋体" w:eastAsia="宋体" w:cs="宋体"/>
          <w:b/>
          <w:bCs/>
          <w:color w:val="000000" w:themeColor="text1"/>
          <w:sz w:val="30"/>
          <w:szCs w:val="30"/>
          <w:highlight w:val="none"/>
          <w:lang w:eastAsia="zh-CN"/>
          <w14:textFill>
            <w14:solidFill>
              <w14:schemeClr w14:val="tx1"/>
            </w14:solidFill>
          </w14:textFill>
        </w:rPr>
      </w:pPr>
      <w:bookmarkStart w:id="52" w:name="_Toc15040"/>
      <w:r>
        <w:rPr>
          <w:rFonts w:hint="eastAsia" w:ascii="宋体" w:hAnsi="宋体" w:cs="宋体"/>
          <w:b/>
          <w:bCs/>
          <w:color w:val="000000" w:themeColor="text1"/>
          <w:sz w:val="32"/>
          <w:szCs w:val="32"/>
          <w:highlight w:val="none"/>
          <w:lang w:val="zh-CN"/>
          <w14:textFill>
            <w14:solidFill>
              <w14:schemeClr w14:val="tx1"/>
            </w14:solidFill>
          </w14:textFill>
        </w:rPr>
        <w:t>采购项目编号：</w:t>
      </w:r>
      <w:bookmarkEnd w:id="52"/>
      <w:r>
        <w:rPr>
          <w:rFonts w:hint="eastAsia" w:ascii="宋体" w:hAnsi="宋体" w:cs="宋体"/>
          <w:b/>
          <w:bCs/>
          <w:color w:val="000000" w:themeColor="text1"/>
          <w:sz w:val="30"/>
          <w:szCs w:val="30"/>
          <w:highlight w:val="none"/>
          <w:lang w:eastAsia="zh-CN"/>
          <w14:textFill>
            <w14:solidFill>
              <w14:schemeClr w14:val="tx1"/>
            </w14:solidFill>
          </w14:textFill>
        </w:rPr>
        <w:t>ZC2026-FW-033</w:t>
      </w:r>
    </w:p>
    <w:p w14:paraId="62A60FC4">
      <w:pPr>
        <w:pStyle w:val="16"/>
        <w:widowControl/>
        <w:spacing w:line="450" w:lineRule="atLeast"/>
        <w:rPr>
          <w:rFonts w:ascii="宋体" w:hAnsi="宋体" w:cs="宋体"/>
          <w:b/>
          <w:bCs/>
          <w:color w:val="000000" w:themeColor="text1"/>
          <w:sz w:val="30"/>
          <w:szCs w:val="30"/>
          <w:highlight w:val="none"/>
          <w14:textFill>
            <w14:solidFill>
              <w14:schemeClr w14:val="tx1"/>
            </w14:solidFill>
          </w14:textFill>
        </w:rPr>
      </w:pPr>
    </w:p>
    <w:p w14:paraId="74DFA6AD">
      <w:pPr>
        <w:tabs>
          <w:tab w:val="left" w:pos="5670"/>
        </w:tabs>
        <w:autoSpaceDE w:val="0"/>
        <w:autoSpaceDN w:val="0"/>
        <w:adjustRightInd w:val="0"/>
        <w:snapToGrid w:val="0"/>
        <w:spacing w:line="360" w:lineRule="auto"/>
        <w:jc w:val="center"/>
        <w:rPr>
          <w:rFonts w:ascii="宋体" w:hAnsi="宋体" w:cs="宋体"/>
          <w:color w:val="000000" w:themeColor="text1"/>
          <w:sz w:val="19"/>
          <w:szCs w:val="19"/>
          <w:highlight w:val="none"/>
          <w14:textFill>
            <w14:solidFill>
              <w14:schemeClr w14:val="tx1"/>
            </w14:solidFill>
          </w14:textFill>
        </w:rPr>
      </w:pPr>
    </w:p>
    <w:p w14:paraId="62F97F47">
      <w:pPr>
        <w:tabs>
          <w:tab w:val="left" w:pos="5670"/>
        </w:tabs>
        <w:autoSpaceDE w:val="0"/>
        <w:autoSpaceDN w:val="0"/>
        <w:adjustRightInd w:val="0"/>
        <w:snapToGrid w:val="0"/>
        <w:spacing w:line="360" w:lineRule="auto"/>
        <w:jc w:val="center"/>
        <w:rPr>
          <w:rFonts w:ascii="宋体" w:hAnsi="宋体" w:cs="宋体"/>
          <w:color w:val="000000" w:themeColor="text1"/>
          <w:sz w:val="19"/>
          <w:szCs w:val="19"/>
          <w:highlight w:val="none"/>
          <w14:textFill>
            <w14:solidFill>
              <w14:schemeClr w14:val="tx1"/>
            </w14:solidFill>
          </w14:textFill>
        </w:rPr>
      </w:pPr>
    </w:p>
    <w:p w14:paraId="4E4085BB">
      <w:pPr>
        <w:tabs>
          <w:tab w:val="left" w:pos="5670"/>
        </w:tabs>
        <w:autoSpaceDE w:val="0"/>
        <w:autoSpaceDN w:val="0"/>
        <w:adjustRightInd w:val="0"/>
        <w:snapToGrid w:val="0"/>
        <w:spacing w:line="360" w:lineRule="auto"/>
        <w:jc w:val="center"/>
        <w:rPr>
          <w:rFonts w:hint="eastAsia" w:ascii="宋体" w:hAnsi="宋体" w:eastAsia="宋体" w:cs="宋体"/>
          <w:b/>
          <w:bCs/>
          <w:color w:val="000000" w:themeColor="text1"/>
          <w:sz w:val="36"/>
          <w:szCs w:val="36"/>
          <w:highlight w:val="none"/>
          <w:u w:val="singl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钟宝镇“十五五”规划编制服务项目</w:t>
      </w:r>
    </w:p>
    <w:p w14:paraId="08B1A4C0">
      <w:pPr>
        <w:tabs>
          <w:tab w:val="left" w:pos="5670"/>
        </w:tabs>
        <w:autoSpaceDE w:val="0"/>
        <w:autoSpaceDN w:val="0"/>
        <w:adjustRightInd w:val="0"/>
        <w:snapToGrid w:val="0"/>
        <w:spacing w:line="360" w:lineRule="auto"/>
        <w:ind w:firstLine="2080" w:firstLineChars="400"/>
        <w:rPr>
          <w:rFonts w:ascii="宋体" w:hAnsi="宋体" w:cs="宋体"/>
          <w:b/>
          <w:bCs/>
          <w:color w:val="000000" w:themeColor="text1"/>
          <w:sz w:val="52"/>
          <w:szCs w:val="52"/>
          <w:highlight w:val="none"/>
          <w:lang w:val="zh-CN"/>
          <w14:textFill>
            <w14:solidFill>
              <w14:schemeClr w14:val="tx1"/>
            </w14:solidFill>
          </w14:textFill>
        </w:rPr>
      </w:pPr>
    </w:p>
    <w:p w14:paraId="6C6C19E6">
      <w:pPr>
        <w:tabs>
          <w:tab w:val="left" w:pos="5670"/>
        </w:tabs>
        <w:autoSpaceDE w:val="0"/>
        <w:autoSpaceDN w:val="0"/>
        <w:adjustRightInd w:val="0"/>
        <w:snapToGrid w:val="0"/>
        <w:spacing w:line="360" w:lineRule="auto"/>
        <w:ind w:firstLine="2080" w:firstLineChars="400"/>
        <w:rPr>
          <w:rFonts w:ascii="宋体" w:hAnsi="宋体" w:cs="宋体"/>
          <w:b/>
          <w:bCs/>
          <w:color w:val="000000" w:themeColor="text1"/>
          <w:sz w:val="52"/>
          <w:szCs w:val="52"/>
          <w:highlight w:val="none"/>
          <w:lang w:val="zh-CN"/>
          <w14:textFill>
            <w14:solidFill>
              <w14:schemeClr w14:val="tx1"/>
            </w14:solidFill>
          </w14:textFill>
        </w:rPr>
      </w:pPr>
      <w:r>
        <w:rPr>
          <w:rFonts w:hint="eastAsia" w:ascii="宋体" w:hAnsi="宋体" w:cs="宋体"/>
          <w:b/>
          <w:bCs/>
          <w:color w:val="000000" w:themeColor="text1"/>
          <w:sz w:val="52"/>
          <w:szCs w:val="52"/>
          <w:highlight w:val="none"/>
          <w:lang w:val="zh-CN"/>
          <w14:textFill>
            <w14:solidFill>
              <w14:schemeClr w14:val="tx1"/>
            </w14:solidFill>
          </w14:textFill>
        </w:rPr>
        <w:t>竞争性磋商响应文件</w:t>
      </w:r>
    </w:p>
    <w:p w14:paraId="61036199">
      <w:pPr>
        <w:tabs>
          <w:tab w:val="left" w:pos="5670"/>
        </w:tabs>
        <w:autoSpaceDE w:val="0"/>
        <w:autoSpaceDN w:val="0"/>
        <w:adjustRightInd w:val="0"/>
        <w:snapToGrid w:val="0"/>
        <w:spacing w:line="360" w:lineRule="auto"/>
        <w:jc w:val="center"/>
        <w:rPr>
          <w:rFonts w:ascii="宋体" w:hAnsi="宋体" w:cs="宋体"/>
          <w:b/>
          <w:bCs/>
          <w:color w:val="000000" w:themeColor="text1"/>
          <w:sz w:val="52"/>
          <w:szCs w:val="52"/>
          <w:highlight w:val="none"/>
          <w:lang w:val="zh-CN"/>
          <w14:textFill>
            <w14:solidFill>
              <w14:schemeClr w14:val="tx1"/>
            </w14:solidFill>
          </w14:textFill>
        </w:rPr>
      </w:pPr>
    </w:p>
    <w:p w14:paraId="4C5D4F38">
      <w:pPr>
        <w:pStyle w:val="11"/>
        <w:rPr>
          <w:rFonts w:ascii="宋体" w:hAnsi="宋体" w:cs="宋体"/>
          <w:b/>
          <w:bCs/>
          <w:color w:val="000000" w:themeColor="text1"/>
          <w:sz w:val="52"/>
          <w:szCs w:val="52"/>
          <w:highlight w:val="none"/>
          <w:lang w:val="zh-CN"/>
          <w14:textFill>
            <w14:solidFill>
              <w14:schemeClr w14:val="tx1"/>
            </w14:solidFill>
          </w14:textFill>
        </w:rPr>
      </w:pPr>
    </w:p>
    <w:p w14:paraId="1609C99D">
      <w:pPr>
        <w:rPr>
          <w:lang w:val="zh-CN"/>
        </w:rPr>
      </w:pPr>
    </w:p>
    <w:p w14:paraId="1A4C2A51">
      <w:pPr>
        <w:spacing w:line="360" w:lineRule="auto"/>
        <w:rPr>
          <w:rFonts w:ascii="宋体" w:hAnsi="宋体" w:cs="宋体"/>
          <w:b/>
          <w:color w:val="000000" w:themeColor="text1"/>
          <w:sz w:val="28"/>
          <w:szCs w:val="28"/>
          <w:highlight w:val="none"/>
          <w14:textFill>
            <w14:solidFill>
              <w14:schemeClr w14:val="tx1"/>
            </w14:solidFill>
          </w14:textFill>
        </w:rPr>
      </w:pPr>
    </w:p>
    <w:p w14:paraId="3EDF1B79">
      <w:pPr>
        <w:spacing w:line="360" w:lineRule="auto"/>
        <w:ind w:firstLine="840" w:firstLineChars="300"/>
        <w:rPr>
          <w:rFonts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供    应     商：</w:t>
      </w:r>
      <w:r>
        <w:rPr>
          <w:rFonts w:hint="eastAsia" w:ascii="宋体" w:hAnsi="宋体" w:cs="宋体"/>
          <w:b/>
          <w:color w:val="000000" w:themeColor="text1"/>
          <w:sz w:val="28"/>
          <w:szCs w:val="28"/>
          <w:highlight w:val="none"/>
          <w:u w:val="single"/>
          <w14:textFill>
            <w14:solidFill>
              <w14:schemeClr w14:val="tx1"/>
            </w14:solidFill>
          </w14:textFill>
        </w:rPr>
        <w:t xml:space="preserve">                （加盖单位章）</w:t>
      </w:r>
    </w:p>
    <w:p w14:paraId="4CB4E67A">
      <w:pPr>
        <w:spacing w:line="360" w:lineRule="auto"/>
        <w:ind w:firstLine="840" w:firstLineChars="300"/>
        <w:rPr>
          <w:rFonts w:ascii="宋体" w:hAnsi="宋体" w:cs="宋体"/>
          <w:b/>
          <w:color w:val="000000" w:themeColor="text1"/>
          <w:sz w:val="28"/>
          <w:szCs w:val="28"/>
          <w:highlight w:val="none"/>
          <w:u w:val="singl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法定代表人或其授权委托代理人：</w:t>
      </w:r>
      <w:r>
        <w:rPr>
          <w:rFonts w:hint="eastAsia" w:ascii="宋体" w:hAnsi="宋体" w:cs="宋体"/>
          <w:b/>
          <w:color w:val="000000" w:themeColor="text1"/>
          <w:sz w:val="28"/>
          <w:szCs w:val="28"/>
          <w:highlight w:val="none"/>
          <w:u w:val="single"/>
          <w14:textFill>
            <w14:solidFill>
              <w14:schemeClr w14:val="tx1"/>
            </w14:solidFill>
          </w14:textFill>
        </w:rPr>
        <w:t xml:space="preserve">    （签字或盖章）</w:t>
      </w:r>
    </w:p>
    <w:p w14:paraId="61ED3E8F">
      <w:pPr>
        <w:spacing w:line="360" w:lineRule="auto"/>
        <w:ind w:firstLine="84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年</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月</w:t>
      </w: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日</w:t>
      </w:r>
      <w:r>
        <w:rPr>
          <w:rFonts w:hint="eastAsia" w:ascii="宋体" w:hAnsi="宋体" w:cs="宋体"/>
          <w:color w:val="000000" w:themeColor="text1"/>
          <w:sz w:val="24"/>
          <w:szCs w:val="24"/>
          <w:highlight w:val="none"/>
          <w14:textFill>
            <w14:solidFill>
              <w14:schemeClr w14:val="tx1"/>
            </w14:solidFill>
          </w14:textFill>
        </w:rPr>
        <w:br w:type="page"/>
      </w:r>
    </w:p>
    <w:p w14:paraId="6F6A1BEF">
      <w:pPr>
        <w:pStyle w:val="8"/>
        <w:jc w:val="center"/>
        <w:rPr>
          <w:rFonts w:ascii="宋体" w:hAnsi="宋体" w:cs="宋体"/>
          <w:b/>
          <w:bCs/>
          <w:color w:val="000000" w:themeColor="text1"/>
          <w:sz w:val="42"/>
          <w:szCs w:val="42"/>
          <w:highlight w:val="none"/>
          <w14:textFill>
            <w14:solidFill>
              <w14:schemeClr w14:val="tx1"/>
            </w14:solidFill>
          </w14:textFill>
        </w:rPr>
      </w:pPr>
      <w:bookmarkStart w:id="53" w:name="_Toc10679"/>
      <w:r>
        <w:rPr>
          <w:rFonts w:hint="eastAsia" w:ascii="宋体" w:hAnsi="宋体" w:cs="宋体"/>
          <w:b/>
          <w:bCs/>
          <w:color w:val="000000" w:themeColor="text1"/>
          <w:sz w:val="42"/>
          <w:szCs w:val="42"/>
          <w:highlight w:val="none"/>
          <w:lang w:val="zh-CN"/>
          <w14:textFill>
            <w14:solidFill>
              <w14:schemeClr w14:val="tx1"/>
            </w14:solidFill>
          </w14:textFill>
        </w:rPr>
        <w:t>目录</w:t>
      </w:r>
      <w:bookmarkEnd w:id="53"/>
    </w:p>
    <w:p w14:paraId="5DEE2553">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311D5A77">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一、磋商响应函</w:t>
      </w:r>
    </w:p>
    <w:bookmarkEnd w:id="25"/>
    <w:p w14:paraId="106B5D5A">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二、法定代表人（单位负责人）身份证明或授权委托书</w:t>
      </w:r>
    </w:p>
    <w:p w14:paraId="2628DD62">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三、商务和技术偏差表</w:t>
      </w:r>
    </w:p>
    <w:p w14:paraId="7032EE24">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四、资格审查资料</w:t>
      </w:r>
    </w:p>
    <w:p w14:paraId="6ADDC196">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五、近年完成的类似项目情况表</w:t>
      </w:r>
    </w:p>
    <w:p w14:paraId="23C3D725">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六、服务方案</w:t>
      </w:r>
    </w:p>
    <w:p w14:paraId="498B89AB">
      <w:pPr>
        <w:autoSpaceDE w:val="0"/>
        <w:autoSpaceDN w:val="0"/>
        <w:adjustRightInd w:val="0"/>
        <w:snapToGrid w:val="0"/>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七、供应商认为需要提供的其他资料</w:t>
      </w:r>
    </w:p>
    <w:p w14:paraId="01EE7E7A">
      <w:pPr>
        <w:autoSpaceDE w:val="0"/>
        <w:autoSpaceDN w:val="0"/>
        <w:adjustRightInd w:val="0"/>
        <w:snapToGrid w:val="0"/>
        <w:spacing w:line="360" w:lineRule="auto"/>
        <w:rPr>
          <w:rFonts w:ascii="宋体" w:hAnsi="宋体" w:cs="宋体"/>
          <w:b/>
          <w:bCs/>
          <w:color w:val="000000" w:themeColor="text1"/>
          <w:sz w:val="32"/>
          <w:szCs w:val="32"/>
          <w:highlight w:val="none"/>
          <w14:textFill>
            <w14:solidFill>
              <w14:schemeClr w14:val="tx1"/>
            </w14:solidFill>
          </w14:textFill>
        </w:rPr>
      </w:pPr>
    </w:p>
    <w:p w14:paraId="0C714112">
      <w:pPr>
        <w:autoSpaceDE w:val="0"/>
        <w:autoSpaceDN w:val="0"/>
        <w:adjustRightInd w:val="0"/>
        <w:spacing w:line="360" w:lineRule="auto"/>
        <w:rPr>
          <w:rFonts w:ascii="宋体" w:hAnsi="宋体" w:cs="宋体"/>
          <w:color w:val="000000" w:themeColor="text1"/>
          <w:sz w:val="30"/>
          <w:szCs w:val="30"/>
          <w:highlight w:val="none"/>
          <w14:textFill>
            <w14:solidFill>
              <w14:schemeClr w14:val="tx1"/>
            </w14:solidFill>
          </w14:textFill>
        </w:rPr>
      </w:pPr>
    </w:p>
    <w:p w14:paraId="7B9CEC1F">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52E2300E">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themeColor="text1"/>
          <w:sz w:val="32"/>
          <w:szCs w:val="32"/>
          <w:highlight w:val="none"/>
          <w14:textFill>
            <w14:solidFill>
              <w14:schemeClr w14:val="tx1"/>
            </w14:solidFill>
          </w14:textFill>
        </w:rPr>
      </w:pPr>
      <w:bookmarkStart w:id="54" w:name="_Toc27680"/>
      <w:bookmarkStart w:id="55" w:name="_Toc22533"/>
      <w:bookmarkStart w:id="56" w:name="_Toc15486"/>
      <w:bookmarkStart w:id="57" w:name="_Toc520468911"/>
      <w:bookmarkStart w:id="58" w:name="_Toc12763"/>
      <w:bookmarkStart w:id="59" w:name="_Toc493"/>
      <w:r>
        <w:rPr>
          <w:rFonts w:hint="eastAsia" w:ascii="宋体" w:hAnsi="宋体" w:eastAsia="宋体" w:cs="宋体"/>
          <w:b/>
          <w:color w:val="000000" w:themeColor="text1"/>
          <w:sz w:val="32"/>
          <w:szCs w:val="32"/>
          <w:highlight w:val="none"/>
          <w:lang w:val="zh-CN"/>
          <w14:textFill>
            <w14:solidFill>
              <w14:schemeClr w14:val="tx1"/>
            </w14:solidFill>
          </w14:textFill>
        </w:rPr>
        <w:t>一、</w:t>
      </w:r>
      <w:r>
        <w:rPr>
          <w:rFonts w:hint="eastAsia" w:ascii="宋体" w:hAnsi="宋体" w:eastAsia="宋体" w:cs="宋体"/>
          <w:b/>
          <w:color w:val="000000" w:themeColor="text1"/>
          <w:sz w:val="32"/>
          <w:szCs w:val="32"/>
          <w:highlight w:val="none"/>
          <w14:textFill>
            <w14:solidFill>
              <w14:schemeClr w14:val="tx1"/>
            </w14:solidFill>
          </w14:textFill>
        </w:rPr>
        <w:t>磋商</w:t>
      </w:r>
      <w:r>
        <w:rPr>
          <w:rFonts w:hint="eastAsia" w:ascii="宋体" w:hAnsi="宋体" w:eastAsia="宋体" w:cs="宋体"/>
          <w:b/>
          <w:color w:val="000000" w:themeColor="text1"/>
          <w:sz w:val="32"/>
          <w:szCs w:val="32"/>
          <w:highlight w:val="none"/>
          <w:lang w:val="zh-CN"/>
          <w14:textFill>
            <w14:solidFill>
              <w14:schemeClr w14:val="tx1"/>
            </w14:solidFill>
          </w14:textFill>
        </w:rPr>
        <w:t>响应函</w:t>
      </w:r>
      <w:bookmarkEnd w:id="54"/>
      <w:bookmarkEnd w:id="55"/>
      <w:bookmarkEnd w:id="56"/>
      <w:bookmarkEnd w:id="57"/>
      <w:bookmarkEnd w:id="58"/>
      <w:bookmarkEnd w:id="59"/>
    </w:p>
    <w:p w14:paraId="6E4A14C0">
      <w:pPr>
        <w:spacing w:line="360" w:lineRule="auto"/>
        <w:rPr>
          <w:rFonts w:ascii="宋体" w:hAnsi="宋体" w:cs="宋体"/>
          <w:b/>
          <w:color w:val="000000" w:themeColor="text1"/>
          <w:szCs w:val="21"/>
          <w:highlight w:val="none"/>
          <w:u w:val="single"/>
          <w14:textFill>
            <w14:solidFill>
              <w14:schemeClr w14:val="tx1"/>
            </w14:solidFill>
          </w14:textFill>
        </w:rPr>
      </w:pPr>
      <w:bookmarkStart w:id="60" w:name="_Toc232673691"/>
      <w:bookmarkStart w:id="61" w:name="_Toc11309"/>
      <w:bookmarkStart w:id="62" w:name="_Toc29160"/>
      <w:bookmarkStart w:id="63" w:name="_Toc520468912"/>
      <w:bookmarkStart w:id="64" w:name="_Toc27843"/>
      <w:bookmarkStart w:id="65" w:name="_Toc31961"/>
      <w:bookmarkStart w:id="66" w:name="_Toc24275"/>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（采购人名称）</w:t>
      </w:r>
    </w:p>
    <w:p w14:paraId="62D70F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1．我方已仔细研究了</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竞争性磋商文件的全部内容，我方针对本项目第一次响应总报价大写：</w:t>
      </w:r>
      <w:r>
        <w:rPr>
          <w:rFonts w:hint="eastAsia" w:ascii="宋体" w:hAnsi="宋体" w:cs="宋体"/>
          <w:color w:val="000000" w:themeColor="text1"/>
          <w:szCs w:val="21"/>
          <w:highlight w:val="none"/>
          <w:u w:val="single"/>
          <w14:textFill>
            <w14:solidFill>
              <w14:schemeClr w14:val="tx1"/>
            </w14:solidFill>
          </w14:textFill>
        </w:rPr>
        <w:t xml:space="preserve">      </w:t>
      </w:r>
      <w:bookmarkStart w:id="67" w:name="OLE_LINK106"/>
      <w:r>
        <w:rPr>
          <w:rFonts w:hint="eastAsia" w:ascii="宋体" w:hAnsi="宋体" w:cs="宋体"/>
          <w:color w:val="000000" w:themeColor="text1"/>
          <w:szCs w:val="21"/>
          <w:highlight w:val="none"/>
          <w14:textFill>
            <w14:solidFill>
              <w14:schemeClr w14:val="tx1"/>
            </w14:solidFill>
          </w14:textFill>
        </w:rPr>
        <w:t>（小写：¥</w:t>
      </w:r>
      <w:bookmarkEnd w:id="67"/>
      <w:r>
        <w:rPr>
          <w:rFonts w:hint="eastAsia" w:ascii="宋体" w:hAnsi="宋体" w:cs="宋体"/>
          <w:color w:val="000000" w:themeColor="text1"/>
          <w:szCs w:val="21"/>
          <w:highlight w:val="none"/>
          <w:u w:val="single"/>
          <w14:textFill>
            <w14:solidFill>
              <w14:schemeClr w14:val="tx1"/>
            </w14:solidFill>
          </w14:textFill>
        </w:rPr>
        <w:t xml:space="preserve">     </w:t>
      </w:r>
      <w:bookmarkStart w:id="68" w:name="OLE_LINK105"/>
      <w:r>
        <w:rPr>
          <w:rFonts w:hint="eastAsia" w:ascii="宋体" w:hAnsi="宋体" w:cs="宋体"/>
          <w:color w:val="000000" w:themeColor="text1"/>
          <w:szCs w:val="21"/>
          <w:highlight w:val="none"/>
          <w14:textFill>
            <w14:solidFill>
              <w14:schemeClr w14:val="tx1"/>
            </w14:solidFill>
          </w14:textFill>
        </w:rPr>
        <w:t>），</w:t>
      </w:r>
      <w:bookmarkEnd w:id="68"/>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lang w:val="zh-CN"/>
          <w14:textFill>
            <w14:solidFill>
              <w14:schemeClr w14:val="tx1"/>
            </w14:solidFill>
          </w14:textFill>
        </w:rPr>
        <w:t>期限</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bookmarkStart w:id="69" w:name="OLE_LINK102"/>
      <w:bookmarkStart w:id="70" w:name="OLE_LINK104"/>
      <w:r>
        <w:rPr>
          <w:rFonts w:hint="eastAsia" w:ascii="宋体" w:hAnsi="宋体" w:cs="宋体"/>
          <w:color w:val="000000" w:themeColor="text1"/>
          <w:szCs w:val="21"/>
          <w:highlight w:val="none"/>
          <w14:textFill>
            <w14:solidFill>
              <w14:schemeClr w14:val="tx1"/>
            </w14:solidFill>
          </w14:textFill>
        </w:rPr>
        <w:t>质量</w:t>
      </w:r>
      <w:bookmarkStart w:id="71" w:name="OLE_LINK103"/>
      <w:r>
        <w:rPr>
          <w:rFonts w:hint="eastAsia" w:ascii="宋体" w:hAnsi="宋体" w:cs="宋体"/>
          <w:color w:val="000000" w:themeColor="text1"/>
          <w:szCs w:val="21"/>
          <w:highlight w:val="none"/>
          <w14:textFill>
            <w14:solidFill>
              <w14:schemeClr w14:val="tx1"/>
            </w14:solidFill>
          </w14:textFill>
        </w:rPr>
        <w:t>标准</w:t>
      </w:r>
      <w:bookmarkEnd w:id="69"/>
      <w:bookmarkEnd w:id="71"/>
      <w:r>
        <w:rPr>
          <w:rFonts w:hint="eastAsia" w:ascii="宋体" w:hAnsi="宋体" w:cs="宋体"/>
          <w:color w:val="000000" w:themeColor="text1"/>
          <w:szCs w:val="21"/>
          <w:highlight w:val="none"/>
          <w14:textFill>
            <w14:solidFill>
              <w14:schemeClr w14:val="tx1"/>
            </w14:solidFill>
          </w14:textFill>
        </w:rPr>
        <w:t>：</w:t>
      </w:r>
      <w:bookmarkEnd w:id="70"/>
      <w:r>
        <w:rPr>
          <w:rFonts w:hint="eastAsia" w:ascii="宋体" w:hAnsi="宋体" w:cs="宋体"/>
          <w:color w:val="000000" w:themeColor="text1"/>
          <w:szCs w:val="21"/>
          <w:highlight w:val="none"/>
          <w:u w:val="single"/>
          <w14:textFill>
            <w14:solidFill>
              <w14:schemeClr w14:val="tx1"/>
            </w14:solidFill>
          </w14:textFill>
        </w:rPr>
        <w:t xml:space="preserve">           </w:t>
      </w:r>
      <w:bookmarkStart w:id="72" w:name="OLE_LINK101"/>
      <w:r>
        <w:rPr>
          <w:rFonts w:hint="eastAsia" w:ascii="宋体" w:hAnsi="宋体" w:cs="宋体"/>
          <w:color w:val="000000" w:themeColor="text1"/>
          <w:szCs w:val="21"/>
          <w:highlight w:val="none"/>
          <w14:textFill>
            <w14:solidFill>
              <w14:schemeClr w14:val="tx1"/>
            </w14:solidFill>
          </w14:textFill>
        </w:rPr>
        <w:t>，</w:t>
      </w:r>
      <w:bookmarkEnd w:id="72"/>
      <w:r>
        <w:rPr>
          <w:rFonts w:hint="eastAsia" w:ascii="宋体" w:hAnsi="宋体" w:cs="宋体"/>
          <w:color w:val="000000" w:themeColor="text1"/>
          <w:szCs w:val="21"/>
          <w:highlight w:val="none"/>
          <w14:textFill>
            <w14:solidFill>
              <w14:schemeClr w14:val="tx1"/>
            </w14:solidFill>
          </w14:textFill>
        </w:rPr>
        <w:t>我方承诺成交后按合同约定履行义务。</w:t>
      </w:r>
    </w:p>
    <w:p w14:paraId="703137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2．我方承诺除商务和技术偏差表列出的偏差外，我方响应竞争性磋商文件的全部要求。</w:t>
      </w:r>
    </w:p>
    <w:p w14:paraId="49E757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3．我方承诺在竞争性磋商文件规定的响应有效期内不撤销响应文件。</w:t>
      </w:r>
    </w:p>
    <w:p w14:paraId="1B34D7D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4．如我方成交，我方承诺：</w:t>
      </w:r>
    </w:p>
    <w:p w14:paraId="0701BA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（1）在收到成交通知书后，在成交通知书规定的期限内与你方签订合同；</w:t>
      </w:r>
    </w:p>
    <w:p w14:paraId="4E256F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（2）在签订合同时不向你方提出附加条件；</w:t>
      </w:r>
    </w:p>
    <w:p w14:paraId="6DC4065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（3）按照竞争性磋商文件要求提交履约保证金；</w:t>
      </w:r>
    </w:p>
    <w:p w14:paraId="6DF360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（4）在合同约定的期限内完成合同规定的全部义务。</w:t>
      </w:r>
    </w:p>
    <w:p w14:paraId="3C5828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5．我方在此声明，所递交的响应文件及有关资料内容完整、真实和准确，且不存在第二章“供应商须知”正文第 1.4.3 项规定的任何一种情形。</w:t>
      </w:r>
    </w:p>
    <w:p w14:paraId="695613F8">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3" w:name="_Hlk508375245"/>
      <w:r>
        <w:rPr>
          <w:rFonts w:hint="eastAsia" w:ascii="宋体" w:hAnsi="宋体" w:cs="宋体"/>
          <w:color w:val="000000" w:themeColor="text1"/>
          <w:szCs w:val="21"/>
          <w:highlight w:val="none"/>
          <w14:textFill>
            <w14:solidFill>
              <w14:schemeClr w14:val="tx1"/>
            </w14:solidFill>
          </w14:textFill>
        </w:rPr>
        <w:t>6．响应有效期为：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bookmarkEnd w:id="73"/>
    <w:p w14:paraId="091AD75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（其他补充说明）。</w:t>
      </w:r>
    </w:p>
    <w:p w14:paraId="4D9E2E9E">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供应商名称（单位公章）：</w:t>
      </w:r>
    </w:p>
    <w:p w14:paraId="58E9EC31">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法定代表人（单位负责人）或委托代理人（签字或盖章）：</w:t>
      </w:r>
    </w:p>
    <w:p w14:paraId="4013651B">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地  址：                            </w:t>
      </w:r>
    </w:p>
    <w:p w14:paraId="6CED94EC">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p w14:paraId="7A86D7B4">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邮  编：                            </w:t>
      </w:r>
    </w:p>
    <w:p w14:paraId="12D9099E">
      <w:pPr>
        <w:spacing w:line="360" w:lineRule="auto"/>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p w14:paraId="163789EF">
      <w:pPr>
        <w:spacing w:line="360" w:lineRule="auto"/>
        <w:ind w:right="420"/>
        <w:rPr>
          <w:rFonts w:ascii="宋体" w:hAnsi="宋体" w:cs="宋体"/>
          <w:color w:val="000000" w:themeColor="text1"/>
          <w:szCs w:val="21"/>
          <w:highlight w:val="none"/>
          <w14:textFill>
            <w14:solidFill>
              <w14:schemeClr w14:val="tx1"/>
            </w14:solidFill>
          </w14:textFill>
        </w:rPr>
      </w:pPr>
    </w:p>
    <w:p w14:paraId="0534AB1E">
      <w:pPr>
        <w:spacing w:line="360" w:lineRule="auto"/>
        <w:ind w:right="420" w:firstLine="4424" w:firstLineChars="2107"/>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bookmarkEnd w:id="60"/>
    <w:p w14:paraId="593C0D1E">
      <w:pPr>
        <w:spacing w:line="360" w:lineRule="auto"/>
        <w:outlineLvl w:val="2"/>
        <w:rPr>
          <w:rFonts w:ascii="宋体" w:hAnsi="宋体" w:cs="宋体"/>
          <w:b/>
          <w:bCs/>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highlight w:val="none"/>
          <w:lang w:val="zh-CN"/>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附件1：第一次磋商报价表</w:t>
      </w:r>
      <w:bookmarkEnd w:id="61"/>
      <w:bookmarkEnd w:id="62"/>
      <w:bookmarkEnd w:id="63"/>
      <w:bookmarkEnd w:id="64"/>
      <w:bookmarkEnd w:id="65"/>
      <w:bookmarkEnd w:id="66"/>
    </w:p>
    <w:p w14:paraId="4AB79100">
      <w:pPr>
        <w:adjustRightInd w:val="0"/>
        <w:snapToGrid w:val="0"/>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第一次磋商报价表</w:t>
      </w:r>
    </w:p>
    <w:tbl>
      <w:tblPr>
        <w:tblStyle w:val="18"/>
        <w:tblW w:w="4585" w:type="pct"/>
        <w:jc w:val="center"/>
        <w:tblLayout w:type="autofit"/>
        <w:tblCellMar>
          <w:top w:w="0" w:type="dxa"/>
          <w:left w:w="108" w:type="dxa"/>
          <w:bottom w:w="0" w:type="dxa"/>
          <w:right w:w="108" w:type="dxa"/>
        </w:tblCellMar>
      </w:tblPr>
      <w:tblGrid>
        <w:gridCol w:w="2125"/>
        <w:gridCol w:w="2568"/>
        <w:gridCol w:w="2154"/>
        <w:gridCol w:w="1669"/>
      </w:tblGrid>
      <w:tr w14:paraId="0B290915">
        <w:tblPrEx>
          <w:tblCellMar>
            <w:top w:w="0" w:type="dxa"/>
            <w:left w:w="108" w:type="dxa"/>
            <w:bottom w:w="0" w:type="dxa"/>
            <w:right w:w="108" w:type="dxa"/>
          </w:tblCellMar>
        </w:tblPrEx>
        <w:trPr>
          <w:trHeight w:val="1179" w:hRule="atLeast"/>
          <w:jc w:val="center"/>
        </w:trPr>
        <w:tc>
          <w:tcPr>
            <w:tcW w:w="1247" w:type="pct"/>
            <w:tcBorders>
              <w:top w:val="single" w:color="auto" w:sz="6" w:space="0"/>
              <w:left w:val="single" w:color="auto" w:sz="6" w:space="0"/>
              <w:bottom w:val="single" w:color="auto" w:sz="6" w:space="0"/>
              <w:right w:val="single" w:color="auto" w:sz="6" w:space="0"/>
              <w:tl2br w:val="single" w:color="auto" w:sz="6" w:space="0"/>
            </w:tcBorders>
          </w:tcPr>
          <w:p w14:paraId="4E0CBFEF">
            <w:pPr>
              <w:autoSpaceDE w:val="0"/>
              <w:autoSpaceDN w:val="0"/>
              <w:adjustRightInd w:val="0"/>
              <w:snapToGrid w:val="0"/>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报价内容</w:t>
            </w:r>
          </w:p>
          <w:p w14:paraId="6754B692">
            <w:pPr>
              <w:autoSpaceDE w:val="0"/>
              <w:autoSpaceDN w:val="0"/>
              <w:adjustRightInd w:val="0"/>
              <w:snapToGrid w:val="0"/>
              <w:spacing w:line="360" w:lineRule="auto"/>
              <w:ind w:left="-1" w:hanging="419"/>
              <w:rPr>
                <w:rFonts w:ascii="宋体" w:hAnsi="宋体" w:cs="宋体"/>
                <w:color w:val="000000" w:themeColor="text1"/>
                <w:szCs w:val="21"/>
                <w:highlight w:val="none"/>
                <w14:textFill>
                  <w14:solidFill>
                    <w14:schemeClr w14:val="tx1"/>
                  </w14:solidFill>
                </w14:textFill>
              </w:rPr>
            </w:pPr>
          </w:p>
          <w:p w14:paraId="786367FD">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1507" w:type="pct"/>
            <w:tcBorders>
              <w:top w:val="single" w:color="auto" w:sz="6" w:space="0"/>
              <w:left w:val="single" w:color="auto" w:sz="6" w:space="0"/>
              <w:bottom w:val="single" w:color="auto" w:sz="6" w:space="0"/>
              <w:right w:val="single" w:color="auto" w:sz="4" w:space="0"/>
            </w:tcBorders>
            <w:vAlign w:val="center"/>
          </w:tcPr>
          <w:p w14:paraId="26CB4001">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第一次磋商响应总报价（元）</w:t>
            </w:r>
          </w:p>
        </w:tc>
        <w:tc>
          <w:tcPr>
            <w:tcW w:w="1264" w:type="pct"/>
            <w:tcBorders>
              <w:top w:val="single" w:color="auto" w:sz="6" w:space="0"/>
              <w:left w:val="single" w:color="auto" w:sz="4" w:space="0"/>
              <w:bottom w:val="single" w:color="auto" w:sz="6" w:space="0"/>
              <w:right w:val="single" w:color="auto" w:sz="6" w:space="0"/>
            </w:tcBorders>
            <w:vAlign w:val="center"/>
          </w:tcPr>
          <w:p w14:paraId="6DCA4242">
            <w:pPr>
              <w:autoSpaceDE w:val="0"/>
              <w:autoSpaceDN w:val="0"/>
              <w:adjustRightInd w:val="0"/>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eastAsia="zh-CN"/>
                <w14:textFill>
                  <w14:solidFill>
                    <w14:schemeClr w14:val="tx1"/>
                  </w14:solidFill>
                </w14:textFill>
              </w:rPr>
              <w:t>期限</w:t>
            </w:r>
          </w:p>
        </w:tc>
        <w:tc>
          <w:tcPr>
            <w:tcW w:w="979" w:type="pct"/>
            <w:tcBorders>
              <w:top w:val="single" w:color="auto" w:sz="6" w:space="0"/>
              <w:left w:val="single" w:color="auto" w:sz="4" w:space="0"/>
              <w:bottom w:val="single" w:color="auto" w:sz="6" w:space="0"/>
              <w:right w:val="single" w:color="auto" w:sz="6" w:space="0"/>
            </w:tcBorders>
            <w:vAlign w:val="center"/>
          </w:tcPr>
          <w:p w14:paraId="54704E29">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r>
      <w:tr w14:paraId="32B2ECD0">
        <w:tblPrEx>
          <w:tblCellMar>
            <w:top w:w="0" w:type="dxa"/>
            <w:left w:w="108" w:type="dxa"/>
            <w:bottom w:w="0" w:type="dxa"/>
            <w:right w:w="108" w:type="dxa"/>
          </w:tblCellMar>
        </w:tblPrEx>
        <w:trPr>
          <w:trHeight w:val="1692" w:hRule="atLeast"/>
          <w:jc w:val="center"/>
        </w:trPr>
        <w:tc>
          <w:tcPr>
            <w:tcW w:w="1247" w:type="pct"/>
            <w:tcBorders>
              <w:top w:val="single" w:color="auto" w:sz="6" w:space="0"/>
              <w:left w:val="single" w:color="auto" w:sz="6" w:space="0"/>
              <w:bottom w:val="single" w:color="auto" w:sz="6" w:space="0"/>
              <w:right w:val="single" w:color="auto" w:sz="6" w:space="0"/>
            </w:tcBorders>
            <w:vAlign w:val="center"/>
          </w:tcPr>
          <w:p w14:paraId="40866F85">
            <w:pPr>
              <w:pStyle w:val="17"/>
              <w:spacing w:line="360" w:lineRule="auto"/>
              <w:ind w:firstLine="0" w:firstLineChars="0"/>
              <w:jc w:val="center"/>
              <w:rPr>
                <w:rFonts w:ascii="宋体" w:hAnsi="宋体" w:cs="宋体"/>
                <w:bCs/>
                <w:color w:val="000000" w:themeColor="text1"/>
                <w:szCs w:val="21"/>
                <w:highlight w:val="none"/>
                <w14:textFill>
                  <w14:solidFill>
                    <w14:schemeClr w14:val="tx1"/>
                  </w14:solidFill>
                </w14:textFill>
              </w:rPr>
            </w:pPr>
          </w:p>
        </w:tc>
        <w:tc>
          <w:tcPr>
            <w:tcW w:w="1507" w:type="pct"/>
            <w:tcBorders>
              <w:top w:val="single" w:color="auto" w:sz="6" w:space="0"/>
              <w:left w:val="single" w:color="auto" w:sz="6" w:space="0"/>
              <w:bottom w:val="single" w:color="auto" w:sz="6" w:space="0"/>
              <w:right w:val="single" w:color="auto" w:sz="4" w:space="0"/>
            </w:tcBorders>
            <w:vAlign w:val="center"/>
          </w:tcPr>
          <w:p w14:paraId="30D8D25D">
            <w:pPr>
              <w:autoSpaceDE w:val="0"/>
              <w:autoSpaceDN w:val="0"/>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p>
          <w:p w14:paraId="177B45AA">
            <w:pPr>
              <w:pStyle w:val="11"/>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小写：</w:t>
            </w:r>
          </w:p>
        </w:tc>
        <w:tc>
          <w:tcPr>
            <w:tcW w:w="1264" w:type="pct"/>
            <w:tcBorders>
              <w:top w:val="single" w:color="auto" w:sz="6" w:space="0"/>
              <w:left w:val="single" w:color="auto" w:sz="4" w:space="0"/>
              <w:bottom w:val="single" w:color="auto" w:sz="6" w:space="0"/>
              <w:right w:val="single" w:color="auto" w:sz="6" w:space="0"/>
            </w:tcBorders>
            <w:vAlign w:val="center"/>
          </w:tcPr>
          <w:p w14:paraId="606FF140">
            <w:pPr>
              <w:autoSpaceDE w:val="0"/>
              <w:autoSpaceDN w:val="0"/>
              <w:adjustRightInd w:val="0"/>
              <w:snapToGrid w:val="0"/>
              <w:spacing w:line="360" w:lineRule="auto"/>
              <w:rPr>
                <w:color w:val="000000" w:themeColor="text1"/>
                <w:highlight w:val="none"/>
                <w14:textFill>
                  <w14:solidFill>
                    <w14:schemeClr w14:val="tx1"/>
                  </w14:solidFill>
                </w14:textFill>
              </w:rPr>
            </w:pPr>
          </w:p>
        </w:tc>
        <w:tc>
          <w:tcPr>
            <w:tcW w:w="979" w:type="pct"/>
            <w:tcBorders>
              <w:top w:val="single" w:color="auto" w:sz="6" w:space="0"/>
              <w:left w:val="single" w:color="auto" w:sz="4" w:space="0"/>
              <w:bottom w:val="single" w:color="auto" w:sz="6" w:space="0"/>
              <w:right w:val="single" w:color="auto" w:sz="6" w:space="0"/>
            </w:tcBorders>
            <w:vAlign w:val="center"/>
          </w:tcPr>
          <w:p w14:paraId="45CF8818">
            <w:pPr>
              <w:autoSpaceDE w:val="0"/>
              <w:autoSpaceDN w:val="0"/>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p>
        </w:tc>
      </w:tr>
    </w:tbl>
    <w:p w14:paraId="45A813F1">
      <w:pPr>
        <w:adjustRightInd w:val="0"/>
        <w:snapToGrid w:val="0"/>
        <w:spacing w:line="360" w:lineRule="auto"/>
        <w:jc w:val="left"/>
        <w:rPr>
          <w:rFonts w:ascii="宋体" w:hAnsi="宋体" w:cs="宋体"/>
          <w:b/>
          <w:color w:val="000000" w:themeColor="text1"/>
          <w:szCs w:val="21"/>
          <w:highlight w:val="none"/>
          <w14:textFill>
            <w14:solidFill>
              <w14:schemeClr w14:val="tx1"/>
            </w14:solidFill>
          </w14:textFill>
        </w:rPr>
      </w:pPr>
    </w:p>
    <w:p w14:paraId="0CAA960B">
      <w:pPr>
        <w:spacing w:line="360" w:lineRule="auto"/>
        <w:jc w:val="center"/>
        <w:rPr>
          <w:rFonts w:hint="eastAsia" w:ascii="宋体" w:hAnsi="宋体" w:cs="宋体"/>
          <w:color w:val="000000" w:themeColor="text1"/>
          <w:szCs w:val="21"/>
          <w:highlight w:val="none"/>
          <w14:textFill>
            <w14:solidFill>
              <w14:schemeClr w14:val="tx1"/>
            </w14:solidFill>
          </w14:textFill>
        </w:rPr>
      </w:pPr>
    </w:p>
    <w:p w14:paraId="2E11D015">
      <w:pPr>
        <w:spacing w:line="360" w:lineRule="auto"/>
        <w:jc w:val="cente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AD4263F">
      <w:pPr>
        <w:spacing w:line="360" w:lineRule="auto"/>
        <w:ind w:firstLine="2310" w:firstLineChars="11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058584B7">
      <w:pPr>
        <w:spacing w:line="360" w:lineRule="auto"/>
        <w:ind w:firstLine="4200" w:firstLineChars="20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4CB72FE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3B33F4C">
      <w:pPr>
        <w:jc w:val="center"/>
        <w:outlineLvl w:val="1"/>
        <w:rPr>
          <w:rFonts w:hint="eastAsia" w:ascii="宋体" w:hAnsi="宋体" w:cs="宋体"/>
          <w:b/>
          <w:color w:val="000000" w:themeColor="text1"/>
          <w:sz w:val="24"/>
          <w:szCs w:val="24"/>
          <w:highlight w:val="none"/>
          <w14:textFill>
            <w14:solidFill>
              <w14:schemeClr w14:val="tx1"/>
            </w14:solidFill>
          </w14:textFill>
        </w:rPr>
      </w:pPr>
      <w:bookmarkStart w:id="74" w:name="_Toc13585"/>
      <w:r>
        <w:rPr>
          <w:rFonts w:hint="eastAsia" w:ascii="宋体" w:hAnsi="宋体" w:cs="宋体"/>
          <w:b/>
          <w:color w:val="000000" w:themeColor="text1"/>
          <w:sz w:val="32"/>
          <w:szCs w:val="32"/>
          <w:highlight w:val="none"/>
          <w14:textFill>
            <w14:solidFill>
              <w14:schemeClr w14:val="tx1"/>
            </w14:solidFill>
          </w14:textFill>
        </w:rPr>
        <w:t>二、法定代表人（单位负责人）身份证明或</w:t>
      </w:r>
      <w:r>
        <w:rPr>
          <w:rFonts w:hint="eastAsia" w:ascii="宋体" w:hAnsi="宋体" w:cs="宋体"/>
          <w:b/>
          <w:color w:val="000000" w:themeColor="text1"/>
          <w:spacing w:val="2"/>
          <w:sz w:val="32"/>
          <w:szCs w:val="32"/>
          <w:highlight w:val="none"/>
          <w14:textFill>
            <w14:solidFill>
              <w14:schemeClr w14:val="tx1"/>
            </w14:solidFill>
          </w14:textFill>
        </w:rPr>
        <w:t>授权委托书</w:t>
      </w:r>
      <w:bookmarkStart w:id="75" w:name="OLE_LINK110"/>
      <w:bookmarkStart w:id="76" w:name="OLE_LINK109"/>
    </w:p>
    <w:p w14:paraId="724BDF05">
      <w:pPr>
        <w:spacing w:line="360" w:lineRule="auto"/>
        <w:jc w:val="center"/>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（一）法定代表人（单位负责人）身份证明</w:t>
      </w:r>
    </w:p>
    <w:bookmarkEnd w:id="75"/>
    <w:p w14:paraId="7FB7A566">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r>
        <w:rPr>
          <w:rFonts w:hint="eastAsia" w:ascii="宋体" w:hAnsi="宋体" w:cs="宋体"/>
          <w:color w:val="000000" w:themeColor="text1"/>
          <w:szCs w:val="21"/>
          <w:highlight w:val="none"/>
          <w:u w:val="single"/>
          <w14:textFill>
            <w14:solidFill>
              <w14:schemeClr w14:val="tx1"/>
            </w14:solidFill>
          </w14:textFill>
        </w:rPr>
        <w:t xml:space="preserve">                           </w:t>
      </w:r>
    </w:p>
    <w:p w14:paraId="652DA9F8">
      <w:pPr>
        <w:spacing w:line="360" w:lineRule="auto"/>
        <w:jc w:val="left"/>
        <w:rPr>
          <w:rFonts w:ascii="宋体" w:hAnsi="宋体" w:cs="宋体"/>
          <w:color w:val="000000" w:themeColor="text1"/>
          <w:spacing w:val="1"/>
          <w:szCs w:val="21"/>
          <w:highlight w:val="none"/>
          <w:u w:val="singl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pacing w:val="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职务：</w:t>
      </w:r>
      <w:r>
        <w:rPr>
          <w:rFonts w:hint="eastAsia" w:ascii="宋体" w:hAnsi="宋体" w:cs="宋体"/>
          <w:color w:val="000000" w:themeColor="text1"/>
          <w:szCs w:val="21"/>
          <w:highlight w:val="none"/>
          <w:u w:val="single"/>
          <w14:textFill>
            <w14:solidFill>
              <w14:schemeClr w14:val="tx1"/>
            </w14:solidFill>
          </w14:textFill>
        </w:rPr>
        <w:t xml:space="preserve">       </w:t>
      </w:r>
    </w:p>
    <w:p w14:paraId="0A8AC30E">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系   （供应商名称）     的法</w:t>
      </w:r>
      <w:r>
        <w:rPr>
          <w:rFonts w:hint="eastAsia" w:ascii="宋体" w:hAnsi="宋体" w:cs="宋体"/>
          <w:color w:val="000000" w:themeColor="text1"/>
          <w:spacing w:val="-5"/>
          <w:szCs w:val="21"/>
          <w:highlight w:val="none"/>
          <w14:textFill>
            <w14:solidFill>
              <w14:schemeClr w14:val="tx1"/>
            </w14:solidFill>
          </w14:textFill>
        </w:rPr>
        <w:t>定代表人（单位负责人）。</w:t>
      </w:r>
    </w:p>
    <w:p w14:paraId="5F610D8B">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特此证明。</w:t>
      </w:r>
    </w:p>
    <w:p w14:paraId="6CB3AD96">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附：法定代表人（单位负责人）身份证复印件。</w:t>
      </w:r>
    </w:p>
    <w:p w14:paraId="0671BDCE">
      <w:pPr>
        <w:spacing w:line="360" w:lineRule="auto"/>
        <w:jc w:val="right"/>
        <w:rPr>
          <w:rFonts w:ascii="宋体" w:hAnsi="宋体" w:cs="宋体"/>
          <w:color w:val="000000" w:themeColor="text1"/>
          <w:szCs w:val="21"/>
          <w:highlight w:val="none"/>
          <w14:textFill>
            <w14:solidFill>
              <w14:schemeClr w14:val="tx1"/>
            </w14:solidFill>
          </w14:textFill>
        </w:rPr>
      </w:pPr>
    </w:p>
    <w:p w14:paraId="0E902666">
      <w:pPr>
        <w:spacing w:line="360" w:lineRule="auto"/>
        <w:jc w:val="right"/>
        <w:rPr>
          <w:rFonts w:ascii="宋体" w:hAnsi="宋体" w:cs="宋体"/>
          <w:color w:val="000000" w:themeColor="text1"/>
          <w:szCs w:val="21"/>
          <w:highlight w:val="none"/>
          <w14:textFill>
            <w14:solidFill>
              <w14:schemeClr w14:val="tx1"/>
            </w14:solidFill>
          </w14:textFill>
        </w:rPr>
      </w:pPr>
    </w:p>
    <w:p w14:paraId="445778EE">
      <w:pPr>
        <w:spacing w:line="360" w:lineRule="auto"/>
        <w:jc w:val="right"/>
        <w:rPr>
          <w:rFonts w:ascii="宋体" w:hAnsi="宋体" w:cs="宋体"/>
          <w:color w:val="000000" w:themeColor="text1"/>
          <w:szCs w:val="21"/>
          <w:highlight w:val="none"/>
          <w14:textFill>
            <w14:solidFill>
              <w14:schemeClr w14:val="tx1"/>
            </w14:solidFill>
          </w14:textFill>
        </w:rPr>
      </w:pPr>
    </w:p>
    <w:p w14:paraId="6DB103CD">
      <w:pPr>
        <w:spacing w:line="360" w:lineRule="auto"/>
        <w:jc w:val="right"/>
        <w:rPr>
          <w:rFonts w:ascii="宋体" w:hAnsi="宋体" w:cs="宋体"/>
          <w:color w:val="000000" w:themeColor="text1"/>
          <w:szCs w:val="21"/>
          <w:highlight w:val="none"/>
          <w14:textFill>
            <w14:solidFill>
              <w14:schemeClr w14:val="tx1"/>
            </w14:solidFill>
          </w14:textFill>
        </w:rPr>
      </w:pPr>
    </w:p>
    <w:p w14:paraId="10EE5D3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938E4C9">
      <w:pPr>
        <w:spacing w:line="360" w:lineRule="auto"/>
        <w:jc w:val="right"/>
        <w:rPr>
          <w:rFonts w:ascii="宋体" w:hAnsi="宋体" w:cs="宋体"/>
          <w:color w:val="000000" w:themeColor="text1"/>
          <w:szCs w:val="21"/>
          <w:highlight w:val="none"/>
          <w14:textFill>
            <w14:solidFill>
              <w14:schemeClr w14:val="tx1"/>
            </w14:solidFill>
          </w14:textFill>
        </w:rPr>
      </w:pPr>
    </w:p>
    <w:p w14:paraId="1B86E266">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1F1F0D8C">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5230AADE">
      <w:pPr>
        <w:spacing w:line="360" w:lineRule="auto"/>
        <w:ind w:firstLine="4410" w:firstLineChars="2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76"/>
    <w:p w14:paraId="3BC37057">
      <w:pPr>
        <w:spacing w:before="660" w:line="221" w:lineRule="exact"/>
        <w:ind w:right="424" w:firstLine="4840" w:firstLineChars="2000"/>
        <w:rPr>
          <w:rFonts w:ascii="宋体" w:hAnsi="宋体" w:cs="宋体"/>
          <w:color w:val="000000" w:themeColor="text1"/>
          <w:spacing w:val="1"/>
          <w:sz w:val="24"/>
          <w:szCs w:val="24"/>
          <w:highlight w:val="none"/>
          <w14:textFill>
            <w14:solidFill>
              <w14:schemeClr w14:val="tx1"/>
            </w14:solidFill>
          </w14:textFill>
        </w:rPr>
      </w:pPr>
    </w:p>
    <w:p w14:paraId="4CE0B3AA">
      <w:pPr>
        <w:rPr>
          <w:color w:val="000000" w:themeColor="text1"/>
          <w:highlight w:val="none"/>
          <w14:textFill>
            <w14:solidFill>
              <w14:schemeClr w14:val="tx1"/>
            </w14:solidFill>
          </w14:textFill>
        </w:rPr>
        <w:sectPr>
          <w:headerReference r:id="rId8" w:type="default"/>
          <w:footerReference r:id="rId9" w:type="default"/>
          <w:pgSz w:w="11905" w:h="16838"/>
          <w:pgMar w:top="1417" w:right="1417" w:bottom="1417" w:left="1417" w:header="850" w:footer="850" w:gutter="0"/>
          <w:pgNumType w:fmt="decimal"/>
          <w:cols w:space="720" w:num="1"/>
          <w:docGrid w:type="linesAndChars" w:linePitch="318" w:charSpace="0"/>
        </w:sectPr>
      </w:pPr>
    </w:p>
    <w:p w14:paraId="3DF2BAE1">
      <w:pPr>
        <w:spacing w:line="360" w:lineRule="auto"/>
        <w:jc w:val="center"/>
        <w:outlineLvl w:val="2"/>
        <w:rPr>
          <w:rFonts w:ascii="宋体" w:hAnsi="宋体" w:cs="宋体"/>
          <w:b/>
          <w:color w:val="000000" w:themeColor="text1"/>
          <w:spacing w:val="2"/>
          <w:sz w:val="24"/>
          <w:szCs w:val="24"/>
          <w:highlight w:val="none"/>
          <w14:textFill>
            <w14:solidFill>
              <w14:schemeClr w14:val="tx1"/>
            </w14:solidFill>
          </w14:textFill>
        </w:rPr>
      </w:pPr>
      <w:bookmarkStart w:id="77" w:name="OLE_LINK111"/>
      <w:r>
        <w:rPr>
          <w:rFonts w:hint="eastAsia" w:ascii="宋体" w:hAnsi="宋体" w:cs="宋体"/>
          <w:b/>
          <w:color w:val="000000" w:themeColor="text1"/>
          <w:spacing w:val="2"/>
          <w:sz w:val="24"/>
          <w:szCs w:val="24"/>
          <w:highlight w:val="none"/>
          <w14:textFill>
            <w14:solidFill>
              <w14:schemeClr w14:val="tx1"/>
            </w14:solidFill>
          </w14:textFill>
        </w:rPr>
        <w:t>（二）授权委托书</w:t>
      </w:r>
    </w:p>
    <w:bookmarkEnd w:id="77"/>
    <w:p w14:paraId="3F0986B4">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bookmarkStart w:id="78" w:name="OLE_LINK112"/>
    </w:p>
    <w:p w14:paraId="50F61C36">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（姓名） </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（供应商名称） </w:t>
      </w:r>
      <w:r>
        <w:rPr>
          <w:rFonts w:hint="eastAsia" w:ascii="宋体" w:hAnsi="宋体" w:cs="宋体"/>
          <w:color w:val="000000" w:themeColor="text1"/>
          <w:szCs w:val="21"/>
          <w:highlight w:val="none"/>
          <w14:textFill>
            <w14:solidFill>
              <w14:schemeClr w14:val="tx1"/>
            </w14:solidFill>
          </w14:textFill>
        </w:rPr>
        <w:t>的法定代表人（单位负责人），现委托</w:t>
      </w:r>
      <w:r>
        <w:rPr>
          <w:rFonts w:hint="eastAsia" w:ascii="宋体" w:hAnsi="宋体" w:cs="宋体"/>
          <w:color w:val="000000" w:themeColor="text1"/>
          <w:szCs w:val="21"/>
          <w:highlight w:val="none"/>
          <w:u w:val="single"/>
          <w14:textFill>
            <w14:solidFill>
              <w14:schemeClr w14:val="tx1"/>
            </w14:solidFill>
          </w14:textFill>
        </w:rPr>
        <w:t xml:space="preserve"> （姓名）</w:t>
      </w:r>
      <w:r>
        <w:rPr>
          <w:rFonts w:hint="eastAsia" w:ascii="宋体" w:hAnsi="宋体" w:cs="宋体"/>
          <w:color w:val="000000" w:themeColor="text1"/>
          <w:szCs w:val="21"/>
          <w:highlight w:val="none"/>
          <w14:textFill>
            <w14:solidFill>
              <w14:schemeClr w14:val="tx1"/>
            </w14:solidFill>
          </w14:textFill>
        </w:rPr>
        <w:t>为我方代理人。代理人根据授权，以我方名义签署、澄清确认、递交、撤回、修改</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项目响应文件、签订合同和处理有关事宜，其法律后果由我方承担。</w:t>
      </w:r>
    </w:p>
    <w:p w14:paraId="36763E05">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该代理人无转委托权，本授权书自委托之日起生效至竞争性磋商响应文件递交截止时间后90天。特此声明。</w:t>
      </w:r>
    </w:p>
    <w:p w14:paraId="36172C83">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附：法定代表人（单位负责人）身份证复印件及委托代理人身份证复印件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0"/>
        <w:gridCol w:w="4100"/>
      </w:tblGrid>
      <w:tr w14:paraId="6549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jc w:val="center"/>
        </w:trPr>
        <w:tc>
          <w:tcPr>
            <w:tcW w:w="4100" w:type="dxa"/>
          </w:tcPr>
          <w:p w14:paraId="42453927">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法定代表人（单位负责人）</w:t>
            </w:r>
          </w:p>
          <w:p w14:paraId="47C878B3">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身份证复印件（正反面）</w:t>
            </w:r>
          </w:p>
        </w:tc>
        <w:tc>
          <w:tcPr>
            <w:tcW w:w="4100" w:type="dxa"/>
          </w:tcPr>
          <w:p w14:paraId="1C43C37C">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p>
          <w:p w14:paraId="781D01B5">
            <w:pPr>
              <w:spacing w:line="360" w:lineRule="auto"/>
              <w:ind w:left="13" w:hanging="12" w:hangingChars="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身份证复印件（正反面）</w:t>
            </w:r>
          </w:p>
        </w:tc>
      </w:tr>
    </w:tbl>
    <w:p w14:paraId="491DDEFE">
      <w:pPr>
        <w:spacing w:line="360" w:lineRule="auto"/>
        <w:ind w:left="13" w:hanging="12" w:hanging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注：本授权委托书需由供应商加盖单位公章并由其法定代表人（单位负责人）和委托代理人签字或盖盖章。</w:t>
      </w:r>
    </w:p>
    <w:p w14:paraId="21980F21">
      <w:pPr>
        <w:spacing w:line="360" w:lineRule="auto"/>
        <w:ind w:left="13" w:hanging="12" w:hangingChars="6"/>
        <w:jc w:val="left"/>
        <w:rPr>
          <w:rFonts w:ascii="宋体" w:hAnsi="宋体" w:cs="宋体"/>
          <w:color w:val="000000" w:themeColor="text1"/>
          <w:szCs w:val="21"/>
          <w:highlight w:val="none"/>
          <w14:textFill>
            <w14:solidFill>
              <w14:schemeClr w14:val="tx1"/>
            </w14:solidFill>
          </w14:textFill>
        </w:rPr>
      </w:pPr>
    </w:p>
    <w:p w14:paraId="43386BA2">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44663B7C">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18CB2E1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78"/>
    <w:p w14:paraId="4B7F75AA">
      <w:pPr>
        <w:rPr>
          <w:rFonts w:ascii="宋体" w:hAnsi="宋体" w:cs="宋体"/>
          <w:b/>
          <w:color w:val="000000" w:themeColor="text1"/>
          <w:spacing w:val="2"/>
          <w:sz w:val="28"/>
          <w:szCs w:val="28"/>
          <w:highlight w:val="none"/>
          <w14:textFill>
            <w14:solidFill>
              <w14:schemeClr w14:val="tx1"/>
            </w14:solidFill>
          </w14:textFill>
        </w:rPr>
      </w:pPr>
      <w:r>
        <w:rPr>
          <w:rFonts w:hint="eastAsia" w:ascii="宋体" w:hAnsi="宋体" w:cs="宋体"/>
          <w:b/>
          <w:color w:val="000000" w:themeColor="text1"/>
          <w:spacing w:val="2"/>
          <w:sz w:val="28"/>
          <w:szCs w:val="28"/>
          <w:highlight w:val="none"/>
          <w14:textFill>
            <w14:solidFill>
              <w14:schemeClr w14:val="tx1"/>
            </w14:solidFill>
          </w14:textFill>
        </w:rPr>
        <w:br w:type="page"/>
      </w:r>
    </w:p>
    <w:p w14:paraId="6FE1EEE7">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bookmarkStart w:id="79" w:name="OLE_LINK113"/>
      <w:r>
        <w:rPr>
          <w:rFonts w:hint="eastAsia" w:ascii="宋体" w:hAnsi="宋体" w:eastAsia="宋体" w:cs="宋体"/>
          <w:b/>
          <w:color w:val="000000" w:themeColor="text1"/>
          <w:sz w:val="32"/>
          <w:szCs w:val="32"/>
          <w:highlight w:val="none"/>
          <w:lang w:val="zh-CN"/>
          <w14:textFill>
            <w14:solidFill>
              <w14:schemeClr w14:val="tx1"/>
            </w14:solidFill>
          </w14:textFill>
        </w:rPr>
        <w:t>三、商务和技术偏差表</w:t>
      </w:r>
    </w:p>
    <w:bookmarkEnd w:id="79"/>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3349"/>
        <w:gridCol w:w="3029"/>
        <w:gridCol w:w="1383"/>
      </w:tblGrid>
      <w:tr w14:paraId="202E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89FB5A8">
            <w:pPr>
              <w:spacing w:line="360" w:lineRule="auto"/>
              <w:jc w:val="center"/>
              <w:rPr>
                <w:rFonts w:ascii="宋体" w:hAnsi="宋体" w:cs="宋体"/>
                <w:color w:val="000000" w:themeColor="text1"/>
                <w:spacing w:val="1"/>
                <w:szCs w:val="21"/>
                <w:highlight w:val="none"/>
                <w14:textFill>
                  <w14:solidFill>
                    <w14:schemeClr w14:val="tx1"/>
                  </w14:solidFill>
                </w14:textFill>
              </w:rPr>
            </w:pPr>
            <w:bookmarkStart w:id="80" w:name="OLE_LINK114"/>
            <w:r>
              <w:rPr>
                <w:rFonts w:hint="eastAsia" w:ascii="宋体" w:hAnsi="宋体" w:cs="宋体"/>
                <w:color w:val="000000" w:themeColor="text1"/>
                <w:spacing w:val="1"/>
                <w:szCs w:val="21"/>
                <w:highlight w:val="none"/>
                <w14:textFill>
                  <w14:solidFill>
                    <w14:schemeClr w14:val="tx1"/>
                  </w14:solidFill>
                </w14:textFill>
              </w:rPr>
              <w:t>序号</w:t>
            </w:r>
          </w:p>
        </w:tc>
        <w:tc>
          <w:tcPr>
            <w:tcW w:w="3349" w:type="dxa"/>
            <w:vAlign w:val="center"/>
          </w:tcPr>
          <w:p w14:paraId="5F1635EB">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竞争性磋商文件要求内容</w:t>
            </w:r>
          </w:p>
        </w:tc>
        <w:tc>
          <w:tcPr>
            <w:tcW w:w="3029" w:type="dxa"/>
            <w:vAlign w:val="center"/>
          </w:tcPr>
          <w:p w14:paraId="4E8CA34C">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竞争性磋商响应文件响应内容</w:t>
            </w:r>
          </w:p>
        </w:tc>
        <w:tc>
          <w:tcPr>
            <w:tcW w:w="1383" w:type="dxa"/>
            <w:vAlign w:val="center"/>
          </w:tcPr>
          <w:p w14:paraId="1E3041EF">
            <w:pPr>
              <w:spacing w:line="360" w:lineRule="auto"/>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偏差说明</w:t>
            </w:r>
          </w:p>
        </w:tc>
      </w:tr>
      <w:tr w14:paraId="3664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5F3228FD">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w:t>
            </w:r>
          </w:p>
        </w:tc>
        <w:tc>
          <w:tcPr>
            <w:tcW w:w="3349" w:type="dxa"/>
            <w:vAlign w:val="center"/>
          </w:tcPr>
          <w:p w14:paraId="14F977FA">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512BE6EF">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09A603DB">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735D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3E416E71">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2</w:t>
            </w:r>
          </w:p>
        </w:tc>
        <w:tc>
          <w:tcPr>
            <w:tcW w:w="3349" w:type="dxa"/>
            <w:vAlign w:val="center"/>
          </w:tcPr>
          <w:p w14:paraId="1FCC03BD">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5B255087">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3B14B5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6914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26C9907">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3</w:t>
            </w:r>
          </w:p>
        </w:tc>
        <w:tc>
          <w:tcPr>
            <w:tcW w:w="3349" w:type="dxa"/>
            <w:vAlign w:val="center"/>
          </w:tcPr>
          <w:p w14:paraId="1B681AB2">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CB8DFD5">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5EE4994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7F59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2AF529BB">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4</w:t>
            </w:r>
          </w:p>
        </w:tc>
        <w:tc>
          <w:tcPr>
            <w:tcW w:w="3349" w:type="dxa"/>
            <w:vAlign w:val="center"/>
          </w:tcPr>
          <w:p w14:paraId="267EC892">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2E0E419">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17182B6">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4472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600327B2">
            <w:pPr>
              <w:spacing w:line="221" w:lineRule="exact"/>
              <w:jc w:val="center"/>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5</w:t>
            </w:r>
          </w:p>
        </w:tc>
        <w:tc>
          <w:tcPr>
            <w:tcW w:w="3349" w:type="dxa"/>
            <w:vAlign w:val="center"/>
          </w:tcPr>
          <w:p w14:paraId="7900AE43">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3029" w:type="dxa"/>
            <w:vAlign w:val="center"/>
          </w:tcPr>
          <w:p w14:paraId="6E5E67AF">
            <w:pPr>
              <w:spacing w:line="221" w:lineRule="exact"/>
              <w:jc w:val="center"/>
              <w:rPr>
                <w:rFonts w:ascii="宋体" w:hAnsi="宋体" w:cs="宋体"/>
                <w:color w:val="000000" w:themeColor="text1"/>
                <w:spacing w:val="1"/>
                <w:szCs w:val="21"/>
                <w:highlight w:val="none"/>
                <w14:textFill>
                  <w14:solidFill>
                    <w14:schemeClr w14:val="tx1"/>
                  </w14:solidFill>
                </w14:textFill>
              </w:rPr>
            </w:pPr>
          </w:p>
        </w:tc>
        <w:tc>
          <w:tcPr>
            <w:tcW w:w="1383" w:type="dxa"/>
            <w:vAlign w:val="center"/>
          </w:tcPr>
          <w:p w14:paraId="60D83184">
            <w:pPr>
              <w:spacing w:line="221" w:lineRule="exact"/>
              <w:jc w:val="center"/>
              <w:rPr>
                <w:rFonts w:ascii="宋体" w:hAnsi="宋体" w:cs="宋体"/>
                <w:color w:val="000000" w:themeColor="text1"/>
                <w:spacing w:val="1"/>
                <w:szCs w:val="21"/>
                <w:highlight w:val="none"/>
                <w14:textFill>
                  <w14:solidFill>
                    <w14:schemeClr w14:val="tx1"/>
                  </w14:solidFill>
                </w14:textFill>
              </w:rPr>
            </w:pPr>
          </w:p>
        </w:tc>
      </w:tr>
      <w:tr w14:paraId="6102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63" w:type="dxa"/>
            <w:vAlign w:val="center"/>
          </w:tcPr>
          <w:p w14:paraId="740A529A">
            <w:pPr>
              <w:spacing w:line="360" w:lineRule="auto"/>
              <w:jc w:val="center"/>
              <w:rPr>
                <w:rFonts w:ascii="宋体" w:hAnsi="宋体" w:cs="宋体"/>
                <w:b/>
                <w:bCs/>
                <w:color w:val="000000" w:themeColor="text1"/>
                <w:spacing w:val="1"/>
                <w:szCs w:val="21"/>
                <w:highlight w:val="none"/>
                <w14:textFill>
                  <w14:solidFill>
                    <w14:schemeClr w14:val="tx1"/>
                  </w14:solidFill>
                </w14:textFill>
              </w:rPr>
            </w:pPr>
            <w:r>
              <w:rPr>
                <w:rFonts w:hint="eastAsia" w:ascii="宋体" w:hAnsi="宋体" w:cs="宋体"/>
                <w:b/>
                <w:bCs/>
                <w:color w:val="000000" w:themeColor="text1"/>
                <w:spacing w:val="1"/>
                <w:szCs w:val="21"/>
                <w:highlight w:val="none"/>
                <w14:textFill>
                  <w14:solidFill>
                    <w14:schemeClr w14:val="tx1"/>
                  </w14:solidFill>
                </w14:textFill>
              </w:rPr>
              <w:t>备注</w:t>
            </w:r>
          </w:p>
        </w:tc>
        <w:tc>
          <w:tcPr>
            <w:tcW w:w="7761" w:type="dxa"/>
            <w:gridSpan w:val="3"/>
            <w:vAlign w:val="center"/>
          </w:tcPr>
          <w:p w14:paraId="00945313">
            <w:pPr>
              <w:spacing w:line="360" w:lineRule="auto"/>
              <w:jc w:val="left"/>
              <w:rPr>
                <w:rFonts w:ascii="宋体" w:hAnsi="宋体" w:cs="宋体"/>
                <w:b/>
                <w:bCs/>
                <w:color w:val="000000" w:themeColor="text1"/>
                <w:spacing w:val="1"/>
                <w:szCs w:val="21"/>
                <w:highlight w:val="none"/>
                <w14:textFill>
                  <w14:solidFill>
                    <w14:schemeClr w14:val="tx1"/>
                  </w14:solidFill>
                </w14:textFill>
              </w:rPr>
            </w:pPr>
          </w:p>
        </w:tc>
      </w:tr>
    </w:tbl>
    <w:p w14:paraId="5FC5089D">
      <w:pPr>
        <w:spacing w:line="360" w:lineRule="auto"/>
        <w:jc w:val="left"/>
        <w:rPr>
          <w:rFonts w:ascii="宋体" w:hAnsi="宋体" w:cs="宋体"/>
          <w:color w:val="000000" w:themeColor="text1"/>
          <w:szCs w:val="21"/>
          <w:highlight w:val="none"/>
          <w14:textFill>
            <w14:solidFill>
              <w14:schemeClr w14:val="tx1"/>
            </w14:solidFill>
          </w14:textFill>
        </w:rPr>
      </w:pPr>
    </w:p>
    <w:p w14:paraId="1AF5096B">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2AE92D9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承诺响应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要求和有关条件，上栏可不填写，但本页必须满足盖章要求；</w:t>
      </w:r>
    </w:p>
    <w:p w14:paraId="1B6C0877">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不仅承诺响应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要求和有关条件，还有其他有利于采购人的承诺，则必须在上栏中予以具体说明；</w:t>
      </w:r>
    </w:p>
    <w:p w14:paraId="77C0ED1D">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3、如</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不承诺完全响应</w:t>
      </w:r>
      <w:r>
        <w:rPr>
          <w:rFonts w:hint="eastAsia" w:ascii="宋体" w:hAnsi="宋体" w:eastAsia="宋体" w:cs="宋体"/>
          <w:b/>
          <w:bCs/>
          <w:color w:val="auto"/>
          <w:sz w:val="21"/>
          <w:szCs w:val="21"/>
          <w:highlight w:val="none"/>
          <w:lang w:val="en-US" w:eastAsia="zh-CN"/>
        </w:rPr>
        <w:t>竞争性磋商</w:t>
      </w:r>
      <w:r>
        <w:rPr>
          <w:rFonts w:hint="eastAsia" w:ascii="宋体" w:hAnsi="宋体" w:eastAsia="宋体" w:cs="宋体"/>
          <w:b/>
          <w:bCs/>
          <w:color w:val="auto"/>
          <w:sz w:val="21"/>
          <w:szCs w:val="21"/>
          <w:highlight w:val="none"/>
        </w:rPr>
        <w:t>文件中规定的实质性商务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要求和有关条件，必须对不响应部分的内容予以具体说明。</w:t>
      </w:r>
    </w:p>
    <w:p w14:paraId="70F56400">
      <w:pPr>
        <w:spacing w:line="720" w:lineRule="auto"/>
        <w:jc w:val="left"/>
        <w:rPr>
          <w:rFonts w:ascii="宋体" w:hAnsi="宋体" w:cs="宋体"/>
          <w:color w:val="000000" w:themeColor="text1"/>
          <w:szCs w:val="21"/>
          <w:highlight w:val="none"/>
          <w14:textFill>
            <w14:solidFill>
              <w14:schemeClr w14:val="tx1"/>
            </w14:solidFill>
          </w14:textFill>
        </w:rPr>
      </w:pPr>
    </w:p>
    <w:p w14:paraId="695DBEC9">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1E3E62AB">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18057B3A">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bookmarkEnd w:id="80"/>
    <w:p w14:paraId="7CBC3C99">
      <w:pP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br w:type="page"/>
      </w:r>
    </w:p>
    <w:p w14:paraId="1AB0168C">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bookmarkStart w:id="81" w:name="OLE_LINK115"/>
      <w:r>
        <w:rPr>
          <w:rFonts w:hint="eastAsia" w:ascii="宋体" w:hAnsi="宋体" w:eastAsia="宋体" w:cs="宋体"/>
          <w:b/>
          <w:color w:val="000000" w:themeColor="text1"/>
          <w:sz w:val="32"/>
          <w:szCs w:val="32"/>
          <w:highlight w:val="none"/>
          <w:lang w:val="zh-CN"/>
          <w14:textFill>
            <w14:solidFill>
              <w14:schemeClr w14:val="tx1"/>
            </w14:solidFill>
          </w14:textFill>
        </w:rPr>
        <w:t>四、资格审查资料</w:t>
      </w:r>
    </w:p>
    <w:bookmarkEnd w:id="81"/>
    <w:p w14:paraId="7EAE0267">
      <w:pPr>
        <w:spacing w:line="360" w:lineRule="auto"/>
        <w:jc w:val="center"/>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基本情况表</w:t>
      </w:r>
    </w:p>
    <w:tbl>
      <w:tblPr>
        <w:tblStyle w:val="18"/>
        <w:tblW w:w="8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14"/>
        <w:gridCol w:w="1179"/>
        <w:gridCol w:w="1620"/>
        <w:gridCol w:w="1577"/>
        <w:gridCol w:w="1772"/>
      </w:tblGrid>
      <w:tr w14:paraId="1774D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73B6E7B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148" w:type="dxa"/>
            <w:gridSpan w:val="4"/>
            <w:vAlign w:val="center"/>
          </w:tcPr>
          <w:p w14:paraId="448AAF17">
            <w:pPr>
              <w:spacing w:line="360" w:lineRule="auto"/>
              <w:jc w:val="center"/>
              <w:rPr>
                <w:rFonts w:ascii="宋体" w:hAnsi="宋体" w:cs="宋体"/>
                <w:color w:val="000000" w:themeColor="text1"/>
                <w:szCs w:val="21"/>
                <w:highlight w:val="none"/>
                <w14:textFill>
                  <w14:solidFill>
                    <w14:schemeClr w14:val="tx1"/>
                  </w14:solidFill>
                </w14:textFill>
              </w:rPr>
            </w:pPr>
          </w:p>
        </w:tc>
      </w:tr>
      <w:tr w14:paraId="74602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362C266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2799" w:type="dxa"/>
            <w:gridSpan w:val="2"/>
            <w:vAlign w:val="center"/>
          </w:tcPr>
          <w:p w14:paraId="14EABFA9">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5EC55D8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1772" w:type="dxa"/>
            <w:vAlign w:val="center"/>
          </w:tcPr>
          <w:p w14:paraId="5686368D">
            <w:pPr>
              <w:spacing w:line="360" w:lineRule="auto"/>
              <w:jc w:val="center"/>
              <w:rPr>
                <w:rFonts w:ascii="宋体" w:hAnsi="宋体" w:cs="宋体"/>
                <w:color w:val="000000" w:themeColor="text1"/>
                <w:szCs w:val="21"/>
                <w:highlight w:val="none"/>
                <w14:textFill>
                  <w14:solidFill>
                    <w14:schemeClr w14:val="tx1"/>
                  </w14:solidFill>
                </w14:textFill>
              </w:rPr>
            </w:pPr>
          </w:p>
        </w:tc>
      </w:tr>
      <w:tr w14:paraId="2F8A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5D4DEB2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6148" w:type="dxa"/>
            <w:gridSpan w:val="4"/>
            <w:vAlign w:val="center"/>
          </w:tcPr>
          <w:p w14:paraId="66B20BA9">
            <w:pPr>
              <w:spacing w:line="360" w:lineRule="auto"/>
              <w:jc w:val="center"/>
              <w:rPr>
                <w:rFonts w:ascii="宋体" w:hAnsi="宋体" w:cs="宋体"/>
                <w:color w:val="000000" w:themeColor="text1"/>
                <w:szCs w:val="21"/>
                <w:highlight w:val="none"/>
                <w14:textFill>
                  <w14:solidFill>
                    <w14:schemeClr w14:val="tx1"/>
                  </w14:solidFill>
                </w14:textFill>
              </w:rPr>
            </w:pPr>
          </w:p>
        </w:tc>
      </w:tr>
      <w:tr w14:paraId="77AF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44A5E0C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799" w:type="dxa"/>
            <w:gridSpan w:val="2"/>
            <w:vAlign w:val="center"/>
          </w:tcPr>
          <w:p w14:paraId="4033DC7A">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762EF51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员工总数</w:t>
            </w:r>
          </w:p>
        </w:tc>
        <w:tc>
          <w:tcPr>
            <w:tcW w:w="1772" w:type="dxa"/>
            <w:vAlign w:val="center"/>
          </w:tcPr>
          <w:p w14:paraId="2EED572C">
            <w:pPr>
              <w:spacing w:line="360" w:lineRule="auto"/>
              <w:jc w:val="center"/>
              <w:rPr>
                <w:rFonts w:ascii="宋体" w:hAnsi="宋体" w:cs="宋体"/>
                <w:color w:val="000000" w:themeColor="text1"/>
                <w:szCs w:val="21"/>
                <w:highlight w:val="none"/>
                <w14:textFill>
                  <w14:solidFill>
                    <w14:schemeClr w14:val="tx1"/>
                  </w14:solidFill>
                </w14:textFill>
              </w:rPr>
            </w:pPr>
          </w:p>
        </w:tc>
      </w:tr>
      <w:tr w14:paraId="0AA4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restart"/>
            <w:vAlign w:val="center"/>
          </w:tcPr>
          <w:p w14:paraId="11B3216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1179" w:type="dxa"/>
            <w:vAlign w:val="center"/>
          </w:tcPr>
          <w:p w14:paraId="1522FF9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620" w:type="dxa"/>
            <w:vAlign w:val="center"/>
          </w:tcPr>
          <w:p w14:paraId="1B756071">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446F50E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772" w:type="dxa"/>
            <w:vAlign w:val="center"/>
          </w:tcPr>
          <w:p w14:paraId="37809A8E">
            <w:pPr>
              <w:spacing w:line="360" w:lineRule="auto"/>
              <w:jc w:val="center"/>
              <w:rPr>
                <w:rFonts w:ascii="宋体" w:hAnsi="宋体" w:cs="宋体"/>
                <w:color w:val="000000" w:themeColor="text1"/>
                <w:szCs w:val="21"/>
                <w:highlight w:val="none"/>
                <w14:textFill>
                  <w14:solidFill>
                    <w14:schemeClr w14:val="tx1"/>
                  </w14:solidFill>
                </w14:textFill>
              </w:rPr>
            </w:pPr>
          </w:p>
        </w:tc>
      </w:tr>
      <w:tr w14:paraId="414CE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Merge w:val="continue"/>
            <w:vAlign w:val="center"/>
          </w:tcPr>
          <w:p w14:paraId="1607E390">
            <w:pPr>
              <w:spacing w:line="360" w:lineRule="auto"/>
              <w:jc w:val="center"/>
              <w:rPr>
                <w:rFonts w:ascii="宋体" w:hAnsi="宋体" w:cs="宋体"/>
                <w:color w:val="000000" w:themeColor="text1"/>
                <w:szCs w:val="21"/>
                <w:highlight w:val="none"/>
                <w14:textFill>
                  <w14:solidFill>
                    <w14:schemeClr w14:val="tx1"/>
                  </w14:solidFill>
                </w14:textFill>
              </w:rPr>
            </w:pPr>
          </w:p>
        </w:tc>
        <w:tc>
          <w:tcPr>
            <w:tcW w:w="1179" w:type="dxa"/>
            <w:vAlign w:val="center"/>
          </w:tcPr>
          <w:p w14:paraId="7703E43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网址</w:t>
            </w:r>
          </w:p>
        </w:tc>
        <w:tc>
          <w:tcPr>
            <w:tcW w:w="1620" w:type="dxa"/>
            <w:vAlign w:val="center"/>
          </w:tcPr>
          <w:p w14:paraId="0B246B30">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71EF10B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p>
        </w:tc>
        <w:tc>
          <w:tcPr>
            <w:tcW w:w="1772" w:type="dxa"/>
            <w:vAlign w:val="center"/>
          </w:tcPr>
          <w:p w14:paraId="495B1FE4">
            <w:pPr>
              <w:spacing w:line="360" w:lineRule="auto"/>
              <w:jc w:val="center"/>
              <w:rPr>
                <w:rFonts w:ascii="宋体" w:hAnsi="宋体" w:cs="宋体"/>
                <w:color w:val="000000" w:themeColor="text1"/>
                <w:szCs w:val="21"/>
                <w:highlight w:val="none"/>
                <w14:textFill>
                  <w14:solidFill>
                    <w14:schemeClr w14:val="tx1"/>
                  </w14:solidFill>
                </w14:textFill>
              </w:rPr>
            </w:pPr>
          </w:p>
        </w:tc>
      </w:tr>
      <w:tr w14:paraId="0E7F5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27F6B35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p w14:paraId="11FF1D9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w:t>
            </w:r>
          </w:p>
        </w:tc>
        <w:tc>
          <w:tcPr>
            <w:tcW w:w="1179" w:type="dxa"/>
            <w:vAlign w:val="center"/>
          </w:tcPr>
          <w:p w14:paraId="33A365E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620" w:type="dxa"/>
            <w:vAlign w:val="center"/>
          </w:tcPr>
          <w:p w14:paraId="0843F87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77" w:type="dxa"/>
            <w:vAlign w:val="center"/>
          </w:tcPr>
          <w:p w14:paraId="5C3D618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772" w:type="dxa"/>
            <w:vAlign w:val="center"/>
          </w:tcPr>
          <w:p w14:paraId="6C27F120">
            <w:pPr>
              <w:spacing w:line="360" w:lineRule="auto"/>
              <w:jc w:val="center"/>
              <w:rPr>
                <w:rFonts w:ascii="宋体" w:hAnsi="宋体" w:cs="宋体"/>
                <w:color w:val="000000" w:themeColor="text1"/>
                <w:szCs w:val="21"/>
                <w:highlight w:val="none"/>
                <w14:textFill>
                  <w14:solidFill>
                    <w14:schemeClr w14:val="tx1"/>
                  </w14:solidFill>
                </w14:textFill>
              </w:rPr>
            </w:pPr>
          </w:p>
        </w:tc>
      </w:tr>
      <w:tr w14:paraId="4544B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714" w:type="dxa"/>
            <w:vAlign w:val="center"/>
          </w:tcPr>
          <w:p w14:paraId="07B38DFB">
            <w:pPr>
              <w:spacing w:before="120" w:after="24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供应商须知要求供应商需具有的各类资质证书（如有）</w:t>
            </w:r>
          </w:p>
        </w:tc>
        <w:tc>
          <w:tcPr>
            <w:tcW w:w="6148" w:type="dxa"/>
            <w:gridSpan w:val="4"/>
            <w:vAlign w:val="center"/>
          </w:tcPr>
          <w:p w14:paraId="3D61DF05">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类型：       等级：       证书号：</w:t>
            </w:r>
          </w:p>
        </w:tc>
      </w:tr>
      <w:tr w14:paraId="76836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38882F9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基本账户开户银行</w:t>
            </w:r>
          </w:p>
        </w:tc>
        <w:tc>
          <w:tcPr>
            <w:tcW w:w="6148" w:type="dxa"/>
            <w:gridSpan w:val="4"/>
            <w:vAlign w:val="center"/>
          </w:tcPr>
          <w:p w14:paraId="49DB894F">
            <w:pPr>
              <w:spacing w:line="360" w:lineRule="auto"/>
              <w:jc w:val="center"/>
              <w:rPr>
                <w:rFonts w:ascii="宋体" w:hAnsi="宋体" w:cs="宋体"/>
                <w:color w:val="000000" w:themeColor="text1"/>
                <w:szCs w:val="21"/>
                <w:highlight w:val="none"/>
                <w14:textFill>
                  <w14:solidFill>
                    <w14:schemeClr w14:val="tx1"/>
                  </w14:solidFill>
                </w14:textFill>
              </w:rPr>
            </w:pPr>
          </w:p>
        </w:tc>
      </w:tr>
      <w:tr w14:paraId="159A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14" w:type="dxa"/>
            <w:vAlign w:val="center"/>
          </w:tcPr>
          <w:p w14:paraId="15637EE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基本账户银行账号</w:t>
            </w:r>
          </w:p>
        </w:tc>
        <w:tc>
          <w:tcPr>
            <w:tcW w:w="6148" w:type="dxa"/>
            <w:gridSpan w:val="4"/>
            <w:vAlign w:val="center"/>
          </w:tcPr>
          <w:p w14:paraId="382DD349">
            <w:pPr>
              <w:spacing w:line="360" w:lineRule="auto"/>
              <w:jc w:val="center"/>
              <w:rPr>
                <w:rFonts w:ascii="宋体" w:hAnsi="宋体" w:cs="宋体"/>
                <w:color w:val="000000" w:themeColor="text1"/>
                <w:szCs w:val="21"/>
                <w:highlight w:val="none"/>
                <w14:textFill>
                  <w14:solidFill>
                    <w14:schemeClr w14:val="tx1"/>
                  </w14:solidFill>
                </w14:textFill>
              </w:rPr>
            </w:pPr>
          </w:p>
        </w:tc>
      </w:tr>
      <w:tr w14:paraId="59A6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4" w:hRule="atLeast"/>
          <w:jc w:val="center"/>
        </w:trPr>
        <w:tc>
          <w:tcPr>
            <w:tcW w:w="2714" w:type="dxa"/>
            <w:vAlign w:val="center"/>
          </w:tcPr>
          <w:p w14:paraId="29D641E7">
            <w:pPr>
              <w:spacing w:before="120" w:after="24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供应商关联企业情况（包括但不限于与供应商法定代表人（单位负责人）为同一人或者存在控股、管理关系的不同单位）</w:t>
            </w:r>
          </w:p>
        </w:tc>
        <w:tc>
          <w:tcPr>
            <w:tcW w:w="6148" w:type="dxa"/>
            <w:gridSpan w:val="4"/>
            <w:vAlign w:val="center"/>
          </w:tcPr>
          <w:p w14:paraId="36FAC9EA">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1.管理关系说明：</w:t>
            </w:r>
          </w:p>
          <w:p w14:paraId="28086C7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我单位管理的具有独立法人的下属单位有：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DC75E90">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我单位的上级管理单位有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774908AF">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2.股权关系说明：</w:t>
            </w:r>
          </w:p>
          <w:p w14:paraId="21481B8D">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我单位控股的单位有</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3EA9DF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我单位被</w:t>
            </w:r>
            <w:r>
              <w:rPr>
                <w:rFonts w:hint="eastAsia" w:ascii="宋体" w:hAnsi="宋体" w:cs="宋体"/>
                <w:i/>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单位控股。</w:t>
            </w:r>
          </w:p>
          <w:p w14:paraId="74C46F78">
            <w:pPr>
              <w:autoSpaceDE w:val="0"/>
              <w:autoSpaceDN w:val="0"/>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3.单位负责人：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04551BD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4.其他与本项目有关的利害关系说明：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tc>
      </w:tr>
      <w:tr w14:paraId="7F95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714" w:type="dxa"/>
            <w:vAlign w:val="center"/>
          </w:tcPr>
          <w:p w14:paraId="4C8E970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6148" w:type="dxa"/>
            <w:gridSpan w:val="4"/>
            <w:vAlign w:val="center"/>
          </w:tcPr>
          <w:p w14:paraId="3E147901">
            <w:pPr>
              <w:spacing w:line="360" w:lineRule="auto"/>
              <w:jc w:val="left"/>
              <w:rPr>
                <w:rFonts w:ascii="宋体" w:hAnsi="宋体" w:cs="宋体"/>
                <w:color w:val="000000" w:themeColor="text1"/>
                <w:szCs w:val="21"/>
                <w:highlight w:val="none"/>
                <w14:textFill>
                  <w14:solidFill>
                    <w14:schemeClr w14:val="tx1"/>
                  </w14:solidFill>
                </w14:textFill>
              </w:rPr>
            </w:pPr>
          </w:p>
        </w:tc>
      </w:tr>
    </w:tbl>
    <w:p w14:paraId="43C36912">
      <w:pPr>
        <w:rPr>
          <w:rFonts w:ascii="宋体" w:hAnsi="宋体" w:cs="宋体"/>
          <w:b/>
          <w:color w:val="000000" w:themeColor="text1"/>
          <w:sz w:val="28"/>
          <w:szCs w:val="22"/>
          <w:highlight w:val="none"/>
          <w:lang w:val="zh-CN"/>
          <w14:textFill>
            <w14:solidFill>
              <w14:schemeClr w14:val="tx1"/>
            </w14:solidFill>
          </w14:textFill>
        </w:rPr>
      </w:pPr>
      <w:r>
        <w:rPr>
          <w:rFonts w:hint="eastAsia" w:ascii="宋体" w:hAnsi="宋体" w:cs="宋体"/>
          <w:b/>
          <w:bCs/>
          <w:color w:val="000000" w:themeColor="text1"/>
          <w:sz w:val="28"/>
          <w:szCs w:val="22"/>
          <w:highlight w:val="none"/>
          <w14:textFill>
            <w14:solidFill>
              <w14:schemeClr w14:val="tx1"/>
            </w14:solidFill>
          </w14:textFill>
        </w:rPr>
        <w:br w:type="page"/>
      </w:r>
    </w:p>
    <w:p w14:paraId="6AA2AF3C">
      <w:pPr>
        <w:spacing w:line="360" w:lineRule="auto"/>
        <w:jc w:val="left"/>
        <w:outlineLvl w:val="2"/>
        <w:rPr>
          <w:rFonts w:ascii="宋体" w:hAnsi="宋体" w:cs="宋体"/>
          <w:b/>
          <w:bCs/>
          <w:color w:val="000000" w:themeColor="text1"/>
          <w:spacing w:val="-11"/>
          <w:sz w:val="24"/>
          <w:szCs w:val="24"/>
          <w:highlight w:val="none"/>
          <w14:textFill>
            <w14:solidFill>
              <w14:schemeClr w14:val="tx1"/>
            </w14:solidFill>
          </w14:textFill>
        </w:rPr>
      </w:pPr>
      <w:bookmarkStart w:id="82" w:name="OLE_LINK117"/>
      <w:r>
        <w:rPr>
          <w:rFonts w:hint="eastAsia" w:ascii="宋体" w:hAnsi="宋体" w:cs="宋体"/>
          <w:b/>
          <w:bCs/>
          <w:color w:val="000000" w:themeColor="text1"/>
          <w:spacing w:val="-11"/>
          <w:sz w:val="24"/>
          <w:szCs w:val="24"/>
          <w:highlight w:val="none"/>
          <w14:textFill>
            <w14:solidFill>
              <w14:schemeClr w14:val="tx1"/>
            </w14:solidFill>
          </w14:textFill>
        </w:rPr>
        <w:t>1.供应商应符合《中华人民共和国政府采购法》第二十二条规定的承诺</w:t>
      </w:r>
    </w:p>
    <w:bookmarkEnd w:id="82"/>
    <w:p w14:paraId="14F616CB">
      <w:pPr>
        <w:spacing w:line="291" w:lineRule="exact"/>
        <w:ind w:left="137"/>
        <w:jc w:val="left"/>
        <w:rPr>
          <w:rFonts w:ascii="宋体" w:hAnsi="宋体" w:cs="宋体"/>
          <w:color w:val="000000" w:themeColor="text1"/>
          <w:sz w:val="24"/>
          <w:szCs w:val="24"/>
          <w:highlight w:val="none"/>
          <w14:textFill>
            <w14:solidFill>
              <w14:schemeClr w14:val="tx1"/>
            </w14:solidFill>
          </w14:textFill>
        </w:rPr>
      </w:pPr>
    </w:p>
    <w:p w14:paraId="225EFC2E">
      <w:pPr>
        <w:spacing w:line="360" w:lineRule="auto"/>
        <w:jc w:val="center"/>
        <w:rPr>
          <w:rFonts w:ascii="宋体" w:hAnsi="宋体" w:cs="宋体"/>
          <w:color w:val="000000" w:themeColor="text1"/>
          <w:sz w:val="24"/>
          <w:szCs w:val="24"/>
          <w:highlight w:val="none"/>
          <w14:textFill>
            <w14:solidFill>
              <w14:schemeClr w14:val="tx1"/>
            </w14:solidFill>
          </w14:textFill>
        </w:rPr>
      </w:pPr>
      <w:bookmarkStart w:id="83" w:name="_Toc6215_WPSOffice_Level1"/>
      <w:r>
        <w:rPr>
          <w:rFonts w:hint="eastAsia" w:ascii="宋体" w:hAnsi="宋体" w:cs="宋体"/>
          <w:b/>
          <w:color w:val="000000" w:themeColor="text1"/>
          <w:sz w:val="24"/>
          <w:szCs w:val="24"/>
          <w:highlight w:val="none"/>
          <w14:textFill>
            <w14:solidFill>
              <w14:schemeClr w14:val="tx1"/>
            </w14:solidFill>
          </w14:textFill>
        </w:rPr>
        <w:t>承诺书</w:t>
      </w:r>
      <w:bookmarkEnd w:id="83"/>
    </w:p>
    <w:p w14:paraId="743D0578">
      <w:pPr>
        <w:spacing w:line="48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(采购人)：</w:t>
      </w:r>
    </w:p>
    <w:p w14:paraId="4919F9D6">
      <w:pPr>
        <w:spacing w:line="48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(供应商名称)郑重承诺：</w:t>
      </w:r>
    </w:p>
    <w:p w14:paraId="52B8D2B6">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6D0BEAE4">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未列入“信用中国”网站（www.creditchina.gov.cn）中重大税收违法失信主体的供应商中及“中国执行信息公开网”（http：//zxgk.court.gov.cn）中列入失信被执行人名单的供应商中，也未列入“中国政府采购网”（www.ccgp.gov.cn）政府采购严重违法失信行为记录名单中被财政部门禁止参加政府采购活动的供应商中。</w:t>
      </w:r>
    </w:p>
    <w:p w14:paraId="7AFB72D7">
      <w:pPr>
        <w:spacing w:line="480"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3.我方在采购项目评审 (评标) 环节结束后，随时接受采购人、采购代理机构的检查验证，配合提供相关证明材料，证明符合《中华人民共和国政府采购法》规定的供应商基本资格条件。</w:t>
      </w:r>
    </w:p>
    <w:p w14:paraId="3C034171">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我方对以上承诺负全部法律责任。</w:t>
      </w:r>
    </w:p>
    <w:p w14:paraId="182F7089">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1E97CE53">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75425A42">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2A03D723">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5E6512A7">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E1A5248">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3846CBB7">
      <w:pPr>
        <w:spacing w:line="360" w:lineRule="auto"/>
        <w:ind w:firstLine="1680" w:firstLineChars="700"/>
        <w:jc w:val="center"/>
        <w:rPr>
          <w:rFonts w:ascii="宋体" w:hAnsi="宋体" w:cs="宋体"/>
          <w:color w:val="000000" w:themeColor="text1"/>
          <w:sz w:val="24"/>
          <w:szCs w:val="24"/>
          <w:highlight w:val="none"/>
          <w14:textFill>
            <w14:solidFill>
              <w14:schemeClr w14:val="tx1"/>
            </w14:solidFill>
          </w14:textFill>
        </w:rPr>
      </w:pPr>
    </w:p>
    <w:p w14:paraId="2359BE4E">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bookmarkStart w:id="84" w:name="OLE_LINK118"/>
      <w:r>
        <w:rPr>
          <w:rFonts w:hint="eastAsia" w:ascii="宋体" w:hAnsi="宋体" w:cs="宋体"/>
          <w:b/>
          <w:bCs/>
          <w:color w:val="000000" w:themeColor="text1"/>
          <w:sz w:val="24"/>
          <w:szCs w:val="24"/>
          <w:highlight w:val="none"/>
          <w14:textFill>
            <w14:solidFill>
              <w14:schemeClr w14:val="tx1"/>
            </w14:solidFill>
          </w14:textFill>
        </w:rPr>
        <w:t>2.落实政府采购政策证明资料</w:t>
      </w:r>
    </w:p>
    <w:p w14:paraId="13EF7EAB">
      <w:pPr>
        <w:autoSpaceDE w:val="0"/>
        <w:autoSpaceDN w:val="0"/>
        <w:adjustRightInd w:val="0"/>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bookmarkStart w:id="85" w:name="_Toc269407896"/>
      <w:bookmarkStart w:id="86" w:name="_Toc269407684"/>
    </w:p>
    <w:p w14:paraId="7EE34C29">
      <w:pPr>
        <w:autoSpaceDE w:val="0"/>
        <w:autoSpaceDN w:val="0"/>
        <w:adjustRightInd w:val="0"/>
        <w:spacing w:line="360" w:lineRule="auto"/>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中小企业声明函</w:t>
      </w:r>
    </w:p>
    <w:bookmarkEnd w:id="84"/>
    <w:p w14:paraId="5F4779B6">
      <w:pPr>
        <w:autoSpaceDE w:val="0"/>
        <w:autoSpaceDN w:val="0"/>
        <w:adjustRightInd w:val="0"/>
        <w:spacing w:line="480" w:lineRule="auto"/>
        <w:ind w:firstLine="420" w:firstLineChars="200"/>
        <w:rPr>
          <w:rFonts w:ascii="宋体" w:hAnsi="宋体" w:cs="宋体"/>
          <w:color w:val="000000" w:themeColor="text1"/>
          <w:kern w:val="0"/>
          <w:szCs w:val="21"/>
          <w:highlight w:val="none"/>
          <w14:textFill>
            <w14:solidFill>
              <w14:schemeClr w14:val="tx1"/>
            </w14:solidFill>
          </w14:textFill>
        </w:rPr>
      </w:pPr>
      <w:bookmarkStart w:id="87" w:name="OLE_LINK119"/>
      <w:r>
        <w:rPr>
          <w:rFonts w:hint="eastAsia" w:ascii="宋体" w:hAnsi="宋体" w:cs="宋体"/>
          <w:color w:val="000000" w:themeColor="text1"/>
          <w:kern w:val="0"/>
          <w:szCs w:val="21"/>
          <w:highlight w:val="none"/>
          <w14:textFill>
            <w14:solidFill>
              <w14:schemeClr w14:val="tx1"/>
            </w14:solidFill>
          </w14:textFill>
        </w:rPr>
        <w:t>本公司郑重声明，根据《政府采购促进中小企业发展管理办法》（财库﹝2020﹞46 号）的规定，本公司参加</w:t>
      </w:r>
      <w:r>
        <w:rPr>
          <w:rFonts w:hint="eastAsia" w:ascii="宋体" w:hAnsi="宋体" w:cs="宋体"/>
          <w:color w:val="000000" w:themeColor="text1"/>
          <w:kern w:val="0"/>
          <w:szCs w:val="21"/>
          <w:highlight w:val="none"/>
          <w:u w:val="single"/>
          <w14:textFill>
            <w14:solidFill>
              <w14:schemeClr w14:val="tx1"/>
            </w14:solidFill>
          </w14:textFill>
        </w:rPr>
        <w:t>（采购人单位名称）</w:t>
      </w:r>
      <w:r>
        <w:rPr>
          <w:rFonts w:hint="eastAsia" w:ascii="宋体" w:hAnsi="宋体" w:cs="宋体"/>
          <w:color w:val="000000" w:themeColor="text1"/>
          <w:kern w:val="0"/>
          <w:szCs w:val="21"/>
          <w:highlight w:val="none"/>
          <w14:textFill>
            <w14:solidFill>
              <w14:schemeClr w14:val="tx1"/>
            </w14:solidFill>
          </w14:textFill>
        </w:rPr>
        <w:t>的</w:t>
      </w:r>
      <w:r>
        <w:rPr>
          <w:rFonts w:hint="eastAsia" w:ascii="宋体" w:hAnsi="宋体" w:cs="宋体"/>
          <w:color w:val="000000" w:themeColor="text1"/>
          <w:kern w:val="0"/>
          <w:szCs w:val="21"/>
          <w:highlight w:val="none"/>
          <w:u w:val="single"/>
          <w14:textFill>
            <w14:solidFill>
              <w14:schemeClr w14:val="tx1"/>
            </w14:solidFill>
          </w14:textFill>
        </w:rPr>
        <w:t>（项目名称）</w:t>
      </w:r>
      <w:r>
        <w:rPr>
          <w:rFonts w:hint="eastAsia" w:ascii="宋体" w:hAnsi="宋体" w:cs="宋体"/>
          <w:color w:val="000000" w:themeColor="text1"/>
          <w:kern w:val="0"/>
          <w:szCs w:val="21"/>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4EBCFB21">
      <w:pPr>
        <w:autoSpaceDE w:val="0"/>
        <w:autoSpaceDN w:val="0"/>
        <w:adjustRightInd w:val="0"/>
        <w:spacing w:line="48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u w:val="single"/>
          <w14:textFill>
            <w14:solidFill>
              <w14:schemeClr w14:val="tx1"/>
            </w14:solidFill>
          </w14:textFill>
        </w:rPr>
        <w:t>（标的名称）</w:t>
      </w:r>
      <w:bookmarkStart w:id="88" w:name="OLE_LINK133"/>
      <w:r>
        <w:rPr>
          <w:rFonts w:hint="eastAsia" w:ascii="宋体" w:hAnsi="宋体" w:cs="宋体"/>
          <w:color w:val="000000" w:themeColor="text1"/>
          <w:kern w:val="0"/>
          <w:szCs w:val="21"/>
          <w:highlight w:val="none"/>
          <w:u w:val="single"/>
          <w14:textFill>
            <w14:solidFill>
              <w14:schemeClr w14:val="tx1"/>
            </w14:solidFill>
          </w14:textFill>
        </w:rPr>
        <w:t xml:space="preserve">   </w:t>
      </w:r>
      <w:bookmarkEnd w:id="88"/>
      <w:r>
        <w:rPr>
          <w:rFonts w:hint="eastAsia" w:ascii="宋体" w:hAnsi="宋体" w:cs="宋体"/>
          <w:color w:val="000000" w:themeColor="text1"/>
          <w:kern w:val="0"/>
          <w:szCs w:val="21"/>
          <w:highlight w:val="none"/>
          <w14:textFill>
            <w14:solidFill>
              <w14:schemeClr w14:val="tx1"/>
            </w14:solidFill>
          </w14:textFill>
        </w:rPr>
        <w:t>，属于</w:t>
      </w:r>
      <w:r>
        <w:rPr>
          <w:rFonts w:hint="eastAsia" w:ascii="宋体" w:hAnsi="宋体" w:cs="宋体"/>
          <w:color w:val="000000" w:themeColor="text1"/>
          <w:kern w:val="0"/>
          <w:szCs w:val="21"/>
          <w:highlight w:val="none"/>
          <w:u w:val="single"/>
          <w14:textFill>
            <w14:solidFill>
              <w14:schemeClr w14:val="tx1"/>
            </w14:solidFill>
          </w14:textFill>
        </w:rPr>
        <w:t xml:space="preserve">（其他未列明行业）   </w:t>
      </w:r>
      <w:r>
        <w:rPr>
          <w:rFonts w:hint="eastAsia" w:ascii="宋体" w:hAnsi="宋体" w:cs="宋体"/>
          <w:color w:val="000000" w:themeColor="text1"/>
          <w:kern w:val="0"/>
          <w:szCs w:val="21"/>
          <w:highlight w:val="none"/>
          <w14:textFill>
            <w14:solidFill>
              <w14:schemeClr w14:val="tx1"/>
            </w14:solidFill>
          </w14:textFill>
        </w:rPr>
        <w:t>；承接企业为</w:t>
      </w:r>
      <w:r>
        <w:rPr>
          <w:rFonts w:hint="eastAsia" w:ascii="宋体" w:hAnsi="宋体" w:cs="宋体"/>
          <w:color w:val="000000" w:themeColor="text1"/>
          <w:kern w:val="0"/>
          <w:szCs w:val="21"/>
          <w:highlight w:val="none"/>
          <w:u w:val="single"/>
          <w14:textFill>
            <w14:solidFill>
              <w14:schemeClr w14:val="tx1"/>
            </w14:solidFill>
          </w14:textFill>
        </w:rPr>
        <w:t xml:space="preserve">（企业名称）   </w:t>
      </w:r>
      <w:r>
        <w:rPr>
          <w:rFonts w:hint="eastAsia" w:ascii="宋体" w:hAnsi="宋体" w:cs="宋体"/>
          <w:color w:val="000000" w:themeColor="text1"/>
          <w:kern w:val="0"/>
          <w:szCs w:val="21"/>
          <w:highlight w:val="none"/>
          <w14:textFill>
            <w14:solidFill>
              <w14:schemeClr w14:val="tx1"/>
            </w14:solidFill>
          </w14:textFill>
        </w:rPr>
        <w:t>，从业人员</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人，营业收入为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万元，资产总额为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万元，属于</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（中型企业、小型企业、微型企业）；</w:t>
      </w:r>
    </w:p>
    <w:p w14:paraId="2EDFC6E9">
      <w:pPr>
        <w:autoSpaceDE w:val="0"/>
        <w:autoSpaceDN w:val="0"/>
        <w:adjustRightInd w:val="0"/>
        <w:spacing w:line="480" w:lineRule="auto"/>
        <w:ind w:firstLine="420" w:firstLineChars="200"/>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9111701">
      <w:pPr>
        <w:autoSpaceDE w:val="0"/>
        <w:autoSpaceDN w:val="0"/>
        <w:adjustRightInd w:val="0"/>
        <w:spacing w:line="48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本企业对上述声明内容的真实性负责。如有虚假，将依法承担相应责任。</w:t>
      </w:r>
    </w:p>
    <w:p w14:paraId="01D4426F">
      <w:pPr>
        <w:autoSpaceDE w:val="0"/>
        <w:autoSpaceDN w:val="0"/>
        <w:adjustRightInd w:val="0"/>
        <w:spacing w:line="360" w:lineRule="auto"/>
        <w:rPr>
          <w:rFonts w:ascii="宋体" w:hAnsi="宋体" w:cs="宋体"/>
          <w:color w:val="000000" w:themeColor="text1"/>
          <w:kern w:val="0"/>
          <w:szCs w:val="21"/>
          <w:highlight w:val="none"/>
          <w:u w:val="single"/>
          <w14:textFill>
            <w14:solidFill>
              <w14:schemeClr w14:val="tx1"/>
            </w14:solidFill>
          </w14:textFill>
        </w:rPr>
      </w:pPr>
    </w:p>
    <w:p w14:paraId="675A9745">
      <w:pPr>
        <w:autoSpaceDE w:val="0"/>
        <w:autoSpaceDN w:val="0"/>
        <w:adjustRightInd w:val="0"/>
        <w:spacing w:line="360" w:lineRule="auto"/>
        <w:ind w:firstLine="3150" w:firstLineChars="15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企业名称（盖章）：</w:t>
      </w:r>
    </w:p>
    <w:p w14:paraId="23E82A8B">
      <w:pPr>
        <w:autoSpaceDE w:val="0"/>
        <w:autoSpaceDN w:val="0"/>
        <w:adjustRightInd w:val="0"/>
        <w:spacing w:line="360" w:lineRule="auto"/>
        <w:ind w:firstLine="3150" w:firstLineChars="15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p>
    <w:p w14:paraId="30DF50EE">
      <w:pPr>
        <w:spacing w:line="360" w:lineRule="auto"/>
        <w:rPr>
          <w:rFonts w:ascii="宋体" w:hAnsi="宋体" w:cs="宋体"/>
          <w:color w:val="000000" w:themeColor="text1"/>
          <w:szCs w:val="21"/>
          <w:highlight w:val="none"/>
          <w14:textFill>
            <w14:solidFill>
              <w14:schemeClr w14:val="tx1"/>
            </w14:solidFill>
          </w14:textFill>
        </w:rPr>
      </w:pPr>
    </w:p>
    <w:p w14:paraId="52AA84AE">
      <w:pPr>
        <w:autoSpaceDE w:val="0"/>
        <w:autoSpaceDN w:val="0"/>
        <w:adjustRightIn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备注：1.从业人员、营业收入、资产总额填报上一年度数据，无上一年度数据的新成立企业可不填报。</w:t>
      </w:r>
    </w:p>
    <w:p w14:paraId="62DC0047">
      <w:pPr>
        <w:autoSpaceDE w:val="0"/>
        <w:autoSpaceDN w:val="0"/>
        <w:adjustRightIn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2.此声明函会在政府采购平台随采购结果一同公示。</w:t>
      </w:r>
    </w:p>
    <w:p w14:paraId="39A95189">
      <w:pPr>
        <w:pStyle w:val="15"/>
        <w:spacing w:line="360" w:lineRule="auto"/>
        <w:ind w:firstLine="422" w:firstLineChars="200"/>
        <w:jc w:val="both"/>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3.供应商可登录工业和信息化部中小企业局主办的</w:t>
      </w:r>
      <w:bookmarkStart w:id="89" w:name="OLE_LINK128"/>
      <w:r>
        <w:rPr>
          <w:rFonts w:hint="eastAsia" w:ascii="宋体" w:hAnsi="宋体" w:eastAsia="宋体"/>
          <w:b/>
          <w:bCs/>
          <w:color w:val="000000" w:themeColor="text1"/>
          <w:sz w:val="21"/>
          <w:szCs w:val="21"/>
          <w:highlight w:val="none"/>
          <w14:textFill>
            <w14:solidFill>
              <w14:schemeClr w14:val="tx1"/>
            </w14:solidFill>
          </w14:textFill>
        </w:rPr>
        <w:t>中小企业规模</w:t>
      </w:r>
      <w:bookmarkEnd w:id="89"/>
      <w:r>
        <w:rPr>
          <w:rFonts w:hint="eastAsia" w:ascii="宋体" w:hAnsi="宋体" w:eastAsia="宋体"/>
          <w:b/>
          <w:bCs/>
          <w:color w:val="000000" w:themeColor="text1"/>
          <w:sz w:val="21"/>
          <w:szCs w:val="21"/>
          <w:highlight w:val="none"/>
          <w14:textFill>
            <w14:solidFill>
              <w14:schemeClr w14:val="tx1"/>
            </w14:solidFill>
          </w14:textFill>
        </w:rPr>
        <w:t>类型自测小程序查询本单位企业性质，网址：https://baosong.miit.gov.cn/ScaleTest</w:t>
      </w:r>
    </w:p>
    <w:p w14:paraId="31BC0F38">
      <w:pPr>
        <w:pStyle w:val="15"/>
        <w:spacing w:line="360" w:lineRule="auto"/>
        <w:ind w:left="420"/>
        <w:rPr>
          <w:rFonts w:ascii="宋体" w:hAnsi="宋体" w:eastAsia="宋体"/>
          <w:b/>
          <w:bCs/>
          <w:color w:val="000000" w:themeColor="text1"/>
          <w:sz w:val="24"/>
          <w:szCs w:val="24"/>
          <w:highlight w:val="none"/>
          <w14:textFill>
            <w14:solidFill>
              <w14:schemeClr w14:val="tx1"/>
            </w14:solidFill>
          </w14:textFill>
        </w:rPr>
      </w:pPr>
      <w:bookmarkStart w:id="90" w:name="OLE_LINK129"/>
      <w:r>
        <w:rPr>
          <w:rFonts w:hint="eastAsia" w:ascii="宋体" w:hAnsi="宋体" w:eastAsia="宋体"/>
          <w:b/>
          <w:bCs/>
          <w:color w:val="000000" w:themeColor="text1"/>
          <w:sz w:val="21"/>
          <w:szCs w:val="21"/>
          <w:highlight w:val="none"/>
          <w14:textFill>
            <w14:solidFill>
              <w14:schemeClr w14:val="tx1"/>
            </w14:solidFill>
          </w14:textFill>
        </w:rPr>
        <w:t>4.非中小企业可不提供。</w:t>
      </w:r>
      <w:bookmarkEnd w:id="87"/>
    </w:p>
    <w:bookmarkEnd w:id="90"/>
    <w:p w14:paraId="41C2E694">
      <w:pPr>
        <w:pStyle w:val="15"/>
        <w:spacing w:line="360" w:lineRule="auto"/>
        <w:ind w:left="420"/>
        <w:rPr>
          <w:rFonts w:ascii="宋体" w:hAnsi="宋体" w:eastAsia="宋体"/>
          <w:b/>
          <w:bCs/>
          <w:color w:val="000000" w:themeColor="text1"/>
          <w:sz w:val="21"/>
          <w:szCs w:val="21"/>
          <w:highlight w:val="none"/>
          <w14:textFill>
            <w14:solidFill>
              <w14:schemeClr w14:val="tx1"/>
            </w14:solidFill>
          </w14:textFill>
        </w:rPr>
      </w:pPr>
      <w:bookmarkStart w:id="91" w:name="OLE_LINK131"/>
    </w:p>
    <w:bookmarkEnd w:id="91"/>
    <w:p w14:paraId="4262B0CA">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p>
    <w:bookmarkEnd w:id="85"/>
    <w:bookmarkEnd w:id="86"/>
    <w:p w14:paraId="1347444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残疾人福利性单位声明函</w:t>
      </w:r>
    </w:p>
    <w:p w14:paraId="22875018">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bookmarkStart w:id="92" w:name="OLE_LINK120"/>
      <w:r>
        <w:rPr>
          <w:rFonts w:hint="eastAsia" w:ascii="宋体" w:hAnsi="宋体" w:cs="宋体"/>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Cs w:val="21"/>
          <w:highlight w:val="none"/>
          <w:u w:val="single"/>
          <w14:textFill>
            <w14:solidFill>
              <w14:schemeClr w14:val="tx1"/>
            </w14:solidFill>
          </w14:textFill>
        </w:rPr>
        <w:t>项目名称（项目编号：）</w:t>
      </w:r>
      <w:r>
        <w:rPr>
          <w:rFonts w:hint="eastAsia" w:ascii="宋体" w:hAnsi="宋体" w:cs="宋体"/>
          <w:color w:val="000000" w:themeColor="text1"/>
          <w:szCs w:val="21"/>
          <w:highlight w:val="none"/>
          <w14:textFill>
            <w14:solidFill>
              <w14:schemeClr w14:val="tx1"/>
            </w14:solidFill>
          </w14:textFill>
        </w:rPr>
        <w:t>采购活动提供本单位制造的货物（由本单位承担工程/提供服务），或者提供其他残疾人福利性单位制造的货物（不包括使用非残疾人福利性单位注册商标的货物）。</w:t>
      </w:r>
    </w:p>
    <w:p w14:paraId="0C129D5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2BF08A4E">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399A6E4A">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CACEBBC">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3CA60CD">
      <w:pPr>
        <w:tabs>
          <w:tab w:val="left" w:pos="5670"/>
        </w:tabs>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t>根据《财政部 民政部 中国残疾人联合会关于促进残疾人就业政府采购政策的通知》（财库〔2017〕141号）的规定：</w:t>
      </w:r>
    </w:p>
    <w:p w14:paraId="36433FC6">
      <w:pPr>
        <w:tabs>
          <w:tab w:val="left" w:pos="5670"/>
        </w:tabs>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一、享受政府采购支持政策的残疾人福利性单位应当同时满足以下条件：</w:t>
      </w:r>
    </w:p>
    <w:p w14:paraId="61D4FD96">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（一）安置的残疾人占本单位在职职工人数的比例不低于25%（含25%），并且安置的残疾人人数不少于10人（含10人）；</w:t>
      </w:r>
    </w:p>
    <w:p w14:paraId="4609E71D">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（二）依法与安置的每位残疾人签订了一年以上（含一年）的劳动合同或服务协议；</w:t>
      </w:r>
    </w:p>
    <w:p w14:paraId="49507376">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（三）为安置的每位残疾人按月足额缴纳了基本养老保险、基本医疗保险、失业保险、工伤保险和生育保险等社会保险费；</w:t>
      </w:r>
    </w:p>
    <w:p w14:paraId="29157949">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（四）通过银行等金融机构向安置的每位残疾人，按月支付了不低于单位所在区县适用的经省级人民政府批准的月最低工资标准的工资；</w:t>
      </w:r>
    </w:p>
    <w:p w14:paraId="3921EB7C">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519798FD">
      <w:pPr>
        <w:tabs>
          <w:tab w:val="left" w:pos="567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CCD6C0">
      <w:pPr>
        <w:tabs>
          <w:tab w:val="left" w:pos="720"/>
          <w:tab w:val="left" w:pos="8364"/>
        </w:tabs>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二、成交供应商为残疾人福利性单位的，采购人或者其委托的采购代理机构应当随中标结果同时公告其《残疾人福利性单位声明函》，接受社会监督。</w:t>
      </w:r>
    </w:p>
    <w:p w14:paraId="6E33F31C">
      <w:pPr>
        <w:pStyle w:val="15"/>
        <w:spacing w:line="360" w:lineRule="auto"/>
        <w:ind w:left="42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备注：非残疾人福利性单位可不提供。</w:t>
      </w:r>
    </w:p>
    <w:bookmarkEnd w:id="92"/>
    <w:p w14:paraId="468AA538">
      <w:pP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zh-CN"/>
          <w14:textFill>
            <w14:solidFill>
              <w14:schemeClr w14:val="tx1"/>
            </w14:solidFill>
          </w14:textFill>
        </w:rPr>
        <w:br w:type="page"/>
      </w:r>
    </w:p>
    <w:p w14:paraId="7D6A7655">
      <w:pPr>
        <w:jc w:val="center"/>
        <w:rPr>
          <w:rFonts w:ascii="宋体" w:hAnsi="宋体" w:cs="宋体"/>
          <w:b/>
          <w:color w:val="000000" w:themeColor="text1"/>
          <w:sz w:val="24"/>
          <w:szCs w:val="24"/>
          <w:highlight w:val="none"/>
          <w14:textFill>
            <w14:solidFill>
              <w14:schemeClr w14:val="tx1"/>
            </w14:solidFill>
          </w14:textFill>
        </w:rPr>
      </w:pPr>
      <w:bookmarkStart w:id="93" w:name="OLE_LINK121"/>
      <w:r>
        <w:rPr>
          <w:rFonts w:hint="eastAsia" w:ascii="宋体" w:hAnsi="宋体" w:cs="宋体"/>
          <w:b/>
          <w:color w:val="000000" w:themeColor="text1"/>
          <w:sz w:val="24"/>
          <w:szCs w:val="24"/>
          <w:highlight w:val="none"/>
          <w14:textFill>
            <w14:solidFill>
              <w14:schemeClr w14:val="tx1"/>
            </w14:solidFill>
          </w14:textFill>
        </w:rPr>
        <w:t>监狱企业声明函</w:t>
      </w:r>
    </w:p>
    <w:bookmarkEnd w:id="93"/>
    <w:p w14:paraId="66FBE303">
      <w:pPr>
        <w:spacing w:line="440" w:lineRule="exact"/>
        <w:ind w:firstLine="420" w:firstLineChars="200"/>
        <w:rPr>
          <w:rFonts w:ascii="宋体" w:hAnsi="宋体" w:cs="宋体"/>
          <w:color w:val="000000" w:themeColor="text1"/>
          <w:szCs w:val="21"/>
          <w:highlight w:val="none"/>
          <w14:textFill>
            <w14:solidFill>
              <w14:schemeClr w14:val="tx1"/>
            </w14:solidFill>
          </w14:textFill>
        </w:rPr>
      </w:pPr>
    </w:p>
    <w:p w14:paraId="5F469D87">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本单位郑重声明，根据《财政部、司法部关于政府采购支持监狱企业发展有关问题的通知》（财库〔2014〕68号）的规定。因本单位</w:t>
      </w:r>
      <w:r>
        <w:rPr>
          <w:rFonts w:hint="eastAsia" w:ascii="宋体" w:hAnsi="宋体" w:cs="宋体"/>
          <w:bCs/>
          <w:color w:val="000000" w:themeColor="text1"/>
          <w:szCs w:val="21"/>
          <w:highlight w:val="none"/>
          <w:u w:val="single"/>
          <w14:textFill>
            <w14:solidFill>
              <w14:schemeClr w14:val="tx1"/>
            </w14:solidFill>
          </w14:textFill>
        </w:rPr>
        <w:t>（符合）</w:t>
      </w:r>
      <w:r>
        <w:rPr>
          <w:rFonts w:hint="eastAsia" w:ascii="宋体" w:hAnsi="宋体" w:cs="宋体"/>
          <w:bCs/>
          <w:color w:val="000000" w:themeColor="text1"/>
          <w:szCs w:val="21"/>
          <w:highlight w:val="none"/>
          <w14:textFill>
            <w14:solidFill>
              <w14:schemeClr w14:val="tx1"/>
            </w14:solidFill>
          </w14:textFill>
        </w:rPr>
        <w:t>条件，故本单位为</w:t>
      </w:r>
      <w:r>
        <w:rPr>
          <w:rFonts w:hint="eastAsia" w:ascii="宋体" w:hAnsi="宋体" w:cs="宋体"/>
          <w:bCs/>
          <w:color w:val="000000" w:themeColor="text1"/>
          <w:szCs w:val="21"/>
          <w:highlight w:val="none"/>
          <w:u w:val="single"/>
          <w14:textFill>
            <w14:solidFill>
              <w14:schemeClr w14:val="tx1"/>
            </w14:solidFill>
          </w14:textFill>
        </w:rPr>
        <w:t>（监狱）</w:t>
      </w:r>
      <w:r>
        <w:rPr>
          <w:rFonts w:hint="eastAsia" w:ascii="宋体" w:hAnsi="宋体" w:cs="宋体"/>
          <w:bCs/>
          <w:color w:val="000000" w:themeColor="text1"/>
          <w:szCs w:val="21"/>
          <w:highlight w:val="none"/>
          <w14:textFill>
            <w14:solidFill>
              <w14:schemeClr w14:val="tx1"/>
            </w14:solidFill>
          </w14:textFill>
        </w:rPr>
        <w:t>企业。</w:t>
      </w:r>
      <w:r>
        <w:rPr>
          <w:rFonts w:hint="eastAsia" w:ascii="宋体" w:hAnsi="宋体" w:cs="宋体"/>
          <w:color w:val="000000" w:themeColor="text1"/>
          <w:szCs w:val="21"/>
          <w:highlight w:val="none"/>
          <w14:textFill>
            <w14:solidFill>
              <w14:schemeClr w14:val="tx1"/>
            </w14:solidFill>
          </w14:textFill>
        </w:rPr>
        <w:t xml:space="preserve"> </w:t>
      </w:r>
    </w:p>
    <w:p w14:paraId="7FCE699D">
      <w:pPr>
        <w:spacing w:line="440" w:lineRule="exact"/>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2F0632EF">
      <w:pPr>
        <w:spacing w:line="440" w:lineRule="exact"/>
        <w:ind w:firstLine="527"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注：非监狱企业可不提供。</w:t>
      </w:r>
    </w:p>
    <w:p w14:paraId="4E8AD81C">
      <w:pPr>
        <w:spacing w:line="440" w:lineRule="exact"/>
        <w:jc w:val="center"/>
        <w:rPr>
          <w:rFonts w:ascii="宋体" w:hAnsi="宋体" w:cs="宋体"/>
          <w:color w:val="000000" w:themeColor="text1"/>
          <w:szCs w:val="21"/>
          <w:highlight w:val="none"/>
          <w14:textFill>
            <w14:solidFill>
              <w14:schemeClr w14:val="tx1"/>
            </w14:solidFill>
          </w14:textFill>
        </w:rPr>
      </w:pPr>
    </w:p>
    <w:p w14:paraId="094A25C5">
      <w:pPr>
        <w:autoSpaceDE w:val="0"/>
        <w:autoSpaceDN w:val="0"/>
        <w:adjustRightInd w:val="0"/>
        <w:snapToGrid w:val="0"/>
        <w:spacing w:line="360" w:lineRule="auto"/>
        <w:ind w:firstLine="63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06BB0A07">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7969DAB7">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533E340F">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1BB177BF">
      <w:pPr>
        <w:spacing w:line="360" w:lineRule="auto"/>
        <w:rPr>
          <w:rFonts w:ascii="宋体" w:hAnsi="宋体" w:cs="宋体"/>
          <w:b/>
          <w:bCs/>
          <w:color w:val="000000" w:themeColor="text1"/>
          <w:spacing w:val="6"/>
          <w:szCs w:val="21"/>
          <w:highlight w:val="none"/>
          <w14:textFill>
            <w14:solidFill>
              <w14:schemeClr w14:val="tx1"/>
            </w14:solidFill>
          </w14:textFill>
        </w:rPr>
      </w:pPr>
    </w:p>
    <w:p w14:paraId="38D52BDF">
      <w:pPr>
        <w:spacing w:line="360" w:lineRule="auto"/>
        <w:ind w:firstLine="446" w:firstLineChars="200"/>
        <w:rPr>
          <w:rFonts w:ascii="宋体" w:hAnsi="宋体" w:cs="宋体"/>
          <w:b/>
          <w:bCs/>
          <w:color w:val="000000" w:themeColor="text1"/>
          <w:spacing w:val="6"/>
          <w:szCs w:val="21"/>
          <w:highlight w:val="none"/>
          <w14:textFill>
            <w14:solidFill>
              <w14:schemeClr w14:val="tx1"/>
            </w14:solidFill>
          </w14:textFill>
        </w:rPr>
      </w:pPr>
    </w:p>
    <w:p w14:paraId="58D8F2B7">
      <w:pPr>
        <w:pStyle w:val="15"/>
        <w:spacing w:line="360" w:lineRule="auto"/>
        <w:ind w:firstLine="422" w:firstLineChars="200"/>
        <w:rPr>
          <w:rFonts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备注：1.</w:t>
      </w:r>
      <w:r>
        <w:rPr>
          <w:rFonts w:hint="eastAsia" w:ascii="宋体" w:hAnsi="宋体" w:eastAsia="宋体"/>
          <w:b/>
          <w:color w:val="000000" w:themeColor="text1"/>
          <w:sz w:val="2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p>
    <w:p w14:paraId="7FA19716">
      <w:pPr>
        <w:pStyle w:val="15"/>
        <w:spacing w:line="360" w:lineRule="auto"/>
        <w:ind w:firstLine="422" w:firstLineChars="200"/>
        <w:rPr>
          <w:rFonts w:ascii="宋体" w:hAnsi="宋体" w:eastAsia="宋体"/>
          <w:b/>
          <w:bCs/>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r>
        <w:rPr>
          <w:rFonts w:hint="eastAsia" w:ascii="宋体" w:hAnsi="宋体" w:eastAsia="宋体"/>
          <w:b/>
          <w:bCs/>
          <w:color w:val="000000" w:themeColor="text1"/>
          <w:sz w:val="21"/>
          <w:szCs w:val="21"/>
          <w:highlight w:val="none"/>
          <w14:textFill>
            <w14:solidFill>
              <w14:schemeClr w14:val="tx1"/>
            </w14:solidFill>
          </w14:textFill>
        </w:rPr>
        <w:t>非监狱企业可不提供。</w:t>
      </w:r>
    </w:p>
    <w:p w14:paraId="492B35FB">
      <w:pPr>
        <w:spacing w:line="360" w:lineRule="auto"/>
        <w:rPr>
          <w:rFonts w:ascii="宋体" w:hAnsi="宋体" w:cs="宋体"/>
          <w:b/>
          <w:color w:val="000000" w:themeColor="text1"/>
          <w:spacing w:val="4"/>
          <w:sz w:val="24"/>
          <w:szCs w:val="24"/>
          <w:highlight w:val="none"/>
          <w14:textFill>
            <w14:solidFill>
              <w14:schemeClr w14:val="tx1"/>
            </w14:solidFill>
          </w14:textFill>
        </w:rPr>
      </w:pPr>
    </w:p>
    <w:p w14:paraId="4300AED3">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br w:type="page"/>
      </w:r>
      <w:bookmarkStart w:id="94" w:name="OLE_LINK122"/>
      <w:r>
        <w:rPr>
          <w:rFonts w:hint="eastAsia" w:ascii="宋体" w:hAnsi="宋体" w:cs="宋体"/>
          <w:b/>
          <w:bCs/>
          <w:color w:val="000000" w:themeColor="text1"/>
          <w:sz w:val="24"/>
          <w:szCs w:val="24"/>
          <w:highlight w:val="none"/>
          <w14:textFill>
            <w14:solidFill>
              <w14:schemeClr w14:val="tx1"/>
            </w14:solidFill>
          </w14:textFill>
        </w:rPr>
        <w:t>3.拒绝政府采购领域商业贿赂承诺书</w:t>
      </w:r>
    </w:p>
    <w:p w14:paraId="51BBBED7">
      <w:pPr>
        <w:spacing w:line="360" w:lineRule="auto"/>
        <w:jc w:val="center"/>
        <w:rPr>
          <w:rFonts w:ascii="宋体" w:hAnsi="宋体" w:cs="宋体"/>
          <w:b/>
          <w:color w:val="000000" w:themeColor="text1"/>
          <w:sz w:val="24"/>
          <w:szCs w:val="24"/>
          <w:highlight w:val="none"/>
          <w14:textFill>
            <w14:solidFill>
              <w14:schemeClr w14:val="tx1"/>
            </w14:solidFill>
          </w14:textFill>
        </w:rPr>
      </w:pPr>
      <w:bookmarkStart w:id="95" w:name="OLE_LINK124"/>
    </w:p>
    <w:p w14:paraId="5089531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拒绝政府采购领域商业贿赂承诺书</w:t>
      </w:r>
    </w:p>
    <w:bookmarkEnd w:id="94"/>
    <w:p w14:paraId="1FCFB34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bookmarkStart w:id="96" w:name="OLE_LINK123"/>
      <w:r>
        <w:rPr>
          <w:rFonts w:hint="eastAsia" w:ascii="宋体" w:hAnsi="宋体" w:cs="宋体"/>
          <w:color w:val="000000" w:themeColor="text1"/>
          <w:szCs w:val="21"/>
          <w:highlight w:val="none"/>
          <w14:textFill>
            <w14:solidFill>
              <w14:schemeClr w14:val="tx1"/>
            </w14:solidFill>
          </w14:textFill>
        </w:rPr>
        <w:t>为响应党中央、国务院关于治理政府采购领域商业贿赂行为的号召，我公司在此承诺：</w:t>
      </w:r>
    </w:p>
    <w:p w14:paraId="4D577A53">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1、在参与政府采购活动中遵纪守法、诚信经营、公平竞标。</w:t>
      </w:r>
    </w:p>
    <w:p w14:paraId="714AE5B8">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2、不向政府采购人、采购代理机构和政府采购评审专家进行任何形式的商业贿赂以谋取交易机会。</w:t>
      </w:r>
    </w:p>
    <w:p w14:paraId="0B5B0AD5">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3、不向政府采购代理机构和采购人提供虚假资质文件或采用虚假应标方式参与政府采购市场竞争并谋取中标、成交。</w:t>
      </w:r>
    </w:p>
    <w:p w14:paraId="538FBEA6">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4、不采取“围标、陪标”等商业欺诈手段获得政府采购定单。</w:t>
      </w:r>
    </w:p>
    <w:p w14:paraId="760D3997">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5、不采取不正当手段诋毁、排挤其他供应商。</w:t>
      </w:r>
    </w:p>
    <w:p w14:paraId="7D1E5B73">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6、不在提供商品和服务时“偷梁换柱、以次充好”损害采购人的合法权益。</w:t>
      </w:r>
    </w:p>
    <w:p w14:paraId="1AAF3EF9">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7、不与采购人、采购代理机构政府采购评审专家或其它供应商恶意串通，进行质疑和投诉，维护政府采购市场秩序。</w:t>
      </w:r>
    </w:p>
    <w:p w14:paraId="46FE393A">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8、尊重和接受政府采购监督管理部门的监督和政府采购代理机构招标采购要求，承担因违约行为给采购人造成的损失。</w:t>
      </w:r>
    </w:p>
    <w:p w14:paraId="44DB8C00">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9、不发生其他有悖于政府采购公开、公平、公正和诚信原则的行为。</w:t>
      </w:r>
    </w:p>
    <w:p w14:paraId="04F40AFE">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bookmarkEnd w:id="95"/>
    <w:p w14:paraId="2E35070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1D353BC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p>
    <w:p w14:paraId="6420EB0D">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承诺单位（盖章）</w:t>
      </w:r>
    </w:p>
    <w:p w14:paraId="12AEC93F">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全权代表（签字）：</w:t>
      </w:r>
    </w:p>
    <w:p w14:paraId="0EAD7329">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地    址：                           </w:t>
      </w:r>
    </w:p>
    <w:p w14:paraId="5DBB2D1E">
      <w:pPr>
        <w:tabs>
          <w:tab w:val="left" w:pos="720"/>
          <w:tab w:val="left" w:pos="8364"/>
        </w:tabs>
        <w:adjustRightInd w:val="0"/>
        <w:snapToGrid w:val="0"/>
        <w:spacing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电    话：</w:t>
      </w:r>
    </w:p>
    <w:p w14:paraId="46908C3F">
      <w:pPr>
        <w:tabs>
          <w:tab w:val="left" w:pos="7920"/>
        </w:tabs>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bookmarkEnd w:id="96"/>
    <w:p w14:paraId="63A7B12B">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s="宋体"/>
          <w:b/>
          <w:bCs/>
          <w:color w:val="000000" w:themeColor="text1"/>
          <w:sz w:val="24"/>
          <w:szCs w:val="24"/>
          <w:highlight w:val="none"/>
          <w14:textFill>
            <w14:solidFill>
              <w14:schemeClr w14:val="tx1"/>
            </w14:solidFill>
          </w14:textFill>
        </w:rPr>
        <w:t>4.营业执照</w:t>
      </w:r>
    </w:p>
    <w:p w14:paraId="4D72D70A">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2752A3F6">
      <w:pPr>
        <w:spacing w:line="240" w:lineRule="auto"/>
        <w:outlineLvl w:val="9"/>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br w:type="page"/>
      </w:r>
    </w:p>
    <w:p w14:paraId="290C6FAE">
      <w:pPr>
        <w:spacing w:line="360" w:lineRule="auto"/>
        <w:outlineLvl w:val="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14:textFill>
            <w14:solidFill>
              <w14:schemeClr w14:val="tx1"/>
            </w14:solidFill>
          </w14:textFill>
        </w:rPr>
        <w:t>非联合体声明</w:t>
      </w:r>
    </w:p>
    <w:p w14:paraId="1D2A659D">
      <w:pPr>
        <w:spacing w:line="360" w:lineRule="auto"/>
        <w:jc w:val="center"/>
        <w:rPr>
          <w:rFonts w:ascii="宋体" w:hAnsi="宋体" w:cs="宋体"/>
          <w:b/>
          <w:color w:val="000000" w:themeColor="text1"/>
          <w:sz w:val="24"/>
          <w:szCs w:val="24"/>
          <w:highlight w:val="none"/>
          <w14:textFill>
            <w14:solidFill>
              <w14:schemeClr w14:val="tx1"/>
            </w14:solidFill>
          </w14:textFill>
        </w:rPr>
      </w:pPr>
    </w:p>
    <w:p w14:paraId="10FE5C51">
      <w:pPr>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非联合体磋商的声明</w:t>
      </w:r>
    </w:p>
    <w:p w14:paraId="73C826FB">
      <w:pPr>
        <w:autoSpaceDE w:val="0"/>
        <w:autoSpaceDN w:val="0"/>
        <w:adjustRightInd w:val="0"/>
        <w:spacing w:line="360" w:lineRule="auto"/>
        <w:jc w:val="center"/>
        <w:rPr>
          <w:rFonts w:ascii="宋体" w:hAnsi="宋体" w:cs="宋体"/>
          <w:b/>
          <w:color w:val="000000" w:themeColor="text1"/>
          <w:sz w:val="24"/>
          <w:szCs w:val="24"/>
          <w:highlight w:val="none"/>
          <w14:textFill>
            <w14:solidFill>
              <w14:schemeClr w14:val="tx1"/>
            </w14:solidFill>
          </w14:textFill>
        </w:rPr>
      </w:pPr>
    </w:p>
    <w:p w14:paraId="48ECF747">
      <w:pPr>
        <w:rPr>
          <w:color w:val="000000" w:themeColor="text1"/>
          <w:highlight w:val="none"/>
          <w14:textFill>
            <w14:solidFill>
              <w14:schemeClr w14:val="tx1"/>
            </w14:solidFill>
          </w14:textFill>
        </w:rPr>
      </w:pPr>
    </w:p>
    <w:p w14:paraId="15568E48">
      <w:pPr>
        <w:autoSpaceDE w:val="0"/>
        <w:autoSpaceDN w:val="0"/>
        <w:adjustRightInd w:val="0"/>
        <w:spacing w:line="360" w:lineRule="auto"/>
        <w:rPr>
          <w:rFonts w:hint="default" w:ascii="宋体" w:hAnsi="宋体" w:cs="宋体"/>
          <w:b/>
          <w:color w:val="000000" w:themeColor="text1"/>
          <w:szCs w:val="21"/>
          <w:highlight w:val="none"/>
          <w:u w:val="single"/>
          <w:lang w:val="en-US"/>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b/>
          <w:color w:val="000000" w:themeColor="text1"/>
          <w:szCs w:val="21"/>
          <w:highlight w:val="none"/>
          <w:u w:val="single"/>
          <w14:textFill>
            <w14:solidFill>
              <w14:schemeClr w14:val="tx1"/>
            </w14:solidFill>
          </w14:textFill>
        </w:rPr>
        <w:t>：</w:t>
      </w:r>
      <w:r>
        <w:rPr>
          <w:rFonts w:hint="eastAsia" w:ascii="宋体" w:hAnsi="宋体" w:cs="宋体"/>
          <w:b/>
          <w:color w:val="000000" w:themeColor="text1"/>
          <w:szCs w:val="21"/>
          <w:highlight w:val="none"/>
          <w:u w:val="single"/>
          <w:lang w:eastAsia="zh-CN"/>
          <w14:textFill>
            <w14:solidFill>
              <w14:schemeClr w14:val="tx1"/>
            </w14:solidFill>
          </w14:textFill>
        </w:rPr>
        <w:t>（</w:t>
      </w:r>
      <w:r>
        <w:rPr>
          <w:rFonts w:hint="eastAsia" w:ascii="宋体" w:hAnsi="宋体" w:cs="宋体"/>
          <w:b/>
          <w:color w:val="000000" w:themeColor="text1"/>
          <w:szCs w:val="21"/>
          <w:highlight w:val="none"/>
          <w:u w:val="single"/>
          <w14:textFill>
            <w14:solidFill>
              <w14:schemeClr w14:val="tx1"/>
            </w14:solidFill>
          </w14:textFill>
        </w:rPr>
        <w:t xml:space="preserve">采购人名称 </w:t>
      </w:r>
      <w:r>
        <w:rPr>
          <w:rFonts w:hint="eastAsia" w:ascii="宋体" w:hAnsi="宋体" w:cs="宋体"/>
          <w:b/>
          <w:color w:val="000000" w:themeColor="text1"/>
          <w:szCs w:val="21"/>
          <w:highlight w:val="none"/>
          <w:u w:val="single"/>
          <w:lang w:eastAsia="zh-CN"/>
          <w14:textFill>
            <w14:solidFill>
              <w14:schemeClr w14:val="tx1"/>
            </w14:solidFill>
          </w14:textFill>
        </w:rPr>
        <w:t>）</w:t>
      </w:r>
      <w:r>
        <w:rPr>
          <w:rFonts w:hint="eastAsia" w:ascii="宋体" w:hAnsi="宋体" w:cs="宋体"/>
          <w:b/>
          <w:color w:val="000000" w:themeColor="text1"/>
          <w:szCs w:val="21"/>
          <w:highlight w:val="none"/>
          <w:u w:val="single"/>
          <w:lang w:val="en-US" w:eastAsia="zh-CN"/>
          <w14:textFill>
            <w14:solidFill>
              <w14:schemeClr w14:val="tx1"/>
            </w14:solidFill>
          </w14:textFill>
        </w:rPr>
        <w:t xml:space="preserve"> </w:t>
      </w:r>
    </w:p>
    <w:p w14:paraId="04906A54">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p>
    <w:p w14:paraId="3084727F">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我公司独立参加此次</w:t>
      </w:r>
      <w:r>
        <w:rPr>
          <w:rFonts w:hint="eastAsia" w:ascii="宋体" w:hAnsi="宋体" w:cs="宋体"/>
          <w:color w:val="000000" w:themeColor="text1"/>
          <w:szCs w:val="21"/>
          <w:highlight w:val="none"/>
          <w:u w:val="single"/>
          <w14:textFill>
            <w14:solidFill>
              <w14:schemeClr w14:val="tx1"/>
            </w14:solidFill>
          </w14:textFill>
        </w:rPr>
        <w:t xml:space="preserve">           (项目名称)</w:t>
      </w:r>
      <w:r>
        <w:rPr>
          <w:rFonts w:hint="eastAsia" w:ascii="宋体" w:hAnsi="宋体" w:cs="宋体"/>
          <w:bCs/>
          <w:color w:val="000000" w:themeColor="text1"/>
          <w:szCs w:val="21"/>
          <w:highlight w:val="none"/>
          <w14:textFill>
            <w14:solidFill>
              <w14:schemeClr w14:val="tx1"/>
            </w14:solidFill>
          </w14:textFill>
        </w:rPr>
        <w:t>磋商，未与其他单位组成联合体。</w:t>
      </w:r>
    </w:p>
    <w:p w14:paraId="152ABB14">
      <w:pPr>
        <w:autoSpaceDE w:val="0"/>
        <w:autoSpaceDN w:val="0"/>
        <w:adjustRightInd w:val="0"/>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特此声明。</w:t>
      </w:r>
    </w:p>
    <w:p w14:paraId="59C1FBBC">
      <w:pPr>
        <w:autoSpaceDE w:val="0"/>
        <w:autoSpaceDN w:val="0"/>
        <w:adjustRightInd w:val="0"/>
        <w:spacing w:line="360" w:lineRule="auto"/>
        <w:jc w:val="center"/>
        <w:rPr>
          <w:rFonts w:ascii="宋体" w:hAnsi="宋体" w:cs="宋体"/>
          <w:b/>
          <w:color w:val="000000" w:themeColor="text1"/>
          <w:szCs w:val="21"/>
          <w:highlight w:val="none"/>
          <w14:textFill>
            <w14:solidFill>
              <w14:schemeClr w14:val="tx1"/>
            </w14:solidFill>
          </w14:textFill>
        </w:rPr>
      </w:pPr>
    </w:p>
    <w:p w14:paraId="4EAD3A4B">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26452B81">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64A901E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52BDF03">
      <w:pPr>
        <w:rPr>
          <w:rFonts w:ascii="宋体" w:hAnsi="宋体" w:cs="宋体"/>
          <w:b/>
          <w:color w:val="000000" w:themeColor="text1"/>
          <w:szCs w:val="21"/>
          <w:highlight w:val="none"/>
          <w:lang w:val="zh-CN"/>
          <w14:textFill>
            <w14:solidFill>
              <w14:schemeClr w14:val="tx1"/>
            </w14:solidFill>
          </w14:textFill>
        </w:rPr>
      </w:pPr>
    </w:p>
    <w:bookmarkEnd w:id="74"/>
    <w:p w14:paraId="5DF9D882">
      <w:pPr>
        <w:rPr>
          <w:rFonts w:ascii="宋体" w:hAnsi="宋体" w:cs="宋体"/>
          <w:b/>
          <w:color w:val="000000" w:themeColor="text1"/>
          <w:highlight w:val="none"/>
          <w14:textFill>
            <w14:solidFill>
              <w14:schemeClr w14:val="tx1"/>
            </w14:solidFill>
          </w14:textFill>
        </w:rPr>
      </w:pPr>
      <w:bookmarkStart w:id="97" w:name="_Toc23574"/>
      <w:bookmarkStart w:id="98" w:name="_Toc15943"/>
      <w:bookmarkStart w:id="99" w:name="_Toc6048"/>
      <w:bookmarkStart w:id="100" w:name="_Toc1626"/>
      <w:bookmarkStart w:id="101" w:name="_Toc23656"/>
      <w:bookmarkStart w:id="102" w:name="_Toc520468914"/>
      <w:r>
        <w:rPr>
          <w:rFonts w:hint="eastAsia" w:ascii="宋体" w:hAnsi="宋体" w:cs="宋体"/>
          <w:b/>
          <w:color w:val="000000" w:themeColor="text1"/>
          <w:highlight w:val="none"/>
          <w14:textFill>
            <w14:solidFill>
              <w14:schemeClr w14:val="tx1"/>
            </w14:solidFill>
          </w14:textFill>
        </w:rPr>
        <w:br w:type="page"/>
      </w:r>
    </w:p>
    <w:bookmarkEnd w:id="97"/>
    <w:bookmarkEnd w:id="98"/>
    <w:bookmarkEnd w:id="99"/>
    <w:bookmarkEnd w:id="100"/>
    <w:bookmarkEnd w:id="101"/>
    <w:bookmarkEnd w:id="102"/>
    <w:p w14:paraId="1ED8810D">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color w:val="000000" w:themeColor="text1"/>
          <w:sz w:val="32"/>
          <w:szCs w:val="32"/>
          <w:highlight w:val="none"/>
          <w:lang w:val="en-US" w:eastAsia="zh-CN"/>
          <w14:textFill>
            <w14:solidFill>
              <w14:schemeClr w14:val="tx1"/>
            </w14:solidFill>
          </w14:textFill>
        </w:rPr>
      </w:pPr>
      <w:bookmarkStart w:id="103" w:name="_Toc22826"/>
      <w:bookmarkStart w:id="104" w:name="OLE_LINK125"/>
      <w:bookmarkStart w:id="105" w:name="_Toc4921"/>
      <w:bookmarkStart w:id="106" w:name="_Toc613"/>
      <w:bookmarkStart w:id="107" w:name="_Toc26970"/>
      <w:bookmarkStart w:id="108" w:name="_Toc11269"/>
      <w:r>
        <w:rPr>
          <w:rFonts w:hint="eastAsia" w:ascii="宋体" w:hAnsi="宋体" w:eastAsia="宋体" w:cs="宋体"/>
          <w:b/>
          <w:color w:val="000000" w:themeColor="text1"/>
          <w:sz w:val="32"/>
          <w:szCs w:val="32"/>
          <w:highlight w:val="none"/>
          <w:lang w:val="zh-CN"/>
          <w14:textFill>
            <w14:solidFill>
              <w14:schemeClr w14:val="tx1"/>
            </w14:solidFill>
          </w14:textFill>
        </w:rPr>
        <w:t>五、</w:t>
      </w:r>
      <w:bookmarkEnd w:id="103"/>
      <w:r>
        <w:rPr>
          <w:rFonts w:hint="eastAsia" w:ascii="宋体" w:hAnsi="宋体" w:eastAsia="宋体" w:cs="宋体"/>
          <w:b/>
          <w:color w:val="000000" w:themeColor="text1"/>
          <w:sz w:val="32"/>
          <w:szCs w:val="32"/>
          <w:highlight w:val="none"/>
          <w:lang w:val="zh-CN"/>
          <w14:textFill>
            <w14:solidFill>
              <w14:schemeClr w14:val="tx1"/>
            </w14:solidFill>
          </w14:textFill>
        </w:rPr>
        <w:t>近年完成的类似项目情况表</w:t>
      </w:r>
    </w:p>
    <w:bookmarkEnd w:id="104"/>
    <w:p w14:paraId="586C93A2">
      <w:pPr>
        <w:pStyle w:val="8"/>
        <w:rPr>
          <w:rFonts w:ascii="宋体" w:hAnsi="宋体" w:cs="宋体"/>
          <w:color w:val="000000" w:themeColor="text1"/>
          <w:szCs w:val="21"/>
          <w:highlight w:val="none"/>
          <w:lang w:val="zh-CN"/>
          <w14:textFill>
            <w14:solidFill>
              <w14:schemeClr w14:val="tx1"/>
            </w14:solidFill>
          </w14:textFill>
        </w:rPr>
      </w:pPr>
      <w:bookmarkStart w:id="109" w:name="OLE_LINK12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74"/>
        <w:gridCol w:w="2922"/>
        <w:gridCol w:w="2081"/>
        <w:gridCol w:w="1731"/>
      </w:tblGrid>
      <w:tr w14:paraId="2C74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E465746">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974" w:type="dxa"/>
          </w:tcPr>
          <w:p w14:paraId="78C37AC7">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时间</w:t>
            </w:r>
          </w:p>
        </w:tc>
        <w:tc>
          <w:tcPr>
            <w:tcW w:w="2922" w:type="dxa"/>
          </w:tcPr>
          <w:p w14:paraId="772147F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2081" w:type="dxa"/>
          </w:tcPr>
          <w:p w14:paraId="6473B984">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合同金额</w:t>
            </w:r>
          </w:p>
        </w:tc>
        <w:tc>
          <w:tcPr>
            <w:tcW w:w="1731" w:type="dxa"/>
          </w:tcPr>
          <w:p w14:paraId="37BA969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130E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57DD247">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74" w:type="dxa"/>
          </w:tcPr>
          <w:p w14:paraId="77E31D7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6E8B783C">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745917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002A90A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5D49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0AEEEA32">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74" w:type="dxa"/>
          </w:tcPr>
          <w:p w14:paraId="2AE2E2A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48E0F34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211FC7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3143336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041A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05EF49F">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74" w:type="dxa"/>
          </w:tcPr>
          <w:p w14:paraId="4E55B01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28D9457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20DEA9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172294E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4C80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C6ECBE9">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974" w:type="dxa"/>
          </w:tcPr>
          <w:p w14:paraId="2EFB1B9D">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5D2B4B6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4394E2D5">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1261F590">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1A6D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639C35F4">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07594D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83E1A76">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7017F302">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67E06D8D">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2E3A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4632879F">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9486C8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F3757BC">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1731781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06F0C7D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3621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2AE8FD33">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0E06CE6E">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07E86A7F">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0366E1D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232392C3">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520A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9" w:type="dxa"/>
          </w:tcPr>
          <w:p w14:paraId="72AB042B">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7E9864FE">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79033581">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05E2179">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7DD69004">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r w14:paraId="78DC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49" w:type="dxa"/>
          </w:tcPr>
          <w:p w14:paraId="0867C69D">
            <w:pPr>
              <w:tabs>
                <w:tab w:val="left" w:pos="5580"/>
              </w:tabs>
              <w:spacing w:line="460" w:lineRule="exact"/>
              <w:jc w:val="center"/>
              <w:rPr>
                <w:rFonts w:ascii="宋体" w:hAnsi="宋体" w:cs="宋体"/>
                <w:color w:val="000000" w:themeColor="text1"/>
                <w:kern w:val="0"/>
                <w:szCs w:val="21"/>
                <w:highlight w:val="none"/>
                <w14:textFill>
                  <w14:solidFill>
                    <w14:schemeClr w14:val="tx1"/>
                  </w14:solidFill>
                </w14:textFill>
              </w:rPr>
            </w:pPr>
          </w:p>
        </w:tc>
        <w:tc>
          <w:tcPr>
            <w:tcW w:w="974" w:type="dxa"/>
          </w:tcPr>
          <w:p w14:paraId="53ADE4AB">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922" w:type="dxa"/>
          </w:tcPr>
          <w:p w14:paraId="1F8EC2FA">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2081" w:type="dxa"/>
          </w:tcPr>
          <w:p w14:paraId="36AEF8B7">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c>
          <w:tcPr>
            <w:tcW w:w="1731" w:type="dxa"/>
          </w:tcPr>
          <w:p w14:paraId="508E6E38">
            <w:pPr>
              <w:tabs>
                <w:tab w:val="left" w:pos="5580"/>
              </w:tabs>
              <w:spacing w:line="460" w:lineRule="exact"/>
              <w:rPr>
                <w:rFonts w:ascii="宋体" w:hAnsi="宋体" w:cs="宋体"/>
                <w:color w:val="000000" w:themeColor="text1"/>
                <w:kern w:val="0"/>
                <w:szCs w:val="21"/>
                <w:highlight w:val="none"/>
                <w:lang w:val="zh-CN"/>
                <w14:textFill>
                  <w14:solidFill>
                    <w14:schemeClr w14:val="tx1"/>
                  </w14:solidFill>
                </w14:textFill>
              </w:rPr>
            </w:pPr>
          </w:p>
        </w:tc>
      </w:tr>
    </w:tbl>
    <w:p w14:paraId="6A932521">
      <w:pPr>
        <w:spacing w:line="240" w:lineRule="auto"/>
        <w:ind w:firstLine="0" w:firstLineChars="0"/>
        <w:rPr>
          <w:rFonts w:hint="eastAsia" w:ascii="宋体" w:hAnsi="宋体" w:cs="宋体"/>
          <w:b/>
          <w:bCs/>
          <w:color w:val="000000" w:themeColor="text1"/>
          <w:kern w:val="0"/>
          <w:szCs w:val="21"/>
          <w:highlight w:val="none"/>
          <w14:textFill>
            <w14:solidFill>
              <w14:schemeClr w14:val="tx1"/>
            </w14:solidFill>
          </w14:textFill>
        </w:rPr>
      </w:pPr>
    </w:p>
    <w:p w14:paraId="31335CE0">
      <w:pPr>
        <w:tabs>
          <w:tab w:val="left" w:pos="3570"/>
          <w:tab w:val="left" w:pos="5580"/>
        </w:tabs>
        <w:spacing w:line="460" w:lineRule="exact"/>
        <w:ind w:firstLine="211" w:firstLineChars="100"/>
        <w:rPr>
          <w:rFonts w:ascii="宋体" w:hAnsi="宋体" w:cs="宋体"/>
          <w:b/>
          <w:bCs/>
          <w:color w:val="000000" w:themeColor="text1"/>
          <w:kern w:val="0"/>
          <w:szCs w:val="21"/>
          <w:highlight w:val="none"/>
          <w:lang w:val="zh-CN"/>
          <w14:textFill>
            <w14:solidFill>
              <w14:schemeClr w14:val="tx1"/>
            </w14:solidFill>
          </w14:textFill>
        </w:rPr>
      </w:pPr>
      <w:r>
        <w:rPr>
          <w:rFonts w:hint="eastAsia" w:ascii="宋体" w:hAnsi="宋体" w:cs="宋体"/>
          <w:b/>
          <w:bCs/>
          <w:color w:val="000000" w:themeColor="text1"/>
          <w:kern w:val="0"/>
          <w:szCs w:val="21"/>
          <w:highlight w:val="none"/>
          <w:lang w:val="zh-CN" w:eastAsia="zh-CN"/>
          <w14:textFill>
            <w14:solidFill>
              <w14:schemeClr w14:val="tx1"/>
            </w14:solidFill>
          </w14:textFill>
        </w:rPr>
        <w:t>注：提供供应商自2023年</w:t>
      </w:r>
      <w:bookmarkStart w:id="111" w:name="_GoBack"/>
      <w:bookmarkEnd w:id="111"/>
      <w:r>
        <w:rPr>
          <w:rFonts w:hint="eastAsia" w:ascii="宋体" w:hAnsi="宋体" w:cs="宋体"/>
          <w:b/>
          <w:bCs/>
          <w:color w:val="000000" w:themeColor="text1"/>
          <w:kern w:val="0"/>
          <w:szCs w:val="21"/>
          <w:highlight w:val="none"/>
          <w:lang w:val="zh-CN"/>
          <w14:textFill>
            <w14:solidFill>
              <w14:schemeClr w14:val="tx1"/>
            </w14:solidFill>
          </w14:textFill>
        </w:rPr>
        <w:t>1月1日起至竞争性磋商响应文件递交截止时间止，具有的</w:t>
      </w:r>
      <w:r>
        <w:rPr>
          <w:rFonts w:hint="eastAsia" w:ascii="宋体" w:hAnsi="宋体" w:cs="宋体"/>
          <w:b/>
          <w:bCs/>
          <w:color w:val="000000" w:themeColor="text1"/>
          <w:kern w:val="0"/>
          <w:szCs w:val="21"/>
          <w:highlight w:val="none"/>
          <w14:textFill>
            <w14:solidFill>
              <w14:schemeClr w14:val="tx1"/>
            </w14:solidFill>
          </w14:textFill>
        </w:rPr>
        <w:t>类似</w:t>
      </w:r>
      <w:r>
        <w:rPr>
          <w:rFonts w:hint="eastAsia" w:ascii="宋体" w:hAnsi="宋体" w:cs="宋体"/>
          <w:b/>
          <w:bCs/>
          <w:color w:val="000000" w:themeColor="text1"/>
          <w:kern w:val="0"/>
          <w:szCs w:val="21"/>
          <w:highlight w:val="none"/>
          <w:lang w:val="zh-CN"/>
          <w14:textFill>
            <w14:solidFill>
              <w14:schemeClr w14:val="tx1"/>
            </w14:solidFill>
          </w14:textFill>
        </w:rPr>
        <w:t>项目业绩，以</w:t>
      </w:r>
      <w:r>
        <w:rPr>
          <w:rFonts w:hint="eastAsia" w:ascii="宋体" w:hAnsi="宋体" w:cs="宋体"/>
          <w:b/>
          <w:bCs/>
          <w:color w:val="000000" w:themeColor="text1"/>
          <w:kern w:val="0"/>
          <w:szCs w:val="21"/>
          <w:highlight w:val="none"/>
          <w14:textFill>
            <w14:solidFill>
              <w14:schemeClr w14:val="tx1"/>
            </w14:solidFill>
          </w14:textFill>
        </w:rPr>
        <w:t>此表后</w:t>
      </w:r>
      <w:r>
        <w:rPr>
          <w:rFonts w:hint="eastAsia" w:ascii="宋体" w:hAnsi="宋体" w:cs="宋体"/>
          <w:b/>
          <w:bCs/>
          <w:color w:val="000000" w:themeColor="text1"/>
          <w:kern w:val="0"/>
          <w:szCs w:val="21"/>
          <w:highlight w:val="none"/>
          <w:lang w:val="zh-CN"/>
          <w14:textFill>
            <w14:solidFill>
              <w14:schemeClr w14:val="tx1"/>
            </w14:solidFill>
          </w14:textFill>
        </w:rPr>
        <w:t>所附加盖单位公章的合同复印件为准，日期以合同</w:t>
      </w:r>
      <w:r>
        <w:rPr>
          <w:rFonts w:hint="eastAsia" w:ascii="宋体" w:hAnsi="宋体" w:cs="宋体"/>
          <w:b/>
          <w:bCs/>
          <w:color w:val="000000" w:themeColor="text1"/>
          <w:kern w:val="0"/>
          <w:szCs w:val="21"/>
          <w:highlight w:val="none"/>
          <w14:textFill>
            <w14:solidFill>
              <w14:schemeClr w14:val="tx1"/>
            </w14:solidFill>
          </w14:textFill>
        </w:rPr>
        <w:t>显示</w:t>
      </w:r>
      <w:r>
        <w:rPr>
          <w:rFonts w:hint="eastAsia" w:ascii="宋体" w:hAnsi="宋体" w:cs="宋体"/>
          <w:b/>
          <w:bCs/>
          <w:color w:val="000000" w:themeColor="text1"/>
          <w:kern w:val="0"/>
          <w:szCs w:val="21"/>
          <w:highlight w:val="none"/>
          <w:lang w:val="zh-CN"/>
          <w14:textFill>
            <w14:solidFill>
              <w14:schemeClr w14:val="tx1"/>
            </w14:solidFill>
          </w14:textFill>
        </w:rPr>
        <w:t>日期为准。）</w:t>
      </w:r>
    </w:p>
    <w:p w14:paraId="3E7FC8C4">
      <w:pPr>
        <w:spacing w:before="120" w:beforeLines="50" w:after="240" w:afterLines="100" w:line="440" w:lineRule="exact"/>
        <w:rPr>
          <w:rFonts w:ascii="宋体" w:hAnsi="宋体" w:cs="宋体"/>
          <w:color w:val="000000" w:themeColor="text1"/>
          <w:szCs w:val="21"/>
          <w:highlight w:val="none"/>
          <w14:textFill>
            <w14:solidFill>
              <w14:schemeClr w14:val="tx1"/>
            </w14:solidFill>
          </w14:textFill>
        </w:rPr>
      </w:pPr>
    </w:p>
    <w:p w14:paraId="209CF59C">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09D8940C">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5B36DEED">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2E101B7B">
      <w:pPr>
        <w:spacing w:before="120" w:beforeLines="50" w:after="120" w:afterLines="50" w:line="440" w:lineRule="exact"/>
        <w:jc w:val="center"/>
        <w:rPr>
          <w:rFonts w:ascii="宋体" w:hAnsi="宋体" w:cs="宋体"/>
          <w:color w:val="000000" w:themeColor="text1"/>
          <w:szCs w:val="21"/>
          <w:highlight w:val="none"/>
          <w14:textFill>
            <w14:solidFill>
              <w14:schemeClr w14:val="tx1"/>
            </w14:solidFill>
          </w14:textFill>
        </w:rPr>
      </w:pPr>
    </w:p>
    <w:p w14:paraId="7836B65F">
      <w:pPr>
        <w:spacing w:line="360" w:lineRule="auto"/>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783D1122">
      <w:pPr>
        <w:spacing w:line="360" w:lineRule="auto"/>
        <w:ind w:firstLine="2310" w:firstLineChars="1100"/>
        <w:jc w:val="righ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法定代表人</w:t>
      </w:r>
      <w:r>
        <w:rPr>
          <w:rFonts w:hint="eastAsia" w:ascii="宋体" w:hAnsi="宋体" w:cs="宋体"/>
          <w:color w:val="000000" w:themeColor="text1"/>
          <w:szCs w:val="21"/>
          <w:highlight w:val="none"/>
          <w14:textFill>
            <w14:solidFill>
              <w14:schemeClr w14:val="tx1"/>
            </w14:solidFill>
          </w14:textFill>
        </w:rPr>
        <w:t>（负责人）</w:t>
      </w:r>
      <w:r>
        <w:rPr>
          <w:rFonts w:hint="eastAsia" w:ascii="宋体" w:hAnsi="宋体" w:cs="宋体"/>
          <w:color w:val="000000" w:themeColor="text1"/>
          <w:szCs w:val="21"/>
          <w:highlight w:val="none"/>
          <w:lang w:val="zh-CN"/>
          <w14:textFill>
            <w14:solidFill>
              <w14:schemeClr w14:val="tx1"/>
            </w14:solidFill>
          </w14:textFill>
        </w:rPr>
        <w:t>或授权代表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签字或盖章</w:t>
      </w:r>
      <w:r>
        <w:rPr>
          <w:rFonts w:hint="eastAsia" w:ascii="宋体" w:hAnsi="宋体" w:cs="宋体"/>
          <w:color w:val="000000" w:themeColor="text1"/>
          <w:szCs w:val="21"/>
          <w:highlight w:val="none"/>
          <w14:textFill>
            <w14:solidFill>
              <w14:schemeClr w14:val="tx1"/>
            </w14:solidFill>
          </w14:textFill>
        </w:rPr>
        <w:t>）</w:t>
      </w:r>
    </w:p>
    <w:p w14:paraId="28AEFC17">
      <w:pPr>
        <w:spacing w:line="360" w:lineRule="auto"/>
        <w:ind w:firstLine="378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56126BDD">
      <w:pPr>
        <w:spacing w:line="360" w:lineRule="auto"/>
        <w:ind w:firstLine="3570" w:firstLineChars="1700"/>
        <w:rPr>
          <w:rFonts w:ascii="宋体" w:hAnsi="宋体" w:cs="宋体"/>
          <w:color w:val="000000" w:themeColor="text1"/>
          <w:szCs w:val="21"/>
          <w:highlight w:val="none"/>
          <w14:textFill>
            <w14:solidFill>
              <w14:schemeClr w14:val="tx1"/>
            </w14:solidFill>
          </w14:textFill>
        </w:rPr>
      </w:pPr>
    </w:p>
    <w:bookmarkEnd w:id="109"/>
    <w:p w14:paraId="7C57E6A2">
      <w:pPr>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A5B82E0">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sz w:val="32"/>
          <w:szCs w:val="32"/>
          <w:highlight w:val="none"/>
          <w:lang w:val="zh-CN"/>
          <w14:textFill>
            <w14:solidFill>
              <w14:schemeClr w14:val="tx1"/>
            </w14:solidFill>
          </w14:textFill>
        </w:rPr>
        <w:t>六、服务方案</w:t>
      </w:r>
    </w:p>
    <w:bookmarkEnd w:id="105"/>
    <w:bookmarkEnd w:id="106"/>
    <w:bookmarkEnd w:id="107"/>
    <w:bookmarkEnd w:id="108"/>
    <w:p w14:paraId="299155CB">
      <w:pPr>
        <w:rPr>
          <w:rFonts w:hint="eastAsia" w:ascii="宋体" w:hAnsi="宋体" w:cs="宋体"/>
          <w:b/>
          <w:color w:val="000000" w:themeColor="text1"/>
          <w:spacing w:val="2"/>
          <w:sz w:val="28"/>
          <w:szCs w:val="28"/>
          <w:highlight w:val="none"/>
          <w14:textFill>
            <w14:solidFill>
              <w14:schemeClr w14:val="tx1"/>
            </w14:solidFill>
          </w14:textFill>
        </w:rPr>
      </w:pPr>
      <w:bookmarkStart w:id="110" w:name="OLE_LINK127"/>
    </w:p>
    <w:p w14:paraId="10443FD0">
      <w:pPr>
        <w:rPr>
          <w:rFonts w:hint="eastAsia" w:ascii="宋体" w:hAnsi="宋体" w:eastAsia="宋体" w:cs="宋体"/>
          <w:b/>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sz w:val="32"/>
          <w:szCs w:val="32"/>
          <w:highlight w:val="none"/>
          <w:lang w:val="zh-CN"/>
          <w14:textFill>
            <w14:solidFill>
              <w14:schemeClr w14:val="tx1"/>
            </w14:solidFill>
          </w14:textFill>
        </w:rPr>
        <w:br w:type="page"/>
      </w:r>
    </w:p>
    <w:p w14:paraId="78843F42">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z w:val="32"/>
          <w:szCs w:val="32"/>
          <w:highlight w:val="none"/>
          <w:lang w:val="zh-CN"/>
          <w14:textFill>
            <w14:solidFill>
              <w14:schemeClr w14:val="tx1"/>
            </w14:solidFill>
          </w14:textFill>
        </w:rPr>
      </w:pPr>
      <w:r>
        <w:rPr>
          <w:rFonts w:hint="eastAsia" w:ascii="宋体" w:hAnsi="宋体" w:eastAsia="宋体" w:cs="宋体"/>
          <w:b/>
          <w:color w:val="000000" w:themeColor="text1"/>
          <w:sz w:val="32"/>
          <w:szCs w:val="32"/>
          <w:highlight w:val="none"/>
          <w:lang w:val="zh-CN"/>
          <w14:textFill>
            <w14:solidFill>
              <w14:schemeClr w14:val="tx1"/>
            </w14:solidFill>
          </w14:textFill>
        </w:rPr>
        <w:t>七、供应商认为需要提供的其他资料</w:t>
      </w:r>
    </w:p>
    <w:bookmarkEnd w:id="110"/>
    <w:p w14:paraId="693CC40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（供应商须知前附表规定的其他资料及供应商认为有必要说明的其它内容或资料）</w:t>
      </w:r>
    </w:p>
    <w:p w14:paraId="0714BFC5">
      <w:pPr>
        <w:rPr>
          <w:rFonts w:ascii="宋体" w:hAnsi="宋体" w:cs="宋体"/>
          <w:color w:val="000000" w:themeColor="text1"/>
          <w:highlight w:val="none"/>
          <w14:textFill>
            <w14:solidFill>
              <w14:schemeClr w14:val="tx1"/>
            </w14:solidFill>
          </w14:textFill>
        </w:rPr>
      </w:pPr>
    </w:p>
    <w:p w14:paraId="2D1CD7F3"/>
    <w:p w14:paraId="466BAAA6"/>
    <w:sectPr>
      <w:headerReference r:id="rId10" w:type="default"/>
      <w:footerReference r:id="rId11" w:type="default"/>
      <w:pgSz w:w="11905" w:h="16838"/>
      <w:pgMar w:top="1417" w:right="1417" w:bottom="1417" w:left="141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A5A3">
    <w:pPr>
      <w:pStyle w:val="11"/>
    </w:pPr>
    <w:r>
      <mc:AlternateContent>
        <mc:Choice Requires="wps">
          <w:drawing>
            <wp:anchor distT="0" distB="0" distL="114300" distR="114300" simplePos="0" relativeHeight="251660288"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6763C211">
                          <w:pPr>
                            <w:pStyle w:val="11"/>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0288;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CPa9mzUCAABjBAAADgAAAAAAAAABACAAAAAoAQAAZHJzL2Uy&#10;b0RvYy54bWxQSwUGAAAAAAYABgBZAQAAzwUAAAAA&#10;">
              <v:fill on="f" focussize="0,0"/>
              <v:stroke on="f" weight="0.5pt"/>
              <v:imagedata o:title=""/>
              <o:lock v:ext="edit" aspectratio="f"/>
              <v:textbox inset="0mm,0mm,0mm,0mm">
                <w:txbxContent>
                  <w:p w14:paraId="6763C211">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C382">
    <w:pPr>
      <w:pStyle w:val="11"/>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E7AD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7E7AD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7B67">
    <w:pPr>
      <w:pStyle w:val="11"/>
      <w:framePr w:wrap="around" w:vAnchor="text" w:hAnchor="margin" w:xAlign="center" w:y="1"/>
      <w:rPr>
        <w:rStyle w:val="22"/>
      </w:rPr>
    </w:pPr>
    <w:r>
      <w:fldChar w:fldCharType="begin"/>
    </w:r>
    <w:r>
      <w:rPr>
        <w:rStyle w:val="22"/>
      </w:rPr>
      <w:instrText xml:space="preserve">PAGE  </w:instrText>
    </w:r>
    <w:r>
      <w:fldChar w:fldCharType="end"/>
    </w:r>
  </w:p>
  <w:p w14:paraId="7FF2B09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6DF4">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FC67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AFC674">
                    <w:pPr>
                      <w:pStyle w:val="1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2575560</wp:posOffset>
              </wp:positionH>
              <wp:positionV relativeFrom="paragraph">
                <wp:posOffset>-9525</wp:posOffset>
              </wp:positionV>
              <wp:extent cx="220980" cy="2362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0980" cy="236220"/>
                      </a:xfrm>
                      <a:prstGeom prst="rect">
                        <a:avLst/>
                      </a:prstGeom>
                      <a:noFill/>
                      <a:ln w="6350">
                        <a:noFill/>
                      </a:ln>
                      <a:effectLst/>
                    </wps:spPr>
                    <wps:txbx>
                      <w:txbxContent>
                        <w:p w14:paraId="50FF536A">
                          <w:pPr>
                            <w:pStyle w:val="11"/>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8pt;margin-top:-0.75pt;height:18.6pt;width:17.4pt;mso-position-horizontal-relative:margin;z-index:251661312;mso-width-relative:page;mso-height-relative:page;" filled="f" stroked="f" coordsize="21600,21600" o:gfxdata="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Yhlg2QAAAAkBAAAPAAAAAAAAAAEAIAAAACIAAABkcnMvZG93bnJl&#10;di54bWxQSwECFAAUAAAACACHTuJAgRLBIjUCAABjBAAADgAAAAAAAAABACAAAAAoAQAAZHJzL2Uy&#10;b0RvYy54bWxQSwUGAAAAAAYABgBZAQAAzwUAAAAA&#10;">
              <v:fill on="f" focussize="0,0"/>
              <v:stroke on="f" weight="0.5pt"/>
              <v:imagedata o:title=""/>
              <o:lock v:ext="edit" aspectratio="f"/>
              <v:textbox inset="0mm,0mm,0mm,0mm">
                <w:txbxContent>
                  <w:p w14:paraId="50FF536A">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81F9">
    <w:pPr>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93CC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BC93CC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A1BE8">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2A202">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B2A202">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F0C7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53BC">
    <w:pP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C34CB">
    <w:pPr>
      <w:widowControl/>
      <w:pBdr>
        <w:bottom w:val="none" w:color="auto" w:sz="0" w:space="1"/>
      </w:pBdr>
      <w:tabs>
        <w:tab w:val="left" w:pos="1620"/>
      </w:tabs>
      <w:snapToGrid w:val="0"/>
      <w:spacing w:line="360" w:lineRule="auto"/>
      <w:ind w:firstLine="420" w:firstLineChars="200"/>
      <w:jc w:val="right"/>
      <w:rPr>
        <w:rFonts w:ascii="宋体"/>
      </w:rPr>
    </w:pPr>
  </w:p>
  <w:p w14:paraId="67587A0A">
    <w:pPr>
      <w:pStyle w:val="17"/>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97A96"/>
    <w:multiLevelType w:val="singleLevel"/>
    <w:tmpl w:val="17897A9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jJiNTk1MTkzOGNmNTc4MTRlMjY0N2M5MGJlZDQifQ=="/>
  </w:docVars>
  <w:rsids>
    <w:rsidRoot w:val="00000000"/>
    <w:rsid w:val="019A78C4"/>
    <w:rsid w:val="033143A2"/>
    <w:rsid w:val="037D35B7"/>
    <w:rsid w:val="04042CDA"/>
    <w:rsid w:val="04EC0361"/>
    <w:rsid w:val="056145E3"/>
    <w:rsid w:val="098470A4"/>
    <w:rsid w:val="0A8C3EFB"/>
    <w:rsid w:val="0AE235A4"/>
    <w:rsid w:val="0BB13318"/>
    <w:rsid w:val="0BB1727F"/>
    <w:rsid w:val="0D890203"/>
    <w:rsid w:val="0F36499C"/>
    <w:rsid w:val="0F5F3EF3"/>
    <w:rsid w:val="0F6D7CE1"/>
    <w:rsid w:val="10061443"/>
    <w:rsid w:val="10FE0672"/>
    <w:rsid w:val="110F2EA6"/>
    <w:rsid w:val="12D93FBD"/>
    <w:rsid w:val="13C95DDF"/>
    <w:rsid w:val="146167AE"/>
    <w:rsid w:val="148F7665"/>
    <w:rsid w:val="14DD6BBD"/>
    <w:rsid w:val="14F01277"/>
    <w:rsid w:val="15086DDB"/>
    <w:rsid w:val="16244DAE"/>
    <w:rsid w:val="16343118"/>
    <w:rsid w:val="16F127FC"/>
    <w:rsid w:val="171766A9"/>
    <w:rsid w:val="175956CC"/>
    <w:rsid w:val="17E554D0"/>
    <w:rsid w:val="180C01B6"/>
    <w:rsid w:val="186B3909"/>
    <w:rsid w:val="1880371E"/>
    <w:rsid w:val="18AE1D93"/>
    <w:rsid w:val="18AF462C"/>
    <w:rsid w:val="1BCB2F91"/>
    <w:rsid w:val="1D9061A5"/>
    <w:rsid w:val="1D9244AE"/>
    <w:rsid w:val="1EF228D6"/>
    <w:rsid w:val="1F680BA2"/>
    <w:rsid w:val="209066B7"/>
    <w:rsid w:val="20C01DD5"/>
    <w:rsid w:val="210070C5"/>
    <w:rsid w:val="21C11852"/>
    <w:rsid w:val="233D1CA9"/>
    <w:rsid w:val="24150BCD"/>
    <w:rsid w:val="2434366B"/>
    <w:rsid w:val="244A68F7"/>
    <w:rsid w:val="2465149B"/>
    <w:rsid w:val="24857B00"/>
    <w:rsid w:val="249C4F98"/>
    <w:rsid w:val="258424C5"/>
    <w:rsid w:val="25E67736"/>
    <w:rsid w:val="26260DE1"/>
    <w:rsid w:val="27371A85"/>
    <w:rsid w:val="281C4C20"/>
    <w:rsid w:val="28E0762A"/>
    <w:rsid w:val="29E87CCF"/>
    <w:rsid w:val="2A1A5FD1"/>
    <w:rsid w:val="2B8E0647"/>
    <w:rsid w:val="2C11611D"/>
    <w:rsid w:val="2CB61724"/>
    <w:rsid w:val="2D79054C"/>
    <w:rsid w:val="2DDE4BEB"/>
    <w:rsid w:val="2DDF0575"/>
    <w:rsid w:val="2E3B3FB2"/>
    <w:rsid w:val="2E605140"/>
    <w:rsid w:val="2E7C6418"/>
    <w:rsid w:val="2F294924"/>
    <w:rsid w:val="2F3F0110"/>
    <w:rsid w:val="304E2706"/>
    <w:rsid w:val="30E2500D"/>
    <w:rsid w:val="313C5EB3"/>
    <w:rsid w:val="31FB3853"/>
    <w:rsid w:val="31FE63F3"/>
    <w:rsid w:val="320F30FF"/>
    <w:rsid w:val="32D870F7"/>
    <w:rsid w:val="33043CBA"/>
    <w:rsid w:val="33291F9F"/>
    <w:rsid w:val="339202FD"/>
    <w:rsid w:val="33944855"/>
    <w:rsid w:val="33CC574C"/>
    <w:rsid w:val="34CC3529"/>
    <w:rsid w:val="34F62354"/>
    <w:rsid w:val="36A52540"/>
    <w:rsid w:val="37320940"/>
    <w:rsid w:val="374A15B6"/>
    <w:rsid w:val="375E74AD"/>
    <w:rsid w:val="379251DA"/>
    <w:rsid w:val="395F4958"/>
    <w:rsid w:val="39932868"/>
    <w:rsid w:val="39B051C8"/>
    <w:rsid w:val="3A3E27D3"/>
    <w:rsid w:val="3A461688"/>
    <w:rsid w:val="3AD93E86"/>
    <w:rsid w:val="3BAC552A"/>
    <w:rsid w:val="3C5B07DC"/>
    <w:rsid w:val="3D156EF0"/>
    <w:rsid w:val="3F402B4A"/>
    <w:rsid w:val="3F630FE2"/>
    <w:rsid w:val="402B55A8"/>
    <w:rsid w:val="43F9698D"/>
    <w:rsid w:val="449323B2"/>
    <w:rsid w:val="449A7D61"/>
    <w:rsid w:val="44D8532E"/>
    <w:rsid w:val="44DE52DF"/>
    <w:rsid w:val="456D21BF"/>
    <w:rsid w:val="4597044B"/>
    <w:rsid w:val="460807AD"/>
    <w:rsid w:val="48147269"/>
    <w:rsid w:val="486E2555"/>
    <w:rsid w:val="4A1C7F5A"/>
    <w:rsid w:val="4A6B66A7"/>
    <w:rsid w:val="4AA6119A"/>
    <w:rsid w:val="4BB737C4"/>
    <w:rsid w:val="4C46376A"/>
    <w:rsid w:val="4D9F1383"/>
    <w:rsid w:val="4DB5316E"/>
    <w:rsid w:val="4E62410B"/>
    <w:rsid w:val="4EC70B92"/>
    <w:rsid w:val="4F7D558E"/>
    <w:rsid w:val="51064C33"/>
    <w:rsid w:val="525766D1"/>
    <w:rsid w:val="52E429D4"/>
    <w:rsid w:val="543640C4"/>
    <w:rsid w:val="5518293C"/>
    <w:rsid w:val="556A187F"/>
    <w:rsid w:val="55904B7D"/>
    <w:rsid w:val="56044B46"/>
    <w:rsid w:val="567A25DD"/>
    <w:rsid w:val="56B61ABA"/>
    <w:rsid w:val="57855BEF"/>
    <w:rsid w:val="57C72C9B"/>
    <w:rsid w:val="57DB6991"/>
    <w:rsid w:val="58931AE5"/>
    <w:rsid w:val="58997B0B"/>
    <w:rsid w:val="58E8503C"/>
    <w:rsid w:val="58ED7447"/>
    <w:rsid w:val="5BB907BF"/>
    <w:rsid w:val="5EEB267A"/>
    <w:rsid w:val="60222736"/>
    <w:rsid w:val="6057789C"/>
    <w:rsid w:val="61C84EF5"/>
    <w:rsid w:val="622D1635"/>
    <w:rsid w:val="631F1EFD"/>
    <w:rsid w:val="64434B2C"/>
    <w:rsid w:val="657F58CB"/>
    <w:rsid w:val="664803B2"/>
    <w:rsid w:val="66726157"/>
    <w:rsid w:val="66FC2970"/>
    <w:rsid w:val="6703217D"/>
    <w:rsid w:val="67166139"/>
    <w:rsid w:val="67D7597C"/>
    <w:rsid w:val="68CD6E3C"/>
    <w:rsid w:val="693C7396"/>
    <w:rsid w:val="698701B1"/>
    <w:rsid w:val="6ABF6769"/>
    <w:rsid w:val="6AF8782E"/>
    <w:rsid w:val="6C553829"/>
    <w:rsid w:val="6C5B5AE9"/>
    <w:rsid w:val="6E6C642B"/>
    <w:rsid w:val="6F4C62C9"/>
    <w:rsid w:val="70454845"/>
    <w:rsid w:val="70570158"/>
    <w:rsid w:val="70C95A75"/>
    <w:rsid w:val="70EF7CBE"/>
    <w:rsid w:val="711B44F9"/>
    <w:rsid w:val="71653402"/>
    <w:rsid w:val="72A51E38"/>
    <w:rsid w:val="72AB572C"/>
    <w:rsid w:val="72DF4C52"/>
    <w:rsid w:val="73024AE7"/>
    <w:rsid w:val="73231C8D"/>
    <w:rsid w:val="736D6FD1"/>
    <w:rsid w:val="73B01345"/>
    <w:rsid w:val="761C07D3"/>
    <w:rsid w:val="76582269"/>
    <w:rsid w:val="76F428ED"/>
    <w:rsid w:val="77BF5FFA"/>
    <w:rsid w:val="77FF2648"/>
    <w:rsid w:val="78FF314C"/>
    <w:rsid w:val="794818B6"/>
    <w:rsid w:val="79B5100C"/>
    <w:rsid w:val="7B044F2F"/>
    <w:rsid w:val="7B576ECE"/>
    <w:rsid w:val="7CD11410"/>
    <w:rsid w:val="7D191C45"/>
    <w:rsid w:val="7D482DB1"/>
    <w:rsid w:val="7E2D3DD5"/>
    <w:rsid w:val="7F62053D"/>
    <w:rsid w:val="7F644FE5"/>
    <w:rsid w:val="7FB904AD"/>
    <w:rsid w:val="7FEB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2"/>
    <w:basedOn w:val="1"/>
    <w:next w:val="1"/>
    <w:unhideWhenUsed/>
    <w:qFormat/>
    <w:uiPriority w:val="0"/>
    <w:pPr>
      <w:spacing w:line="720" w:lineRule="exact"/>
      <w:outlineLvl w:val="1"/>
    </w:pPr>
    <w:rPr>
      <w:rFonts w:hAnsi="Copperplate Gothic Bold"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annotation text"/>
    <w:basedOn w:val="1"/>
    <w:qFormat/>
    <w:uiPriority w:val="0"/>
    <w:pPr>
      <w:jc w:val="left"/>
    </w:pPr>
  </w:style>
  <w:style w:type="paragraph" w:styleId="7">
    <w:name w:val="Body Text 3"/>
    <w:basedOn w:val="1"/>
    <w:next w:val="8"/>
    <w:qFormat/>
    <w:uiPriority w:val="0"/>
    <w:rPr>
      <w:rFonts w:ascii="宋体"/>
      <w:sz w:val="24"/>
    </w:rPr>
  </w:style>
  <w:style w:type="paragraph" w:styleId="8">
    <w:name w:val="Body Text"/>
    <w:basedOn w:val="1"/>
    <w:next w:val="1"/>
    <w:unhideWhenUsed/>
    <w:qFormat/>
    <w:uiPriority w:val="1"/>
    <w:pPr>
      <w:spacing w:after="120"/>
    </w:pPr>
  </w:style>
  <w:style w:type="paragraph" w:styleId="9">
    <w:name w:val="Block Text"/>
    <w:basedOn w:val="1"/>
    <w:qFormat/>
    <w:uiPriority w:val="0"/>
    <w:pPr>
      <w:spacing w:after="120"/>
      <w:ind w:left="1440" w:leftChars="700" w:right="700" w:rightChars="700"/>
    </w:pPr>
  </w:style>
  <w:style w:type="paragraph" w:styleId="10">
    <w:name w:val="Plain Text"/>
    <w:basedOn w:val="1"/>
    <w:qFormat/>
    <w:uiPriority w:val="0"/>
    <w:rPr>
      <w:rFonts w:ascii="宋体" w:hAnsi="Courier New"/>
    </w:rPr>
  </w:style>
  <w:style w:type="paragraph" w:styleId="11">
    <w:name w:val="footer"/>
    <w:basedOn w:val="1"/>
    <w:next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spacing w:before="120" w:after="120"/>
      <w:jc w:val="left"/>
    </w:pPr>
    <w:rPr>
      <w:rFonts w:ascii="Calibri" w:hAnsi="Calibri" w:cs="Calibri"/>
      <w:b/>
      <w:bCs/>
      <w:caps/>
      <w:sz w:val="20"/>
    </w:rPr>
  </w:style>
  <w:style w:type="paragraph" w:styleId="14">
    <w:name w:val="Body Text 2"/>
    <w:basedOn w:val="1"/>
    <w:qFormat/>
    <w:uiPriority w:val="0"/>
    <w:pPr>
      <w:widowControl/>
      <w:spacing w:after="120" w:line="480" w:lineRule="auto"/>
      <w:jc w:val="left"/>
    </w:pPr>
    <w:rPr>
      <w:kern w:val="0"/>
      <w:sz w:val="20"/>
    </w:rPr>
  </w:style>
  <w:style w:type="paragraph" w:styleId="15">
    <w:name w:val="HTML Preformatted"/>
    <w:basedOn w:val="1"/>
    <w:qFormat/>
    <w:uiPriority w:val="99"/>
    <w:pPr>
      <w:widowControl/>
      <w:jc w:val="left"/>
    </w:pPr>
    <w:rPr>
      <w:rFonts w:ascii="黑体" w:hAnsi="Courier New" w:eastAsia="黑体" w:cs="宋体"/>
      <w:kern w:val="0"/>
      <w:sz w:val="20"/>
    </w:rPr>
  </w:style>
  <w:style w:type="paragraph" w:styleId="16">
    <w:name w:val="Normal (Web)"/>
    <w:basedOn w:val="1"/>
    <w:qFormat/>
    <w:uiPriority w:val="0"/>
    <w:pPr>
      <w:jc w:val="left"/>
    </w:pPr>
    <w:rPr>
      <w:kern w:val="0"/>
      <w:sz w:val="24"/>
    </w:rPr>
  </w:style>
  <w:style w:type="paragraph" w:styleId="17">
    <w:name w:val="Body Text First Indent"/>
    <w:basedOn w:val="8"/>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paragraph" w:customStyle="1" w:styleId="23">
    <w:name w:val="Normal_13"/>
    <w:qFormat/>
    <w:uiPriority w:val="99"/>
    <w:pPr>
      <w:spacing w:before="120" w:after="240"/>
      <w:jc w:val="both"/>
    </w:pPr>
    <w:rPr>
      <w:rFonts w:ascii="Calibri" w:hAnsi="Calibri" w:eastAsia="宋体" w:cs="Times New Roman"/>
      <w:sz w:val="22"/>
      <w:szCs w:val="22"/>
      <w:lang w:val="en-US" w:eastAsia="en-US" w:bidi="ar-SA"/>
    </w:rPr>
  </w:style>
  <w:style w:type="paragraph" w:customStyle="1" w:styleId="24">
    <w:name w:val="样式 10 磅"/>
    <w:basedOn w:val="1"/>
    <w:qFormat/>
    <w:uiPriority w:val="0"/>
  </w:style>
  <w:style w:type="paragraph" w:styleId="25">
    <w:name w:val="List Paragraph"/>
    <w:basedOn w:val="1"/>
    <w:unhideWhenUsed/>
    <w:qFormat/>
    <w:uiPriority w:val="99"/>
    <w:pPr>
      <w:ind w:firstLine="420" w:firstLineChars="200"/>
    </w:pPr>
  </w:style>
  <w:style w:type="table" w:customStyle="1" w:styleId="26">
    <w:name w:val="Table Normal"/>
    <w:unhideWhenUsed/>
    <w:qFormat/>
    <w:uiPriority w:val="0"/>
    <w:tblPr>
      <w:tblCellMar>
        <w:top w:w="0" w:type="dxa"/>
        <w:left w:w="0" w:type="dxa"/>
        <w:bottom w:w="0" w:type="dxa"/>
        <w:right w:w="0" w:type="dxa"/>
      </w:tblCellMar>
    </w:tblPr>
  </w:style>
  <w:style w:type="paragraph" w:styleId="27">
    <w:name w:val="No Spacing"/>
    <w:qFormat/>
    <w:uiPriority w:val="1"/>
    <w:rPr>
      <w:rFonts w:ascii="Calibri" w:hAnsi="Calibri" w:eastAsia="宋体" w:cs="Times New Roman"/>
      <w:sz w:val="22"/>
      <w:szCs w:val="22"/>
      <w:lang w:val="en-US" w:eastAsia="zh-CN" w:bidi="ar-SA"/>
    </w:rPr>
  </w:style>
  <w:style w:type="paragraph" w:customStyle="1" w:styleId="28">
    <w:name w:val="p0"/>
    <w:basedOn w:val="1"/>
    <w:qFormat/>
    <w:uiPriority w:val="0"/>
    <w:pPr>
      <w:widowControl/>
    </w:pPr>
    <w:rPr>
      <w:kern w:val="0"/>
      <w:szCs w:val="21"/>
    </w:rPr>
  </w:style>
  <w:style w:type="paragraph" w:customStyle="1" w:styleId="2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21905</Words>
  <Characters>23555</Characters>
  <Lines>0</Lines>
  <Paragraphs>0</Paragraphs>
  <TotalTime>69</TotalTime>
  <ScaleCrop>false</ScaleCrop>
  <LinksUpToDate>false</LinksUpToDate>
  <CharactersWithSpaces>23792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2025-07-09T09:07:00Z</dcterms:created>
  <dc:creator>Administrator</dc:creator>
  <cp:lastModifiedBy>小懒小兰</cp:lastModifiedBy>
  <dcterms:modified xsi:type="dcterms:W3CDTF">2026-02-03T06:45:15Z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27873BD1BCE64D999FD9EA6C6ECC24DC_13</vt:lpwstr>
  </property>
  <property fmtid="{D5CDD505-2E9C-101B-9397-08002B2CF9AE}" pid="4" name="KSOTemplateDocerSaveRecord">
    <vt:lpwstr>eyJoZGlkIjoiMWFhMjQxZGE0YWZhMjFmNzY2Y2E4NDg3NWEyZDc2ZDUiLCJ1c2VySWQiOiIxNjg4NDY4MzIyIn0=</vt:lpwstr>
  </property>
</Properties>
</file>