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56"/>
        <w:gridCol w:w="7236"/>
      </w:tblGrid>
      <w:tr w14:paraId="6F299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44F8BB3A">
            <w:pPr>
              <w:pStyle w:val="1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56" w:type="dxa"/>
          </w:tcPr>
          <w:p w14:paraId="3E09B62D">
            <w:pPr>
              <w:pStyle w:val="1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236" w:type="dxa"/>
          </w:tcPr>
          <w:p w14:paraId="4F389395">
            <w:pPr>
              <w:pStyle w:val="1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74434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7ACED3DA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656" w:type="dxa"/>
          </w:tcPr>
          <w:p w14:paraId="749C0FFD">
            <w:pPr>
              <w:pStyle w:val="1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36" w:type="dxa"/>
          </w:tcPr>
          <w:p w14:paraId="32FA9525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采购清单：</w:t>
            </w:r>
          </w:p>
          <w:tbl>
            <w:tblPr>
              <w:tblStyle w:val="12"/>
              <w:tblW w:w="7016" w:type="dxa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4"/>
              <w:gridCol w:w="1537"/>
              <w:gridCol w:w="2360"/>
              <w:gridCol w:w="450"/>
              <w:gridCol w:w="650"/>
              <w:gridCol w:w="730"/>
              <w:gridCol w:w="845"/>
            </w:tblGrid>
            <w:tr w14:paraId="7A5C3CD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" w:hRule="atLeast"/>
              </w:trPr>
              <w:tc>
                <w:tcPr>
                  <w:tcW w:w="444" w:type="dxa"/>
                  <w:vAlign w:val="center"/>
                </w:tcPr>
                <w:p w14:paraId="74B0BC4B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序号</w:t>
                  </w:r>
                </w:p>
              </w:tc>
              <w:tc>
                <w:tcPr>
                  <w:tcW w:w="1537" w:type="dxa"/>
                  <w:vAlign w:val="center"/>
                </w:tcPr>
                <w:p w14:paraId="28CFF3EA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标的名称</w:t>
                  </w:r>
                </w:p>
              </w:tc>
              <w:tc>
                <w:tcPr>
                  <w:tcW w:w="2360" w:type="dxa"/>
                  <w:vAlign w:val="center"/>
                </w:tcPr>
                <w:p w14:paraId="4F5AA678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</w:rPr>
                    <w:t>标的</w:t>
                  </w:r>
                  <w:r>
                    <w:rPr>
                      <w:rFonts w:ascii="仿宋" w:hAnsi="仿宋" w:eastAsia="仿宋" w:cs="仿宋"/>
                      <w:lang w:eastAsia="zh-CN"/>
                    </w:rPr>
                    <w:t>明细</w:t>
                  </w:r>
                </w:p>
              </w:tc>
              <w:tc>
                <w:tcPr>
                  <w:tcW w:w="450" w:type="dxa"/>
                  <w:vAlign w:val="center"/>
                </w:tcPr>
                <w:p w14:paraId="251C090B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数量</w:t>
                  </w:r>
                </w:p>
              </w:tc>
              <w:tc>
                <w:tcPr>
                  <w:tcW w:w="650" w:type="dxa"/>
                  <w:vAlign w:val="center"/>
                </w:tcPr>
                <w:p w14:paraId="1BE9C861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计量单位</w:t>
                  </w:r>
                </w:p>
              </w:tc>
              <w:tc>
                <w:tcPr>
                  <w:tcW w:w="730" w:type="dxa"/>
                  <w:vAlign w:val="center"/>
                </w:tcPr>
                <w:p w14:paraId="02D3221A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是否核心产品</w:t>
                  </w:r>
                </w:p>
              </w:tc>
              <w:tc>
                <w:tcPr>
                  <w:tcW w:w="845" w:type="dxa"/>
                  <w:vAlign w:val="center"/>
                </w:tcPr>
                <w:p w14:paraId="73CA4078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是否允许进口产品</w:t>
                  </w:r>
                </w:p>
              </w:tc>
            </w:tr>
            <w:tr w14:paraId="7364B3B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restart"/>
                  <w:vAlign w:val="center"/>
                </w:tcPr>
                <w:p w14:paraId="4D093C4F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14:paraId="0BAA137C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基于数字孪生的6G移动通信网络仿真平台</w:t>
                  </w:r>
                </w:p>
              </w:tc>
              <w:tc>
                <w:tcPr>
                  <w:tcW w:w="2360" w:type="dxa"/>
                  <w:vAlign w:val="center"/>
                </w:tcPr>
                <w:p w14:paraId="04DA0E4F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1机双卡GPU</w:t>
                  </w:r>
                </w:p>
              </w:tc>
              <w:tc>
                <w:tcPr>
                  <w:tcW w:w="450" w:type="dxa"/>
                  <w:vAlign w:val="center"/>
                </w:tcPr>
                <w:p w14:paraId="5D198DF6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15</w:t>
                  </w:r>
                </w:p>
              </w:tc>
              <w:tc>
                <w:tcPr>
                  <w:tcW w:w="650" w:type="dxa"/>
                  <w:vAlign w:val="center"/>
                </w:tcPr>
                <w:p w14:paraId="5C320662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台</w:t>
                  </w: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14:paraId="0A9054BF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是</w:t>
                  </w:r>
                </w:p>
              </w:tc>
              <w:tc>
                <w:tcPr>
                  <w:tcW w:w="845" w:type="dxa"/>
                  <w:vMerge w:val="restart"/>
                  <w:vAlign w:val="center"/>
                </w:tcPr>
                <w:p w14:paraId="5451CFDD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否</w:t>
                  </w:r>
                </w:p>
              </w:tc>
            </w:tr>
            <w:tr w14:paraId="6FF3E8D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369D8BC0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6CD71760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49F6DF69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1机8卡GPU</w:t>
                  </w:r>
                </w:p>
              </w:tc>
              <w:tc>
                <w:tcPr>
                  <w:tcW w:w="450" w:type="dxa"/>
                  <w:vAlign w:val="center"/>
                </w:tcPr>
                <w:p w14:paraId="7B37F8DC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1F639604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台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0873D0F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07EDFB06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6DA7B09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6FDCAFA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6EE431E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39014FE7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仿真平台</w:t>
                  </w:r>
                </w:p>
              </w:tc>
              <w:tc>
                <w:tcPr>
                  <w:tcW w:w="450" w:type="dxa"/>
                  <w:vAlign w:val="center"/>
                </w:tcPr>
                <w:p w14:paraId="2088F828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43B7033E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4882C36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1D7BDF9D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50E1605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restart"/>
                  <w:vAlign w:val="center"/>
                </w:tcPr>
                <w:p w14:paraId="20E57677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14:paraId="7163CB2E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USRP及相控阵天线</w:t>
                  </w:r>
                </w:p>
              </w:tc>
              <w:tc>
                <w:tcPr>
                  <w:tcW w:w="2360" w:type="dxa"/>
                  <w:vAlign w:val="center"/>
                </w:tcPr>
                <w:p w14:paraId="6FF2DB4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USRP（1）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66154F50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</w:tcPr>
                <w:p w14:paraId="73D6BEF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14:paraId="72E7DCFA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  <w:tc>
                <w:tcPr>
                  <w:tcW w:w="845" w:type="dxa"/>
                  <w:vMerge w:val="restart"/>
                  <w:vAlign w:val="center"/>
                </w:tcPr>
                <w:p w14:paraId="0649B309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</w:tr>
            <w:tr w14:paraId="29632DC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395923BB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0E690324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63EB2C9F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USRP（2）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59B89638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4</w:t>
                  </w:r>
                </w:p>
              </w:tc>
              <w:tc>
                <w:tcPr>
                  <w:tcW w:w="650" w:type="dxa"/>
                  <w:vAlign w:val="center"/>
                </w:tcPr>
                <w:p w14:paraId="700381A3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380446B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1E92E0F2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16D7495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40AC9787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0E6AEF59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2983232F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USRP（3）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0A660B98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8</w:t>
                  </w:r>
                </w:p>
              </w:tc>
              <w:tc>
                <w:tcPr>
                  <w:tcW w:w="650" w:type="dxa"/>
                  <w:vAlign w:val="center"/>
                </w:tcPr>
                <w:p w14:paraId="7B8A631D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740A2FA0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5250C5BB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3BC304D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785696E8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20A35B0E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5CC62CB5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USRP（4）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22A28FDE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8</w:t>
                  </w:r>
                </w:p>
              </w:tc>
              <w:tc>
                <w:tcPr>
                  <w:tcW w:w="650" w:type="dxa"/>
                  <w:vAlign w:val="center"/>
                </w:tcPr>
                <w:p w14:paraId="039CF03D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42B1B7B5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2D39A6B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01167C4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42458CF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241D6FD2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2885A90A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低功耗接入节点</w:t>
                  </w:r>
                </w:p>
              </w:tc>
              <w:tc>
                <w:tcPr>
                  <w:tcW w:w="450" w:type="dxa"/>
                  <w:vAlign w:val="center"/>
                </w:tcPr>
                <w:p w14:paraId="4B7BF24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268EE0E5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287EA088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35752AE6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1AB1718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0FB41029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02472337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615CFA5F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相控阵天线</w:t>
                  </w:r>
                </w:p>
              </w:tc>
              <w:tc>
                <w:tcPr>
                  <w:tcW w:w="450" w:type="dxa"/>
                  <w:vAlign w:val="center"/>
                </w:tcPr>
                <w:p w14:paraId="2758A3BD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</w:tcPr>
                <w:p w14:paraId="66023757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2116D1B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4415475D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1B77D39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444" w:type="dxa"/>
                  <w:vAlign w:val="center"/>
                </w:tcPr>
                <w:p w14:paraId="5CF3C2C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97" w:type="dxa"/>
                  <w:gridSpan w:val="2"/>
                  <w:vAlign w:val="center"/>
                </w:tcPr>
                <w:p w14:paraId="5ADE740D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空天地一体化无线信道仿真仪技术指标</w:t>
                  </w:r>
                </w:p>
              </w:tc>
              <w:tc>
                <w:tcPr>
                  <w:tcW w:w="450" w:type="dxa"/>
                  <w:vAlign w:val="center"/>
                </w:tcPr>
                <w:p w14:paraId="451C912E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424882A0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Align w:val="center"/>
                </w:tcPr>
                <w:p w14:paraId="2023C051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是</w:t>
                  </w:r>
                </w:p>
              </w:tc>
              <w:tc>
                <w:tcPr>
                  <w:tcW w:w="845" w:type="dxa"/>
                  <w:vAlign w:val="center"/>
                </w:tcPr>
                <w:p w14:paraId="41279269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否</w:t>
                  </w:r>
                </w:p>
              </w:tc>
            </w:tr>
          </w:tbl>
          <w:p w14:paraId="0C45635E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57155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631D2363">
            <w:pPr>
              <w:pStyle w:val="16"/>
              <w:rPr>
                <w:rFonts w:hint="default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</w:t>
            </w:r>
          </w:p>
        </w:tc>
        <w:tc>
          <w:tcPr>
            <w:tcW w:w="656" w:type="dxa"/>
          </w:tcPr>
          <w:p w14:paraId="63424EA1"/>
        </w:tc>
        <w:tc>
          <w:tcPr>
            <w:tcW w:w="7236" w:type="dxa"/>
          </w:tcPr>
          <w:p w14:paraId="17C7F64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一、基于数字孪生的6G移动通信网络仿真平台</w:t>
            </w:r>
          </w:p>
          <w:p w14:paraId="73F7ABD3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（1）1机双卡GPU技术指标（15台）</w:t>
            </w:r>
          </w:p>
          <w:p w14:paraId="5333CEF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1、支持24核32线程</w:t>
            </w:r>
          </w:p>
          <w:p w14:paraId="22980348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2、支持最大4个内存插槽，最高支持256GDDR5内存</w:t>
            </w:r>
          </w:p>
          <w:p w14:paraId="0B87782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GPU卡:2块RTX5090 32G；</w:t>
            </w:r>
          </w:p>
          <w:p w14:paraId="38B4EBB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4、核心线程支持24核32线程，主频支持最大3.2GHz，三级缓存最大36MB</w:t>
            </w:r>
          </w:p>
          <w:p w14:paraId="60AC25F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5、读取速度支持最大3500MB/S</w:t>
            </w:r>
          </w:p>
          <w:p w14:paraId="381A08C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6、支持1250W/1650W电源保障双卡稳定运行</w:t>
            </w:r>
          </w:p>
          <w:p w14:paraId="58EBFCDE">
            <w:pPr>
              <w:pStyle w:val="11"/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（2）1机8卡GPU技术指标（1台）</w:t>
            </w:r>
          </w:p>
          <w:p w14:paraId="4BEFAFB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1、2颗处理器:28核 2GHz</w:t>
            </w:r>
          </w:p>
          <w:p w14:paraId="226C8D5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2、内存:8根32GB DDR4</w:t>
            </w:r>
          </w:p>
          <w:p w14:paraId="62A7ECD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3、硬盘:3块8TSATA固态硬盘</w:t>
            </w:r>
          </w:p>
          <w:p w14:paraId="53149BD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4、★GPU卡:8块RTX5090 32G</w:t>
            </w:r>
          </w:p>
          <w:p w14:paraId="7089298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5、RAID卡:PM8204-8i2G 带电容</w:t>
            </w:r>
          </w:p>
          <w:p w14:paraId="550B1EE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6、网卡:1个双口10G PCIe以太网适配器(包含2个FP+模块);1个100GbE 2端口 PCIe 以太网适配器</w:t>
            </w:r>
          </w:p>
          <w:p w14:paraId="0648593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7、电源:4个2200W热插拔电源</w:t>
            </w:r>
          </w:p>
          <w:p w14:paraId="4F057078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（3）仿真平台（</w:t>
            </w:r>
            <w:bookmarkStart w:id="0" w:name="OLE_LINK18"/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1</w:t>
            </w:r>
            <w:bookmarkEnd w:id="0"/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套）</w:t>
            </w:r>
          </w:p>
          <w:p w14:paraId="3F0F5F0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1、不小于16通道机箱</w:t>
            </w:r>
          </w:p>
          <w:p w14:paraId="65C4850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2、每通道2个本振，RF收发一体</w:t>
            </w:r>
          </w:p>
          <w:p w14:paraId="7C4D33E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3、频率范围选件:30M~6GHz</w:t>
            </w:r>
          </w:p>
          <w:p w14:paraId="1740FA5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4、单通道射频带宽20MHz/300MHz/500MHz/1000MHz</w:t>
            </w:r>
          </w:p>
          <w:p w14:paraId="66470D8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5、最大仿真时延:≥100ms</w:t>
            </w:r>
          </w:p>
          <w:p w14:paraId="3C603E0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6、最大多径数:≥24条</w:t>
            </w:r>
          </w:p>
          <w:p w14:paraId="06C123C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7、最大多普勒频移:±6MHz</w:t>
            </w:r>
          </w:p>
          <w:p w14:paraId="06860E2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支持信道类型:瑞利、莱斯、平坦、圆拱、高斯、巴特沃斯等10种</w:t>
            </w:r>
          </w:p>
          <w:p w14:paraId="5DB9EAF8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9、底噪:不高于-162dBm/Hz@输出≤-40dBm</w:t>
            </w:r>
          </w:p>
          <w:p w14:paraId="2AFB9DF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10、支持AWGN/CW 干扰仿真，以及其他干扰:跳频干扰，扫频干扰，脉冲干扰，均匀分布干扰等</w:t>
            </w:r>
          </w:p>
          <w:p w14:paraId="58A9781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11、集成1个独立1000Mbps网口，用于远程管理</w:t>
            </w:r>
          </w:p>
          <w:p w14:paraId="245C9631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二、USRP及相控阵天线</w:t>
            </w:r>
          </w:p>
          <w:p w14:paraId="45376EA3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（1）USRP（1）技术指标（2套）</w:t>
            </w:r>
          </w:p>
          <w:p w14:paraId="609149F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1、提供≥4路射频发送通道和≥4路射频接收通道，每个通道实时带宽≥400MHz，频段覆盖10MHz-8GHz；</w:t>
            </w:r>
          </w:p>
          <w:p w14:paraId="4FBA040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2、集成高精度ADC和DAC，精度≥14位，其中ADC采样率≥4.9GSPS，DAC采样率≥9.8GSPS，并提供参考测试代码；</w:t>
            </w:r>
          </w:p>
          <w:p w14:paraId="77D0E02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3、可编程处理器的逻辑资源≥930K，DSP计算单元≥4200个；同时集成四核 ARM Cortex-A53，频率≥1.2GHz和双核 ARM Cortex-R5 MPCore，频率≥500MHz；</w:t>
            </w:r>
          </w:p>
          <w:p w14:paraId="0E1302C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4、通信接口提供千兆以太网/USB2.0 OTG，数据接口提供 40G/100G QSFP28和10G SFP+，调试接口为USB JTAG；</w:t>
            </w:r>
          </w:p>
          <w:p w14:paraId="067BEC6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5、提供光纤数据前传卡，实现射频单元的光口数据转换为PCIe接口，支持二次开发；</w:t>
            </w:r>
          </w:p>
          <w:p w14:paraId="365D88F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6、前传卡可编程FPGA逻辑资源≥1000K，板载内存≥4GB，提供PCIe 3.0x16接口；提供2个100G光纤接口，板载高精度时钟分配网络，支持远端时钟同步模式；</w:t>
            </w:r>
          </w:p>
          <w:p w14:paraId="7D9DDC6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7、提供嵌入式Web端应用程序，可以实现射频的收发测试和自检，支持波形预存功能；</w:t>
            </w:r>
          </w:p>
          <w:p w14:paraId="5F48B76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8、提供GUI的参考设计，提供调制解调实现案例，包括单音信号、IEEE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13A58C3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9、提供基于802.11a PHY的FPGA IPcore，能够实现高清视频无线传输；</w:t>
            </w:r>
          </w:p>
          <w:p w14:paraId="69F8DE1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10、提供基于x86平台的射频记录回放演示软件，可以支持四路射频采集和回放；</w:t>
            </w:r>
          </w:p>
          <w:p w14:paraId="7E4E90BD">
            <w:pPr>
              <w:pStyle w:val="11"/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11、设备支持开源4G/5G协议栈，包括基站侧和核心网，可以支持商业终端的接入；</w:t>
            </w:r>
          </w:p>
          <w:p w14:paraId="29641EC8">
            <w:pPr>
              <w:pStyle w:val="11"/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12、根据射频通道数配置连接线缆。</w:t>
            </w:r>
          </w:p>
          <w:p w14:paraId="154111E0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（2）USRP（2）技术指标（4套）</w:t>
            </w:r>
          </w:p>
          <w:p w14:paraId="7D858AC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射频通道≥2路发射，≥2路接收和≥2路观察通道，频段范围75MHz～6GHz，每个通道实时带宽≥200MHz；</w:t>
            </w:r>
          </w:p>
          <w:p w14:paraId="0A2A7F0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2、可编程FPGA的逻辑资源≥444K，内置双核ARM Cortex-A9 处理器，主频≥800 MHz，DDR3 SDRAM≥2GB；</w:t>
            </w:r>
          </w:p>
          <w:p w14:paraId="4EA1225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3、控制接口提供千兆以太网和USB2.0 OTG，数据接口提供10GSFP+和40G QSFP+光纤接口，存储卡≥８GB，调试接口为USB JTAG接口；</w:t>
            </w:r>
          </w:p>
          <w:p w14:paraId="52C1F41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4、时钟同步接口支持外部本振输入，支持外部参考时钟输入/输出和GPS扩展接口</w:t>
            </w:r>
          </w:p>
          <w:p w14:paraId="2E12D21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5、提供独立的FPGA前传卡，采用PCIe3.0x8接口，FPGA的逻辑资源≥530K，DSP计算单元≥1920个，提供PCIe3.0接口驱动程序和APIs函数库，支持二次开发；</w:t>
            </w:r>
          </w:p>
          <w:p w14:paraId="2EE7C98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6、设备支持程序开发流程，提供调制解调实现案例，包括单音信号、IEEE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46CD590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7、提供符合802.11a物理层的FPGA IPcore，能够支持高清视频图像的实时传输；</w:t>
            </w:r>
          </w:p>
          <w:p w14:paraId="38741A0E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8、设备支持开源4G/5G协议栈，包括基站侧和核心网，可以支持商业终端的接入；</w:t>
            </w:r>
          </w:p>
          <w:p w14:paraId="79C1A012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9、根据射频通道数配置连接线缆。</w:t>
            </w:r>
          </w:p>
          <w:p w14:paraId="72D83CB4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（3）USRP（3）（8套）</w:t>
            </w:r>
          </w:p>
          <w:p w14:paraId="2AA0046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1、射频通道≥2路发射和≥2路接收，频段覆盖70MHz～6GHz，带宽≥56MHz；</w:t>
            </w:r>
          </w:p>
          <w:p w14:paraId="409CFCD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2、可编程FPGA的逻辑资源≥85K，内置双核ARM Cortex-A9 处理器，数据接口包括USB3.0和千兆以太网，调试接口为USB-JTAG；</w:t>
            </w:r>
          </w:p>
          <w:p w14:paraId="7F5B74C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3、支持程序开发流程，提供调制解调实现案例，包括单音信号、IEEE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6D4631D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4、支持开源的GNU Radio开发环境，提供C和C++开发APIs，支持Linux操作系统；</w:t>
            </w:r>
          </w:p>
          <w:p w14:paraId="7DEB1B2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5、提供基于Python的调制解调案例，包括但不限于ASK，FSK，PSK和OFDM等；</w:t>
            </w:r>
          </w:p>
          <w:p w14:paraId="67584DEE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6、</w:t>
            </w:r>
            <w:r>
              <w:rPr>
                <w:rFonts w:hint="eastAsia"/>
              </w:rPr>
              <w:t>▲</w:t>
            </w:r>
            <w:r>
              <w:rPr>
                <w:rFonts w:hint="eastAsia" w:ascii="仿宋" w:hAnsi="仿宋" w:eastAsia="仿宋" w:cs="仿宋"/>
              </w:rPr>
              <w:t>提供射频采集回放软件，可以实现固定长度的单次采集和回放功能，提供二次开发所需要的API函数库和示例代码；</w:t>
            </w:r>
          </w:p>
          <w:p w14:paraId="19BD315B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7、根据射频通道数配置连接线缆。</w:t>
            </w:r>
          </w:p>
          <w:p w14:paraId="30F67E7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（4）USRP（4）技术指标（8套）</w:t>
            </w:r>
          </w:p>
          <w:p w14:paraId="2B06117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射频通道≥4路发射和≥4路接收；</w:t>
            </w:r>
          </w:p>
          <w:p w14:paraId="6979F59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2、RF频率范围1MHz-7.2GHz</w:t>
            </w:r>
          </w:p>
          <w:p w14:paraId="468B15CA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3、工作带宽OBW≥200MHz（IBW≥100MHz）；</w:t>
            </w:r>
          </w:p>
          <w:p w14:paraId="34650CC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4、同时支持ORAN规范的eCPRI和CPRI前传协议；</w:t>
            </w:r>
          </w:p>
          <w:p w14:paraId="5C2D520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5、支持25G SFP+光口和2路1G RJ45网口；</w:t>
            </w:r>
          </w:p>
          <w:p w14:paraId="062757B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6、提供配套的可在通用服务器上部署的PCIE数据前传卡；</w:t>
            </w:r>
          </w:p>
          <w:p w14:paraId="256ACFE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7、单路射频发射功率≥24dBm，具备轻量化设计，总量≤2kg，整机功耗不超过35W；</w:t>
            </w:r>
          </w:p>
          <w:p w14:paraId="70B3DAA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8、支持3GPP频段N41/N78；</w:t>
            </w:r>
          </w:p>
          <w:p w14:paraId="2E3902DA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9、ACLR在24dBm发射功率下≤-49dBc；</w:t>
            </w:r>
          </w:p>
          <w:p w14:paraId="7433D0A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10、驻波比VSWR≤1.5；</w:t>
            </w:r>
          </w:p>
          <w:p w14:paraId="4C72ABE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11、接收机对100MHz NR QPSK信号灵敏度优于-94dBm；</w:t>
            </w:r>
          </w:p>
          <w:p w14:paraId="7DA1B74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12、支持1588v2同步；</w:t>
            </w:r>
          </w:p>
          <w:p w14:paraId="1139F70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13、支持软件无线电及图形化配置；</w:t>
            </w:r>
          </w:p>
          <w:p w14:paraId="5D7D97F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14、提供可部署在通用服务器上的5G NR基带处理软件包，支持完整的5G NR接入网功能，基带版本不低于3GPP NR Rel17，包括PHY/MAC/RLC/RRC等，软件支持≥8个波束的管理与资源调度能力；</w:t>
            </w:r>
          </w:p>
          <w:p w14:paraId="23D7FC8D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15、基带处理软件可支持100MHz的NR小区基带处理，下行速率≥5.5Gbps，上行速率≥1.5Gbps,并提供二次开发用SDK；</w:t>
            </w:r>
          </w:p>
          <w:p w14:paraId="05D56B8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16、提供可部署在通用服务器上的5G NR核心网软件包，支持完整的5G NR 核心网功能，包括UPF/AMF/SMF等功能；</w:t>
            </w:r>
          </w:p>
          <w:p w14:paraId="7212C95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17、提供支持网络部署的设备管理工具（OMC）；</w:t>
            </w:r>
          </w:p>
          <w:p w14:paraId="58659E4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18、支持终端通信质量以及速率检测图形化；</w:t>
            </w:r>
          </w:p>
          <w:p w14:paraId="09833124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19、提供相关前传接口与基带开发API；</w:t>
            </w:r>
          </w:p>
          <w:p w14:paraId="274F4887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20、根据射频通道数配置连接线缆。</w:t>
            </w:r>
          </w:p>
          <w:p w14:paraId="73B5DF15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（5）低功耗接入节点技术指标（1套）</w:t>
            </w:r>
          </w:p>
          <w:p w14:paraId="57894C5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测试用5G NR终端；</w:t>
            </w:r>
          </w:p>
          <w:p w14:paraId="6A0D9D7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2、支持3GPP NR Rel17终端侧协议栈支持常用卫星频段和地面站频段；</w:t>
            </w:r>
          </w:p>
          <w:p w14:paraId="3AA4399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3、天线增益≥8dBi；</w:t>
            </w:r>
          </w:p>
          <w:p w14:paraId="05D28E2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4、支持实时信号质量抓取和业务报文抓取</w:t>
            </w:r>
          </w:p>
          <w:p w14:paraId="1ABB227B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（6）相控阵天线技术指标（2套）</w:t>
            </w:r>
          </w:p>
          <w:p w14:paraId="5595324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阵面天线阵元数目≥64个；</w:t>
            </w:r>
          </w:p>
          <w:p w14:paraId="02994CB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2、极化模式为线极化（水平或垂直极化）；</w:t>
            </w:r>
          </w:p>
          <w:p w14:paraId="49F01E9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3、驻波比≤1.5；</w:t>
            </w:r>
          </w:p>
          <w:p w14:paraId="2788990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4、支持波束码本动态配置；</w:t>
            </w:r>
          </w:p>
          <w:p w14:paraId="77692F3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5、设计带宽≥200MHz，中心频点≥3.5GHz</w:t>
            </w:r>
          </w:p>
          <w:p w14:paraId="4BDCB8E0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三、空天地一体化无线信道仿真仪技术指标（1套）</w:t>
            </w:r>
          </w:p>
          <w:p w14:paraId="4205158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1、★射频通道数：≥8（可扩展）；</w:t>
            </w:r>
          </w:p>
          <w:p w14:paraId="530A275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2、射频通道接口：N型或SMA型，全双工；</w:t>
            </w:r>
          </w:p>
          <w:p w14:paraId="07590DE8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射频频率范围：450MHz~6GHz；</w:t>
            </w:r>
          </w:p>
          <w:p w14:paraId="5FF39E6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4、支持带宽：200MHz；</w:t>
            </w:r>
          </w:p>
          <w:p w14:paraId="563B492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5、底噪：≤-162dBm/Hz（输出小于-40dBm时）；</w:t>
            </w:r>
          </w:p>
          <w:p w14:paraId="77B1B9A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6、输入信号功</w:t>
            </w:r>
            <w:bookmarkStart w:id="1" w:name="_GoBack"/>
            <w:bookmarkEnd w:id="1"/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率：-40dBm~37dBm；</w:t>
            </w:r>
          </w:p>
          <w:p w14:paraId="014D90DA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7、输出信号功率：-120dBm~-10dBm；</w:t>
            </w:r>
          </w:p>
          <w:p w14:paraId="2C3CACD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8、支持CW干扰、AWGN干扰、脉冲干扰、扫频干扰，宽带窄带干扰以及导入用户自定义干扰；</w:t>
            </w:r>
          </w:p>
          <w:p w14:paraId="7394773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支持4G/5G通信场景中3GPP标准38.901定义的TDL、CDL衰落模型，包括TDL-A/B/C/D/E，CDL-A/B/C/D/E等；</w:t>
            </w:r>
          </w:p>
          <w:p w14:paraId="28ECEF8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10、卫星通信场景中大气衰减、电离层衰减、雨衰，多径衰落模型包括Loo、Corazza、Lutz、ITU-R 681-11规定的卫星信道模型等；</w:t>
            </w:r>
          </w:p>
          <w:p w14:paraId="196BEDA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11、支持用户自定义编辑信道模型；</w:t>
            </w:r>
          </w:p>
          <w:p w14:paraId="41C38423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</w:rPr>
              <w:t>12、具备千兆网口。</w:t>
            </w:r>
          </w:p>
        </w:tc>
      </w:tr>
      <w:tr w14:paraId="747FB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44E5C095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6" w:type="dxa"/>
          </w:tcPr>
          <w:p w14:paraId="4FE137E6"/>
        </w:tc>
        <w:tc>
          <w:tcPr>
            <w:tcW w:w="7236" w:type="dxa"/>
          </w:tcPr>
          <w:p w14:paraId="089A1C50">
            <w:pPr>
              <w:pStyle w:val="1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注:带“★”的参数需求为实质性要求，供应商必须响应并满足的参数需求，并提供佐证材料（不限于第三方检测报告或官网截图或使用说明书或产品彩页等）</w:t>
            </w:r>
          </w:p>
        </w:tc>
      </w:tr>
    </w:tbl>
    <w:p w14:paraId="0834C6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24A98"/>
    <w:rsid w:val="350F723F"/>
    <w:rsid w:val="46C41160"/>
    <w:rsid w:val="47A00955"/>
    <w:rsid w:val="4FFA62C3"/>
    <w:rsid w:val="589E15DC"/>
    <w:rsid w:val="5B394BC5"/>
    <w:rsid w:val="60CF045C"/>
    <w:rsid w:val="67C14DF2"/>
    <w:rsid w:val="6B3E7E6D"/>
    <w:rsid w:val="75C51318"/>
    <w:rsid w:val="780A5382"/>
    <w:rsid w:val="78897695"/>
    <w:rsid w:val="7CDE0A9C"/>
    <w:rsid w:val="7D0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2026-02-11T09:22:00Z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